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4" w:line="273" w:lineRule="auto"/>
        <w:ind w:left="278" w:right="110" w:firstLine="0"/>
        <w:jc w:val="center"/>
        <w:rPr>
          <w:sz w:val="52"/>
        </w:rPr>
      </w:pPr>
      <w:bookmarkStart w:id="660" w:name="_GoBack"/>
      <w:bookmarkEnd w:id="660"/>
      <w:r>
        <w:rPr>
          <w:b/>
          <w:sz w:val="18"/>
          <w:szCs w:val="18"/>
          <w:highlight w:val="none"/>
        </w:rPr>
        <w:drawing>
          <wp:anchor distT="0" distB="0" distL="114300" distR="114300" simplePos="0" relativeHeight="251665408" behindDoc="0" locked="0" layoutInCell="1" allowOverlap="1">
            <wp:simplePos x="0" y="0"/>
            <wp:positionH relativeFrom="column">
              <wp:posOffset>5372735</wp:posOffset>
            </wp:positionH>
            <wp:positionV relativeFrom="paragraph">
              <wp:posOffset>66040</wp:posOffset>
            </wp:positionV>
            <wp:extent cx="467995" cy="410845"/>
            <wp:effectExtent l="0" t="0" r="8255" b="8255"/>
            <wp:wrapNone/>
            <wp:docPr id="1" name="图片 8" descr="17745469085040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77454690850407265"/>
                    <pic:cNvPicPr>
                      <a:picLocks noChangeAspect="1"/>
                    </pic:cNvPicPr>
                  </pic:nvPicPr>
                  <pic:blipFill>
                    <a:blip r:embed="rId12"/>
                    <a:stretch>
                      <a:fillRect/>
                    </a:stretch>
                  </pic:blipFill>
                  <pic:spPr>
                    <a:xfrm>
                      <a:off x="0" y="0"/>
                      <a:ext cx="467995" cy="410845"/>
                    </a:xfrm>
                    <a:prstGeom prst="rect">
                      <a:avLst/>
                    </a:prstGeom>
                    <a:noFill/>
                    <a:ln>
                      <a:noFill/>
                    </a:ln>
                  </pic:spPr>
                </pic:pic>
              </a:graphicData>
            </a:graphic>
          </wp:anchor>
        </w:drawing>
      </w:r>
    </w:p>
    <w:p>
      <w:pPr>
        <w:spacing w:before="64" w:line="273" w:lineRule="auto"/>
        <w:ind w:left="278" w:right="110" w:firstLine="0"/>
        <w:jc w:val="center"/>
        <w:rPr>
          <w:rFonts w:hint="eastAsia" w:eastAsia="宋体"/>
          <w:sz w:val="52"/>
          <w:lang w:eastAsia="zh-CN"/>
        </w:rPr>
      </w:pPr>
      <w:r>
        <w:rPr>
          <w:rFonts w:hint="eastAsia"/>
          <w:sz w:val="52"/>
          <w:lang w:eastAsia="zh-CN"/>
        </w:rPr>
        <w:t>兰溪市第一次水旱灾害风险普查项目</w:t>
      </w:r>
    </w:p>
    <w:p>
      <w:pPr>
        <w:pStyle w:val="10"/>
        <w:spacing w:before="3"/>
        <w:rPr>
          <w:sz w:val="73"/>
        </w:rPr>
      </w:pPr>
    </w:p>
    <w:p>
      <w:pPr>
        <w:spacing w:before="1" w:line="496" w:lineRule="auto"/>
        <w:ind w:left="4336" w:right="4727" w:firstLine="0"/>
        <w:jc w:val="both"/>
        <w:rPr>
          <w:sz w:val="72"/>
        </w:rPr>
      </w:pPr>
      <w:r>
        <w:rPr>
          <w:sz w:val="72"/>
        </w:rPr>
        <w:t>招标文件</w:t>
      </w:r>
    </w:p>
    <w:p>
      <w:pPr>
        <w:pStyle w:val="10"/>
        <w:spacing w:before="4"/>
        <w:rPr>
          <w:sz w:val="60"/>
        </w:rPr>
      </w:pPr>
    </w:p>
    <w:p>
      <w:pPr>
        <w:pStyle w:val="4"/>
        <w:adjustRightInd w:val="0"/>
        <w:snapToGrid w:val="0"/>
        <w:spacing w:line="360" w:lineRule="auto"/>
        <w:ind w:left="0" w:firstLine="1539" w:firstLineChars="481"/>
        <w:rPr>
          <w:rFonts w:hint="eastAsia" w:eastAsia="宋体"/>
          <w:lang w:eastAsia="zh-CN"/>
        </w:rPr>
      </w:pPr>
      <w:r>
        <w:t>项目编号：</w:t>
      </w:r>
      <w:r>
        <w:rPr>
          <w:rFonts w:hint="eastAsia"/>
          <w:lang w:eastAsia="zh-CN"/>
        </w:rPr>
        <w:t>HZZY2021-GK-051</w:t>
      </w:r>
    </w:p>
    <w:p>
      <w:pPr>
        <w:pStyle w:val="4"/>
        <w:tabs>
          <w:tab w:val="left" w:pos="1816"/>
        </w:tabs>
        <w:adjustRightInd w:val="0"/>
        <w:snapToGrid w:val="0"/>
        <w:spacing w:before="0" w:line="360" w:lineRule="auto"/>
        <w:ind w:left="0" w:right="0" w:firstLine="1600" w:firstLineChars="500"/>
        <w:rPr>
          <w:b w:val="0"/>
          <w:bCs w:val="0"/>
        </w:rPr>
      </w:pPr>
      <w:r>
        <w:t>采购单位：兰溪市水旱灾害防御中心</w:t>
      </w:r>
      <w:r>
        <w:rPr>
          <w:rFonts w:hint="eastAsia"/>
          <w:b w:val="0"/>
          <w:bCs w:val="0"/>
          <w:sz w:val="32"/>
          <w:szCs w:val="32"/>
          <w:highlight w:val="none"/>
          <w:lang w:val="zh-CN"/>
        </w:rPr>
        <w:t>（盖章）</w:t>
      </w:r>
    </w:p>
    <w:p>
      <w:pPr>
        <w:pStyle w:val="4"/>
        <w:tabs>
          <w:tab w:val="left" w:pos="1816"/>
        </w:tabs>
        <w:adjustRightInd w:val="0"/>
        <w:snapToGrid w:val="0"/>
        <w:spacing w:before="0" w:line="360" w:lineRule="auto"/>
        <w:ind w:left="0" w:right="0" w:firstLine="1539" w:firstLineChars="481"/>
        <w:rPr>
          <w:rFonts w:hint="eastAsia"/>
          <w:b w:val="0"/>
          <w:bCs w:val="0"/>
          <w:lang w:eastAsia="zh-CN"/>
        </w:rPr>
      </w:pPr>
      <w:r>
        <w:rPr>
          <w:b w:val="0"/>
          <w:bCs w:val="0"/>
        </w:rPr>
        <w:t>代理单位：</w:t>
      </w:r>
      <w:r>
        <w:rPr>
          <w:rFonts w:hint="eastAsia"/>
          <w:b w:val="0"/>
          <w:bCs w:val="0"/>
          <w:lang w:eastAsia="zh-CN"/>
        </w:rPr>
        <w:t>杭州中乙信息科技咨询有限公司</w:t>
      </w:r>
      <w:r>
        <w:rPr>
          <w:rFonts w:hint="eastAsia"/>
          <w:b w:val="0"/>
          <w:bCs w:val="0"/>
          <w:sz w:val="32"/>
          <w:szCs w:val="32"/>
          <w:highlight w:val="none"/>
          <w:lang w:val="zh-CN"/>
        </w:rPr>
        <w:t>（盖章）</w:t>
      </w:r>
      <w:r>
        <w:rPr>
          <w:b w:val="0"/>
          <w:bCs w:val="0"/>
          <w:sz w:val="32"/>
          <w:szCs w:val="32"/>
          <w:highlight w:val="none"/>
          <w:lang w:val="zh-CN"/>
        </w:rPr>
        <w:t xml:space="preserve"> </w:t>
      </w:r>
    </w:p>
    <w:p>
      <w:pPr>
        <w:pStyle w:val="4"/>
        <w:tabs>
          <w:tab w:val="left" w:pos="1816"/>
        </w:tabs>
        <w:adjustRightInd w:val="0"/>
        <w:snapToGrid w:val="0"/>
        <w:spacing w:before="0" w:line="360" w:lineRule="auto"/>
        <w:ind w:left="0" w:right="0" w:firstLine="1539" w:firstLineChars="481"/>
      </w:pPr>
      <w:r>
        <w:t>日</w:t>
      </w:r>
      <w:r>
        <w:tab/>
      </w:r>
      <w:r>
        <w:t>期：2021</w:t>
      </w:r>
      <w:r>
        <w:rPr>
          <w:spacing w:val="-81"/>
        </w:rPr>
        <w:t xml:space="preserve"> </w:t>
      </w:r>
      <w:r>
        <w:t>年</w:t>
      </w:r>
      <w:r>
        <w:rPr>
          <w:spacing w:val="-79"/>
        </w:rPr>
        <w:t xml:space="preserve"> </w:t>
      </w:r>
      <w:r>
        <w:t>0</w:t>
      </w:r>
      <w:r>
        <w:rPr>
          <w:rFonts w:hint="eastAsia"/>
          <w:lang w:val="en-US" w:eastAsia="zh-CN"/>
        </w:rPr>
        <w:t>7</w:t>
      </w:r>
      <w:r>
        <w:rPr>
          <w:spacing w:val="-80"/>
        </w:rPr>
        <w:t xml:space="preserve"> </w:t>
      </w:r>
      <w:r>
        <w:t>月</w:t>
      </w:r>
    </w:p>
    <w:p>
      <w:pPr>
        <w:spacing w:after="0" w:line="364" w:lineRule="auto"/>
        <w:sectPr>
          <w:type w:val="continuous"/>
          <w:pgSz w:w="11910" w:h="16840"/>
          <w:pgMar w:top="1580" w:right="920" w:bottom="280" w:left="1200" w:header="720" w:footer="720" w:gutter="0"/>
          <w:cols w:space="720" w:num="1"/>
        </w:sectPr>
      </w:pPr>
    </w:p>
    <w:p>
      <w:pPr>
        <w:tabs>
          <w:tab w:val="left" w:pos="1041"/>
        </w:tabs>
        <w:spacing w:before="11"/>
        <w:ind w:left="0" w:right="280" w:firstLine="0"/>
        <w:jc w:val="center"/>
        <w:rPr>
          <w:sz w:val="44"/>
        </w:rPr>
      </w:pPr>
      <w:bookmarkStart w:id="0" w:name="_bookmark0"/>
      <w:bookmarkEnd w:id="0"/>
      <w:r>
        <w:rPr>
          <w:sz w:val="44"/>
        </w:rPr>
        <w:t>目</w:t>
      </w:r>
      <w:r>
        <w:rPr>
          <w:sz w:val="44"/>
        </w:rPr>
        <w:tab/>
      </w:r>
      <w:r>
        <w:rPr>
          <w:sz w:val="44"/>
        </w:rPr>
        <w:t>录</w:t>
      </w:r>
    </w:p>
    <w:sdt>
      <w:sdtPr>
        <w:id w:val="0"/>
        <w:docPartObj>
          <w:docPartGallery w:val="Table of Contents"/>
          <w:docPartUnique/>
        </w:docPartObj>
      </w:sdtPr>
      <w:sdtContent>
        <w:p>
          <w:pPr>
            <w:pStyle w:val="14"/>
            <w:tabs>
              <w:tab w:val="right" w:leader="dot" w:pos="9670"/>
            </w:tabs>
            <w:spacing w:before="549"/>
          </w:pPr>
          <w:r>
            <w:fldChar w:fldCharType="begin"/>
          </w:r>
          <w:r>
            <w:instrText xml:space="preserve"> HYPERLINK \l "_bookmark0" </w:instrText>
          </w:r>
          <w:r>
            <w:fldChar w:fldCharType="separate"/>
          </w:r>
          <w:r>
            <w:t>第</w:t>
          </w:r>
          <w:r>
            <w:rPr>
              <w:spacing w:val="-3"/>
            </w:rPr>
            <w:t>一</w:t>
          </w:r>
          <w:r>
            <w:t>章</w:t>
          </w:r>
          <w:r>
            <w:rPr>
              <w:spacing w:val="-1"/>
            </w:rPr>
            <w:t xml:space="preserve"> </w:t>
          </w:r>
          <w:r>
            <w:t>招</w:t>
          </w:r>
          <w:r>
            <w:rPr>
              <w:spacing w:val="-3"/>
            </w:rPr>
            <w:t>标</w:t>
          </w:r>
          <w:r>
            <w:t>公告</w:t>
          </w:r>
          <w:r>
            <w:tab/>
          </w:r>
          <w:r>
            <w:t>1</w:t>
          </w:r>
          <w:r>
            <w:fldChar w:fldCharType="end"/>
          </w:r>
        </w:p>
        <w:p>
          <w:pPr>
            <w:pStyle w:val="14"/>
            <w:tabs>
              <w:tab w:val="right" w:leader="dot" w:pos="9670"/>
            </w:tabs>
          </w:pPr>
          <w:r>
            <w:fldChar w:fldCharType="begin"/>
          </w:r>
          <w:r>
            <w:instrText xml:space="preserve"> HYPERLINK \l "_bookmark1" </w:instrText>
          </w:r>
          <w:r>
            <w:fldChar w:fldCharType="separate"/>
          </w:r>
          <w:r>
            <w:t>第</w:t>
          </w:r>
          <w:r>
            <w:rPr>
              <w:spacing w:val="-3"/>
            </w:rPr>
            <w:t>二</w:t>
          </w:r>
          <w:r>
            <w:t>章</w:t>
          </w:r>
          <w:r>
            <w:rPr>
              <w:spacing w:val="-1"/>
            </w:rPr>
            <w:t xml:space="preserve"> </w:t>
          </w:r>
          <w:r>
            <w:t>前</w:t>
          </w:r>
          <w:r>
            <w:rPr>
              <w:spacing w:val="-3"/>
            </w:rPr>
            <w:t>附</w:t>
          </w:r>
          <w:r>
            <w:t>表</w:t>
          </w:r>
          <w:r>
            <w:tab/>
          </w:r>
          <w:r>
            <w:t>4</w:t>
          </w:r>
          <w:r>
            <w:fldChar w:fldCharType="end"/>
          </w:r>
        </w:p>
        <w:p>
          <w:pPr>
            <w:pStyle w:val="14"/>
            <w:tabs>
              <w:tab w:val="right" w:leader="dot" w:pos="9670"/>
            </w:tabs>
            <w:spacing w:before="441"/>
          </w:pPr>
          <w:r>
            <w:fldChar w:fldCharType="begin"/>
          </w:r>
          <w:r>
            <w:instrText xml:space="preserve"> HYPERLINK \l "_bookmark2" </w:instrText>
          </w:r>
          <w:r>
            <w:fldChar w:fldCharType="separate"/>
          </w:r>
          <w:r>
            <w:t>第</w:t>
          </w:r>
          <w:r>
            <w:rPr>
              <w:spacing w:val="-3"/>
            </w:rPr>
            <w:t>三</w:t>
          </w:r>
          <w:r>
            <w:t>章</w:t>
          </w:r>
          <w:r>
            <w:rPr>
              <w:spacing w:val="-1"/>
            </w:rPr>
            <w:t xml:space="preserve"> </w:t>
          </w:r>
          <w:r>
            <w:t>招</w:t>
          </w:r>
          <w:r>
            <w:rPr>
              <w:spacing w:val="-3"/>
            </w:rPr>
            <w:t>标</w:t>
          </w:r>
          <w:r>
            <w:t>需求</w:t>
          </w:r>
          <w:r>
            <w:tab/>
          </w:r>
          <w:r>
            <w:t>5</w:t>
          </w:r>
          <w:r>
            <w:fldChar w:fldCharType="end"/>
          </w:r>
        </w:p>
        <w:p>
          <w:pPr>
            <w:pStyle w:val="14"/>
            <w:tabs>
              <w:tab w:val="right" w:leader="dot" w:pos="9670"/>
            </w:tabs>
            <w:spacing w:before="443"/>
            <w:rPr>
              <w:rFonts w:hint="eastAsia" w:eastAsia="宋体"/>
              <w:lang w:val="en-US" w:eastAsia="zh-CN"/>
            </w:rPr>
          </w:pPr>
          <w:r>
            <w:fldChar w:fldCharType="begin"/>
          </w:r>
          <w:r>
            <w:instrText xml:space="preserve"> HYPERLINK \l "_bookmark3" </w:instrText>
          </w:r>
          <w:r>
            <w:fldChar w:fldCharType="separate"/>
          </w:r>
          <w:r>
            <w:t>第</w:t>
          </w:r>
          <w:r>
            <w:rPr>
              <w:spacing w:val="-3"/>
            </w:rPr>
            <w:t>四</w:t>
          </w:r>
          <w:r>
            <w:t>章</w:t>
          </w:r>
          <w:r>
            <w:rPr>
              <w:spacing w:val="-1"/>
            </w:rPr>
            <w:t xml:space="preserve"> </w:t>
          </w:r>
          <w:r>
            <w:t>投</w:t>
          </w:r>
          <w:r>
            <w:rPr>
              <w:spacing w:val="-3"/>
            </w:rPr>
            <w:t>标</w:t>
          </w:r>
          <w:r>
            <w:t>人须知</w:t>
          </w:r>
          <w:r>
            <w:tab/>
          </w:r>
          <w:r>
            <w:rPr>
              <w:rFonts w:hint="eastAsia"/>
              <w:lang w:val="en-US" w:eastAsia="zh-CN"/>
            </w:rPr>
            <w:t>6</w:t>
          </w:r>
          <w:r>
            <w:fldChar w:fldCharType="end"/>
          </w:r>
          <w:r>
            <w:rPr>
              <w:rFonts w:hint="eastAsia"/>
              <w:lang w:val="en-US" w:eastAsia="zh-CN"/>
            </w:rPr>
            <w:t>1</w:t>
          </w:r>
        </w:p>
        <w:p>
          <w:pPr>
            <w:pStyle w:val="14"/>
            <w:tabs>
              <w:tab w:val="right" w:leader="dot" w:pos="9670"/>
            </w:tabs>
            <w:rPr>
              <w:rFonts w:hint="eastAsia" w:eastAsia="宋体"/>
              <w:lang w:val="en-US" w:eastAsia="zh-CN"/>
            </w:rPr>
          </w:pPr>
          <w:r>
            <w:fldChar w:fldCharType="begin"/>
          </w:r>
          <w:r>
            <w:instrText xml:space="preserve"> HYPERLINK \l "_bookmark4" </w:instrText>
          </w:r>
          <w:r>
            <w:fldChar w:fldCharType="separate"/>
          </w:r>
          <w:r>
            <w:t>第</w:t>
          </w:r>
          <w:r>
            <w:rPr>
              <w:spacing w:val="-3"/>
            </w:rPr>
            <w:t>五</w:t>
          </w:r>
          <w:r>
            <w:t>章</w:t>
          </w:r>
          <w:r>
            <w:rPr>
              <w:spacing w:val="-1"/>
            </w:rPr>
            <w:t xml:space="preserve"> </w:t>
          </w:r>
          <w:r>
            <w:t>开</w:t>
          </w:r>
          <w:r>
            <w:rPr>
              <w:spacing w:val="-3"/>
            </w:rPr>
            <w:t>标</w:t>
          </w:r>
          <w:r>
            <w:t>和评</w:t>
          </w:r>
          <w:r>
            <w:rPr>
              <w:spacing w:val="-3"/>
            </w:rPr>
            <w:t>标</w:t>
          </w:r>
          <w:r>
            <w:t>须知</w:t>
          </w:r>
          <w:r>
            <w:tab/>
          </w:r>
          <w:r>
            <w:rPr>
              <w:rFonts w:hint="eastAsia"/>
              <w:lang w:val="en-US" w:eastAsia="zh-CN"/>
            </w:rPr>
            <w:t>6</w:t>
          </w:r>
          <w:r>
            <w:fldChar w:fldCharType="end"/>
          </w:r>
          <w:r>
            <w:rPr>
              <w:rFonts w:hint="eastAsia"/>
              <w:lang w:val="en-US" w:eastAsia="zh-CN"/>
            </w:rPr>
            <w:t>6</w:t>
          </w:r>
        </w:p>
        <w:p>
          <w:pPr>
            <w:pStyle w:val="14"/>
            <w:tabs>
              <w:tab w:val="right" w:leader="dot" w:pos="9670"/>
            </w:tabs>
            <w:rPr>
              <w:rFonts w:hint="eastAsia" w:eastAsia="宋体"/>
              <w:lang w:val="en-US" w:eastAsia="zh-CN"/>
            </w:rPr>
          </w:pPr>
          <w:r>
            <w:fldChar w:fldCharType="begin"/>
          </w:r>
          <w:r>
            <w:instrText xml:space="preserve"> HYPERLINK \l "_bookmark5" </w:instrText>
          </w:r>
          <w:r>
            <w:fldChar w:fldCharType="separate"/>
          </w:r>
          <w:r>
            <w:t>第</w:t>
          </w:r>
          <w:r>
            <w:rPr>
              <w:spacing w:val="-3"/>
            </w:rPr>
            <w:t>六</w:t>
          </w:r>
          <w:r>
            <w:t>章</w:t>
          </w:r>
          <w:r>
            <w:rPr>
              <w:spacing w:val="-1"/>
            </w:rPr>
            <w:t xml:space="preserve"> </w:t>
          </w:r>
          <w:r>
            <w:t>评</w:t>
          </w:r>
          <w:r>
            <w:rPr>
              <w:spacing w:val="-3"/>
            </w:rPr>
            <w:t>标</w:t>
          </w:r>
          <w:r>
            <w:t>细则</w:t>
          </w:r>
          <w:r>
            <w:tab/>
          </w:r>
          <w:r>
            <w:rPr>
              <w:rFonts w:hint="eastAsia"/>
              <w:lang w:val="en-US" w:eastAsia="zh-CN"/>
            </w:rPr>
            <w:t>7</w:t>
          </w:r>
          <w:r>
            <w:fldChar w:fldCharType="end"/>
          </w:r>
          <w:r>
            <w:rPr>
              <w:rFonts w:hint="eastAsia"/>
              <w:lang w:val="en-US" w:eastAsia="zh-CN"/>
            </w:rPr>
            <w:t>0</w:t>
          </w:r>
        </w:p>
        <w:p>
          <w:pPr>
            <w:pStyle w:val="14"/>
            <w:tabs>
              <w:tab w:val="right" w:leader="dot" w:pos="9670"/>
            </w:tabs>
            <w:spacing w:before="443"/>
            <w:rPr>
              <w:rFonts w:hint="eastAsia" w:eastAsia="宋体"/>
              <w:lang w:val="en-US" w:eastAsia="zh-CN"/>
            </w:rPr>
          </w:pPr>
          <w:r>
            <w:fldChar w:fldCharType="begin"/>
          </w:r>
          <w:r>
            <w:instrText xml:space="preserve"> HYPERLINK \l "_bookmark6" </w:instrText>
          </w:r>
          <w:r>
            <w:fldChar w:fldCharType="separate"/>
          </w:r>
          <w:r>
            <w:t>第</w:t>
          </w:r>
          <w:r>
            <w:rPr>
              <w:spacing w:val="-3"/>
            </w:rPr>
            <w:t>七</w:t>
          </w:r>
          <w:r>
            <w:t>章</w:t>
          </w:r>
          <w:r>
            <w:rPr>
              <w:spacing w:val="-1"/>
            </w:rPr>
            <w:t xml:space="preserve"> </w:t>
          </w:r>
          <w:r>
            <w:t>合</w:t>
          </w:r>
          <w:r>
            <w:rPr>
              <w:spacing w:val="-3"/>
            </w:rPr>
            <w:t>同</w:t>
          </w:r>
          <w:r>
            <w:t>条款</w:t>
          </w:r>
          <w:r>
            <w:tab/>
          </w:r>
          <w:r>
            <w:rPr>
              <w:rFonts w:hint="eastAsia"/>
              <w:lang w:val="en-US" w:eastAsia="zh-CN"/>
            </w:rPr>
            <w:t>7</w:t>
          </w:r>
          <w:r>
            <w:fldChar w:fldCharType="end"/>
          </w:r>
          <w:r>
            <w:rPr>
              <w:rFonts w:hint="eastAsia"/>
              <w:lang w:val="en-US" w:eastAsia="zh-CN"/>
            </w:rPr>
            <w:t>3</w:t>
          </w:r>
        </w:p>
        <w:p>
          <w:pPr>
            <w:pStyle w:val="14"/>
            <w:tabs>
              <w:tab w:val="right" w:leader="dot" w:pos="9670"/>
            </w:tabs>
            <w:spacing w:before="441"/>
          </w:pPr>
          <w:r>
            <w:fldChar w:fldCharType="begin"/>
          </w:r>
          <w:r>
            <w:instrText xml:space="preserve"> HYPERLINK \l "_bookmark7" </w:instrText>
          </w:r>
          <w:r>
            <w:fldChar w:fldCharType="separate"/>
          </w:r>
          <w:r>
            <w:t>第</w:t>
          </w:r>
          <w:r>
            <w:rPr>
              <w:spacing w:val="-3"/>
            </w:rPr>
            <w:t>八</w:t>
          </w:r>
          <w:r>
            <w:t>章</w:t>
          </w:r>
          <w:r>
            <w:rPr>
              <w:spacing w:val="-1"/>
            </w:rPr>
            <w:t xml:space="preserve"> </w:t>
          </w:r>
          <w:r>
            <w:t>投</w:t>
          </w:r>
          <w:r>
            <w:rPr>
              <w:spacing w:val="-3"/>
            </w:rPr>
            <w:t>标</w:t>
          </w:r>
          <w:r>
            <w:t>文件</w:t>
          </w:r>
          <w:r>
            <w:rPr>
              <w:spacing w:val="-3"/>
            </w:rPr>
            <w:t>格</w:t>
          </w:r>
          <w:r>
            <w:t>式</w:t>
          </w:r>
          <w:r>
            <w:tab/>
          </w:r>
          <w:r>
            <w:rPr>
              <w:rFonts w:hint="eastAsia"/>
              <w:lang w:val="en-US" w:eastAsia="zh-CN"/>
            </w:rPr>
            <w:t>8</w:t>
          </w:r>
          <w:r>
            <w:fldChar w:fldCharType="end"/>
          </w:r>
          <w:r>
            <w:rPr>
              <w:rFonts w:hint="eastAsia"/>
              <w:lang w:val="en-US" w:eastAsia="zh-CN"/>
            </w:rPr>
            <w:t>1</w:t>
          </w:r>
        </w:p>
      </w:sdtContent>
    </w:sdt>
    <w:p>
      <w:pPr>
        <w:spacing w:after="0"/>
        <w:sectPr>
          <w:pgSz w:w="11910" w:h="16840"/>
          <w:pgMar w:top="1440" w:right="920" w:bottom="280" w:left="1200" w:header="720" w:footer="720" w:gutter="0"/>
          <w:cols w:space="720" w:num="1"/>
        </w:sectPr>
      </w:pPr>
    </w:p>
    <w:p>
      <w:pPr>
        <w:pStyle w:val="3"/>
        <w:spacing w:before="243"/>
        <w:ind w:right="555"/>
      </w:pPr>
      <w:r>
        <mc:AlternateContent>
          <mc:Choice Requires="wps">
            <w:drawing>
              <wp:anchor distT="0" distB="0" distL="0" distR="0" simplePos="0" relativeHeight="251664384" behindDoc="1" locked="0" layoutInCell="1" allowOverlap="1">
                <wp:simplePos x="0" y="0"/>
                <wp:positionH relativeFrom="page">
                  <wp:posOffset>1089025</wp:posOffset>
                </wp:positionH>
                <wp:positionV relativeFrom="paragraph">
                  <wp:posOffset>473710</wp:posOffset>
                </wp:positionV>
                <wp:extent cx="5381625" cy="944245"/>
                <wp:effectExtent l="4445" t="4445" r="5080" b="22860"/>
                <wp:wrapTopAndBottom/>
                <wp:docPr id="3" name="文本框 2"/>
                <wp:cNvGraphicFramePr/>
                <a:graphic xmlns:a="http://schemas.openxmlformats.org/drawingml/2006/main">
                  <a:graphicData uri="http://schemas.microsoft.com/office/word/2010/wordprocessingShape">
                    <wps:wsp>
                      <wps:cNvSpPr txBox="1"/>
                      <wps:spPr>
                        <a:xfrm>
                          <a:off x="0" y="0"/>
                          <a:ext cx="5381625" cy="944245"/>
                        </a:xfrm>
                        <a:prstGeom prst="rect">
                          <a:avLst/>
                        </a:prstGeom>
                        <a:noFill/>
                        <a:ln w="6096" cap="flat" cmpd="sng">
                          <a:solidFill>
                            <a:srgbClr val="000000"/>
                          </a:solidFill>
                          <a:prstDash val="solid"/>
                          <a:miter/>
                          <a:headEnd type="none" w="med" len="med"/>
                          <a:tailEnd type="none" w="med" len="med"/>
                        </a:ln>
                      </wps:spPr>
                      <wps:txbx>
                        <w:txbxContent>
                          <w:p>
                            <w:pPr>
                              <w:pStyle w:val="10"/>
                              <w:spacing w:before="129"/>
                              <w:ind w:left="500"/>
                            </w:pPr>
                            <w:r>
                              <w:t>项目概况</w:t>
                            </w:r>
                          </w:p>
                          <w:p>
                            <w:pPr>
                              <w:pStyle w:val="10"/>
                              <w:spacing w:before="132" w:line="357" w:lineRule="auto"/>
                              <w:ind w:left="80" w:right="-29" w:firstLine="420"/>
                            </w:pPr>
                            <w:r>
                              <w:rPr>
                                <w:rFonts w:hint="default" w:ascii="宋体" w:hAnsi="宋体" w:eastAsia="宋体" w:cs="宋体"/>
                                <w:spacing w:val="0"/>
                                <w:w w:val="100"/>
                                <w:u w:val="single"/>
                                <w:lang w:eastAsia="zh-CN"/>
                              </w:rPr>
                              <w:t>兰溪市第一次水旱灾害风险普查项目</w:t>
                            </w:r>
                            <w:r>
                              <w:t>的潜在投标人通过</w:t>
                            </w:r>
                            <w:r>
                              <w:rPr>
                                <w:spacing w:val="1"/>
                                <w:u w:val="single"/>
                              </w:rPr>
                              <w:t>政采云</w:t>
                            </w:r>
                            <w:r>
                              <w:rPr>
                                <w:spacing w:val="-6"/>
                              </w:rPr>
                              <w:t xml:space="preserve">获取招标文件，并于 </w:t>
                            </w:r>
                            <w:r>
                              <w:rPr>
                                <w:u w:val="single"/>
                              </w:rPr>
                              <w:t>2021</w:t>
                            </w:r>
                            <w:r>
                              <w:rPr>
                                <w:spacing w:val="-35"/>
                                <w:u w:val="single"/>
                              </w:rPr>
                              <w:t xml:space="preserve"> 年</w:t>
                            </w:r>
                            <w:r>
                              <w:rPr>
                                <w:rFonts w:hint="eastAsia"/>
                                <w:spacing w:val="-35"/>
                                <w:highlight w:val="none"/>
                                <w:u w:val="single"/>
                                <w:lang w:val="en-US" w:eastAsia="zh-CN"/>
                              </w:rPr>
                              <w:t xml:space="preserve"> 8 </w:t>
                            </w:r>
                            <w:r>
                              <w:rPr>
                                <w:spacing w:val="-36"/>
                                <w:highlight w:val="none"/>
                                <w:u w:val="single"/>
                              </w:rPr>
                              <w:t xml:space="preserve">月 </w:t>
                            </w:r>
                            <w:r>
                              <w:rPr>
                                <w:rFonts w:hint="eastAsia"/>
                                <w:highlight w:val="none"/>
                                <w:u w:val="single"/>
                                <w:lang w:val="en-US" w:eastAsia="zh-CN"/>
                              </w:rPr>
                              <w:t>18</w:t>
                            </w:r>
                            <w:r>
                              <w:rPr>
                                <w:spacing w:val="-36"/>
                                <w:highlight w:val="none"/>
                                <w:u w:val="single"/>
                              </w:rPr>
                              <w:t xml:space="preserve"> 日 </w:t>
                            </w:r>
                            <w:r>
                              <w:rPr>
                                <w:rFonts w:hint="eastAsia"/>
                                <w:highlight w:val="none"/>
                                <w:u w:val="single"/>
                                <w:lang w:val="en-US" w:eastAsia="zh-CN"/>
                              </w:rPr>
                              <w:t>09</w:t>
                            </w:r>
                            <w:r>
                              <w:rPr>
                                <w:spacing w:val="-35"/>
                                <w:highlight w:val="none"/>
                                <w:u w:val="single"/>
                              </w:rPr>
                              <w:t xml:space="preserve"> </w:t>
                            </w:r>
                            <w:r>
                              <w:rPr>
                                <w:rFonts w:hint="eastAsia"/>
                                <w:spacing w:val="-35"/>
                                <w:highlight w:val="none"/>
                                <w:u w:val="single"/>
                                <w:lang w:eastAsia="zh-CN"/>
                              </w:rPr>
                              <w:t>时</w:t>
                            </w:r>
                            <w:r>
                              <w:rPr>
                                <w:spacing w:val="-35"/>
                                <w:highlight w:val="none"/>
                                <w:u w:val="single"/>
                              </w:rPr>
                              <w:t xml:space="preserve"> </w:t>
                            </w:r>
                            <w:r>
                              <w:rPr>
                                <w:rFonts w:hint="eastAsia"/>
                                <w:highlight w:val="none"/>
                                <w:u w:val="single"/>
                                <w:lang w:val="en-US" w:eastAsia="zh-CN"/>
                              </w:rPr>
                              <w:t>3</w:t>
                            </w:r>
                            <w:r>
                              <w:rPr>
                                <w:highlight w:val="none"/>
                                <w:u w:val="single"/>
                              </w:rPr>
                              <w:t>0</w:t>
                            </w:r>
                            <w:r>
                              <w:rPr>
                                <w:spacing w:val="-27"/>
                                <w:highlight w:val="none"/>
                                <w:u w:val="single"/>
                              </w:rPr>
                              <w:t xml:space="preserve"> 分</w:t>
                            </w:r>
                            <w:r>
                              <w:t>（北京时间） 前递交投标文件。</w:t>
                            </w:r>
                          </w:p>
                        </w:txbxContent>
                      </wps:txbx>
                      <wps:bodyPr vert="horz" lIns="0" tIns="0" rIns="0" bIns="0" anchor="t" anchorCtr="0" upright="1"/>
                    </wps:wsp>
                  </a:graphicData>
                </a:graphic>
              </wp:anchor>
            </w:drawing>
          </mc:Choice>
          <mc:Fallback>
            <w:pict>
              <v:shape id="文本框 2" o:spid="_x0000_s1026" o:spt="202" type="#_x0000_t202" style="position:absolute;left:0pt;margin-left:85.75pt;margin-top:37.3pt;height:74.35pt;width:423.75pt;mso-position-horizontal-relative:page;mso-wrap-distance-bottom:0pt;mso-wrap-distance-top:0pt;z-index:-251652096;mso-width-relative:page;mso-height-relative:page;" filled="f" stroked="t" coordsize="21600,21600" o:gfxdata="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Nm3m2AAAAAsBAAAPAAAAAAAAAAEAIAAAACIAAABkcnMvZG93bnJldi54bWxQSwECFAAU&#10;AAAACACHTuJAEsXSmyoCAABWBAAADgAAAAAAAAABACAAAAAnAQAAZHJzL2Uyb0RvYy54bWxQSwUG&#10;AAAAAAYABgBZAQAAwwUAAAAA&#10;">
                <v:fill on="f" focussize="0,0"/>
                <v:stroke weight="0.48pt" color="#000000" joinstyle="miter"/>
                <v:imagedata o:title=""/>
                <o:lock v:ext="edit" aspectratio="f"/>
                <v:textbox inset="0mm,0mm,0mm,0mm">
                  <w:txbxContent>
                    <w:p>
                      <w:pPr>
                        <w:pStyle w:val="10"/>
                        <w:spacing w:before="129"/>
                        <w:ind w:left="500"/>
                      </w:pPr>
                      <w:r>
                        <w:t>项目概况</w:t>
                      </w:r>
                    </w:p>
                    <w:p>
                      <w:pPr>
                        <w:pStyle w:val="10"/>
                        <w:spacing w:before="132" w:line="357" w:lineRule="auto"/>
                        <w:ind w:left="80" w:right="-29" w:firstLine="420"/>
                      </w:pPr>
                      <w:r>
                        <w:rPr>
                          <w:rFonts w:hint="default" w:ascii="宋体" w:hAnsi="宋体" w:eastAsia="宋体" w:cs="宋体"/>
                          <w:spacing w:val="0"/>
                          <w:w w:val="100"/>
                          <w:u w:val="single"/>
                          <w:lang w:eastAsia="zh-CN"/>
                        </w:rPr>
                        <w:t>兰溪市第一次水旱灾害风险普查项目</w:t>
                      </w:r>
                      <w:r>
                        <w:t>的潜在投标人通过</w:t>
                      </w:r>
                      <w:r>
                        <w:rPr>
                          <w:spacing w:val="1"/>
                          <w:u w:val="single"/>
                        </w:rPr>
                        <w:t>政采云</w:t>
                      </w:r>
                      <w:r>
                        <w:rPr>
                          <w:spacing w:val="-6"/>
                        </w:rPr>
                        <w:t xml:space="preserve">获取招标文件，并于 </w:t>
                      </w:r>
                      <w:r>
                        <w:rPr>
                          <w:u w:val="single"/>
                        </w:rPr>
                        <w:t>2021</w:t>
                      </w:r>
                      <w:r>
                        <w:rPr>
                          <w:spacing w:val="-35"/>
                          <w:u w:val="single"/>
                        </w:rPr>
                        <w:t xml:space="preserve"> 年</w:t>
                      </w:r>
                      <w:r>
                        <w:rPr>
                          <w:rFonts w:hint="eastAsia"/>
                          <w:spacing w:val="-35"/>
                          <w:highlight w:val="none"/>
                          <w:u w:val="single"/>
                          <w:lang w:val="en-US" w:eastAsia="zh-CN"/>
                        </w:rPr>
                        <w:t xml:space="preserve"> 8 </w:t>
                      </w:r>
                      <w:r>
                        <w:rPr>
                          <w:spacing w:val="-36"/>
                          <w:highlight w:val="none"/>
                          <w:u w:val="single"/>
                        </w:rPr>
                        <w:t xml:space="preserve">月 </w:t>
                      </w:r>
                      <w:r>
                        <w:rPr>
                          <w:rFonts w:hint="eastAsia"/>
                          <w:highlight w:val="none"/>
                          <w:u w:val="single"/>
                          <w:lang w:val="en-US" w:eastAsia="zh-CN"/>
                        </w:rPr>
                        <w:t>18</w:t>
                      </w:r>
                      <w:r>
                        <w:rPr>
                          <w:spacing w:val="-36"/>
                          <w:highlight w:val="none"/>
                          <w:u w:val="single"/>
                        </w:rPr>
                        <w:t xml:space="preserve"> 日 </w:t>
                      </w:r>
                      <w:r>
                        <w:rPr>
                          <w:rFonts w:hint="eastAsia"/>
                          <w:highlight w:val="none"/>
                          <w:u w:val="single"/>
                          <w:lang w:val="en-US" w:eastAsia="zh-CN"/>
                        </w:rPr>
                        <w:t>09</w:t>
                      </w:r>
                      <w:r>
                        <w:rPr>
                          <w:spacing w:val="-35"/>
                          <w:highlight w:val="none"/>
                          <w:u w:val="single"/>
                        </w:rPr>
                        <w:t xml:space="preserve"> </w:t>
                      </w:r>
                      <w:r>
                        <w:rPr>
                          <w:rFonts w:hint="eastAsia"/>
                          <w:spacing w:val="-35"/>
                          <w:highlight w:val="none"/>
                          <w:u w:val="single"/>
                          <w:lang w:eastAsia="zh-CN"/>
                        </w:rPr>
                        <w:t>时</w:t>
                      </w:r>
                      <w:r>
                        <w:rPr>
                          <w:spacing w:val="-35"/>
                          <w:highlight w:val="none"/>
                          <w:u w:val="single"/>
                        </w:rPr>
                        <w:t xml:space="preserve"> </w:t>
                      </w:r>
                      <w:r>
                        <w:rPr>
                          <w:rFonts w:hint="eastAsia"/>
                          <w:highlight w:val="none"/>
                          <w:u w:val="single"/>
                          <w:lang w:val="en-US" w:eastAsia="zh-CN"/>
                        </w:rPr>
                        <w:t>3</w:t>
                      </w:r>
                      <w:r>
                        <w:rPr>
                          <w:highlight w:val="none"/>
                          <w:u w:val="single"/>
                        </w:rPr>
                        <w:t>0</w:t>
                      </w:r>
                      <w:r>
                        <w:rPr>
                          <w:spacing w:val="-27"/>
                          <w:highlight w:val="none"/>
                          <w:u w:val="single"/>
                        </w:rPr>
                        <w:t xml:space="preserve"> 分</w:t>
                      </w:r>
                      <w:r>
                        <w:t>（北京时间） 前递交投标文件。</w:t>
                      </w:r>
                    </w:p>
                  </w:txbxContent>
                </v:textbox>
                <w10:wrap type="topAndBottom"/>
              </v:shape>
            </w:pict>
          </mc:Fallback>
        </mc:AlternateContent>
      </w:r>
      <w:bookmarkStart w:id="1" w:name="第一章 招标公告"/>
      <w:bookmarkEnd w:id="1"/>
      <w:r>
        <w:t>第一章 招标公告</w:t>
      </w:r>
    </w:p>
    <w:p>
      <w:pPr>
        <w:pStyle w:val="10"/>
        <w:spacing w:before="6"/>
        <w:rPr>
          <w:b/>
          <w:sz w:val="18"/>
        </w:rPr>
      </w:pPr>
    </w:p>
    <w:p>
      <w:pPr>
        <w:pStyle w:val="8"/>
        <w:adjustRightInd w:val="0"/>
        <w:snapToGrid w:val="0"/>
        <w:spacing w:line="360" w:lineRule="auto"/>
        <w:ind w:left="0" w:leftChars="0" w:firstLine="422" w:firstLineChars="200"/>
      </w:pPr>
      <w:r>
        <w:t>一、项目基本情况</w:t>
      </w:r>
    </w:p>
    <w:p>
      <w:pPr>
        <w:pStyle w:val="10"/>
        <w:adjustRightInd w:val="0"/>
        <w:snapToGrid w:val="0"/>
        <w:spacing w:line="360" w:lineRule="auto"/>
        <w:ind w:left="0" w:leftChars="0" w:firstLine="420" w:firstLineChars="200"/>
        <w:rPr>
          <w:rFonts w:hint="eastAsia" w:eastAsia="宋体"/>
          <w:lang w:eastAsia="zh-CN"/>
        </w:rPr>
      </w:pPr>
      <w:r>
        <w:t>项目编号：</w:t>
      </w:r>
      <w:r>
        <w:rPr>
          <w:rFonts w:hint="eastAsia"/>
          <w:lang w:eastAsia="zh-CN"/>
        </w:rPr>
        <w:t>HZZY2021-GK-051</w:t>
      </w:r>
    </w:p>
    <w:p>
      <w:pPr>
        <w:pStyle w:val="10"/>
        <w:adjustRightInd w:val="0"/>
        <w:snapToGrid w:val="0"/>
        <w:spacing w:before="0" w:line="360" w:lineRule="auto"/>
        <w:ind w:left="0" w:leftChars="0" w:right="0" w:firstLine="420" w:firstLineChars="200"/>
        <w:rPr>
          <w:rFonts w:hint="eastAsia" w:eastAsia="宋体"/>
          <w:lang w:eastAsia="zh-CN"/>
        </w:rPr>
      </w:pPr>
      <w:r>
        <w:t>项目名称：</w:t>
      </w:r>
      <w:r>
        <w:rPr>
          <w:rFonts w:hint="eastAsia"/>
          <w:lang w:eastAsia="zh-CN"/>
        </w:rPr>
        <w:t>兰溪市第一次水旱灾害风险普查项目</w:t>
      </w:r>
    </w:p>
    <w:p>
      <w:pPr>
        <w:pStyle w:val="10"/>
        <w:adjustRightInd w:val="0"/>
        <w:snapToGrid w:val="0"/>
        <w:spacing w:line="360" w:lineRule="auto"/>
        <w:ind w:left="0" w:leftChars="0" w:right="0" w:firstLine="420" w:firstLineChars="200"/>
      </w:pPr>
      <w:r>
        <w:t>预算金额：</w:t>
      </w:r>
      <w:r>
        <w:rPr>
          <w:rFonts w:hint="eastAsia"/>
          <w:lang w:val="en-US" w:eastAsia="zh-CN"/>
        </w:rPr>
        <w:t>400</w:t>
      </w:r>
      <w:r>
        <w:t>.00 万元</w:t>
      </w:r>
    </w:p>
    <w:p>
      <w:pPr>
        <w:pStyle w:val="10"/>
        <w:adjustRightInd w:val="0"/>
        <w:snapToGrid w:val="0"/>
        <w:spacing w:line="360" w:lineRule="auto"/>
        <w:ind w:left="0" w:leftChars="0" w:right="0" w:firstLine="420" w:firstLineChars="200"/>
      </w:pPr>
      <w:r>
        <w:t>最高限价：</w:t>
      </w:r>
      <w:r>
        <w:rPr>
          <w:rFonts w:hint="eastAsia"/>
          <w:lang w:val="en-US" w:eastAsia="zh-CN"/>
        </w:rPr>
        <w:t>400</w:t>
      </w:r>
      <w:r>
        <w:t>.00 万元</w:t>
      </w:r>
    </w:p>
    <w:p>
      <w:pPr>
        <w:pStyle w:val="10"/>
        <w:adjustRightInd w:val="0"/>
        <w:snapToGrid w:val="0"/>
        <w:spacing w:before="0" w:line="360" w:lineRule="auto"/>
        <w:ind w:left="0" w:leftChars="0" w:firstLine="420" w:firstLineChars="200"/>
      </w:pPr>
      <w:r>
        <w:t>采购需求：具体要求详见招标文件《第三章》</w:t>
      </w:r>
    </w:p>
    <w:p>
      <w:pPr>
        <w:pStyle w:val="10"/>
        <w:adjustRightInd w:val="0"/>
        <w:snapToGrid w:val="0"/>
        <w:spacing w:before="0" w:line="360" w:lineRule="auto"/>
        <w:ind w:left="0" w:leftChars="0" w:right="0" w:firstLine="420" w:firstLineChars="200"/>
        <w:rPr>
          <w:rFonts w:hint="eastAsia" w:ascii="宋体" w:hAnsi="宋体" w:eastAsia="宋体" w:cs="宋体"/>
          <w:w w:val="100"/>
          <w:lang w:eastAsia="zh-CN"/>
        </w:rPr>
      </w:pPr>
      <w:r>
        <w:rPr>
          <w:rFonts w:ascii="宋体" w:hAnsi="宋体" w:eastAsia="宋体" w:cs="宋体"/>
          <w:w w:val="100"/>
        </w:rPr>
        <w:t>合同履行期限：具体要求详见招标文</w:t>
      </w:r>
      <w:r>
        <w:rPr>
          <w:rFonts w:hint="eastAsia" w:ascii="宋体" w:hAnsi="宋体" w:eastAsia="宋体" w:cs="宋体"/>
          <w:w w:val="100"/>
          <w:lang w:eastAsia="zh-CN"/>
        </w:rPr>
        <w:t>件</w:t>
      </w:r>
      <w:r>
        <w:rPr>
          <w:rFonts w:ascii="宋体" w:hAnsi="宋体" w:eastAsia="宋体" w:cs="宋体"/>
          <w:w w:val="100"/>
        </w:rPr>
        <w:t>《第三章》</w:t>
      </w:r>
    </w:p>
    <w:p>
      <w:pPr>
        <w:pStyle w:val="10"/>
        <w:adjustRightInd w:val="0"/>
        <w:snapToGrid w:val="0"/>
        <w:spacing w:before="0" w:line="360" w:lineRule="auto"/>
        <w:ind w:left="0" w:right="0" w:firstLine="420" w:firstLineChars="200"/>
      </w:pPr>
      <w:r>
        <w:t>本项目不接受联合体投标。</w:t>
      </w:r>
    </w:p>
    <w:p>
      <w:pPr>
        <w:pStyle w:val="8"/>
        <w:adjustRightInd w:val="0"/>
        <w:snapToGrid w:val="0"/>
        <w:spacing w:before="0" w:line="360" w:lineRule="auto"/>
        <w:ind w:left="0" w:firstLine="422" w:firstLineChars="200"/>
      </w:pPr>
      <w:r>
        <w:t>二、申请人的资格要求：</w:t>
      </w:r>
    </w:p>
    <w:p>
      <w:pPr>
        <w:pStyle w:val="20"/>
        <w:numPr>
          <w:ilvl w:val="-1"/>
          <w:numId w:val="0"/>
        </w:numPr>
        <w:tabs>
          <w:tab w:val="left" w:pos="440"/>
        </w:tabs>
        <w:adjustRightInd w:val="0"/>
        <w:snapToGrid w:val="0"/>
        <w:spacing w:before="0" w:after="0" w:line="360" w:lineRule="auto"/>
        <w:ind w:left="0" w:right="0" w:firstLine="420" w:firstLineChars="200"/>
        <w:jc w:val="left"/>
        <w:rPr>
          <w:sz w:val="21"/>
        </w:rPr>
      </w:pPr>
      <w:r>
        <w:rPr>
          <w:rFonts w:hint="eastAsia"/>
          <w:sz w:val="21"/>
          <w:lang w:val="en-US" w:eastAsia="zh-CN"/>
        </w:rPr>
        <w:t>1.</w:t>
      </w:r>
      <w:r>
        <w:rPr>
          <w:sz w:val="21"/>
        </w:rPr>
        <w:t>满足《中华人民共和国政府采购法》第二十二条规定；</w:t>
      </w:r>
    </w:p>
    <w:p>
      <w:pPr>
        <w:pStyle w:val="20"/>
        <w:numPr>
          <w:ilvl w:val="-1"/>
          <w:numId w:val="0"/>
        </w:numPr>
        <w:tabs>
          <w:tab w:val="left" w:pos="440"/>
        </w:tabs>
        <w:adjustRightInd w:val="0"/>
        <w:snapToGrid w:val="0"/>
        <w:spacing w:before="0" w:after="0" w:line="360" w:lineRule="auto"/>
        <w:ind w:left="0" w:leftChars="0" w:right="0" w:firstLine="420" w:firstLineChars="200"/>
        <w:jc w:val="left"/>
        <w:rPr>
          <w:sz w:val="21"/>
        </w:rPr>
      </w:pPr>
      <w:r>
        <w:rPr>
          <w:rFonts w:hint="eastAsia"/>
          <w:sz w:val="21"/>
          <w:lang w:val="en-US" w:eastAsia="zh-CN"/>
        </w:rPr>
        <w:t>2.</w:t>
      </w:r>
      <w:r>
        <w:rPr>
          <w:sz w:val="21"/>
        </w:rPr>
        <w:t>截</w:t>
      </w:r>
      <w:r>
        <w:rPr>
          <w:rFonts w:ascii="宋体" w:hAnsi="宋体" w:eastAsia="宋体" w:cs="宋体"/>
          <w:spacing w:val="-3"/>
          <w:sz w:val="21"/>
        </w:rPr>
        <w:t>至投标截止时间前，投标人未被列入“信用中国”网(</w:t>
      </w:r>
      <w:r>
        <w:rPr>
          <w:rFonts w:ascii="宋体" w:hAnsi="宋体" w:eastAsia="宋体" w:cs="宋体"/>
          <w:spacing w:val="-3"/>
          <w:sz w:val="21"/>
        </w:rPr>
        <w:fldChar w:fldCharType="begin"/>
      </w:r>
      <w:r>
        <w:rPr>
          <w:rFonts w:ascii="宋体" w:hAnsi="宋体" w:eastAsia="宋体" w:cs="宋体"/>
          <w:spacing w:val="-3"/>
          <w:sz w:val="21"/>
        </w:rPr>
        <w:instrText xml:space="preserve"> HYPERLINK "http://www.creditchina.gov.cn/" \h </w:instrText>
      </w:r>
      <w:r>
        <w:rPr>
          <w:rFonts w:ascii="宋体" w:hAnsi="宋体" w:eastAsia="宋体" w:cs="宋体"/>
          <w:spacing w:val="-3"/>
          <w:sz w:val="21"/>
        </w:rPr>
        <w:fldChar w:fldCharType="separate"/>
      </w:r>
      <w:r>
        <w:rPr>
          <w:rFonts w:ascii="宋体" w:hAnsi="宋体" w:eastAsia="宋体" w:cs="宋体"/>
          <w:spacing w:val="-3"/>
          <w:sz w:val="21"/>
        </w:rPr>
        <w:t>www.creditchina.gov.cn</w:t>
      </w:r>
      <w:r>
        <w:rPr>
          <w:rFonts w:ascii="宋体" w:hAnsi="宋体" w:eastAsia="宋体" w:cs="宋体"/>
          <w:spacing w:val="-3"/>
          <w:sz w:val="21"/>
        </w:rPr>
        <w:fldChar w:fldCharType="end"/>
      </w:r>
      <w:r>
        <w:rPr>
          <w:rFonts w:ascii="宋体" w:hAnsi="宋体" w:eastAsia="宋体" w:cs="宋体"/>
          <w:spacing w:val="-3"/>
          <w:sz w:val="21"/>
        </w:rPr>
        <w:t xml:space="preserve">) </w:t>
      </w:r>
      <w:r>
        <w:rPr>
          <w:rFonts w:ascii="宋体" w:hAnsi="宋体" w:eastAsia="宋体" w:cs="宋体"/>
          <w:spacing w:val="-3"/>
          <w:w w:val="100"/>
          <w:sz w:val="21"/>
        </w:rPr>
        <w:t>和“中国政府采购网”（</w:t>
      </w:r>
      <w:r>
        <w:rPr>
          <w:rFonts w:ascii="宋体" w:hAnsi="宋体" w:eastAsia="宋体" w:cs="宋体"/>
          <w:spacing w:val="-3"/>
          <w:sz w:val="21"/>
        </w:rPr>
        <w:fldChar w:fldCharType="begin"/>
      </w:r>
      <w:r>
        <w:rPr>
          <w:rFonts w:ascii="宋体" w:hAnsi="宋体" w:eastAsia="宋体" w:cs="宋体"/>
          <w:spacing w:val="-3"/>
          <w:sz w:val="21"/>
        </w:rPr>
        <w:instrText xml:space="preserve"> HYPERLINK "http://www.ccgp.gov.cn/" \h </w:instrText>
      </w:r>
      <w:r>
        <w:rPr>
          <w:rFonts w:ascii="宋体" w:hAnsi="宋体" w:eastAsia="宋体" w:cs="宋体"/>
          <w:spacing w:val="-3"/>
          <w:sz w:val="21"/>
        </w:rPr>
        <w:fldChar w:fldCharType="separate"/>
      </w:r>
      <w:r>
        <w:rPr>
          <w:rFonts w:ascii="宋体" w:hAnsi="宋体" w:eastAsia="宋体" w:cs="宋体"/>
          <w:spacing w:val="-3"/>
          <w:w w:val="100"/>
          <w:sz w:val="21"/>
        </w:rPr>
        <w:t>www.ccgp.gov.cn</w:t>
      </w:r>
      <w:r>
        <w:rPr>
          <w:rFonts w:ascii="宋体" w:hAnsi="宋体" w:eastAsia="宋体" w:cs="宋体"/>
          <w:spacing w:val="-3"/>
          <w:w w:val="100"/>
          <w:sz w:val="21"/>
        </w:rPr>
        <w:fldChar w:fldCharType="end"/>
      </w:r>
      <w:r>
        <w:rPr>
          <w:rFonts w:ascii="宋体" w:hAnsi="宋体" w:eastAsia="宋体" w:cs="宋体"/>
          <w:spacing w:val="-3"/>
          <w:w w:val="100"/>
          <w:sz w:val="21"/>
        </w:rPr>
        <w:t>）失信被执行人、重大税收违法案件当事人名单、</w:t>
      </w:r>
      <w:r>
        <w:rPr>
          <w:spacing w:val="-3"/>
          <w:sz w:val="21"/>
        </w:rPr>
        <w:t>政府采购严重违法失信行为记录名单的；</w:t>
      </w:r>
    </w:p>
    <w:p>
      <w:pPr>
        <w:pStyle w:val="20"/>
        <w:numPr>
          <w:ilvl w:val="-1"/>
          <w:numId w:val="0"/>
        </w:numPr>
        <w:tabs>
          <w:tab w:val="left" w:pos="440"/>
        </w:tabs>
        <w:adjustRightInd w:val="0"/>
        <w:snapToGrid w:val="0"/>
        <w:spacing w:before="0" w:after="0" w:line="360" w:lineRule="auto"/>
        <w:ind w:left="0" w:leftChars="0" w:right="0" w:firstLine="420" w:firstLineChars="200"/>
        <w:jc w:val="both"/>
        <w:rPr>
          <w:rFonts w:hint="eastAsia" w:eastAsia="宋体"/>
          <w:sz w:val="21"/>
          <w:lang w:eastAsia="zh-CN"/>
        </w:rPr>
      </w:pPr>
      <w:r>
        <w:rPr>
          <w:rFonts w:hint="eastAsia"/>
          <w:sz w:val="21"/>
          <w:lang w:val="en-US" w:eastAsia="zh-CN"/>
        </w:rPr>
        <w:t>3.</w:t>
      </w:r>
      <w:r>
        <w:rPr>
          <w:sz w:val="21"/>
        </w:rPr>
        <w:t>落实政府采购政策需满足的资格要求：对符</w:t>
      </w:r>
      <w:r>
        <w:rPr>
          <w:rFonts w:ascii="宋体" w:hAnsi="宋体" w:eastAsia="宋体" w:cs="宋体"/>
          <w:sz w:val="21"/>
        </w:rPr>
        <w:t>合财政扶持政策的中小企业（小型、微</w:t>
      </w:r>
      <w:r>
        <w:rPr>
          <w:rFonts w:ascii="宋体" w:hAnsi="宋体" w:eastAsia="宋体" w:cs="宋体"/>
          <w:w w:val="100"/>
          <w:sz w:val="21"/>
        </w:rPr>
        <w:t>型</w:t>
      </w:r>
      <w:r>
        <w:rPr>
          <w:rFonts w:ascii="宋体" w:hAnsi="宋体" w:eastAsia="宋体" w:cs="宋体"/>
          <w:spacing w:val="0"/>
          <w:w w:val="100"/>
          <w:sz w:val="21"/>
        </w:rPr>
        <w:t>）、监狱企业、残疾人福利性单位给予价格优惠扶持，执行节能产品政府强制采购和优先</w:t>
      </w:r>
      <w:r>
        <w:rPr>
          <w:rFonts w:ascii="宋体" w:hAnsi="宋体" w:eastAsia="宋体" w:cs="宋体"/>
          <w:spacing w:val="0"/>
          <w:sz w:val="21"/>
        </w:rPr>
        <w:t>采购政策，执行环境标志产品政府优先采购政策</w:t>
      </w:r>
      <w:r>
        <w:rPr>
          <w:rFonts w:hint="eastAsia" w:cs="宋体"/>
          <w:spacing w:val="0"/>
          <w:sz w:val="21"/>
          <w:lang w:eastAsia="zh-CN"/>
        </w:rPr>
        <w:t>；</w:t>
      </w:r>
    </w:p>
    <w:p>
      <w:pPr>
        <w:pStyle w:val="20"/>
        <w:numPr>
          <w:ilvl w:val="-1"/>
          <w:numId w:val="0"/>
        </w:numPr>
        <w:tabs>
          <w:tab w:val="left" w:pos="1284"/>
        </w:tabs>
        <w:adjustRightInd w:val="0"/>
        <w:snapToGrid w:val="0"/>
        <w:spacing w:before="0" w:after="0" w:line="360" w:lineRule="auto"/>
        <w:ind w:left="0" w:right="0" w:firstLine="416" w:firstLineChars="200"/>
        <w:jc w:val="left"/>
        <w:rPr>
          <w:spacing w:val="-1"/>
          <w:sz w:val="21"/>
        </w:rPr>
      </w:pPr>
      <w:r>
        <w:rPr>
          <w:rFonts w:hint="eastAsia"/>
          <w:spacing w:val="-1"/>
          <w:sz w:val="21"/>
          <w:lang w:val="en-US" w:eastAsia="zh-CN"/>
        </w:rPr>
        <w:t>4.</w:t>
      </w:r>
      <w:r>
        <w:rPr>
          <w:spacing w:val="-1"/>
          <w:sz w:val="21"/>
        </w:rPr>
        <w:t xml:space="preserve">本项目的特定资格要求：无； </w:t>
      </w:r>
    </w:p>
    <w:p>
      <w:pPr>
        <w:pStyle w:val="8"/>
        <w:adjustRightInd w:val="0"/>
        <w:snapToGrid w:val="0"/>
        <w:spacing w:before="0" w:line="360" w:lineRule="auto"/>
        <w:ind w:left="0" w:firstLine="422" w:firstLineChars="200"/>
        <w:rPr>
          <w:rFonts w:ascii="宋体" w:hAnsi="宋体" w:eastAsia="宋体" w:cs="宋体"/>
          <w:b/>
          <w:sz w:val="21"/>
        </w:rPr>
      </w:pPr>
      <w:r>
        <w:rPr>
          <w:rFonts w:ascii="宋体" w:hAnsi="宋体" w:eastAsia="宋体" w:cs="宋体"/>
          <w:b/>
          <w:sz w:val="21"/>
        </w:rPr>
        <w:t>三、获取招标文件</w:t>
      </w:r>
    </w:p>
    <w:p>
      <w:pPr>
        <w:pStyle w:val="20"/>
        <w:numPr>
          <w:ilvl w:val="0"/>
          <w:numId w:val="0"/>
        </w:numPr>
        <w:tabs>
          <w:tab w:val="left" w:pos="440"/>
        </w:tabs>
        <w:adjustRightInd w:val="0"/>
        <w:snapToGrid w:val="0"/>
        <w:spacing w:line="360" w:lineRule="auto"/>
        <w:ind w:left="0" w:firstLine="420" w:firstLineChars="200"/>
        <w:rPr>
          <w:rFonts w:hint="eastAsia" w:ascii="宋体" w:hAnsi="宋体" w:eastAsia="宋体" w:cs="宋体"/>
          <w:b w:val="0"/>
          <w:sz w:val="21"/>
          <w:highlight w:val="none"/>
          <w:lang w:val="en-US" w:eastAsia="zh-CN"/>
        </w:rPr>
      </w:pPr>
      <w:r>
        <w:rPr>
          <w:rFonts w:hint="eastAsia" w:ascii="宋体" w:hAnsi="宋体" w:eastAsia="宋体" w:cs="宋体"/>
          <w:b w:val="0"/>
          <w:sz w:val="21"/>
          <w:lang w:val="en-US"/>
        </w:rPr>
        <w:t>1.时间：</w:t>
      </w:r>
      <w:r>
        <w:rPr>
          <w:rFonts w:hint="eastAsia" w:ascii="宋体" w:hAnsi="宋体" w:eastAsia="宋体" w:cs="宋体"/>
          <w:sz w:val="21"/>
          <w:u w:val="none"/>
          <w:lang w:val="en-US"/>
        </w:rPr>
        <w:t>2021 年</w:t>
      </w:r>
      <w:r>
        <w:rPr>
          <w:rFonts w:hint="eastAsia" w:cs="宋体"/>
          <w:sz w:val="21"/>
          <w:u w:val="none"/>
          <w:lang w:val="en-US" w:eastAsia="zh-CN"/>
        </w:rPr>
        <w:t xml:space="preserve"> </w:t>
      </w:r>
      <w:r>
        <w:rPr>
          <w:rFonts w:hint="eastAsia" w:cs="宋体"/>
          <w:sz w:val="21"/>
          <w:highlight w:val="none"/>
          <w:u w:val="none"/>
          <w:lang w:val="en-US" w:eastAsia="zh-CN"/>
        </w:rPr>
        <w:t>7</w:t>
      </w:r>
      <w:r>
        <w:rPr>
          <w:rFonts w:hint="eastAsia" w:ascii="宋体" w:hAnsi="宋体" w:eastAsia="宋体" w:cs="宋体"/>
          <w:sz w:val="21"/>
          <w:highlight w:val="none"/>
          <w:u w:val="none"/>
          <w:lang w:val="en-US"/>
        </w:rPr>
        <w:t xml:space="preserve"> 月</w:t>
      </w:r>
      <w:r>
        <w:rPr>
          <w:rFonts w:hint="eastAsia" w:cs="宋体"/>
          <w:sz w:val="21"/>
          <w:highlight w:val="none"/>
          <w:u w:val="none"/>
          <w:lang w:val="en-US" w:eastAsia="zh-CN"/>
        </w:rPr>
        <w:t xml:space="preserve"> 23 </w:t>
      </w:r>
      <w:r>
        <w:rPr>
          <w:rFonts w:hint="eastAsia" w:ascii="宋体" w:hAnsi="宋体" w:eastAsia="宋体" w:cs="宋体"/>
          <w:sz w:val="21"/>
          <w:highlight w:val="none"/>
          <w:u w:val="none"/>
          <w:lang w:val="en-US"/>
        </w:rPr>
        <w:t>日至 2021 年</w:t>
      </w:r>
      <w:r>
        <w:rPr>
          <w:rFonts w:hint="eastAsia" w:cs="宋体"/>
          <w:sz w:val="21"/>
          <w:highlight w:val="none"/>
          <w:u w:val="none"/>
          <w:lang w:val="en-US" w:eastAsia="zh-CN"/>
        </w:rPr>
        <w:t xml:space="preserve"> 8 </w:t>
      </w:r>
      <w:r>
        <w:rPr>
          <w:rFonts w:hint="eastAsia" w:ascii="宋体" w:hAnsi="宋体" w:eastAsia="宋体" w:cs="宋体"/>
          <w:sz w:val="21"/>
          <w:highlight w:val="none"/>
          <w:u w:val="none"/>
          <w:lang w:val="en-US"/>
        </w:rPr>
        <w:t>月</w:t>
      </w:r>
      <w:r>
        <w:rPr>
          <w:rFonts w:hint="eastAsia" w:cs="宋体"/>
          <w:sz w:val="21"/>
          <w:highlight w:val="none"/>
          <w:u w:val="none"/>
          <w:lang w:val="en-US" w:eastAsia="zh-CN"/>
        </w:rPr>
        <w:t xml:space="preserve"> 18 </w:t>
      </w:r>
      <w:r>
        <w:rPr>
          <w:rFonts w:hint="eastAsia" w:ascii="宋体" w:hAnsi="宋体" w:eastAsia="宋体" w:cs="宋体"/>
          <w:sz w:val="21"/>
          <w:highlight w:val="none"/>
          <w:u w:val="none"/>
          <w:lang w:val="en-US"/>
        </w:rPr>
        <w:t>日</w:t>
      </w:r>
      <w:r>
        <w:rPr>
          <w:rFonts w:hint="eastAsia" w:cs="宋体"/>
          <w:b w:val="0"/>
          <w:sz w:val="21"/>
          <w:highlight w:val="none"/>
          <w:lang w:val="en-US" w:eastAsia="zh-CN"/>
        </w:rPr>
        <w:t>；</w:t>
      </w:r>
    </w:p>
    <w:p>
      <w:pPr>
        <w:pStyle w:val="20"/>
        <w:numPr>
          <w:ilvl w:val="0"/>
          <w:numId w:val="0"/>
        </w:numPr>
        <w:tabs>
          <w:tab w:val="left" w:pos="440"/>
        </w:tabs>
        <w:adjustRightInd w:val="0"/>
        <w:snapToGrid w:val="0"/>
        <w:spacing w:before="0" w:line="360" w:lineRule="auto"/>
        <w:ind w:left="0" w:firstLine="420" w:firstLineChars="200"/>
        <w:rPr>
          <w:rFonts w:hint="eastAsia" w:ascii="宋体" w:hAnsi="宋体" w:eastAsia="宋体" w:cs="宋体"/>
          <w:sz w:val="21"/>
          <w:highlight w:val="none"/>
          <w:lang w:val="en-US"/>
        </w:rPr>
      </w:pPr>
      <w:r>
        <w:rPr>
          <w:rFonts w:hint="eastAsia" w:ascii="宋体" w:hAnsi="宋体" w:eastAsia="宋体" w:cs="宋体"/>
          <w:sz w:val="21"/>
          <w:highlight w:val="none"/>
          <w:lang w:val="en-US"/>
        </w:rPr>
        <w:t>2.获取方式</w:t>
      </w:r>
    </w:p>
    <w:p>
      <w:pPr>
        <w:pStyle w:val="20"/>
        <w:numPr>
          <w:ilvl w:val="0"/>
          <w:numId w:val="0"/>
        </w:numPr>
        <w:tabs>
          <w:tab w:val="left" w:pos="440"/>
        </w:tabs>
        <w:adjustRightInd w:val="0"/>
        <w:snapToGrid w:val="0"/>
        <w:spacing w:before="0" w:line="360" w:lineRule="auto"/>
        <w:ind w:left="0" w:right="0" w:firstLine="420" w:firstLineChars="20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政采云免费获取：潜在投标人登录政采云（https://</w:t>
      </w:r>
      <w:r>
        <w:rPr>
          <w:rFonts w:hint="eastAsia" w:ascii="宋体" w:hAnsi="宋体" w:eastAsia="宋体" w:cs="宋体"/>
          <w:sz w:val="21"/>
          <w:highlight w:val="none"/>
          <w:lang w:val="en-US"/>
        </w:rPr>
        <w:fldChar w:fldCharType="begin"/>
      </w:r>
      <w:r>
        <w:rPr>
          <w:rFonts w:hint="eastAsia" w:ascii="宋体" w:hAnsi="宋体" w:eastAsia="宋体" w:cs="宋体"/>
          <w:sz w:val="21"/>
          <w:highlight w:val="none"/>
          <w:lang w:val="en-US"/>
        </w:rPr>
        <w:instrText xml:space="preserve"> HYPERLINK "http://www.zcygov.cn/" \h </w:instrText>
      </w:r>
      <w:r>
        <w:rPr>
          <w:rFonts w:hint="eastAsia" w:ascii="宋体" w:hAnsi="宋体" w:eastAsia="宋体" w:cs="宋体"/>
          <w:sz w:val="21"/>
          <w:highlight w:val="none"/>
          <w:lang w:val="en-US"/>
        </w:rPr>
        <w:fldChar w:fldCharType="separate"/>
      </w:r>
      <w:r>
        <w:rPr>
          <w:rFonts w:hint="eastAsia" w:ascii="宋体" w:hAnsi="宋体" w:eastAsia="宋体" w:cs="宋体"/>
          <w:sz w:val="21"/>
          <w:highlight w:val="none"/>
          <w:lang w:val="en-US"/>
        </w:rPr>
        <w:t>www.zcygov.cn/</w:t>
      </w:r>
      <w:r>
        <w:rPr>
          <w:rFonts w:hint="eastAsia" w:ascii="宋体" w:hAnsi="宋体" w:eastAsia="宋体" w:cs="宋体"/>
          <w:sz w:val="21"/>
          <w:highlight w:val="none"/>
          <w:lang w:val="en-US"/>
        </w:rPr>
        <w:fldChar w:fldCharType="end"/>
      </w:r>
      <w:r>
        <w:rPr>
          <w:rFonts w:hint="eastAsia" w:ascii="宋体" w:hAnsi="宋体" w:eastAsia="宋体" w:cs="宋体"/>
          <w:sz w:val="21"/>
          <w:highlight w:val="none"/>
          <w:lang w:val="en-US"/>
        </w:rPr>
        <w:t>）平台，在线申</w:t>
      </w:r>
      <w:r>
        <w:rPr>
          <w:rFonts w:hint="eastAsia" w:ascii="宋体" w:hAnsi="宋体" w:eastAsia="宋体" w:cs="宋体"/>
          <w:spacing w:val="0"/>
          <w:w w:val="100"/>
          <w:sz w:val="21"/>
          <w:highlight w:val="none"/>
          <w:lang w:val="en-US"/>
        </w:rPr>
        <w:t>请获取招标文件</w:t>
      </w:r>
      <w:r>
        <w:rPr>
          <w:rFonts w:hint="eastAsia" w:ascii="宋体" w:hAnsi="宋体" w:eastAsia="宋体" w:cs="宋体"/>
          <w:w w:val="100"/>
          <w:sz w:val="21"/>
          <w:highlight w:val="none"/>
          <w:lang w:val="en-US"/>
        </w:rPr>
        <w:t>（</w:t>
      </w:r>
      <w:r>
        <w:rPr>
          <w:rFonts w:hint="eastAsia" w:ascii="宋体" w:hAnsi="宋体" w:eastAsia="宋体" w:cs="宋体"/>
          <w:spacing w:val="0"/>
          <w:w w:val="100"/>
          <w:sz w:val="21"/>
          <w:highlight w:val="none"/>
          <w:lang w:val="en-US"/>
        </w:rPr>
        <w:t>进入“项目采购”菜单，在获取招标文件菜单中选择项目，申请获取招标</w:t>
      </w:r>
      <w:r>
        <w:rPr>
          <w:rFonts w:hint="eastAsia" w:ascii="宋体" w:hAnsi="宋体" w:eastAsia="宋体" w:cs="宋体"/>
          <w:spacing w:val="0"/>
          <w:sz w:val="21"/>
          <w:highlight w:val="none"/>
          <w:lang w:val="en-US"/>
        </w:rPr>
        <w:t>文件）。</w:t>
      </w:r>
    </w:p>
    <w:p>
      <w:pPr>
        <w:pStyle w:val="8"/>
        <w:adjustRightInd w:val="0"/>
        <w:snapToGrid w:val="0"/>
        <w:spacing w:before="0" w:line="360" w:lineRule="auto"/>
        <w:ind w:left="0" w:firstLine="438" w:firstLineChars="209"/>
        <w:rPr>
          <w:rFonts w:hint="eastAsia" w:ascii="宋体" w:hAnsi="宋体" w:eastAsia="宋体" w:cs="宋体"/>
          <w:b w:val="0"/>
          <w:bCs w:val="0"/>
          <w:spacing w:val="0"/>
          <w:sz w:val="21"/>
          <w:szCs w:val="22"/>
          <w:highlight w:val="none"/>
          <w:lang w:val="en-US" w:eastAsia="zh-CN"/>
        </w:rPr>
      </w:pPr>
      <w:r>
        <w:rPr>
          <w:rFonts w:hint="eastAsia" w:ascii="宋体" w:hAnsi="宋体" w:eastAsia="宋体" w:cs="宋体"/>
          <w:b w:val="0"/>
          <w:bCs w:val="0"/>
          <w:sz w:val="21"/>
          <w:szCs w:val="22"/>
          <w:highlight w:val="none"/>
          <w:lang w:val="en-US"/>
        </w:rPr>
        <w:t>注：本次招标采取开标后资格审查，招标代理机构不保证所有已提交资料获取文件的</w:t>
      </w:r>
      <w:r>
        <w:rPr>
          <w:rFonts w:hint="eastAsia" w:ascii="宋体" w:hAnsi="宋体" w:eastAsia="宋体" w:cs="宋体"/>
          <w:b w:val="0"/>
          <w:bCs w:val="0"/>
          <w:spacing w:val="0"/>
          <w:w w:val="100"/>
          <w:sz w:val="21"/>
          <w:szCs w:val="22"/>
          <w:highlight w:val="none"/>
          <w:lang w:val="en-US"/>
        </w:rPr>
        <w:t>潜在投标人都符合资格要求。请潜在投标人在参加投标前自行随时关注项目的更正公告情</w:t>
      </w:r>
      <w:r>
        <w:rPr>
          <w:rFonts w:hint="eastAsia" w:ascii="宋体" w:hAnsi="宋体" w:eastAsia="宋体" w:cs="宋体"/>
          <w:b w:val="0"/>
          <w:bCs w:val="0"/>
          <w:spacing w:val="0"/>
          <w:sz w:val="21"/>
          <w:szCs w:val="22"/>
          <w:highlight w:val="none"/>
          <w:lang w:val="en-US"/>
        </w:rPr>
        <w:t>况</w:t>
      </w:r>
      <w:r>
        <w:rPr>
          <w:rFonts w:hint="eastAsia" w:ascii="宋体" w:hAnsi="宋体" w:eastAsia="宋体" w:cs="宋体"/>
          <w:b w:val="0"/>
          <w:bCs w:val="0"/>
          <w:spacing w:val="0"/>
          <w:sz w:val="21"/>
          <w:szCs w:val="22"/>
          <w:highlight w:val="none"/>
          <w:lang w:val="en-US" w:eastAsia="zh-CN"/>
        </w:rPr>
        <w:t>。</w:t>
      </w:r>
    </w:p>
    <w:p>
      <w:pPr>
        <w:pStyle w:val="8"/>
        <w:adjustRightInd w:val="0"/>
        <w:snapToGrid w:val="0"/>
        <w:spacing w:before="0" w:line="360" w:lineRule="auto"/>
        <w:ind w:left="0" w:firstLine="422" w:firstLineChars="200"/>
        <w:rPr>
          <w:rFonts w:ascii="宋体" w:hAnsi="宋体" w:eastAsia="宋体" w:cs="宋体"/>
          <w:highlight w:val="none"/>
        </w:rPr>
      </w:pPr>
      <w:r>
        <w:rPr>
          <w:rFonts w:ascii="宋体" w:hAnsi="宋体" w:eastAsia="宋体" w:cs="宋体"/>
          <w:highlight w:val="none"/>
        </w:rPr>
        <w:t>四、提交投标文件截止时间、开标时间和地点</w:t>
      </w:r>
    </w:p>
    <w:p>
      <w:pPr>
        <w:pStyle w:val="8"/>
        <w:adjustRightInd w:val="0"/>
        <w:snapToGrid w:val="0"/>
        <w:spacing w:line="360" w:lineRule="auto"/>
        <w:ind w:left="0" w:firstLine="422" w:firstLineChars="200"/>
        <w:rPr>
          <w:b w:val="0"/>
          <w:highlight w:val="none"/>
        </w:rPr>
      </w:pPr>
      <w:r>
        <w:rPr>
          <w:highlight w:val="none"/>
          <w:u w:val="single"/>
        </w:rPr>
        <w:t>2021年</w:t>
      </w:r>
      <w:r>
        <w:rPr>
          <w:rFonts w:hint="eastAsia"/>
          <w:highlight w:val="none"/>
          <w:u w:val="single"/>
          <w:lang w:val="en-US" w:eastAsia="zh-CN"/>
        </w:rPr>
        <w:t xml:space="preserve"> 8 </w:t>
      </w:r>
      <w:r>
        <w:rPr>
          <w:highlight w:val="none"/>
          <w:u w:val="single"/>
        </w:rPr>
        <w:t>月</w:t>
      </w:r>
      <w:r>
        <w:rPr>
          <w:rFonts w:hint="eastAsia"/>
          <w:highlight w:val="none"/>
          <w:u w:val="single"/>
          <w:lang w:val="en-US" w:eastAsia="zh-CN"/>
        </w:rPr>
        <w:t xml:space="preserve"> 18 </w:t>
      </w:r>
      <w:r>
        <w:rPr>
          <w:highlight w:val="none"/>
          <w:u w:val="single"/>
        </w:rPr>
        <w:t>日</w:t>
      </w:r>
      <w:r>
        <w:rPr>
          <w:rFonts w:hint="eastAsia"/>
          <w:highlight w:val="none"/>
          <w:u w:val="single"/>
          <w:lang w:val="en-US" w:eastAsia="zh-CN"/>
        </w:rPr>
        <w:t xml:space="preserve"> 09 </w:t>
      </w:r>
      <w:r>
        <w:rPr>
          <w:rFonts w:hint="eastAsia"/>
          <w:highlight w:val="none"/>
          <w:u w:val="single"/>
          <w:lang w:eastAsia="zh-CN"/>
        </w:rPr>
        <w:t>时</w:t>
      </w:r>
      <w:r>
        <w:rPr>
          <w:highlight w:val="none"/>
          <w:u w:val="single"/>
        </w:rPr>
        <w:t xml:space="preserve"> </w:t>
      </w:r>
      <w:r>
        <w:rPr>
          <w:rFonts w:hint="eastAsia"/>
          <w:highlight w:val="none"/>
          <w:u w:val="single"/>
          <w:lang w:val="en-US" w:eastAsia="zh-CN"/>
        </w:rPr>
        <w:t>30</w:t>
      </w:r>
      <w:r>
        <w:rPr>
          <w:highlight w:val="none"/>
          <w:u w:val="single"/>
        </w:rPr>
        <w:t xml:space="preserve"> 分</w:t>
      </w:r>
      <w:r>
        <w:rPr>
          <w:b w:val="0"/>
          <w:highlight w:val="none"/>
        </w:rPr>
        <w:t>（北京时间）</w:t>
      </w:r>
    </w:p>
    <w:p>
      <w:pPr>
        <w:pStyle w:val="8"/>
        <w:ind w:left="0" w:firstLine="422" w:firstLineChars="200"/>
        <w:rPr>
          <w:rFonts w:hint="eastAsia" w:ascii="宋体" w:hAnsi="宋体" w:eastAsia="宋体" w:cs="宋体"/>
          <w:b w:val="0"/>
          <w:bCs w:val="0"/>
          <w:szCs w:val="22"/>
          <w:lang w:val="en-US"/>
        </w:rPr>
        <w:sectPr>
          <w:footerReference r:id="rId5" w:type="default"/>
          <w:pgSz w:w="11910" w:h="16840"/>
          <w:pgMar w:top="1417" w:right="1417" w:bottom="1417" w:left="1417" w:header="0" w:footer="993" w:gutter="0"/>
          <w:pgNumType w:start="1"/>
          <w:cols w:space="720" w:num="1"/>
        </w:sectPr>
      </w:pPr>
      <w:r>
        <w:t>地点：兰溪市公共资源交易中心（</w:t>
      </w:r>
      <w:r>
        <w:rPr>
          <w:spacing w:val="-15"/>
          <w:highlight w:val="none"/>
        </w:rPr>
        <w:t>振兴路</w:t>
      </w:r>
      <w:r>
        <w:rPr>
          <w:highlight w:val="none"/>
        </w:rPr>
        <w:t>500</w:t>
      </w:r>
      <w:r>
        <w:rPr>
          <w:spacing w:val="-8"/>
          <w:highlight w:val="none"/>
        </w:rPr>
        <w:t>号裙房四楼开标室</w:t>
      </w:r>
      <w:r>
        <w:t>）</w:t>
      </w:r>
    </w:p>
    <w:p>
      <w:pPr>
        <w:pStyle w:val="8"/>
        <w:adjustRightInd w:val="0"/>
        <w:snapToGrid w:val="0"/>
        <w:spacing w:before="0" w:line="360" w:lineRule="auto"/>
        <w:ind w:left="0" w:firstLine="883" w:firstLineChars="419"/>
        <w:rPr>
          <w:rFonts w:ascii="宋体" w:hAnsi="宋体" w:eastAsia="宋体" w:cs="宋体"/>
          <w:b/>
        </w:rPr>
      </w:pPr>
      <w:r>
        <w:rPr>
          <w:rFonts w:ascii="宋体" w:hAnsi="宋体" w:eastAsia="宋体" w:cs="宋体"/>
          <w:b/>
        </w:rPr>
        <w:t>五、公告期限</w:t>
      </w:r>
    </w:p>
    <w:p>
      <w:pPr>
        <w:pStyle w:val="20"/>
        <w:numPr>
          <w:ilvl w:val="0"/>
          <w:numId w:val="0"/>
        </w:numPr>
        <w:tabs>
          <w:tab w:val="left" w:pos="440"/>
        </w:tabs>
        <w:adjustRightInd w:val="0"/>
        <w:snapToGrid w:val="0"/>
        <w:spacing w:before="0" w:line="360" w:lineRule="auto"/>
        <w:ind w:left="440" w:leftChars="200" w:right="330" w:rightChars="150" w:firstLine="420" w:firstLineChars="200"/>
        <w:jc w:val="left"/>
        <w:rPr>
          <w:rFonts w:hint="eastAsia" w:ascii="宋体" w:hAnsi="宋体" w:eastAsia="宋体" w:cs="宋体"/>
          <w:sz w:val="21"/>
          <w:lang w:val="en-US"/>
        </w:rPr>
      </w:pPr>
      <w:r>
        <w:rPr>
          <w:rFonts w:hint="eastAsia" w:ascii="宋体" w:hAnsi="宋体" w:eastAsia="宋体" w:cs="宋体"/>
          <w:spacing w:val="0"/>
          <w:sz w:val="21"/>
          <w:lang w:val="en-US"/>
        </w:rPr>
        <w:t xml:space="preserve">自本公告发布之日起 </w:t>
      </w:r>
      <w:r>
        <w:rPr>
          <w:rFonts w:hint="eastAsia" w:ascii="宋体" w:hAnsi="宋体" w:eastAsia="宋体" w:cs="宋体"/>
          <w:sz w:val="21"/>
          <w:lang w:val="en-US"/>
        </w:rPr>
        <w:t>5</w:t>
      </w:r>
      <w:r>
        <w:rPr>
          <w:rFonts w:hint="eastAsia" w:ascii="宋体" w:hAnsi="宋体" w:eastAsia="宋体" w:cs="宋体"/>
          <w:spacing w:val="0"/>
          <w:sz w:val="21"/>
          <w:lang w:val="en-US"/>
        </w:rPr>
        <w:t xml:space="preserve"> 个工作日。投标人认为招标文件使自己的权益受到损害的，可以自获取招标文件之日</w:t>
      </w:r>
      <w:r>
        <w:rPr>
          <w:rFonts w:hint="eastAsia" w:ascii="宋体" w:hAnsi="宋体" w:eastAsia="宋体" w:cs="宋体"/>
          <w:sz w:val="21"/>
          <w:lang w:val="en-US"/>
        </w:rPr>
        <w:t>（招标文件公告期限届满之后获取招标文件的以公告期限届满之日起计算</w:t>
      </w:r>
      <w:r>
        <w:rPr>
          <w:rFonts w:hint="eastAsia" w:ascii="宋体" w:hAnsi="宋体" w:eastAsia="宋体" w:cs="宋体"/>
          <w:spacing w:val="0"/>
          <w:sz w:val="21"/>
          <w:lang w:val="en-US"/>
        </w:rPr>
        <w:t xml:space="preserve">）起 </w:t>
      </w:r>
      <w:r>
        <w:rPr>
          <w:rFonts w:hint="eastAsia" w:ascii="宋体" w:hAnsi="宋体" w:eastAsia="宋体" w:cs="宋体"/>
          <w:sz w:val="21"/>
          <w:lang w:val="en-US"/>
        </w:rPr>
        <w:t>7</w:t>
      </w:r>
      <w:r>
        <w:rPr>
          <w:rFonts w:hint="eastAsia" w:ascii="宋体" w:hAnsi="宋体" w:eastAsia="宋体" w:cs="宋体"/>
          <w:spacing w:val="0"/>
          <w:sz w:val="21"/>
          <w:lang w:val="en-US"/>
        </w:rPr>
        <w:t xml:space="preserve"> 个工作日内，以书面形式向采购人和招标代理机构提出质疑，逾期提出不予受理。</w:t>
      </w:r>
    </w:p>
    <w:p>
      <w:pPr>
        <w:pStyle w:val="8"/>
        <w:adjustRightInd w:val="0"/>
        <w:snapToGrid w:val="0"/>
        <w:spacing w:before="0" w:line="360" w:lineRule="auto"/>
        <w:ind w:left="0" w:firstLine="843" w:firstLineChars="400"/>
        <w:rPr>
          <w:rFonts w:hint="eastAsia" w:ascii="宋体" w:hAnsi="宋体" w:eastAsia="宋体" w:cs="宋体"/>
          <w:lang w:val="en-US"/>
        </w:rPr>
      </w:pPr>
      <w:r>
        <w:rPr>
          <w:rFonts w:hint="eastAsia" w:ascii="宋体" w:hAnsi="宋体" w:eastAsia="宋体" w:cs="宋体"/>
          <w:lang w:val="en-US"/>
        </w:rPr>
        <w:t>六、其他补充事宜</w:t>
      </w:r>
    </w:p>
    <w:p>
      <w:pPr>
        <w:pStyle w:val="20"/>
        <w:numPr>
          <w:ilvl w:val="0"/>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z w:val="21"/>
          <w:lang w:val="en-US"/>
        </w:rPr>
      </w:pPr>
      <w:r>
        <w:rPr>
          <w:rFonts w:hint="eastAsia" w:ascii="宋体" w:hAnsi="宋体" w:eastAsia="宋体" w:cs="宋体"/>
          <w:b w:val="0"/>
          <w:spacing w:val="0"/>
          <w:w w:val="100"/>
          <w:sz w:val="21"/>
          <w:lang w:val="en-US"/>
        </w:rPr>
        <w:t>本项目实行电子投标，投标供应商应按照本项目采购文件和政采云平台的要求编制</w:t>
      </w:r>
      <w:r>
        <w:rPr>
          <w:rFonts w:hint="eastAsia" w:ascii="宋体" w:hAnsi="宋体" w:eastAsia="宋体" w:cs="宋体"/>
          <w:b w:val="0"/>
          <w:spacing w:val="0"/>
          <w:w w:val="100"/>
          <w:sz w:val="21"/>
          <w:lang w:val="en-US" w:eastAsia="zh-CN"/>
        </w:rPr>
        <w:t>、</w:t>
      </w:r>
      <w:r>
        <w:rPr>
          <w:rFonts w:hint="eastAsia" w:ascii="宋体" w:hAnsi="宋体" w:eastAsia="宋体" w:cs="宋体"/>
          <w:b w:val="0"/>
          <w:spacing w:val="0"/>
          <w:sz w:val="21"/>
          <w:lang w:val="en-US"/>
        </w:rPr>
        <w:t>加密并递交响应文件。</w:t>
      </w:r>
      <w:r>
        <w:rPr>
          <w:rFonts w:hint="eastAsia" w:ascii="宋体" w:hAnsi="宋体" w:eastAsia="宋体" w:cs="宋体"/>
          <w:spacing w:val="0"/>
          <w:sz w:val="21"/>
          <w:lang w:val="en-US"/>
        </w:rPr>
        <w:t>供应商在使用系统进行投标的过程中遇到涉及平台使用的任何问题，可致电政采云平台技术支持热线咨询，联系方式：400-881-7190。</w:t>
      </w:r>
    </w:p>
    <w:p>
      <w:pPr>
        <w:pStyle w:val="20"/>
        <w:numPr>
          <w:ilvl w:val="0"/>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z w:val="21"/>
          <w:lang w:val="en-US"/>
        </w:rPr>
      </w:pPr>
      <w:r>
        <w:rPr>
          <w:rFonts w:hint="eastAsia" w:ascii="宋体" w:hAnsi="宋体" w:eastAsia="宋体" w:cs="宋体"/>
          <w:sz w:val="21"/>
          <w:lang w:val="en-US"/>
        </w:rPr>
        <w:t>投标人应在开标前完成 CA</w:t>
      </w:r>
      <w:r>
        <w:rPr>
          <w:rFonts w:hint="eastAsia" w:ascii="宋体" w:hAnsi="宋体" w:eastAsia="宋体" w:cs="宋体"/>
          <w:spacing w:val="0"/>
          <w:sz w:val="21"/>
          <w:lang w:val="en-US"/>
        </w:rPr>
        <w:t xml:space="preserve"> 数字证书办理。</w:t>
      </w:r>
      <w:r>
        <w:rPr>
          <w:rFonts w:hint="eastAsia" w:ascii="宋体" w:hAnsi="宋体" w:eastAsia="宋体" w:cs="宋体"/>
          <w:sz w:val="21"/>
          <w:lang w:val="en-US"/>
        </w:rPr>
        <w:t>（办理流程详见：</w:t>
      </w:r>
    </w:p>
    <w:p>
      <w:pPr>
        <w:pStyle w:val="20"/>
        <w:numPr>
          <w:ilvl w:val="0"/>
          <w:numId w:val="0"/>
        </w:numPr>
        <w:tabs>
          <w:tab w:val="left" w:pos="440"/>
        </w:tabs>
        <w:adjustRightInd w:val="0"/>
        <w:snapToGrid w:val="0"/>
        <w:spacing w:before="0" w:line="360" w:lineRule="auto"/>
        <w:ind w:left="440" w:leftChars="200" w:right="330" w:rightChars="150" w:firstLineChars="200"/>
        <w:rPr>
          <w:rFonts w:hint="eastAsia" w:ascii="宋体" w:hAnsi="宋体" w:eastAsia="宋体" w:cs="宋体"/>
          <w:sz w:val="21"/>
          <w:lang w:val="en-US"/>
        </w:rPr>
      </w:pPr>
      <w:r>
        <w:rPr>
          <w:rFonts w:hint="eastAsia" w:ascii="宋体" w:hAnsi="宋体" w:eastAsia="宋体" w:cs="宋体"/>
          <w:sz w:val="21"/>
          <w:lang w:val="en-US"/>
        </w:rPr>
        <w:fldChar w:fldCharType="begin"/>
      </w:r>
      <w:r>
        <w:rPr>
          <w:rFonts w:hint="eastAsia" w:ascii="宋体" w:hAnsi="宋体" w:eastAsia="宋体" w:cs="宋体"/>
          <w:sz w:val="21"/>
          <w:lang w:val="en-US"/>
        </w:rPr>
        <w:instrText xml:space="preserve"> HYPERLINK "http://zfcg.czt.zj.gov.cn/bidClientTemplate/2019-05-27/12945.html" \h </w:instrText>
      </w:r>
      <w:r>
        <w:rPr>
          <w:rFonts w:hint="eastAsia" w:ascii="宋体" w:hAnsi="宋体" w:eastAsia="宋体" w:cs="宋体"/>
          <w:sz w:val="21"/>
          <w:lang w:val="en-US"/>
        </w:rPr>
        <w:fldChar w:fldCharType="separate"/>
      </w:r>
      <w:r>
        <w:rPr>
          <w:rFonts w:hint="eastAsia" w:ascii="宋体" w:hAnsi="宋体" w:eastAsia="宋体" w:cs="宋体"/>
          <w:sz w:val="21"/>
          <w:lang w:val="en-US"/>
        </w:rPr>
        <w:t>http://zfcg.czt.zj.gov.cn/bidClientTemplate/2019-05-27/12945.html</w:t>
      </w:r>
      <w:r>
        <w:rPr>
          <w:rFonts w:hint="eastAsia" w:ascii="宋体" w:hAnsi="宋体" w:eastAsia="宋体" w:cs="宋体"/>
          <w:sz w:val="21"/>
          <w:lang w:val="en-US"/>
        </w:rPr>
        <w:fldChar w:fldCharType="end"/>
      </w:r>
      <w:r>
        <w:rPr>
          <w:rFonts w:hint="eastAsia" w:ascii="宋体" w:hAnsi="宋体" w:eastAsia="宋体" w:cs="宋体"/>
          <w:sz w:val="21"/>
          <w:lang w:val="en-US"/>
        </w:rPr>
        <w:t>）。完成 CA 数字证书办理预计一周左右，建议各投标人抓紧时间办理。</w:t>
      </w:r>
    </w:p>
    <w:p>
      <w:pPr>
        <w:pStyle w:val="20"/>
        <w:numPr>
          <w:ilvl w:val="0"/>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z w:val="21"/>
          <w:lang w:val="en-US"/>
        </w:rPr>
      </w:pPr>
      <w:r>
        <w:rPr>
          <w:rFonts w:hint="eastAsia" w:ascii="宋体" w:hAnsi="宋体" w:eastAsia="宋体" w:cs="宋体"/>
          <w:spacing w:val="0"/>
          <w:w w:val="100"/>
          <w:sz w:val="21"/>
          <w:lang w:val="en-US"/>
        </w:rPr>
        <w:t>投标人通过政采云平台“电子交易客户端”制作响应文件，电子投标工具请供应商自</w:t>
      </w:r>
      <w:r>
        <w:rPr>
          <w:rFonts w:hint="eastAsia" w:ascii="宋体" w:hAnsi="宋体" w:eastAsia="宋体" w:cs="宋体"/>
          <w:spacing w:val="0"/>
          <w:sz w:val="21"/>
          <w:lang w:val="en-US"/>
        </w:rPr>
        <w:t>行前往浙江省政府采购网下载并安装，（下载网址：</w:t>
      </w:r>
    </w:p>
    <w:p>
      <w:pPr>
        <w:pStyle w:val="20"/>
        <w:numPr>
          <w:ilvl w:val="0"/>
          <w:numId w:val="0"/>
        </w:numPr>
        <w:tabs>
          <w:tab w:val="left" w:pos="440"/>
        </w:tabs>
        <w:adjustRightInd w:val="0"/>
        <w:snapToGrid w:val="0"/>
        <w:spacing w:line="360" w:lineRule="auto"/>
        <w:ind w:left="440" w:leftChars="200" w:right="330" w:rightChars="150" w:firstLine="420" w:firstLineChars="200"/>
        <w:rPr>
          <w:rFonts w:hint="eastAsia" w:ascii="宋体" w:hAnsi="宋体" w:eastAsia="宋体" w:cs="宋体"/>
          <w:sz w:val="21"/>
          <w:lang w:val="en-US"/>
        </w:rPr>
      </w:pPr>
      <w:r>
        <w:rPr>
          <w:rFonts w:hint="eastAsia" w:ascii="宋体" w:hAnsi="宋体" w:eastAsia="宋体" w:cs="宋体"/>
          <w:sz w:val="21"/>
          <w:lang w:val="en-US"/>
        </w:rPr>
        <w:fldChar w:fldCharType="begin"/>
      </w:r>
      <w:r>
        <w:rPr>
          <w:rFonts w:hint="eastAsia" w:ascii="宋体" w:hAnsi="宋体" w:eastAsia="宋体" w:cs="宋体"/>
          <w:sz w:val="21"/>
          <w:lang w:val="en-US"/>
        </w:rPr>
        <w:instrText xml:space="preserve"> HYPERLINK "http://zfcg.czt.zj.gov.cn/bidClientTemplate/2019-05-27/12946.html" \h </w:instrText>
      </w:r>
      <w:r>
        <w:rPr>
          <w:rFonts w:hint="eastAsia" w:ascii="宋体" w:hAnsi="宋体" w:eastAsia="宋体" w:cs="宋体"/>
          <w:sz w:val="21"/>
          <w:lang w:val="en-US"/>
        </w:rPr>
        <w:fldChar w:fldCharType="separate"/>
      </w:r>
      <w:r>
        <w:rPr>
          <w:rFonts w:hint="eastAsia" w:ascii="宋体" w:hAnsi="宋体" w:eastAsia="宋体" w:cs="宋体"/>
          <w:sz w:val="21"/>
          <w:lang w:val="en-US"/>
        </w:rPr>
        <w:t>http://zfcg.czt.zj.gov.cn/bidClientTemplate/2019-05-27/12946.html</w:t>
      </w:r>
      <w:r>
        <w:rPr>
          <w:rFonts w:hint="eastAsia" w:ascii="宋体" w:hAnsi="宋体" w:eastAsia="宋体" w:cs="宋体"/>
          <w:sz w:val="21"/>
          <w:lang w:val="en-US"/>
        </w:rPr>
        <w:fldChar w:fldCharType="end"/>
      </w:r>
      <w:r>
        <w:rPr>
          <w:rFonts w:hint="eastAsia" w:ascii="宋体" w:hAnsi="宋体" w:eastAsia="宋体" w:cs="宋体"/>
          <w:sz w:val="21"/>
          <w:lang w:val="en-US"/>
        </w:rPr>
        <w:t>）。</w:t>
      </w:r>
    </w:p>
    <w:p>
      <w:pPr>
        <w:pStyle w:val="20"/>
        <w:numPr>
          <w:ilvl w:val="0"/>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z w:val="21"/>
          <w:lang w:val="en-US"/>
        </w:rPr>
      </w:pPr>
      <w:r>
        <w:rPr>
          <w:rFonts w:hint="eastAsia" w:ascii="宋体" w:hAnsi="宋体" w:eastAsia="宋体" w:cs="宋体"/>
          <w:sz w:val="21"/>
          <w:lang w:val="en-US"/>
        </w:rPr>
        <w:t>投标人将加密的电子版响应文件于投标截止时间前上传到政采云系统中。</w:t>
      </w:r>
    </w:p>
    <w:p>
      <w:pPr>
        <w:pStyle w:val="20"/>
        <w:numPr>
          <w:ilvl w:val="0"/>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z w:val="21"/>
          <w:lang w:val="en-US"/>
        </w:rPr>
      </w:pPr>
      <w:r>
        <w:rPr>
          <w:rFonts w:hint="eastAsia" w:ascii="宋体" w:hAnsi="宋体" w:eastAsia="宋体" w:cs="宋体"/>
          <w:sz w:val="21"/>
          <w:lang w:val="en-US"/>
        </w:rPr>
        <w:t>具体的响应文件加密上传等操作详见政采云平台操作指南。</w:t>
      </w:r>
    </w:p>
    <w:p>
      <w:pPr>
        <w:pStyle w:val="20"/>
        <w:numPr>
          <w:ilvl w:val="0"/>
          <w:numId w:val="0"/>
        </w:numPr>
        <w:tabs>
          <w:tab w:val="left" w:pos="440"/>
        </w:tabs>
        <w:adjustRightInd w:val="0"/>
        <w:snapToGrid w:val="0"/>
        <w:spacing w:line="360" w:lineRule="auto"/>
        <w:ind w:left="440" w:leftChars="200" w:right="330" w:rightChars="150" w:firstLine="420" w:firstLineChars="200"/>
        <w:rPr>
          <w:rFonts w:hint="eastAsia" w:ascii="宋体" w:hAnsi="宋体" w:eastAsia="宋体" w:cs="宋体"/>
          <w:sz w:val="21"/>
          <w:lang w:val="en-US"/>
        </w:rPr>
      </w:pPr>
      <w:r>
        <w:rPr>
          <w:rFonts w:hint="eastAsia" w:ascii="宋体" w:hAnsi="宋体" w:eastAsia="宋体" w:cs="宋体"/>
          <w:sz w:val="21"/>
          <w:lang w:val="en-US"/>
        </w:rPr>
        <w:t>https://edu.zcygov.cn/luban/e-biding?utm=a0004.2ef5001f.0001.0109.da8b35e0da8611e98d8937b7ef8a3544</w:t>
      </w:r>
    </w:p>
    <w:p>
      <w:pPr>
        <w:pStyle w:val="20"/>
        <w:numPr>
          <w:ilvl w:val="0"/>
          <w:numId w:val="0"/>
        </w:numPr>
        <w:tabs>
          <w:tab w:val="left" w:pos="440"/>
        </w:tabs>
        <w:adjustRightInd w:val="0"/>
        <w:snapToGrid w:val="0"/>
        <w:spacing w:line="360" w:lineRule="auto"/>
        <w:ind w:left="440" w:leftChars="200" w:right="330" w:rightChars="150" w:firstLine="420" w:firstLineChars="200"/>
        <w:rPr>
          <w:rFonts w:hint="eastAsia" w:ascii="宋体" w:hAnsi="宋体" w:eastAsia="宋体" w:cs="宋体"/>
          <w:sz w:val="21"/>
          <w:lang w:val="en-US"/>
        </w:rPr>
      </w:pPr>
      <w:r>
        <w:rPr>
          <w:rFonts w:hint="eastAsia" w:ascii="宋体" w:hAnsi="宋体" w:eastAsia="宋体" w:cs="宋体"/>
          <w:sz w:val="21"/>
          <w:lang w:val="en-US"/>
        </w:rPr>
        <w:t>注：建议使用谷歌浏览器，使用其他浏览器可能发生无法解密等未知情况。</w:t>
      </w:r>
    </w:p>
    <w:p>
      <w:pPr>
        <w:pStyle w:val="20"/>
        <w:numPr>
          <w:ilvl w:val="0"/>
          <w:numId w:val="0"/>
        </w:numPr>
        <w:tabs>
          <w:tab w:val="left" w:pos="440"/>
        </w:tabs>
        <w:adjustRightInd w:val="0"/>
        <w:snapToGrid w:val="0"/>
        <w:spacing w:line="360" w:lineRule="auto"/>
        <w:ind w:left="440" w:leftChars="200" w:right="330" w:rightChars="150" w:firstLine="420" w:firstLineChars="200"/>
        <w:rPr>
          <w:rFonts w:hint="eastAsia" w:ascii="宋体" w:hAnsi="宋体" w:eastAsia="宋体" w:cs="宋体"/>
          <w:sz w:val="21"/>
          <w:lang w:val="en-US"/>
        </w:rPr>
      </w:pPr>
      <w:r>
        <w:rPr>
          <w:rFonts w:hint="eastAsia" w:ascii="宋体" w:hAnsi="宋体" w:eastAsia="宋体" w:cs="宋体"/>
          <w:spacing w:val="0"/>
          <w:w w:val="100"/>
          <w:sz w:val="21"/>
          <w:lang w:val="en-US"/>
        </w:rPr>
        <w:t>投标人应当在投标截止时间前完成电子响应文件的传输递交，并可以补充、修改或者撤回电子响应文件。补充或者修改电子响应文件的，应当先行撤回原文件，补充、修改后重新传输递交。投标截止时间前未完成传输的，视为撤回响应文件。投标、响应截止时间后送</w:t>
      </w:r>
      <w:r>
        <w:rPr>
          <w:rFonts w:hint="eastAsia" w:ascii="宋体" w:hAnsi="宋体" w:eastAsia="宋体" w:cs="宋体"/>
          <w:sz w:val="21"/>
          <w:lang w:val="en-US"/>
        </w:rPr>
        <w:t>达的投标、响应文件，将被政采云平台拒收。</w:t>
      </w:r>
    </w:p>
    <w:p>
      <w:pPr>
        <w:pStyle w:val="20"/>
        <w:numPr>
          <w:ilvl w:val="0"/>
          <w:numId w:val="0"/>
        </w:numPr>
        <w:tabs>
          <w:tab w:val="left" w:pos="440"/>
        </w:tabs>
        <w:adjustRightInd w:val="0"/>
        <w:snapToGrid w:val="0"/>
        <w:spacing w:before="0" w:after="0" w:line="360" w:lineRule="auto"/>
        <w:ind w:left="440" w:leftChars="200" w:right="330" w:rightChars="150" w:firstLine="420" w:firstLineChars="200"/>
        <w:jc w:val="left"/>
        <w:rPr>
          <w:b/>
          <w:sz w:val="19"/>
        </w:rPr>
      </w:pPr>
      <w:r>
        <w:rPr>
          <w:rFonts w:hint="eastAsia" w:ascii="宋体" w:hAnsi="宋体" w:eastAsia="宋体" w:cs="宋体"/>
          <w:b w:val="0"/>
          <w:spacing w:val="0"/>
          <w:sz w:val="21"/>
          <w:lang w:val="en-US"/>
        </w:rPr>
        <w:t xml:space="preserve">本项目允许投标人在 </w:t>
      </w:r>
      <w:r>
        <w:rPr>
          <w:rFonts w:hint="eastAsia" w:ascii="宋体" w:hAnsi="宋体" w:eastAsia="宋体" w:cs="宋体"/>
          <w:b w:val="0"/>
          <w:sz w:val="21"/>
          <w:lang w:val="en-US"/>
        </w:rPr>
        <w:t>2021</w:t>
      </w:r>
      <w:r>
        <w:rPr>
          <w:rFonts w:hint="eastAsia" w:ascii="宋体" w:hAnsi="宋体" w:eastAsia="宋体" w:cs="宋体"/>
          <w:b w:val="0"/>
          <w:spacing w:val="0"/>
          <w:sz w:val="21"/>
          <w:lang w:val="en-US"/>
        </w:rPr>
        <w:t xml:space="preserve"> 年</w:t>
      </w:r>
      <w:r>
        <w:rPr>
          <w:rFonts w:hint="eastAsia" w:cs="宋体"/>
          <w:b w:val="0"/>
          <w:spacing w:val="0"/>
          <w:sz w:val="21"/>
          <w:lang w:val="en-US" w:eastAsia="zh-CN"/>
        </w:rPr>
        <w:t xml:space="preserve"> </w:t>
      </w:r>
      <w:r>
        <w:rPr>
          <w:rFonts w:hint="eastAsia" w:cs="宋体"/>
          <w:b w:val="0"/>
          <w:spacing w:val="0"/>
          <w:sz w:val="21"/>
          <w:highlight w:val="none"/>
          <w:lang w:val="en-US" w:eastAsia="zh-CN"/>
        </w:rPr>
        <w:t xml:space="preserve">8 </w:t>
      </w:r>
      <w:r>
        <w:rPr>
          <w:rFonts w:hint="eastAsia" w:ascii="宋体" w:hAnsi="宋体" w:eastAsia="宋体" w:cs="宋体"/>
          <w:b w:val="0"/>
          <w:spacing w:val="0"/>
          <w:sz w:val="21"/>
          <w:highlight w:val="none"/>
          <w:lang w:val="en-US"/>
        </w:rPr>
        <w:t>月</w:t>
      </w:r>
      <w:r>
        <w:rPr>
          <w:rFonts w:hint="eastAsia" w:cs="宋体"/>
          <w:b w:val="0"/>
          <w:spacing w:val="0"/>
          <w:sz w:val="21"/>
          <w:highlight w:val="none"/>
          <w:lang w:val="en-US" w:eastAsia="zh-CN"/>
        </w:rPr>
        <w:t xml:space="preserve"> 16 </w:t>
      </w:r>
      <w:r>
        <w:rPr>
          <w:rFonts w:hint="eastAsia" w:ascii="宋体" w:hAnsi="宋体" w:eastAsia="宋体" w:cs="宋体"/>
          <w:b w:val="0"/>
          <w:spacing w:val="0"/>
          <w:sz w:val="21"/>
          <w:highlight w:val="none"/>
          <w:lang w:val="en-US"/>
        </w:rPr>
        <w:t>日</w:t>
      </w:r>
      <w:r>
        <w:rPr>
          <w:rFonts w:hint="eastAsia" w:ascii="宋体" w:hAnsi="宋体" w:eastAsia="宋体" w:cs="宋体"/>
          <w:b w:val="0"/>
          <w:spacing w:val="0"/>
          <w:sz w:val="21"/>
          <w:lang w:val="en-US"/>
        </w:rPr>
        <w:t xml:space="preserve"> </w:t>
      </w:r>
      <w:r>
        <w:rPr>
          <w:rFonts w:hint="eastAsia" w:ascii="宋体" w:hAnsi="宋体" w:eastAsia="宋体" w:cs="宋体"/>
          <w:b w:val="0"/>
          <w:sz w:val="21"/>
          <w:lang w:val="en-US"/>
        </w:rPr>
        <w:t>17</w:t>
      </w:r>
      <w:r>
        <w:rPr>
          <w:rFonts w:hint="eastAsia" w:ascii="宋体" w:hAnsi="宋体" w:eastAsia="宋体" w:cs="宋体"/>
          <w:b w:val="0"/>
          <w:spacing w:val="0"/>
          <w:sz w:val="21"/>
          <w:lang w:val="en-US"/>
        </w:rPr>
        <w:t xml:space="preserve"> 时前（签收时间）</w:t>
      </w:r>
      <w:r>
        <w:rPr>
          <w:rFonts w:hint="eastAsia" w:ascii="宋体" w:hAnsi="宋体" w:eastAsia="宋体" w:cs="宋体"/>
          <w:b w:val="0"/>
          <w:sz w:val="21"/>
          <w:lang w:val="en-US"/>
        </w:rPr>
        <w:t>以快递邮寄形式或直</w:t>
      </w:r>
      <w:r>
        <w:rPr>
          <w:rFonts w:hint="eastAsia" w:ascii="宋体" w:hAnsi="宋体" w:eastAsia="宋体" w:cs="宋体"/>
          <w:b w:val="0"/>
          <w:spacing w:val="0"/>
          <w:sz w:val="21"/>
          <w:lang w:val="en-US"/>
        </w:rPr>
        <w:t>接送达的方式将备份电子投标文件</w:t>
      </w:r>
      <w:r>
        <w:rPr>
          <w:rFonts w:hint="eastAsia" w:ascii="宋体" w:hAnsi="宋体" w:eastAsia="宋体" w:cs="宋体"/>
          <w:b w:val="0"/>
          <w:sz w:val="21"/>
          <w:lang w:val="en-US"/>
        </w:rPr>
        <w:t>（后缀名为.bfbs，此备份文件为生成电子加密标书时自</w:t>
      </w:r>
      <w:r>
        <w:rPr>
          <w:rFonts w:hint="eastAsia" w:ascii="宋体" w:hAnsi="宋体" w:eastAsia="宋体" w:cs="宋体"/>
          <w:b w:val="0"/>
          <w:spacing w:val="0"/>
          <w:sz w:val="21"/>
          <w:lang w:val="en-US"/>
        </w:rPr>
        <w:t xml:space="preserve">动生成的文件，备份电子投标文件，介质以 </w:t>
      </w:r>
      <w:r>
        <w:rPr>
          <w:rFonts w:hint="eastAsia" w:ascii="宋体" w:hAnsi="宋体" w:eastAsia="宋体" w:cs="宋体"/>
          <w:b w:val="0"/>
          <w:sz w:val="21"/>
          <w:lang w:val="en-US"/>
        </w:rPr>
        <w:t>U</w:t>
      </w:r>
      <w:r>
        <w:rPr>
          <w:rFonts w:hint="eastAsia" w:ascii="宋体" w:hAnsi="宋体" w:eastAsia="宋体" w:cs="宋体"/>
          <w:b w:val="0"/>
          <w:spacing w:val="0"/>
          <w:sz w:val="21"/>
          <w:lang w:val="en-US"/>
        </w:rPr>
        <w:t xml:space="preserve"> 盘的形式）</w:t>
      </w:r>
      <w:r>
        <w:rPr>
          <w:rFonts w:hint="eastAsia" w:ascii="宋体" w:hAnsi="宋体" w:eastAsia="宋体" w:cs="宋体"/>
          <w:b w:val="0"/>
          <w:sz w:val="21"/>
          <w:lang w:val="en-US"/>
        </w:rPr>
        <w:t>送达</w:t>
      </w:r>
      <w:r>
        <w:rPr>
          <w:rFonts w:hint="eastAsia" w:ascii="宋体" w:hAnsi="宋体" w:eastAsia="宋体" w:cs="宋体"/>
          <w:b w:val="0"/>
          <w:sz w:val="21"/>
          <w:lang w:val="en-US" w:eastAsia="zh-CN"/>
        </w:rPr>
        <w:t>杭州中乙信息科技咨询有限公司</w:t>
      </w:r>
      <w:r>
        <w:rPr>
          <w:rFonts w:hint="eastAsia" w:ascii="宋体" w:hAnsi="宋体" w:eastAsia="宋体" w:cs="宋体"/>
          <w:b w:val="0"/>
          <w:sz w:val="21"/>
          <w:lang w:val="en-US"/>
        </w:rPr>
        <w:t>，备</w:t>
      </w:r>
      <w:r>
        <w:rPr>
          <w:rFonts w:hint="eastAsia" w:ascii="宋体" w:hAnsi="宋体" w:eastAsia="宋体" w:cs="宋体"/>
          <w:sz w:val="21"/>
          <w:lang w:val="en-US"/>
        </w:rPr>
        <w:t>份电子投标文件应当密封包装并在包装上标注投标项目名称、投标单位名称并加盖公章。</w:t>
      </w:r>
      <w:r>
        <w:rPr>
          <w:rFonts w:hint="eastAsia" w:ascii="宋体" w:hAnsi="宋体" w:eastAsia="宋体" w:cs="宋体"/>
          <w:spacing w:val="0"/>
          <w:sz w:val="21"/>
          <w:lang w:val="en-US"/>
        </w:rPr>
        <w:t>通过“政府采购云平台”上传递交的“电子加密投标文件”无法按时解密，以备份电子投标文件为依据，否则视为投标无效。备份文件不强制要求提交，未提供造成项目开评标活动无法进行下去的，投标无效，相关风险由投标人自行承担，</w:t>
      </w:r>
      <w:r>
        <w:rPr>
          <w:rFonts w:hint="eastAsia" w:ascii="宋体" w:hAnsi="宋体" w:eastAsia="宋体" w:cs="宋体"/>
          <w:b w:val="0"/>
          <w:spacing w:val="0"/>
          <w:sz w:val="21"/>
          <w:lang w:val="en-US"/>
        </w:rPr>
        <w:t>快递邮寄格式详见附件 1</w:t>
      </w:r>
      <w:r>
        <w:rPr>
          <w:rFonts w:hint="eastAsia" w:ascii="宋体" w:hAnsi="宋体" w:eastAsia="宋体" w:cs="宋体"/>
          <w:b w:val="0"/>
          <w:sz w:val="21"/>
          <w:lang w:val="en-US"/>
        </w:rPr>
        <w:t>。</w:t>
      </w:r>
    </w:p>
    <w:p>
      <w:pPr>
        <w:pStyle w:val="20"/>
        <w:numPr>
          <w:ilvl w:val="-1"/>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pacing w:val="0"/>
          <w:sz w:val="21"/>
          <w:lang w:val="en-US"/>
        </w:rPr>
      </w:pPr>
      <w:r>
        <w:rPr>
          <w:rFonts w:hint="eastAsia" w:ascii="宋体" w:hAnsi="宋体" w:eastAsia="宋体" w:cs="宋体"/>
          <w:spacing w:val="0"/>
          <w:sz w:val="21"/>
          <w:lang w:val="en-US" w:eastAsia="zh-CN"/>
        </w:rPr>
        <w:t>1.</w:t>
      </w:r>
      <w:r>
        <w:rPr>
          <w:rFonts w:hint="eastAsia" w:ascii="宋体" w:hAnsi="宋体" w:eastAsia="宋体" w:cs="宋体"/>
          <w:spacing w:val="0"/>
          <w:sz w:val="21"/>
          <w:lang w:val="en-US"/>
        </w:rPr>
        <w:t xml:space="preserve">投标文件中的授权代表须在开标当日 </w:t>
      </w:r>
      <w:r>
        <w:rPr>
          <w:rFonts w:hint="eastAsia" w:ascii="宋体" w:hAnsi="宋体" w:eastAsia="宋体" w:cs="宋体"/>
          <w:sz w:val="21"/>
          <w:lang w:val="en-US"/>
        </w:rPr>
        <w:t>12:30-13:30</w:t>
      </w:r>
      <w:r>
        <w:rPr>
          <w:rFonts w:hint="eastAsia" w:ascii="宋体" w:hAnsi="宋体" w:eastAsia="宋体" w:cs="宋体"/>
          <w:spacing w:val="0"/>
          <w:sz w:val="21"/>
          <w:lang w:val="en-US"/>
        </w:rPr>
        <w:t xml:space="preserve"> 添加代理机构本项目工作人员钉钉号</w:t>
      </w:r>
      <w:r>
        <w:rPr>
          <w:rFonts w:hint="eastAsia" w:ascii="宋体" w:hAnsi="宋体" w:eastAsia="宋体" w:cs="宋体"/>
          <w:sz w:val="21"/>
          <w:lang w:val="en-US"/>
        </w:rPr>
        <w:t>（</w:t>
      </w:r>
      <w:r>
        <w:rPr>
          <w:rFonts w:hint="eastAsia" w:ascii="宋体" w:hAnsi="宋体" w:eastAsia="宋体" w:cs="宋体"/>
          <w:spacing w:val="0"/>
          <w:sz w:val="21"/>
          <w:lang w:val="en-US"/>
        </w:rPr>
        <w:t xml:space="preserve"> </w:t>
      </w:r>
      <w:r>
        <w:rPr>
          <w:rFonts w:hint="eastAsia" w:ascii="宋体" w:hAnsi="宋体" w:eastAsia="宋体" w:cs="宋体"/>
          <w:b w:val="0"/>
          <w:sz w:val="21"/>
          <w:lang w:val="en-US"/>
        </w:rPr>
        <w:t>钉钉号：</w:t>
      </w:r>
      <w:r>
        <w:rPr>
          <w:rFonts w:hint="eastAsia" w:ascii="宋体" w:hAnsi="宋体" w:eastAsia="宋体" w:cs="宋体"/>
          <w:b w:val="0"/>
          <w:sz w:val="21"/>
          <w:lang w:val="en-US" w:eastAsia="zh-CN"/>
        </w:rPr>
        <w:t>13023887637</w:t>
      </w:r>
      <w:r>
        <w:rPr>
          <w:rFonts w:hint="eastAsia" w:ascii="宋体" w:hAnsi="宋体" w:eastAsia="宋体" w:cs="宋体"/>
          <w:b w:val="0"/>
          <w:spacing w:val="0"/>
          <w:sz w:val="21"/>
          <w:lang w:val="en-US"/>
        </w:rPr>
        <w:t>，添加请备注“</w:t>
      </w:r>
      <w:r>
        <w:rPr>
          <w:rFonts w:hint="eastAsia" w:ascii="宋体" w:hAnsi="宋体" w:eastAsia="宋体" w:cs="宋体"/>
          <w:b w:val="0"/>
          <w:spacing w:val="0"/>
          <w:sz w:val="21"/>
          <w:lang w:val="en-US" w:eastAsia="zh-CN"/>
        </w:rPr>
        <w:t>投标单位名称</w:t>
      </w:r>
      <w:r>
        <w:rPr>
          <w:rFonts w:hint="eastAsia" w:ascii="宋体" w:hAnsi="宋体" w:eastAsia="宋体" w:cs="宋体"/>
          <w:b w:val="0"/>
          <w:spacing w:val="0"/>
          <w:sz w:val="21"/>
          <w:lang w:val="en-US"/>
        </w:rPr>
        <w:t>”</w:t>
      </w:r>
      <w:r>
        <w:rPr>
          <w:rFonts w:hint="eastAsia" w:ascii="宋体" w:hAnsi="宋体" w:eastAsia="宋体" w:cs="宋体"/>
          <w:spacing w:val="0"/>
          <w:sz w:val="21"/>
          <w:lang w:val="en-US"/>
        </w:rPr>
        <w:t>），以方便代理机构现场建立钉钉群，未及时添加或逾期添加将视同认可开标程序，且不得对开标程序提出质疑。</w:t>
      </w:r>
    </w:p>
    <w:p>
      <w:pPr>
        <w:pStyle w:val="20"/>
        <w:numPr>
          <w:ilvl w:val="-1"/>
          <w:numId w:val="0"/>
        </w:numPr>
        <w:tabs>
          <w:tab w:val="left" w:pos="440"/>
        </w:tabs>
        <w:adjustRightInd w:val="0"/>
        <w:snapToGrid w:val="0"/>
        <w:spacing w:before="0" w:after="0" w:line="360" w:lineRule="auto"/>
        <w:ind w:left="440" w:leftChars="200" w:right="330" w:rightChars="150" w:firstLine="420" w:firstLineChars="200"/>
        <w:jc w:val="left"/>
        <w:rPr>
          <w:rFonts w:hint="eastAsia" w:ascii="宋体" w:hAnsi="宋体" w:eastAsia="宋体" w:cs="宋体"/>
          <w:sz w:val="21"/>
          <w:lang w:val="en-US" w:eastAsia="zh-CN"/>
        </w:rPr>
      </w:pPr>
      <w:r>
        <w:rPr>
          <w:rFonts w:hint="eastAsia" w:ascii="宋体" w:hAnsi="宋体" w:eastAsia="宋体" w:cs="宋体"/>
          <w:sz w:val="21"/>
          <w:lang w:val="en-US" w:eastAsia="zh-CN"/>
        </w:rPr>
        <w:t>2.为确保招投标活动的公开、公平、公正，切实维护各方合法权益，凡在招标投标、开标评标过程中，受到敲诈、勒索或发现围标串标、虚假投标、恶意竞标等涉黑涉恶线索者，请及时保留相关证据并向有关部门举报。</w:t>
      </w:r>
    </w:p>
    <w:p>
      <w:pPr>
        <w:pStyle w:val="20"/>
        <w:numPr>
          <w:ilvl w:val="-1"/>
          <w:numId w:val="0"/>
        </w:numPr>
        <w:tabs>
          <w:tab w:val="left" w:pos="440"/>
        </w:tabs>
        <w:adjustRightInd w:val="0"/>
        <w:snapToGrid w:val="0"/>
        <w:spacing w:before="0" w:after="0" w:line="360" w:lineRule="auto"/>
        <w:ind w:left="0" w:leftChars="0" w:right="0" w:rightChars="0" w:firstLine="420" w:firstLineChars="200"/>
        <w:jc w:val="left"/>
        <w:rPr>
          <w:rFonts w:hint="eastAsia" w:ascii="宋体" w:hAnsi="宋体" w:eastAsia="宋体" w:cs="宋体"/>
          <w:sz w:val="21"/>
          <w:lang w:val="en-US" w:eastAsia="zh-CN"/>
        </w:rPr>
      </w:pPr>
      <w:r>
        <w:rPr>
          <w:rFonts w:hint="eastAsia" w:ascii="宋体" w:hAnsi="宋体" w:eastAsia="宋体" w:cs="宋体"/>
          <w:sz w:val="21"/>
          <w:lang w:val="en-US" w:eastAsia="zh-CN"/>
        </w:rPr>
        <w:t>兰溪市扫黑除恶专项斗争领导小组办公室（市委政法委）0579-88888432</w:t>
      </w:r>
    </w:p>
    <w:p>
      <w:pPr>
        <w:pStyle w:val="20"/>
        <w:numPr>
          <w:ilvl w:val="-1"/>
          <w:numId w:val="0"/>
        </w:numPr>
        <w:tabs>
          <w:tab w:val="left" w:pos="440"/>
        </w:tabs>
        <w:adjustRightInd w:val="0"/>
        <w:snapToGrid w:val="0"/>
        <w:spacing w:before="0" w:after="0" w:line="360" w:lineRule="auto"/>
        <w:ind w:left="0" w:leftChars="0" w:right="0" w:rightChars="0" w:firstLine="420" w:firstLineChars="200"/>
        <w:jc w:val="left"/>
        <w:rPr>
          <w:rFonts w:hint="eastAsia" w:ascii="宋体" w:hAnsi="宋体" w:eastAsia="宋体" w:cs="宋体"/>
          <w:sz w:val="21"/>
          <w:lang w:val="en-US" w:eastAsia="zh-CN"/>
        </w:rPr>
      </w:pPr>
      <w:r>
        <w:rPr>
          <w:rFonts w:hint="eastAsia" w:ascii="宋体" w:hAnsi="宋体" w:eastAsia="宋体" w:cs="宋体"/>
          <w:sz w:val="21"/>
          <w:lang w:val="en-US" w:eastAsia="zh-CN"/>
        </w:rPr>
        <w:t>兰溪市纪委（监察）机关：0579-88899324</w:t>
      </w:r>
    </w:p>
    <w:p>
      <w:pPr>
        <w:pStyle w:val="20"/>
        <w:numPr>
          <w:ilvl w:val="-1"/>
          <w:numId w:val="0"/>
        </w:numPr>
        <w:tabs>
          <w:tab w:val="left" w:pos="440"/>
        </w:tabs>
        <w:adjustRightInd w:val="0"/>
        <w:snapToGrid w:val="0"/>
        <w:spacing w:before="0" w:after="0" w:line="360" w:lineRule="auto"/>
        <w:ind w:left="0" w:leftChars="0" w:right="0" w:rightChars="0" w:firstLine="420" w:firstLineChars="200"/>
        <w:jc w:val="left"/>
        <w:rPr>
          <w:rFonts w:hint="eastAsia" w:ascii="宋体" w:hAnsi="宋体" w:eastAsia="宋体" w:cs="宋体"/>
          <w:sz w:val="21"/>
          <w:lang w:val="en-US" w:eastAsia="zh-CN"/>
        </w:rPr>
      </w:pPr>
      <w:r>
        <w:rPr>
          <w:rFonts w:hint="eastAsia" w:ascii="宋体" w:hAnsi="宋体" w:eastAsia="宋体" w:cs="宋体"/>
          <w:sz w:val="21"/>
          <w:lang w:val="en-US" w:eastAsia="zh-CN"/>
        </w:rPr>
        <w:t>兰溪市公安局0579-110</w:t>
      </w:r>
    </w:p>
    <w:p>
      <w:pPr>
        <w:pStyle w:val="20"/>
        <w:numPr>
          <w:ilvl w:val="-1"/>
          <w:numId w:val="0"/>
        </w:numPr>
        <w:tabs>
          <w:tab w:val="left" w:pos="440"/>
        </w:tabs>
        <w:adjustRightInd w:val="0"/>
        <w:snapToGrid w:val="0"/>
        <w:spacing w:before="0" w:after="0" w:line="360" w:lineRule="auto"/>
        <w:ind w:left="0" w:leftChars="0" w:right="0" w:rightChars="0" w:firstLine="420" w:firstLineChars="200"/>
        <w:jc w:val="left"/>
        <w:rPr>
          <w:rFonts w:hint="eastAsia" w:ascii="宋体" w:hAnsi="宋体" w:eastAsia="宋体" w:cs="宋体"/>
          <w:sz w:val="21"/>
          <w:lang w:val="en-US" w:eastAsia="zh-CN"/>
        </w:rPr>
      </w:pPr>
      <w:r>
        <w:rPr>
          <w:rFonts w:hint="eastAsia" w:ascii="宋体" w:hAnsi="宋体" w:eastAsia="宋体" w:cs="宋体"/>
          <w:sz w:val="21"/>
          <w:lang w:val="en-US" w:eastAsia="zh-CN"/>
        </w:rPr>
        <w:t>举报邮箱：</w:t>
      </w:r>
      <w:r>
        <w:rPr>
          <w:rFonts w:hint="eastAsia" w:ascii="宋体" w:hAnsi="宋体" w:eastAsia="宋体" w:cs="宋体"/>
          <w:sz w:val="21"/>
          <w:lang w:val="en-US" w:eastAsia="zh-CN"/>
        </w:rPr>
        <w:fldChar w:fldCharType="begin"/>
      </w:r>
      <w:r>
        <w:rPr>
          <w:rFonts w:hint="eastAsia" w:ascii="宋体" w:hAnsi="宋体" w:eastAsia="宋体" w:cs="宋体"/>
          <w:sz w:val="21"/>
          <w:lang w:val="en-US" w:eastAsia="zh-CN"/>
        </w:rPr>
        <w:instrText xml:space="preserve"> HYPERLINK "mailto:lxspab0579@163.com" </w:instrText>
      </w:r>
      <w:r>
        <w:rPr>
          <w:rFonts w:hint="eastAsia" w:ascii="宋体" w:hAnsi="宋体" w:eastAsia="宋体" w:cs="宋体"/>
          <w:sz w:val="21"/>
          <w:lang w:val="en-US" w:eastAsia="zh-CN"/>
        </w:rPr>
        <w:fldChar w:fldCharType="separate"/>
      </w:r>
      <w:r>
        <w:rPr>
          <w:rFonts w:hint="eastAsia" w:ascii="宋体" w:hAnsi="宋体" w:eastAsia="宋体" w:cs="宋体"/>
          <w:sz w:val="21"/>
          <w:lang w:val="en-US" w:eastAsia="zh-CN"/>
        </w:rPr>
        <w:t>lxspab0579@163.com</w:t>
      </w:r>
      <w:r>
        <w:rPr>
          <w:rFonts w:hint="eastAsia" w:ascii="宋体" w:hAnsi="宋体" w:eastAsia="宋体" w:cs="宋体"/>
          <w:sz w:val="21"/>
          <w:lang w:val="en-US" w:eastAsia="zh-CN"/>
        </w:rPr>
        <w:fldChar w:fldCharType="end"/>
      </w:r>
    </w:p>
    <w:p>
      <w:pPr>
        <w:pStyle w:val="8"/>
        <w:adjustRightInd w:val="0"/>
        <w:snapToGrid w:val="0"/>
        <w:spacing w:before="0" w:line="360" w:lineRule="auto"/>
        <w:ind w:left="0" w:firstLine="422" w:firstLineChars="200"/>
        <w:rPr>
          <w:rFonts w:hint="eastAsia" w:ascii="宋体" w:hAnsi="宋体" w:eastAsia="宋体" w:cs="宋体"/>
          <w:lang w:val="en-US"/>
        </w:rPr>
      </w:pPr>
      <w:r>
        <w:rPr>
          <w:rFonts w:hint="eastAsia" w:ascii="宋体" w:hAnsi="宋体" w:eastAsia="宋体" w:cs="宋体"/>
          <w:lang w:val="en-US"/>
        </w:rPr>
        <w:t>七、对本次招标提出询问，请按以下方式联系。</w:t>
      </w:r>
    </w:p>
    <w:p>
      <w:pPr>
        <w:pStyle w:val="10"/>
        <w:adjustRightInd w:val="0"/>
        <w:snapToGrid w:val="0"/>
        <w:spacing w:line="360" w:lineRule="auto"/>
        <w:ind w:left="0" w:firstLine="420" w:firstLineChars="200"/>
        <w:rPr>
          <w:rFonts w:hint="eastAsia" w:ascii="宋体" w:hAnsi="宋体" w:eastAsia="宋体" w:cs="宋体"/>
          <w:szCs w:val="22"/>
          <w:lang w:val="en-US"/>
        </w:rPr>
      </w:pPr>
      <w:r>
        <w:rPr>
          <w:rFonts w:hint="eastAsia" w:ascii="宋体" w:hAnsi="宋体" w:eastAsia="宋体" w:cs="宋体"/>
          <w:szCs w:val="22"/>
          <w:lang w:val="en-US"/>
        </w:rPr>
        <w:t>（一）采购人信息</w:t>
      </w:r>
    </w:p>
    <w:p>
      <w:pPr>
        <w:pStyle w:val="10"/>
        <w:adjustRightInd w:val="0"/>
        <w:snapToGrid w:val="0"/>
        <w:spacing w:before="0" w:line="360" w:lineRule="auto"/>
        <w:ind w:left="0" w:firstLine="420" w:firstLineChars="200"/>
        <w:rPr>
          <w:rFonts w:hint="eastAsia" w:ascii="宋体" w:hAnsi="宋体" w:eastAsia="宋体" w:cs="宋体"/>
          <w:szCs w:val="22"/>
          <w:lang w:val="en-US"/>
        </w:rPr>
      </w:pPr>
      <w:r>
        <w:rPr>
          <w:rFonts w:hint="eastAsia" w:ascii="宋体" w:hAnsi="宋体" w:eastAsia="宋体" w:cs="宋体"/>
          <w:szCs w:val="22"/>
          <w:lang w:val="en-US"/>
        </w:rPr>
        <w:t>名称：兰溪市水旱灾害防御中心</w:t>
      </w:r>
    </w:p>
    <w:p>
      <w:pPr>
        <w:pStyle w:val="10"/>
        <w:tabs>
          <w:tab w:val="left" w:pos="3014"/>
        </w:tabs>
        <w:adjustRightInd w:val="0"/>
        <w:snapToGrid w:val="0"/>
        <w:spacing w:before="0" w:line="360" w:lineRule="auto"/>
        <w:ind w:left="0" w:firstLine="420" w:firstLineChars="200"/>
        <w:rPr>
          <w:rFonts w:hint="eastAsia" w:ascii="宋体" w:hAnsi="宋体" w:eastAsia="宋体" w:cs="宋体"/>
          <w:szCs w:val="22"/>
          <w:highlight w:val="none"/>
          <w:lang w:val="en-US"/>
        </w:rPr>
      </w:pPr>
      <w:r>
        <w:rPr>
          <w:rFonts w:hint="eastAsia" w:ascii="宋体" w:hAnsi="宋体" w:eastAsia="宋体" w:cs="宋体"/>
          <w:szCs w:val="22"/>
          <w:highlight w:val="none"/>
          <w:lang w:val="en-US"/>
        </w:rPr>
        <w:t>联系人：姜先生</w:t>
      </w:r>
      <w:r>
        <w:rPr>
          <w:rFonts w:hint="eastAsia" w:ascii="宋体" w:hAnsi="宋体" w:eastAsia="宋体" w:cs="宋体"/>
          <w:szCs w:val="22"/>
          <w:highlight w:val="none"/>
          <w:lang w:val="en-US"/>
        </w:rPr>
        <w:tab/>
      </w:r>
      <w:r>
        <w:rPr>
          <w:rFonts w:hint="eastAsia" w:ascii="宋体" w:hAnsi="宋体" w:eastAsia="宋体" w:cs="宋体"/>
          <w:szCs w:val="22"/>
          <w:highlight w:val="none"/>
          <w:lang w:val="en-US"/>
        </w:rPr>
        <w:t>联系电话：18758934012</w:t>
      </w:r>
    </w:p>
    <w:p>
      <w:pPr>
        <w:pStyle w:val="10"/>
        <w:adjustRightInd w:val="0"/>
        <w:snapToGrid w:val="0"/>
        <w:spacing w:before="0" w:line="360" w:lineRule="auto"/>
        <w:ind w:left="0" w:firstLine="420" w:firstLineChars="200"/>
        <w:rPr>
          <w:rFonts w:hint="eastAsia" w:ascii="宋体" w:hAnsi="宋体" w:eastAsia="宋体" w:cs="宋体"/>
          <w:szCs w:val="22"/>
          <w:lang w:val="en-US"/>
        </w:rPr>
      </w:pPr>
      <w:r>
        <w:rPr>
          <w:rFonts w:hint="eastAsia" w:ascii="宋体" w:hAnsi="宋体" w:eastAsia="宋体" w:cs="宋体"/>
          <w:szCs w:val="22"/>
          <w:lang w:val="en-US"/>
        </w:rPr>
        <w:t>（二）采购代理机构信息</w:t>
      </w:r>
    </w:p>
    <w:p>
      <w:pPr>
        <w:pStyle w:val="10"/>
        <w:adjustRightInd w:val="0"/>
        <w:snapToGrid w:val="0"/>
        <w:spacing w:before="0" w:line="360" w:lineRule="auto"/>
        <w:ind w:left="0" w:right="0" w:firstLine="420" w:firstLineChars="200"/>
        <w:rPr>
          <w:rFonts w:hint="eastAsia" w:ascii="宋体" w:hAnsi="宋体" w:eastAsia="宋体" w:cs="宋体"/>
          <w:szCs w:val="22"/>
          <w:lang w:val="en-US" w:eastAsia="zh-CN"/>
        </w:rPr>
      </w:pPr>
      <w:r>
        <w:rPr>
          <w:rFonts w:hint="eastAsia" w:ascii="宋体" w:hAnsi="宋体" w:eastAsia="宋体" w:cs="宋体"/>
          <w:szCs w:val="22"/>
          <w:lang w:val="en-US"/>
        </w:rPr>
        <w:t>名称：</w:t>
      </w:r>
      <w:r>
        <w:rPr>
          <w:rFonts w:hint="eastAsia" w:ascii="宋体" w:hAnsi="宋体" w:eastAsia="宋体" w:cs="宋体"/>
          <w:szCs w:val="22"/>
          <w:lang w:val="en-US" w:eastAsia="zh-CN"/>
        </w:rPr>
        <w:t>杭州中乙信息科技咨询有限公司</w:t>
      </w:r>
    </w:p>
    <w:p>
      <w:pPr>
        <w:pStyle w:val="10"/>
        <w:adjustRightInd w:val="0"/>
        <w:snapToGrid w:val="0"/>
        <w:spacing w:before="0" w:line="360" w:lineRule="auto"/>
        <w:ind w:left="0" w:right="0" w:firstLine="420" w:firstLineChars="200"/>
        <w:rPr>
          <w:rFonts w:hint="default" w:ascii="宋体" w:hAnsi="宋体" w:eastAsia="宋体" w:cs="宋体"/>
          <w:szCs w:val="22"/>
          <w:lang w:val="en-US"/>
        </w:rPr>
      </w:pPr>
      <w:r>
        <w:rPr>
          <w:rFonts w:hint="eastAsia" w:ascii="宋体" w:hAnsi="宋体" w:eastAsia="宋体" w:cs="宋体"/>
          <w:szCs w:val="22"/>
          <w:lang w:val="en-US"/>
        </w:rPr>
        <w:t>联系方式：</w:t>
      </w:r>
      <w:r>
        <w:rPr>
          <w:rFonts w:hint="eastAsia" w:ascii="宋体" w:hAnsi="宋体" w:eastAsia="宋体" w:cs="宋体"/>
          <w:szCs w:val="22"/>
          <w:lang w:val="en-US" w:eastAsia="zh-CN"/>
        </w:rPr>
        <w:t>1989482631</w:t>
      </w:r>
    </w:p>
    <w:p>
      <w:pPr>
        <w:pStyle w:val="10"/>
        <w:numPr>
          <w:ilvl w:val="0"/>
          <w:numId w:val="2"/>
        </w:numPr>
        <w:adjustRightInd w:val="0"/>
        <w:snapToGrid w:val="0"/>
        <w:spacing w:line="360" w:lineRule="auto"/>
        <w:ind w:left="0" w:leftChars="0" w:right="0" w:firstLine="420" w:firstLineChars="200"/>
        <w:rPr>
          <w:rFonts w:hint="eastAsia" w:ascii="宋体" w:hAnsi="宋体" w:eastAsia="宋体" w:cs="宋体"/>
          <w:szCs w:val="22"/>
          <w:lang w:val="en-US"/>
        </w:rPr>
      </w:pPr>
      <w:r>
        <w:rPr>
          <w:rFonts w:hint="eastAsia" w:ascii="宋体" w:hAnsi="宋体" w:eastAsia="宋体" w:cs="宋体"/>
          <w:szCs w:val="22"/>
          <w:lang w:val="en-US"/>
        </w:rPr>
        <w:t>项目联系、质疑联系方式</w:t>
      </w:r>
    </w:p>
    <w:p>
      <w:pPr>
        <w:pStyle w:val="10"/>
        <w:numPr>
          <w:ilvl w:val="-1"/>
          <w:numId w:val="0"/>
        </w:numPr>
        <w:adjustRightInd w:val="0"/>
        <w:snapToGrid w:val="0"/>
        <w:spacing w:line="360" w:lineRule="auto"/>
        <w:ind w:left="0" w:leftChars="0" w:right="0" w:firstLine="420" w:firstLineChars="200"/>
        <w:rPr>
          <w:rFonts w:hint="eastAsia" w:ascii="宋体" w:hAnsi="宋体" w:eastAsia="宋体" w:cs="宋体"/>
          <w:szCs w:val="22"/>
          <w:lang w:val="en-US"/>
        </w:rPr>
      </w:pPr>
      <w:r>
        <w:rPr>
          <w:rFonts w:hint="eastAsia" w:ascii="宋体" w:hAnsi="宋体" w:eastAsia="宋体" w:cs="宋体"/>
          <w:szCs w:val="22"/>
          <w:lang w:val="en-US"/>
        </w:rPr>
        <w:t>项目联系人：</w:t>
      </w:r>
      <w:r>
        <w:rPr>
          <w:rFonts w:hint="eastAsia" w:ascii="宋体" w:hAnsi="宋体" w:eastAsia="宋体" w:cs="宋体"/>
          <w:szCs w:val="22"/>
          <w:lang w:val="en-US" w:eastAsia="zh-CN"/>
        </w:rPr>
        <w:t>陶</w:t>
      </w:r>
      <w:r>
        <w:rPr>
          <w:rFonts w:hint="eastAsia" w:ascii="宋体" w:hAnsi="宋体" w:eastAsia="宋体" w:cs="宋体"/>
          <w:szCs w:val="22"/>
          <w:lang w:val="en-US"/>
        </w:rPr>
        <w:t>先生</w:t>
      </w:r>
    </w:p>
    <w:p>
      <w:pPr>
        <w:pStyle w:val="10"/>
        <w:tabs>
          <w:tab w:val="left" w:pos="1439"/>
        </w:tabs>
        <w:adjustRightInd w:val="0"/>
        <w:snapToGrid w:val="0"/>
        <w:spacing w:before="0" w:line="360" w:lineRule="auto"/>
        <w:ind w:left="0" w:firstLine="420" w:firstLineChars="200"/>
        <w:rPr>
          <w:rFonts w:hint="default" w:ascii="宋体" w:hAnsi="宋体" w:eastAsia="宋体" w:cs="宋体"/>
          <w:szCs w:val="22"/>
          <w:lang w:val="en-US"/>
        </w:rPr>
      </w:pPr>
      <w:r>
        <w:rPr>
          <w:rFonts w:hint="eastAsia" w:ascii="宋体" w:hAnsi="宋体" w:eastAsia="宋体" w:cs="宋体"/>
          <w:szCs w:val="22"/>
          <w:lang w:val="en-US"/>
        </w:rPr>
        <w:t>电</w:t>
      </w:r>
      <w:r>
        <w:rPr>
          <w:rFonts w:hint="eastAsia" w:cs="宋体"/>
          <w:szCs w:val="22"/>
          <w:lang w:val="en-US" w:eastAsia="zh-CN"/>
        </w:rPr>
        <w:t xml:space="preserve">      </w:t>
      </w:r>
      <w:r>
        <w:rPr>
          <w:rFonts w:hint="eastAsia" w:ascii="宋体" w:hAnsi="宋体" w:eastAsia="宋体" w:cs="宋体"/>
          <w:szCs w:val="22"/>
          <w:lang w:val="en-US"/>
        </w:rPr>
        <w:t>话：</w:t>
      </w:r>
      <w:r>
        <w:rPr>
          <w:rFonts w:hint="eastAsia" w:ascii="宋体" w:hAnsi="宋体" w:eastAsia="宋体" w:cs="宋体"/>
          <w:szCs w:val="22"/>
          <w:lang w:val="en-US" w:eastAsia="zh-CN"/>
        </w:rPr>
        <w:t>0571-87171187</w:t>
      </w:r>
    </w:p>
    <w:p>
      <w:pPr>
        <w:pStyle w:val="10"/>
        <w:numPr>
          <w:ilvl w:val="0"/>
          <w:numId w:val="2"/>
        </w:numPr>
        <w:adjustRightInd w:val="0"/>
        <w:snapToGrid w:val="0"/>
        <w:spacing w:before="0" w:line="360" w:lineRule="auto"/>
        <w:ind w:left="0" w:right="0" w:firstLine="420" w:firstLineChars="200"/>
        <w:rPr>
          <w:rFonts w:hint="eastAsia" w:ascii="宋体" w:hAnsi="宋体" w:eastAsia="宋体" w:cs="宋体"/>
          <w:w w:val="100"/>
          <w:szCs w:val="22"/>
          <w:lang w:val="en-US"/>
        </w:rPr>
      </w:pPr>
      <w:r>
        <w:rPr>
          <w:rFonts w:hint="eastAsia" w:ascii="宋体" w:hAnsi="宋体" w:eastAsia="宋体" w:cs="宋体"/>
          <w:w w:val="100"/>
          <w:szCs w:val="22"/>
          <w:lang w:val="en-US"/>
        </w:rPr>
        <w:t xml:space="preserve">政府采购行政监管及投诉受理部门：兰溪市政府采购管理办公室  </w:t>
      </w:r>
    </w:p>
    <w:p>
      <w:pPr>
        <w:pStyle w:val="10"/>
        <w:numPr>
          <w:ilvl w:val="-1"/>
          <w:numId w:val="0"/>
        </w:numPr>
        <w:adjustRightInd w:val="0"/>
        <w:snapToGrid w:val="0"/>
        <w:spacing w:before="0" w:line="360" w:lineRule="auto"/>
        <w:ind w:left="440" w:leftChars="200" w:right="0" w:firstLine="0" w:firstLineChars="0"/>
        <w:rPr>
          <w:rFonts w:hint="eastAsia" w:ascii="宋体" w:hAnsi="宋体" w:eastAsia="宋体" w:cs="宋体"/>
          <w:szCs w:val="22"/>
          <w:lang w:val="en-US"/>
        </w:rPr>
      </w:pPr>
      <w:r>
        <w:rPr>
          <w:rFonts w:hint="eastAsia" w:ascii="宋体" w:hAnsi="宋体" w:eastAsia="宋体" w:cs="宋体"/>
          <w:spacing w:val="0"/>
          <w:szCs w:val="22"/>
          <w:lang w:val="en-US"/>
        </w:rPr>
        <w:t>联系人：楼 影</w:t>
      </w:r>
    </w:p>
    <w:p>
      <w:pPr>
        <w:pStyle w:val="10"/>
        <w:adjustRightInd w:val="0"/>
        <w:snapToGrid w:val="0"/>
        <w:spacing w:before="0" w:line="360" w:lineRule="auto"/>
        <w:ind w:left="0" w:firstLine="420" w:firstLineChars="200"/>
        <w:rPr>
          <w:rFonts w:hint="eastAsia" w:ascii="宋体" w:hAnsi="宋体" w:eastAsia="宋体" w:cs="宋体"/>
          <w:szCs w:val="22"/>
          <w:lang w:val="en-US"/>
        </w:rPr>
      </w:pPr>
      <w:r>
        <w:rPr>
          <w:rFonts w:hint="eastAsia" w:ascii="宋体" w:hAnsi="宋体" w:eastAsia="宋体" w:cs="宋体"/>
          <w:szCs w:val="22"/>
          <w:lang w:val="en-US"/>
        </w:rPr>
        <w:t>联系电话：0579-88903775</w:t>
      </w:r>
    </w:p>
    <w:p>
      <w:pPr>
        <w:pStyle w:val="10"/>
        <w:rPr>
          <w:sz w:val="20"/>
        </w:rPr>
      </w:pPr>
    </w:p>
    <w:p>
      <w:pPr>
        <w:pStyle w:val="10"/>
        <w:rPr>
          <w:sz w:val="20"/>
        </w:rPr>
      </w:pPr>
    </w:p>
    <w:p>
      <w:pPr>
        <w:pStyle w:val="10"/>
        <w:spacing w:before="9"/>
        <w:rPr>
          <w:rFonts w:hint="eastAsia" w:ascii="宋体" w:hAnsi="宋体" w:eastAsia="宋体" w:cs="宋体"/>
          <w:b/>
          <w:bCs/>
          <w:sz w:val="21"/>
          <w:lang w:val="en-US"/>
        </w:rPr>
      </w:pPr>
    </w:p>
    <w:p>
      <w:pPr>
        <w:pStyle w:val="8"/>
        <w:spacing w:before="1" w:line="278" w:lineRule="auto"/>
        <w:ind w:left="440" w:right="738" w:firstLine="420"/>
        <w:rPr>
          <w:rFonts w:hint="eastAsia" w:ascii="宋体" w:hAnsi="宋体" w:eastAsia="宋体" w:cs="宋体"/>
          <w:lang w:val="en-US"/>
        </w:rPr>
      </w:pPr>
      <w:r>
        <w:rPr>
          <w:rFonts w:hint="eastAsia" w:ascii="宋体" w:hAnsi="宋体" w:eastAsia="宋体" w:cs="宋体"/>
          <w:w w:val="100"/>
          <w:lang w:val="en-US"/>
        </w:rPr>
        <w:t>若对项目采购电子交易系统操作有疑问，可登录政采云（https://</w:t>
      </w:r>
      <w:r>
        <w:rPr>
          <w:rFonts w:hint="eastAsia" w:ascii="宋体" w:hAnsi="宋体" w:eastAsia="宋体" w:cs="宋体"/>
          <w:lang w:val="en-US"/>
        </w:rPr>
        <w:fldChar w:fldCharType="begin"/>
      </w:r>
      <w:r>
        <w:rPr>
          <w:rFonts w:hint="eastAsia" w:ascii="宋体" w:hAnsi="宋体" w:eastAsia="宋体" w:cs="宋体"/>
          <w:lang w:val="en-US"/>
        </w:rPr>
        <w:instrText xml:space="preserve"> HYPERLINK "http://www.zcygov.cn/" \h </w:instrText>
      </w:r>
      <w:r>
        <w:rPr>
          <w:rFonts w:hint="eastAsia" w:ascii="宋体" w:hAnsi="宋体" w:eastAsia="宋体" w:cs="宋体"/>
          <w:lang w:val="en-US"/>
        </w:rPr>
        <w:fldChar w:fldCharType="separate"/>
      </w:r>
      <w:r>
        <w:rPr>
          <w:rFonts w:hint="eastAsia" w:ascii="宋体" w:hAnsi="宋体" w:eastAsia="宋体" w:cs="宋体"/>
          <w:w w:val="100"/>
          <w:lang w:val="en-US"/>
        </w:rPr>
        <w:t>www.zcygov.cn/</w:t>
      </w:r>
      <w:r>
        <w:rPr>
          <w:rFonts w:hint="eastAsia" w:ascii="宋体" w:hAnsi="宋体" w:eastAsia="宋体" w:cs="宋体"/>
          <w:w w:val="100"/>
          <w:lang w:val="en-US"/>
        </w:rPr>
        <w:fldChar w:fldCharType="end"/>
      </w:r>
      <w:r>
        <w:rPr>
          <w:rFonts w:hint="eastAsia" w:ascii="宋体" w:hAnsi="宋体" w:eastAsia="宋体" w:cs="宋体"/>
          <w:w w:val="100"/>
          <w:lang w:val="en-US"/>
        </w:rPr>
        <w:t xml:space="preserve">），  </w:t>
      </w:r>
      <w:r>
        <w:rPr>
          <w:rFonts w:hint="eastAsia" w:ascii="宋体" w:hAnsi="宋体" w:eastAsia="宋体" w:cs="宋体"/>
          <w:lang w:val="en-US"/>
        </w:rPr>
        <w:t>点击右侧咨询小采，获取采小蜜智能服务管家帮助，或拨打政采云服务热线 400-881-7190 获取热线服务帮助。</w:t>
      </w:r>
    </w:p>
    <w:p>
      <w:pPr>
        <w:spacing w:after="0" w:line="278" w:lineRule="auto"/>
        <w:sectPr>
          <w:pgSz w:w="11910" w:h="16840"/>
          <w:pgMar w:top="1480" w:right="920" w:bottom="1180" w:left="1200" w:header="0" w:footer="993" w:gutter="0"/>
          <w:cols w:space="720" w:num="1"/>
        </w:sectPr>
      </w:pPr>
    </w:p>
    <w:p>
      <w:pPr>
        <w:pStyle w:val="3"/>
        <w:ind w:left="275"/>
      </w:pPr>
      <w:bookmarkStart w:id="2" w:name="第二章 前附表"/>
      <w:bookmarkEnd w:id="2"/>
      <w:bookmarkStart w:id="3" w:name="_bookmark1"/>
      <w:bookmarkEnd w:id="3"/>
      <w:r>
        <w:t>第二章 前附表</w:t>
      </w:r>
    </w:p>
    <w:tbl>
      <w:tblPr>
        <w:tblStyle w:val="16"/>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8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22" w:type="dxa"/>
          </w:tcPr>
          <w:p>
            <w:pPr>
              <w:pStyle w:val="21"/>
              <w:spacing w:before="84" w:line="265" w:lineRule="exact"/>
              <w:ind w:left="179" w:right="172"/>
              <w:jc w:val="center"/>
              <w:rPr>
                <w:sz w:val="21"/>
              </w:rPr>
            </w:pPr>
            <w:r>
              <w:rPr>
                <w:sz w:val="21"/>
              </w:rPr>
              <w:t>序号</w:t>
            </w:r>
          </w:p>
        </w:tc>
        <w:tc>
          <w:tcPr>
            <w:tcW w:w="8438" w:type="dxa"/>
          </w:tcPr>
          <w:p>
            <w:pPr>
              <w:pStyle w:val="21"/>
              <w:spacing w:before="84" w:line="265" w:lineRule="exact"/>
              <w:ind w:left="3673" w:right="3665"/>
              <w:jc w:val="center"/>
              <w:rPr>
                <w:sz w:val="21"/>
              </w:rPr>
            </w:pPr>
            <w:r>
              <w:rPr>
                <w:sz w:val="21"/>
              </w:rPr>
              <w:t>内容、要求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22" w:type="dxa"/>
            <w:vAlign w:val="center"/>
          </w:tcPr>
          <w:p>
            <w:pPr>
              <w:pStyle w:val="21"/>
              <w:ind w:left="6"/>
              <w:jc w:val="center"/>
              <w:rPr>
                <w:sz w:val="21"/>
              </w:rPr>
            </w:pPr>
            <w:r>
              <w:rPr>
                <w:w w:val="99"/>
                <w:sz w:val="21"/>
              </w:rPr>
              <w:t>1</w:t>
            </w:r>
          </w:p>
        </w:tc>
        <w:tc>
          <w:tcPr>
            <w:tcW w:w="8438" w:type="dxa"/>
            <w:vAlign w:val="center"/>
          </w:tcPr>
          <w:p>
            <w:pPr>
              <w:pStyle w:val="21"/>
              <w:spacing w:line="340" w:lineRule="atLeast"/>
              <w:ind w:left="1157" w:right="97" w:hanging="1049"/>
              <w:jc w:val="left"/>
              <w:rPr>
                <w:sz w:val="21"/>
              </w:rPr>
            </w:pPr>
            <w:r>
              <w:rPr>
                <w:rFonts w:ascii="宋体" w:hAnsi="宋体" w:eastAsia="宋体" w:cs="宋体"/>
                <w:spacing w:val="0"/>
                <w:w w:val="100"/>
                <w:sz w:val="21"/>
              </w:rPr>
              <w:t>项目名称：</w:t>
            </w:r>
            <w:r>
              <w:rPr>
                <w:rFonts w:hint="default" w:ascii="宋体" w:hAnsi="宋体" w:eastAsia="宋体" w:cs="宋体"/>
                <w:spacing w:val="0"/>
                <w:w w:val="100"/>
                <w:sz w:val="21"/>
                <w:lang w:eastAsia="zh-CN"/>
              </w:rPr>
              <w:t>兰溪市第一次水旱灾害风险普查项目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2" w:type="dxa"/>
          </w:tcPr>
          <w:p>
            <w:pPr>
              <w:pStyle w:val="21"/>
              <w:spacing w:before="83" w:line="266" w:lineRule="exact"/>
              <w:ind w:left="6"/>
              <w:jc w:val="center"/>
              <w:rPr>
                <w:sz w:val="21"/>
              </w:rPr>
            </w:pPr>
            <w:r>
              <w:rPr>
                <w:w w:val="99"/>
                <w:sz w:val="21"/>
              </w:rPr>
              <w:t>2</w:t>
            </w:r>
          </w:p>
        </w:tc>
        <w:tc>
          <w:tcPr>
            <w:tcW w:w="8438" w:type="dxa"/>
          </w:tcPr>
          <w:p>
            <w:pPr>
              <w:pStyle w:val="21"/>
              <w:spacing w:before="83" w:line="266" w:lineRule="exact"/>
              <w:ind w:left="108"/>
              <w:rPr>
                <w:sz w:val="21"/>
              </w:rPr>
            </w:pPr>
            <w:r>
              <w:rPr>
                <w:sz w:val="21"/>
              </w:rPr>
              <w:t>采购数量及单位：详见第三章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2" w:type="dxa"/>
          </w:tcPr>
          <w:p>
            <w:pPr>
              <w:pStyle w:val="21"/>
              <w:spacing w:before="8"/>
              <w:rPr>
                <w:b/>
                <w:sz w:val="18"/>
              </w:rPr>
            </w:pPr>
          </w:p>
          <w:p>
            <w:pPr>
              <w:pStyle w:val="21"/>
              <w:ind w:left="6"/>
              <w:jc w:val="center"/>
              <w:rPr>
                <w:sz w:val="21"/>
              </w:rPr>
            </w:pPr>
            <w:r>
              <w:rPr>
                <w:w w:val="99"/>
                <w:sz w:val="21"/>
              </w:rPr>
              <w:t>3</w:t>
            </w:r>
          </w:p>
        </w:tc>
        <w:tc>
          <w:tcPr>
            <w:tcW w:w="8438" w:type="dxa"/>
          </w:tcPr>
          <w:p>
            <w:pPr>
              <w:pStyle w:val="21"/>
              <w:spacing w:before="7" w:line="340" w:lineRule="exact"/>
              <w:ind w:left="108" w:right="97"/>
              <w:rPr>
                <w:sz w:val="21"/>
              </w:rPr>
            </w:pPr>
            <w:r>
              <w:rPr>
                <w:sz w:val="21"/>
              </w:rPr>
              <w:t>投标报价及费用：</w:t>
            </w:r>
            <w:r>
              <w:rPr>
                <w:rFonts w:ascii="Times New Roman" w:eastAsia="Times New Roman"/>
                <w:sz w:val="21"/>
              </w:rPr>
              <w:t>1</w:t>
            </w:r>
            <w:r>
              <w:rPr>
                <w:sz w:val="21"/>
              </w:rPr>
              <w:t>、本项目投标应以人民币形式报价；</w:t>
            </w:r>
            <w:r>
              <w:rPr>
                <w:rFonts w:ascii="Times New Roman" w:eastAsia="Times New Roman"/>
                <w:sz w:val="21"/>
              </w:rPr>
              <w:t>2</w:t>
            </w:r>
            <w:r>
              <w:rPr>
                <w:sz w:val="21"/>
              </w:rPr>
              <w:t>、本项目代理服务费由中标人支付；</w:t>
            </w:r>
            <w:r>
              <w:rPr>
                <w:rFonts w:ascii="Times New Roman" w:eastAsia="Times New Roman"/>
                <w:sz w:val="21"/>
              </w:rPr>
              <w:t>3</w:t>
            </w:r>
            <w:r>
              <w:rPr>
                <w:sz w:val="21"/>
              </w:rPr>
              <w:t>、不论投标结果如何，投标人均应自行承担所有与投标有关的全部费用。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22" w:type="dxa"/>
          </w:tcPr>
          <w:p>
            <w:pPr>
              <w:pStyle w:val="21"/>
              <w:spacing w:before="75" w:line="267" w:lineRule="exact"/>
              <w:ind w:left="6"/>
              <w:jc w:val="center"/>
              <w:rPr>
                <w:sz w:val="21"/>
              </w:rPr>
            </w:pPr>
            <w:r>
              <w:rPr>
                <w:w w:val="99"/>
                <w:sz w:val="21"/>
              </w:rPr>
              <w:t>4</w:t>
            </w:r>
          </w:p>
        </w:tc>
        <w:tc>
          <w:tcPr>
            <w:tcW w:w="8438" w:type="dxa"/>
          </w:tcPr>
          <w:p>
            <w:pPr>
              <w:pStyle w:val="21"/>
              <w:spacing w:before="75" w:line="267" w:lineRule="exact"/>
              <w:ind w:left="108"/>
              <w:rPr>
                <w:sz w:val="21"/>
              </w:rPr>
            </w:pPr>
            <w:r>
              <w:rPr>
                <w:sz w:val="21"/>
              </w:rPr>
              <w:t>现场踏勘：无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2" w:type="dxa"/>
          </w:tcPr>
          <w:p>
            <w:pPr>
              <w:pStyle w:val="21"/>
              <w:spacing w:before="82" w:line="267" w:lineRule="exact"/>
              <w:ind w:left="6"/>
              <w:jc w:val="center"/>
              <w:rPr>
                <w:sz w:val="21"/>
              </w:rPr>
            </w:pPr>
            <w:r>
              <w:rPr>
                <w:w w:val="99"/>
                <w:sz w:val="21"/>
              </w:rPr>
              <w:t>5</w:t>
            </w:r>
          </w:p>
        </w:tc>
        <w:tc>
          <w:tcPr>
            <w:tcW w:w="8438" w:type="dxa"/>
          </w:tcPr>
          <w:p>
            <w:pPr>
              <w:pStyle w:val="21"/>
              <w:spacing w:before="82" w:line="267" w:lineRule="exact"/>
              <w:ind w:left="108"/>
              <w:rPr>
                <w:sz w:val="21"/>
              </w:rPr>
            </w:pPr>
            <w:r>
              <w:rPr>
                <w:sz w:val="21"/>
              </w:rPr>
              <w:t>演示时间及地点：无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822" w:type="dxa"/>
          </w:tcPr>
          <w:p>
            <w:pPr>
              <w:pStyle w:val="21"/>
              <w:rPr>
                <w:b/>
                <w:sz w:val="20"/>
              </w:rPr>
            </w:pPr>
          </w:p>
          <w:p>
            <w:pPr>
              <w:pStyle w:val="21"/>
              <w:rPr>
                <w:b/>
                <w:sz w:val="20"/>
              </w:rPr>
            </w:pPr>
          </w:p>
          <w:p>
            <w:pPr>
              <w:pStyle w:val="21"/>
              <w:rPr>
                <w:b/>
                <w:sz w:val="20"/>
              </w:rPr>
            </w:pPr>
          </w:p>
          <w:p>
            <w:pPr>
              <w:pStyle w:val="21"/>
              <w:spacing w:before="11"/>
              <w:rPr>
                <w:b/>
                <w:sz w:val="24"/>
              </w:rPr>
            </w:pPr>
          </w:p>
          <w:p>
            <w:pPr>
              <w:pStyle w:val="21"/>
              <w:spacing w:before="1"/>
              <w:ind w:left="6"/>
              <w:jc w:val="center"/>
              <w:rPr>
                <w:sz w:val="21"/>
              </w:rPr>
            </w:pPr>
            <w:r>
              <w:rPr>
                <w:w w:val="99"/>
                <w:sz w:val="21"/>
              </w:rPr>
              <w:t>6</w:t>
            </w:r>
          </w:p>
        </w:tc>
        <w:tc>
          <w:tcPr>
            <w:tcW w:w="8438" w:type="dxa"/>
          </w:tcPr>
          <w:p>
            <w:pPr>
              <w:pStyle w:val="21"/>
              <w:spacing w:before="68" w:line="302" w:lineRule="auto"/>
              <w:ind w:left="108" w:right="95"/>
              <w:jc w:val="both"/>
              <w:rPr>
                <w:sz w:val="21"/>
              </w:rPr>
            </w:pPr>
            <w:r>
              <w:rPr>
                <w:sz w:val="21"/>
              </w:rPr>
              <w:t>答疑与澄清：投标人如认为招标文件表述不清晰、存在歧视性、排他性或者其他违法内容</w:t>
            </w:r>
            <w:r>
              <w:rPr>
                <w:spacing w:val="-10"/>
                <w:sz w:val="21"/>
              </w:rPr>
              <w:t xml:space="preserve">的，应当于投标截止时间 </w:t>
            </w:r>
            <w:r>
              <w:rPr>
                <w:rFonts w:ascii="Times New Roman" w:eastAsia="Times New Roman"/>
                <w:sz w:val="21"/>
              </w:rPr>
              <w:t xml:space="preserve">15 </w:t>
            </w:r>
            <w:r>
              <w:rPr>
                <w:spacing w:val="-6"/>
                <w:sz w:val="21"/>
              </w:rPr>
              <w:t>天前，以书面形式要求招标采购单位作出书面解释、澄清或者向招标采购单位提出书面质疑；招标采购单位对已发出的招标文件进行必要澄清、答复、修改或补充的，在财政部门指定的政府采购信息发布媒体上发布更正公告，并以书面形式通知所有招标文件收受人。澄清或者修改的内容可能影响投标文件编制的，应当在投标截</w:t>
            </w:r>
            <w:r>
              <w:rPr>
                <w:spacing w:val="-14"/>
                <w:sz w:val="21"/>
              </w:rPr>
              <w:t xml:space="preserve">止时间至少 </w:t>
            </w:r>
            <w:r>
              <w:rPr>
                <w:rFonts w:ascii="Times New Roman" w:eastAsia="Times New Roman"/>
                <w:sz w:val="21"/>
              </w:rPr>
              <w:t xml:space="preserve">15 </w:t>
            </w:r>
            <w:r>
              <w:rPr>
                <w:spacing w:val="-2"/>
                <w:sz w:val="21"/>
              </w:rPr>
              <w:t xml:space="preserve">日前，以书面形式通知所有获取招标文件的潜在投标人；不足 </w:t>
            </w:r>
            <w:r>
              <w:rPr>
                <w:rFonts w:ascii="Times New Roman" w:eastAsia="Times New Roman"/>
                <w:sz w:val="21"/>
              </w:rPr>
              <w:t xml:space="preserve">15 </w:t>
            </w:r>
            <w:r>
              <w:rPr>
                <w:sz w:val="21"/>
              </w:rPr>
              <w:t>日的，顺延提交投标文件的截止时间。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2" w:type="dxa"/>
          </w:tcPr>
          <w:p>
            <w:pPr>
              <w:pStyle w:val="21"/>
              <w:spacing w:before="83" w:line="266" w:lineRule="exact"/>
              <w:ind w:left="6"/>
              <w:jc w:val="center"/>
              <w:rPr>
                <w:sz w:val="21"/>
              </w:rPr>
            </w:pPr>
            <w:r>
              <w:rPr>
                <w:w w:val="99"/>
                <w:sz w:val="21"/>
              </w:rPr>
              <w:t>7</w:t>
            </w:r>
          </w:p>
        </w:tc>
        <w:tc>
          <w:tcPr>
            <w:tcW w:w="8438" w:type="dxa"/>
          </w:tcPr>
          <w:p>
            <w:pPr>
              <w:pStyle w:val="21"/>
              <w:spacing w:before="83" w:line="266" w:lineRule="exact"/>
              <w:ind w:left="108"/>
              <w:rPr>
                <w:sz w:val="21"/>
                <w:highlight w:val="none"/>
              </w:rPr>
            </w:pPr>
            <w:r>
              <w:rPr>
                <w:sz w:val="21"/>
                <w:highlight w:val="none"/>
              </w:rPr>
              <w:t xml:space="preserve">投标截止时间：2021 年 </w:t>
            </w:r>
            <w:r>
              <w:rPr>
                <w:rFonts w:hint="eastAsia"/>
                <w:sz w:val="21"/>
                <w:highlight w:val="none"/>
                <w:lang w:val="en-US" w:eastAsia="zh-CN"/>
              </w:rPr>
              <w:t>8</w:t>
            </w:r>
            <w:r>
              <w:rPr>
                <w:sz w:val="21"/>
                <w:highlight w:val="none"/>
              </w:rPr>
              <w:t xml:space="preserve"> 月 </w:t>
            </w:r>
            <w:r>
              <w:rPr>
                <w:rFonts w:hint="eastAsia"/>
                <w:sz w:val="21"/>
                <w:highlight w:val="none"/>
                <w:lang w:val="en-US" w:eastAsia="zh-CN"/>
              </w:rPr>
              <w:t>18</w:t>
            </w:r>
            <w:r>
              <w:rPr>
                <w:sz w:val="21"/>
                <w:highlight w:val="none"/>
              </w:rPr>
              <w:t xml:space="preserve"> 日 </w:t>
            </w:r>
            <w:r>
              <w:rPr>
                <w:rFonts w:hint="eastAsia"/>
                <w:sz w:val="21"/>
                <w:highlight w:val="none"/>
                <w:lang w:val="en-US" w:eastAsia="zh-CN"/>
              </w:rPr>
              <w:t>09</w:t>
            </w:r>
            <w:r>
              <w:rPr>
                <w:sz w:val="21"/>
                <w:highlight w:val="none"/>
              </w:rPr>
              <w:t>:</w:t>
            </w:r>
            <w:r>
              <w:rPr>
                <w:rFonts w:hint="eastAsia"/>
                <w:sz w:val="21"/>
                <w:highlight w:val="none"/>
                <w:lang w:val="en-US" w:eastAsia="zh-CN"/>
              </w:rPr>
              <w:t>3</w:t>
            </w:r>
            <w:r>
              <w:rPr>
                <w:sz w:val="21"/>
                <w:highlight w:val="none"/>
              </w:rPr>
              <w:t>0 时整。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2" w:type="dxa"/>
          </w:tcPr>
          <w:p>
            <w:pPr>
              <w:pStyle w:val="21"/>
              <w:spacing w:before="8"/>
              <w:rPr>
                <w:b/>
                <w:sz w:val="18"/>
              </w:rPr>
            </w:pPr>
          </w:p>
          <w:p>
            <w:pPr>
              <w:pStyle w:val="21"/>
              <w:ind w:left="6"/>
              <w:jc w:val="center"/>
              <w:rPr>
                <w:sz w:val="21"/>
              </w:rPr>
            </w:pPr>
            <w:r>
              <w:rPr>
                <w:w w:val="99"/>
                <w:sz w:val="21"/>
              </w:rPr>
              <w:t>8</w:t>
            </w:r>
          </w:p>
        </w:tc>
        <w:tc>
          <w:tcPr>
            <w:tcW w:w="8438" w:type="dxa"/>
          </w:tcPr>
          <w:p>
            <w:pPr>
              <w:pStyle w:val="21"/>
              <w:spacing w:before="6" w:line="340" w:lineRule="exact"/>
              <w:ind w:left="108" w:right="81"/>
              <w:rPr>
                <w:sz w:val="21"/>
                <w:highlight w:val="none"/>
              </w:rPr>
            </w:pPr>
            <w:r>
              <w:rPr>
                <w:spacing w:val="-1"/>
                <w:sz w:val="21"/>
                <w:highlight w:val="none"/>
              </w:rPr>
              <w:t>开标时间及地点：</w:t>
            </w:r>
            <w:r>
              <w:rPr>
                <w:spacing w:val="-3"/>
                <w:sz w:val="21"/>
                <w:highlight w:val="none"/>
              </w:rPr>
              <w:t>2021</w:t>
            </w:r>
            <w:r>
              <w:rPr>
                <w:spacing w:val="-36"/>
                <w:sz w:val="21"/>
                <w:highlight w:val="none"/>
              </w:rPr>
              <w:t xml:space="preserve"> 年</w:t>
            </w:r>
            <w:r>
              <w:rPr>
                <w:sz w:val="21"/>
                <w:highlight w:val="none"/>
              </w:rPr>
              <w:t xml:space="preserve"> </w:t>
            </w:r>
            <w:r>
              <w:rPr>
                <w:rFonts w:hint="eastAsia"/>
                <w:sz w:val="21"/>
                <w:highlight w:val="none"/>
                <w:lang w:val="en-US" w:eastAsia="zh-CN"/>
              </w:rPr>
              <w:t>8</w:t>
            </w:r>
            <w:r>
              <w:rPr>
                <w:sz w:val="21"/>
                <w:highlight w:val="none"/>
              </w:rPr>
              <w:t xml:space="preserve"> 月 </w:t>
            </w:r>
            <w:r>
              <w:rPr>
                <w:rFonts w:hint="eastAsia"/>
                <w:sz w:val="21"/>
                <w:highlight w:val="none"/>
                <w:lang w:val="en-US" w:eastAsia="zh-CN"/>
              </w:rPr>
              <w:t>18</w:t>
            </w:r>
            <w:r>
              <w:rPr>
                <w:sz w:val="21"/>
                <w:highlight w:val="none"/>
              </w:rPr>
              <w:t xml:space="preserve"> 日 </w:t>
            </w:r>
            <w:r>
              <w:rPr>
                <w:rFonts w:hint="eastAsia"/>
                <w:sz w:val="21"/>
                <w:highlight w:val="none"/>
                <w:lang w:val="en-US" w:eastAsia="zh-CN"/>
              </w:rPr>
              <w:t>09</w:t>
            </w:r>
            <w:r>
              <w:rPr>
                <w:sz w:val="21"/>
                <w:highlight w:val="none"/>
              </w:rPr>
              <w:t>:</w:t>
            </w:r>
            <w:r>
              <w:rPr>
                <w:rFonts w:hint="eastAsia"/>
                <w:sz w:val="21"/>
                <w:highlight w:val="none"/>
                <w:lang w:val="en-US" w:eastAsia="zh-CN"/>
              </w:rPr>
              <w:t>3</w:t>
            </w:r>
            <w:r>
              <w:rPr>
                <w:sz w:val="21"/>
                <w:highlight w:val="none"/>
              </w:rPr>
              <w:t>0 时整</w:t>
            </w:r>
            <w:r>
              <w:rPr>
                <w:spacing w:val="-1"/>
                <w:sz w:val="21"/>
                <w:highlight w:val="none"/>
              </w:rPr>
              <w:t>在</w:t>
            </w:r>
            <w:r>
              <w:rPr>
                <w:b/>
                <w:spacing w:val="-2"/>
                <w:sz w:val="21"/>
                <w:highlight w:val="none"/>
                <w:u w:val="single"/>
              </w:rPr>
              <w:t>兰溪市公共资源交易中心</w:t>
            </w:r>
            <w:r>
              <w:rPr>
                <w:b/>
                <w:sz w:val="21"/>
                <w:highlight w:val="none"/>
                <w:u w:val="single"/>
              </w:rPr>
              <w:t>（</w:t>
            </w:r>
            <w:r>
              <w:rPr>
                <w:b/>
                <w:spacing w:val="-14"/>
                <w:sz w:val="21"/>
                <w:highlight w:val="none"/>
                <w:u w:val="single"/>
              </w:rPr>
              <w:t xml:space="preserve">振兴路 </w:t>
            </w:r>
            <w:r>
              <w:rPr>
                <w:b/>
                <w:sz w:val="21"/>
                <w:highlight w:val="none"/>
                <w:u w:val="single"/>
              </w:rPr>
              <w:t>500号裙房四楼开标室）</w:t>
            </w:r>
            <w:r>
              <w:rPr>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22" w:type="dxa"/>
          </w:tcPr>
          <w:p>
            <w:pPr>
              <w:pStyle w:val="21"/>
              <w:spacing w:before="76" w:line="267" w:lineRule="exact"/>
              <w:ind w:left="6"/>
              <w:jc w:val="center"/>
              <w:rPr>
                <w:sz w:val="21"/>
              </w:rPr>
            </w:pPr>
            <w:r>
              <w:rPr>
                <w:w w:val="99"/>
                <w:sz w:val="21"/>
              </w:rPr>
              <w:t>9</w:t>
            </w:r>
          </w:p>
        </w:tc>
        <w:tc>
          <w:tcPr>
            <w:tcW w:w="8438" w:type="dxa"/>
          </w:tcPr>
          <w:p>
            <w:pPr>
              <w:pStyle w:val="21"/>
              <w:spacing w:before="76" w:line="267" w:lineRule="exact"/>
              <w:ind w:left="108"/>
              <w:rPr>
                <w:sz w:val="21"/>
              </w:rPr>
            </w:pPr>
            <w:r>
              <w:rPr>
                <w:sz w:val="21"/>
              </w:rPr>
              <w:t>评标办法及评分标准：综合评分法。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2" w:type="dxa"/>
          </w:tcPr>
          <w:p>
            <w:pPr>
              <w:pStyle w:val="21"/>
              <w:spacing w:before="6"/>
              <w:rPr>
                <w:b/>
                <w:sz w:val="16"/>
              </w:rPr>
            </w:pPr>
          </w:p>
          <w:p>
            <w:pPr>
              <w:pStyle w:val="21"/>
              <w:ind w:left="179" w:right="169"/>
              <w:jc w:val="center"/>
              <w:rPr>
                <w:sz w:val="21"/>
              </w:rPr>
            </w:pPr>
            <w:r>
              <w:rPr>
                <w:sz w:val="21"/>
              </w:rPr>
              <w:t>10</w:t>
            </w:r>
          </w:p>
        </w:tc>
        <w:tc>
          <w:tcPr>
            <w:tcW w:w="8438" w:type="dxa"/>
          </w:tcPr>
          <w:p>
            <w:pPr>
              <w:pStyle w:val="21"/>
              <w:spacing w:before="22"/>
              <w:ind w:left="108"/>
              <w:rPr>
                <w:sz w:val="21"/>
              </w:rPr>
            </w:pPr>
            <w:r>
              <w:rPr>
                <w:sz w:val="21"/>
              </w:rPr>
              <w:t xml:space="preserve">评标结果公告：评标结束后 </w:t>
            </w:r>
            <w:r>
              <w:rPr>
                <w:rFonts w:ascii="Times New Roman" w:eastAsia="Times New Roman"/>
                <w:sz w:val="21"/>
              </w:rPr>
              <w:t xml:space="preserve">2 </w:t>
            </w:r>
            <w:r>
              <w:rPr>
                <w:sz w:val="21"/>
              </w:rPr>
              <w:t>天内，评标结果公示于浙江省政府采购网、兰溪市公共资源</w:t>
            </w:r>
          </w:p>
          <w:p>
            <w:pPr>
              <w:pStyle w:val="21"/>
              <w:spacing w:before="43"/>
              <w:ind w:left="108"/>
              <w:rPr>
                <w:sz w:val="21"/>
              </w:rPr>
            </w:pPr>
            <w:r>
              <w:rPr>
                <w:sz w:val="21"/>
              </w:rPr>
              <w:t>交易专栏等网站。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2" w:type="dxa"/>
          </w:tcPr>
          <w:p>
            <w:pPr>
              <w:pStyle w:val="21"/>
              <w:spacing w:before="6"/>
              <w:rPr>
                <w:b/>
                <w:sz w:val="16"/>
              </w:rPr>
            </w:pPr>
          </w:p>
          <w:p>
            <w:pPr>
              <w:pStyle w:val="21"/>
              <w:ind w:left="179" w:right="169"/>
              <w:jc w:val="center"/>
              <w:rPr>
                <w:sz w:val="21"/>
              </w:rPr>
            </w:pPr>
            <w:r>
              <w:rPr>
                <w:sz w:val="21"/>
              </w:rPr>
              <w:t>11</w:t>
            </w:r>
          </w:p>
        </w:tc>
        <w:tc>
          <w:tcPr>
            <w:tcW w:w="8438" w:type="dxa"/>
          </w:tcPr>
          <w:p>
            <w:pPr>
              <w:pStyle w:val="21"/>
              <w:spacing w:before="22"/>
              <w:ind w:left="108"/>
              <w:rPr>
                <w:sz w:val="21"/>
              </w:rPr>
            </w:pPr>
            <w:r>
              <w:rPr>
                <w:sz w:val="21"/>
              </w:rPr>
              <w:t xml:space="preserve">中标公告及中标通知书：评标结束后 </w:t>
            </w:r>
            <w:r>
              <w:rPr>
                <w:rFonts w:ascii="Times New Roman" w:eastAsia="Times New Roman"/>
                <w:sz w:val="21"/>
              </w:rPr>
              <w:t xml:space="preserve">2 </w:t>
            </w:r>
            <w:r>
              <w:rPr>
                <w:sz w:val="21"/>
              </w:rPr>
              <w:t>个工作日内公告，中标公告发布于上述媒体；中标</w:t>
            </w:r>
          </w:p>
          <w:p>
            <w:pPr>
              <w:pStyle w:val="21"/>
              <w:spacing w:before="42"/>
              <w:ind w:left="108"/>
              <w:rPr>
                <w:sz w:val="21"/>
              </w:rPr>
            </w:pPr>
            <w:r>
              <w:rPr>
                <w:sz w:val="21"/>
              </w:rPr>
              <w:t xml:space="preserve">供货商公告后 </w:t>
            </w:r>
            <w:r>
              <w:rPr>
                <w:rFonts w:ascii="Times New Roman" w:eastAsia="Times New Roman"/>
                <w:sz w:val="21"/>
              </w:rPr>
              <w:t xml:space="preserve">2 </w:t>
            </w:r>
            <w:r>
              <w:rPr>
                <w:sz w:val="21"/>
              </w:rPr>
              <w:t>个工作日内到到</w:t>
            </w:r>
            <w:r>
              <w:rPr>
                <w:rFonts w:hint="eastAsia"/>
                <w:sz w:val="21"/>
                <w:lang w:eastAsia="zh-CN"/>
              </w:rPr>
              <w:t>杭州中乙信息科技咨询有限公司</w:t>
            </w:r>
            <w:r>
              <w:rPr>
                <w:sz w:val="21"/>
              </w:rPr>
              <w:t>领取中标通知书。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2" w:type="dxa"/>
          </w:tcPr>
          <w:p>
            <w:pPr>
              <w:pStyle w:val="21"/>
              <w:spacing w:before="83" w:line="265" w:lineRule="exact"/>
              <w:ind w:left="179" w:right="169"/>
              <w:jc w:val="center"/>
              <w:rPr>
                <w:sz w:val="21"/>
              </w:rPr>
            </w:pPr>
            <w:r>
              <w:rPr>
                <w:sz w:val="21"/>
              </w:rPr>
              <w:t>12</w:t>
            </w:r>
          </w:p>
        </w:tc>
        <w:tc>
          <w:tcPr>
            <w:tcW w:w="8438" w:type="dxa"/>
          </w:tcPr>
          <w:p>
            <w:pPr>
              <w:pStyle w:val="21"/>
              <w:spacing w:before="50"/>
              <w:ind w:left="108"/>
              <w:rPr>
                <w:sz w:val="21"/>
              </w:rPr>
            </w:pPr>
            <w:r>
              <w:rPr>
                <w:sz w:val="21"/>
              </w:rPr>
              <w:t>中标人需在领取中标通知书前向招标代理机构提供纸质投标文件：正本一套、副本两套。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2" w:type="dxa"/>
          </w:tcPr>
          <w:p>
            <w:pPr>
              <w:pStyle w:val="21"/>
              <w:spacing w:before="84" w:line="265" w:lineRule="exact"/>
              <w:ind w:left="179" w:right="171"/>
              <w:jc w:val="center"/>
              <w:rPr>
                <w:sz w:val="21"/>
              </w:rPr>
            </w:pPr>
            <w:r>
              <w:rPr>
                <w:sz w:val="21"/>
              </w:rPr>
              <w:t>13</w:t>
            </w:r>
          </w:p>
        </w:tc>
        <w:tc>
          <w:tcPr>
            <w:tcW w:w="8438" w:type="dxa"/>
          </w:tcPr>
          <w:p>
            <w:pPr>
              <w:pStyle w:val="21"/>
              <w:spacing w:before="84" w:line="265" w:lineRule="exact"/>
              <w:ind w:left="108"/>
              <w:rPr>
                <w:sz w:val="21"/>
              </w:rPr>
            </w:pPr>
            <w:r>
              <w:rPr>
                <w:sz w:val="21"/>
              </w:rPr>
              <w:t>签订合同：中标通知书领取后 30 天内。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22" w:type="dxa"/>
          </w:tcPr>
          <w:p>
            <w:pPr>
              <w:pStyle w:val="21"/>
              <w:spacing w:before="84" w:line="265" w:lineRule="exact"/>
              <w:ind w:left="179" w:right="171"/>
              <w:jc w:val="center"/>
              <w:rPr>
                <w:sz w:val="21"/>
              </w:rPr>
            </w:pPr>
            <w:r>
              <w:rPr>
                <w:sz w:val="21"/>
              </w:rPr>
              <w:t>14</w:t>
            </w:r>
          </w:p>
        </w:tc>
        <w:tc>
          <w:tcPr>
            <w:tcW w:w="8438" w:type="dxa"/>
          </w:tcPr>
          <w:p>
            <w:pPr>
              <w:pStyle w:val="21"/>
              <w:spacing w:before="84" w:line="265" w:lineRule="exact"/>
              <w:ind w:left="108"/>
              <w:rPr>
                <w:sz w:val="21"/>
              </w:rPr>
            </w:pPr>
            <w:r>
              <w:rPr>
                <w:sz w:val="21"/>
              </w:rPr>
              <w:t xml:space="preserve">履约保证金的收取: 按合同总金额的 </w:t>
            </w:r>
            <w:r>
              <w:rPr>
                <w:sz w:val="21"/>
                <w:u w:val="single"/>
              </w:rPr>
              <w:t>5%</w:t>
            </w:r>
            <w:r>
              <w:rPr>
                <w:sz w:val="21"/>
              </w:rPr>
              <w:t>计收。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2" w:type="dxa"/>
          </w:tcPr>
          <w:p>
            <w:pPr>
              <w:pStyle w:val="21"/>
              <w:spacing w:before="6"/>
              <w:rPr>
                <w:b/>
                <w:sz w:val="16"/>
              </w:rPr>
            </w:pPr>
          </w:p>
          <w:p>
            <w:pPr>
              <w:pStyle w:val="21"/>
              <w:ind w:left="179" w:right="171"/>
              <w:jc w:val="center"/>
              <w:rPr>
                <w:sz w:val="21"/>
              </w:rPr>
            </w:pPr>
            <w:r>
              <w:rPr>
                <w:sz w:val="21"/>
              </w:rPr>
              <w:t>15</w:t>
            </w:r>
          </w:p>
        </w:tc>
        <w:tc>
          <w:tcPr>
            <w:tcW w:w="8438" w:type="dxa"/>
          </w:tcPr>
          <w:p>
            <w:pPr>
              <w:pStyle w:val="21"/>
              <w:spacing w:before="22"/>
              <w:ind w:left="108"/>
              <w:rPr>
                <w:sz w:val="21"/>
              </w:rPr>
            </w:pPr>
            <w:r>
              <w:rPr>
                <w:sz w:val="21"/>
              </w:rPr>
              <w:t>预算金额：</w:t>
            </w:r>
            <w:r>
              <w:rPr>
                <w:rFonts w:hint="eastAsia" w:ascii="Times New Roman"/>
                <w:sz w:val="21"/>
                <w:lang w:val="en-US" w:eastAsia="zh-CN"/>
              </w:rPr>
              <w:t>400</w:t>
            </w:r>
            <w:r>
              <w:rPr>
                <w:rFonts w:ascii="Times New Roman" w:eastAsia="Times New Roman"/>
                <w:sz w:val="21"/>
              </w:rPr>
              <w:t>.00</w:t>
            </w:r>
            <w:r>
              <w:rPr>
                <w:rFonts w:ascii="Times New Roman" w:eastAsia="Times New Roman"/>
                <w:spacing w:val="-8"/>
                <w:sz w:val="21"/>
              </w:rPr>
              <w:t xml:space="preserve"> </w:t>
            </w:r>
            <w:r>
              <w:rPr>
                <w:sz w:val="21"/>
              </w:rPr>
              <w:t>万元</w:t>
            </w:r>
          </w:p>
          <w:p>
            <w:pPr>
              <w:pStyle w:val="21"/>
              <w:spacing w:before="43"/>
              <w:ind w:left="108"/>
              <w:rPr>
                <w:sz w:val="21"/>
              </w:rPr>
            </w:pPr>
            <w:r>
              <w:rPr>
                <w:sz w:val="21"/>
              </w:rPr>
              <w:t>最高限价：</w:t>
            </w:r>
            <w:r>
              <w:rPr>
                <w:rFonts w:hint="eastAsia" w:ascii="Times New Roman"/>
                <w:sz w:val="21"/>
                <w:lang w:val="en-US" w:eastAsia="zh-CN"/>
              </w:rPr>
              <w:t>400</w:t>
            </w:r>
            <w:r>
              <w:rPr>
                <w:rFonts w:ascii="Times New Roman" w:eastAsia="Times New Roman"/>
                <w:sz w:val="21"/>
              </w:rPr>
              <w:t>.00</w:t>
            </w:r>
            <w:r>
              <w:rPr>
                <w:rFonts w:ascii="Times New Roman" w:eastAsia="Times New Roman"/>
                <w:spacing w:val="-8"/>
                <w:sz w:val="21"/>
              </w:rPr>
              <w:t xml:space="preserve"> </w:t>
            </w:r>
            <w:r>
              <w:rPr>
                <w:sz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822" w:type="dxa"/>
          </w:tcPr>
          <w:p>
            <w:pPr>
              <w:pStyle w:val="21"/>
              <w:rPr>
                <w:b/>
                <w:sz w:val="20"/>
              </w:rPr>
            </w:pPr>
          </w:p>
          <w:p>
            <w:pPr>
              <w:pStyle w:val="21"/>
              <w:spacing w:before="1"/>
              <w:rPr>
                <w:b/>
                <w:sz w:val="25"/>
              </w:rPr>
            </w:pPr>
          </w:p>
          <w:p>
            <w:pPr>
              <w:pStyle w:val="21"/>
              <w:spacing w:before="1"/>
              <w:ind w:left="179" w:right="171"/>
              <w:jc w:val="center"/>
              <w:rPr>
                <w:sz w:val="21"/>
              </w:rPr>
            </w:pPr>
            <w:r>
              <w:rPr>
                <w:sz w:val="21"/>
              </w:rPr>
              <w:t>16</w:t>
            </w:r>
          </w:p>
        </w:tc>
        <w:tc>
          <w:tcPr>
            <w:tcW w:w="8438" w:type="dxa"/>
          </w:tcPr>
          <w:p>
            <w:pPr>
              <w:pStyle w:val="10"/>
              <w:spacing w:line="338" w:lineRule="auto"/>
              <w:ind w:left="0" w:right="68" w:firstLine="0"/>
              <w:rPr>
                <w:sz w:val="21"/>
              </w:rPr>
            </w:pPr>
            <w:r>
              <w:rPr>
                <w:spacing w:val="0"/>
                <w:sz w:val="21"/>
                <w:szCs w:val="22"/>
              </w:rPr>
              <w:t>付款方式：</w:t>
            </w:r>
            <w:r>
              <w:rPr>
                <w:spacing w:val="-4"/>
              </w:rPr>
              <w:t>在签订合同后，</w:t>
            </w:r>
            <w:r>
              <w:rPr>
                <w:rFonts w:hint="eastAsia"/>
                <w:spacing w:val="-4"/>
                <w:lang w:eastAsia="zh-CN"/>
              </w:rPr>
              <w:t>采购人</w:t>
            </w:r>
            <w:r>
              <w:rPr>
                <w:spacing w:val="-4"/>
              </w:rPr>
              <w:t>支付</w:t>
            </w:r>
            <w:r>
              <w:rPr>
                <w:rFonts w:hint="eastAsia"/>
                <w:spacing w:val="-4"/>
                <w:lang w:eastAsia="zh-CN"/>
              </w:rPr>
              <w:t>中标人</w:t>
            </w:r>
            <w:r>
              <w:rPr>
                <w:spacing w:val="-4"/>
              </w:rPr>
              <w:t>合同款的</w:t>
            </w:r>
            <w:r>
              <w:t>15%</w:t>
            </w:r>
            <w:r>
              <w:rPr>
                <w:rFonts w:hint="eastAsia"/>
                <w:spacing w:val="-2"/>
                <w:lang w:eastAsia="zh-CN"/>
              </w:rPr>
              <w:t>；</w:t>
            </w:r>
            <w:r>
              <w:rPr>
                <w:rFonts w:hint="eastAsia"/>
                <w:spacing w:val="-2"/>
                <w:lang w:val="en-US" w:eastAsia="zh-CN"/>
              </w:rPr>
              <w:t>2021年度12月底前</w:t>
            </w:r>
            <w:r>
              <w:rPr>
                <w:spacing w:val="-2"/>
              </w:rPr>
              <w:t>主要工</w:t>
            </w:r>
            <w:r>
              <w:rPr>
                <w:spacing w:val="-11"/>
              </w:rPr>
              <w:t>作量</w:t>
            </w:r>
            <w:r>
              <w:rPr>
                <w:rFonts w:hint="eastAsia"/>
                <w:spacing w:val="-11"/>
                <w:lang w:eastAsia="zh-CN"/>
              </w:rPr>
              <w:t>经采购人组织专家评审验收合格</w:t>
            </w:r>
            <w:r>
              <w:rPr>
                <w:spacing w:val="-11"/>
              </w:rPr>
              <w:t>，</w:t>
            </w:r>
            <w:r>
              <w:rPr>
                <w:rFonts w:hint="eastAsia"/>
                <w:spacing w:val="-7"/>
                <w:lang w:eastAsia="zh-CN"/>
              </w:rPr>
              <w:t>且提交上级部门认可通过后</w:t>
            </w:r>
            <w:r>
              <w:rPr>
                <w:spacing w:val="-7"/>
              </w:rPr>
              <w:t>，</w:t>
            </w:r>
            <w:r>
              <w:rPr>
                <w:spacing w:val="-11"/>
              </w:rPr>
              <w:t>累计支付至</w:t>
            </w:r>
            <w:r>
              <w:rPr>
                <w:rFonts w:hint="eastAsia"/>
                <w:spacing w:val="-11"/>
                <w:lang w:eastAsia="zh-CN"/>
              </w:rPr>
              <w:t>已完项目报价</w:t>
            </w:r>
            <w:r>
              <w:rPr>
                <w:spacing w:val="-11"/>
              </w:rPr>
              <w:t>的</w:t>
            </w:r>
            <w:r>
              <w:rPr>
                <w:rFonts w:hint="eastAsia"/>
                <w:spacing w:val="-8"/>
                <w:lang w:val="en-US" w:eastAsia="zh-CN"/>
              </w:rPr>
              <w:t>75</w:t>
            </w:r>
            <w:r>
              <w:rPr>
                <w:spacing w:val="-7"/>
              </w:rPr>
              <w:t>%；</w:t>
            </w:r>
            <w:r>
              <w:rPr>
                <w:rFonts w:hint="eastAsia"/>
                <w:spacing w:val="-7"/>
                <w:lang w:eastAsia="zh-CN"/>
              </w:rPr>
              <w:t>项目完成经采购人组织专家评审验收合格，且提交上级部门认可通过后</w:t>
            </w:r>
            <w:r>
              <w:rPr>
                <w:spacing w:val="-7"/>
              </w:rPr>
              <w:t>，退还履约保函，</w:t>
            </w:r>
            <w:r>
              <w:rPr>
                <w:spacing w:val="-12"/>
              </w:rPr>
              <w:t>同时</w:t>
            </w:r>
            <w:r>
              <w:rPr>
                <w:spacing w:val="-13"/>
              </w:rPr>
              <w:t>采购人支付</w:t>
            </w:r>
            <w:r>
              <w:rPr>
                <w:rFonts w:hint="eastAsia"/>
                <w:spacing w:val="-13"/>
                <w:lang w:eastAsia="zh-CN"/>
              </w:rPr>
              <w:t>至合同款的</w:t>
            </w:r>
            <w:r>
              <w:rPr>
                <w:rFonts w:hint="eastAsia"/>
                <w:spacing w:val="-13"/>
                <w:lang w:val="en-US" w:eastAsia="zh-CN"/>
              </w:rPr>
              <w:t>97.5%</w:t>
            </w:r>
            <w:r>
              <w:rPr>
                <w:rFonts w:hint="eastAsia"/>
                <w:spacing w:val="-12"/>
                <w:lang w:eastAsia="zh-CN"/>
              </w:rPr>
              <w:t>；剩余款项在</w:t>
            </w:r>
            <w:r>
              <w:t>质保期满无质量问题</w:t>
            </w:r>
            <w:r>
              <w:rPr>
                <w:rFonts w:hint="eastAsia"/>
                <w:lang w:eastAsia="zh-CN"/>
              </w:rPr>
              <w:t>后一次性支付</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22" w:type="dxa"/>
          </w:tcPr>
          <w:p>
            <w:pPr>
              <w:pStyle w:val="21"/>
              <w:spacing w:before="82" w:line="267" w:lineRule="exact"/>
              <w:ind w:left="179" w:right="171"/>
              <w:jc w:val="center"/>
              <w:rPr>
                <w:sz w:val="21"/>
              </w:rPr>
            </w:pPr>
            <w:r>
              <w:rPr>
                <w:sz w:val="21"/>
              </w:rPr>
              <w:t>17</w:t>
            </w:r>
          </w:p>
        </w:tc>
        <w:tc>
          <w:tcPr>
            <w:tcW w:w="8438" w:type="dxa"/>
          </w:tcPr>
          <w:p>
            <w:pPr>
              <w:pStyle w:val="21"/>
              <w:spacing w:before="82" w:line="267" w:lineRule="exact"/>
              <w:ind w:left="108"/>
              <w:rPr>
                <w:sz w:val="21"/>
              </w:rPr>
            </w:pPr>
            <w:r>
              <w:rPr>
                <w:sz w:val="21"/>
              </w:rPr>
              <w:t>投标文件有效期：</w:t>
            </w:r>
            <w:r>
              <w:rPr>
                <w:sz w:val="21"/>
                <w:u w:val="single"/>
              </w:rPr>
              <w:t>90</w:t>
            </w:r>
            <w:r>
              <w:rPr>
                <w:sz w:val="21"/>
              </w:rPr>
              <w:t xml:space="preserve">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822" w:type="dxa"/>
          </w:tcPr>
          <w:p>
            <w:pPr>
              <w:pStyle w:val="21"/>
              <w:rPr>
                <w:b/>
                <w:sz w:val="20"/>
              </w:rPr>
            </w:pPr>
          </w:p>
          <w:p>
            <w:pPr>
              <w:pStyle w:val="21"/>
              <w:rPr>
                <w:b/>
                <w:sz w:val="20"/>
              </w:rPr>
            </w:pPr>
          </w:p>
          <w:p>
            <w:pPr>
              <w:pStyle w:val="21"/>
              <w:spacing w:before="2"/>
              <w:rPr>
                <w:b/>
                <w:sz w:val="25"/>
              </w:rPr>
            </w:pPr>
          </w:p>
          <w:p>
            <w:pPr>
              <w:pStyle w:val="21"/>
              <w:spacing w:before="1"/>
              <w:ind w:left="179" w:right="169"/>
              <w:jc w:val="center"/>
              <w:rPr>
                <w:sz w:val="21"/>
              </w:rPr>
            </w:pPr>
            <w:r>
              <w:rPr>
                <w:sz w:val="21"/>
              </w:rPr>
              <w:t>18</w:t>
            </w:r>
          </w:p>
        </w:tc>
        <w:tc>
          <w:tcPr>
            <w:tcW w:w="8438" w:type="dxa"/>
          </w:tcPr>
          <w:p>
            <w:pPr>
              <w:pStyle w:val="21"/>
              <w:spacing w:before="22"/>
              <w:ind w:left="108"/>
              <w:rPr>
                <w:b/>
                <w:sz w:val="21"/>
              </w:rPr>
            </w:pPr>
            <w:r>
              <w:rPr>
                <w:b/>
                <w:sz w:val="21"/>
              </w:rPr>
              <w:t>电子投标特别提醒 ：</w:t>
            </w:r>
          </w:p>
          <w:p>
            <w:pPr>
              <w:pStyle w:val="21"/>
              <w:numPr>
                <w:ilvl w:val="0"/>
                <w:numId w:val="3"/>
              </w:numPr>
              <w:tabs>
                <w:tab w:val="left" w:pos="320"/>
              </w:tabs>
              <w:spacing w:before="43" w:after="0" w:line="278" w:lineRule="auto"/>
              <w:ind w:left="108" w:right="68" w:firstLine="0"/>
              <w:jc w:val="left"/>
              <w:rPr>
                <w:b/>
                <w:sz w:val="21"/>
              </w:rPr>
            </w:pPr>
            <w:r>
              <w:rPr>
                <w:rFonts w:ascii="宋体" w:hAnsi="宋体" w:eastAsia="宋体" w:cs="宋体"/>
                <w:b/>
                <w:w w:val="100"/>
                <w:sz w:val="21"/>
              </w:rPr>
              <w:t>请所有投标人在政采云系统准时参加线上开标活动,并且要求法定代表人或授权委托人</w:t>
            </w:r>
            <w:r>
              <w:rPr>
                <w:b/>
                <w:sz w:val="21"/>
              </w:rPr>
              <w:t>全程在线。</w:t>
            </w:r>
          </w:p>
          <w:p>
            <w:pPr>
              <w:pStyle w:val="21"/>
              <w:numPr>
                <w:ilvl w:val="0"/>
                <w:numId w:val="3"/>
              </w:numPr>
              <w:tabs>
                <w:tab w:val="left" w:pos="320"/>
              </w:tabs>
              <w:spacing w:before="0" w:after="0" w:line="278" w:lineRule="auto"/>
              <w:ind w:left="108" w:right="203" w:firstLine="0"/>
              <w:jc w:val="left"/>
              <w:rPr>
                <w:b/>
                <w:sz w:val="21"/>
              </w:rPr>
            </w:pPr>
            <w:r>
              <w:rPr>
                <w:b/>
                <w:spacing w:val="-3"/>
                <w:sz w:val="21"/>
              </w:rPr>
              <w:t xml:space="preserve">投标截止时间后，代理机构将线上开启解密，投标人需及时用 </w:t>
            </w:r>
            <w:r>
              <w:rPr>
                <w:b/>
                <w:sz w:val="21"/>
              </w:rPr>
              <w:t>CA</w:t>
            </w:r>
            <w:r>
              <w:rPr>
                <w:b/>
                <w:spacing w:val="-8"/>
                <w:sz w:val="21"/>
              </w:rPr>
              <w:t xml:space="preserve"> 锁在线解密，逾期解密，投标人自行承担风险。</w:t>
            </w:r>
          </w:p>
          <w:p>
            <w:pPr>
              <w:pStyle w:val="21"/>
              <w:numPr>
                <w:ilvl w:val="0"/>
                <w:numId w:val="3"/>
              </w:numPr>
              <w:tabs>
                <w:tab w:val="left" w:pos="320"/>
              </w:tabs>
              <w:spacing w:before="0" w:after="0" w:line="269" w:lineRule="exact"/>
              <w:ind w:left="319" w:right="0" w:hanging="212"/>
              <w:jc w:val="left"/>
              <w:rPr>
                <w:b/>
                <w:sz w:val="21"/>
              </w:rPr>
            </w:pPr>
            <w:r>
              <w:rPr>
                <w:b/>
                <w:spacing w:val="-7"/>
                <w:sz w:val="21"/>
              </w:rPr>
              <w:t xml:space="preserve">解密投标文件的 </w:t>
            </w:r>
            <w:r>
              <w:rPr>
                <w:b/>
                <w:sz w:val="21"/>
              </w:rPr>
              <w:t>CA</w:t>
            </w:r>
            <w:r>
              <w:rPr>
                <w:b/>
                <w:spacing w:val="-12"/>
                <w:sz w:val="21"/>
              </w:rPr>
              <w:t xml:space="preserve"> 锁必须跟制作投标文件的 </w:t>
            </w:r>
            <w:r>
              <w:rPr>
                <w:b/>
                <w:sz w:val="21"/>
              </w:rPr>
              <w:t>CA</w:t>
            </w:r>
            <w:r>
              <w:rPr>
                <w:b/>
                <w:spacing w:val="-8"/>
                <w:sz w:val="21"/>
              </w:rPr>
              <w:t xml:space="preserve"> 锁为同一个，否则将导致解密失败。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2" w:type="dxa"/>
          </w:tcPr>
          <w:p>
            <w:pPr>
              <w:pStyle w:val="21"/>
              <w:spacing w:before="84" w:line="265" w:lineRule="exact"/>
              <w:ind w:left="179" w:right="169"/>
              <w:jc w:val="center"/>
              <w:rPr>
                <w:sz w:val="21"/>
              </w:rPr>
            </w:pPr>
            <w:r>
              <w:rPr>
                <w:sz w:val="21"/>
              </w:rPr>
              <w:t>19</w:t>
            </w:r>
          </w:p>
        </w:tc>
        <w:tc>
          <w:tcPr>
            <w:tcW w:w="8438" w:type="dxa"/>
          </w:tcPr>
          <w:p>
            <w:pPr>
              <w:pStyle w:val="21"/>
              <w:spacing w:before="84" w:line="265" w:lineRule="exact"/>
              <w:ind w:left="108"/>
              <w:rPr>
                <w:sz w:val="21"/>
              </w:rPr>
            </w:pPr>
            <w:r>
              <w:rPr>
                <w:sz w:val="21"/>
              </w:rPr>
              <w:t>解释：本招标文件的解释权属于招标采购单位。</w:t>
            </w:r>
          </w:p>
        </w:tc>
      </w:tr>
    </w:tbl>
    <w:p>
      <w:pPr>
        <w:spacing w:after="0" w:line="265" w:lineRule="exact"/>
        <w:rPr>
          <w:sz w:val="21"/>
        </w:rPr>
        <w:sectPr>
          <w:footerReference r:id="rId6" w:type="default"/>
          <w:pgSz w:w="11910" w:h="16840"/>
          <w:pgMar w:top="1360" w:right="920" w:bottom="1040" w:left="1200" w:header="0" w:footer="852" w:gutter="0"/>
          <w:pgNumType w:start="4"/>
          <w:cols w:space="720" w:num="1"/>
        </w:sectPr>
      </w:pPr>
    </w:p>
    <w:p>
      <w:pPr>
        <w:pStyle w:val="8"/>
        <w:spacing w:before="1"/>
        <w:ind w:right="110" w:rightChars="50" w:firstLine="0" w:firstLineChars="0"/>
        <w:jc w:val="center"/>
      </w:pPr>
      <w:r>
        <w:rPr>
          <w:sz w:val="36"/>
          <w:szCs w:val="36"/>
        </w:rPr>
        <w:t>第三章 招标需求</w:t>
      </w:r>
    </w:p>
    <w:p>
      <w:pPr>
        <w:pStyle w:val="8"/>
        <w:adjustRightInd w:val="0"/>
        <w:snapToGrid w:val="0"/>
        <w:spacing w:before="0" w:line="360" w:lineRule="auto"/>
        <w:ind w:left="0" w:right="0" w:rightChars="0" w:firstLine="422" w:firstLineChars="200"/>
      </w:pPr>
      <w:r>
        <w:t>一、项目</w:t>
      </w:r>
      <w:r>
        <w:rPr>
          <w:rFonts w:hint="eastAsia"/>
          <w:lang w:eastAsia="zh-CN"/>
        </w:rPr>
        <w:t>背景</w:t>
      </w:r>
      <w:r>
        <w:t>：</w:t>
      </w:r>
    </w:p>
    <w:p>
      <w:pPr>
        <w:pStyle w:val="10"/>
        <w:adjustRightInd w:val="0"/>
        <w:snapToGrid w:val="0"/>
        <w:spacing w:before="0" w:after="0" w:line="360" w:lineRule="auto"/>
        <w:ind w:left="0" w:right="0" w:firstLine="440" w:firstLineChars="200"/>
        <w:jc w:val="both"/>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全国自然灾害综合风险普查是一项重大的国情国力调查，是提升自然灾害防治的基础性工作。根据党中央、国务院决策部署，为全面掌握我国自然灾害风险隐患情况，提升全社会抵御自然灾害的综合防范能力，2019年12月，国家减灾委员会办公室组织编制了《全国灾害综合风险普查总体方案》，要求各地结合本地区实际情况，抓紧开展普查准备工作；2020年5月，国务院办公厅下发《关于开展第一次全国自然灾害综合风险普查的通知》（国办发〔2020〕12号），正式启动第一次全国自然灾害综合风险普查。</w:t>
      </w:r>
    </w:p>
    <w:p>
      <w:pPr>
        <w:pStyle w:val="10"/>
        <w:adjustRightInd w:val="0"/>
        <w:snapToGrid w:val="0"/>
        <w:spacing w:before="0" w:after="0" w:line="360" w:lineRule="auto"/>
        <w:ind w:left="0" w:right="0" w:firstLine="440" w:firstLineChars="200"/>
        <w:jc w:val="both"/>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浙江省委省政府高度重视此项工作。2020年8月，浙江省人民政府办公厅印发《关于开展第一次全省自然灾害综合风险普查的通知》（浙政办发〔2020〕36号），定于2020年至2022年开展全省普查工作，同时明确成立省第一次自然灾害综合风险普查领导小组，并要求按照“全省统一领导、部门分工协作、地方分级负责、各方共同参与”的原则进行组织实施。为此，普查领导小组于2020年9月制定了《浙江省第一次自然灾害综合风险普查工作方案》，推动普查任务落实落地。</w:t>
      </w:r>
    </w:p>
    <w:p>
      <w:pPr>
        <w:pStyle w:val="10"/>
        <w:adjustRightInd w:val="0"/>
        <w:snapToGrid w:val="0"/>
        <w:spacing w:before="0" w:line="360" w:lineRule="auto"/>
        <w:ind w:left="0" w:right="0" w:firstLine="440" w:firstLineChars="200"/>
        <w:jc w:val="both"/>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根据国家、省委省政府部署以及相关文件要求，兰溪市水旱灾害防御中心组织开展全市第一次水旱灾害风险普查工作。水旱灾害风险普查是自然灾害综合风险普查的一项重要内容，是摸清我市水旱灾害风险隐患底数的重要手段。兰溪市第一次水旱灾害风险普查任务主要包括水旱灾害致灾调查与评估、洪水灾害隐患调查与评估、水旱灾害风险评估与区划。通过开展兰溪市水旱灾害风险普查，摸清兰溪市水旱灾害风险隐患底数，查明重点区域防洪抗旱能力，客观认识兰溪市水旱灾害风险防治能力，促进提高水旱灾害防御水平，支撑应急管理决策。</w:t>
      </w:r>
    </w:p>
    <w:p>
      <w:pPr>
        <w:pStyle w:val="10"/>
        <w:adjustRightInd w:val="0"/>
        <w:snapToGrid w:val="0"/>
        <w:spacing w:before="0" w:line="360" w:lineRule="auto"/>
        <w:ind w:left="0" w:right="0" w:firstLine="422" w:firstLineChars="200"/>
        <w:jc w:val="both"/>
        <w:rPr>
          <w:b/>
        </w:rPr>
      </w:pPr>
      <w:r>
        <w:rPr>
          <w:b/>
        </w:rPr>
        <w:t>二、</w:t>
      </w:r>
      <w:r>
        <w:rPr>
          <w:rFonts w:hint="eastAsia"/>
          <w:b/>
          <w:lang w:eastAsia="zh-CN"/>
        </w:rPr>
        <w:t>项目内容</w:t>
      </w:r>
      <w:r>
        <w:rPr>
          <w:b/>
        </w:rPr>
        <w:t>：</w:t>
      </w:r>
    </w:p>
    <w:p>
      <w:pPr>
        <w:pStyle w:val="10"/>
        <w:adjustRightInd w:val="0"/>
        <w:snapToGrid w:val="0"/>
        <w:spacing w:before="0" w:line="360" w:lineRule="auto"/>
        <w:ind w:left="0" w:right="0" w:firstLine="440" w:firstLineChars="200"/>
        <w:jc w:val="both"/>
        <w:rPr>
          <w:rFonts w:ascii="宋体" w:hAnsi="宋体" w:eastAsia="宋体" w:cs="宋体"/>
          <w:spacing w:val="5"/>
          <w:lang w:val="en-US"/>
        </w:rPr>
      </w:pPr>
      <w:bookmarkStart w:id="4" w:name="1. 概述"/>
      <w:bookmarkEnd w:id="4"/>
      <w:bookmarkStart w:id="5" w:name="_Toc28100"/>
      <w:bookmarkStart w:id="6" w:name="_Toc32513"/>
      <w:bookmarkStart w:id="7" w:name="_Toc8121"/>
      <w:bookmarkStart w:id="8" w:name="_Toc17445"/>
      <w:bookmarkStart w:id="9" w:name="_Toc637"/>
      <w:bookmarkStart w:id="10" w:name="_Toc15279"/>
      <w:bookmarkStart w:id="11" w:name="_Toc3615"/>
      <w:bookmarkStart w:id="12" w:name="_Toc22890"/>
      <w:bookmarkStart w:id="13" w:name="_Toc1614"/>
      <w:bookmarkStart w:id="14" w:name="_Toc10413"/>
      <w:r>
        <w:rPr>
          <w:rFonts w:hint="eastAsia" w:ascii="宋体" w:hAnsi="宋体" w:eastAsia="宋体" w:cs="宋体"/>
          <w:spacing w:val="5"/>
          <w:lang w:val="en-US" w:eastAsia="zh-CN"/>
        </w:rPr>
        <w:t>1、</w:t>
      </w:r>
      <w:r>
        <w:rPr>
          <w:rFonts w:hint="default" w:ascii="宋体" w:hAnsi="宋体" w:eastAsia="宋体" w:cs="宋体"/>
          <w:spacing w:val="5"/>
          <w:lang w:val="en-US" w:eastAsia="zh-CN"/>
        </w:rPr>
        <w:t>总体方案</w:t>
      </w:r>
      <w:bookmarkEnd w:id="5"/>
      <w:bookmarkEnd w:id="6"/>
      <w:bookmarkEnd w:id="7"/>
      <w:bookmarkEnd w:id="8"/>
      <w:bookmarkEnd w:id="9"/>
      <w:bookmarkEnd w:id="10"/>
      <w:bookmarkEnd w:id="11"/>
      <w:bookmarkEnd w:id="12"/>
      <w:bookmarkEnd w:id="13"/>
      <w:bookmarkEnd w:id="14"/>
    </w:p>
    <w:p>
      <w:pPr>
        <w:pStyle w:val="10"/>
        <w:adjustRightInd w:val="0"/>
        <w:snapToGrid w:val="0"/>
        <w:spacing w:before="0" w:line="360" w:lineRule="auto"/>
        <w:ind w:left="0" w:right="0" w:firstLine="440" w:firstLineChars="200"/>
        <w:jc w:val="both"/>
        <w:rPr>
          <w:rFonts w:ascii="宋体" w:hAnsi="宋体" w:eastAsia="宋体" w:cs="宋体"/>
          <w:spacing w:val="5"/>
          <w:lang w:val="en-US"/>
        </w:rPr>
      </w:pPr>
      <w:bookmarkStart w:id="15" w:name="_Toc12954"/>
      <w:bookmarkStart w:id="16" w:name="_Toc3098"/>
      <w:bookmarkStart w:id="17" w:name="_Toc21814"/>
      <w:bookmarkStart w:id="18" w:name="_Toc66795785"/>
      <w:bookmarkStart w:id="19" w:name="_Toc9314"/>
      <w:bookmarkStart w:id="20" w:name="_Toc8948"/>
      <w:bookmarkStart w:id="21" w:name="_Toc7104"/>
      <w:bookmarkStart w:id="22" w:name="_Toc15256"/>
      <w:bookmarkStart w:id="23" w:name="_Toc10972"/>
      <w:bookmarkStart w:id="24" w:name="_Toc32019"/>
      <w:bookmarkStart w:id="25" w:name="_Toc22506"/>
      <w:bookmarkStart w:id="26" w:name="_Toc21730"/>
      <w:bookmarkStart w:id="27" w:name="_Toc1336"/>
      <w:bookmarkStart w:id="28" w:name="_Toc1521"/>
      <w:bookmarkStart w:id="29" w:name="_Toc5803"/>
      <w:bookmarkStart w:id="30" w:name="_Toc255"/>
      <w:bookmarkStart w:id="31" w:name="_Toc14610"/>
      <w:bookmarkStart w:id="32" w:name="_Toc16061"/>
      <w:bookmarkStart w:id="33" w:name="_Toc18080"/>
      <w:bookmarkStart w:id="34" w:name="_Toc25447"/>
      <w:bookmarkStart w:id="35" w:name="_Toc12643"/>
      <w:bookmarkStart w:id="36" w:name="_Toc7686"/>
      <w:bookmarkStart w:id="37" w:name="_Toc25429"/>
      <w:bookmarkStart w:id="38" w:name="_Toc1211"/>
      <w:bookmarkStart w:id="39" w:name="_Toc9604"/>
      <w:bookmarkStart w:id="40" w:name="_Toc23925"/>
      <w:bookmarkStart w:id="41" w:name="_Toc27685"/>
      <w:bookmarkStart w:id="42" w:name="_Toc24342"/>
      <w:bookmarkStart w:id="43" w:name="_Toc19879"/>
      <w:bookmarkStart w:id="44" w:name="_Toc27272"/>
      <w:bookmarkStart w:id="45" w:name="_Toc23319"/>
      <w:bookmarkStart w:id="46" w:name="_Toc20291"/>
      <w:bookmarkStart w:id="47" w:name="_Toc27667"/>
      <w:bookmarkStart w:id="48" w:name="_Toc26317"/>
      <w:bookmarkStart w:id="49" w:name="_Toc13598"/>
      <w:bookmarkStart w:id="50" w:name="_Toc26365"/>
      <w:bookmarkStart w:id="51" w:name="_Toc22147"/>
      <w:bookmarkStart w:id="52" w:name="_Toc9658"/>
      <w:bookmarkStart w:id="53" w:name="_Toc594"/>
      <w:bookmarkStart w:id="54" w:name="_Toc14692"/>
      <w:bookmarkStart w:id="55" w:name="_Toc8342"/>
      <w:bookmarkStart w:id="56" w:name="_Toc20656"/>
      <w:bookmarkStart w:id="57" w:name="_Toc32174"/>
      <w:bookmarkStart w:id="58" w:name="_Toc9598"/>
      <w:bookmarkStart w:id="59" w:name="_Toc13505"/>
      <w:bookmarkStart w:id="60" w:name="_Toc10471"/>
      <w:bookmarkStart w:id="61" w:name="_Toc15953"/>
      <w:bookmarkStart w:id="62" w:name="_Toc19194"/>
      <w:bookmarkStart w:id="63" w:name="_Toc15172"/>
      <w:bookmarkStart w:id="64" w:name="_Toc31631"/>
      <w:bookmarkStart w:id="65" w:name="_Toc19496"/>
      <w:bookmarkStart w:id="66" w:name="_Toc7617"/>
      <w:bookmarkStart w:id="67" w:name="_Toc28405"/>
      <w:bookmarkStart w:id="68" w:name="_Toc29374"/>
      <w:bookmarkStart w:id="69" w:name="_Toc4901"/>
      <w:bookmarkStart w:id="70" w:name="_Toc26969"/>
      <w:r>
        <w:rPr>
          <w:rFonts w:hint="eastAsia" w:ascii="宋体" w:hAnsi="宋体" w:eastAsia="宋体" w:cs="宋体"/>
          <w:spacing w:val="5"/>
          <w:lang w:val="en-US" w:eastAsia="zh-CN"/>
        </w:rPr>
        <w:t xml:space="preserve">1.1 </w:t>
      </w:r>
      <w:r>
        <w:rPr>
          <w:rFonts w:hint="default" w:ascii="宋体" w:hAnsi="宋体" w:eastAsia="宋体" w:cs="宋体"/>
          <w:spacing w:val="5"/>
          <w:lang w:val="en-US"/>
        </w:rPr>
        <w:t>总体目标</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hint="default" w:ascii="宋体" w:hAnsi="宋体" w:eastAsia="宋体" w:cs="宋体"/>
          <w:spacing w:val="5"/>
          <w:lang w:val="en-US" w:eastAsia="zh-CN"/>
        </w:rPr>
        <w:t>与主要任务</w:t>
      </w:r>
      <w:bookmarkEnd w:id="63"/>
      <w:bookmarkEnd w:id="64"/>
      <w:bookmarkEnd w:id="65"/>
      <w:bookmarkEnd w:id="66"/>
      <w:bookmarkEnd w:id="67"/>
      <w:bookmarkEnd w:id="68"/>
      <w:bookmarkEnd w:id="69"/>
      <w:bookmarkEnd w:id="70"/>
    </w:p>
    <w:p>
      <w:pPr>
        <w:pStyle w:val="10"/>
        <w:adjustRightInd w:val="0"/>
        <w:snapToGrid w:val="0"/>
        <w:spacing w:before="0" w:line="360" w:lineRule="auto"/>
        <w:ind w:right="0" w:firstLine="440" w:firstLineChars="200"/>
        <w:jc w:val="both"/>
        <w:rPr>
          <w:rFonts w:hint="default" w:ascii="宋体" w:hAnsi="宋体" w:eastAsia="宋体" w:cs="宋体"/>
          <w:spacing w:val="5"/>
          <w:lang w:val="en-US" w:eastAsia="zh-CN"/>
        </w:rPr>
      </w:pPr>
      <w:bookmarkStart w:id="71" w:name="_Toc19233"/>
      <w:bookmarkStart w:id="72" w:name="_Toc21615"/>
      <w:bookmarkStart w:id="73" w:name="_Toc9750"/>
      <w:bookmarkStart w:id="74" w:name="_Toc903"/>
      <w:bookmarkStart w:id="75" w:name="_Toc12952"/>
      <w:bookmarkStart w:id="76" w:name="_Toc5690"/>
      <w:bookmarkStart w:id="77" w:name="_Toc9078"/>
      <w:bookmarkStart w:id="78" w:name="_Toc31146"/>
      <w:r>
        <w:rPr>
          <w:rFonts w:hint="eastAsia" w:ascii="宋体" w:hAnsi="宋体" w:eastAsia="宋体" w:cs="宋体"/>
          <w:spacing w:val="5"/>
          <w:lang w:val="en-US" w:eastAsia="zh-CN"/>
        </w:rPr>
        <w:t xml:space="preserve">1.1.1 </w:t>
      </w:r>
      <w:r>
        <w:rPr>
          <w:rFonts w:hint="default" w:ascii="宋体" w:hAnsi="宋体" w:eastAsia="宋体" w:cs="宋体"/>
          <w:spacing w:val="5"/>
          <w:lang w:val="en-US" w:eastAsia="zh-CN"/>
        </w:rPr>
        <w:t>总体目标</w:t>
      </w:r>
      <w:bookmarkEnd w:id="71"/>
      <w:bookmarkEnd w:id="72"/>
      <w:bookmarkEnd w:id="73"/>
      <w:bookmarkEnd w:id="74"/>
      <w:bookmarkEnd w:id="75"/>
      <w:bookmarkEnd w:id="76"/>
      <w:bookmarkEnd w:id="77"/>
      <w:bookmarkEnd w:id="78"/>
    </w:p>
    <w:p>
      <w:pPr>
        <w:pStyle w:val="10"/>
        <w:adjustRightInd w:val="0"/>
        <w:snapToGrid w:val="0"/>
        <w:spacing w:before="0" w:line="360" w:lineRule="auto"/>
        <w:ind w:left="0" w:right="0" w:firstLine="440" w:firstLineChars="200"/>
        <w:jc w:val="both"/>
        <w:rPr>
          <w:rFonts w:ascii="宋体" w:hAnsi="宋体" w:eastAsia="宋体" w:cs="宋体"/>
          <w:spacing w:val="5"/>
          <w:szCs w:val="21"/>
          <w:lang w:val="en-US"/>
        </w:rPr>
      </w:pPr>
      <w:r>
        <w:rPr>
          <w:rFonts w:hint="default" w:ascii="宋体" w:hAnsi="宋体" w:eastAsia="宋体" w:cs="宋体"/>
          <w:spacing w:val="5"/>
          <w:szCs w:val="21"/>
          <w:lang w:val="en-US"/>
        </w:rPr>
        <w:t>通过开展</w:t>
      </w:r>
      <w:r>
        <w:rPr>
          <w:rFonts w:hint="default" w:ascii="宋体" w:hAnsi="宋体" w:eastAsia="宋体" w:cs="宋体"/>
          <w:spacing w:val="5"/>
          <w:szCs w:val="21"/>
          <w:lang w:val="en-US" w:eastAsia="zh-CN"/>
        </w:rPr>
        <w:t>兰溪市第一次</w:t>
      </w:r>
      <w:r>
        <w:rPr>
          <w:rFonts w:hint="default" w:ascii="宋体" w:hAnsi="宋体" w:eastAsia="宋体" w:cs="宋体"/>
          <w:spacing w:val="5"/>
          <w:szCs w:val="21"/>
          <w:lang w:val="en-US"/>
        </w:rPr>
        <w:t>水旱灾害风险普查，全面获取</w:t>
      </w:r>
      <w:r>
        <w:rPr>
          <w:rFonts w:hint="default" w:ascii="宋体" w:hAnsi="宋体" w:eastAsia="宋体" w:cs="宋体"/>
          <w:spacing w:val="5"/>
          <w:szCs w:val="21"/>
          <w:lang w:val="en-US" w:eastAsia="zh-CN"/>
        </w:rPr>
        <w:t>兰溪市</w:t>
      </w:r>
      <w:r>
        <w:rPr>
          <w:rFonts w:hint="default" w:ascii="宋体" w:hAnsi="宋体" w:eastAsia="宋体" w:cs="宋体"/>
          <w:spacing w:val="5"/>
          <w:szCs w:val="21"/>
          <w:lang w:val="en-US"/>
        </w:rPr>
        <w:t>水旱灾害风险隐患底数，查明区域防洪减灾能力，客观认识</w:t>
      </w:r>
      <w:r>
        <w:rPr>
          <w:rFonts w:hint="default" w:ascii="宋体" w:hAnsi="宋体" w:eastAsia="宋体" w:cs="宋体"/>
          <w:spacing w:val="5"/>
          <w:szCs w:val="21"/>
          <w:lang w:val="en-US" w:eastAsia="zh-CN"/>
        </w:rPr>
        <w:t>兰溪市</w:t>
      </w:r>
      <w:r>
        <w:rPr>
          <w:rFonts w:hint="default" w:ascii="宋体" w:hAnsi="宋体" w:eastAsia="宋体" w:cs="宋体"/>
          <w:spacing w:val="5"/>
          <w:szCs w:val="21"/>
          <w:lang w:val="en-US"/>
        </w:rPr>
        <w:t>水旱灾害综合风险水平，为</w:t>
      </w:r>
      <w:r>
        <w:rPr>
          <w:rFonts w:hint="default" w:ascii="宋体" w:hAnsi="宋体" w:eastAsia="宋体" w:cs="宋体"/>
          <w:spacing w:val="5"/>
          <w:szCs w:val="21"/>
          <w:lang w:val="en-US" w:eastAsia="zh-CN"/>
        </w:rPr>
        <w:t>兰溪市</w:t>
      </w:r>
      <w:r>
        <w:rPr>
          <w:rFonts w:hint="default" w:ascii="宋体" w:hAnsi="宋体" w:eastAsia="宋体" w:cs="宋体"/>
          <w:spacing w:val="5"/>
          <w:szCs w:val="21"/>
          <w:lang w:val="en-US"/>
        </w:rPr>
        <w:t>有效开展水旱灾害防治和应急管理工作、切实保障社会经济可持续发展提供权威的水旱灾害风险信息和科学决策依据。</w:t>
      </w:r>
    </w:p>
    <w:p>
      <w:pPr>
        <w:pStyle w:val="10"/>
        <w:adjustRightInd w:val="0"/>
        <w:snapToGrid w:val="0"/>
        <w:spacing w:before="0" w:line="360" w:lineRule="auto"/>
        <w:ind w:left="0" w:right="0" w:firstLine="440" w:firstLineChars="200"/>
        <w:jc w:val="both"/>
        <w:rPr>
          <w:rFonts w:ascii="宋体" w:hAnsi="宋体" w:eastAsia="宋体" w:cs="宋体"/>
          <w:spacing w:val="5"/>
          <w:szCs w:val="21"/>
          <w:lang w:val="en-US"/>
        </w:rPr>
      </w:pPr>
      <w:r>
        <w:rPr>
          <w:rFonts w:hint="default" w:ascii="宋体" w:hAnsi="宋体" w:eastAsia="宋体" w:cs="宋体"/>
          <w:spacing w:val="5"/>
          <w:szCs w:val="21"/>
          <w:lang w:val="en-US"/>
        </w:rPr>
        <w:t>一是获取</w:t>
      </w:r>
      <w:r>
        <w:rPr>
          <w:rFonts w:hint="default" w:ascii="宋体" w:hAnsi="宋体" w:eastAsia="宋体" w:cs="宋体"/>
          <w:spacing w:val="5"/>
          <w:szCs w:val="21"/>
          <w:lang w:val="en-US" w:eastAsia="zh-CN"/>
        </w:rPr>
        <w:t>兰溪市</w:t>
      </w:r>
      <w:r>
        <w:rPr>
          <w:rFonts w:hint="default" w:ascii="宋体" w:hAnsi="宋体" w:eastAsia="宋体" w:cs="宋体"/>
          <w:spacing w:val="5"/>
          <w:szCs w:val="21"/>
          <w:lang w:val="en-US"/>
        </w:rPr>
        <w:t>水旱灾害致灾信息、承灾体（水利设施）信息，历史水旱灾害信息、掌握洪水灾害重点隐患情况，查明区域防洪抗旱能力和减灾能力。</w:t>
      </w:r>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rPr>
      </w:pPr>
      <w:r>
        <w:rPr>
          <w:rFonts w:hint="default" w:ascii="宋体" w:hAnsi="宋体" w:eastAsia="宋体" w:cs="宋体"/>
          <w:spacing w:val="5"/>
          <w:szCs w:val="21"/>
          <w:lang w:val="en-US"/>
        </w:rPr>
        <w:t>二是以调查为基础、评估为支撑，客观认识当前</w:t>
      </w:r>
      <w:r>
        <w:rPr>
          <w:rFonts w:hint="default" w:ascii="宋体" w:hAnsi="宋体" w:eastAsia="宋体" w:cs="宋体"/>
          <w:spacing w:val="5"/>
          <w:szCs w:val="21"/>
          <w:lang w:val="en-US" w:eastAsia="zh-CN"/>
        </w:rPr>
        <w:t>兰溪市</w:t>
      </w:r>
      <w:r>
        <w:rPr>
          <w:rFonts w:hint="default" w:ascii="宋体" w:hAnsi="宋体" w:eastAsia="宋体" w:cs="宋体"/>
          <w:spacing w:val="5"/>
          <w:szCs w:val="21"/>
          <w:lang w:val="en-US"/>
        </w:rPr>
        <w:t>水旱灾害致灾风险水平、承灾体脆弱性水平，科学预判今后一段时期水旱灾害风险变化趋势和特点。</w:t>
      </w:r>
    </w:p>
    <w:p>
      <w:pPr>
        <w:pStyle w:val="10"/>
        <w:adjustRightInd w:val="0"/>
        <w:snapToGrid w:val="0"/>
        <w:spacing w:before="0" w:line="360" w:lineRule="auto"/>
        <w:ind w:right="0" w:firstLine="440" w:firstLineChars="200"/>
        <w:jc w:val="both"/>
        <w:rPr>
          <w:rFonts w:hint="default" w:ascii="宋体" w:hAnsi="宋体" w:eastAsia="宋体" w:cs="宋体"/>
          <w:spacing w:val="5"/>
          <w:lang w:val="en-US"/>
        </w:rPr>
      </w:pPr>
      <w:bookmarkStart w:id="79" w:name="_Toc10467"/>
      <w:bookmarkStart w:id="80" w:name="_Toc12058"/>
      <w:bookmarkStart w:id="81" w:name="_Toc1791"/>
      <w:bookmarkStart w:id="82" w:name="_Toc24237"/>
      <w:bookmarkStart w:id="83" w:name="_Toc7134"/>
      <w:bookmarkStart w:id="84" w:name="_Toc12579"/>
      <w:bookmarkStart w:id="85" w:name="_Toc22955"/>
      <w:bookmarkStart w:id="86" w:name="_Toc24913"/>
      <w:r>
        <w:rPr>
          <w:rFonts w:hint="eastAsia" w:ascii="宋体" w:hAnsi="宋体" w:eastAsia="宋体" w:cs="宋体"/>
          <w:spacing w:val="5"/>
          <w:lang w:val="en-US" w:eastAsia="zh-CN"/>
        </w:rPr>
        <w:t xml:space="preserve">1.1.2 </w:t>
      </w:r>
      <w:r>
        <w:rPr>
          <w:rFonts w:hint="default" w:ascii="宋体" w:hAnsi="宋体" w:eastAsia="宋体" w:cs="宋体"/>
          <w:spacing w:val="5"/>
          <w:lang w:val="en-US" w:eastAsia="zh-CN"/>
        </w:rPr>
        <w:t>主要任务</w:t>
      </w:r>
      <w:bookmarkEnd w:id="79"/>
      <w:bookmarkEnd w:id="80"/>
      <w:bookmarkEnd w:id="81"/>
      <w:bookmarkEnd w:id="82"/>
      <w:bookmarkEnd w:id="83"/>
      <w:bookmarkEnd w:id="84"/>
      <w:bookmarkEnd w:id="85"/>
      <w:bookmarkEnd w:id="86"/>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开展水旱灾害风险要素全面调查，突出洪水灾害，开展洪水灾害重点隐患调查，查明县域防洪抗旱能力；开展水旱灾害风险评估，根据应用需要编制县级1:5万或1:10万水旱灾害系列风险图，</w:t>
      </w:r>
      <w:r>
        <w:rPr>
          <w:rFonts w:hint="eastAsia" w:cs="宋体"/>
          <w:spacing w:val="5"/>
          <w:lang w:val="en-US" w:eastAsia="zh-CN"/>
        </w:rPr>
        <w:t>编制</w:t>
      </w:r>
      <w:r>
        <w:rPr>
          <w:rFonts w:hint="default" w:ascii="宋体" w:hAnsi="宋体" w:eastAsia="宋体" w:cs="宋体"/>
          <w:spacing w:val="5"/>
          <w:lang w:val="en-US"/>
        </w:rPr>
        <w:t>水旱灾害风险区划</w:t>
      </w:r>
      <w:r>
        <w:rPr>
          <w:rFonts w:hint="eastAsia" w:cs="宋体"/>
          <w:spacing w:val="5"/>
          <w:lang w:val="en-US" w:eastAsia="zh-CN"/>
        </w:rPr>
        <w:t>及</w:t>
      </w:r>
      <w:r>
        <w:rPr>
          <w:rFonts w:hint="default" w:ascii="宋体" w:hAnsi="宋体" w:eastAsia="宋体" w:cs="宋体"/>
          <w:spacing w:val="5"/>
          <w:lang w:val="en-US"/>
        </w:rPr>
        <w:t>防治区划。具体任务如下：</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一是全面掌握水旱灾害致灾信息。全面收集获取</w:t>
      </w:r>
      <w:r>
        <w:rPr>
          <w:rFonts w:hint="default" w:ascii="宋体" w:hAnsi="宋体" w:eastAsia="宋体" w:cs="宋体"/>
          <w:spacing w:val="5"/>
          <w:lang w:val="en-US" w:eastAsia="zh-CN"/>
        </w:rPr>
        <w:t>兰溪市</w:t>
      </w:r>
      <w:r>
        <w:rPr>
          <w:rFonts w:hint="default" w:ascii="宋体" w:hAnsi="宋体" w:eastAsia="宋体" w:cs="宋体"/>
          <w:spacing w:val="5"/>
          <w:lang w:val="en-US"/>
        </w:rPr>
        <w:t>水旱灾害孕灾环境及其稳定性、致灾因子及其危险性、承灾体（水利设施）及其暴露度和脆弱性、历史水旱灾害等方面的信息。充分基于已有工作基础，全面开展干旱灾害致灾调查。</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二是实施洪水灾害重点隐患调查与评估。针对洪水灾害易发频发，承灾体（水利设施）高敏感性、高脆弱性和设防不达标，</w:t>
      </w:r>
      <w:r>
        <w:rPr>
          <w:rFonts w:hint="default" w:ascii="宋体" w:hAnsi="宋体" w:eastAsia="宋体" w:cs="宋体"/>
          <w:spacing w:val="5"/>
          <w:lang w:val="en-US" w:eastAsia="zh-CN"/>
        </w:rPr>
        <w:t>兰溪市</w:t>
      </w:r>
      <w:r>
        <w:rPr>
          <w:rFonts w:hint="default" w:ascii="宋体" w:hAnsi="宋体" w:eastAsia="宋体" w:cs="宋体"/>
          <w:spacing w:val="5"/>
          <w:lang w:val="en-US"/>
        </w:rPr>
        <w:t>防灾减灾救灾能力存在严重短板等重点隐患，在</w:t>
      </w:r>
      <w:r>
        <w:rPr>
          <w:rFonts w:hint="default" w:ascii="宋体" w:hAnsi="宋体" w:eastAsia="宋体" w:cs="宋体"/>
          <w:spacing w:val="5"/>
          <w:lang w:val="en-US" w:eastAsia="zh-CN"/>
        </w:rPr>
        <w:t>兰溪市</w:t>
      </w:r>
      <w:r>
        <w:rPr>
          <w:rFonts w:hint="default" w:ascii="宋体" w:hAnsi="宋体" w:eastAsia="宋体" w:cs="宋体"/>
          <w:spacing w:val="5"/>
          <w:lang w:val="en-US"/>
        </w:rPr>
        <w:t>范围内开展调查和识别。对于山丘区重点集镇，开展山洪灾害风险调查，划定危险区域，确定预警阈值。</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三是开展水旱灾害风险评估与区划。综合考虑</w:t>
      </w:r>
      <w:r>
        <w:rPr>
          <w:rFonts w:hint="default" w:ascii="宋体" w:hAnsi="宋体" w:eastAsia="宋体" w:cs="宋体"/>
          <w:spacing w:val="5"/>
          <w:lang w:val="en-US" w:eastAsia="zh-CN"/>
        </w:rPr>
        <w:t>兰溪市</w:t>
      </w:r>
      <w:r>
        <w:rPr>
          <w:rFonts w:hint="default" w:ascii="宋体" w:hAnsi="宋体" w:eastAsia="宋体" w:cs="宋体"/>
          <w:spacing w:val="5"/>
          <w:lang w:val="en-US"/>
        </w:rPr>
        <w:t>当前和未来一段时期水旱灾害风险形势、经济社会发展状况和综合减灾防治措施等因素，编制山丘区中小河流洪水淹没图，提出</w:t>
      </w:r>
      <w:r>
        <w:rPr>
          <w:rFonts w:hint="default" w:ascii="宋体" w:hAnsi="宋体" w:eastAsia="宋体" w:cs="宋体"/>
          <w:spacing w:val="5"/>
          <w:lang w:val="en-US" w:eastAsia="zh-CN"/>
        </w:rPr>
        <w:t>兰溪市全</w:t>
      </w:r>
      <w:r>
        <w:rPr>
          <w:rFonts w:hint="default" w:ascii="宋体" w:hAnsi="宋体" w:eastAsia="宋体" w:cs="宋体"/>
          <w:spacing w:val="5"/>
          <w:lang w:val="en-US"/>
        </w:rPr>
        <w:t>域水旱灾害防治对策。</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87" w:name="_Toc1838"/>
      <w:bookmarkStart w:id="88" w:name="_Toc20391"/>
      <w:bookmarkStart w:id="89" w:name="_Toc19912"/>
      <w:bookmarkStart w:id="90" w:name="_Toc3544"/>
      <w:bookmarkStart w:id="91" w:name="_Toc14526"/>
      <w:bookmarkStart w:id="92" w:name="_Toc929"/>
      <w:bookmarkStart w:id="93" w:name="_Toc9727"/>
      <w:bookmarkStart w:id="94" w:name="_Toc1629"/>
      <w:bookmarkStart w:id="95" w:name="_Toc25471"/>
      <w:bookmarkStart w:id="96" w:name="_Toc1339"/>
      <w:bookmarkStart w:id="97" w:name="_Toc25346"/>
      <w:bookmarkStart w:id="98" w:name="_Toc24909"/>
      <w:bookmarkStart w:id="99" w:name="_Toc18136"/>
      <w:bookmarkStart w:id="100" w:name="_Toc23865"/>
      <w:bookmarkStart w:id="101" w:name="_Toc29108"/>
      <w:bookmarkStart w:id="102" w:name="_Toc15338"/>
      <w:bookmarkStart w:id="103" w:name="_Toc11847"/>
      <w:bookmarkStart w:id="104" w:name="_Toc18727"/>
      <w:bookmarkStart w:id="105" w:name="_Toc22174"/>
      <w:r>
        <w:rPr>
          <w:rFonts w:hint="eastAsia" w:ascii="宋体" w:hAnsi="宋体" w:eastAsia="宋体" w:cs="宋体"/>
          <w:spacing w:val="5"/>
          <w:lang w:val="en-US" w:eastAsia="zh-CN"/>
        </w:rPr>
        <w:t xml:space="preserve">1.2 </w:t>
      </w:r>
      <w:r>
        <w:rPr>
          <w:rFonts w:hint="default" w:ascii="宋体" w:hAnsi="宋体" w:eastAsia="宋体" w:cs="宋体"/>
          <w:spacing w:val="5"/>
          <w:lang w:val="en-US" w:eastAsia="zh-CN"/>
        </w:rPr>
        <w:t>普查范围</w:t>
      </w:r>
      <w:bookmarkEnd w:id="87"/>
      <w:bookmarkEnd w:id="88"/>
      <w:bookmarkEnd w:id="89"/>
      <w:bookmarkEnd w:id="90"/>
      <w:bookmarkEnd w:id="91"/>
      <w:bookmarkEnd w:id="92"/>
      <w:r>
        <w:rPr>
          <w:rFonts w:hint="default" w:ascii="宋体" w:hAnsi="宋体" w:eastAsia="宋体" w:cs="宋体"/>
          <w:spacing w:val="5"/>
          <w:lang w:val="en-US" w:eastAsia="zh-CN"/>
        </w:rPr>
        <w:t>与内容</w:t>
      </w:r>
      <w:bookmarkEnd w:id="93"/>
      <w:bookmarkEnd w:id="94"/>
      <w:bookmarkEnd w:id="95"/>
      <w:bookmarkEnd w:id="96"/>
      <w:bookmarkEnd w:id="97"/>
      <w:bookmarkEnd w:id="98"/>
      <w:bookmarkEnd w:id="99"/>
      <w:bookmarkEnd w:id="100"/>
      <w:bookmarkEnd w:id="101"/>
      <w:bookmarkEnd w:id="102"/>
      <w:bookmarkEnd w:id="103"/>
      <w:bookmarkEnd w:id="104"/>
      <w:bookmarkEnd w:id="105"/>
    </w:p>
    <w:p>
      <w:pPr>
        <w:pStyle w:val="10"/>
        <w:adjustRightInd w:val="0"/>
        <w:snapToGrid w:val="0"/>
        <w:spacing w:before="0" w:line="360" w:lineRule="auto"/>
        <w:ind w:right="0" w:firstLine="440" w:firstLineChars="200"/>
        <w:jc w:val="both"/>
        <w:rPr>
          <w:rFonts w:hint="default" w:ascii="宋体" w:hAnsi="宋体" w:eastAsia="宋体" w:cs="宋体"/>
          <w:spacing w:val="5"/>
          <w:lang w:val="en-US" w:eastAsia="zh-CN"/>
        </w:rPr>
      </w:pPr>
      <w:bookmarkStart w:id="106" w:name="_Toc16852"/>
      <w:bookmarkStart w:id="107" w:name="_Toc32136"/>
      <w:bookmarkStart w:id="108" w:name="_Toc20493"/>
      <w:bookmarkStart w:id="109" w:name="_Toc10406"/>
      <w:bookmarkStart w:id="110" w:name="_Toc29501"/>
      <w:bookmarkStart w:id="111" w:name="_Toc1617"/>
      <w:bookmarkStart w:id="112" w:name="_Toc8833"/>
      <w:bookmarkStart w:id="113" w:name="_Toc3476"/>
      <w:bookmarkStart w:id="114" w:name="_Toc3699"/>
      <w:bookmarkStart w:id="115" w:name="_Toc28438"/>
      <w:bookmarkStart w:id="116" w:name="_Toc15827"/>
      <w:bookmarkStart w:id="117" w:name="_Toc1780"/>
      <w:bookmarkStart w:id="118" w:name="_Toc27308"/>
      <w:r>
        <w:rPr>
          <w:rFonts w:hint="eastAsia" w:ascii="宋体" w:hAnsi="宋体" w:eastAsia="宋体" w:cs="宋体"/>
          <w:spacing w:val="5"/>
          <w:lang w:val="en-US" w:eastAsia="zh-CN"/>
        </w:rPr>
        <w:t xml:space="preserve">1.2.1 </w:t>
      </w:r>
      <w:r>
        <w:rPr>
          <w:rFonts w:hint="default" w:ascii="宋体" w:hAnsi="宋体" w:eastAsia="宋体" w:cs="宋体"/>
          <w:spacing w:val="5"/>
          <w:lang w:val="en-US" w:eastAsia="zh-CN"/>
        </w:rPr>
        <w:t>普查范围</w:t>
      </w:r>
      <w:bookmarkEnd w:id="106"/>
      <w:bookmarkEnd w:id="107"/>
      <w:bookmarkEnd w:id="108"/>
      <w:bookmarkEnd w:id="109"/>
      <w:bookmarkEnd w:id="110"/>
      <w:bookmarkEnd w:id="111"/>
      <w:bookmarkEnd w:id="112"/>
      <w:bookmarkEnd w:id="113"/>
      <w:bookmarkEnd w:id="114"/>
      <w:bookmarkEnd w:id="115"/>
      <w:bookmarkEnd w:id="116"/>
      <w:bookmarkEnd w:id="117"/>
      <w:bookmarkEnd w:id="118"/>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119" w:name="_Toc11638"/>
      <w:bookmarkStart w:id="120" w:name="_Toc25933"/>
      <w:bookmarkStart w:id="121" w:name="_Toc13763"/>
      <w:bookmarkStart w:id="122" w:name="_Toc12028"/>
      <w:bookmarkStart w:id="123" w:name="_Toc31155"/>
      <w:bookmarkStart w:id="124" w:name="_Toc11305"/>
      <w:bookmarkStart w:id="125" w:name="_Toc15510"/>
      <w:r>
        <w:rPr>
          <w:rFonts w:hint="eastAsia" w:ascii="宋体" w:hAnsi="宋体" w:eastAsia="宋体" w:cs="宋体"/>
          <w:spacing w:val="5"/>
          <w:lang w:val="en-US" w:eastAsia="zh-CN"/>
        </w:rPr>
        <w:t xml:space="preserve">1.2.1.1 </w:t>
      </w:r>
      <w:r>
        <w:rPr>
          <w:rFonts w:hint="default" w:ascii="宋体" w:hAnsi="宋体" w:eastAsia="宋体" w:cs="宋体"/>
          <w:spacing w:val="5"/>
          <w:lang w:val="en-US" w:eastAsia="zh-CN"/>
        </w:rPr>
        <w:t>普查对象</w:t>
      </w:r>
      <w:bookmarkEnd w:id="119"/>
      <w:bookmarkEnd w:id="120"/>
      <w:bookmarkEnd w:id="121"/>
      <w:bookmarkEnd w:id="122"/>
      <w:bookmarkEnd w:id="123"/>
      <w:bookmarkEnd w:id="124"/>
      <w:bookmarkEnd w:id="125"/>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rPr>
      </w:pPr>
      <w:r>
        <w:rPr>
          <w:rFonts w:hint="default" w:ascii="宋体" w:hAnsi="宋体" w:eastAsia="宋体" w:cs="宋体"/>
          <w:spacing w:val="5"/>
          <w:szCs w:val="21"/>
          <w:lang w:val="en-US" w:eastAsia="zh-CN"/>
        </w:rPr>
        <w:t>普查对象包括与水旱灾害相关的自然和人文地理要素，兰溪市政府及有关部门，以及乡镇人民政府和街道办事处、村民委员会和居民委员会，重点企事业单位和社会组织，部分居民等。</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126" w:name="_Toc10240"/>
      <w:bookmarkStart w:id="127" w:name="_Toc149"/>
      <w:bookmarkStart w:id="128" w:name="_Toc7008"/>
      <w:bookmarkStart w:id="129" w:name="_Toc27206"/>
      <w:bookmarkStart w:id="130" w:name="_Toc10207"/>
      <w:bookmarkStart w:id="131" w:name="_Toc7244"/>
      <w:bookmarkStart w:id="132" w:name="_Toc13623"/>
      <w:r>
        <w:rPr>
          <w:rFonts w:hint="eastAsia" w:ascii="宋体" w:hAnsi="宋体" w:eastAsia="宋体" w:cs="宋体"/>
          <w:spacing w:val="5"/>
          <w:lang w:val="en-US" w:eastAsia="zh-CN"/>
        </w:rPr>
        <w:t xml:space="preserve">1.2.1.2 </w:t>
      </w:r>
      <w:r>
        <w:rPr>
          <w:rFonts w:hint="default" w:ascii="宋体" w:hAnsi="宋体" w:eastAsia="宋体" w:cs="宋体"/>
          <w:spacing w:val="5"/>
          <w:lang w:val="en-US" w:eastAsia="zh-CN"/>
        </w:rPr>
        <w:t>灾害种类</w:t>
      </w:r>
      <w:bookmarkEnd w:id="126"/>
      <w:bookmarkEnd w:id="127"/>
      <w:bookmarkEnd w:id="128"/>
      <w:bookmarkEnd w:id="129"/>
      <w:bookmarkEnd w:id="130"/>
      <w:bookmarkEnd w:id="131"/>
      <w:bookmarkEnd w:id="132"/>
    </w:p>
    <w:p>
      <w:pPr>
        <w:pStyle w:val="10"/>
        <w:adjustRightInd w:val="0"/>
        <w:snapToGrid w:val="0"/>
        <w:spacing w:before="0" w:line="360" w:lineRule="auto"/>
        <w:ind w:left="0" w:right="0" w:firstLine="440" w:firstLineChars="200"/>
        <w:jc w:val="both"/>
        <w:rPr>
          <w:rFonts w:ascii="宋体" w:hAnsi="宋体" w:eastAsia="宋体" w:cs="宋体"/>
          <w:spacing w:val="5"/>
          <w:lang w:val="en-US"/>
        </w:rPr>
      </w:pPr>
      <w:r>
        <w:rPr>
          <w:rFonts w:ascii="宋体" w:hAnsi="宋体" w:eastAsia="宋体" w:cs="宋体"/>
          <w:spacing w:val="5"/>
          <w:kern w:val="0"/>
          <w:sz w:val="21"/>
          <w:szCs w:val="21"/>
          <w:lang w:val="en-US" w:eastAsia="zh-CN" w:bidi="ar"/>
        </w:rPr>
        <w:t>水利部门负责普查的主要灾害种类是水旱灾害；水旱灾害主要包</w:t>
      </w:r>
      <w:r>
        <w:rPr>
          <w:rFonts w:hint="default" w:ascii="宋体" w:hAnsi="宋体" w:eastAsia="宋体" w:cs="宋体"/>
          <w:spacing w:val="5"/>
          <w:kern w:val="0"/>
          <w:sz w:val="21"/>
          <w:szCs w:val="21"/>
          <w:lang w:val="en-US" w:eastAsia="zh-CN" w:bidi="ar"/>
        </w:rPr>
        <w:t xml:space="preserve">括大江大河洪水、中小河流洪水、山洪灾害和干旱灾害等。 </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133" w:name="_Toc23610"/>
      <w:bookmarkStart w:id="134" w:name="_Toc9230"/>
      <w:bookmarkStart w:id="135" w:name="_Toc6545"/>
      <w:bookmarkStart w:id="136" w:name="_Toc28576"/>
      <w:bookmarkStart w:id="137" w:name="_Toc25048"/>
      <w:bookmarkStart w:id="138" w:name="_Toc570"/>
      <w:bookmarkStart w:id="139" w:name="_Toc22454"/>
      <w:r>
        <w:rPr>
          <w:rFonts w:hint="eastAsia" w:ascii="宋体" w:hAnsi="宋体" w:eastAsia="宋体" w:cs="宋体"/>
          <w:spacing w:val="5"/>
          <w:lang w:val="en-US" w:eastAsia="zh-CN"/>
        </w:rPr>
        <w:t xml:space="preserve">1.2.1.3 </w:t>
      </w:r>
      <w:r>
        <w:rPr>
          <w:rFonts w:hint="default" w:ascii="宋体" w:hAnsi="宋体" w:eastAsia="宋体" w:cs="宋体"/>
          <w:spacing w:val="5"/>
          <w:lang w:val="en-US" w:eastAsia="zh-CN"/>
        </w:rPr>
        <w:t>普查时空范围</w:t>
      </w:r>
      <w:bookmarkEnd w:id="133"/>
      <w:bookmarkEnd w:id="134"/>
      <w:bookmarkEnd w:id="135"/>
      <w:bookmarkEnd w:id="136"/>
      <w:bookmarkEnd w:id="137"/>
      <w:bookmarkEnd w:id="138"/>
      <w:bookmarkEnd w:id="139"/>
    </w:p>
    <w:p>
      <w:pPr>
        <w:pStyle w:val="10"/>
        <w:adjustRightInd w:val="0"/>
        <w:snapToGrid w:val="0"/>
        <w:spacing w:before="0" w:line="360" w:lineRule="auto"/>
        <w:ind w:left="0" w:right="0" w:firstLine="440" w:firstLineChars="200"/>
        <w:jc w:val="both"/>
        <w:rPr>
          <w:rFonts w:hint="default" w:ascii="宋体" w:hAnsi="宋体" w:eastAsia="宋体" w:cs="宋体"/>
          <w:spacing w:val="5"/>
          <w:kern w:val="0"/>
          <w:sz w:val="21"/>
          <w:szCs w:val="21"/>
          <w:lang w:val="en-US" w:eastAsia="zh-CN" w:bidi="ar"/>
        </w:rPr>
      </w:pPr>
      <w:r>
        <w:rPr>
          <w:rFonts w:ascii="宋体" w:hAnsi="宋体" w:eastAsia="宋体" w:cs="宋体"/>
          <w:spacing w:val="5"/>
          <w:kern w:val="0"/>
          <w:sz w:val="21"/>
          <w:szCs w:val="21"/>
          <w:lang w:val="en-US" w:eastAsia="zh-CN" w:bidi="ar"/>
        </w:rPr>
        <w:t>根据调查内容分类确定普查时段（时点），水旱灾害致灾调查收</w:t>
      </w:r>
      <w:r>
        <w:rPr>
          <w:rFonts w:hint="default" w:ascii="宋体" w:hAnsi="宋体" w:eastAsia="宋体" w:cs="宋体"/>
          <w:spacing w:val="5"/>
          <w:kern w:val="0"/>
          <w:sz w:val="21"/>
          <w:szCs w:val="21"/>
          <w:lang w:val="en-US" w:eastAsia="zh-CN" w:bidi="ar"/>
        </w:rPr>
        <w:t>集30年（1990年~2020年）及以上长时段连续序列的数据资料，相关信息更新至 2020年12月31日。洪水灾害重点隐患调查与评估年度时段为2020年1月1日至2020年12月31日，近三年时段为2018年1月1日至2020年12月31 日，时点为2020年12月31日。高程基准体系采用1985国家高程基准（二期），平面坐标系采用2000国家大地坐标系（CGCS2000），投影分带采用高斯—克吕格投影，按6°标准分带。</w:t>
      </w:r>
    </w:p>
    <w:p>
      <w:pPr>
        <w:pStyle w:val="10"/>
        <w:adjustRightInd w:val="0"/>
        <w:snapToGrid w:val="0"/>
        <w:spacing w:before="0" w:line="360" w:lineRule="auto"/>
        <w:ind w:right="0" w:firstLine="440" w:firstLineChars="200"/>
        <w:jc w:val="both"/>
        <w:rPr>
          <w:rFonts w:ascii="宋体" w:hAnsi="宋体" w:eastAsia="宋体" w:cs="宋体"/>
          <w:spacing w:val="5"/>
          <w:lang w:val="en-US"/>
        </w:rPr>
      </w:pPr>
      <w:bookmarkStart w:id="140" w:name="_Toc31297"/>
      <w:bookmarkStart w:id="141" w:name="_Toc12625"/>
      <w:bookmarkStart w:id="142" w:name="_Toc25080"/>
      <w:bookmarkStart w:id="143" w:name="_Toc15736"/>
      <w:bookmarkStart w:id="144" w:name="_Toc23520"/>
      <w:bookmarkStart w:id="145" w:name="_Toc7398"/>
      <w:bookmarkStart w:id="146" w:name="_Toc27367"/>
      <w:bookmarkStart w:id="147" w:name="_Toc11545"/>
      <w:bookmarkStart w:id="148" w:name="_Toc5597"/>
      <w:bookmarkStart w:id="149" w:name="_Toc17570"/>
      <w:bookmarkStart w:id="150" w:name="_Toc27481"/>
      <w:bookmarkStart w:id="151" w:name="_Toc10175"/>
      <w:bookmarkStart w:id="152" w:name="_Toc30631"/>
      <w:bookmarkStart w:id="153" w:name="_Toc4096"/>
      <w:bookmarkStart w:id="154" w:name="_Toc18169"/>
      <w:bookmarkStart w:id="155" w:name="_Toc8881"/>
      <w:bookmarkStart w:id="156" w:name="_Toc31571"/>
      <w:bookmarkStart w:id="157" w:name="_Toc18374"/>
      <w:bookmarkStart w:id="158" w:name="_Toc29715"/>
      <w:r>
        <w:rPr>
          <w:rFonts w:hint="eastAsia" w:ascii="宋体" w:hAnsi="宋体" w:eastAsia="宋体" w:cs="宋体"/>
          <w:spacing w:val="5"/>
          <w:lang w:val="en-US" w:eastAsia="zh-CN"/>
        </w:rPr>
        <w:t xml:space="preserve">1.2.2 </w:t>
      </w:r>
      <w:r>
        <w:rPr>
          <w:rFonts w:hint="default" w:ascii="宋体" w:hAnsi="宋体" w:eastAsia="宋体" w:cs="宋体"/>
          <w:spacing w:val="5"/>
          <w:lang w:val="en-US" w:eastAsia="zh-CN"/>
        </w:rPr>
        <w:t>普查内容</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根据</w:t>
      </w:r>
      <w:r>
        <w:rPr>
          <w:rFonts w:hint="default" w:ascii="宋体" w:hAnsi="宋体" w:eastAsia="宋体" w:cs="宋体"/>
          <w:spacing w:val="5"/>
          <w:lang w:val="en-US" w:eastAsia="zh-CN"/>
        </w:rPr>
        <w:t>《浙江省水利厅关于印发浙江省第一次水旱灾害风险普查实施方案的通知》（浙水灾防〔2021〕13号）和《浙江省水利厅关于做好2021年度山洪灾害防御工作的通知》（浙水灾防〔2021〕4号）</w:t>
      </w:r>
      <w:r>
        <w:rPr>
          <w:rFonts w:hint="default" w:ascii="宋体" w:hAnsi="宋体" w:eastAsia="宋体" w:cs="宋体"/>
          <w:spacing w:val="5"/>
          <w:lang w:val="en-US"/>
        </w:rPr>
        <w:t>要求，结合</w:t>
      </w:r>
      <w:r>
        <w:rPr>
          <w:rFonts w:hint="default" w:ascii="宋体" w:hAnsi="宋体" w:eastAsia="宋体" w:cs="宋体"/>
          <w:spacing w:val="5"/>
          <w:lang w:val="en-US" w:eastAsia="zh-CN"/>
        </w:rPr>
        <w:t>兰溪市</w:t>
      </w:r>
      <w:r>
        <w:rPr>
          <w:rFonts w:hint="default" w:ascii="宋体" w:hAnsi="宋体" w:eastAsia="宋体" w:cs="宋体"/>
          <w:spacing w:val="5"/>
          <w:lang w:val="en-US"/>
        </w:rPr>
        <w:t>水旱灾害防御工作实际，确定</w:t>
      </w:r>
      <w:r>
        <w:rPr>
          <w:rFonts w:hint="default" w:ascii="宋体" w:hAnsi="宋体" w:eastAsia="宋体" w:cs="宋体"/>
          <w:spacing w:val="5"/>
          <w:lang w:val="en-US" w:eastAsia="zh-CN"/>
        </w:rPr>
        <w:t>兰溪市第一次</w:t>
      </w:r>
      <w:r>
        <w:rPr>
          <w:rFonts w:hint="default" w:ascii="宋体" w:hAnsi="宋体" w:eastAsia="宋体" w:cs="宋体"/>
          <w:spacing w:val="5"/>
          <w:lang w:val="en-US"/>
        </w:rPr>
        <w:t>水旱灾害</w:t>
      </w:r>
      <w:r>
        <w:rPr>
          <w:rFonts w:ascii="宋体" w:hAnsi="宋体" w:eastAsia="宋体" w:cs="宋体"/>
          <w:spacing w:val="5"/>
          <w:lang w:val="en-US"/>
        </w:rPr>
        <w:t>风险</w:t>
      </w:r>
      <w:r>
        <w:rPr>
          <w:rFonts w:hint="default" w:ascii="宋体" w:hAnsi="宋体" w:eastAsia="宋体" w:cs="宋体"/>
          <w:spacing w:val="5"/>
          <w:lang w:val="en-US"/>
        </w:rPr>
        <w:t>普查</w:t>
      </w:r>
      <w:r>
        <w:rPr>
          <w:rFonts w:hint="default" w:ascii="宋体" w:hAnsi="宋体" w:eastAsia="宋体" w:cs="宋体"/>
          <w:spacing w:val="5"/>
          <w:lang w:val="en-US" w:eastAsia="zh-CN"/>
        </w:rPr>
        <w:t>任务主要</w:t>
      </w:r>
      <w:r>
        <w:rPr>
          <w:rFonts w:hint="default" w:ascii="宋体" w:hAnsi="宋体" w:eastAsia="宋体" w:cs="宋体"/>
          <w:spacing w:val="5"/>
          <w:lang w:val="en-US"/>
        </w:rPr>
        <w:t>包括</w:t>
      </w:r>
      <w:r>
        <w:rPr>
          <w:rFonts w:hint="default" w:ascii="宋体" w:hAnsi="宋体" w:eastAsia="宋体" w:cs="宋体"/>
          <w:spacing w:val="5"/>
          <w:szCs w:val="21"/>
          <w:lang w:val="en-US" w:eastAsia="zh-CN"/>
        </w:rPr>
        <w:t>水旱灾害风险普查和山洪灾害防治。</w:t>
      </w:r>
      <w:r>
        <w:rPr>
          <w:rFonts w:hint="default" w:ascii="宋体" w:hAnsi="宋体" w:eastAsia="宋体" w:cs="宋体"/>
          <w:spacing w:val="5"/>
          <w:lang w:val="en-US"/>
        </w:rPr>
        <w:t>具体任务如下：</w:t>
      </w:r>
    </w:p>
    <w:p>
      <w:pPr>
        <w:pStyle w:val="10"/>
        <w:adjustRightInd w:val="0"/>
        <w:snapToGrid w:val="0"/>
        <w:spacing w:before="0" w:line="360" w:lineRule="auto"/>
        <w:ind w:left="0" w:right="0" w:firstLine="440" w:firstLineChars="200"/>
        <w:jc w:val="both"/>
        <w:rPr>
          <w:rFonts w:hint="default" w:ascii="宋体" w:hAnsi="宋体" w:eastAsia="宋体" w:cs="宋体"/>
          <w:b w:val="0"/>
          <w:spacing w:val="5"/>
          <w:szCs w:val="21"/>
          <w:lang w:val="en-US" w:eastAsia="zh-CN"/>
        </w:rPr>
      </w:pPr>
      <w:r>
        <w:rPr>
          <w:rFonts w:hint="default" w:ascii="宋体" w:hAnsi="宋体" w:eastAsia="宋体" w:cs="宋体"/>
          <w:b w:val="0"/>
          <w:bCs w:val="0"/>
          <w:spacing w:val="5"/>
          <w:lang w:val="en-US" w:eastAsia="zh-CN"/>
        </w:rPr>
        <w:t>一、</w:t>
      </w:r>
      <w:r>
        <w:rPr>
          <w:rFonts w:hint="default" w:ascii="宋体" w:hAnsi="宋体" w:eastAsia="宋体" w:cs="宋体"/>
          <w:b w:val="0"/>
          <w:spacing w:val="5"/>
          <w:szCs w:val="21"/>
          <w:lang w:val="en-US" w:eastAsia="zh-CN"/>
        </w:rPr>
        <w:t>水旱灾害风险普查</w:t>
      </w:r>
    </w:p>
    <w:p>
      <w:pPr>
        <w:pStyle w:val="10"/>
        <w:adjustRightInd w:val="0"/>
        <w:snapToGrid w:val="0"/>
        <w:spacing w:before="0" w:line="360" w:lineRule="auto"/>
        <w:ind w:left="0" w:right="0" w:firstLine="440" w:firstLineChars="200"/>
        <w:jc w:val="both"/>
        <w:rPr>
          <w:rFonts w:ascii="宋体" w:hAnsi="宋体" w:eastAsia="宋体" w:cs="宋体"/>
          <w:b w:val="0"/>
          <w:bCs w:val="0"/>
          <w:spacing w:val="5"/>
          <w:lang w:val="en-US"/>
        </w:rPr>
      </w:pPr>
      <w:r>
        <w:rPr>
          <w:rFonts w:hint="default" w:ascii="宋体" w:hAnsi="宋体" w:eastAsia="宋体" w:cs="宋体"/>
          <w:b w:val="0"/>
          <w:bCs w:val="0"/>
          <w:spacing w:val="5"/>
          <w:lang w:val="en-US" w:eastAsia="zh-CN"/>
        </w:rPr>
        <w:t>1.</w:t>
      </w:r>
      <w:r>
        <w:rPr>
          <w:rFonts w:hint="eastAsia" w:ascii="宋体" w:hAnsi="宋体" w:eastAsia="宋体" w:cs="宋体"/>
          <w:b w:val="0"/>
          <w:bCs w:val="0"/>
          <w:spacing w:val="5"/>
          <w:lang w:val="en-US" w:eastAsia="zh-CN"/>
        </w:rPr>
        <w:t xml:space="preserve"> </w:t>
      </w:r>
      <w:r>
        <w:rPr>
          <w:rFonts w:ascii="宋体" w:hAnsi="宋体" w:eastAsia="宋体" w:cs="宋体"/>
          <w:b w:val="0"/>
          <w:bCs w:val="0"/>
          <w:spacing w:val="5"/>
          <w:lang w:val="en-US"/>
        </w:rPr>
        <w:t>水旱灾害致灾调查与评估</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ascii="宋体" w:hAnsi="宋体" w:eastAsia="宋体" w:cs="宋体"/>
          <w:spacing w:val="5"/>
          <w:lang w:val="en-US"/>
        </w:rPr>
        <w:t>根据《省级水旱方案》中“水旱灾害致灾调查与评估”工作要求，</w:t>
      </w:r>
      <w:r>
        <w:rPr>
          <w:rFonts w:hint="default" w:ascii="宋体" w:hAnsi="宋体" w:eastAsia="宋体" w:cs="宋体"/>
          <w:spacing w:val="5"/>
          <w:lang w:val="en-US" w:eastAsia="zh-CN"/>
        </w:rPr>
        <w:t>省级负责洪水灾害危险性调查与评估，</w:t>
      </w:r>
      <w:r>
        <w:rPr>
          <w:rFonts w:ascii="宋体" w:hAnsi="宋体" w:eastAsia="宋体" w:cs="宋体"/>
          <w:spacing w:val="5"/>
          <w:lang w:val="en-US"/>
        </w:rPr>
        <w:t>县级负责干旱灾害致灾调查。</w:t>
      </w:r>
    </w:p>
    <w:p>
      <w:pPr>
        <w:pStyle w:val="10"/>
        <w:adjustRightInd w:val="0"/>
        <w:snapToGrid w:val="0"/>
        <w:spacing w:before="0" w:line="360" w:lineRule="auto"/>
        <w:ind w:left="0" w:right="0" w:firstLine="440" w:firstLineChars="200"/>
        <w:jc w:val="both"/>
        <w:rPr>
          <w:rFonts w:hint="default" w:ascii="宋体" w:hAnsi="宋体" w:eastAsia="宋体" w:cs="宋体"/>
          <w:b w:val="0"/>
          <w:spacing w:val="5"/>
          <w:szCs w:val="21"/>
          <w:lang w:val="en-US" w:eastAsia="zh-CN"/>
        </w:rPr>
      </w:pPr>
      <w:r>
        <w:rPr>
          <w:rFonts w:hint="default" w:ascii="宋体" w:hAnsi="宋体" w:eastAsia="宋体" w:cs="宋体"/>
          <w:b w:val="0"/>
          <w:spacing w:val="5"/>
          <w:szCs w:val="21"/>
          <w:lang w:val="en-US" w:eastAsia="zh-CN"/>
        </w:rPr>
        <w:t>（1）县级行政区干旱灾害致灾调查</w:t>
      </w:r>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rPr>
      </w:pPr>
      <w:r>
        <w:rPr>
          <w:rFonts w:hint="default" w:ascii="宋体" w:hAnsi="宋体" w:eastAsia="宋体" w:cs="宋体"/>
          <w:spacing w:val="5"/>
          <w:szCs w:val="21"/>
          <w:lang w:val="en-US"/>
        </w:rPr>
        <w:t>开展干旱灾害致灾调查，针对不同统计单元以及不同受旱对象，调查各统计单元的干旱灾害背景、干旱灾害特点、历史干旱灾害以及抗旱工程和非工程措施等情况，分析不同地区干旱灾害危险性来源、程度等，推进干旱灾害风险管理，提升灾害早期识别和监测、预报、预警能力，为干旱灾害风险评估提供基础支撑。</w:t>
      </w:r>
    </w:p>
    <w:p>
      <w:pPr>
        <w:pStyle w:val="10"/>
        <w:numPr>
          <w:ilvl w:val="0"/>
          <w:numId w:val="4"/>
        </w:numPr>
        <w:adjustRightInd w:val="0"/>
        <w:snapToGrid w:val="0"/>
        <w:spacing w:before="0" w:line="360" w:lineRule="auto"/>
        <w:ind w:left="0" w:right="0" w:firstLine="440" w:firstLineChars="200"/>
        <w:jc w:val="both"/>
        <w:rPr>
          <w:rFonts w:ascii="宋体" w:hAnsi="宋体" w:eastAsia="宋体" w:cs="宋体"/>
          <w:b w:val="0"/>
          <w:bCs w:val="0"/>
          <w:spacing w:val="5"/>
          <w:lang w:val="en-US"/>
        </w:rPr>
      </w:pPr>
      <w:r>
        <w:rPr>
          <w:rFonts w:hint="default" w:ascii="宋体" w:hAnsi="宋体" w:eastAsia="宋体" w:cs="宋体"/>
          <w:b w:val="0"/>
          <w:bCs w:val="0"/>
          <w:spacing w:val="5"/>
          <w:lang w:val="en-US" w:eastAsia="zh-CN"/>
        </w:rPr>
        <w:t>洪水灾害隐患</w:t>
      </w:r>
      <w:r>
        <w:rPr>
          <w:rFonts w:ascii="宋体" w:hAnsi="宋体" w:eastAsia="宋体" w:cs="宋体"/>
          <w:b w:val="0"/>
          <w:bCs w:val="0"/>
          <w:spacing w:val="5"/>
          <w:lang w:val="en-US"/>
        </w:rPr>
        <w:t>调查与评估</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ascii="宋体" w:hAnsi="宋体" w:eastAsia="宋体" w:cs="宋体"/>
          <w:spacing w:val="5"/>
          <w:lang w:val="en-US"/>
        </w:rPr>
        <w:t>根据《省级水旱方案》中“</w:t>
      </w:r>
      <w:r>
        <w:rPr>
          <w:rFonts w:hint="default" w:ascii="宋体" w:hAnsi="宋体" w:eastAsia="宋体" w:cs="宋体"/>
          <w:spacing w:val="5"/>
          <w:lang w:val="en-US" w:eastAsia="zh-CN"/>
        </w:rPr>
        <w:t>洪水灾害隐患</w:t>
      </w:r>
      <w:r>
        <w:rPr>
          <w:rFonts w:ascii="宋体" w:hAnsi="宋体" w:eastAsia="宋体" w:cs="宋体"/>
          <w:spacing w:val="5"/>
          <w:lang w:val="en-US"/>
        </w:rPr>
        <w:t>调查与评估”工作要求，</w:t>
      </w:r>
      <w:r>
        <w:rPr>
          <w:rFonts w:hint="default" w:ascii="宋体" w:hAnsi="宋体" w:eastAsia="宋体" w:cs="宋体"/>
          <w:spacing w:val="5"/>
          <w:lang w:val="en-US" w:eastAsia="zh-CN"/>
        </w:rPr>
        <w:t>省级负责全省水利工程洪水灾害隐患调查成果报告，</w:t>
      </w:r>
      <w:r>
        <w:rPr>
          <w:rFonts w:ascii="宋体" w:hAnsi="宋体" w:eastAsia="宋体" w:cs="宋体"/>
          <w:spacing w:val="5"/>
          <w:lang w:val="en-US"/>
        </w:rPr>
        <w:t>县级负责</w:t>
      </w:r>
      <w:r>
        <w:rPr>
          <w:rFonts w:hint="default" w:ascii="宋体" w:hAnsi="宋体" w:eastAsia="宋体" w:cs="宋体"/>
          <w:spacing w:val="5"/>
          <w:lang w:val="en-US" w:eastAsia="zh-CN"/>
        </w:rPr>
        <w:t>水利工程洪水灾害隐患调查和山丘区重点城集镇山洪风险调查评估。</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b w:val="0"/>
          <w:spacing w:val="5"/>
          <w:szCs w:val="21"/>
          <w:lang w:val="en-US" w:eastAsia="zh-CN"/>
        </w:rPr>
        <w:t>（1）水利工程洪水灾害隐患调查</w:t>
      </w:r>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rPr>
      </w:pPr>
      <w:r>
        <w:rPr>
          <w:rFonts w:hint="default" w:ascii="宋体" w:hAnsi="宋体" w:eastAsia="宋体" w:cs="宋体"/>
          <w:spacing w:val="5"/>
          <w:szCs w:val="21"/>
          <w:lang w:val="en-US"/>
        </w:rPr>
        <w:t>开展洪水灾害隐患调查，对</w:t>
      </w:r>
      <w:r>
        <w:rPr>
          <w:rFonts w:hint="default" w:ascii="宋体" w:hAnsi="宋体" w:eastAsia="宋体" w:cs="宋体"/>
          <w:spacing w:val="5"/>
          <w:szCs w:val="21"/>
          <w:lang w:val="en-US" w:eastAsia="zh-CN"/>
        </w:rPr>
        <w:t>兰溪市</w:t>
      </w:r>
      <w:r>
        <w:rPr>
          <w:rFonts w:ascii="宋体" w:hAnsi="宋体" w:eastAsia="宋体" w:cs="宋体"/>
          <w:spacing w:val="5"/>
          <w:lang w:val="en-US"/>
        </w:rPr>
        <w:t>以总库容</w:t>
      </w:r>
      <w:r>
        <w:rPr>
          <w:rFonts w:hint="default" w:ascii="宋体" w:hAnsi="宋体" w:eastAsia="宋体" w:cs="宋体"/>
          <w:spacing w:val="5"/>
          <w:lang w:val="en-US"/>
        </w:rPr>
        <w:t>10</w:t>
      </w:r>
      <w:r>
        <w:rPr>
          <w:rFonts w:ascii="宋体" w:hAnsi="宋体" w:eastAsia="宋体" w:cs="宋体"/>
          <w:spacing w:val="5"/>
          <w:lang w:val="en-US"/>
        </w:rPr>
        <w:t>万</w:t>
      </w:r>
      <w:r>
        <w:rPr>
          <w:rFonts w:hint="default" w:ascii="宋体" w:hAnsi="宋体" w:eastAsia="宋体" w:cs="宋体"/>
          <w:spacing w:val="5"/>
          <w:lang w:val="en-US"/>
        </w:rPr>
        <w:t>m</w:t>
      </w:r>
      <w:r>
        <w:rPr>
          <w:rFonts w:hint="default" w:ascii="宋体" w:hAnsi="宋体" w:eastAsia="宋体" w:cs="宋体"/>
          <w:spacing w:val="5"/>
          <w:vertAlign w:val="baseline"/>
          <w:lang w:val="en-US"/>
        </w:rPr>
        <w:t>3</w:t>
      </w:r>
      <w:r>
        <w:rPr>
          <w:rFonts w:ascii="宋体" w:hAnsi="宋体" w:eastAsia="宋体" w:cs="宋体"/>
          <w:spacing w:val="5"/>
          <w:lang w:val="en-US"/>
        </w:rPr>
        <w:t>及以上的水库（包括有挡水建筑物的水电站）</w:t>
      </w:r>
      <w:r>
        <w:rPr>
          <w:rFonts w:hint="default" w:ascii="宋体" w:hAnsi="宋体" w:eastAsia="宋体" w:cs="宋体"/>
          <w:spacing w:val="5"/>
          <w:szCs w:val="21"/>
          <w:lang w:val="en-US" w:eastAsia="zh-CN"/>
        </w:rPr>
        <w:t>、</w:t>
      </w:r>
      <w:r>
        <w:rPr>
          <w:rFonts w:hint="default" w:ascii="宋体" w:hAnsi="宋体" w:eastAsia="宋体" w:cs="宋体"/>
          <w:spacing w:val="5"/>
          <w:szCs w:val="21"/>
          <w:lang w:val="en-US"/>
        </w:rPr>
        <w:t>水闸</w:t>
      </w:r>
      <w:r>
        <w:rPr>
          <w:rFonts w:hint="default" w:ascii="宋体" w:hAnsi="宋体" w:eastAsia="宋体" w:cs="宋体"/>
          <w:spacing w:val="5"/>
          <w:szCs w:val="21"/>
          <w:lang w:val="en-US" w:eastAsia="zh-CN"/>
        </w:rPr>
        <w:t>（过闸流量≥5m</w:t>
      </w:r>
      <w:r>
        <w:rPr>
          <w:rFonts w:hint="default" w:ascii="宋体" w:hAnsi="宋体" w:eastAsia="宋体" w:cs="宋体"/>
          <w:spacing w:val="5"/>
          <w:szCs w:val="21"/>
          <w:vertAlign w:val="baseline"/>
          <w:lang w:val="en-US" w:eastAsia="zh-CN"/>
        </w:rPr>
        <w:t>3/s)</w:t>
      </w:r>
      <w:r>
        <w:rPr>
          <w:rFonts w:hint="default" w:ascii="宋体" w:hAnsi="宋体" w:eastAsia="宋体" w:cs="宋体"/>
          <w:spacing w:val="5"/>
          <w:szCs w:val="21"/>
          <w:lang w:val="en-US"/>
        </w:rPr>
        <w:t>、堤防</w:t>
      </w:r>
      <w:r>
        <w:rPr>
          <w:rFonts w:hint="default" w:ascii="宋体" w:hAnsi="宋体" w:eastAsia="宋体" w:cs="宋体"/>
          <w:spacing w:val="5"/>
          <w:szCs w:val="21"/>
          <w:lang w:val="en-US" w:eastAsia="zh-CN"/>
        </w:rPr>
        <w:t>(级别≥5级）</w:t>
      </w:r>
      <w:r>
        <w:rPr>
          <w:rFonts w:hint="default" w:ascii="宋体" w:hAnsi="宋体" w:eastAsia="宋体" w:cs="宋体"/>
          <w:spacing w:val="5"/>
          <w:szCs w:val="21"/>
          <w:lang w:val="en-US"/>
        </w:rPr>
        <w:t>等水利工程现状防洪能力、工程安全评价成果、运行管理状况等进行调查与评估。</w:t>
      </w:r>
    </w:p>
    <w:p>
      <w:pPr>
        <w:pStyle w:val="10"/>
        <w:adjustRightInd w:val="0"/>
        <w:snapToGrid w:val="0"/>
        <w:spacing w:before="0" w:line="360" w:lineRule="auto"/>
        <w:ind w:left="0" w:right="0" w:firstLine="440" w:firstLineChars="200"/>
        <w:jc w:val="both"/>
        <w:rPr>
          <w:rFonts w:hint="default" w:ascii="宋体" w:hAnsi="宋体" w:eastAsia="宋体" w:cs="宋体"/>
          <w:b w:val="0"/>
          <w:spacing w:val="5"/>
          <w:szCs w:val="21"/>
          <w:lang w:val="en-US" w:eastAsia="zh-CN"/>
        </w:rPr>
      </w:pPr>
      <w:r>
        <w:rPr>
          <w:rFonts w:hint="default" w:ascii="宋体" w:hAnsi="宋体" w:eastAsia="宋体" w:cs="宋体"/>
          <w:b w:val="0"/>
          <w:spacing w:val="5"/>
          <w:szCs w:val="21"/>
          <w:lang w:val="en-US" w:eastAsia="zh-CN"/>
        </w:rPr>
        <w:t>（</w:t>
      </w:r>
      <w:r>
        <w:rPr>
          <w:rFonts w:hint="default" w:ascii="宋体" w:hAnsi="宋体" w:eastAsia="宋体" w:cs="宋体"/>
          <w:b w:val="0"/>
          <w:bCs w:val="0"/>
          <w:spacing w:val="5"/>
          <w:szCs w:val="21"/>
          <w:lang w:val="en-US" w:eastAsia="zh-CN"/>
        </w:rPr>
        <w:t>2）</w:t>
      </w:r>
      <w:r>
        <w:rPr>
          <w:rFonts w:hint="default" w:ascii="宋体" w:hAnsi="宋体" w:eastAsia="宋体" w:cs="宋体"/>
          <w:b w:val="0"/>
          <w:bCs w:val="0"/>
          <w:spacing w:val="5"/>
          <w:lang w:val="en-US" w:eastAsia="zh-CN"/>
        </w:rPr>
        <w:t>山丘区重点城集镇山洪风险调查评估</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ascii="宋体" w:hAnsi="宋体" w:eastAsia="宋体" w:cs="宋体"/>
          <w:spacing w:val="5"/>
          <w:lang w:val="en-US"/>
        </w:rPr>
        <w:t>根据《省级水旱方案》</w:t>
      </w:r>
      <w:r>
        <w:rPr>
          <w:rFonts w:hint="default" w:ascii="宋体" w:hAnsi="宋体" w:eastAsia="宋体" w:cs="宋体"/>
          <w:spacing w:val="5"/>
          <w:lang w:val="en-US" w:eastAsia="zh-CN"/>
        </w:rPr>
        <w:t>，兰溪市本次山丘区重点集镇山洪风险调查评估为7个集镇，考虑到兰溪市为全省防洪重点县市之一，市内江河湖库星罗密布，水文气候形式复杂，除省方案确定的7个集镇外，其余9个乡镇（街道）防汛压力同样严峻，故兰溪以本次水旱灾害风险普查为契机，全面摸清市内集镇山洪风险，为后续防汛指挥决策提供更好的基础支撑。任务包括：</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①开展兰溪市7个乡镇（街道）山丘区重点集镇山洪风险调查评估。</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rPr>
      </w:pPr>
      <w:r>
        <w:rPr>
          <w:rFonts w:hint="default" w:ascii="宋体" w:hAnsi="宋体" w:eastAsia="宋体" w:cs="宋体"/>
          <w:b w:val="0"/>
          <w:bCs w:val="0"/>
          <w:spacing w:val="5"/>
          <w:szCs w:val="21"/>
          <w:lang w:val="en-US"/>
        </w:rPr>
        <w:t>开展</w:t>
      </w:r>
      <w:r>
        <w:rPr>
          <w:rFonts w:hint="default" w:ascii="宋体" w:hAnsi="宋体" w:eastAsia="宋体" w:cs="宋体"/>
          <w:b w:val="0"/>
          <w:bCs w:val="0"/>
          <w:spacing w:val="5"/>
          <w:szCs w:val="21"/>
          <w:lang w:val="en-US" w:eastAsia="zh-CN"/>
        </w:rPr>
        <w:t>兰溪市黄店镇、柏社乡、梅江镇、马涧镇、灵洞乡、横溪镇和香溪镇等7个乡镇（街道）</w:t>
      </w:r>
      <w:r>
        <w:rPr>
          <w:rFonts w:hint="default" w:ascii="宋体" w:hAnsi="宋体" w:eastAsia="宋体" w:cs="宋体"/>
          <w:b w:val="0"/>
          <w:bCs w:val="0"/>
          <w:spacing w:val="5"/>
          <w:szCs w:val="21"/>
          <w:lang w:val="en-US"/>
        </w:rPr>
        <w:t>山丘区重点集镇山洪风险调查，完成重点集镇的自然、社会属性，分析防洪能力，评估洪水风险，划分危险区，确定预警指标，绘制危险区图。</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②开展兰溪市其余9个乡镇（街道）山丘区重点集镇山洪风险调查评估与复核评价。</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spacing w:val="5"/>
          <w:szCs w:val="21"/>
          <w:lang w:val="en-US"/>
        </w:rPr>
        <w:t>开展</w:t>
      </w:r>
      <w:r>
        <w:rPr>
          <w:rFonts w:hint="default" w:ascii="宋体" w:hAnsi="宋体" w:eastAsia="宋体" w:cs="宋体"/>
          <w:spacing w:val="5"/>
          <w:szCs w:val="21"/>
          <w:lang w:val="en-US" w:eastAsia="zh-CN"/>
        </w:rPr>
        <w:t>兰溪市赤溪街道、三江街道、女埠街道、水亭畲族乡、永昌街道、游埠镇、云山街道、上华街道、诸葛镇</w:t>
      </w:r>
      <w:r>
        <w:rPr>
          <w:rFonts w:hint="default" w:ascii="宋体" w:hAnsi="宋体" w:eastAsia="宋体" w:cs="宋体"/>
          <w:spacing w:val="5"/>
          <w:lang w:val="en-US" w:eastAsia="zh-CN"/>
        </w:rPr>
        <w:t>等</w:t>
      </w:r>
      <w:r>
        <w:rPr>
          <w:rFonts w:hint="default" w:ascii="宋体" w:hAnsi="宋体" w:eastAsia="宋体" w:cs="宋体"/>
          <w:spacing w:val="5"/>
          <w:szCs w:val="21"/>
          <w:lang w:val="en-US" w:eastAsia="zh-CN"/>
        </w:rPr>
        <w:t>9个乡镇（街道）</w:t>
      </w:r>
      <w:r>
        <w:rPr>
          <w:rFonts w:hint="default" w:ascii="宋体" w:hAnsi="宋体" w:eastAsia="宋体" w:cs="宋体"/>
          <w:b w:val="0"/>
          <w:bCs w:val="0"/>
          <w:spacing w:val="5"/>
          <w:szCs w:val="21"/>
          <w:lang w:val="en-US" w:eastAsia="zh-CN"/>
        </w:rPr>
        <w:t>重点集镇山洪风险调查评估与复核评价。</w:t>
      </w:r>
    </w:p>
    <w:p>
      <w:pPr>
        <w:pStyle w:val="10"/>
        <w:numPr>
          <w:ilvl w:val="0"/>
          <w:numId w:val="5"/>
        </w:numPr>
        <w:adjustRightInd w:val="0"/>
        <w:snapToGrid w:val="0"/>
        <w:spacing w:before="0" w:line="360" w:lineRule="auto"/>
        <w:ind w:left="0" w:right="0" w:firstLine="440" w:firstLineChars="200"/>
        <w:jc w:val="both"/>
        <w:rPr>
          <w:rFonts w:hint="default" w:ascii="宋体" w:hAnsi="宋体" w:eastAsia="宋体" w:cs="宋体"/>
          <w:b w:val="0"/>
          <w:bCs w:val="0"/>
          <w:spacing w:val="5"/>
          <w:lang w:val="en-US" w:eastAsia="zh-CN"/>
        </w:rPr>
      </w:pPr>
      <w:r>
        <w:rPr>
          <w:rFonts w:hint="default" w:ascii="宋体" w:hAnsi="宋体" w:eastAsia="宋体" w:cs="宋体"/>
          <w:b w:val="0"/>
          <w:bCs w:val="0"/>
          <w:spacing w:val="5"/>
          <w:lang w:val="en-US" w:eastAsia="zh-CN"/>
        </w:rPr>
        <w:t>水旱灾害风险评估与区划</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ascii="宋体" w:hAnsi="宋体" w:eastAsia="宋体" w:cs="宋体"/>
          <w:spacing w:val="5"/>
          <w:lang w:val="en-US"/>
        </w:rPr>
        <w:t>根据《省级水旱方案》中“</w:t>
      </w:r>
      <w:r>
        <w:rPr>
          <w:rFonts w:hint="default" w:ascii="宋体" w:hAnsi="宋体" w:eastAsia="宋体" w:cs="宋体"/>
          <w:spacing w:val="5"/>
          <w:lang w:val="en-US" w:eastAsia="zh-CN"/>
        </w:rPr>
        <w:t>水旱灾害风险评估与区划</w:t>
      </w:r>
      <w:r>
        <w:rPr>
          <w:rFonts w:ascii="宋体" w:hAnsi="宋体" w:eastAsia="宋体" w:cs="宋体"/>
          <w:spacing w:val="5"/>
          <w:lang w:val="en-US"/>
        </w:rPr>
        <w:t>”工作要求，</w:t>
      </w:r>
      <w:r>
        <w:rPr>
          <w:rFonts w:hint="default" w:ascii="宋体" w:hAnsi="宋体" w:eastAsia="宋体" w:cs="宋体"/>
          <w:spacing w:val="5"/>
          <w:lang w:val="en-US" w:eastAsia="zh-CN"/>
        </w:rPr>
        <w:t>省级负责全省洪水风险区划、全省洪水灾害防治区划、干旱灾害风险评估、干旱灾害风险区划和干旱灾害防治区划，</w:t>
      </w:r>
      <w:r>
        <w:rPr>
          <w:rFonts w:ascii="宋体" w:hAnsi="宋体" w:eastAsia="宋体" w:cs="宋体"/>
          <w:spacing w:val="5"/>
          <w:lang w:val="en-US"/>
        </w:rPr>
        <w:t>县级负责</w:t>
      </w:r>
      <w:r>
        <w:rPr>
          <w:rFonts w:hint="default" w:ascii="宋体" w:hAnsi="宋体" w:eastAsia="宋体" w:cs="宋体"/>
          <w:spacing w:val="5"/>
          <w:lang w:val="en-US" w:eastAsia="zh-CN"/>
        </w:rPr>
        <w:t>山丘区中小河流洪水淹没图。</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（1）山丘区中小河流洪水淹没图绘制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spacing w:val="5"/>
          <w:lang w:val="en-US" w:eastAsia="zh-CN"/>
        </w:rPr>
        <w:t>开展山丘区中小河流洪水淹没图绘制，主要</w:t>
      </w:r>
      <w:r>
        <w:rPr>
          <w:rFonts w:ascii="宋体" w:hAnsi="宋体" w:eastAsia="宋体" w:cs="宋体"/>
          <w:spacing w:val="5"/>
          <w:lang w:val="en-US" w:eastAsia="zh-CN"/>
        </w:rPr>
        <w:t>针对山丘区流域面积为</w:t>
      </w:r>
      <w:r>
        <w:rPr>
          <w:rFonts w:hint="default" w:ascii="宋体" w:hAnsi="宋体" w:eastAsia="宋体" w:cs="宋体"/>
          <w:spacing w:val="5"/>
          <w:lang w:val="en-US" w:eastAsia="zh-CN"/>
        </w:rPr>
        <w:t>200~3000km</w:t>
      </w:r>
      <w:r>
        <w:rPr>
          <w:rFonts w:hint="default" w:ascii="宋体" w:hAnsi="宋体" w:eastAsia="宋体" w:cs="宋体"/>
          <w:spacing w:val="5"/>
          <w:vertAlign w:val="baseline"/>
          <w:lang w:val="en-US" w:eastAsia="zh-CN"/>
        </w:rPr>
        <w:t>2</w:t>
      </w:r>
      <w:r>
        <w:rPr>
          <w:rFonts w:hint="default" w:ascii="宋体" w:hAnsi="宋体" w:eastAsia="宋体" w:cs="宋体"/>
          <w:spacing w:val="5"/>
          <w:lang w:val="en-US" w:eastAsia="zh-CN"/>
        </w:rPr>
        <w:t>的中小河流且两岸有人居住或农田等防洪保护对象的河段，拟对兰溪市境内的梅溪干流（上至第一个沿河自然村，下至河口）进行洪水淹没图的绘制。</w:t>
      </w:r>
    </w:p>
    <w:p>
      <w:pPr>
        <w:pStyle w:val="10"/>
        <w:numPr>
          <w:ilvl w:val="0"/>
          <w:numId w:val="5"/>
        </w:numPr>
        <w:adjustRightInd w:val="0"/>
        <w:snapToGrid w:val="0"/>
        <w:spacing w:before="0" w:line="360" w:lineRule="auto"/>
        <w:ind w:left="0" w:right="0" w:firstLine="440" w:firstLineChars="200"/>
        <w:jc w:val="both"/>
        <w:rPr>
          <w:rFonts w:hint="default" w:ascii="宋体" w:hAnsi="宋体" w:eastAsia="宋体" w:cs="宋体"/>
          <w:b w:val="0"/>
          <w:bCs w:val="0"/>
          <w:spacing w:val="5"/>
          <w:lang w:val="en-US" w:eastAsia="zh-CN"/>
        </w:rPr>
      </w:pPr>
      <w:r>
        <w:rPr>
          <w:rFonts w:hint="default" w:ascii="宋体" w:hAnsi="宋体" w:eastAsia="宋体" w:cs="宋体"/>
          <w:b w:val="0"/>
          <w:bCs w:val="0"/>
          <w:spacing w:val="5"/>
          <w:lang w:val="en-US" w:eastAsia="zh-CN"/>
        </w:rPr>
        <w:t>其他</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（1）</w:t>
      </w:r>
      <w:r>
        <w:rPr>
          <w:rFonts w:hint="default" w:ascii="宋体" w:hAnsi="宋体" w:eastAsia="宋体" w:cs="宋体"/>
          <w:b w:val="0"/>
          <w:bCs w:val="0"/>
          <w:spacing w:val="5"/>
          <w:lang w:val="en-US" w:eastAsia="zh-CN"/>
        </w:rPr>
        <w:t>兰溪市水旱灾害风险普查培训</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spacing w:val="5"/>
          <w:lang w:val="en-US" w:eastAsia="zh-CN"/>
        </w:rPr>
        <w:t>为推进水旱灾害风险普查工作，提升水务局、乡镇（街道）等水旱灾害风险普查相关人员对该项工作的认知水平，保障本次普查工作顺利完成。在项目实施之前和实施过程对兰溪市相关人员进行水旱灾害风险普查培训。</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（2）</w:t>
      </w:r>
      <w:r>
        <w:rPr>
          <w:rFonts w:hint="default" w:ascii="宋体" w:hAnsi="宋体" w:eastAsia="宋体" w:cs="宋体"/>
          <w:b w:val="0"/>
          <w:bCs w:val="0"/>
          <w:spacing w:val="5"/>
          <w:lang w:val="en-US" w:eastAsia="zh-CN"/>
        </w:rPr>
        <w:t>编制兰溪市水旱灾害风险普查成果报告</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lang w:val="en-US" w:eastAsia="zh-CN"/>
        </w:rPr>
      </w:pPr>
      <w:r>
        <w:rPr>
          <w:rFonts w:hint="default" w:ascii="宋体" w:hAnsi="宋体" w:eastAsia="宋体" w:cs="宋体"/>
          <w:b w:val="0"/>
          <w:bCs w:val="0"/>
          <w:spacing w:val="5"/>
          <w:lang w:val="en-US" w:eastAsia="zh-CN"/>
        </w:rPr>
        <w:t>为总结本年度水旱灾害风险普查工作成效，为后续水旱灾害防治工作提供更好的基础数据支撑，本次根据兰溪市水旱灾害普查的成果编制《兰溪市水旱灾害风险普查成果报告》。</w:t>
      </w:r>
    </w:p>
    <w:p>
      <w:pPr>
        <w:pStyle w:val="10"/>
        <w:adjustRightInd w:val="0"/>
        <w:snapToGrid w:val="0"/>
        <w:spacing w:before="0" w:line="360" w:lineRule="auto"/>
        <w:ind w:left="0" w:right="0" w:firstLine="440" w:firstLineChars="200"/>
        <w:jc w:val="both"/>
        <w:rPr>
          <w:rFonts w:hint="default" w:ascii="宋体" w:hAnsi="宋体" w:eastAsia="宋体" w:cs="宋体"/>
          <w:b w:val="0"/>
          <w:spacing w:val="5"/>
          <w:szCs w:val="21"/>
          <w:lang w:val="en-US" w:eastAsia="zh-CN"/>
        </w:rPr>
      </w:pPr>
      <w:r>
        <w:rPr>
          <w:rFonts w:hint="default" w:ascii="宋体" w:hAnsi="宋体" w:eastAsia="宋体" w:cs="宋体"/>
          <w:b w:val="0"/>
          <w:spacing w:val="5"/>
          <w:szCs w:val="21"/>
          <w:lang w:val="en-US" w:eastAsia="zh-CN"/>
        </w:rPr>
        <w:t>二、山洪灾害防治</w:t>
      </w:r>
    </w:p>
    <w:p>
      <w:pPr>
        <w:pStyle w:val="10"/>
        <w:adjustRightInd w:val="0"/>
        <w:snapToGrid w:val="0"/>
        <w:spacing w:before="0" w:line="360" w:lineRule="auto"/>
        <w:ind w:left="0" w:right="0" w:firstLine="440" w:firstLineChars="200"/>
        <w:jc w:val="both"/>
        <w:rPr>
          <w:rFonts w:hint="default" w:ascii="宋体" w:hAnsi="宋体" w:eastAsia="宋体" w:cs="宋体"/>
          <w:b w:val="0"/>
          <w:spacing w:val="5"/>
          <w:szCs w:val="21"/>
          <w:lang w:val="en-US" w:eastAsia="zh-CN"/>
        </w:rPr>
      </w:pPr>
      <w:r>
        <w:rPr>
          <w:rFonts w:hint="default" w:ascii="宋体" w:hAnsi="宋体" w:eastAsia="宋体" w:cs="宋体"/>
          <w:b w:val="0"/>
          <w:spacing w:val="5"/>
          <w:szCs w:val="21"/>
          <w:lang w:val="en-US" w:eastAsia="zh-CN"/>
        </w:rPr>
        <w:t>1.补充调查评价</w:t>
      </w:r>
    </w:p>
    <w:p>
      <w:pPr>
        <w:pStyle w:val="10"/>
        <w:adjustRightInd w:val="0"/>
        <w:snapToGrid w:val="0"/>
        <w:spacing w:before="0" w:line="360" w:lineRule="auto"/>
        <w:ind w:left="0" w:right="0" w:firstLine="440" w:firstLineChars="200"/>
        <w:jc w:val="both"/>
        <w:rPr>
          <w:rFonts w:hint="default" w:ascii="宋体" w:hAnsi="宋体" w:eastAsia="宋体" w:cs="宋体"/>
          <w:b w:val="0"/>
          <w:spacing w:val="5"/>
          <w:szCs w:val="21"/>
          <w:lang w:val="en-US" w:eastAsia="zh-CN"/>
        </w:rPr>
      </w:pPr>
      <w:r>
        <w:rPr>
          <w:rFonts w:hint="default" w:ascii="宋体" w:hAnsi="宋体" w:eastAsia="宋体" w:cs="宋体"/>
          <w:b w:val="0"/>
          <w:spacing w:val="5"/>
          <w:szCs w:val="21"/>
          <w:lang w:val="en-US" w:eastAsia="zh-CN"/>
        </w:rPr>
        <w:t>（1）</w:t>
      </w:r>
      <w:r>
        <w:rPr>
          <w:rFonts w:hint="default" w:ascii="宋体" w:hAnsi="宋体" w:eastAsia="宋体" w:cs="宋体"/>
          <w:b w:val="0"/>
          <w:spacing w:val="5"/>
          <w:szCs w:val="21"/>
          <w:lang w:val="en-US"/>
        </w:rPr>
        <w:t>山丘区重点</w:t>
      </w:r>
      <w:r>
        <w:rPr>
          <w:rFonts w:hint="default" w:ascii="宋体" w:hAnsi="宋体" w:eastAsia="宋体" w:cs="宋体"/>
          <w:b w:val="0"/>
          <w:spacing w:val="5"/>
          <w:szCs w:val="21"/>
          <w:lang w:val="en-US" w:eastAsia="zh-CN"/>
        </w:rPr>
        <w:t>城</w:t>
      </w:r>
      <w:r>
        <w:rPr>
          <w:rFonts w:hint="default" w:ascii="宋体" w:hAnsi="宋体" w:eastAsia="宋体" w:cs="宋体"/>
          <w:b w:val="0"/>
          <w:spacing w:val="5"/>
          <w:szCs w:val="21"/>
          <w:lang w:val="en-US"/>
        </w:rPr>
        <w:t>集镇山洪风险调查</w:t>
      </w:r>
      <w:r>
        <w:rPr>
          <w:rFonts w:hint="default" w:ascii="宋体" w:hAnsi="宋体" w:eastAsia="宋体" w:cs="宋体"/>
          <w:b w:val="0"/>
          <w:spacing w:val="5"/>
          <w:szCs w:val="21"/>
          <w:lang w:val="en-US" w:eastAsia="zh-CN"/>
        </w:rPr>
        <w:t>评估</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spacing w:val="5"/>
          <w:lang w:val="en-US" w:eastAsia="zh-CN"/>
        </w:rPr>
        <w:t>此项内容在洪水灾害隐患调查与评估已经开展。</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spacing w:val="5"/>
          <w:szCs w:val="21"/>
          <w:lang w:val="en-US" w:eastAsia="zh-CN"/>
        </w:rPr>
        <w:t>（2）</w:t>
      </w:r>
      <w:r>
        <w:rPr>
          <w:rFonts w:hint="default" w:ascii="宋体" w:hAnsi="宋体" w:eastAsia="宋体" w:cs="宋体"/>
          <w:b w:val="0"/>
          <w:bCs w:val="0"/>
          <w:spacing w:val="5"/>
          <w:szCs w:val="21"/>
          <w:lang w:val="en-US" w:eastAsia="zh-CN"/>
        </w:rPr>
        <w:t>沿河村落预警水位划定</w:t>
      </w:r>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rPr>
      </w:pPr>
      <w:r>
        <w:rPr>
          <w:rFonts w:hint="default" w:ascii="宋体" w:hAnsi="宋体" w:eastAsia="宋体" w:cs="宋体"/>
          <w:spacing w:val="5"/>
          <w:lang w:val="en-US"/>
        </w:rPr>
        <w:t>根据</w:t>
      </w:r>
      <w:r>
        <w:rPr>
          <w:rFonts w:ascii="宋体" w:hAnsi="宋体" w:eastAsia="宋体" w:cs="宋体"/>
          <w:spacing w:val="5"/>
          <w:lang w:val="en-US"/>
        </w:rPr>
        <w:t>“</w:t>
      </w:r>
      <w:r>
        <w:rPr>
          <w:rFonts w:hint="default" w:ascii="宋体" w:hAnsi="宋体" w:eastAsia="宋体" w:cs="宋体"/>
          <w:spacing w:val="5"/>
          <w:lang w:val="en-US"/>
        </w:rPr>
        <w:t>准备</w:t>
      </w:r>
      <w:r>
        <w:rPr>
          <w:rFonts w:ascii="宋体" w:hAnsi="宋体" w:eastAsia="宋体" w:cs="宋体"/>
          <w:spacing w:val="5"/>
          <w:lang w:val="en-US"/>
        </w:rPr>
        <w:t>转移”</w:t>
      </w:r>
      <w:r>
        <w:rPr>
          <w:rFonts w:hint="default" w:ascii="宋体" w:hAnsi="宋体" w:eastAsia="宋体" w:cs="宋体"/>
          <w:spacing w:val="5"/>
          <w:lang w:val="en-US"/>
        </w:rPr>
        <w:t>和“立即</w:t>
      </w:r>
      <w:r>
        <w:rPr>
          <w:rFonts w:ascii="宋体" w:hAnsi="宋体" w:eastAsia="宋体" w:cs="宋体"/>
          <w:spacing w:val="5"/>
          <w:lang w:val="en-US"/>
        </w:rPr>
        <w:t>转移</w:t>
      </w:r>
      <w:r>
        <w:rPr>
          <w:rFonts w:hint="default" w:ascii="宋体" w:hAnsi="宋体" w:eastAsia="宋体" w:cs="宋体"/>
          <w:spacing w:val="5"/>
          <w:lang w:val="en-US"/>
        </w:rPr>
        <w:t>”两个</w:t>
      </w:r>
      <w:r>
        <w:rPr>
          <w:rFonts w:ascii="宋体" w:hAnsi="宋体" w:eastAsia="宋体" w:cs="宋体"/>
          <w:spacing w:val="5"/>
          <w:lang w:val="en-US"/>
        </w:rPr>
        <w:t>预警阈值，</w:t>
      </w:r>
      <w:r>
        <w:rPr>
          <w:rFonts w:hint="default" w:ascii="宋体" w:hAnsi="宋体" w:eastAsia="宋体" w:cs="宋体"/>
          <w:spacing w:val="5"/>
          <w:lang w:val="en-US"/>
        </w:rPr>
        <w:t>推定山洪灾害</w:t>
      </w:r>
      <w:r>
        <w:rPr>
          <w:rFonts w:ascii="宋体" w:hAnsi="宋体" w:eastAsia="宋体" w:cs="宋体"/>
          <w:spacing w:val="5"/>
          <w:lang w:val="en-US"/>
        </w:rPr>
        <w:t>防御重要村落（</w:t>
      </w:r>
      <w:r>
        <w:rPr>
          <w:rFonts w:hint="default" w:ascii="宋体" w:hAnsi="宋体" w:eastAsia="宋体" w:cs="宋体"/>
          <w:spacing w:val="5"/>
          <w:lang w:val="en-US"/>
        </w:rPr>
        <w:t>沿河</w:t>
      </w:r>
      <w:r>
        <w:rPr>
          <w:rFonts w:ascii="宋体" w:hAnsi="宋体" w:eastAsia="宋体" w:cs="宋体"/>
          <w:spacing w:val="5"/>
          <w:lang w:val="en-US"/>
        </w:rPr>
        <w:t>）</w:t>
      </w:r>
      <w:r>
        <w:rPr>
          <w:rFonts w:hint="default" w:ascii="宋体" w:hAnsi="宋体" w:eastAsia="宋体" w:cs="宋体"/>
          <w:spacing w:val="5"/>
          <w:lang w:val="en-US"/>
        </w:rPr>
        <w:t>警戒水位</w:t>
      </w:r>
      <w:r>
        <w:rPr>
          <w:rFonts w:ascii="宋体" w:hAnsi="宋体" w:eastAsia="宋体" w:cs="宋体"/>
          <w:spacing w:val="5"/>
          <w:lang w:val="en-US"/>
        </w:rPr>
        <w:t>和危急水位，</w:t>
      </w:r>
      <w:r>
        <w:rPr>
          <w:rFonts w:hint="default" w:ascii="宋体" w:hAnsi="宋体" w:eastAsia="宋体" w:cs="宋体"/>
          <w:spacing w:val="5"/>
          <w:lang w:val="en-US" w:eastAsia="zh-CN"/>
        </w:rPr>
        <w:t>安装水位尺</w:t>
      </w:r>
      <w:r>
        <w:rPr>
          <w:rFonts w:ascii="宋体" w:hAnsi="宋体" w:eastAsia="宋体" w:cs="宋体"/>
          <w:spacing w:val="5"/>
          <w:lang w:val="en-US"/>
        </w:rPr>
        <w:t>做出</w:t>
      </w:r>
      <w:r>
        <w:rPr>
          <w:rFonts w:hint="default" w:ascii="宋体" w:hAnsi="宋体" w:eastAsia="宋体" w:cs="宋体"/>
          <w:spacing w:val="5"/>
          <w:lang w:val="en-US"/>
        </w:rPr>
        <w:t>明显标志，</w:t>
      </w:r>
      <w:r>
        <w:rPr>
          <w:rFonts w:ascii="宋体" w:hAnsi="宋体" w:eastAsia="宋体" w:cs="宋体"/>
          <w:spacing w:val="5"/>
          <w:lang w:val="en-US"/>
        </w:rPr>
        <w:t>以便监测。</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spacing w:val="5"/>
          <w:szCs w:val="21"/>
          <w:lang w:val="en-US" w:eastAsia="zh-CN"/>
        </w:rPr>
        <w:t>（3）</w:t>
      </w:r>
      <w:r>
        <w:rPr>
          <w:rFonts w:hint="default" w:ascii="宋体" w:hAnsi="宋体" w:eastAsia="宋体" w:cs="宋体"/>
          <w:b w:val="0"/>
          <w:bCs w:val="0"/>
          <w:spacing w:val="5"/>
          <w:szCs w:val="21"/>
          <w:lang w:val="en-US" w:eastAsia="zh-CN"/>
        </w:rPr>
        <w:t>危险区动态管理清单编制</w:t>
      </w:r>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rPr>
      </w:pPr>
      <w:r>
        <w:rPr>
          <w:rFonts w:hint="default" w:ascii="宋体" w:hAnsi="宋体" w:eastAsia="宋体" w:cs="宋体"/>
          <w:spacing w:val="5"/>
          <w:szCs w:val="21"/>
          <w:lang w:val="en-US" w:eastAsia="zh-CN"/>
        </w:rPr>
        <w:t>根据</w:t>
      </w:r>
      <w:r>
        <w:rPr>
          <w:rFonts w:hint="default" w:ascii="宋体" w:hAnsi="宋体" w:eastAsia="宋体" w:cs="宋体"/>
          <w:spacing w:val="5"/>
          <w:szCs w:val="21"/>
          <w:lang w:val="en-US"/>
        </w:rPr>
        <w:t>已有调查评价成果为基础，结合补充调查和实际发生的山洪灾害事件，建立危险区动态管理清单，明确监测站点、预警指标、责任人等内容。</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2.监测预警能力巩固提升</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ascii="宋体" w:hAnsi="宋体" w:eastAsia="宋体" w:cs="宋体"/>
          <w:spacing w:val="5"/>
          <w:szCs w:val="21"/>
          <w:lang w:val="en-US"/>
        </w:rPr>
        <w:t>自动雨量站</w:t>
      </w:r>
      <w:r>
        <w:rPr>
          <w:rFonts w:hint="default" w:ascii="宋体" w:hAnsi="宋体" w:eastAsia="宋体" w:cs="宋体"/>
          <w:spacing w:val="5"/>
          <w:szCs w:val="21"/>
          <w:lang w:val="en-US"/>
        </w:rPr>
        <w:t>改造升级</w:t>
      </w:r>
      <w:r>
        <w:rPr>
          <w:rFonts w:hint="default" w:ascii="宋体" w:hAnsi="宋体" w:eastAsia="宋体" w:cs="宋体"/>
          <w:spacing w:val="5"/>
          <w:szCs w:val="21"/>
          <w:lang w:val="en-US" w:eastAsia="zh-CN"/>
        </w:rPr>
        <w:t>14</w:t>
      </w:r>
      <w:r>
        <w:rPr>
          <w:rFonts w:hint="default" w:ascii="宋体" w:hAnsi="宋体" w:eastAsia="宋体" w:cs="宋体"/>
          <w:spacing w:val="5"/>
          <w:szCs w:val="21"/>
          <w:lang w:val="en-US"/>
        </w:rPr>
        <w:t>个</w:t>
      </w:r>
      <w:r>
        <w:rPr>
          <w:rFonts w:hint="default" w:ascii="宋体" w:hAnsi="宋体" w:eastAsia="宋体" w:cs="宋体"/>
          <w:spacing w:val="5"/>
          <w:szCs w:val="21"/>
          <w:lang w:val="en-US" w:eastAsia="zh-CN"/>
        </w:rPr>
        <w:t>、</w:t>
      </w:r>
      <w:r>
        <w:rPr>
          <w:rFonts w:ascii="宋体" w:hAnsi="宋体" w:eastAsia="宋体" w:cs="宋体"/>
          <w:spacing w:val="5"/>
          <w:szCs w:val="21"/>
          <w:lang w:val="en-US"/>
        </w:rPr>
        <w:t>自动水位站</w:t>
      </w:r>
      <w:r>
        <w:rPr>
          <w:rFonts w:hint="default" w:ascii="宋体" w:hAnsi="宋体" w:eastAsia="宋体" w:cs="宋体"/>
          <w:spacing w:val="5"/>
          <w:szCs w:val="21"/>
          <w:lang w:val="en-US"/>
        </w:rPr>
        <w:t>改造升级</w:t>
      </w:r>
      <w:r>
        <w:rPr>
          <w:rFonts w:hint="default" w:ascii="宋体" w:hAnsi="宋体" w:eastAsia="宋体" w:cs="宋体"/>
          <w:spacing w:val="5"/>
          <w:szCs w:val="21"/>
          <w:lang w:val="en-US" w:eastAsia="zh-CN"/>
        </w:rPr>
        <w:t>23</w:t>
      </w:r>
      <w:r>
        <w:rPr>
          <w:rFonts w:hint="default" w:ascii="宋体" w:hAnsi="宋体" w:eastAsia="宋体" w:cs="宋体"/>
          <w:spacing w:val="5"/>
          <w:szCs w:val="21"/>
          <w:lang w:val="en-US"/>
        </w:rPr>
        <w:t>个</w:t>
      </w:r>
      <w:r>
        <w:rPr>
          <w:rFonts w:hint="default" w:ascii="宋体" w:hAnsi="宋体" w:eastAsia="宋体" w:cs="宋体"/>
          <w:spacing w:val="5"/>
          <w:szCs w:val="21"/>
          <w:lang w:val="en-US" w:eastAsia="zh-CN"/>
        </w:rPr>
        <w:t>、</w:t>
      </w:r>
      <w:r>
        <w:rPr>
          <w:rFonts w:hint="default" w:ascii="宋体" w:hAnsi="宋体" w:eastAsia="宋体" w:cs="宋体"/>
          <w:spacing w:val="5"/>
          <w:szCs w:val="21"/>
          <w:lang w:val="en-US"/>
        </w:rPr>
        <w:t>自动</w:t>
      </w:r>
      <w:r>
        <w:rPr>
          <w:rFonts w:ascii="宋体" w:hAnsi="宋体" w:eastAsia="宋体" w:cs="宋体"/>
          <w:spacing w:val="5"/>
          <w:szCs w:val="21"/>
          <w:lang w:val="en-US"/>
        </w:rPr>
        <w:t>监测站点卫星通讯建设</w:t>
      </w:r>
      <w:r>
        <w:rPr>
          <w:rFonts w:hint="default" w:ascii="宋体" w:hAnsi="宋体" w:eastAsia="宋体" w:cs="宋体"/>
          <w:spacing w:val="5"/>
          <w:szCs w:val="21"/>
          <w:lang w:val="en-US" w:eastAsia="zh-CN"/>
        </w:rPr>
        <w:t>35</w:t>
      </w:r>
      <w:r>
        <w:rPr>
          <w:rFonts w:hint="default" w:ascii="宋体" w:hAnsi="宋体" w:eastAsia="宋体" w:cs="宋体"/>
          <w:spacing w:val="5"/>
          <w:szCs w:val="21"/>
          <w:lang w:val="en-US"/>
        </w:rPr>
        <w:t>个</w:t>
      </w:r>
      <w:r>
        <w:rPr>
          <w:rFonts w:hint="default" w:ascii="宋体" w:hAnsi="宋体" w:eastAsia="宋体" w:cs="宋体"/>
          <w:spacing w:val="5"/>
          <w:szCs w:val="21"/>
          <w:lang w:val="en-US" w:eastAsia="zh-CN"/>
        </w:rPr>
        <w:t>（此项内容在兰溪市2021年水文测报能力提升建设采购项目已实施</w:t>
      </w:r>
      <w:r>
        <w:rPr>
          <w:rFonts w:hint="default" w:ascii="宋体" w:hAnsi="宋体" w:eastAsia="宋体" w:cs="宋体"/>
          <w:spacing w:val="5"/>
          <w:lang w:val="en-US" w:eastAsia="zh-CN"/>
        </w:rPr>
        <w:t>）。</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3.群测群防体系</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rPr>
      </w:pPr>
      <w:r>
        <w:rPr>
          <w:rFonts w:hint="default" w:ascii="宋体" w:hAnsi="宋体" w:eastAsia="宋体" w:cs="宋体"/>
          <w:b w:val="0"/>
          <w:bCs w:val="0"/>
          <w:spacing w:val="5"/>
          <w:szCs w:val="21"/>
          <w:lang w:val="en-US" w:eastAsia="zh-CN"/>
        </w:rPr>
        <w:t>（1）山洪灾害防御指南</w:t>
      </w:r>
      <w:r>
        <w:rPr>
          <w:rFonts w:hint="default" w:ascii="宋体" w:hAnsi="宋体" w:eastAsia="宋体" w:cs="宋体"/>
          <w:b w:val="0"/>
          <w:bCs w:val="0"/>
          <w:spacing w:val="5"/>
          <w:szCs w:val="21"/>
          <w:lang w:val="en-US"/>
        </w:rPr>
        <w:t>编制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ascii="宋体" w:hAnsi="宋体" w:eastAsia="宋体" w:cs="宋体"/>
          <w:spacing w:val="5"/>
          <w:lang w:val="en-US"/>
        </w:rPr>
        <w:t>为深入贯彻落实水利改革发展总基调，进一步规范</w:t>
      </w:r>
      <w:r>
        <w:rPr>
          <w:rFonts w:hint="default" w:ascii="宋体" w:hAnsi="宋体" w:eastAsia="宋体" w:cs="宋体"/>
          <w:spacing w:val="5"/>
          <w:lang w:val="en-US" w:eastAsia="zh-CN"/>
        </w:rPr>
        <w:t>兰溪市</w:t>
      </w:r>
      <w:r>
        <w:rPr>
          <w:rFonts w:ascii="宋体" w:hAnsi="宋体" w:eastAsia="宋体" w:cs="宋体"/>
          <w:spacing w:val="5"/>
          <w:lang w:val="en-US"/>
        </w:rPr>
        <w:t>山洪灾害防御工作，提升山洪灾害防御水平，最大限度减轻灾害损失，本次在总结前期山洪灾害防御工作的基础上，结合</w:t>
      </w:r>
      <w:r>
        <w:rPr>
          <w:rFonts w:hint="default" w:ascii="宋体" w:hAnsi="宋体" w:eastAsia="宋体" w:cs="宋体"/>
          <w:spacing w:val="5"/>
          <w:lang w:val="en-US" w:eastAsia="zh-CN"/>
        </w:rPr>
        <w:t>兰溪市</w:t>
      </w:r>
      <w:r>
        <w:rPr>
          <w:rFonts w:ascii="宋体" w:hAnsi="宋体" w:eastAsia="宋体" w:cs="宋体"/>
          <w:spacing w:val="5"/>
          <w:lang w:val="en-US"/>
        </w:rPr>
        <w:t>山洪灾害防御特点，编制</w:t>
      </w:r>
      <w:r>
        <w:rPr>
          <w:rFonts w:hint="default" w:ascii="宋体" w:hAnsi="宋体" w:eastAsia="宋体" w:cs="宋体"/>
          <w:spacing w:val="5"/>
          <w:lang w:val="en-US" w:eastAsia="zh-CN"/>
        </w:rPr>
        <w:t>兰溪市山洪灾害防御指南。</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（2</w:t>
      </w:r>
      <w:r>
        <w:rPr>
          <w:rFonts w:hint="default" w:ascii="宋体" w:hAnsi="宋体" w:eastAsia="宋体" w:cs="宋体"/>
          <w:b w:val="0"/>
          <w:bCs w:val="0"/>
          <w:spacing w:val="5"/>
          <w:szCs w:val="21"/>
          <w:lang w:val="en-US"/>
        </w:rPr>
        <w:t>）</w:t>
      </w:r>
      <w:r>
        <w:rPr>
          <w:rFonts w:hint="default" w:ascii="宋体" w:hAnsi="宋体" w:eastAsia="宋体" w:cs="宋体"/>
          <w:b w:val="0"/>
          <w:bCs w:val="0"/>
          <w:spacing w:val="5"/>
          <w:szCs w:val="21"/>
          <w:lang w:val="en-US" w:eastAsia="zh-CN"/>
        </w:rPr>
        <w:t>声光电预警设备</w:t>
      </w:r>
    </w:p>
    <w:p>
      <w:pPr>
        <w:pStyle w:val="10"/>
        <w:adjustRightInd w:val="0"/>
        <w:snapToGrid w:val="0"/>
        <w:spacing w:before="0" w:line="360" w:lineRule="auto"/>
        <w:ind w:left="0" w:right="0" w:firstLine="440" w:firstLineChars="200"/>
        <w:jc w:val="both"/>
        <w:rPr>
          <w:rFonts w:hint="default" w:ascii="宋体" w:hAnsi="宋体" w:eastAsia="宋体" w:cs="宋体"/>
          <w:spacing w:val="5"/>
          <w:szCs w:val="21"/>
          <w:lang w:val="en-US" w:eastAsia="zh-CN"/>
        </w:rPr>
      </w:pPr>
      <w:r>
        <w:rPr>
          <w:rFonts w:hint="default" w:ascii="宋体" w:hAnsi="宋体" w:eastAsia="宋体" w:cs="宋体"/>
          <w:spacing w:val="5"/>
          <w:szCs w:val="21"/>
          <w:lang w:val="en-US" w:eastAsia="zh-CN"/>
        </w:rPr>
        <w:t>为了</w:t>
      </w:r>
      <w:r>
        <w:rPr>
          <w:rFonts w:hint="default" w:ascii="宋体" w:hAnsi="宋体" w:eastAsia="宋体" w:cs="宋体"/>
          <w:spacing w:val="5"/>
          <w:szCs w:val="21"/>
          <w:lang w:val="en-US"/>
        </w:rPr>
        <w:t>推进新型预警设施建设</w:t>
      </w:r>
      <w:r>
        <w:rPr>
          <w:rFonts w:hint="default" w:ascii="宋体" w:hAnsi="宋体" w:eastAsia="宋体" w:cs="宋体"/>
          <w:spacing w:val="5"/>
          <w:szCs w:val="21"/>
          <w:lang w:val="en-US" w:eastAsia="zh-CN"/>
        </w:rPr>
        <w:t>，根据相关文件要求，结合兰溪实际，开展9个</w:t>
      </w:r>
      <w:r>
        <w:rPr>
          <w:rFonts w:hint="default" w:ascii="宋体" w:hAnsi="宋体" w:eastAsia="宋体" w:cs="宋体"/>
          <w:spacing w:val="5"/>
          <w:szCs w:val="21"/>
          <w:lang w:val="en-US"/>
        </w:rPr>
        <w:t>试点声光电预警设备安装</w:t>
      </w:r>
      <w:r>
        <w:rPr>
          <w:rFonts w:hint="default" w:ascii="宋体" w:hAnsi="宋体" w:eastAsia="宋体" w:cs="宋体"/>
          <w:spacing w:val="5"/>
          <w:szCs w:val="21"/>
          <w:lang w:val="en-US" w:eastAsia="zh-CN"/>
        </w:rPr>
        <w:t>（根据</w:t>
      </w:r>
      <w:r>
        <w:rPr>
          <w:rFonts w:hint="default" w:ascii="宋体" w:hAnsi="宋体" w:eastAsia="宋体" w:cs="宋体"/>
          <w:spacing w:val="5"/>
          <w:lang w:val="en-US" w:eastAsia="zh-CN"/>
        </w:rPr>
        <w:t>《金华市水利局关于下发2021年度各县（市、区）山洪灾害防治项目工作任务量的通知》</w:t>
      </w:r>
      <w:r>
        <w:rPr>
          <w:rFonts w:hint="default" w:ascii="宋体" w:hAnsi="宋体" w:eastAsia="宋体" w:cs="宋体"/>
          <w:spacing w:val="5"/>
          <w:szCs w:val="21"/>
          <w:lang w:val="en-US" w:eastAsia="zh-CN"/>
        </w:rPr>
        <w:t>文件要求，本次兰溪市要求选择1个重点村试点安装1个</w:t>
      </w:r>
      <w:r>
        <w:rPr>
          <w:rFonts w:hint="default" w:ascii="宋体" w:hAnsi="宋体" w:eastAsia="宋体" w:cs="宋体"/>
          <w:spacing w:val="5"/>
          <w:szCs w:val="21"/>
          <w:lang w:val="en-US"/>
        </w:rPr>
        <w:t>声光电预警设备</w:t>
      </w:r>
      <w:r>
        <w:rPr>
          <w:rFonts w:hint="default" w:ascii="宋体" w:hAnsi="宋体" w:eastAsia="宋体" w:cs="宋体"/>
          <w:spacing w:val="5"/>
          <w:szCs w:val="21"/>
          <w:lang w:val="en-US" w:eastAsia="zh-CN"/>
        </w:rPr>
        <w:t>，经现场调研，柏社乡青珠山自然村、横溪镇陈派宅自然村、黄店镇朱家自然村、灵洞乡八石溪自然村、马涧镇堰头自然村、梅江镇刘源自然村、香溪镇姚郎自然村、游埠镇上俞自然村、柏社乡新宅自然村等9个村极易发生山洪灾害，且人口较为聚集，为提升以上村落山洪灾害预报预警能力，进一步保障人民群众生命财产安全，本次兰溪市将以上村全部列为</w:t>
      </w:r>
      <w:r>
        <w:rPr>
          <w:rFonts w:hint="default" w:ascii="宋体" w:hAnsi="宋体" w:eastAsia="宋体" w:cs="宋体"/>
          <w:spacing w:val="5"/>
          <w:szCs w:val="21"/>
          <w:lang w:val="en-US"/>
        </w:rPr>
        <w:t>声光电预警设备安装</w:t>
      </w:r>
      <w:r>
        <w:rPr>
          <w:rFonts w:hint="default" w:ascii="宋体" w:hAnsi="宋体" w:eastAsia="宋体" w:cs="宋体"/>
          <w:spacing w:val="5"/>
          <w:szCs w:val="21"/>
          <w:lang w:val="en-US" w:eastAsia="zh-CN"/>
        </w:rPr>
        <w:t>试点）。</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szCs w:val="21"/>
          <w:lang w:val="en-US" w:eastAsia="zh-CN"/>
        </w:rPr>
      </w:pPr>
      <w:r>
        <w:rPr>
          <w:rFonts w:hint="default" w:ascii="宋体" w:hAnsi="宋体" w:eastAsia="宋体" w:cs="宋体"/>
          <w:b w:val="0"/>
          <w:bCs w:val="0"/>
          <w:spacing w:val="5"/>
          <w:szCs w:val="21"/>
          <w:lang w:val="en-US" w:eastAsia="zh-CN"/>
        </w:rPr>
        <w:t>（3）宣传、培训、演练</w:t>
      </w:r>
    </w:p>
    <w:p>
      <w:pPr>
        <w:pStyle w:val="10"/>
        <w:adjustRightInd w:val="0"/>
        <w:snapToGrid w:val="0"/>
        <w:spacing w:before="0" w:line="360" w:lineRule="auto"/>
        <w:ind w:left="0" w:right="0" w:firstLine="440" w:firstLineChars="200"/>
        <w:jc w:val="both"/>
        <w:rPr>
          <w:rFonts w:hint="default" w:ascii="宋体" w:hAnsi="宋体" w:eastAsia="宋体" w:cs="宋体"/>
          <w:spacing w:val="5"/>
          <w:kern w:val="0"/>
          <w:sz w:val="21"/>
          <w:szCs w:val="21"/>
          <w:lang w:val="en-US" w:eastAsia="zh-CN" w:bidi="ar-SA"/>
        </w:rPr>
      </w:pPr>
      <w:r>
        <w:rPr>
          <w:rFonts w:hint="default" w:ascii="宋体" w:hAnsi="宋体" w:eastAsia="宋体" w:cs="宋体"/>
          <w:spacing w:val="5"/>
          <w:kern w:val="0"/>
          <w:sz w:val="21"/>
          <w:szCs w:val="21"/>
          <w:lang w:val="en-US" w:eastAsia="zh-CN" w:bidi="ar-SA"/>
        </w:rPr>
        <w:t>①</w:t>
      </w:r>
      <w:r>
        <w:rPr>
          <w:rFonts w:hint="default" w:ascii="宋体" w:hAnsi="宋体" w:eastAsia="宋体" w:cs="宋体"/>
          <w:spacing w:val="5"/>
          <w:lang w:val="en-US" w:eastAsia="zh-CN"/>
        </w:rPr>
        <w:t>本次根据调查成果竖立标识标牌。</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spacing w:val="5"/>
          <w:kern w:val="0"/>
          <w:sz w:val="21"/>
          <w:szCs w:val="21"/>
          <w:lang w:val="en-US" w:eastAsia="zh-CN" w:bidi="ar-SA"/>
        </w:rPr>
        <w:t>②本次组织开展山洪灾害防御培训1次，主要针对乡镇、村级防汛责任人（包括各类网格责任</w:t>
      </w:r>
      <w:r>
        <w:rPr>
          <w:rFonts w:hint="default" w:ascii="宋体" w:hAnsi="宋体" w:eastAsia="宋体" w:cs="宋体"/>
          <w:spacing w:val="5"/>
          <w:lang w:val="en-US" w:eastAsia="zh-CN"/>
        </w:rPr>
        <w:t>人）、水库、山塘巡查员，进行组织责任体系、应急预案、巡查知识等内容的培训，真正提升基层山洪灾害群测群防能力（由于2021年4月已经组织相关培训，此次培训安排在2022年汛前）。</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spacing w:val="5"/>
          <w:lang w:val="en-US" w:eastAsia="zh-CN"/>
        </w:rPr>
        <w:t>③本次拟组织开展一场山洪灾害防御应急县级演练。</w:t>
      </w:r>
    </w:p>
    <w:p>
      <w:pPr>
        <w:pStyle w:val="10"/>
        <w:adjustRightInd w:val="0"/>
        <w:snapToGrid w:val="0"/>
        <w:spacing w:before="0" w:line="360" w:lineRule="auto"/>
        <w:ind w:left="0" w:right="0" w:firstLine="440" w:firstLineChars="200"/>
        <w:jc w:val="both"/>
        <w:rPr>
          <w:rFonts w:hint="default" w:ascii="宋体" w:hAnsi="宋体" w:eastAsia="宋体" w:cs="宋体"/>
          <w:b w:val="0"/>
          <w:bCs w:val="0"/>
          <w:spacing w:val="5"/>
          <w:lang w:val="en-US" w:eastAsia="zh-CN"/>
        </w:rPr>
      </w:pPr>
      <w:r>
        <w:rPr>
          <w:rFonts w:hint="default" w:ascii="宋体" w:hAnsi="宋体" w:eastAsia="宋体" w:cs="宋体"/>
          <w:b w:val="0"/>
          <w:bCs w:val="0"/>
          <w:spacing w:val="5"/>
          <w:lang w:val="en-US" w:eastAsia="zh-CN"/>
        </w:rPr>
        <w:t>4.重点山洪沟防洪治理</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r>
        <w:rPr>
          <w:rFonts w:hint="default" w:ascii="宋体" w:hAnsi="宋体" w:eastAsia="宋体" w:cs="宋体"/>
          <w:spacing w:val="5"/>
          <w:lang w:val="en-US" w:eastAsia="zh-CN"/>
        </w:rPr>
        <w:t>兰溪市重点山洪沟防洪治理0条。</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159" w:name="_Toc15270"/>
      <w:bookmarkStart w:id="160" w:name="_Toc7687"/>
      <w:bookmarkStart w:id="161" w:name="_Toc27129"/>
      <w:bookmarkStart w:id="162" w:name="_Toc23780"/>
      <w:bookmarkStart w:id="163" w:name="_Toc5178"/>
      <w:bookmarkStart w:id="164" w:name="_Toc13840"/>
      <w:bookmarkStart w:id="165" w:name="_Toc3890"/>
      <w:bookmarkStart w:id="166" w:name="_Toc7942"/>
      <w:bookmarkStart w:id="167" w:name="_Toc1362"/>
      <w:bookmarkStart w:id="168" w:name="_Toc14963"/>
      <w:bookmarkStart w:id="169" w:name="_Toc20309"/>
      <w:bookmarkStart w:id="170" w:name="_Toc28409"/>
      <w:bookmarkStart w:id="171" w:name="_Toc22414"/>
      <w:r>
        <w:rPr>
          <w:rFonts w:hint="eastAsia" w:ascii="宋体" w:hAnsi="宋体" w:eastAsia="宋体" w:cs="宋体"/>
          <w:spacing w:val="5"/>
          <w:lang w:val="en-US" w:eastAsia="zh-CN"/>
        </w:rPr>
        <w:t xml:space="preserve">1.3 </w:t>
      </w:r>
      <w:r>
        <w:rPr>
          <w:rFonts w:hint="default" w:ascii="宋体" w:hAnsi="宋体" w:eastAsia="宋体" w:cs="宋体"/>
          <w:spacing w:val="5"/>
          <w:lang w:val="en-US" w:eastAsia="zh-CN"/>
        </w:rPr>
        <w:t>总体技术路线与方法</w:t>
      </w:r>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10"/>
        <w:adjustRightInd w:val="0"/>
        <w:snapToGrid w:val="0"/>
        <w:spacing w:before="0" w:line="360" w:lineRule="auto"/>
        <w:ind w:right="0" w:firstLine="440" w:firstLineChars="200"/>
        <w:jc w:val="both"/>
        <w:rPr>
          <w:rFonts w:hint="default" w:ascii="宋体" w:hAnsi="宋体" w:eastAsia="宋体" w:cs="宋体"/>
          <w:spacing w:val="5"/>
          <w:lang w:val="en-US" w:eastAsia="zh-CN"/>
        </w:rPr>
      </w:pPr>
      <w:bookmarkStart w:id="172" w:name="_Toc17433"/>
      <w:bookmarkStart w:id="173" w:name="_Toc26697"/>
      <w:bookmarkStart w:id="174" w:name="_Toc5551"/>
      <w:bookmarkStart w:id="175" w:name="_Toc27462"/>
      <w:bookmarkStart w:id="176" w:name="_Toc32204"/>
      <w:bookmarkStart w:id="177" w:name="_Toc19714"/>
      <w:bookmarkStart w:id="178" w:name="_Toc15949"/>
      <w:bookmarkStart w:id="179" w:name="_Toc4027"/>
      <w:bookmarkStart w:id="180" w:name="_Toc4386"/>
      <w:bookmarkStart w:id="181" w:name="_Toc16674"/>
      <w:bookmarkStart w:id="182" w:name="_Toc30082"/>
      <w:bookmarkStart w:id="183" w:name="_Toc13066"/>
      <w:bookmarkStart w:id="184" w:name="_Toc1883"/>
      <w:r>
        <w:rPr>
          <w:rFonts w:hint="eastAsia" w:ascii="宋体" w:hAnsi="宋体" w:eastAsia="宋体" w:cs="宋体"/>
          <w:spacing w:val="5"/>
          <w:lang w:val="en-US" w:eastAsia="zh-CN"/>
        </w:rPr>
        <w:t xml:space="preserve">1.3.1 </w:t>
      </w:r>
      <w:r>
        <w:rPr>
          <w:rFonts w:hint="default" w:ascii="宋体" w:hAnsi="宋体" w:eastAsia="宋体" w:cs="宋体"/>
          <w:spacing w:val="5"/>
          <w:lang w:val="en-US" w:eastAsia="zh-CN"/>
        </w:rPr>
        <w:t>总体技术路线</w:t>
      </w:r>
      <w:bookmarkEnd w:id="172"/>
      <w:bookmarkEnd w:id="173"/>
      <w:bookmarkEnd w:id="174"/>
      <w:bookmarkEnd w:id="175"/>
      <w:bookmarkEnd w:id="176"/>
      <w:bookmarkEnd w:id="177"/>
      <w:bookmarkEnd w:id="178"/>
      <w:bookmarkEnd w:id="179"/>
      <w:bookmarkEnd w:id="180"/>
      <w:bookmarkEnd w:id="181"/>
      <w:bookmarkEnd w:id="182"/>
      <w:bookmarkEnd w:id="183"/>
      <w:bookmarkEnd w:id="184"/>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充分利用</w:t>
      </w:r>
      <w:r>
        <w:rPr>
          <w:rFonts w:hint="default" w:ascii="宋体" w:hAnsi="宋体" w:eastAsia="宋体" w:cs="宋体"/>
          <w:spacing w:val="5"/>
          <w:lang w:val="en-US" w:eastAsia="zh-CN"/>
        </w:rPr>
        <w:t>兰溪市</w:t>
      </w:r>
      <w:r>
        <w:rPr>
          <w:rFonts w:hint="default" w:ascii="宋体" w:hAnsi="宋体" w:eastAsia="宋体" w:cs="宋体"/>
          <w:spacing w:val="5"/>
          <w:lang w:val="en-US"/>
        </w:rPr>
        <w:t>第一次水利普查</w:t>
      </w:r>
      <w:r>
        <w:rPr>
          <w:rFonts w:hint="default" w:ascii="宋体" w:hAnsi="宋体" w:eastAsia="宋体" w:cs="宋体"/>
          <w:spacing w:val="5"/>
          <w:lang w:val="en-US" w:eastAsia="zh-CN"/>
        </w:rPr>
        <w:t>、</w:t>
      </w:r>
      <w:r>
        <w:rPr>
          <w:rFonts w:hint="default" w:ascii="宋体" w:hAnsi="宋体" w:eastAsia="宋体" w:cs="宋体"/>
          <w:spacing w:val="5"/>
          <w:lang w:val="en-US"/>
        </w:rPr>
        <w:t>重点防洪地区洪水风险图编制、山洪灾害风险调查评价等工作形成的相关数据、资料、图件成果，以</w:t>
      </w:r>
      <w:r>
        <w:rPr>
          <w:rFonts w:hint="default" w:ascii="宋体" w:hAnsi="宋体" w:eastAsia="宋体" w:cs="宋体"/>
          <w:spacing w:val="5"/>
          <w:lang w:val="en-US" w:eastAsia="zh-CN"/>
        </w:rPr>
        <w:t>兰溪市</w:t>
      </w:r>
      <w:r>
        <w:rPr>
          <w:rFonts w:hint="default" w:ascii="宋体" w:hAnsi="宋体" w:eastAsia="宋体" w:cs="宋体"/>
          <w:spacing w:val="5"/>
          <w:lang w:val="en-US"/>
        </w:rPr>
        <w:t>为基本调查单元，遵循“内外结合”、“在地统计”原则，采取资料整编、现场调查相结合的方式，利用水文监测站点数据汇集整理、档案查阅、座谈调研等多种调查技术手段，开展水旱灾害致灾孕灾要素调查。</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综合利用流域防洪规划、工程设计、运行管理等资料，采取内业调查、资料分析为主，现场调查为辅的方法进行洪水灾害隐患识别，重点调查水库和堤防等现状防洪能力、工程安全评价成果、运行管理状况等。</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综合利用水旱灾害风险要素调查与评估的成果，洪水灾害重点隐患调查评估的空间分布和分级成果，承灾体灾害脆弱性评估、暴露度评估结果，根据相关规范及技术标准，开展定量或定性的风险评估。</w:t>
      </w:r>
    </w:p>
    <w:p>
      <w:pPr>
        <w:pStyle w:val="10"/>
        <w:adjustRightInd w:val="0"/>
        <w:snapToGrid w:val="0"/>
        <w:spacing w:before="0" w:line="360" w:lineRule="auto"/>
        <w:ind w:right="0" w:firstLine="440" w:firstLineChars="200"/>
        <w:jc w:val="both"/>
        <w:rPr>
          <w:rFonts w:ascii="宋体" w:hAnsi="宋体" w:eastAsia="宋体" w:cs="宋体"/>
          <w:spacing w:val="5"/>
          <w:lang w:val="en-US"/>
        </w:rPr>
      </w:pPr>
      <w:bookmarkStart w:id="185" w:name="_Toc354"/>
      <w:bookmarkStart w:id="186" w:name="_Toc3706"/>
      <w:bookmarkStart w:id="187" w:name="_Toc21045"/>
      <w:bookmarkStart w:id="188" w:name="_Toc9419"/>
      <w:bookmarkStart w:id="189" w:name="_Toc22545"/>
      <w:bookmarkStart w:id="190" w:name="_Toc26554"/>
      <w:bookmarkStart w:id="191" w:name="_Toc23977"/>
      <w:bookmarkStart w:id="192" w:name="_Toc9034"/>
      <w:bookmarkStart w:id="193" w:name="_Toc15516"/>
      <w:bookmarkStart w:id="194" w:name="_Toc13030"/>
      <w:bookmarkStart w:id="195" w:name="_Toc31295"/>
      <w:bookmarkStart w:id="196" w:name="_Toc10937"/>
      <w:bookmarkStart w:id="197" w:name="_Toc25666"/>
      <w:r>
        <w:rPr>
          <w:rFonts w:hint="eastAsia" w:ascii="宋体" w:hAnsi="宋体" w:eastAsia="宋体" w:cs="宋体"/>
          <w:spacing w:val="5"/>
          <w:lang w:val="en-US" w:eastAsia="zh-CN"/>
        </w:rPr>
        <w:t xml:space="preserve">1.3.2 </w:t>
      </w:r>
      <w:r>
        <w:rPr>
          <w:rFonts w:ascii="宋体" w:hAnsi="宋体" w:eastAsia="宋体" w:cs="宋体"/>
          <w:spacing w:val="5"/>
          <w:lang w:val="en-US"/>
        </w:rPr>
        <w:t>主要技术方法</w:t>
      </w:r>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10"/>
        <w:adjustRightInd w:val="0"/>
        <w:snapToGrid w:val="0"/>
        <w:spacing w:before="0" w:line="360" w:lineRule="auto"/>
        <w:ind w:left="0" w:right="0" w:firstLine="440" w:firstLineChars="200"/>
        <w:jc w:val="both"/>
        <w:rPr>
          <w:rFonts w:ascii="宋体" w:hAnsi="宋体" w:eastAsia="宋体" w:cs="宋体"/>
          <w:spacing w:val="5"/>
          <w:lang w:val="en-US"/>
        </w:rPr>
      </w:pPr>
      <w:r>
        <w:rPr>
          <w:rFonts w:hint="default" w:ascii="宋体" w:hAnsi="宋体" w:eastAsia="宋体" w:cs="宋体"/>
          <w:spacing w:val="5"/>
          <w:lang w:val="en-US" w:eastAsia="zh-CN"/>
        </w:rPr>
        <w:t>1.</w:t>
      </w:r>
      <w:r>
        <w:rPr>
          <w:rFonts w:ascii="宋体" w:hAnsi="宋体" w:eastAsia="宋体" w:cs="宋体"/>
          <w:spacing w:val="5"/>
          <w:lang w:val="en-US"/>
        </w:rPr>
        <w:t>水文站点观测数据汇集、资料整编、现场调查等多种技术手段相结合开展水旱灾害致灾孕灾要素调查。运用频率分析、空间分析等方法，实现对水旱灾害致灾危险性的评估。</w:t>
      </w:r>
    </w:p>
    <w:p>
      <w:pPr>
        <w:pStyle w:val="10"/>
        <w:adjustRightInd w:val="0"/>
        <w:snapToGrid w:val="0"/>
        <w:spacing w:before="0" w:line="360" w:lineRule="auto"/>
        <w:ind w:left="0" w:right="0" w:firstLine="440" w:firstLineChars="200"/>
        <w:jc w:val="both"/>
        <w:rPr>
          <w:rFonts w:ascii="宋体" w:hAnsi="宋体" w:eastAsia="宋体" w:cs="宋体"/>
          <w:spacing w:val="5"/>
          <w:lang w:val="en-US"/>
        </w:rPr>
      </w:pPr>
      <w:r>
        <w:rPr>
          <w:rFonts w:hint="default" w:ascii="宋体" w:hAnsi="宋体" w:eastAsia="宋体" w:cs="宋体"/>
          <w:spacing w:val="5"/>
          <w:lang w:val="en-US" w:eastAsia="zh-CN"/>
        </w:rPr>
        <w:t>2.</w:t>
      </w:r>
      <w:r>
        <w:rPr>
          <w:rFonts w:ascii="宋体" w:hAnsi="宋体" w:eastAsia="宋体" w:cs="宋体"/>
          <w:spacing w:val="5"/>
          <w:lang w:val="en-US"/>
        </w:rPr>
        <w:t>多对象、多要素相结合开展洪水灾害重点隐患调查与评估。在致灾要素调查与危险性评估基础上，形成洪水灾害高危险区、界定避让区划分阈值。</w:t>
      </w:r>
    </w:p>
    <w:p>
      <w:pPr>
        <w:pStyle w:val="10"/>
        <w:adjustRightInd w:val="0"/>
        <w:snapToGrid w:val="0"/>
        <w:spacing w:before="0" w:line="360" w:lineRule="auto"/>
        <w:ind w:left="0" w:right="0" w:firstLine="440" w:firstLineChars="200"/>
        <w:jc w:val="both"/>
        <w:rPr>
          <w:rFonts w:ascii="宋体" w:hAnsi="宋体" w:eastAsia="宋体" w:cs="宋体"/>
          <w:spacing w:val="5"/>
          <w:lang w:val="en-US"/>
        </w:rPr>
      </w:pPr>
      <w:r>
        <w:rPr>
          <w:rFonts w:hint="default" w:ascii="宋体" w:hAnsi="宋体" w:eastAsia="宋体" w:cs="宋体"/>
          <w:spacing w:val="5"/>
          <w:lang w:val="en-US" w:eastAsia="zh-CN"/>
        </w:rPr>
        <w:t>3.</w:t>
      </w:r>
      <w:r>
        <w:rPr>
          <w:rFonts w:ascii="宋体" w:hAnsi="宋体" w:eastAsia="宋体" w:cs="宋体"/>
          <w:spacing w:val="5"/>
          <w:lang w:val="en-US"/>
        </w:rPr>
        <w:t>多方法、多尺度分析结合开展水旱灾害风险评估。水旱灾害风险全要素调查与评估成果为灾害风险提供致灾因子、承灾体（水利设施）等风险要素信息，洪水重点隐患调查成果为洪水灾害风险提供隐患分布和分级的信息。运用等级评估、期望损失、超越概率、情景分析等方法，综合危险性评估、脆弱性评估、暴露度评估的结果， 根据相关规范及技术标准，开展水旱灾害风险评估。</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198" w:name="_Toc9543"/>
      <w:bookmarkStart w:id="199" w:name="_Toc28225"/>
      <w:bookmarkStart w:id="200" w:name="_Toc23737"/>
      <w:bookmarkStart w:id="201" w:name="_Toc28357"/>
      <w:bookmarkStart w:id="202" w:name="_Toc2724"/>
      <w:bookmarkStart w:id="203" w:name="_Toc19109"/>
      <w:bookmarkStart w:id="204" w:name="_Toc14697"/>
      <w:bookmarkStart w:id="205" w:name="_Toc20166"/>
      <w:r>
        <w:rPr>
          <w:rFonts w:hint="eastAsia" w:ascii="宋体" w:hAnsi="宋体" w:eastAsia="宋体" w:cs="宋体"/>
          <w:spacing w:val="5"/>
          <w:lang w:val="en-US" w:eastAsia="zh-CN"/>
        </w:rPr>
        <w:t xml:space="preserve">1.4 </w:t>
      </w:r>
      <w:r>
        <w:rPr>
          <w:rFonts w:hint="default" w:ascii="宋体" w:hAnsi="宋体" w:eastAsia="宋体" w:cs="宋体"/>
          <w:spacing w:val="5"/>
          <w:lang w:val="en-US" w:eastAsia="zh-CN"/>
        </w:rPr>
        <w:t>质量管理</w:t>
      </w:r>
      <w:bookmarkEnd w:id="198"/>
      <w:bookmarkEnd w:id="199"/>
      <w:bookmarkEnd w:id="200"/>
      <w:bookmarkEnd w:id="201"/>
      <w:bookmarkEnd w:id="202"/>
      <w:bookmarkEnd w:id="203"/>
      <w:bookmarkEnd w:id="204"/>
      <w:bookmarkEnd w:id="205"/>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为保障水旱灾害风险普查成果的科学性、客观性、完整性，全面加强质量控制工作，建立过程质量控制、分级质量控制机制。严格按照相关规范及技术标准，开展质量管理工作。</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（一）过程质量控制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水旱灾害风险普查实行全过程质量控制，各项内容根据实施环节和成果特点，确定过程质量控制的工作节点和程序，制定各阶段质量控制的内容、技术方法和要求、组织实施及监督抽查办法，并做好工作记录。过程质量控制重点主要包括：</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（1）普查原始资料的质量核查；</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（2）内外业调查的质量控制；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（3）普查数据集的质量控制；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（4）风险评估的质量控制；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（5）成果发布前的质量控制。</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（二）分级质量管理</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为保证水旱灾害风险普查成果的真实性和准确性，按照普查技术标准规范要求，进行质量管理。</w:t>
      </w:r>
      <w:r>
        <w:rPr>
          <w:rFonts w:hint="default" w:ascii="宋体" w:hAnsi="宋体" w:eastAsia="宋体" w:cs="宋体"/>
          <w:spacing w:val="5"/>
          <w:lang w:val="en-US" w:eastAsia="zh-CN"/>
        </w:rPr>
        <w:t>兰溪市水旱灾害防御中心负责</w:t>
      </w:r>
      <w:r>
        <w:rPr>
          <w:rFonts w:hint="default" w:ascii="宋体" w:hAnsi="宋体" w:eastAsia="宋体" w:cs="宋体"/>
          <w:spacing w:val="5"/>
          <w:lang w:val="en-US"/>
        </w:rPr>
        <w:t>本级水旱灾害风险普查成果的质量管理工作，并定期向市水利局、浙江省水利厅汇报质量管理工作情况。</w:t>
      </w:r>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eastAsia="zh-CN"/>
        </w:rPr>
      </w:pPr>
      <w:bookmarkStart w:id="206" w:name="_Toc25462"/>
      <w:bookmarkStart w:id="207" w:name="_Toc30261"/>
      <w:bookmarkStart w:id="208" w:name="_Toc19581"/>
      <w:bookmarkStart w:id="209" w:name="_Toc18787"/>
      <w:bookmarkStart w:id="210" w:name="_Toc28301"/>
      <w:bookmarkStart w:id="211" w:name="_Toc1210"/>
      <w:bookmarkStart w:id="212" w:name="_Toc3566"/>
      <w:bookmarkStart w:id="213" w:name="_Toc7999"/>
      <w:r>
        <w:rPr>
          <w:rFonts w:hint="eastAsia" w:ascii="宋体" w:hAnsi="宋体" w:eastAsia="宋体" w:cs="宋体"/>
          <w:spacing w:val="5"/>
          <w:lang w:val="en-US" w:eastAsia="zh-CN"/>
        </w:rPr>
        <w:t xml:space="preserve">1.5 </w:t>
      </w:r>
      <w:r>
        <w:rPr>
          <w:rFonts w:hint="default" w:ascii="宋体" w:hAnsi="宋体" w:eastAsia="宋体" w:cs="宋体"/>
          <w:spacing w:val="5"/>
          <w:lang w:val="en-US" w:eastAsia="zh-CN"/>
        </w:rPr>
        <w:t>省水利数据仓对接</w:t>
      </w:r>
      <w:bookmarkEnd w:id="206"/>
      <w:bookmarkEnd w:id="207"/>
      <w:bookmarkEnd w:id="208"/>
      <w:bookmarkEnd w:id="209"/>
      <w:bookmarkEnd w:id="210"/>
      <w:bookmarkEnd w:id="211"/>
      <w:bookmarkEnd w:id="212"/>
      <w:bookmarkEnd w:id="213"/>
    </w:p>
    <w:p>
      <w:pPr>
        <w:pStyle w:val="10"/>
        <w:adjustRightInd w:val="0"/>
        <w:snapToGrid w:val="0"/>
        <w:spacing w:before="0" w:line="360" w:lineRule="auto"/>
        <w:ind w:left="0" w:right="0" w:firstLine="440" w:firstLineChars="200"/>
        <w:jc w:val="both"/>
        <w:rPr>
          <w:rFonts w:hint="default" w:ascii="宋体" w:hAnsi="宋体" w:eastAsia="宋体" w:cs="宋体"/>
          <w:spacing w:val="5"/>
          <w:lang w:val="en-US"/>
        </w:rPr>
      </w:pPr>
      <w:r>
        <w:rPr>
          <w:rFonts w:hint="default" w:ascii="宋体" w:hAnsi="宋体" w:eastAsia="宋体" w:cs="宋体"/>
          <w:spacing w:val="5"/>
          <w:lang w:val="en-US"/>
        </w:rPr>
        <w:t>水利数字化转型是浙江省委省政府数字化建设的重要部署，是一项重要的系统性、基础性工程。本次</w:t>
      </w:r>
      <w:r>
        <w:rPr>
          <w:rFonts w:hint="default" w:ascii="宋体" w:hAnsi="宋体" w:eastAsia="宋体" w:cs="宋体"/>
          <w:spacing w:val="5"/>
          <w:lang w:val="en-US" w:eastAsia="zh-CN"/>
        </w:rPr>
        <w:t>兰溪市第一次</w:t>
      </w:r>
      <w:r>
        <w:rPr>
          <w:rFonts w:hint="default" w:ascii="宋体" w:hAnsi="宋体" w:eastAsia="宋体" w:cs="宋体"/>
          <w:spacing w:val="5"/>
          <w:lang w:val="en-US"/>
        </w:rPr>
        <w:t>水旱灾害风险普查成果数据要做好与省水利数据仓的对接工作，确保</w:t>
      </w:r>
      <w:r>
        <w:rPr>
          <w:rFonts w:hint="default" w:ascii="宋体" w:hAnsi="宋体" w:eastAsia="宋体" w:cs="宋体"/>
          <w:spacing w:val="5"/>
          <w:lang w:val="en-US" w:eastAsia="zh-CN"/>
        </w:rPr>
        <w:t>兰溪市</w:t>
      </w:r>
      <w:r>
        <w:rPr>
          <w:rFonts w:hint="default" w:ascii="宋体" w:hAnsi="宋体" w:eastAsia="宋体" w:cs="宋体"/>
          <w:spacing w:val="5"/>
          <w:lang w:val="en-US"/>
        </w:rPr>
        <w:t>普查成果与水利数据仓现有数据逻辑关系充分融合，避免数据交叉、重复和矛盾。</w:t>
      </w:r>
    </w:p>
    <w:p>
      <w:pPr>
        <w:pStyle w:val="10"/>
        <w:adjustRightInd w:val="0"/>
        <w:snapToGrid w:val="0"/>
        <w:spacing w:before="0" w:line="360" w:lineRule="auto"/>
        <w:ind w:left="0" w:right="0" w:firstLine="440" w:firstLineChars="200"/>
        <w:jc w:val="both"/>
        <w:rPr>
          <w:rFonts w:hint="eastAsia" w:ascii="宋体" w:hAnsi="宋体" w:eastAsia="宋体" w:cs="宋体"/>
          <w:spacing w:val="5"/>
          <w:lang w:val="en-US" w:eastAsia="zh-CN"/>
        </w:rPr>
      </w:pPr>
      <w:bookmarkStart w:id="214" w:name="_Toc3943"/>
      <w:bookmarkStart w:id="215" w:name="_Toc24633"/>
      <w:bookmarkStart w:id="216" w:name="_Toc16355"/>
      <w:bookmarkStart w:id="217" w:name="_Toc32425"/>
      <w:bookmarkStart w:id="218" w:name="_Toc25261"/>
      <w:bookmarkStart w:id="219" w:name="_Toc23117"/>
      <w:bookmarkStart w:id="220" w:name="_Toc27250"/>
      <w:bookmarkStart w:id="221" w:name="_Toc10139"/>
      <w:bookmarkStart w:id="222" w:name="_Toc22870"/>
      <w:bookmarkStart w:id="223" w:name="_Toc20353"/>
      <w:r>
        <w:rPr>
          <w:rFonts w:hint="eastAsia" w:ascii="宋体" w:hAnsi="宋体" w:eastAsia="宋体" w:cs="宋体"/>
          <w:spacing w:val="5"/>
          <w:lang w:val="en-US" w:eastAsia="zh-CN"/>
        </w:rPr>
        <w:t>2、工作任务</w:t>
      </w:r>
      <w:bookmarkEnd w:id="214"/>
      <w:bookmarkEnd w:id="215"/>
      <w:bookmarkEnd w:id="216"/>
      <w:bookmarkEnd w:id="217"/>
      <w:bookmarkEnd w:id="218"/>
      <w:bookmarkEnd w:id="219"/>
      <w:bookmarkEnd w:id="220"/>
      <w:bookmarkEnd w:id="221"/>
      <w:bookmarkEnd w:id="222"/>
      <w:bookmarkEnd w:id="223"/>
    </w:p>
    <w:p>
      <w:pPr>
        <w:pStyle w:val="10"/>
        <w:adjustRightInd w:val="0"/>
        <w:snapToGrid w:val="0"/>
        <w:spacing w:before="0" w:line="360" w:lineRule="auto"/>
        <w:ind w:left="0"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szCs w:val="21"/>
          <w:lang w:val="en-US"/>
        </w:rPr>
        <w:t>根据国家和省级建设要求，结合</w:t>
      </w:r>
      <w:r>
        <w:rPr>
          <w:rFonts w:hint="eastAsia" w:ascii="宋体" w:hAnsi="宋体" w:eastAsia="宋体" w:cs="宋体"/>
          <w:spacing w:val="5"/>
          <w:szCs w:val="21"/>
          <w:lang w:val="en-US" w:eastAsia="zh-CN"/>
        </w:rPr>
        <w:t>兰溪市</w:t>
      </w:r>
      <w:r>
        <w:rPr>
          <w:rFonts w:hint="eastAsia" w:ascii="宋体" w:hAnsi="宋体" w:eastAsia="宋体" w:cs="宋体"/>
          <w:spacing w:val="5"/>
          <w:szCs w:val="21"/>
          <w:lang w:val="en-US"/>
        </w:rPr>
        <w:t>水旱灾害防御工作实际，</w:t>
      </w:r>
      <w:r>
        <w:rPr>
          <w:rFonts w:hint="eastAsia" w:ascii="宋体" w:hAnsi="宋体" w:eastAsia="宋体" w:cs="宋体"/>
          <w:spacing w:val="5"/>
          <w:szCs w:val="21"/>
          <w:lang w:val="en-US" w:eastAsia="zh-CN"/>
        </w:rPr>
        <w:t>本次</w:t>
      </w:r>
      <w:r>
        <w:rPr>
          <w:rFonts w:hint="eastAsia" w:ascii="宋体" w:hAnsi="宋体" w:eastAsia="宋体" w:cs="宋体"/>
          <w:spacing w:val="5"/>
          <w:lang w:val="en-US" w:eastAsia="zh-CN"/>
        </w:rPr>
        <w:t>安排</w:t>
      </w:r>
      <w:r>
        <w:rPr>
          <w:rFonts w:hint="eastAsia" w:ascii="宋体" w:hAnsi="宋体" w:eastAsia="宋体" w:cs="宋体"/>
          <w:spacing w:val="5"/>
          <w:szCs w:val="21"/>
          <w:lang w:val="en-US" w:eastAsia="zh-CN"/>
        </w:rPr>
        <w:t>水旱灾害风险普查和山洪灾害防治</w:t>
      </w:r>
      <w:r>
        <w:rPr>
          <w:rFonts w:hint="eastAsia" w:ascii="宋体" w:hAnsi="宋体" w:eastAsia="宋体" w:cs="宋体"/>
          <w:spacing w:val="5"/>
          <w:lang w:val="en-US" w:eastAsia="zh-CN"/>
        </w:rPr>
        <w:t>任务。</w:t>
      </w:r>
    </w:p>
    <w:p>
      <w:pPr>
        <w:pStyle w:val="10"/>
        <w:adjustRightInd w:val="0"/>
        <w:snapToGrid w:val="0"/>
        <w:spacing w:before="0" w:line="360" w:lineRule="auto"/>
        <w:ind w:left="0" w:right="0" w:firstLine="440" w:firstLineChars="200"/>
        <w:jc w:val="both"/>
        <w:rPr>
          <w:rFonts w:hint="eastAsia" w:ascii="宋体" w:hAnsi="宋体" w:eastAsia="宋体" w:cs="宋体"/>
          <w:spacing w:val="5"/>
          <w:lang w:val="en-US" w:eastAsia="zh-CN"/>
        </w:rPr>
      </w:pPr>
      <w:bookmarkStart w:id="224" w:name="_Toc5539"/>
      <w:bookmarkStart w:id="225" w:name="_Toc68"/>
      <w:bookmarkStart w:id="226" w:name="_Toc31783"/>
      <w:bookmarkStart w:id="227" w:name="_Toc18295"/>
      <w:bookmarkStart w:id="228" w:name="_Toc28688"/>
      <w:bookmarkStart w:id="229" w:name="_Toc29258"/>
      <w:bookmarkStart w:id="230" w:name="_Toc21612"/>
      <w:bookmarkStart w:id="231" w:name="_Toc4362"/>
      <w:bookmarkStart w:id="232" w:name="_Toc304"/>
      <w:bookmarkStart w:id="233" w:name="_Toc1661"/>
      <w:bookmarkStart w:id="234" w:name="_Toc2843"/>
      <w:bookmarkStart w:id="235" w:name="_Toc12565"/>
      <w:bookmarkStart w:id="236" w:name="_Toc19312"/>
      <w:bookmarkStart w:id="237" w:name="_Toc18302"/>
      <w:bookmarkStart w:id="238" w:name="_Toc21234"/>
      <w:bookmarkStart w:id="239" w:name="_Toc6651"/>
      <w:bookmarkStart w:id="240" w:name="_Toc28719"/>
      <w:bookmarkStart w:id="241" w:name="_Toc11842"/>
      <w:bookmarkStart w:id="242" w:name="_Toc27797"/>
      <w:r>
        <w:rPr>
          <w:rFonts w:hint="eastAsia" w:ascii="宋体" w:hAnsi="宋体" w:eastAsia="宋体" w:cs="宋体"/>
          <w:spacing w:val="5"/>
          <w:lang w:val="en-US" w:eastAsia="zh-CN"/>
        </w:rPr>
        <w:t>2.1 水旱灾害风险普查</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243" w:name="_Toc10867"/>
      <w:bookmarkStart w:id="244" w:name="_Toc5887"/>
      <w:bookmarkStart w:id="245" w:name="_Toc28144"/>
      <w:bookmarkStart w:id="246" w:name="_Toc30690"/>
      <w:bookmarkStart w:id="247" w:name="_Toc16758"/>
      <w:bookmarkStart w:id="248" w:name="_Toc3206"/>
      <w:bookmarkStart w:id="249" w:name="_Toc4794"/>
      <w:bookmarkStart w:id="250" w:name="_Toc6629"/>
      <w:bookmarkStart w:id="251" w:name="_Toc15060"/>
      <w:bookmarkStart w:id="252" w:name="_Toc25914"/>
      <w:bookmarkStart w:id="253" w:name="_Toc32124"/>
      <w:bookmarkStart w:id="254" w:name="_Toc2156"/>
      <w:bookmarkStart w:id="255" w:name="_Toc9412"/>
      <w:bookmarkStart w:id="256" w:name="_Toc16186"/>
      <w:bookmarkStart w:id="257" w:name="_Toc26064"/>
      <w:bookmarkStart w:id="258" w:name="_Toc1484"/>
      <w:r>
        <w:rPr>
          <w:rFonts w:hint="eastAsia" w:ascii="宋体" w:hAnsi="宋体" w:eastAsia="宋体" w:cs="宋体"/>
          <w:spacing w:val="5"/>
          <w:lang w:val="en-US" w:eastAsia="zh-CN"/>
        </w:rPr>
        <w:t xml:space="preserve">2.1.1 </w:t>
      </w:r>
      <w:r>
        <w:rPr>
          <w:rFonts w:hint="eastAsia" w:ascii="宋体" w:hAnsi="宋体" w:eastAsia="宋体" w:cs="宋体"/>
          <w:spacing w:val="5"/>
          <w:lang w:val="en-US"/>
        </w:rPr>
        <w:t>水旱灾害致灾调查与评估</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10"/>
        <w:adjustRightInd w:val="0"/>
        <w:snapToGrid w:val="0"/>
        <w:spacing w:before="0" w:line="360" w:lineRule="auto"/>
        <w:ind w:left="0"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rPr>
        <w:t>根据《省级水旱方案》中“水旱灾害致灾调查与评估”工作要求，</w:t>
      </w:r>
      <w:r>
        <w:rPr>
          <w:rFonts w:hint="eastAsia" w:ascii="宋体" w:hAnsi="宋体" w:eastAsia="宋体" w:cs="宋体"/>
          <w:spacing w:val="5"/>
          <w:lang w:val="en-US" w:eastAsia="zh-CN"/>
        </w:rPr>
        <w:t>省级负责洪水灾害危险性调查与评估，</w:t>
      </w:r>
      <w:r>
        <w:rPr>
          <w:rFonts w:hint="eastAsia" w:ascii="宋体" w:hAnsi="宋体" w:eastAsia="宋体" w:cs="宋体"/>
          <w:spacing w:val="5"/>
          <w:lang w:val="en-US"/>
        </w:rPr>
        <w:t>县级负责</w:t>
      </w:r>
      <w:r>
        <w:rPr>
          <w:rFonts w:hint="eastAsia" w:ascii="宋体" w:hAnsi="宋体" w:eastAsia="宋体" w:cs="宋体"/>
          <w:spacing w:val="5"/>
          <w:lang w:val="en-US" w:eastAsia="zh-CN"/>
        </w:rPr>
        <w:t>县级行政区</w:t>
      </w:r>
      <w:r>
        <w:rPr>
          <w:rFonts w:hint="eastAsia" w:ascii="宋体" w:hAnsi="宋体" w:eastAsia="宋体" w:cs="宋体"/>
          <w:spacing w:val="5"/>
          <w:lang w:val="en-US"/>
        </w:rPr>
        <w:t>干旱灾害致灾调查。</w:t>
      </w:r>
      <w:r>
        <w:rPr>
          <w:rFonts w:hint="eastAsia" w:ascii="宋体" w:hAnsi="宋体" w:eastAsia="宋体" w:cs="宋体"/>
          <w:spacing w:val="5"/>
          <w:lang w:val="en-US" w:eastAsia="zh-CN"/>
        </w:rPr>
        <w:t>任务分工如表3-1：</w:t>
      </w:r>
    </w:p>
    <w:p>
      <w:pPr>
        <w:pStyle w:val="10"/>
        <w:spacing w:before="110" w:line="338" w:lineRule="auto"/>
        <w:ind w:left="218" w:right="603" w:firstLine="403"/>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表3-1 水旱灾害致灾调查与评估任务分工表</w:t>
      </w:r>
    </w:p>
    <w:tbl>
      <w:tblPr>
        <w:tblStyle w:val="16"/>
        <w:tblW w:w="4997" w:type="pct"/>
        <w:tblInd w:w="0" w:type="dxa"/>
        <w:shd w:val="clear" w:color="auto" w:fill="auto"/>
        <w:tblLayout w:type="autofit"/>
        <w:tblCellMar>
          <w:top w:w="0" w:type="dxa"/>
          <w:left w:w="0" w:type="dxa"/>
          <w:bottom w:w="0" w:type="dxa"/>
          <w:right w:w="0" w:type="dxa"/>
        </w:tblCellMar>
      </w:tblPr>
      <w:tblGrid>
        <w:gridCol w:w="996"/>
        <w:gridCol w:w="819"/>
        <w:gridCol w:w="1374"/>
        <w:gridCol w:w="954"/>
        <w:gridCol w:w="2090"/>
        <w:gridCol w:w="1518"/>
        <w:gridCol w:w="1346"/>
      </w:tblGrid>
      <w:tr>
        <w:tblPrEx>
          <w:tblCellMar>
            <w:top w:w="0" w:type="dxa"/>
            <w:left w:w="0" w:type="dxa"/>
            <w:bottom w:w="0" w:type="dxa"/>
            <w:right w:w="0" w:type="dxa"/>
          </w:tblCellMar>
        </w:tblPrEx>
        <w:trPr>
          <w:trHeight w:val="550" w:hRule="atLeast"/>
        </w:trPr>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任务</w:t>
            </w:r>
          </w:p>
        </w:tc>
        <w:tc>
          <w:tcPr>
            <w:tcW w:w="1205"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子任务</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任务分级</w:t>
            </w:r>
          </w:p>
        </w:tc>
        <w:tc>
          <w:tcPr>
            <w:tcW w:w="11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具体任务</w:t>
            </w:r>
          </w:p>
        </w:tc>
        <w:tc>
          <w:tcPr>
            <w:tcW w:w="8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cs="宋体"/>
                <w:b/>
                <w:bCs/>
                <w:i w:val="0"/>
                <w:color w:val="000000"/>
                <w:kern w:val="0"/>
                <w:sz w:val="21"/>
                <w:szCs w:val="21"/>
                <w:highlight w:val="none"/>
                <w:u w:val="none"/>
                <w:lang w:val="en-US" w:eastAsia="zh-CN" w:bidi="ar"/>
              </w:rPr>
              <w:t>调查范围</w:t>
            </w:r>
          </w:p>
        </w:tc>
        <w:tc>
          <w:tcPr>
            <w:tcW w:w="7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cs="宋体"/>
                <w:b/>
                <w:bCs/>
                <w:i w:val="0"/>
                <w:color w:val="000000"/>
                <w:kern w:val="0"/>
                <w:sz w:val="21"/>
                <w:szCs w:val="21"/>
                <w:highlight w:val="none"/>
                <w:u w:val="none"/>
                <w:lang w:val="en-US" w:eastAsia="zh-CN" w:bidi="ar"/>
              </w:rPr>
            </w:pPr>
            <w:r>
              <w:rPr>
                <w:rFonts w:hint="eastAsia" w:cs="宋体"/>
                <w:b/>
                <w:bCs/>
                <w:i w:val="0"/>
                <w:color w:val="000000"/>
                <w:kern w:val="0"/>
                <w:sz w:val="21"/>
                <w:szCs w:val="21"/>
                <w:highlight w:val="none"/>
                <w:u w:val="none"/>
                <w:lang w:val="en-US" w:eastAsia="zh-CN" w:bidi="ar"/>
              </w:rPr>
              <w:t>备注</w:t>
            </w:r>
          </w:p>
        </w:tc>
      </w:tr>
      <w:tr>
        <w:tblPrEx>
          <w:tblCellMar>
            <w:top w:w="0" w:type="dxa"/>
            <w:left w:w="0" w:type="dxa"/>
            <w:bottom w:w="0" w:type="dxa"/>
            <w:right w:w="0" w:type="dxa"/>
          </w:tblCellMar>
        </w:tblPrEx>
        <w:trPr>
          <w:trHeight w:val="630" w:hRule="atLeast"/>
        </w:trPr>
        <w:tc>
          <w:tcPr>
            <w:tcW w:w="547"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水旱灾害致灾调查与评估</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干旱灾害致灾调查</w:t>
            </w:r>
          </w:p>
        </w:tc>
        <w:tc>
          <w:tcPr>
            <w:tcW w:w="7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县级行政区干旱灾害致灾调查</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val="0"/>
                <w:bCs w:val="0"/>
                <w:i w:val="0"/>
                <w:color w:val="000000"/>
                <w:kern w:val="0"/>
                <w:sz w:val="21"/>
                <w:szCs w:val="21"/>
                <w:highlight w:val="none"/>
                <w:u w:val="none"/>
                <w:lang w:val="en-US" w:eastAsia="zh-CN" w:bidi="ar"/>
              </w:rPr>
            </w:pPr>
            <w:r>
              <w:rPr>
                <w:rFonts w:hint="eastAsia" w:cs="宋体"/>
                <w:b w:val="0"/>
                <w:bCs w:val="0"/>
                <w:i w:val="0"/>
                <w:color w:val="000000"/>
                <w:kern w:val="0"/>
                <w:sz w:val="21"/>
                <w:szCs w:val="21"/>
                <w:highlight w:val="none"/>
                <w:u w:val="none"/>
                <w:lang w:val="en-US" w:eastAsia="zh-CN" w:bidi="ar"/>
              </w:rPr>
              <w:t>县级</w:t>
            </w:r>
          </w:p>
        </w:tc>
        <w:tc>
          <w:tcPr>
            <w:tcW w:w="11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pacing w:line="240" w:lineRule="auto"/>
              <w:ind w:left="0" w:leftChars="0" w:firstLine="0" w:firstLineChars="0"/>
              <w:jc w:val="left"/>
              <w:textAlignment w:val="top"/>
              <w:rPr>
                <w:rFonts w:hint="eastAsia" w:ascii="宋体" w:hAnsi="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开展</w:t>
            </w:r>
            <w:r>
              <w:rPr>
                <w:rFonts w:hint="eastAsia" w:ascii="宋体" w:hAnsi="宋体" w:cs="宋体"/>
                <w:i w:val="0"/>
                <w:color w:val="000000"/>
                <w:kern w:val="0"/>
                <w:sz w:val="21"/>
                <w:szCs w:val="21"/>
                <w:u w:val="none"/>
                <w:lang w:val="en-US" w:eastAsia="zh-CN" w:bidi="ar"/>
              </w:rPr>
              <w:t>兰溪市</w:t>
            </w:r>
            <w:r>
              <w:rPr>
                <w:rFonts w:hint="eastAsia" w:ascii="宋体" w:hAnsi="宋体" w:eastAsia="宋体" w:cs="宋体"/>
                <w:i w:val="0"/>
                <w:color w:val="000000"/>
                <w:kern w:val="0"/>
                <w:sz w:val="21"/>
                <w:szCs w:val="21"/>
                <w:u w:val="none"/>
                <w:lang w:val="en-US" w:eastAsia="zh-CN" w:bidi="ar"/>
              </w:rPr>
              <w:t>行政区干旱灾害致灾调查</w:t>
            </w:r>
            <w:r>
              <w:rPr>
                <w:rFonts w:hint="eastAsia" w:ascii="宋体" w:hAnsi="宋体" w:cs="宋体"/>
                <w:i w:val="0"/>
                <w:color w:val="000000"/>
                <w:kern w:val="0"/>
                <w:sz w:val="21"/>
                <w:szCs w:val="21"/>
                <w:u w:val="none"/>
                <w:lang w:val="en-US" w:eastAsia="zh-CN" w:bidi="ar"/>
              </w:rPr>
              <w:t>；</w:t>
            </w:r>
          </w:p>
          <w:p>
            <w:pPr>
              <w:keepNext w:val="0"/>
              <w:keepLines w:val="0"/>
              <w:pageBreakBefore w:val="0"/>
              <w:widowControl/>
              <w:numPr>
                <w:ilvl w:val="0"/>
                <w:numId w:val="6"/>
              </w:numPr>
              <w:suppressLineNumbers w:val="0"/>
              <w:kinsoku/>
              <w:wordWrap/>
              <w:overflowPunct/>
              <w:topLinePunct w:val="0"/>
              <w:autoSpaceDE/>
              <w:autoSpaceDN/>
              <w:bidi w:val="0"/>
              <w:adjustRightInd/>
              <w:spacing w:line="240" w:lineRule="auto"/>
              <w:ind w:left="0" w:leftChars="0" w:firstLine="0" w:firstLineChars="0"/>
              <w:jc w:val="left"/>
              <w:textAlignment w:val="top"/>
              <w:rPr>
                <w:rFonts w:hint="eastAsia" w:ascii="宋体" w:hAnsi="宋体" w:eastAsia="宋体" w:cs="宋体"/>
                <w:b w:val="0"/>
                <w:bCs w:val="0"/>
                <w:i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编制</w:t>
            </w:r>
            <w:r>
              <w:rPr>
                <w:rFonts w:hint="eastAsia" w:ascii="宋体" w:hAnsi="宋体" w:cs="宋体"/>
                <w:i w:val="0"/>
                <w:color w:val="000000"/>
                <w:kern w:val="0"/>
                <w:sz w:val="21"/>
                <w:szCs w:val="21"/>
                <w:u w:val="none"/>
                <w:lang w:val="en-US" w:eastAsia="zh-CN" w:bidi="ar"/>
              </w:rPr>
              <w:t>兰溪市</w:t>
            </w:r>
            <w:r>
              <w:rPr>
                <w:rFonts w:hint="eastAsia" w:ascii="宋体" w:hAnsi="宋体" w:eastAsia="宋体" w:cs="宋体"/>
                <w:i w:val="0"/>
                <w:color w:val="000000"/>
                <w:kern w:val="0"/>
                <w:sz w:val="21"/>
                <w:szCs w:val="21"/>
                <w:u w:val="none"/>
                <w:lang w:val="en-US" w:eastAsia="zh-CN" w:bidi="ar"/>
              </w:rPr>
              <w:t>干旱灾害致灾调查成果报告</w:t>
            </w:r>
            <w:r>
              <w:rPr>
                <w:rFonts w:hint="eastAsia" w:ascii="宋体" w:hAnsi="宋体" w:cs="宋体"/>
                <w:i w:val="0"/>
                <w:color w:val="000000"/>
                <w:kern w:val="0"/>
                <w:sz w:val="21"/>
                <w:szCs w:val="21"/>
                <w:u w:val="none"/>
                <w:lang w:val="en-US" w:eastAsia="zh-CN" w:bidi="ar"/>
              </w:rPr>
              <w:t>。</w:t>
            </w:r>
          </w:p>
        </w:tc>
        <w:tc>
          <w:tcPr>
            <w:tcW w:w="8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val="0"/>
                <w:bCs w:val="0"/>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兰溪市全域</w:t>
            </w:r>
          </w:p>
        </w:tc>
        <w:tc>
          <w:tcPr>
            <w:tcW w:w="7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bl>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259" w:name="_Toc18092"/>
      <w:bookmarkStart w:id="260" w:name="_Toc18971"/>
      <w:bookmarkStart w:id="261" w:name="_Toc25793"/>
      <w:bookmarkStart w:id="262" w:name="_Toc19799"/>
      <w:bookmarkStart w:id="263" w:name="_Toc16041"/>
      <w:bookmarkStart w:id="264" w:name="_Toc29037"/>
      <w:bookmarkStart w:id="265" w:name="_Toc26691"/>
      <w:bookmarkStart w:id="266" w:name="_Toc24902"/>
      <w:bookmarkStart w:id="267" w:name="_Toc6385"/>
      <w:bookmarkStart w:id="268" w:name="_Toc30766"/>
      <w:bookmarkStart w:id="269" w:name="_Toc11680"/>
      <w:bookmarkStart w:id="270" w:name="_Toc5259"/>
      <w:bookmarkStart w:id="271" w:name="_Toc6394"/>
      <w:bookmarkStart w:id="272" w:name="_Toc18783"/>
      <w:bookmarkStart w:id="273" w:name="_Toc16918"/>
      <w:bookmarkStart w:id="274" w:name="_Toc7759"/>
      <w:bookmarkStart w:id="275" w:name="_Toc19611"/>
      <w:bookmarkStart w:id="276" w:name="_Toc18167"/>
      <w:bookmarkStart w:id="277" w:name="_Toc8382"/>
      <w:bookmarkStart w:id="278" w:name="_Toc15525"/>
      <w:bookmarkStart w:id="279" w:name="_Toc6383"/>
      <w:bookmarkStart w:id="280" w:name="_Toc28314"/>
      <w:bookmarkStart w:id="281" w:name="_Toc9813"/>
      <w:bookmarkStart w:id="282" w:name="_Toc18980"/>
      <w:bookmarkStart w:id="283" w:name="_Toc27456"/>
      <w:bookmarkStart w:id="284" w:name="_Toc23919"/>
      <w:bookmarkStart w:id="285" w:name="_Toc11818"/>
      <w:bookmarkStart w:id="286" w:name="_Toc26897"/>
      <w:bookmarkStart w:id="287" w:name="_Toc23309"/>
      <w:bookmarkStart w:id="288" w:name="_Toc14112"/>
      <w:bookmarkStart w:id="289" w:name="_Toc32200"/>
      <w:bookmarkStart w:id="290" w:name="_Toc21637"/>
      <w:bookmarkStart w:id="291" w:name="_Toc11208"/>
      <w:bookmarkStart w:id="292" w:name="_Toc19886"/>
      <w:bookmarkStart w:id="293" w:name="_Toc13629"/>
      <w:bookmarkStart w:id="294" w:name="_Toc13858"/>
      <w:bookmarkStart w:id="295" w:name="_Toc16200"/>
      <w:r>
        <w:rPr>
          <w:rFonts w:hint="eastAsia" w:ascii="宋体" w:hAnsi="宋体" w:eastAsia="宋体" w:cs="宋体"/>
          <w:spacing w:val="5"/>
          <w:lang w:val="en-US" w:eastAsia="zh-CN"/>
        </w:rPr>
        <w:t>2.1.1.1 县级行政区干旱灾害致灾调查</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296" w:name="_Toc29828"/>
      <w:bookmarkStart w:id="297" w:name="_Toc19701"/>
      <w:bookmarkStart w:id="298" w:name="_Toc30632"/>
      <w:bookmarkStart w:id="299" w:name="_Toc24115"/>
      <w:bookmarkStart w:id="300" w:name="_Toc16340"/>
      <w:bookmarkStart w:id="301" w:name="_Toc6563"/>
      <w:r>
        <w:rPr>
          <w:rFonts w:hint="eastAsia" w:ascii="宋体" w:hAnsi="宋体" w:eastAsia="宋体" w:cs="宋体"/>
          <w:spacing w:val="5"/>
          <w:lang w:val="en-US" w:eastAsia="zh-CN"/>
        </w:rPr>
        <w:t>2.1.1.1.1 工作内容</w:t>
      </w:r>
      <w:bookmarkEnd w:id="296"/>
      <w:bookmarkEnd w:id="297"/>
      <w:bookmarkEnd w:id="298"/>
      <w:bookmarkEnd w:id="299"/>
      <w:bookmarkEnd w:id="300"/>
      <w:bookmarkEnd w:id="301"/>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本次</w:t>
      </w:r>
      <w:r>
        <w:rPr>
          <w:rFonts w:hint="eastAsia" w:ascii="宋体" w:hAnsi="宋体" w:eastAsia="宋体" w:cs="宋体"/>
          <w:spacing w:val="5"/>
          <w:lang w:val="en-US" w:eastAsia="zh-CN"/>
        </w:rPr>
        <w:t>兰溪市</w:t>
      </w:r>
      <w:r>
        <w:rPr>
          <w:rFonts w:hint="eastAsia" w:ascii="宋体" w:hAnsi="宋体" w:eastAsia="宋体" w:cs="宋体"/>
          <w:spacing w:val="5"/>
          <w:lang w:val="en-US"/>
        </w:rPr>
        <w:t>干旱灾害致灾调查工作将在辖区范围内开展以下两类资料调查：</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1.</w:t>
      </w:r>
      <w:r>
        <w:rPr>
          <w:rFonts w:hint="eastAsia" w:ascii="宋体" w:hAnsi="宋体" w:eastAsia="宋体" w:cs="宋体"/>
          <w:spacing w:val="5"/>
          <w:lang w:val="en-US"/>
        </w:rPr>
        <w:t>基础资料。2017～2020年水资源总量、地表水供水、地下水供水，居民生活、生产等供用水资料；现状蓄、引、提、调，灌区等抗旱水源工程防御能力，监测、预案、服务保障等非工程措施防御能力；现状（2020年）城镇供水水源情况。</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2.</w:t>
      </w:r>
      <w:r>
        <w:rPr>
          <w:rFonts w:hint="eastAsia" w:ascii="宋体" w:hAnsi="宋体" w:eastAsia="宋体" w:cs="宋体"/>
          <w:spacing w:val="5"/>
          <w:lang w:val="en-US"/>
        </w:rPr>
        <w:t>灾害事件资料。2008～2020年各次干旱灾害事件的发生时间、原因、范围、气象水文情况，农业、城镇等受灾及损失情况，以及历年实施的抗旱措施、投入人力物力、抗旱效果效益等。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02" w:name="_Toc2366"/>
      <w:bookmarkStart w:id="303" w:name="_Toc32051"/>
      <w:bookmarkStart w:id="304" w:name="_Toc7735"/>
      <w:bookmarkStart w:id="305" w:name="_Toc31342"/>
      <w:bookmarkStart w:id="306" w:name="_Toc15743"/>
      <w:bookmarkStart w:id="307" w:name="_Toc23830"/>
      <w:r>
        <w:rPr>
          <w:rFonts w:hint="eastAsia" w:ascii="宋体" w:hAnsi="宋体" w:eastAsia="宋体" w:cs="宋体"/>
          <w:spacing w:val="5"/>
          <w:lang w:val="en-US" w:eastAsia="zh-CN"/>
        </w:rPr>
        <w:t>2.1.1.1.2 工作流程</w:t>
      </w:r>
      <w:bookmarkEnd w:id="302"/>
      <w:bookmarkEnd w:id="303"/>
      <w:bookmarkEnd w:id="304"/>
      <w:bookmarkEnd w:id="305"/>
      <w:bookmarkEnd w:id="306"/>
      <w:bookmarkEnd w:id="307"/>
    </w:p>
    <w:p>
      <w:pPr>
        <w:pStyle w:val="10"/>
        <w:adjustRightInd w:val="0"/>
        <w:snapToGrid w:val="0"/>
        <w:spacing w:before="0" w:line="360" w:lineRule="auto"/>
        <w:ind w:right="0" w:firstLine="440" w:firstLineChars="200"/>
        <w:jc w:val="both"/>
        <w:rPr>
          <w:rFonts w:hint="eastAsia" w:ascii="宋体" w:hAnsi="宋体" w:eastAsia="宋体" w:cs="宋体"/>
          <w:spacing w:val="5"/>
          <w:szCs w:val="21"/>
          <w:lang w:val="en-US"/>
        </w:rPr>
      </w:pPr>
      <w:r>
        <w:rPr>
          <w:rFonts w:hint="eastAsia" w:ascii="宋体" w:hAnsi="宋体" w:eastAsia="宋体" w:cs="宋体"/>
          <w:spacing w:val="5"/>
          <w:lang w:val="en-US"/>
        </w:rPr>
        <w:t>按照省水利厅制定的《浙江省干旱灾害致灾调查与洪水灾害隐患调查技术要求》和具体调查任务开展实地调查和资料收集，按照统一设计的表格和要求填报调查表（详见附表</w:t>
      </w:r>
      <w:r>
        <w:rPr>
          <w:rFonts w:hint="eastAsia" w:ascii="宋体" w:hAnsi="宋体" w:eastAsia="宋体" w:cs="宋体"/>
          <w:spacing w:val="5"/>
          <w:lang w:val="en-US" w:eastAsia="zh-CN"/>
        </w:rPr>
        <w:t>2</w:t>
      </w:r>
      <w:r>
        <w:rPr>
          <w:rFonts w:hint="eastAsia" w:ascii="宋体" w:hAnsi="宋体" w:eastAsia="宋体" w:cs="宋体"/>
          <w:spacing w:val="5"/>
          <w:lang w:val="en-US"/>
        </w:rPr>
        <w:t>），录入相关信息，将调查信息进行整理、审核，并上报省水利厅，同时编制县级干旱灾害致灾调查成果报告。在此基础上，市级进行辖区内旱灾致灾调查成果数据的检查工作，省级进行县级填报数据的规范性、完备性、合理性审核校验，通过水旱灾害调查分系统上报至水利部。具体工作流程详见图</w:t>
      </w:r>
      <w:r>
        <w:rPr>
          <w:rFonts w:hint="eastAsia" w:ascii="宋体" w:hAnsi="宋体" w:eastAsia="宋体" w:cs="宋体"/>
          <w:spacing w:val="5"/>
          <w:lang w:val="en-US" w:eastAsia="zh-CN"/>
        </w:rPr>
        <w:t>3</w:t>
      </w:r>
      <w:r>
        <w:rPr>
          <w:rFonts w:hint="eastAsia" w:ascii="宋体" w:hAnsi="宋体" w:eastAsia="宋体" w:cs="宋体"/>
          <w:spacing w:val="5"/>
          <w:lang w:val="en-US"/>
        </w:rPr>
        <w:t>-1。</w:t>
      </w:r>
    </w:p>
    <w:p>
      <w:pPr>
        <w:ind w:firstLine="0" w:firstLineChars="0"/>
        <w:jc w:val="center"/>
        <w:rPr>
          <w:highlight w:val="none"/>
        </w:rPr>
      </w:pPr>
      <w:r>
        <w:rPr>
          <w:highlight w:val="none"/>
        </w:rPr>
        <w:object>
          <v:shape id="_x0000_i1025" o:spt="75" type="#_x0000_t75" style="height:216pt;width:414.4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pPr>
        <w:ind w:firstLine="0" w:firstLineChars="0"/>
        <w:jc w:val="center"/>
        <w:rPr>
          <w:rFonts w:ascii="Times New Roman" w:hAnsi="Times New Roman" w:cs="Times New Roman"/>
          <w:b/>
          <w:color w:val="000000" w:themeColor="text1"/>
          <w:szCs w:val="28"/>
          <w:highlight w:val="none"/>
          <w14:textFill>
            <w14:solidFill>
              <w14:schemeClr w14:val="tx1"/>
            </w14:solidFill>
          </w14:textFill>
        </w:rPr>
      </w:pPr>
      <w:r>
        <w:rPr>
          <w:rFonts w:hint="eastAsia" w:ascii="Times New Roman" w:hAnsi="Times New Roman" w:cs="Times New Roman"/>
          <w:b/>
          <w:color w:val="000000" w:themeColor="text1"/>
          <w:szCs w:val="28"/>
          <w:highlight w:val="none"/>
          <w14:textFill>
            <w14:solidFill>
              <w14:schemeClr w14:val="tx1"/>
            </w14:solidFill>
          </w14:textFill>
        </w:rPr>
        <w:t>图</w:t>
      </w:r>
      <w:r>
        <w:rPr>
          <w:rFonts w:hint="eastAsia" w:cs="Times New Roman"/>
          <w:b/>
          <w:color w:val="000000" w:themeColor="text1"/>
          <w:szCs w:val="28"/>
          <w:highlight w:val="none"/>
          <w:lang w:val="en-US" w:eastAsia="zh-CN"/>
          <w14:textFill>
            <w14:solidFill>
              <w14:schemeClr w14:val="tx1"/>
            </w14:solidFill>
          </w14:textFill>
        </w:rPr>
        <w:t>3</w:t>
      </w:r>
      <w:r>
        <w:rPr>
          <w:rFonts w:ascii="Times New Roman" w:hAnsi="Times New Roman" w:cs="Times New Roman"/>
          <w:b/>
          <w:color w:val="000000" w:themeColor="text1"/>
          <w:szCs w:val="28"/>
          <w:highlight w:val="none"/>
          <w14:textFill>
            <w14:solidFill>
              <w14:schemeClr w14:val="tx1"/>
            </w14:solidFill>
          </w14:textFill>
        </w:rPr>
        <w:t xml:space="preserve">-1  </w:t>
      </w:r>
      <w:r>
        <w:rPr>
          <w:rFonts w:hint="eastAsia" w:ascii="Times New Roman" w:hAnsi="Times New Roman" w:cs="Times New Roman"/>
          <w:b/>
          <w:color w:val="000000" w:themeColor="text1"/>
          <w:szCs w:val="28"/>
          <w:highlight w:val="none"/>
          <w14:textFill>
            <w14:solidFill>
              <w14:schemeClr w14:val="tx1"/>
            </w14:solidFill>
          </w14:textFill>
        </w:rPr>
        <w:t>干旱灾害致灾调查</w:t>
      </w:r>
      <w:r>
        <w:rPr>
          <w:rFonts w:hint="eastAsia" w:cs="Times New Roman"/>
          <w:b/>
          <w:color w:val="000000" w:themeColor="text1"/>
          <w:szCs w:val="28"/>
          <w:highlight w:val="none"/>
          <w:lang w:val="en-US" w:eastAsia="zh-CN"/>
          <w14:textFill>
            <w14:solidFill>
              <w14:schemeClr w14:val="tx1"/>
            </w14:solidFill>
          </w14:textFill>
        </w:rPr>
        <w:t>工作</w:t>
      </w:r>
      <w:r>
        <w:rPr>
          <w:rFonts w:hint="eastAsia" w:ascii="Times New Roman" w:hAnsi="Times New Roman" w:cs="Times New Roman"/>
          <w:b/>
          <w:color w:val="000000" w:themeColor="text1"/>
          <w:szCs w:val="28"/>
          <w:highlight w:val="none"/>
          <w14:textFill>
            <w14:solidFill>
              <w14:schemeClr w14:val="tx1"/>
            </w14:solidFill>
          </w14:textFill>
        </w:rPr>
        <w:t>流程图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08" w:name="_Toc5153"/>
      <w:bookmarkStart w:id="309" w:name="_Toc8608"/>
      <w:bookmarkStart w:id="310" w:name="_Toc18984"/>
      <w:bookmarkStart w:id="311" w:name="_Toc24046"/>
      <w:bookmarkStart w:id="312" w:name="_Toc15260"/>
      <w:bookmarkStart w:id="313" w:name="_Toc6662"/>
      <w:r>
        <w:rPr>
          <w:rFonts w:hint="eastAsia" w:ascii="宋体" w:hAnsi="宋体" w:eastAsia="宋体" w:cs="宋体"/>
          <w:spacing w:val="5"/>
          <w:lang w:val="en-US" w:eastAsia="zh-CN"/>
        </w:rPr>
        <w:t>2.1.1.1.3 调查实施</w:t>
      </w:r>
      <w:bookmarkEnd w:id="308"/>
      <w:bookmarkEnd w:id="309"/>
      <w:bookmarkEnd w:id="310"/>
      <w:bookmarkEnd w:id="311"/>
      <w:bookmarkEnd w:id="312"/>
      <w:bookmarkEnd w:id="313"/>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本次</w:t>
      </w:r>
      <w:r>
        <w:rPr>
          <w:rFonts w:hint="eastAsia" w:ascii="宋体" w:hAnsi="宋体" w:eastAsia="宋体" w:cs="宋体"/>
          <w:spacing w:val="5"/>
          <w:lang w:val="en-US" w:eastAsia="zh-CN"/>
        </w:rPr>
        <w:t>兰溪市</w:t>
      </w:r>
      <w:r>
        <w:rPr>
          <w:rFonts w:hint="eastAsia" w:ascii="宋体" w:hAnsi="宋体" w:eastAsia="宋体" w:cs="宋体"/>
          <w:spacing w:val="5"/>
          <w:lang w:val="en-US"/>
        </w:rPr>
        <w:t>干旱灾害致灾调查实施可分为两个阶段：</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1.</w:t>
      </w:r>
      <w:r>
        <w:rPr>
          <w:rFonts w:hint="eastAsia" w:ascii="宋体" w:hAnsi="宋体" w:eastAsia="宋体" w:cs="宋体"/>
          <w:b w:val="0"/>
          <w:bCs w:val="0"/>
          <w:spacing w:val="5"/>
          <w:lang w:val="en-US"/>
        </w:rPr>
        <w:t>资料收集与整理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兰溪市水旱灾害防御中心</w:t>
      </w:r>
      <w:r>
        <w:rPr>
          <w:rFonts w:hint="eastAsia" w:ascii="宋体" w:hAnsi="宋体" w:eastAsia="宋体" w:cs="宋体"/>
          <w:spacing w:val="5"/>
          <w:lang w:val="en-US"/>
        </w:rPr>
        <w:t>制定资料收集整理方案，开展基础信息、灾害事件等资料的收集整理工作。需收集资料应包括且不限于如下内容：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w:t>
      </w:r>
      <w:r>
        <w:rPr>
          <w:rFonts w:hint="eastAsia" w:ascii="宋体" w:hAnsi="宋体" w:eastAsia="宋体" w:cs="宋体"/>
          <w:spacing w:val="5"/>
          <w:lang w:val="en-US" w:eastAsia="zh-CN"/>
        </w:rPr>
        <w:t>兰溪市</w:t>
      </w:r>
      <w:r>
        <w:rPr>
          <w:rFonts w:hint="eastAsia" w:ascii="宋体" w:hAnsi="宋体" w:eastAsia="宋体" w:cs="宋体"/>
          <w:spacing w:val="5"/>
          <w:lang w:val="en-US"/>
        </w:rPr>
        <w:t>2017～2020年供用水情况调查：以2017～2020年水资源公报为主。</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（2）</w:t>
      </w:r>
      <w:r>
        <w:rPr>
          <w:rFonts w:hint="eastAsia" w:ascii="宋体" w:hAnsi="宋体" w:eastAsia="宋体" w:cs="宋体"/>
          <w:spacing w:val="5"/>
          <w:lang w:val="en-US" w:eastAsia="zh-CN"/>
        </w:rPr>
        <w:t>兰溪市</w:t>
      </w:r>
      <w:r>
        <w:rPr>
          <w:rFonts w:hint="eastAsia" w:ascii="宋体" w:hAnsi="宋体" w:eastAsia="宋体" w:cs="宋体"/>
          <w:spacing w:val="5"/>
          <w:lang w:val="en-US"/>
        </w:rPr>
        <w:t>现状（2020年）抗旱工程及非工程能力调查：水利局关于蓄水工程、提水工程、引调水工程数据清单及抗旱应急备用水源、</w:t>
      </w:r>
      <w:r>
        <w:rPr>
          <w:rFonts w:hint="eastAsia" w:ascii="宋体" w:hAnsi="宋体" w:eastAsia="宋体" w:cs="宋体"/>
          <w:spacing w:val="5"/>
          <w:lang w:val="en-US" w:eastAsia="zh-CN"/>
        </w:rPr>
        <w:t>兰溪市</w:t>
      </w:r>
      <w:r>
        <w:rPr>
          <w:rFonts w:hint="eastAsia" w:ascii="宋体" w:hAnsi="宋体" w:eastAsia="宋体" w:cs="宋体"/>
          <w:spacing w:val="5"/>
          <w:lang w:val="en-US"/>
        </w:rPr>
        <w:t>防汛防台抗旱应急预案等材料。</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（3）</w:t>
      </w:r>
      <w:r>
        <w:rPr>
          <w:rFonts w:hint="eastAsia" w:ascii="宋体" w:hAnsi="宋体" w:eastAsia="宋体" w:cs="宋体"/>
          <w:spacing w:val="5"/>
          <w:lang w:val="en-US" w:eastAsia="zh-CN"/>
        </w:rPr>
        <w:t>兰溪市</w:t>
      </w:r>
      <w:r>
        <w:rPr>
          <w:rFonts w:hint="eastAsia" w:ascii="宋体" w:hAnsi="宋体" w:eastAsia="宋体" w:cs="宋体"/>
          <w:spacing w:val="5"/>
          <w:lang w:val="en-US"/>
        </w:rPr>
        <w:t>现状（2020年）城镇水源情况调查：以2017～2020</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年水资源公报为主。</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（4）</w:t>
      </w:r>
      <w:r>
        <w:rPr>
          <w:rFonts w:hint="eastAsia" w:ascii="宋体" w:hAnsi="宋体" w:eastAsia="宋体" w:cs="宋体"/>
          <w:spacing w:val="5"/>
          <w:lang w:val="en-US" w:eastAsia="zh-CN"/>
        </w:rPr>
        <w:t>兰溪市</w:t>
      </w:r>
      <w:r>
        <w:rPr>
          <w:rFonts w:hint="eastAsia" w:ascii="宋体" w:hAnsi="宋体" w:eastAsia="宋体" w:cs="宋体"/>
          <w:spacing w:val="5"/>
          <w:lang w:val="en-US"/>
        </w:rPr>
        <w:t>2008～2020年旱情及旱灾损失调查：2008～2020年</w:t>
      </w:r>
      <w:r>
        <w:rPr>
          <w:rFonts w:hint="eastAsia" w:ascii="宋体" w:hAnsi="宋体" w:eastAsia="宋体" w:cs="宋体"/>
          <w:spacing w:val="5"/>
          <w:lang w:val="en-US" w:eastAsia="zh-CN"/>
        </w:rPr>
        <w:t>兰溪市</w:t>
      </w:r>
      <w:r>
        <w:rPr>
          <w:rFonts w:hint="eastAsia" w:ascii="宋体" w:hAnsi="宋体" w:eastAsia="宋体" w:cs="宋体"/>
          <w:spacing w:val="5"/>
          <w:lang w:val="en-US"/>
        </w:rPr>
        <w:t>年鉴或统计年鉴、</w:t>
      </w:r>
      <w:r>
        <w:rPr>
          <w:rFonts w:hint="eastAsia" w:ascii="宋体" w:hAnsi="宋体" w:eastAsia="宋体" w:cs="宋体"/>
          <w:spacing w:val="5"/>
          <w:lang w:val="en-US" w:eastAsia="zh-CN"/>
        </w:rPr>
        <w:t>兰溪市</w:t>
      </w:r>
      <w:r>
        <w:rPr>
          <w:rFonts w:hint="eastAsia" w:ascii="宋体" w:hAnsi="宋体" w:eastAsia="宋体" w:cs="宋体"/>
          <w:spacing w:val="5"/>
          <w:lang w:val="en-US"/>
        </w:rPr>
        <w:t>水利志、历年度干旱上报文件等材料。</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2.</w:t>
      </w:r>
      <w:r>
        <w:rPr>
          <w:rFonts w:hint="eastAsia" w:ascii="宋体" w:hAnsi="宋体" w:eastAsia="宋体" w:cs="宋体"/>
          <w:b w:val="0"/>
          <w:bCs w:val="0"/>
          <w:spacing w:val="5"/>
          <w:lang w:val="en-US"/>
        </w:rPr>
        <w:t>县级填报、报告编制及上报</w:t>
      </w:r>
    </w:p>
    <w:p>
      <w:pPr>
        <w:pStyle w:val="10"/>
        <w:adjustRightInd w:val="0"/>
        <w:snapToGrid w:val="0"/>
        <w:spacing w:before="0" w:line="360" w:lineRule="auto"/>
        <w:ind w:right="0" w:firstLine="440" w:firstLineChars="200"/>
        <w:jc w:val="both"/>
        <w:rPr>
          <w:rFonts w:hint="eastAsia" w:ascii="宋体" w:hAnsi="宋体" w:eastAsia="宋体" w:cs="宋体"/>
          <w:spacing w:val="5"/>
          <w:w w:val="100"/>
          <w:lang w:val="en-US"/>
        </w:rPr>
      </w:pPr>
      <w:r>
        <w:rPr>
          <w:rFonts w:hint="eastAsia" w:ascii="宋体" w:hAnsi="宋体" w:eastAsia="宋体" w:cs="宋体"/>
          <w:spacing w:val="5"/>
          <w:lang w:val="en-US"/>
        </w:rPr>
        <w:t>以县级行政区为单位，按照统一的技术、数据格式和要求填报县级干旱灾害致灾调查表</w:t>
      </w:r>
      <w:r>
        <w:rPr>
          <w:rFonts w:hint="eastAsia" w:ascii="宋体" w:hAnsi="宋体" w:eastAsia="宋体" w:cs="宋体"/>
          <w:spacing w:val="5"/>
          <w:lang w:val="en-US" w:eastAsia="zh-CN"/>
        </w:rPr>
        <w:t>（见附表2）</w:t>
      </w:r>
      <w:r>
        <w:rPr>
          <w:rFonts w:hint="eastAsia" w:ascii="宋体" w:hAnsi="宋体" w:eastAsia="宋体" w:cs="宋体"/>
          <w:spacing w:val="5"/>
          <w:lang w:val="en-US"/>
        </w:rPr>
        <w:t>，录入相关信息，将调查信息进行整理、复核并上报，同时编制《</w:t>
      </w:r>
      <w:r>
        <w:rPr>
          <w:rFonts w:hint="eastAsia" w:ascii="宋体" w:hAnsi="宋体" w:eastAsia="宋体" w:cs="宋体"/>
          <w:spacing w:val="5"/>
          <w:lang w:val="en-US" w:eastAsia="zh-CN"/>
        </w:rPr>
        <w:t>兰溪市</w:t>
      </w:r>
      <w:r>
        <w:rPr>
          <w:rFonts w:hint="eastAsia" w:ascii="宋体" w:hAnsi="宋体" w:eastAsia="宋体" w:cs="宋体"/>
          <w:spacing w:val="5"/>
          <w:lang w:val="en-US"/>
        </w:rPr>
        <w:t>干旱灾害致灾调查成果报告》</w:t>
      </w:r>
      <w:r>
        <w:rPr>
          <w:rFonts w:hint="eastAsia" w:ascii="宋体" w:hAnsi="宋体" w:eastAsia="宋体" w:cs="宋体"/>
          <w:spacing w:val="5"/>
          <w:w w:val="100"/>
          <w:lang w:val="en-US"/>
        </w:rPr>
        <w:t>。</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14" w:name="_Toc24834"/>
      <w:bookmarkStart w:id="315" w:name="_Toc13306"/>
      <w:bookmarkStart w:id="316" w:name="_Toc23844"/>
      <w:bookmarkStart w:id="317" w:name="_Toc27141"/>
      <w:bookmarkStart w:id="318" w:name="_Toc29398"/>
      <w:bookmarkStart w:id="319" w:name="_Toc3370"/>
      <w:r>
        <w:rPr>
          <w:rFonts w:hint="eastAsia" w:ascii="宋体" w:hAnsi="宋体" w:eastAsia="宋体" w:cs="宋体"/>
          <w:spacing w:val="5"/>
          <w:lang w:val="en-US" w:eastAsia="zh-CN"/>
        </w:rPr>
        <w:t>2.1.1.1.4 成果要求</w:t>
      </w:r>
      <w:bookmarkEnd w:id="314"/>
      <w:bookmarkEnd w:id="315"/>
      <w:bookmarkEnd w:id="316"/>
      <w:bookmarkEnd w:id="317"/>
      <w:bookmarkEnd w:id="318"/>
      <w:bookmarkEnd w:id="319"/>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兰溪市干旱灾害致灾调查成果主要包括：</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1.兰溪市</w:t>
      </w:r>
      <w:r>
        <w:rPr>
          <w:rFonts w:hint="eastAsia" w:ascii="宋体" w:hAnsi="宋体" w:eastAsia="宋体" w:cs="宋体"/>
          <w:spacing w:val="5"/>
          <w:lang w:val="en-US"/>
        </w:rPr>
        <w:t>2017~2020年供用水情况调查数据集；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2.兰溪市</w:t>
      </w:r>
      <w:r>
        <w:rPr>
          <w:rFonts w:hint="eastAsia" w:ascii="宋体" w:hAnsi="宋体" w:eastAsia="宋体" w:cs="宋体"/>
          <w:spacing w:val="5"/>
          <w:lang w:val="en-US"/>
        </w:rPr>
        <w:t>现状（2020年）抗旱工程及非工程能力调查数据集；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3.兰溪市</w:t>
      </w:r>
      <w:r>
        <w:rPr>
          <w:rFonts w:hint="eastAsia" w:ascii="宋体" w:hAnsi="宋体" w:eastAsia="宋体" w:cs="宋体"/>
          <w:spacing w:val="5"/>
          <w:lang w:val="en-US"/>
        </w:rPr>
        <w:t>现状（2020年）城集镇水源情况调查数据集；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4.兰溪市</w:t>
      </w:r>
      <w:r>
        <w:rPr>
          <w:rFonts w:hint="eastAsia" w:ascii="宋体" w:hAnsi="宋体" w:eastAsia="宋体" w:cs="宋体"/>
          <w:spacing w:val="5"/>
          <w:lang w:val="en-US"/>
        </w:rPr>
        <w:t>2008～2020年旱情及旱灾损失调查数据集</w:t>
      </w:r>
      <w:r>
        <w:rPr>
          <w:rFonts w:hint="eastAsia" w:ascii="宋体" w:hAnsi="宋体" w:eastAsia="宋体" w:cs="宋体"/>
          <w:spacing w:val="5"/>
          <w:lang w:val="en-US" w:eastAsia="zh-CN"/>
        </w:rPr>
        <w:t>；</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5.《兰溪市干旱灾害致灾调查成果报告》。</w:t>
      </w:r>
      <w:bookmarkStart w:id="320" w:name="_Toc22864"/>
      <w:bookmarkStart w:id="321" w:name="_Toc29378"/>
      <w:bookmarkStart w:id="322" w:name="_Toc30716"/>
      <w:bookmarkStart w:id="323" w:name="_Toc4112"/>
      <w:bookmarkStart w:id="324" w:name="_Toc9048"/>
      <w:bookmarkStart w:id="325" w:name="_Toc20238"/>
      <w:bookmarkStart w:id="326" w:name="_Toc17939"/>
      <w:bookmarkStart w:id="327" w:name="_Toc10890"/>
      <w:bookmarkStart w:id="328" w:name="_Toc22315"/>
      <w:bookmarkStart w:id="329" w:name="_Toc31275"/>
      <w:bookmarkStart w:id="330" w:name="_Toc32713"/>
      <w:bookmarkStart w:id="331" w:name="_Toc18844"/>
      <w:bookmarkStart w:id="332" w:name="_Toc11331"/>
      <w:bookmarkStart w:id="333" w:name="_Toc11359"/>
      <w:bookmarkStart w:id="334" w:name="_Toc16787"/>
      <w:bookmarkStart w:id="335" w:name="_Toc18779"/>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2.1.2 洪水灾害隐患调查与评估</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rPr>
        <w:t>根据《省级水旱方案》中“</w:t>
      </w:r>
      <w:r>
        <w:rPr>
          <w:rFonts w:hint="eastAsia" w:ascii="宋体" w:hAnsi="宋体" w:eastAsia="宋体" w:cs="宋体"/>
          <w:spacing w:val="5"/>
          <w:lang w:val="en-US" w:eastAsia="zh-CN"/>
        </w:rPr>
        <w:t>洪水灾害隐患</w:t>
      </w:r>
      <w:r>
        <w:rPr>
          <w:rFonts w:hint="eastAsia" w:ascii="宋体" w:hAnsi="宋体" w:eastAsia="宋体" w:cs="宋体"/>
          <w:spacing w:val="5"/>
          <w:lang w:val="en-US"/>
        </w:rPr>
        <w:t>调查与评估”工作要求，</w:t>
      </w:r>
      <w:r>
        <w:rPr>
          <w:rFonts w:hint="eastAsia" w:ascii="宋体" w:hAnsi="宋体" w:eastAsia="宋体" w:cs="宋体"/>
          <w:spacing w:val="5"/>
          <w:lang w:val="en-US" w:eastAsia="zh-CN"/>
        </w:rPr>
        <w:t>省级负责全省水利工程洪水灾害隐患调查成果报告，</w:t>
      </w:r>
      <w:r>
        <w:rPr>
          <w:rFonts w:hint="eastAsia" w:ascii="宋体" w:hAnsi="宋体" w:eastAsia="宋体" w:cs="宋体"/>
          <w:spacing w:val="5"/>
          <w:lang w:val="en-US"/>
        </w:rPr>
        <w:t>县级负责</w:t>
      </w:r>
      <w:r>
        <w:rPr>
          <w:rFonts w:hint="eastAsia" w:ascii="宋体" w:hAnsi="宋体" w:eastAsia="宋体" w:cs="宋体"/>
          <w:spacing w:val="5"/>
          <w:lang w:val="en-US" w:eastAsia="zh-CN"/>
        </w:rPr>
        <w:t>水利工程洪水灾害隐患调查和山丘区重点城集镇山洪风险调查评估。任务分工如表3-2：</w:t>
      </w:r>
    </w:p>
    <w:p>
      <w:pPr>
        <w:pStyle w:val="10"/>
        <w:spacing w:before="110" w:line="338" w:lineRule="auto"/>
        <w:ind w:right="603" w:firstLine="622" w:firstLineChars="283"/>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表3-2 洪水灾害隐患调查与评估任务分工表</w:t>
      </w:r>
    </w:p>
    <w:tbl>
      <w:tblPr>
        <w:tblStyle w:val="16"/>
        <w:tblW w:w="5322" w:type="pct"/>
        <w:tblInd w:w="0" w:type="dxa"/>
        <w:shd w:val="clear" w:color="auto" w:fill="auto"/>
        <w:tblLayout w:type="autofit"/>
        <w:tblCellMar>
          <w:top w:w="0" w:type="dxa"/>
          <w:left w:w="0" w:type="dxa"/>
          <w:bottom w:w="0" w:type="dxa"/>
          <w:right w:w="0" w:type="dxa"/>
        </w:tblCellMar>
      </w:tblPr>
      <w:tblGrid>
        <w:gridCol w:w="1008"/>
        <w:gridCol w:w="1871"/>
        <w:gridCol w:w="1227"/>
        <w:gridCol w:w="2911"/>
        <w:gridCol w:w="1405"/>
        <w:gridCol w:w="1266"/>
      </w:tblGrid>
      <w:tr>
        <w:tblPrEx>
          <w:tblCellMar>
            <w:top w:w="0" w:type="dxa"/>
            <w:left w:w="0" w:type="dxa"/>
            <w:bottom w:w="0" w:type="dxa"/>
            <w:right w:w="0" w:type="dxa"/>
          </w:tblCellMar>
        </w:tblPrEx>
        <w:trPr>
          <w:trHeight w:val="550" w:hRule="atLeast"/>
        </w:trPr>
        <w:tc>
          <w:tcPr>
            <w:tcW w:w="5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任务</w:t>
            </w:r>
          </w:p>
        </w:tc>
        <w:tc>
          <w:tcPr>
            <w:tcW w:w="9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子任务</w:t>
            </w:r>
          </w:p>
        </w:tc>
        <w:tc>
          <w:tcPr>
            <w:tcW w:w="6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任务分级</w:t>
            </w:r>
          </w:p>
        </w:tc>
        <w:tc>
          <w:tcPr>
            <w:tcW w:w="1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highlight w:val="none"/>
                <w:u w:val="none"/>
              </w:rPr>
            </w:pPr>
            <w:r>
              <w:rPr>
                <w:rFonts w:hint="eastAsia" w:ascii="宋体" w:hAnsi="宋体" w:eastAsia="宋体" w:cs="宋体"/>
                <w:b/>
                <w:bCs/>
                <w:i w:val="0"/>
                <w:color w:val="000000"/>
                <w:kern w:val="0"/>
                <w:sz w:val="21"/>
                <w:szCs w:val="21"/>
                <w:highlight w:val="none"/>
                <w:u w:val="none"/>
                <w:lang w:val="en-US" w:eastAsia="zh-CN" w:bidi="ar"/>
              </w:rPr>
              <w:t>具体任务</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cs="宋体"/>
                <w:b/>
                <w:bCs/>
                <w:i w:val="0"/>
                <w:color w:val="000000"/>
                <w:kern w:val="0"/>
                <w:sz w:val="21"/>
                <w:szCs w:val="21"/>
                <w:highlight w:val="none"/>
                <w:u w:val="none"/>
                <w:lang w:val="en-US" w:eastAsia="zh-CN" w:bidi="ar"/>
              </w:rPr>
              <w:t>调查</w:t>
            </w:r>
            <w:r>
              <w:rPr>
                <w:rFonts w:hint="eastAsia" w:ascii="宋体" w:hAnsi="宋体" w:eastAsia="宋体" w:cs="宋体"/>
                <w:b/>
                <w:bCs/>
                <w:i w:val="0"/>
                <w:color w:val="000000"/>
                <w:kern w:val="0"/>
                <w:sz w:val="21"/>
                <w:szCs w:val="21"/>
                <w:highlight w:val="none"/>
                <w:u w:val="none"/>
                <w:lang w:val="en-US" w:eastAsia="zh-CN" w:bidi="ar"/>
              </w:rPr>
              <w:t>范围</w:t>
            </w:r>
          </w:p>
        </w:tc>
        <w:tc>
          <w:tcPr>
            <w:tcW w:w="6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cs="宋体"/>
                <w:b/>
                <w:bCs/>
                <w:i w:val="0"/>
                <w:color w:val="000000"/>
                <w:kern w:val="0"/>
                <w:sz w:val="21"/>
                <w:szCs w:val="21"/>
                <w:highlight w:val="none"/>
                <w:u w:val="none"/>
                <w:lang w:val="en-US" w:eastAsia="zh-CN" w:bidi="ar"/>
              </w:rPr>
            </w:pPr>
            <w:r>
              <w:rPr>
                <w:rFonts w:hint="eastAsia" w:cs="宋体"/>
                <w:b/>
                <w:bCs/>
                <w:i w:val="0"/>
                <w:color w:val="000000"/>
                <w:kern w:val="0"/>
                <w:sz w:val="21"/>
                <w:szCs w:val="21"/>
                <w:highlight w:val="none"/>
                <w:u w:val="none"/>
                <w:lang w:val="en-US" w:eastAsia="zh-CN" w:bidi="ar"/>
              </w:rPr>
              <w:t>备注</w:t>
            </w:r>
          </w:p>
        </w:tc>
      </w:tr>
      <w:tr>
        <w:tblPrEx>
          <w:tblCellMar>
            <w:top w:w="0" w:type="dxa"/>
            <w:left w:w="0" w:type="dxa"/>
            <w:bottom w:w="0" w:type="dxa"/>
            <w:right w:w="0" w:type="dxa"/>
          </w:tblCellMar>
        </w:tblPrEx>
        <w:trPr>
          <w:trHeight w:val="1847" w:hRule="atLeast"/>
        </w:trPr>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both"/>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洪水灾害隐患调查与评估</w:t>
            </w:r>
          </w:p>
        </w:tc>
        <w:tc>
          <w:tcPr>
            <w:tcW w:w="9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both"/>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水利工程洪水灾害隐患调查</w:t>
            </w:r>
          </w:p>
        </w:tc>
        <w:tc>
          <w:tcPr>
            <w:tcW w:w="6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省市县三级</w:t>
            </w:r>
          </w:p>
        </w:tc>
        <w:tc>
          <w:tcPr>
            <w:tcW w:w="1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numPr>
                <w:ilvl w:val="0"/>
                <w:numId w:val="7"/>
              </w:numPr>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开展</w:t>
            </w:r>
            <w:r>
              <w:rPr>
                <w:rFonts w:hint="eastAsia" w:cs="宋体"/>
                <w:i w:val="0"/>
                <w:color w:val="000000"/>
                <w:kern w:val="0"/>
                <w:sz w:val="21"/>
                <w:szCs w:val="21"/>
                <w:u w:val="none"/>
                <w:lang w:val="en-US" w:eastAsia="zh-CN" w:bidi="ar"/>
              </w:rPr>
              <w:t>兰溪市</w:t>
            </w:r>
            <w:r>
              <w:rPr>
                <w:rFonts w:hint="eastAsia" w:ascii="宋体" w:hAnsi="宋体" w:eastAsia="宋体" w:cs="宋体"/>
                <w:i w:val="0"/>
                <w:color w:val="000000"/>
                <w:kern w:val="0"/>
                <w:sz w:val="21"/>
                <w:szCs w:val="21"/>
                <w:u w:val="none"/>
                <w:lang w:val="en-US" w:eastAsia="zh-CN" w:bidi="ar"/>
              </w:rPr>
              <w:t>水库</w:t>
            </w:r>
            <w:r>
              <w:rPr>
                <w:rFonts w:hint="eastAsia" w:cs="宋体"/>
                <w:i w:val="0"/>
                <w:color w:val="000000"/>
                <w:kern w:val="0"/>
                <w:sz w:val="21"/>
                <w:szCs w:val="21"/>
                <w:u w:val="none"/>
                <w:lang w:val="en-US" w:eastAsia="zh-CN" w:bidi="ar"/>
              </w:rPr>
              <w:t>（水电站）</w:t>
            </w:r>
            <w:r>
              <w:rPr>
                <w:rFonts w:hint="eastAsia" w:ascii="宋体" w:hAnsi="宋体" w:eastAsia="宋体" w:cs="宋体"/>
                <w:i w:val="0"/>
                <w:color w:val="000000"/>
                <w:kern w:val="0"/>
                <w:sz w:val="21"/>
                <w:szCs w:val="21"/>
                <w:u w:val="none"/>
                <w:lang w:val="en-US" w:eastAsia="zh-CN" w:bidi="ar"/>
              </w:rPr>
              <w:t>、水闸、堤防洪水灾害隐患调查</w:t>
            </w:r>
            <w:r>
              <w:rPr>
                <w:rFonts w:hint="eastAsia" w:cs="宋体"/>
                <w:i w:val="0"/>
                <w:color w:val="000000"/>
                <w:kern w:val="0"/>
                <w:sz w:val="21"/>
                <w:szCs w:val="21"/>
                <w:u w:val="none"/>
                <w:lang w:val="en-US" w:eastAsia="zh-CN" w:bidi="ar"/>
              </w:rPr>
              <w:t>；</w:t>
            </w:r>
          </w:p>
          <w:p>
            <w:pPr>
              <w:keepNext w:val="0"/>
              <w:keepLines w:val="0"/>
              <w:pageBreakBefore w:val="0"/>
              <w:widowControl/>
              <w:numPr>
                <w:ilvl w:val="0"/>
                <w:numId w:val="7"/>
              </w:numPr>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编制水利工程洪水灾害隐患调查成果报告</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兰溪市全域</w:t>
            </w:r>
          </w:p>
        </w:tc>
        <w:tc>
          <w:tcPr>
            <w:tcW w:w="6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750" w:hRule="atLeast"/>
        </w:trPr>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highlight w:val="none"/>
                <w:u w:val="none"/>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山丘区重点城集镇山洪风险调查评估</w:t>
            </w:r>
          </w:p>
        </w:tc>
        <w:tc>
          <w:tcPr>
            <w:tcW w:w="6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县级</w:t>
            </w:r>
          </w:p>
        </w:tc>
        <w:tc>
          <w:tcPr>
            <w:tcW w:w="1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numPr>
                <w:ilvl w:val="0"/>
                <w:numId w:val="8"/>
              </w:numPr>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开展</w:t>
            </w:r>
            <w:r>
              <w:rPr>
                <w:rFonts w:hint="eastAsia" w:cs="宋体"/>
                <w:i w:val="0"/>
                <w:color w:val="000000"/>
                <w:kern w:val="0"/>
                <w:sz w:val="21"/>
                <w:szCs w:val="21"/>
                <w:u w:val="none"/>
                <w:lang w:val="en-US" w:eastAsia="zh-CN" w:bidi="ar"/>
              </w:rPr>
              <w:t>兰溪市7个乡镇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山丘区重点集镇山洪风险调查评估</w:t>
            </w:r>
            <w:r>
              <w:rPr>
                <w:rFonts w:hint="eastAsia" w:cs="宋体"/>
                <w:i w:val="0"/>
                <w:color w:val="000000"/>
                <w:kern w:val="0"/>
                <w:sz w:val="21"/>
                <w:szCs w:val="21"/>
                <w:u w:val="none"/>
                <w:lang w:val="en-US" w:eastAsia="zh-CN" w:bidi="ar"/>
              </w:rPr>
              <w:t>；</w:t>
            </w:r>
          </w:p>
          <w:p>
            <w:pPr>
              <w:keepNext w:val="0"/>
              <w:keepLines w:val="0"/>
              <w:pageBreakBefore w:val="0"/>
              <w:widowControl/>
              <w:numPr>
                <w:ilvl w:val="0"/>
                <w:numId w:val="8"/>
              </w:numPr>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编制兰溪市7个乡镇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山丘区重点集镇山洪风险调查评估</w:t>
            </w:r>
            <w:r>
              <w:rPr>
                <w:rFonts w:hint="eastAsia" w:cs="宋体"/>
                <w:i w:val="0"/>
                <w:color w:val="000000"/>
                <w:kern w:val="0"/>
                <w:sz w:val="21"/>
                <w:szCs w:val="21"/>
                <w:u w:val="none"/>
                <w:lang w:val="en-US" w:eastAsia="zh-CN" w:bidi="ar"/>
              </w:rPr>
              <w:t>报告；</w:t>
            </w:r>
          </w:p>
          <w:p>
            <w:pPr>
              <w:keepNext w:val="0"/>
              <w:keepLines w:val="0"/>
              <w:pageBreakBefore w:val="0"/>
              <w:widowControl/>
              <w:numPr>
                <w:ilvl w:val="0"/>
                <w:numId w:val="8"/>
              </w:numPr>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开展</w:t>
            </w:r>
            <w:r>
              <w:rPr>
                <w:rFonts w:hint="eastAsia" w:cs="宋体"/>
                <w:i w:val="0"/>
                <w:color w:val="000000"/>
                <w:kern w:val="0"/>
                <w:sz w:val="21"/>
                <w:szCs w:val="21"/>
                <w:u w:val="none"/>
                <w:lang w:val="en-US" w:eastAsia="zh-CN" w:bidi="ar"/>
              </w:rPr>
              <w:t>兰溪市其余9个乡镇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w:t>
            </w:r>
            <w:r>
              <w:rPr>
                <w:rFonts w:hint="eastAsia" w:cs="宋体"/>
                <w:i w:val="0"/>
                <w:color w:val="000000"/>
                <w:kern w:val="0"/>
                <w:sz w:val="21"/>
                <w:szCs w:val="21"/>
                <w:u w:val="none"/>
                <w:lang w:val="en-US" w:eastAsia="zh-CN" w:bidi="ar"/>
              </w:rPr>
              <w:t>评估与复核评价；</w:t>
            </w:r>
          </w:p>
          <w:p>
            <w:pPr>
              <w:keepNext w:val="0"/>
              <w:keepLines w:val="0"/>
              <w:pageBreakBefore w:val="0"/>
              <w:widowControl/>
              <w:numPr>
                <w:ilvl w:val="0"/>
                <w:numId w:val="8"/>
              </w:numPr>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cs="宋体"/>
                <w:i w:val="0"/>
                <w:color w:val="000000"/>
                <w:kern w:val="0"/>
                <w:sz w:val="21"/>
                <w:szCs w:val="21"/>
                <w:u w:val="none"/>
                <w:lang w:val="en-US" w:eastAsia="zh-CN" w:bidi="ar"/>
              </w:rPr>
              <w:t>编制其余9个乡镇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w:t>
            </w:r>
            <w:r>
              <w:rPr>
                <w:rFonts w:hint="eastAsia" w:cs="宋体"/>
                <w:i w:val="0"/>
                <w:color w:val="000000"/>
                <w:kern w:val="0"/>
                <w:sz w:val="21"/>
                <w:szCs w:val="21"/>
                <w:u w:val="none"/>
                <w:lang w:val="en-US" w:eastAsia="zh-CN" w:bidi="ar"/>
              </w:rPr>
              <w:t>评估与复核评价报告。</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兰溪市全域</w:t>
            </w:r>
          </w:p>
        </w:tc>
        <w:tc>
          <w:tcPr>
            <w:tcW w:w="6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bl>
    <w:p>
      <w:pPr>
        <w:bidi w:val="0"/>
        <w:rPr>
          <w:rFonts w:hint="default"/>
          <w:highlight w:val="none"/>
          <w:lang w:val="en-US" w:eastAsia="zh-CN"/>
        </w:rPr>
      </w:pPr>
    </w:p>
    <w:p>
      <w:pPr>
        <w:pStyle w:val="10"/>
        <w:snapToGrid w:val="0"/>
        <w:spacing w:before="0" w:line="360" w:lineRule="auto"/>
        <w:ind w:right="0" w:firstLine="440" w:firstLineChars="200"/>
        <w:jc w:val="both"/>
        <w:rPr>
          <w:rFonts w:hint="eastAsia" w:ascii="宋体" w:hAnsi="宋体" w:eastAsia="宋体" w:cs="宋体"/>
          <w:spacing w:val="5"/>
          <w:lang w:val="en-US" w:eastAsia="zh-CN"/>
        </w:rPr>
      </w:pPr>
      <w:bookmarkStart w:id="336" w:name="_Toc20570"/>
      <w:bookmarkStart w:id="337" w:name="_Toc22015"/>
      <w:bookmarkStart w:id="338" w:name="_Toc5390"/>
      <w:bookmarkStart w:id="339" w:name="_Toc21965"/>
      <w:bookmarkStart w:id="340" w:name="_Toc19160"/>
      <w:bookmarkStart w:id="341" w:name="_Toc3855"/>
      <w:bookmarkStart w:id="342" w:name="_Toc12916"/>
      <w:bookmarkStart w:id="343" w:name="_Toc24878"/>
      <w:bookmarkStart w:id="344" w:name="_Toc14824"/>
      <w:bookmarkStart w:id="345" w:name="_Toc23622"/>
      <w:bookmarkStart w:id="346" w:name="_Toc10924"/>
      <w:bookmarkStart w:id="347" w:name="_Toc12179"/>
      <w:bookmarkStart w:id="348" w:name="_Toc21553"/>
      <w:bookmarkStart w:id="349" w:name="_Toc581"/>
      <w:bookmarkStart w:id="350" w:name="_Toc7730"/>
      <w:bookmarkStart w:id="351" w:name="_Toc19213"/>
      <w:bookmarkStart w:id="352" w:name="_Toc30089"/>
      <w:bookmarkStart w:id="353" w:name="_Toc31777"/>
      <w:bookmarkStart w:id="354" w:name="_Toc26514"/>
      <w:bookmarkStart w:id="355" w:name="_Toc27082"/>
      <w:bookmarkStart w:id="356" w:name="_Toc32420"/>
      <w:bookmarkStart w:id="357" w:name="_Toc21804"/>
      <w:bookmarkStart w:id="358" w:name="_Toc1615"/>
      <w:bookmarkStart w:id="359" w:name="_Toc2281"/>
      <w:bookmarkStart w:id="360" w:name="_Toc6043"/>
      <w:bookmarkStart w:id="361" w:name="_Toc17596"/>
      <w:bookmarkStart w:id="362" w:name="_Toc19426"/>
      <w:bookmarkStart w:id="363" w:name="_Toc1276"/>
      <w:bookmarkStart w:id="364" w:name="_Toc20465"/>
      <w:bookmarkStart w:id="365" w:name="_Toc10098"/>
      <w:bookmarkStart w:id="366" w:name="_Toc6137"/>
      <w:bookmarkStart w:id="367" w:name="_Toc16608"/>
      <w:bookmarkStart w:id="368" w:name="_Toc21584"/>
      <w:bookmarkStart w:id="369" w:name="_Toc4612"/>
      <w:bookmarkStart w:id="370" w:name="_Toc10579"/>
      <w:bookmarkStart w:id="371" w:name="_Toc13043"/>
      <w:bookmarkStart w:id="372" w:name="_Toc436"/>
      <w:r>
        <w:rPr>
          <w:rFonts w:hint="eastAsia" w:ascii="宋体" w:hAnsi="宋体" w:eastAsia="宋体" w:cs="宋体"/>
          <w:spacing w:val="5"/>
          <w:lang w:val="en-US" w:eastAsia="zh-CN"/>
        </w:rPr>
        <w:t>2.1.2.1 水利工程洪水灾害隐患调查</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10"/>
        <w:snapToGrid w:val="0"/>
        <w:spacing w:before="0" w:line="360" w:lineRule="auto"/>
        <w:ind w:right="0" w:firstLine="440" w:firstLineChars="200"/>
        <w:jc w:val="both"/>
        <w:rPr>
          <w:rFonts w:hint="eastAsia" w:ascii="宋体" w:hAnsi="宋体" w:eastAsia="宋体" w:cs="宋体"/>
          <w:spacing w:val="5"/>
          <w:lang w:val="en-US" w:eastAsia="zh-CN"/>
        </w:rPr>
      </w:pPr>
      <w:bookmarkStart w:id="373" w:name="_Toc31716"/>
      <w:bookmarkStart w:id="374" w:name="_Toc31487"/>
      <w:bookmarkStart w:id="375" w:name="_Toc22529"/>
      <w:bookmarkStart w:id="376" w:name="_Toc2938"/>
      <w:bookmarkStart w:id="377" w:name="_Toc30777"/>
      <w:bookmarkStart w:id="378" w:name="_Toc6668"/>
      <w:r>
        <w:rPr>
          <w:rFonts w:hint="eastAsia" w:ascii="宋体" w:hAnsi="宋体" w:eastAsia="宋体" w:cs="宋体"/>
          <w:spacing w:val="5"/>
          <w:lang w:val="en-US" w:eastAsia="zh-CN"/>
        </w:rPr>
        <w:t>兰溪市境内有中型水库5座，有</w:t>
      </w:r>
      <w:r>
        <w:rPr>
          <w:rFonts w:hint="eastAsia" w:ascii="宋体" w:hAnsi="宋体" w:eastAsia="宋体" w:cs="宋体"/>
          <w:spacing w:val="5"/>
          <w:lang w:val="en-US"/>
        </w:rPr>
        <w:t>小（一）型22座</w:t>
      </w:r>
      <w:r>
        <w:rPr>
          <w:rFonts w:hint="eastAsia" w:ascii="宋体" w:hAnsi="宋体" w:eastAsia="宋体" w:cs="宋体"/>
          <w:spacing w:val="5"/>
          <w:lang w:val="en-US" w:eastAsia="zh-CN"/>
        </w:rPr>
        <w:t>，有</w:t>
      </w:r>
      <w:r>
        <w:rPr>
          <w:rFonts w:hint="eastAsia" w:ascii="宋体" w:hAnsi="宋体" w:eastAsia="宋体" w:cs="宋体"/>
          <w:spacing w:val="5"/>
          <w:lang w:val="en-US"/>
        </w:rPr>
        <w:t>小（二）型107座</w:t>
      </w:r>
      <w:r>
        <w:rPr>
          <w:rFonts w:hint="eastAsia" w:ascii="宋体" w:hAnsi="宋体" w:eastAsia="宋体" w:cs="宋体"/>
          <w:spacing w:val="5"/>
          <w:lang w:val="en-US" w:eastAsia="zh-CN"/>
        </w:rPr>
        <w:t>。其中中型水库包括：金山头水库总库容1980万m³，火炉山水库总库容1361万m³，高潮水库总库容1122万m³，芝堰水库总库容3912万m³，城头水库总库容1347万m³；全市境内</w:t>
      </w:r>
      <w:r>
        <w:rPr>
          <w:rFonts w:hint="eastAsia" w:ascii="宋体" w:hAnsi="宋体" w:eastAsia="宋体" w:cs="宋体"/>
          <w:spacing w:val="5"/>
          <w:lang w:val="en-US"/>
        </w:rPr>
        <w:t>有</w:t>
      </w:r>
      <w:r>
        <w:rPr>
          <w:rFonts w:hint="eastAsia" w:ascii="宋体" w:hAnsi="宋体" w:eastAsia="宋体" w:cs="宋体"/>
          <w:spacing w:val="5"/>
          <w:lang w:val="en-US" w:eastAsia="zh-CN"/>
        </w:rPr>
        <w:t>小（2）型以上</w:t>
      </w:r>
      <w:r>
        <w:rPr>
          <w:rFonts w:hint="eastAsia" w:ascii="宋体" w:hAnsi="宋体" w:eastAsia="宋体" w:cs="宋体"/>
          <w:spacing w:val="5"/>
          <w:lang w:val="en-US"/>
        </w:rPr>
        <w:t>水电站</w:t>
      </w:r>
      <w:r>
        <w:rPr>
          <w:rFonts w:hint="eastAsia" w:ascii="宋体" w:hAnsi="宋体" w:eastAsia="宋体" w:cs="宋体"/>
          <w:spacing w:val="5"/>
          <w:lang w:val="en-US" w:eastAsia="zh-CN"/>
        </w:rPr>
        <w:t>10</w:t>
      </w:r>
      <w:r>
        <w:rPr>
          <w:rFonts w:hint="eastAsia" w:ascii="宋体" w:hAnsi="宋体" w:eastAsia="宋体" w:cs="宋体"/>
          <w:spacing w:val="5"/>
          <w:lang w:val="en-US"/>
        </w:rPr>
        <w:t>座</w:t>
      </w:r>
      <w:r>
        <w:rPr>
          <w:rFonts w:hint="eastAsia" w:ascii="宋体" w:hAnsi="宋体" w:eastAsia="宋体" w:cs="宋体"/>
          <w:spacing w:val="5"/>
          <w:lang w:val="en-US" w:eastAsia="zh-CN"/>
        </w:rPr>
        <w:t>；过闸流量5m</w:t>
      </w:r>
      <w:r>
        <w:rPr>
          <w:rFonts w:hint="eastAsia" w:ascii="宋体" w:hAnsi="宋体" w:eastAsia="宋体" w:cs="宋体"/>
          <w:spacing w:val="5"/>
          <w:vertAlign w:val="baseline"/>
          <w:lang w:val="en-US" w:eastAsia="zh-CN"/>
        </w:rPr>
        <w:t>3</w:t>
      </w:r>
      <w:r>
        <w:rPr>
          <w:rFonts w:hint="eastAsia" w:ascii="宋体" w:hAnsi="宋体" w:eastAsia="宋体" w:cs="宋体"/>
          <w:spacing w:val="5"/>
          <w:lang w:val="en-US" w:eastAsia="zh-CN"/>
        </w:rPr>
        <w:t>/s以上</w:t>
      </w:r>
      <w:r>
        <w:rPr>
          <w:rFonts w:hint="eastAsia" w:ascii="宋体" w:hAnsi="宋体" w:eastAsia="宋体" w:cs="宋体"/>
          <w:spacing w:val="5"/>
          <w:lang w:val="en-US"/>
        </w:rPr>
        <w:t>水闸</w:t>
      </w:r>
      <w:r>
        <w:rPr>
          <w:rFonts w:hint="eastAsia" w:ascii="宋体" w:hAnsi="宋体" w:eastAsia="宋体" w:cs="宋体"/>
          <w:spacing w:val="5"/>
          <w:lang w:val="en-US" w:eastAsia="zh-CN"/>
        </w:rPr>
        <w:t>37</w:t>
      </w:r>
      <w:r>
        <w:rPr>
          <w:rFonts w:hint="eastAsia" w:ascii="宋体" w:hAnsi="宋体" w:eastAsia="宋体" w:cs="宋体"/>
          <w:spacing w:val="5"/>
          <w:lang w:val="en-US"/>
        </w:rPr>
        <w:t>座</w:t>
      </w:r>
      <w:r>
        <w:rPr>
          <w:rFonts w:hint="eastAsia" w:ascii="宋体" w:hAnsi="宋体" w:eastAsia="宋体" w:cs="宋体"/>
          <w:spacing w:val="5"/>
          <w:lang w:val="en-US" w:eastAsia="zh-CN"/>
        </w:rPr>
        <w:t>；全市五级以上堤防27座。具体详见图3-2和附表1。</w:t>
      </w:r>
    </w:p>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highlight w:val="none"/>
          <w:lang w:val="en-US" w:eastAsia="zh-CN"/>
        </w:rPr>
      </w:pPr>
      <w:r>
        <w:rPr>
          <w:rFonts w:hint="default"/>
          <w:highlight w:val="none"/>
          <w:lang w:val="en-US" w:eastAsia="zh-CN"/>
        </w:rPr>
        <w:drawing>
          <wp:inline distT="0" distB="0" distL="114300" distR="114300">
            <wp:extent cx="5269230" cy="2588260"/>
            <wp:effectExtent l="0" t="0" r="7620" b="2540"/>
            <wp:docPr id="4" name="图片 4" descr="3ffbf458f9f6003e9be84df7faba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fbf458f9f6003e9be84df7fabaaa9"/>
                    <pic:cNvPicPr>
                      <a:picLocks noChangeAspect="1"/>
                    </pic:cNvPicPr>
                  </pic:nvPicPr>
                  <pic:blipFill>
                    <a:blip r:embed="rId15"/>
                    <a:stretch>
                      <a:fillRect/>
                    </a:stretch>
                  </pic:blipFill>
                  <pic:spPr>
                    <a:xfrm>
                      <a:off x="0" y="0"/>
                      <a:ext cx="5269230" cy="2588260"/>
                    </a:xfrm>
                    <a:prstGeom prst="rect">
                      <a:avLst/>
                    </a:prstGeom>
                  </pic:spPr>
                </pic:pic>
              </a:graphicData>
            </a:graphic>
          </wp:inline>
        </w:drawing>
      </w:r>
    </w:p>
    <w:p>
      <w:pPr>
        <w:bidi w:val="0"/>
        <w:ind w:left="0" w:leftChars="0" w:firstLine="0" w:firstLineChars="0"/>
        <w:jc w:val="center"/>
        <w:rPr>
          <w:rFonts w:hint="default"/>
          <w:highlight w:val="none"/>
          <w:lang w:val="en-US" w:eastAsia="zh-CN"/>
        </w:rPr>
      </w:pPr>
      <w:r>
        <w:rPr>
          <w:rFonts w:hint="eastAsia"/>
          <w:highlight w:val="none"/>
          <w:lang w:val="en-US" w:eastAsia="zh-CN"/>
        </w:rPr>
        <w:t>图3-2 兰溪市水利工程分布图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2.1.2.1.1 工作内容</w:t>
      </w:r>
      <w:bookmarkEnd w:id="373"/>
      <w:bookmarkEnd w:id="374"/>
      <w:bookmarkEnd w:id="375"/>
      <w:bookmarkEnd w:id="376"/>
      <w:bookmarkEnd w:id="377"/>
      <w:bookmarkEnd w:id="378"/>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本次</w:t>
      </w:r>
      <w:r>
        <w:rPr>
          <w:rFonts w:hint="eastAsia" w:ascii="宋体" w:hAnsi="宋体" w:eastAsia="宋体" w:cs="宋体"/>
          <w:spacing w:val="5"/>
          <w:lang w:val="en-US" w:eastAsia="zh-CN"/>
        </w:rPr>
        <w:t>兰溪市</w:t>
      </w:r>
      <w:r>
        <w:rPr>
          <w:rFonts w:hint="eastAsia" w:ascii="宋体" w:hAnsi="宋体" w:eastAsia="宋体" w:cs="宋体"/>
          <w:spacing w:val="5"/>
          <w:lang w:val="en-US"/>
        </w:rPr>
        <w:t>水利工程洪水灾害隐患调查针对辖区内水库（水电站）、水闸、堤防的现状能力、防洪工程安全评价成果达标情况或、安全运行管理状况状态等进行调查，综合确定水利工程洪水灾害安全隐患，按照技术要求和填表说明填报调查表（见附表</w:t>
      </w:r>
      <w:r>
        <w:rPr>
          <w:rFonts w:hint="eastAsia" w:ascii="宋体" w:hAnsi="宋体" w:eastAsia="宋体" w:cs="宋体"/>
          <w:spacing w:val="5"/>
          <w:lang w:val="en-US" w:eastAsia="zh-CN"/>
        </w:rPr>
        <w:t>3</w:t>
      </w:r>
      <w:r>
        <w:rPr>
          <w:rFonts w:hint="eastAsia" w:ascii="宋体" w:hAnsi="宋体" w:eastAsia="宋体" w:cs="宋体"/>
          <w:spacing w:val="5"/>
          <w:lang w:val="en-US"/>
        </w:rPr>
        <w:t>）。根据省级水旱</w:t>
      </w:r>
      <w:r>
        <w:rPr>
          <w:rFonts w:hint="eastAsia" w:ascii="宋体" w:hAnsi="宋体" w:eastAsia="宋体" w:cs="宋体"/>
          <w:spacing w:val="5"/>
          <w:lang w:val="en-US" w:eastAsia="zh-CN"/>
        </w:rPr>
        <w:t>灾害风险普查实施</w:t>
      </w:r>
      <w:r>
        <w:rPr>
          <w:rFonts w:hint="eastAsia" w:ascii="宋体" w:hAnsi="宋体" w:eastAsia="宋体" w:cs="宋体"/>
          <w:spacing w:val="5"/>
          <w:lang w:val="en-US"/>
        </w:rPr>
        <w:t>方案，本次</w:t>
      </w:r>
      <w:r>
        <w:rPr>
          <w:rFonts w:hint="eastAsia" w:ascii="宋体" w:hAnsi="宋体" w:eastAsia="宋体" w:cs="宋体"/>
          <w:spacing w:val="5"/>
          <w:lang w:val="en-US" w:eastAsia="zh-CN"/>
        </w:rPr>
        <w:t>兰溪市</w:t>
      </w:r>
      <w:r>
        <w:rPr>
          <w:rFonts w:hint="eastAsia" w:ascii="宋体" w:hAnsi="宋体" w:eastAsia="宋体" w:cs="宋体"/>
          <w:spacing w:val="5"/>
          <w:lang w:val="en-US"/>
        </w:rPr>
        <w:t>水利工程洪水灾害隐患调查对象水库</w:t>
      </w:r>
      <w:r>
        <w:rPr>
          <w:rFonts w:hint="eastAsia" w:ascii="宋体" w:hAnsi="宋体" w:eastAsia="宋体" w:cs="宋体"/>
          <w:spacing w:val="5"/>
          <w:lang w:val="en-US" w:eastAsia="zh-CN"/>
        </w:rPr>
        <w:t>、水电站、</w:t>
      </w:r>
      <w:r>
        <w:rPr>
          <w:rFonts w:hint="eastAsia" w:ascii="宋体" w:hAnsi="宋体" w:eastAsia="宋体" w:cs="宋体"/>
          <w:spacing w:val="5"/>
          <w:lang w:val="en-US"/>
        </w:rPr>
        <w:t>水闸</w:t>
      </w:r>
      <w:r>
        <w:rPr>
          <w:rFonts w:hint="eastAsia" w:ascii="宋体" w:hAnsi="宋体" w:eastAsia="宋体" w:cs="宋体"/>
          <w:spacing w:val="5"/>
          <w:lang w:val="en-US" w:eastAsia="zh-CN"/>
        </w:rPr>
        <w:t>和</w:t>
      </w:r>
      <w:r>
        <w:rPr>
          <w:rFonts w:hint="eastAsia" w:ascii="宋体" w:hAnsi="宋体" w:eastAsia="宋体" w:cs="宋体"/>
          <w:spacing w:val="5"/>
          <w:lang w:val="en-US"/>
        </w:rPr>
        <w:t>堤防。由于该数据来源于第一次全国水利普查成果，在后续实施中需根据实际删补数据。</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szCs w:val="21"/>
          <w:lang w:val="en-US" w:eastAsia="zh-CN"/>
        </w:rPr>
      </w:pPr>
      <w:r>
        <w:rPr>
          <w:rFonts w:hint="eastAsia" w:ascii="宋体" w:hAnsi="宋体" w:eastAsia="宋体" w:cs="宋体"/>
          <w:b w:val="0"/>
          <w:bCs w:val="0"/>
          <w:spacing w:val="5"/>
          <w:szCs w:val="21"/>
          <w:lang w:val="en-US" w:eastAsia="zh-CN"/>
        </w:rPr>
        <w:t>1.</w:t>
      </w:r>
      <w:r>
        <w:rPr>
          <w:rFonts w:hint="eastAsia" w:ascii="宋体" w:hAnsi="宋体" w:eastAsia="宋体" w:cs="宋体"/>
          <w:b w:val="0"/>
          <w:bCs w:val="0"/>
          <w:spacing w:val="5"/>
          <w:szCs w:val="21"/>
          <w:lang w:val="en-US"/>
        </w:rPr>
        <w:t>水库安全隐患调查</w:t>
      </w:r>
      <w:r>
        <w:rPr>
          <w:rFonts w:hint="eastAsia" w:ascii="宋体" w:hAnsi="宋体" w:eastAsia="宋体" w:cs="宋体"/>
          <w:b w:val="0"/>
          <w:bCs w:val="0"/>
          <w:spacing w:val="5"/>
          <w:szCs w:val="21"/>
          <w:lang w:val="en-US" w:eastAsia="zh-CN"/>
        </w:rPr>
        <w:t>内容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以总库容10万m</w:t>
      </w:r>
      <w:r>
        <w:rPr>
          <w:rFonts w:hint="eastAsia" w:ascii="宋体" w:hAnsi="宋体" w:eastAsia="宋体" w:cs="宋体"/>
          <w:spacing w:val="5"/>
          <w:vertAlign w:val="baseline"/>
          <w:lang w:val="en-US"/>
        </w:rPr>
        <w:t>3</w:t>
      </w:r>
      <w:r>
        <w:rPr>
          <w:rFonts w:hint="eastAsia" w:ascii="宋体" w:hAnsi="宋体" w:eastAsia="宋体" w:cs="宋体"/>
          <w:spacing w:val="5"/>
          <w:lang w:val="en-US"/>
        </w:rPr>
        <w:t>及以上的水库（包括有挡水建筑物的水电站）为调查对象。调查水库的空间属性、工程结构特性、水库大坝安全评价开展情况、评价结果等，详见附表3-1。基于全国自然灾害综合风险普查数据采集系统水旱灾害调查分系统，在工作底图上标绘水库大坝的位置。水库位置的标绘以挡水主坝中间位置为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库大坝安全评价开展情况是指近10年内（自2011年1月1日以来）。填报最近一次安全评价的时间和结论、除险加固完成情况。按《水库大坝安全鉴定办法》《水库大坝安全评价导则》（SL258）等水库大坝安全管理规定，综合考虑大坝安全性态、工程质量、运行管理、防洪能力、渗流安全、结构安全、抗震安全、金属结构等方面要求，对水库大坝安全性的综合评估。安全评价的结论将水库大坝安全类别分为一类坝、二类坝、三类坝。</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szCs w:val="21"/>
          <w:lang w:val="en-US" w:eastAsia="zh-CN"/>
        </w:rPr>
      </w:pPr>
      <w:r>
        <w:rPr>
          <w:rFonts w:hint="eastAsia" w:ascii="宋体" w:hAnsi="宋体" w:eastAsia="宋体" w:cs="宋体"/>
          <w:b w:val="0"/>
          <w:bCs w:val="0"/>
          <w:spacing w:val="5"/>
          <w:szCs w:val="21"/>
          <w:lang w:val="en-US" w:eastAsia="zh-CN"/>
        </w:rPr>
        <w:t>2.</w:t>
      </w:r>
      <w:r>
        <w:rPr>
          <w:rFonts w:hint="eastAsia" w:ascii="宋体" w:hAnsi="宋体" w:eastAsia="宋体" w:cs="宋体"/>
          <w:b w:val="0"/>
          <w:bCs w:val="0"/>
          <w:spacing w:val="5"/>
          <w:szCs w:val="21"/>
          <w:lang w:val="en-US"/>
        </w:rPr>
        <w:t>水闸工程安全隐患调查</w:t>
      </w:r>
      <w:r>
        <w:rPr>
          <w:rFonts w:hint="eastAsia" w:ascii="宋体" w:hAnsi="宋体" w:eastAsia="宋体" w:cs="宋体"/>
          <w:b w:val="0"/>
          <w:bCs w:val="0"/>
          <w:spacing w:val="5"/>
          <w:szCs w:val="21"/>
          <w:lang w:val="en-US" w:eastAsia="zh-CN"/>
        </w:rPr>
        <w:t>内容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水闸调查范围为位于河道上过闸流量5m</w:t>
      </w:r>
      <w:r>
        <w:rPr>
          <w:rFonts w:hint="eastAsia" w:ascii="宋体" w:hAnsi="宋体" w:eastAsia="宋体" w:cs="宋体"/>
          <w:spacing w:val="5"/>
          <w:vertAlign w:val="baseline"/>
          <w:lang w:val="en-US"/>
        </w:rPr>
        <w:t>3</w:t>
      </w:r>
      <w:r>
        <w:rPr>
          <w:rFonts w:hint="eastAsia" w:ascii="宋体" w:hAnsi="宋体" w:eastAsia="宋体" w:cs="宋体"/>
          <w:spacing w:val="5"/>
          <w:lang w:val="en-US"/>
        </w:rPr>
        <w:t>/s及以上，且水闸发生风险会造成严重洪涝灾害。以每一个水闸工程为单元，调查水闸工程的空间位置、工程结构特性、水闸安全评价开展情况、评价结果等，详见附表3-2。基于全国自然灾害综合风险普查数据采集系统水旱灾害调查分系统，在工作底图上标绘水闸工程的位置。水闸工程安全评价开展情况是指近10年内（自2011年1月1日以来）。填报最近一次安全评价的时间和结论、除险加固完成情况。</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《水闸安全鉴定管理办法》《水闸安全评价导则》（SL214）等水闸安全安全管理规定，开展的水闸安全性综合评估工作。水闸工程安全性分为：一类闸、二类闸、三类闸、四类闸。</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szCs w:val="21"/>
          <w:lang w:val="en-US"/>
        </w:rPr>
      </w:pPr>
      <w:r>
        <w:rPr>
          <w:rFonts w:hint="eastAsia" w:ascii="宋体" w:hAnsi="宋体" w:eastAsia="宋体" w:cs="宋体"/>
          <w:b w:val="0"/>
          <w:bCs w:val="0"/>
          <w:spacing w:val="5"/>
          <w:szCs w:val="21"/>
          <w:lang w:val="en-US" w:eastAsia="zh-CN"/>
        </w:rPr>
        <w:t>3.</w:t>
      </w:r>
      <w:r>
        <w:rPr>
          <w:rFonts w:hint="eastAsia" w:ascii="宋体" w:hAnsi="宋体" w:eastAsia="宋体" w:cs="宋体"/>
          <w:b w:val="0"/>
          <w:bCs w:val="0"/>
          <w:spacing w:val="5"/>
          <w:szCs w:val="21"/>
          <w:lang w:val="en-US"/>
        </w:rPr>
        <w:t>堤防工程安全隐患调查内容</w:t>
      </w:r>
    </w:p>
    <w:p>
      <w:pPr>
        <w:pStyle w:val="10"/>
        <w:adjustRightInd w:val="0"/>
        <w:snapToGrid w:val="0"/>
        <w:spacing w:before="0" w:line="360" w:lineRule="auto"/>
        <w:ind w:right="0" w:firstLine="440" w:firstLineChars="200"/>
        <w:jc w:val="both"/>
        <w:rPr>
          <w:rFonts w:hint="eastAsia" w:ascii="宋体" w:hAnsi="宋体" w:eastAsia="宋体" w:cs="宋体"/>
          <w:spacing w:val="5"/>
          <w:szCs w:val="21"/>
          <w:lang w:val="en-US"/>
        </w:rPr>
      </w:pPr>
      <w:r>
        <w:rPr>
          <w:rFonts w:hint="eastAsia" w:ascii="宋体" w:hAnsi="宋体" w:eastAsia="宋体" w:cs="宋体"/>
          <w:spacing w:val="5"/>
          <w:lang w:val="en-US"/>
        </w:rPr>
        <w:t>对堤防级别5级及以上的堤防工程进行防洪安全隐患调查；5级以下的堤防工程，有条件的可参考调查。以同一名称同一规划标准的堤防为一个自然段，一个自然段为一个调查对象。调查整理每一个调查对象的空间位置、工程结构特性以及堤防建设达标情况，详见附表3-3。基于全国自然灾害综合风险普查数据采集系统水旱灾害调查分系统，在工作底图上标绘堤防的空间位置。本次不调查生产堤、渠堤和排涝堤。</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79" w:name="_Toc8908"/>
      <w:bookmarkStart w:id="380" w:name="_Toc19202"/>
      <w:bookmarkStart w:id="381" w:name="_Toc28355"/>
      <w:bookmarkStart w:id="382" w:name="_Toc16481"/>
      <w:bookmarkStart w:id="383" w:name="_Toc5555"/>
      <w:bookmarkStart w:id="384" w:name="_Toc12109"/>
      <w:r>
        <w:rPr>
          <w:rFonts w:hint="eastAsia" w:ascii="宋体" w:hAnsi="宋体" w:eastAsia="宋体" w:cs="宋体"/>
          <w:spacing w:val="5"/>
          <w:lang w:val="en-US" w:eastAsia="zh-CN"/>
        </w:rPr>
        <w:t>2.1.2.1.2 工作流程</w:t>
      </w:r>
      <w:bookmarkEnd w:id="379"/>
      <w:bookmarkEnd w:id="380"/>
      <w:bookmarkEnd w:id="381"/>
      <w:bookmarkEnd w:id="382"/>
      <w:bookmarkEnd w:id="383"/>
      <w:bookmarkEnd w:id="384"/>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由于水利工程洪水灾害隐患调查资料来源分散、调查点多、信息量大。为了保证数据质量，需要统一标准、统一要求、统一方法开展调查工作。水利工程洪水灾害隐患调查的工作流程见图</w:t>
      </w:r>
      <w:r>
        <w:rPr>
          <w:rFonts w:hint="eastAsia" w:ascii="宋体" w:hAnsi="宋体" w:eastAsia="宋体" w:cs="宋体"/>
          <w:spacing w:val="5"/>
          <w:lang w:val="en-US" w:eastAsia="zh-CN"/>
        </w:rPr>
        <w:t>3-3</w:t>
      </w:r>
      <w:r>
        <w:rPr>
          <w:rFonts w:hint="eastAsia" w:ascii="宋体" w:hAnsi="宋体" w:eastAsia="宋体" w:cs="宋体"/>
          <w:spacing w:val="5"/>
          <w:lang w:val="en-US"/>
        </w:rPr>
        <w:t>。调查工作分为三个阶段：</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1.</w:t>
      </w:r>
      <w:r>
        <w:rPr>
          <w:rFonts w:hint="eastAsia" w:ascii="宋体" w:hAnsi="宋体" w:eastAsia="宋体" w:cs="宋体"/>
          <w:spacing w:val="5"/>
          <w:lang w:val="en-US"/>
        </w:rPr>
        <w:t>前期准备阶段。根据省级水旱灾害风险普查实施方案及相关技术要求，安装全国自然灾害综合风险普查数据采集系统水旱灾害调查分系统，以方便调查工作。</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2.</w:t>
      </w:r>
      <w:r>
        <w:rPr>
          <w:rFonts w:hint="eastAsia" w:ascii="宋体" w:hAnsi="宋体" w:eastAsia="宋体" w:cs="宋体"/>
          <w:spacing w:val="5"/>
          <w:lang w:val="en-US"/>
        </w:rPr>
        <w:t>调查阶段。按照管理权限组织实施水利工程洪水灾害隐患调查；通过资料整编、内业调查、现场调查等方法，开展水库、水闸、堤防等水利工程洪水灾害隐患调查。</w:t>
      </w:r>
    </w:p>
    <w:p>
      <w:pPr>
        <w:pStyle w:val="10"/>
        <w:adjustRightInd w:val="0"/>
        <w:snapToGrid w:val="0"/>
        <w:spacing w:before="0" w:line="360" w:lineRule="auto"/>
        <w:ind w:right="0" w:firstLine="440" w:firstLineChars="200"/>
        <w:jc w:val="left"/>
        <w:rPr>
          <w:highlight w:val="none"/>
        </w:rPr>
      </w:pPr>
      <w:r>
        <w:rPr>
          <w:rFonts w:hint="eastAsia" w:ascii="宋体" w:hAnsi="宋体" w:eastAsia="宋体" w:cs="宋体"/>
          <w:spacing w:val="5"/>
          <w:lang w:val="en-US" w:eastAsia="zh-CN"/>
        </w:rPr>
        <w:t>3.</w:t>
      </w:r>
      <w:r>
        <w:rPr>
          <w:rFonts w:hint="eastAsia" w:ascii="宋体" w:hAnsi="宋体" w:eastAsia="宋体" w:cs="宋体"/>
          <w:spacing w:val="5"/>
          <w:lang w:val="en-US"/>
        </w:rPr>
        <w:t>成果上报阶段。在完成调查任务以后，通过全国自然灾害综合风险普查数据采集系统水旱灾害调查分系统汇总后逐级上报。</w:t>
      </w:r>
      <w:r>
        <w:rPr>
          <w:highlight w:val="none"/>
        </w:rPr>
        <w:object>
          <v:shape id="_x0000_i1026" o:spt="75" type="#_x0000_t75" style="height:437pt;width:414.4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pStyle w:val="10"/>
        <w:adjustRightInd w:val="0"/>
        <w:snapToGrid w:val="0"/>
        <w:spacing w:before="0" w:line="360" w:lineRule="auto"/>
        <w:ind w:right="0" w:firstLine="422" w:firstLineChars="200"/>
        <w:jc w:val="center"/>
        <w:rPr>
          <w:rFonts w:hint="default"/>
          <w:b/>
          <w:bCs/>
          <w:highlight w:val="none"/>
        </w:rPr>
      </w:pPr>
      <w:r>
        <w:rPr>
          <w:b/>
          <w:bCs/>
          <w:highlight w:val="none"/>
        </w:rPr>
        <w:t>图</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rPr>
        <w:t xml:space="preserve">  </w:t>
      </w:r>
      <w:r>
        <w:rPr>
          <w:rFonts w:hint="eastAsia"/>
          <w:b/>
          <w:bCs/>
          <w:highlight w:val="none"/>
          <w:lang w:val="en-US" w:eastAsia="zh-CN"/>
        </w:rPr>
        <w:t>水利工程洪水灾害隐患调查工作流程</w:t>
      </w:r>
      <w:r>
        <w:rPr>
          <w:rFonts w:hint="default"/>
          <w:b/>
          <w:bCs/>
          <w:highlight w:val="none"/>
        </w:rPr>
        <w:t>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85" w:name="_Toc29446"/>
      <w:bookmarkStart w:id="386" w:name="_Toc25645"/>
      <w:bookmarkStart w:id="387" w:name="_Toc7585"/>
      <w:bookmarkStart w:id="388" w:name="_Toc4527"/>
      <w:bookmarkStart w:id="389" w:name="_Toc27697"/>
      <w:bookmarkStart w:id="390" w:name="_Toc4712"/>
      <w:r>
        <w:rPr>
          <w:rFonts w:hint="eastAsia" w:ascii="宋体" w:hAnsi="宋体" w:eastAsia="宋体" w:cs="宋体"/>
          <w:spacing w:val="5"/>
          <w:lang w:val="en-US" w:eastAsia="zh-CN"/>
        </w:rPr>
        <w:t>2.1.2.1.3 技术方法</w:t>
      </w:r>
      <w:bookmarkEnd w:id="385"/>
      <w:bookmarkEnd w:id="386"/>
      <w:bookmarkEnd w:id="387"/>
      <w:bookmarkEnd w:id="388"/>
      <w:bookmarkEnd w:id="389"/>
      <w:bookmarkEnd w:id="390"/>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利工程洪水灾害隐患调查要充分利用已有工作基础和成果，在已有防洪规划（防洪预案）、工程设计、运行管理、安全评价等资料成果基础上，以内业调查和资料整编为主，辅以必要的现场调查，完成各调查任务内容；按照技术要求和填表说明填报水利工程洪水灾害隐患调查表。</w:t>
      </w:r>
      <w:bookmarkStart w:id="391" w:name="_Toc2487"/>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92" w:name="_Toc31105"/>
      <w:bookmarkStart w:id="393" w:name="_Toc32122"/>
      <w:bookmarkStart w:id="394" w:name="_Toc3313"/>
      <w:bookmarkStart w:id="395" w:name="_Toc22886"/>
      <w:bookmarkStart w:id="396" w:name="_Toc18226"/>
      <w:r>
        <w:rPr>
          <w:rFonts w:hint="eastAsia" w:ascii="宋体" w:hAnsi="宋体" w:eastAsia="宋体" w:cs="宋体"/>
          <w:spacing w:val="5"/>
          <w:lang w:val="en-US" w:eastAsia="zh-CN"/>
        </w:rPr>
        <w:t>2.1.2.1.4 调查实施</w:t>
      </w:r>
      <w:bookmarkEnd w:id="391"/>
      <w:bookmarkEnd w:id="392"/>
      <w:bookmarkEnd w:id="393"/>
      <w:bookmarkEnd w:id="394"/>
      <w:bookmarkEnd w:id="395"/>
      <w:bookmarkEnd w:id="396"/>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1.资料收集与内业调查</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资料收集：</w:t>
      </w:r>
      <w:r>
        <w:rPr>
          <w:rFonts w:hint="eastAsia" w:ascii="宋体" w:hAnsi="宋体" w:eastAsia="宋体" w:cs="宋体"/>
          <w:spacing w:val="5"/>
          <w:lang w:val="en-US"/>
        </w:rPr>
        <w:t>按照管理权限，确定管辖内的水库、水闸、堤防等调查对象名录，并收集基础资料。基础资料主要包括工程（含改扩建、除险加固）设计、安全评价</w:t>
      </w:r>
      <w:r>
        <w:rPr>
          <w:rFonts w:hint="eastAsia" w:ascii="宋体" w:hAnsi="宋体" w:eastAsia="宋体" w:cs="宋体"/>
          <w:spacing w:val="5"/>
          <w:lang w:val="en-US" w:eastAsia="zh-CN"/>
        </w:rPr>
        <w:t>/</w:t>
      </w:r>
      <w:r>
        <w:rPr>
          <w:rFonts w:hint="eastAsia" w:ascii="宋体" w:hAnsi="宋体" w:eastAsia="宋体" w:cs="宋体"/>
          <w:spacing w:val="5"/>
          <w:lang w:val="en-US"/>
        </w:rPr>
        <w:t>鉴定、工程防洪规划（防洪预案）、运行管理等资料。</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内业整理：对收集的工程有关资料进行内业整理。整理水库（水电站）、水闸工程所在区域行政区、空间位置、工程类型、工程等别、安全评价开展情况，安全评价完成时间、安全评价结论、除险加固是否完成等；整理堤防工程所在区域行政区、起始点地理坐标、所在河流名称与河流岸别、堤防长度、型式、级别及规划防洪标准、现状防洪标准，是否达标等。按照内业调查整理成果，完成各类水利工程洪水灾害隐患调查表填写。</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2.现场调查</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在资料收集、内业调查整理的成果基础上，辅以必要的现场调查，现场调查情况（包括现场情况照片、工程地理坐标）应在水利工程洪水灾害隐患调查报告中体现。现场调查主要是对原有资料及成果进行复核。</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3.成果填报完善</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在内业调查成果基础上，结合现场调查情况，完善水利工程洪水灾害隐患调查表内容填写（见附表</w:t>
      </w:r>
      <w:r>
        <w:rPr>
          <w:rFonts w:hint="eastAsia" w:ascii="宋体" w:hAnsi="宋体" w:eastAsia="宋体" w:cs="宋体"/>
          <w:spacing w:val="5"/>
          <w:lang w:val="en-US" w:eastAsia="zh-CN"/>
        </w:rPr>
        <w:t>3</w:t>
      </w:r>
      <w:r>
        <w:rPr>
          <w:rFonts w:hint="eastAsia" w:ascii="宋体" w:hAnsi="宋体" w:eastAsia="宋体" w:cs="宋体"/>
          <w:spacing w:val="5"/>
          <w:lang w:val="en-US"/>
        </w:rPr>
        <w:t>）；同时基于全国自然灾害综合风险普查数据采集系统水旱灾害调查分系统，在工作底图上标绘工程位置。</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397" w:name="_Toc3689"/>
      <w:bookmarkStart w:id="398" w:name="_Toc453"/>
      <w:bookmarkStart w:id="399" w:name="_Toc30140"/>
      <w:bookmarkStart w:id="400" w:name="_Toc21275"/>
      <w:bookmarkStart w:id="401" w:name="_Toc9475"/>
      <w:bookmarkStart w:id="402" w:name="_Toc7986"/>
      <w:r>
        <w:rPr>
          <w:rFonts w:hint="eastAsia" w:ascii="宋体" w:hAnsi="宋体" w:eastAsia="宋体" w:cs="宋体"/>
          <w:spacing w:val="5"/>
          <w:lang w:val="en-US" w:eastAsia="zh-CN"/>
        </w:rPr>
        <w:t>2.1.2.1.5 成果要求</w:t>
      </w:r>
      <w:bookmarkEnd w:id="397"/>
      <w:bookmarkEnd w:id="398"/>
      <w:bookmarkEnd w:id="399"/>
      <w:bookmarkEnd w:id="400"/>
      <w:bookmarkEnd w:id="401"/>
      <w:bookmarkEnd w:id="402"/>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兰溪市</w:t>
      </w:r>
      <w:r>
        <w:rPr>
          <w:rFonts w:hint="eastAsia" w:ascii="宋体" w:hAnsi="宋体" w:eastAsia="宋体" w:cs="宋体"/>
          <w:spacing w:val="5"/>
          <w:lang w:val="en-US"/>
        </w:rPr>
        <w:t>水利工程洪水灾害隐患调查</w:t>
      </w:r>
      <w:r>
        <w:rPr>
          <w:rFonts w:hint="eastAsia" w:ascii="宋体" w:hAnsi="宋体" w:eastAsia="宋体" w:cs="宋体"/>
          <w:spacing w:val="5"/>
          <w:lang w:val="en-US" w:eastAsia="zh-CN"/>
        </w:rPr>
        <w:t>成果主要包括：</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1.兰溪市水库（水电站）安全隐患调查表；</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2.兰溪市水闸工程安全隐患调查表；</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3.兰溪市堤防工程安全隐患调查表；</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4.</w:t>
      </w:r>
      <w:r>
        <w:rPr>
          <w:rFonts w:hint="eastAsia" w:ascii="宋体" w:hAnsi="宋体" w:eastAsia="宋体" w:cs="宋体"/>
          <w:spacing w:val="5"/>
          <w:lang w:val="en-US"/>
        </w:rPr>
        <w:t>《</w:t>
      </w:r>
      <w:r>
        <w:rPr>
          <w:rFonts w:hint="eastAsia" w:ascii="宋体" w:hAnsi="宋体" w:eastAsia="宋体" w:cs="宋体"/>
          <w:spacing w:val="5"/>
          <w:lang w:val="en-US" w:eastAsia="zh-CN"/>
        </w:rPr>
        <w:t>兰溪市</w:t>
      </w:r>
      <w:r>
        <w:rPr>
          <w:rFonts w:hint="eastAsia" w:ascii="宋体" w:hAnsi="宋体" w:eastAsia="宋体" w:cs="宋体"/>
          <w:spacing w:val="5"/>
          <w:lang w:val="en-US"/>
        </w:rPr>
        <w:t>水利工程洪水灾害隐患调查成果报告》</w:t>
      </w:r>
      <w:r>
        <w:rPr>
          <w:rFonts w:hint="eastAsia" w:ascii="宋体" w:hAnsi="宋体" w:eastAsia="宋体" w:cs="宋体"/>
          <w:spacing w:val="5"/>
          <w:lang w:val="en-US" w:eastAsia="zh-CN"/>
        </w:rPr>
        <w:t>。</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03" w:name="_Toc27617"/>
      <w:bookmarkStart w:id="404" w:name="_Toc12995"/>
      <w:bookmarkStart w:id="405" w:name="_Toc17769"/>
      <w:bookmarkStart w:id="406" w:name="_Toc24009"/>
      <w:bookmarkStart w:id="407" w:name="_Toc12845"/>
      <w:r>
        <w:rPr>
          <w:rFonts w:hint="eastAsia" w:ascii="宋体" w:hAnsi="宋体" w:eastAsia="宋体" w:cs="宋体"/>
          <w:spacing w:val="5"/>
          <w:lang w:val="en-US" w:eastAsia="zh-CN"/>
        </w:rPr>
        <w:t>2.1.2.2 山丘区重点城集镇山洪风险调查评估</w:t>
      </w:r>
      <w:bookmarkEnd w:id="403"/>
      <w:bookmarkEnd w:id="404"/>
      <w:bookmarkEnd w:id="405"/>
      <w:bookmarkEnd w:id="406"/>
      <w:bookmarkEnd w:id="407"/>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（一）</w:t>
      </w:r>
      <w:r>
        <w:rPr>
          <w:rFonts w:hint="eastAsia" w:ascii="宋体" w:hAnsi="宋体" w:eastAsia="宋体" w:cs="宋体"/>
          <w:b w:val="0"/>
          <w:bCs w:val="0"/>
          <w:spacing w:val="5"/>
          <w:lang w:val="en-US"/>
        </w:rPr>
        <w:t>工作内容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b w:val="0"/>
          <w:bCs w:val="0"/>
          <w:spacing w:val="5"/>
          <w:szCs w:val="21"/>
          <w:lang w:val="en-US" w:eastAsia="zh-CN"/>
        </w:rPr>
        <w:t>开展兰溪市7个乡镇（街道）山丘区重点集镇山洪风险调查评估。</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在前期山洪灾害防治项目建设中，特别是经过2020年浙江省山洪灾害防御能力提升项目建设，</w:t>
      </w:r>
      <w:r>
        <w:rPr>
          <w:rFonts w:hint="eastAsia" w:ascii="宋体" w:hAnsi="宋体" w:eastAsia="宋体" w:cs="宋体"/>
          <w:spacing w:val="5"/>
          <w:lang w:val="en-US" w:eastAsia="zh-CN"/>
        </w:rPr>
        <w:t>兰溪市</w:t>
      </w:r>
      <w:r>
        <w:rPr>
          <w:rFonts w:hint="eastAsia" w:ascii="宋体" w:hAnsi="宋体" w:eastAsia="宋体" w:cs="宋体"/>
          <w:spacing w:val="5"/>
          <w:lang w:val="en-US"/>
        </w:rPr>
        <w:t>基本实现了山丘区重要村落全覆盖，但对于山丘区重点集镇的调查工作尚未开展。为实现山丘区重点防御对象全覆盖的目标，本次将开展</w:t>
      </w:r>
      <w:r>
        <w:rPr>
          <w:rFonts w:hint="eastAsia" w:ascii="宋体" w:hAnsi="宋体" w:eastAsia="宋体" w:cs="宋体"/>
          <w:spacing w:val="5"/>
          <w:szCs w:val="21"/>
          <w:lang w:val="en-US" w:eastAsia="zh-CN"/>
        </w:rPr>
        <w:t>黄店镇、柏社乡、梅江镇、马涧镇、灵洞乡、横溪镇和香溪镇</w:t>
      </w:r>
      <w:r>
        <w:rPr>
          <w:rFonts w:hint="eastAsia" w:ascii="宋体" w:hAnsi="宋体" w:eastAsia="宋体" w:cs="宋体"/>
          <w:spacing w:val="5"/>
          <w:lang w:val="en-US"/>
        </w:rPr>
        <w:t>等</w:t>
      </w:r>
      <w:r>
        <w:rPr>
          <w:rFonts w:hint="eastAsia" w:ascii="宋体" w:hAnsi="宋体" w:eastAsia="宋体" w:cs="宋体"/>
          <w:spacing w:val="5"/>
          <w:lang w:val="en-US" w:eastAsia="zh-CN"/>
        </w:rPr>
        <w:t>7</w:t>
      </w:r>
      <w:r>
        <w:rPr>
          <w:rFonts w:hint="eastAsia" w:ascii="宋体" w:hAnsi="宋体" w:eastAsia="宋体" w:cs="宋体"/>
          <w:spacing w:val="5"/>
          <w:lang w:val="en-US"/>
        </w:rPr>
        <w:t>个集镇调查和分析评价工作，包括调查分析流域暴雨特性、小流域特征和历史洪水灾害；进行影响集镇防洪风险的河道控制断面测量和河道水文调查，分析暴雨洪水；利用本次承灾体调查成果，分析集镇现状防洪能力；划定危险区，确定预警指标。</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szCs w:val="21"/>
          <w:lang w:val="en-US" w:eastAsia="zh-CN"/>
        </w:rPr>
      </w:pPr>
      <w:r>
        <w:rPr>
          <w:rFonts w:hint="eastAsia" w:ascii="宋体" w:hAnsi="宋体" w:eastAsia="宋体" w:cs="宋体"/>
          <w:spacing w:val="5"/>
          <w:lang w:val="en-US" w:eastAsia="zh-CN"/>
        </w:rPr>
        <w:t>2.</w:t>
      </w:r>
      <w:r>
        <w:rPr>
          <w:rFonts w:hint="eastAsia" w:ascii="宋体" w:hAnsi="宋体" w:eastAsia="宋体" w:cs="宋体"/>
          <w:b w:val="0"/>
          <w:bCs w:val="0"/>
          <w:spacing w:val="5"/>
          <w:szCs w:val="21"/>
          <w:lang w:val="en-US" w:eastAsia="zh-CN"/>
        </w:rPr>
        <w:t>开展兰溪市其余9个乡镇（街道）山丘区重点集镇山洪风险调查评估与复核评价。</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本次将开展</w:t>
      </w:r>
      <w:r>
        <w:rPr>
          <w:rFonts w:hint="eastAsia" w:ascii="宋体" w:hAnsi="宋体" w:eastAsia="宋体" w:cs="宋体"/>
          <w:spacing w:val="5"/>
          <w:szCs w:val="21"/>
          <w:lang w:val="en-US" w:eastAsia="zh-CN"/>
        </w:rPr>
        <w:t>赤溪街道、三江街道、女埠街道、水亭畲族乡、永昌街道、游埠镇、云山街道、上华街道、诸葛镇</w:t>
      </w:r>
      <w:r>
        <w:rPr>
          <w:rFonts w:hint="eastAsia" w:ascii="宋体" w:hAnsi="宋体" w:eastAsia="宋体" w:cs="宋体"/>
          <w:spacing w:val="5"/>
          <w:lang w:val="en-US" w:eastAsia="zh-CN"/>
        </w:rPr>
        <w:t>等9个集镇调查和分析评价工作。</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（二）</w:t>
      </w:r>
      <w:r>
        <w:rPr>
          <w:rFonts w:hint="eastAsia" w:ascii="宋体" w:hAnsi="宋体" w:eastAsia="宋体" w:cs="宋体"/>
          <w:b w:val="0"/>
          <w:bCs w:val="0"/>
          <w:spacing w:val="5"/>
          <w:lang w:val="en-US"/>
        </w:rPr>
        <w:t>工作</w:t>
      </w:r>
      <w:r>
        <w:rPr>
          <w:rFonts w:hint="eastAsia" w:ascii="宋体" w:hAnsi="宋体" w:eastAsia="宋体" w:cs="宋体"/>
          <w:b w:val="0"/>
          <w:bCs w:val="0"/>
          <w:spacing w:val="5"/>
          <w:lang w:val="en-US" w:eastAsia="zh-CN"/>
        </w:rPr>
        <w:t>流程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rPr>
        <w:t xml:space="preserve">根据山洪灾害防御工作重点及风险程度，复核确定山丘区重点集镇名录；对山丘区重点集镇开展防洪安全隐患调查，复核分析集镇集水区暴雨特性、小流域特征和集镇历史洪水灾害；对影响集镇防洪风 险的河道进行控制断面测量和河道水文调查，分析暴雨洪水特征；调查集镇洪水威胁区的社会经济情况；分析集镇现状防洪能力，评估洪 </w:t>
      </w:r>
      <w:r>
        <w:rPr>
          <w:rFonts w:hint="eastAsia" w:ascii="宋体" w:hAnsi="宋体" w:eastAsia="宋体" w:cs="宋体"/>
          <w:spacing w:val="5"/>
          <w:w w:val="100"/>
          <w:lang w:val="en-US"/>
        </w:rPr>
        <w:t>水风险；划分洪水淹没区，确定集镇洪水灾害危险区，绘制危险区图；</w:t>
      </w:r>
      <w:r>
        <w:rPr>
          <w:rFonts w:hint="eastAsia" w:ascii="宋体" w:hAnsi="宋体" w:eastAsia="宋体" w:cs="宋体"/>
          <w:spacing w:val="5"/>
          <w:lang w:val="en-US"/>
        </w:rPr>
        <w:t xml:space="preserve">分析确定重点集镇雨量（水位）预警指标。具体工作流程详见图 </w:t>
      </w:r>
      <w:r>
        <w:rPr>
          <w:rFonts w:hint="eastAsia" w:ascii="宋体" w:hAnsi="宋体" w:eastAsia="宋体" w:cs="宋体"/>
          <w:spacing w:val="5"/>
          <w:lang w:val="en-US" w:eastAsia="zh-CN"/>
        </w:rPr>
        <w:t>3-4：</w:t>
      </w:r>
    </w:p>
    <w:p>
      <w:pPr>
        <w:pStyle w:val="10"/>
        <w:spacing w:line="720" w:lineRule="auto"/>
        <w:rPr>
          <w:rFonts w:hint="default" w:ascii="Times New Roman" w:hAnsi="Times New Roman" w:cs="Times New Roman"/>
          <w:highlight w:val="none"/>
        </w:rPr>
      </w:pPr>
      <w:r>
        <w:rPr>
          <w:highlight w:val="none"/>
        </w:rPr>
        <w:object>
          <v:shape id="_x0000_i1027" o:spt="75" type="#_x0000_t75" style="height:593.7pt;width:415.15pt;" o:ole="t" filled="f" o:preferrelative="t" stroked="f" coordsize="21600,21600">
            <v:path/>
            <v:fill on="f" focussize="0,0"/>
            <v:stroke on="f"/>
            <v:imagedata r:id="rId19" o:title=""/>
            <o:lock v:ext="edit" aspectratio="t"/>
            <w10:wrap type="none"/>
            <w10:anchorlock/>
          </v:shape>
          <o:OLEObject Type="Embed" ProgID="Visio.Drawing.11" ShapeID="_x0000_i1027" DrawAspect="Content" ObjectID="_1468075727" r:id="rId18">
            <o:LockedField>false</o:LockedField>
          </o:OLEObject>
        </w:object>
      </w:r>
    </w:p>
    <w:p>
      <w:pPr>
        <w:ind w:firstLine="0" w:firstLineChars="0"/>
        <w:jc w:val="center"/>
        <w:rPr>
          <w:b/>
          <w:bCs/>
          <w:kern w:val="0"/>
          <w:szCs w:val="28"/>
          <w:highlight w:val="none"/>
        </w:rPr>
      </w:pPr>
      <w:r>
        <w:rPr>
          <w:b/>
          <w:highlight w:val="none"/>
        </w:rPr>
        <w:t>图</w:t>
      </w:r>
      <w:r>
        <w:rPr>
          <w:rFonts w:hint="eastAsia"/>
          <w:b/>
          <w:highlight w:val="none"/>
          <w:lang w:val="en-US" w:eastAsia="zh-CN"/>
        </w:rPr>
        <w:t>3</w:t>
      </w:r>
      <w:r>
        <w:rPr>
          <w:b/>
          <w:highlight w:val="none"/>
        </w:rPr>
        <w:t>-</w:t>
      </w:r>
      <w:r>
        <w:rPr>
          <w:rFonts w:hint="eastAsia"/>
          <w:b/>
          <w:highlight w:val="none"/>
          <w:lang w:val="en-US" w:eastAsia="zh-CN"/>
        </w:rPr>
        <w:t>4</w:t>
      </w:r>
      <w:r>
        <w:rPr>
          <w:b/>
          <w:highlight w:val="none"/>
        </w:rPr>
        <w:t xml:space="preserve"> </w:t>
      </w:r>
      <w:r>
        <w:rPr>
          <w:b/>
          <w:bCs/>
          <w:kern w:val="0"/>
          <w:szCs w:val="28"/>
          <w:highlight w:val="none"/>
        </w:rPr>
        <w:t>山丘区重点集镇调查评价技术流程图</w:t>
      </w:r>
    </w:p>
    <w:p>
      <w:pPr>
        <w:pStyle w:val="23"/>
        <w:numPr>
          <w:ilvl w:val="0"/>
          <w:numId w:val="0"/>
        </w:numPr>
        <w:ind w:left="561" w:leftChars="0"/>
        <w:rPr>
          <w:spacing w:val="-21"/>
          <w:highlight w:val="none"/>
        </w:rPr>
      </w:pP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b w:val="0"/>
          <w:bCs w:val="0"/>
          <w:spacing w:val="5"/>
          <w:sz w:val="21"/>
          <w:szCs w:val="21"/>
          <w:lang w:val="en-US" w:eastAsia="zh-CN"/>
        </w:rPr>
        <w:t>（三）</w:t>
      </w:r>
      <w:r>
        <w:rPr>
          <w:rFonts w:hint="eastAsia" w:ascii="宋体" w:hAnsi="宋体" w:eastAsia="宋体" w:cs="宋体"/>
          <w:b w:val="0"/>
          <w:bCs w:val="0"/>
          <w:spacing w:val="5"/>
          <w:kern w:val="0"/>
          <w:sz w:val="21"/>
          <w:szCs w:val="21"/>
          <w:lang w:val="en-US" w:eastAsia="zh-CN" w:bidi="ar-SA"/>
        </w:rPr>
        <w:t>技术方法</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兰溪市</w:t>
      </w:r>
      <w:r>
        <w:rPr>
          <w:rFonts w:hint="eastAsia" w:ascii="宋体" w:hAnsi="宋体" w:eastAsia="宋体" w:cs="宋体"/>
          <w:spacing w:val="5"/>
          <w:lang w:val="en-US"/>
        </w:rPr>
        <w:t>2021年重点集镇调查评估是以县级行政区为基本单位，采取内业调查和外业调查相结合并突出重点的调查方式，通过山丘区重点集镇名录复核确定、山洪灾害调查、风险评估与预警指标分析等工作阶段，有效获取和分析重点集镇山洪风险隐患信息。具体技术方法如下：</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1.</w:t>
      </w:r>
      <w:r>
        <w:rPr>
          <w:rFonts w:hint="eastAsia" w:ascii="宋体" w:hAnsi="宋体" w:eastAsia="宋体" w:cs="宋体"/>
          <w:b w:val="0"/>
          <w:bCs w:val="0"/>
          <w:spacing w:val="5"/>
          <w:lang w:val="en-US"/>
        </w:rPr>
        <w:t>山丘区重点集镇名录复核确定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根据山洪灾害防御工作重点及风险程度，复核确定山丘区重点城镇名录，重点关注乡镇行政区划调整、部分集镇范围内重要村落已开展山洪防治项目等情况，如有变化，应及时调整、更新名录。</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2.</w:t>
      </w:r>
      <w:r>
        <w:rPr>
          <w:rFonts w:hint="eastAsia" w:ascii="宋体" w:hAnsi="宋体" w:eastAsia="宋体" w:cs="宋体"/>
          <w:b w:val="0"/>
          <w:bCs w:val="0"/>
          <w:spacing w:val="5"/>
          <w:lang w:val="en-US"/>
        </w:rPr>
        <w:t>山洪灾害调查</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山洪风险调查充分利用已开展的山洪灾害防治项目已有成果，对成果数据进行挖掘整理，同时结合本次中小河流洪水淹没图编制工作同步开展。调查主要包括：小流域划分等集水区水文特征参数成果、降雨径流等水文气象数据、集水区下垫面提取成果。补充调查重点集镇洪水风险区的社会经济数据；补充测量影响集镇山洪风险的河道控制断面和河道水文信息，以及影响居民区防洪安全的塘（堰）坝、路涵、桥梁。重点集镇山洪风险区的住房、人口分布需采用专业测量并结合填表的方式，以居民户或住宅楼栋作为单元，调查每座楼房内的人员和住房结构形式，测量宅基高程。河道控制断面测量和河道水文信息需结合现行规范开展。塘（堰）坝、路涵、桥梁的调查可采用山洪灾害调查评价开发的现场数据采集终端（包括笔记本、数码相机、便携GPS终端、标杆等和软件）现场录入信息。重点集镇调查至居民户或住宅楼栋，录入信息包括：城（集）镇名称、城（集）镇代码、基准点经度、基准点纬度、基准点高程、地址（门牌号码）、楼房号、人员情况、住房（包括建筑面积、建筑类型、结构形式、经度、纬度、宅基高程、临水、切坡）。将住房位置标绘在工作底图上。</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3.</w:t>
      </w:r>
      <w:r>
        <w:rPr>
          <w:rFonts w:hint="eastAsia" w:ascii="宋体" w:hAnsi="宋体" w:eastAsia="宋体" w:cs="宋体"/>
          <w:b w:val="0"/>
          <w:bCs w:val="0"/>
          <w:spacing w:val="5"/>
          <w:lang w:val="en-US"/>
        </w:rPr>
        <w:t>风险评估与预警指标分析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风险评估与预警指标分析包括暴雨洪水计算、防洪现状评价、预警指标分析、危险图绘制四项工作内容，每一项的技术思路如下：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暴雨洪水计算假定暴雨洪水同频率，根据指定频率选择适合当地实际情况的小流域设计暴雨洪水计算方法，对重点集镇所在的小流域进行设计暴雨洪水分析计算，采用数学模型、曼宁公式等实用的水力学方法对相应的控制断面进行洪水位分析计算，得到控制断面各频率的洪峰流量、洪量、上涨历时、洪水过程以及洪峰水位，并分析和论证计算成果的合理性。</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2）防洪现状评价基于小流域设计暴雨洪水计算的成果，采用频率分析或插值等方法，分析成灾水位对应洪峰流量的频率，运用特征水位比较法，以及人口沿高程分布关系，分析评价防灾对象的现状防洪能力，并采用频率法确定危险区等级，统计各级危险区内的人口、房屋等基本信息。综合分析重点集镇评价现状防洪能力，基于洪水分析计算的各断面沿程最高水位线，结合历史水灾、局地地形和堤防高程等资料和DEM数据，采用GIS技术，在地形图上确定5年、10年、20年、50年、100年一遇洪水淹没范围。</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3）雨量预警指标可采用模型分析的方法进行分析确定。基本方法是根据成灾水位反推流量，由流量反推降雨。重点通过分析成灾水位、预警时段、土壤含水量等，计算得到防灾对象的临界雨量，根据临界雨量和预警响应时间综合确定雨量预警指标，并分析成果的合理性。水位预警指标采用洪水演进方法和历史洪水分析方法进行分析确定。</w:t>
      </w:r>
    </w:p>
    <w:p>
      <w:pPr>
        <w:pStyle w:val="10"/>
        <w:adjustRightInd w:val="0"/>
        <w:snapToGrid w:val="0"/>
        <w:spacing w:before="0" w:line="360" w:lineRule="auto"/>
        <w:ind w:right="0" w:firstLine="440" w:firstLineChars="200"/>
        <w:jc w:val="both"/>
        <w:rPr>
          <w:rFonts w:hint="default" w:eastAsia="仿宋"/>
          <w:highlight w:val="none"/>
          <w:lang w:val="en-US" w:eastAsia="zh-CN"/>
        </w:rPr>
      </w:pPr>
      <w:r>
        <w:rPr>
          <w:rFonts w:hint="eastAsia" w:ascii="宋体" w:hAnsi="宋体" w:eastAsia="宋体" w:cs="宋体"/>
          <w:spacing w:val="5"/>
          <w:lang w:val="en-US"/>
        </w:rPr>
        <w:t>（4）危险区图在统一提供的工作底图上进行绘制，包括不同等级的危险区范围，人口、房屋信息，预警指标等信息。在山洪灾害调查评价的基础上制作成果一张图，展示山丘重点集镇山洪风险调查评估成果。</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1）设计暴雨计算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设计暴雨计算所涉及的小流域指集镇等防灾对象控制断面以上或以其下游不远处为出口的完整集水区域。设计暴雨计算是无实测洪水资料情况下进行设计洪水计算的前提，也是确定预警临界雨量的重要环节，计算内容包括确定和分析小流域时段雨量、暴雨频率和暴雨时程分配。</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①</w:t>
      </w:r>
      <w:r>
        <w:rPr>
          <w:rFonts w:hint="eastAsia" w:ascii="宋体" w:hAnsi="宋体" w:eastAsia="宋体" w:cs="宋体"/>
          <w:b w:val="0"/>
          <w:bCs w:val="0"/>
          <w:spacing w:val="5"/>
          <w:lang w:val="en-US"/>
        </w:rPr>
        <w:t>暴雨历时确定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暴雨历时分析是根据流域大小和产汇流特性，确定小流域设计暴雨所需要考虑的最长暴雨历时及其典型历时。暴雨历时分析包括流域汇流时间、常规标准历时和自行确定历时3类。</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流域汇流时间是反映小流域产汇流特性最为重要的参数，作为小流域设计暴雨计算所需要考虑的最长历时。确定流域汇流时间时，应基于前期基础工作成果提供的小流域标准化单位线信息，选定初值，再结合流域暴雨特性与下垫面情况，综合分析后最后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常规设计暴雨洪水要求的10分钟、1小时、6小时、24小时4种标准历时，也应当作为山区洪水灾害分析评价设计暴雨的典型历时。也可自行确定增加历时，即可根据当地暴雨图集和小流域特性的需求，适当增加设计暴雨的暴雨历时。</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②</w:t>
      </w:r>
      <w:r>
        <w:rPr>
          <w:rFonts w:hint="eastAsia" w:ascii="宋体" w:hAnsi="宋体" w:eastAsia="宋体" w:cs="宋体"/>
          <w:b w:val="0"/>
          <w:bCs w:val="0"/>
          <w:spacing w:val="5"/>
          <w:lang w:val="en-US"/>
        </w:rPr>
        <w:t>暴雨频率确定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山</w:t>
      </w:r>
      <w:r>
        <w:rPr>
          <w:rFonts w:hint="eastAsia" w:ascii="宋体" w:hAnsi="宋体" w:eastAsia="宋体" w:cs="宋体"/>
          <w:spacing w:val="5"/>
          <w:lang w:val="en-US" w:eastAsia="zh-CN"/>
        </w:rPr>
        <w:t>丘</w:t>
      </w:r>
      <w:r>
        <w:rPr>
          <w:rFonts w:hint="eastAsia" w:ascii="宋体" w:hAnsi="宋体" w:eastAsia="宋体" w:cs="宋体"/>
          <w:spacing w:val="5"/>
          <w:lang w:val="en-US"/>
        </w:rPr>
        <w:t>区重点集镇防洪安全风险评估计算暴雨的频率为5年一遇、10年一遇、20年一遇、50年一遇、100年一遇5种。有条件的地方，可进行可能最大暴雨（PMF）的分析，为后面进行可能最大洪水（PMF）分析提供支撑。</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b w:val="0"/>
          <w:bCs w:val="0"/>
          <w:spacing w:val="5"/>
          <w:lang w:val="en-US" w:eastAsia="zh-CN"/>
        </w:rPr>
        <w:t>③</w:t>
      </w:r>
      <w:r>
        <w:rPr>
          <w:rFonts w:hint="eastAsia" w:ascii="宋体" w:hAnsi="宋体" w:eastAsia="宋体" w:cs="宋体"/>
          <w:b w:val="0"/>
          <w:bCs w:val="0"/>
          <w:spacing w:val="5"/>
          <w:lang w:val="en-US"/>
        </w:rPr>
        <w:t>设计雨型确定</w:t>
      </w:r>
      <w:r>
        <w:rPr>
          <w:rFonts w:hint="eastAsia" w:ascii="宋体" w:hAnsi="宋体" w:eastAsia="宋体" w:cs="宋体"/>
          <w:spacing w:val="5"/>
          <w:lang w:val="en-US"/>
        </w:rPr>
        <w:t xml:space="preserve"> </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采用各地暴雨图集、水文手册、中小流域水文图集、水文水资源手册等基础资料推荐的雨型。有资料的地方，也可以采用典型场次资料分析。</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kern w:val="0"/>
          <w:sz w:val="21"/>
          <w:szCs w:val="21"/>
          <w:lang w:val="en-US" w:eastAsia="zh-CN" w:bidi="ar-SA"/>
        </w:rPr>
      </w:pPr>
      <w:r>
        <w:rPr>
          <w:rFonts w:hint="eastAsia" w:ascii="宋体" w:hAnsi="宋体" w:eastAsia="宋体" w:cs="宋体"/>
          <w:b w:val="0"/>
          <w:bCs w:val="0"/>
          <w:spacing w:val="5"/>
          <w:kern w:val="0"/>
          <w:sz w:val="21"/>
          <w:szCs w:val="21"/>
          <w:lang w:val="en-US" w:eastAsia="zh-CN" w:bidi="ar-SA"/>
        </w:rPr>
        <w:t>④计算方法选择</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应当根据流域特征和资料条件，对照指定的暴雨频率和降雨历时，分析计算相应的时段雨量和设计雨型。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时段雨量按以下方法计算：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A</w:t>
      </w:r>
      <w:r>
        <w:rPr>
          <w:rFonts w:hint="eastAsia" w:ascii="宋体" w:hAnsi="宋体" w:eastAsia="宋体" w:cs="宋体"/>
          <w:spacing w:val="5"/>
          <w:lang w:val="en-US"/>
        </w:rPr>
        <w:t>在雨量观测资料短缺或无资料地区，可根据所在地区的暴雨图集、水文手册等基础性资料，或者经过审批的各种降雨历时点暴雨统计参数等值线图，查算各种历时设计暴雨雨量；或者根据暴雨公式进行不同降雨历时设计雨量的转化。</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B</w:t>
      </w:r>
      <w:r>
        <w:rPr>
          <w:rFonts w:hint="eastAsia" w:ascii="宋体" w:hAnsi="宋体" w:eastAsia="宋体" w:cs="宋体"/>
          <w:spacing w:val="5"/>
          <w:lang w:val="en-US"/>
        </w:rPr>
        <w:t>在观测资料充分的地区，可以利用当地雨量观测系列推求暴雨统计参数，并运用当地以及全国性暴雨图集和水文手册作为参证，以评价当地资料计算统计参数的合理性，并作适当修正。</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C</w:t>
      </w:r>
      <w:r>
        <w:rPr>
          <w:rFonts w:hint="eastAsia" w:ascii="宋体" w:hAnsi="宋体" w:eastAsia="宋体" w:cs="宋体"/>
          <w:spacing w:val="5"/>
          <w:lang w:val="en-US"/>
        </w:rPr>
        <w:t>如果小流域所处地区雨量站网较密，观测系列又较长，可以直接根据设计流域的逐年最大面雨量系列作频率分析，以推求流域的时段雨量。</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D</w:t>
      </w:r>
      <w:r>
        <w:rPr>
          <w:rFonts w:hint="eastAsia" w:ascii="宋体" w:hAnsi="宋体" w:eastAsia="宋体" w:cs="宋体"/>
          <w:spacing w:val="5"/>
          <w:lang w:val="en-US"/>
        </w:rPr>
        <w:t>时段雨量为面雨量，对面积较小的小流域，可以点雨量代表面雨量，不需要进行点雨量与面雨量的转换；如流域面积较大，可用相应历时的设计点雨量和点面关系间接计算时段雨量。设计雨型采用时段雨量序位法、百分比法两种计算。</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2）设计洪水分析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设计洪水分析中，假定暴雨与洪水同频率，基于设计暴雨成果，以集镇附近的河道控制断面为计算断面，进行各种频率设计洪水的计算和分析，得到洪峰、洪量、上涨历时、洪水历时四种洪水要素信息，再根据控制断面的水位流量关系，将洪峰流量转化为水位，并分析水位流量关系曲线类型，成果直接为现状防洪能力评价、危险区等级划分和预警指标分析提供支撑。</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①</w:t>
      </w:r>
      <w:r>
        <w:rPr>
          <w:rFonts w:hint="eastAsia" w:ascii="宋体" w:hAnsi="宋体" w:eastAsia="宋体" w:cs="宋体"/>
          <w:b w:val="0"/>
          <w:bCs w:val="0"/>
          <w:spacing w:val="5"/>
          <w:lang w:val="en-US"/>
        </w:rPr>
        <w:t>净雨分析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根据小流域设计暴雨成果，扣除损失，得到净雨。扣除损失应基于5种典型暴雨频率对应的以小流域汇流时间为历时的设计暴雨的 时程分配成果进行，得到相应的净雨时程分配成果。</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b w:val="0"/>
          <w:bCs w:val="0"/>
          <w:spacing w:val="5"/>
          <w:lang w:val="en-US" w:eastAsia="zh-CN"/>
        </w:rPr>
        <w:t>②</w:t>
      </w:r>
      <w:r>
        <w:rPr>
          <w:rFonts w:hint="eastAsia" w:ascii="宋体" w:hAnsi="宋体" w:eastAsia="宋体" w:cs="宋体"/>
          <w:b w:val="0"/>
          <w:bCs w:val="0"/>
          <w:spacing w:val="5"/>
          <w:lang w:val="en-US"/>
        </w:rPr>
        <w:t>洪水频率确定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洪水频率与暴雨频率对应，即5年一遇、10年一遇、20年一遇、50年一遇、100年一遇5种；分析过可能最大暴雨(PMP)的地方，需要分析可能最大洪水(PMF)。</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b w:val="0"/>
          <w:bCs w:val="0"/>
          <w:spacing w:val="5"/>
          <w:lang w:val="en-US" w:eastAsia="zh-CN"/>
        </w:rPr>
        <w:t>③</w:t>
      </w:r>
      <w:r>
        <w:rPr>
          <w:rFonts w:hint="eastAsia" w:ascii="宋体" w:hAnsi="宋体" w:eastAsia="宋体" w:cs="宋体"/>
          <w:b w:val="0"/>
          <w:bCs w:val="0"/>
          <w:spacing w:val="5"/>
          <w:lang w:val="en-US"/>
        </w:rPr>
        <w:t>洪水要素确定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根据山区洪水的特点，洪水要素包括洪峰流量、洪量、上涨历时、洪水历时。</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b w:val="0"/>
          <w:bCs w:val="0"/>
          <w:spacing w:val="5"/>
          <w:lang w:val="en-US" w:eastAsia="zh-CN"/>
        </w:rPr>
        <w:t>④</w:t>
      </w:r>
      <w:r>
        <w:rPr>
          <w:rFonts w:hint="eastAsia" w:ascii="宋体" w:hAnsi="宋体" w:eastAsia="宋体" w:cs="宋体"/>
          <w:b w:val="0"/>
          <w:bCs w:val="0"/>
          <w:spacing w:val="5"/>
          <w:lang w:val="en-US"/>
        </w:rPr>
        <w:t>洪水计算方法</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流域水文特性、下垫面特征和资料条件，选择各省水文手册规定方法和分布式水文模型方法进行设计洪水计算。可以采用推理公式法、经验公式法计算设计洪水洪峰流量；当资料条件允许时，应当采用流域水文模型法分析。通常采用2～3种方法进行计算，分析各种方法的成果，选择最优成果或者综合处理后，作为洪水分析的最后成果。</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选择方法时，遵循以下原则：</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A</w:t>
      </w:r>
      <w:r>
        <w:rPr>
          <w:rFonts w:hint="eastAsia" w:ascii="宋体" w:hAnsi="宋体" w:eastAsia="宋体" w:cs="宋体"/>
          <w:spacing w:val="5"/>
          <w:lang w:val="en-US"/>
        </w:rPr>
        <w:t>推理公式法和单位线法：参照《水利水电工程设计洪水计算规范》(SL44-2006)的要求进行。</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B</w:t>
      </w:r>
      <w:r>
        <w:rPr>
          <w:rFonts w:hint="eastAsia" w:ascii="宋体" w:hAnsi="宋体" w:eastAsia="宋体" w:cs="宋体"/>
          <w:spacing w:val="5"/>
          <w:lang w:val="en-US"/>
        </w:rPr>
        <w:t>经验公式法：根据各地的水文手册等，选择尽可能全面反映洪峰流量与流域几何特征（集水面积、河长、比降、河槽断面形态等）、下垫面特性（植被、土壤、水文地质等）以及降雨特性之间相关关系的经验关系式，进行设计洪水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C</w:t>
      </w:r>
      <w:r>
        <w:rPr>
          <w:rFonts w:hint="eastAsia" w:ascii="宋体" w:hAnsi="宋体" w:eastAsia="宋体" w:cs="宋体"/>
          <w:spacing w:val="5"/>
          <w:lang w:val="en-US"/>
        </w:rPr>
        <w:t>流域水文模型法：当流域面积较大、产流和汇流条件空间差异较大，或者包含坡面型、区间型等特殊类型小流域，可以将流域划分成几个计算单元，分别进行产流和汇流计算，再经河道演算叠加后，作为集镇所在河道控制断面的设计洪水。基于山区洪水灾害调查的工 作成果，建议采用分布式水文模型进行计算。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D</w:t>
      </w:r>
      <w:r>
        <w:rPr>
          <w:rFonts w:hint="eastAsia" w:ascii="宋体" w:hAnsi="宋体" w:eastAsia="宋体" w:cs="宋体"/>
          <w:spacing w:val="5"/>
          <w:lang w:val="en-US"/>
        </w:rPr>
        <w:t>各地如有符合当地情况的算法，也可使用，但应在分析评价报告中详细说明。</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⑤</w:t>
      </w:r>
      <w:r>
        <w:rPr>
          <w:rFonts w:hint="eastAsia" w:ascii="宋体" w:hAnsi="宋体" w:eastAsia="宋体" w:cs="宋体"/>
          <w:b w:val="0"/>
          <w:bCs w:val="0"/>
          <w:spacing w:val="5"/>
          <w:lang w:val="en-US"/>
        </w:rPr>
        <w:t>水位流量关系计算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水位流量关系或曼宁公式等水力学方法，将集镇河道控制断面设计洪水洪峰流量转换为对应的水位，绘制水位流量关系曲线。具体可参照《水工建筑物与堰槽测流规范》（SL537-2011）比降面积法进行计算。如果有实测的相关资料或成果，应优先采用。比降和糙率是水位流量转换的重要参数，二者的确定原则和方法如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A</w:t>
      </w:r>
      <w:r>
        <w:rPr>
          <w:rFonts w:hint="eastAsia" w:ascii="宋体" w:hAnsi="宋体" w:eastAsia="宋体" w:cs="宋体"/>
          <w:spacing w:val="5"/>
          <w:lang w:val="en-US"/>
        </w:rPr>
        <w:t>比降</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a</w:t>
      </w:r>
      <w:r>
        <w:rPr>
          <w:rFonts w:hint="eastAsia" w:ascii="宋体" w:hAnsi="宋体" w:eastAsia="宋体" w:cs="宋体"/>
          <w:spacing w:val="5"/>
          <w:lang w:val="en-US"/>
        </w:rPr>
        <w:t>如果集镇的河道上下游有历史洪水洪痕的沿程分布资料，以洪痕确定水面线，采用洪痕水面线比降作为水位流量转换中的比降；</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b</w:t>
      </w:r>
      <w:r>
        <w:rPr>
          <w:rFonts w:hint="eastAsia" w:ascii="宋体" w:hAnsi="宋体" w:eastAsia="宋体" w:cs="宋体"/>
          <w:spacing w:val="5"/>
          <w:lang w:val="en-US"/>
        </w:rPr>
        <w:t>如果有近年来洪水发生的洪水水面线，采用该水面线比降作为水位流量转换中的比降；</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c</w:t>
      </w:r>
      <w:r>
        <w:rPr>
          <w:rFonts w:hint="eastAsia" w:ascii="宋体" w:hAnsi="宋体" w:eastAsia="宋体" w:cs="宋体"/>
          <w:spacing w:val="5"/>
          <w:lang w:val="en-US"/>
        </w:rPr>
        <w:t>如果有中小洪水发生时的实测水面线，采用该水面线比降作为水位流量转换中的比降；</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d</w:t>
      </w:r>
      <w:r>
        <w:rPr>
          <w:rFonts w:hint="eastAsia" w:ascii="宋体" w:hAnsi="宋体" w:eastAsia="宋体" w:cs="宋体"/>
          <w:spacing w:val="5"/>
          <w:lang w:val="en-US"/>
        </w:rPr>
        <w:t>如果没有水面线信息，可采用集镇的河床比降作为水位流量转换中的比降。</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以上四种方法种，资料条件允许，应优先采用第1、2种方法，然后为第3种方法，第4种方法为无资料时采用。</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B</w:t>
      </w:r>
      <w:r>
        <w:rPr>
          <w:rFonts w:hint="eastAsia" w:ascii="宋体" w:hAnsi="宋体" w:eastAsia="宋体" w:cs="宋体"/>
          <w:spacing w:val="5"/>
          <w:lang w:val="en-US"/>
        </w:rPr>
        <w:t xml:space="preserve">糙率 </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参照集镇所在河流的沟道形态、床面粗糙情况、植被生长状况、弯曲程度以及人工建筑物等因素确定：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a.如果有实测水文资料，应采用该资料进行推算，确定水位流量转换中的糙率；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b.如果无实测水文资料，应根据沟道特征，参照天然或人工河道典型类型和特征情况下的糙率，确定水位流量转换中的糙率。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水位流量关系和河道比降，将居民住房位置及高程测量成果（“附表集镇居民调查表”）转换为控制断面的水位-人口关系曲线。按0.5-1米的水位间距统计对应控制断面该水位下的累积人口、户数和房屋数，填写控制断面水位-流量-人口关系表。</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⑥</w:t>
      </w:r>
      <w:r>
        <w:rPr>
          <w:rFonts w:hint="eastAsia" w:ascii="宋体" w:hAnsi="宋体" w:eastAsia="宋体" w:cs="宋体"/>
          <w:b w:val="0"/>
          <w:bCs w:val="0"/>
          <w:spacing w:val="5"/>
          <w:lang w:val="en-US"/>
        </w:rPr>
        <w:t>合理性分析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采用以下方式，进行设计洪水的合理性分析：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①</w:t>
      </w:r>
      <w:r>
        <w:rPr>
          <w:rFonts w:hint="eastAsia" w:ascii="宋体" w:hAnsi="宋体" w:eastAsia="宋体" w:cs="宋体"/>
          <w:spacing w:val="5"/>
          <w:lang w:val="en-US"/>
        </w:rPr>
        <w:t>与历史洪水资料或本地区调查大洪水资料进行比较分析；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②</w:t>
      </w:r>
      <w:r>
        <w:rPr>
          <w:rFonts w:hint="eastAsia" w:ascii="宋体" w:hAnsi="宋体" w:eastAsia="宋体" w:cs="宋体"/>
          <w:spacing w:val="5"/>
          <w:lang w:val="en-US"/>
        </w:rPr>
        <w:t>与本地区实测洪水资料成果进行比较分析；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③</w:t>
      </w:r>
      <w:r>
        <w:rPr>
          <w:rFonts w:hint="eastAsia" w:ascii="宋体" w:hAnsi="宋体" w:eastAsia="宋体" w:cs="宋体"/>
          <w:spacing w:val="5"/>
          <w:lang w:val="en-US"/>
        </w:rPr>
        <w:t>与气候条件、地形地貌、植被、土壤、流域面积和形状、河流长度等方面均高度相似情况的设计洪水成果进行比较分析；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④</w:t>
      </w:r>
      <w:r>
        <w:rPr>
          <w:rFonts w:hint="eastAsia" w:ascii="宋体" w:hAnsi="宋体" w:eastAsia="宋体" w:cs="宋体"/>
          <w:spacing w:val="5"/>
          <w:lang w:val="en-US"/>
        </w:rPr>
        <w:t>采用多种方法进行分析计算，比较分析所有成果。</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3）</w:t>
      </w:r>
      <w:r>
        <w:rPr>
          <w:rFonts w:hint="eastAsia" w:ascii="宋体" w:hAnsi="宋体" w:eastAsia="宋体" w:cs="宋体"/>
          <w:b w:val="0"/>
          <w:bCs w:val="0"/>
          <w:spacing w:val="5"/>
          <w:lang w:val="en-US"/>
        </w:rPr>
        <w:t>防洪现状评价</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防洪现状评价是在设计洪水计算分析的基础上，分析浦江县集镇等防灾对象的现状防洪能力，进行山区洪水灾害危险区等级划分以及各级危险区人口及房屋统计分析，为山区洪水灾害防御预案编制、人员转移、临时安置等提供支撑。</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现状防洪能力分析主要内容是集镇等防灾对象成灾水位对应洪峰流量的频率分析，并根据需要辅助分析沿河道路、桥涵、沿河房屋地基等特征水位对应洪峰流量的频率，统计确定成灾水位（其他特征水位）、各频率设计洪水位下的累计人口和房屋数，综合评价现状防洪能力。</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①</w:t>
      </w:r>
      <w:r>
        <w:rPr>
          <w:rFonts w:hint="eastAsia" w:ascii="宋体" w:hAnsi="宋体" w:eastAsia="宋体" w:cs="宋体"/>
          <w:b w:val="0"/>
          <w:bCs w:val="0"/>
          <w:spacing w:val="5"/>
          <w:lang w:val="en-US"/>
        </w:rPr>
        <w:t>成灾水位对应的洪水频率分析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现状防洪能力以成灾水位对应流量的频率表示，成灾水位由现场调查测量确定。分析时，采用水位流量关系或曼宁公式等水力学方法，求出成灾水位对应的洪峰流量，采用频率分析法或者插值法等方法，确定该流量对应的洪水频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根据需要可分析其他特征水位（沿河道路、桥涵、沿河房屋地基等特征高程）对应的洪峰流量，采用频率分析法或者插值法等方法，确定各流量对应的洪水频率。</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②现状防洪能力确定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现场调查的集镇人口高程分布关系，统计确定成灾水位（其他特征水位）、各频率设计洪水位下的累计人口和房屋数，绘制防洪现状评价图。图中应包括水位流量关系曲线、各特征水位及其对应的洪峰流量和频率，以及各频率洪水位以下的累计人口（户数）和房屋数。根据防洪现状评价图，结合控制断面水位流量关系类型分析成果，综合确定集镇等防灾对象的现状防洪能力。</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③</w:t>
      </w:r>
      <w:r>
        <w:rPr>
          <w:rFonts w:hint="eastAsia" w:ascii="宋体" w:hAnsi="宋体" w:eastAsia="宋体" w:cs="宋体"/>
          <w:b w:val="0"/>
          <w:bCs w:val="0"/>
          <w:spacing w:val="5"/>
          <w:lang w:val="en-US"/>
        </w:rPr>
        <w:t>危险区等级划分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A</w:t>
      </w:r>
      <w:r>
        <w:rPr>
          <w:rFonts w:hint="eastAsia" w:ascii="宋体" w:hAnsi="宋体" w:eastAsia="宋体" w:cs="宋体"/>
          <w:spacing w:val="5"/>
          <w:lang w:val="en-US"/>
        </w:rPr>
        <w:t>危险区范围确定 在现场调查中，已初步确定了危险区范围、转移路线和临时安置地点。分析评价中需对危险区范围进行核对和分级。危险区范围为最高历史洪水位和100年一遇设计洪水位中的较高水位淹没范围以内的居民区域。如果进行可能最大暴雨（PMP）、可能最大洪水（PMF）计算，可采用其计算成果的淹没范围作为危险区。</w:t>
      </w:r>
    </w:p>
    <w:p>
      <w:pPr>
        <w:pStyle w:val="10"/>
        <w:adjustRightInd w:val="0"/>
        <w:snapToGrid w:val="0"/>
        <w:spacing w:before="0" w:line="360" w:lineRule="auto"/>
        <w:ind w:right="0" w:firstLine="440" w:firstLineChars="200"/>
        <w:jc w:val="both"/>
        <w:rPr>
          <w:highlight w:val="none"/>
        </w:rPr>
      </w:pPr>
      <w:r>
        <w:rPr>
          <w:rFonts w:hint="eastAsia" w:ascii="宋体" w:hAnsi="宋体" w:eastAsia="宋体" w:cs="宋体"/>
          <w:spacing w:val="5"/>
          <w:lang w:val="en-US" w:eastAsia="zh-CN"/>
        </w:rPr>
        <w:t>B</w:t>
      </w:r>
      <w:r>
        <w:rPr>
          <w:rFonts w:hint="eastAsia" w:ascii="宋体" w:hAnsi="宋体" w:eastAsia="宋体" w:cs="宋体"/>
          <w:spacing w:val="5"/>
          <w:lang w:val="en-US"/>
        </w:rPr>
        <w:t>危险区等级划分方法 采用频率法对危险区进行危险等级划分，并统计人口、房屋等信息。根据5年一遇、20年一遇、100年一遇（或最高历史洪水位，或PMF的最大淹没范围）的洪水位，确定危险区等级，结合地形地貌情况，划定对应等级的危险区范围。在此基础上，基于危险区范围及山区洪水灾害调查数据，统计各级危险区对应的人口、房屋以及重要基础设施等信息。危险区等级划分按照下表3-</w:t>
      </w:r>
      <w:r>
        <w:rPr>
          <w:rFonts w:hint="eastAsia" w:ascii="宋体" w:hAnsi="宋体" w:eastAsia="宋体" w:cs="宋体"/>
          <w:spacing w:val="5"/>
          <w:lang w:val="en-US" w:eastAsia="zh-CN"/>
        </w:rPr>
        <w:t>3</w:t>
      </w:r>
      <w:r>
        <w:rPr>
          <w:rFonts w:hint="eastAsia" w:ascii="宋体" w:hAnsi="宋体" w:eastAsia="宋体" w:cs="宋体"/>
          <w:spacing w:val="5"/>
          <w:lang w:val="en-US"/>
        </w:rPr>
        <w:t>确定。</w:t>
      </w:r>
    </w:p>
    <w:p>
      <w:pPr>
        <w:ind w:firstLine="0" w:firstLineChars="0"/>
        <w:jc w:val="center"/>
        <w:rPr>
          <w:rFonts w:ascii="Microsoft JhengHei" w:hAnsi="Microsoft JhengHei" w:eastAsia="Microsoft JhengHei" w:cs="Microsoft JhengHei"/>
          <w:b/>
          <w:bCs/>
          <w:sz w:val="7"/>
          <w:szCs w:val="7"/>
          <w:highlight w:val="none"/>
        </w:rPr>
      </w:pPr>
      <w:r>
        <w:rPr>
          <w:b/>
          <w:bCs/>
          <w:highlight w:val="none"/>
        </w:rPr>
        <w:t>表</w:t>
      </w:r>
      <w:r>
        <w:rPr>
          <w:rFonts w:hint="eastAsia"/>
          <w:b/>
          <w:bCs/>
          <w:highlight w:val="none"/>
        </w:rPr>
        <w:t>3</w:t>
      </w:r>
      <w:r>
        <w:rPr>
          <w:b/>
          <w:bCs/>
          <w:highlight w:val="none"/>
        </w:rPr>
        <w:t>-</w:t>
      </w:r>
      <w:r>
        <w:rPr>
          <w:rFonts w:hint="eastAsia"/>
          <w:b/>
          <w:bCs/>
          <w:highlight w:val="none"/>
          <w:lang w:val="en-US" w:eastAsia="zh-CN"/>
        </w:rPr>
        <w:t>3</w:t>
      </w:r>
      <w:r>
        <w:rPr>
          <w:b/>
          <w:bCs/>
          <w:highlight w:val="none"/>
        </w:rPr>
        <w:tab/>
      </w:r>
      <w:r>
        <w:rPr>
          <w:b/>
          <w:bCs/>
          <w:highlight w:val="none"/>
        </w:rPr>
        <w:t>危险区等级划分标准</w:t>
      </w:r>
    </w:p>
    <w:tbl>
      <w:tblPr>
        <w:tblStyle w:val="16"/>
        <w:tblW w:w="4999" w:type="pct"/>
        <w:tblInd w:w="0" w:type="dxa"/>
        <w:tblLayout w:type="autofit"/>
        <w:tblCellMar>
          <w:top w:w="0" w:type="dxa"/>
          <w:left w:w="0" w:type="dxa"/>
          <w:bottom w:w="0" w:type="dxa"/>
          <w:right w:w="0" w:type="dxa"/>
        </w:tblCellMar>
      </w:tblPr>
      <w:tblGrid>
        <w:gridCol w:w="1590"/>
        <w:gridCol w:w="4738"/>
        <w:gridCol w:w="2752"/>
      </w:tblGrid>
      <w:tr>
        <w:tblPrEx>
          <w:tblCellMar>
            <w:top w:w="0" w:type="dxa"/>
            <w:left w:w="0" w:type="dxa"/>
            <w:bottom w:w="0" w:type="dxa"/>
            <w:right w:w="0" w:type="dxa"/>
          </w:tblCellMar>
        </w:tblPrEx>
        <w:trPr>
          <w:trHeight w:val="567" w:hRule="exact"/>
        </w:trPr>
        <w:tc>
          <w:tcPr>
            <w:tcW w:w="875" w:type="pct"/>
            <w:tcBorders>
              <w:top w:val="single" w:color="000000" w:sz="4" w:space="0"/>
              <w:left w:val="single" w:color="000000" w:sz="4" w:space="0"/>
              <w:bottom w:val="single" w:color="000000" w:sz="4" w:space="0"/>
              <w:right w:val="single" w:color="000000" w:sz="4" w:space="0"/>
            </w:tcBorders>
            <w:vAlign w:val="center"/>
          </w:tcPr>
          <w:p>
            <w:pPr>
              <w:pStyle w:val="21"/>
              <w:spacing w:line="327" w:lineRule="exact"/>
              <w:jc w:val="center"/>
              <w:rPr>
                <w:rFonts w:ascii="Times New Roman" w:hAnsi="Times New Roman"/>
                <w:sz w:val="21"/>
                <w:szCs w:val="21"/>
                <w:highlight w:val="none"/>
              </w:rPr>
            </w:pPr>
            <w:r>
              <w:rPr>
                <w:rFonts w:ascii="Times New Roman" w:hAnsi="Times New Roman"/>
                <w:b/>
                <w:bCs/>
                <w:sz w:val="21"/>
                <w:szCs w:val="21"/>
                <w:highlight w:val="none"/>
              </w:rPr>
              <w:t>危险区等级</w:t>
            </w:r>
          </w:p>
        </w:tc>
        <w:tc>
          <w:tcPr>
            <w:tcW w:w="2608" w:type="pct"/>
            <w:tcBorders>
              <w:top w:val="single" w:color="000000" w:sz="4" w:space="0"/>
              <w:left w:val="single" w:color="000000" w:sz="4" w:space="0"/>
              <w:bottom w:val="single" w:color="000000" w:sz="4" w:space="0"/>
              <w:right w:val="single" w:color="000000" w:sz="4" w:space="0"/>
            </w:tcBorders>
            <w:vAlign w:val="center"/>
          </w:tcPr>
          <w:p>
            <w:pPr>
              <w:pStyle w:val="21"/>
              <w:spacing w:line="327" w:lineRule="exact"/>
              <w:ind w:left="2"/>
              <w:jc w:val="center"/>
              <w:rPr>
                <w:rFonts w:ascii="Times New Roman" w:hAnsi="Times New Roman"/>
                <w:sz w:val="21"/>
                <w:szCs w:val="21"/>
                <w:highlight w:val="none"/>
              </w:rPr>
            </w:pPr>
            <w:r>
              <w:rPr>
                <w:rFonts w:ascii="Times New Roman" w:hAnsi="Times New Roman"/>
                <w:b/>
                <w:bCs/>
                <w:sz w:val="21"/>
                <w:szCs w:val="21"/>
                <w:highlight w:val="none"/>
              </w:rPr>
              <w:t>洪水重现期（年）</w:t>
            </w:r>
          </w:p>
        </w:tc>
        <w:tc>
          <w:tcPr>
            <w:tcW w:w="1515" w:type="pct"/>
            <w:tcBorders>
              <w:top w:val="single" w:color="000000" w:sz="4" w:space="0"/>
              <w:left w:val="single" w:color="000000" w:sz="4" w:space="0"/>
              <w:bottom w:val="single" w:color="000000" w:sz="4" w:space="0"/>
              <w:right w:val="single" w:color="000000" w:sz="4" w:space="0"/>
            </w:tcBorders>
            <w:vAlign w:val="center"/>
          </w:tcPr>
          <w:p>
            <w:pPr>
              <w:pStyle w:val="21"/>
              <w:spacing w:line="327" w:lineRule="exact"/>
              <w:jc w:val="center"/>
              <w:rPr>
                <w:rFonts w:ascii="Times New Roman" w:hAnsi="Times New Roman"/>
                <w:sz w:val="21"/>
                <w:szCs w:val="21"/>
                <w:highlight w:val="none"/>
              </w:rPr>
            </w:pPr>
            <w:r>
              <w:rPr>
                <w:rFonts w:ascii="Times New Roman" w:hAnsi="Times New Roman"/>
                <w:b/>
                <w:bCs/>
                <w:sz w:val="21"/>
                <w:szCs w:val="21"/>
                <w:highlight w:val="none"/>
              </w:rPr>
              <w:t>说明</w:t>
            </w:r>
          </w:p>
        </w:tc>
      </w:tr>
      <w:tr>
        <w:tblPrEx>
          <w:tblCellMar>
            <w:top w:w="0" w:type="dxa"/>
            <w:left w:w="0" w:type="dxa"/>
            <w:bottom w:w="0" w:type="dxa"/>
            <w:right w:w="0" w:type="dxa"/>
          </w:tblCellMar>
        </w:tblPrEx>
        <w:trPr>
          <w:trHeight w:val="567" w:hRule="exact"/>
        </w:trPr>
        <w:tc>
          <w:tcPr>
            <w:tcW w:w="875" w:type="pct"/>
            <w:tcBorders>
              <w:top w:val="single" w:color="000000" w:sz="4" w:space="0"/>
              <w:left w:val="single" w:color="000000" w:sz="4" w:space="0"/>
              <w:bottom w:val="single" w:color="000000" w:sz="4" w:space="0"/>
              <w:right w:val="single" w:color="000000" w:sz="4" w:space="0"/>
            </w:tcBorders>
            <w:vAlign w:val="center"/>
          </w:tcPr>
          <w:p>
            <w:pPr>
              <w:pStyle w:val="21"/>
              <w:spacing w:before="28"/>
              <w:ind w:left="2"/>
              <w:jc w:val="center"/>
              <w:rPr>
                <w:rFonts w:ascii="Times New Roman" w:hAnsi="Times New Roman"/>
                <w:sz w:val="21"/>
                <w:szCs w:val="21"/>
                <w:highlight w:val="none"/>
              </w:rPr>
            </w:pPr>
            <w:r>
              <w:rPr>
                <w:rFonts w:ascii="Times New Roman" w:hAnsi="Times New Roman"/>
                <w:sz w:val="21"/>
                <w:szCs w:val="21"/>
                <w:highlight w:val="none"/>
              </w:rPr>
              <w:t>极高危险区</w:t>
            </w:r>
          </w:p>
        </w:tc>
        <w:tc>
          <w:tcPr>
            <w:tcW w:w="2608" w:type="pct"/>
            <w:tcBorders>
              <w:top w:val="single" w:color="000000" w:sz="4" w:space="0"/>
              <w:left w:val="single" w:color="000000" w:sz="4" w:space="0"/>
              <w:bottom w:val="single" w:color="000000" w:sz="4" w:space="0"/>
              <w:right w:val="single" w:color="000000" w:sz="4" w:space="0"/>
            </w:tcBorders>
            <w:vAlign w:val="center"/>
          </w:tcPr>
          <w:p>
            <w:pPr>
              <w:pStyle w:val="21"/>
              <w:spacing w:before="28"/>
              <w:ind w:left="2"/>
              <w:jc w:val="center"/>
              <w:rPr>
                <w:rFonts w:ascii="Times New Roman" w:hAnsi="Times New Roman"/>
                <w:sz w:val="21"/>
                <w:szCs w:val="21"/>
                <w:highlight w:val="none"/>
              </w:rPr>
            </w:pPr>
            <w:r>
              <w:rPr>
                <w:rFonts w:ascii="Times New Roman" w:hAnsi="Times New Roman"/>
                <w:sz w:val="21"/>
                <w:szCs w:val="21"/>
                <w:highlight w:val="none"/>
              </w:rPr>
              <w:t>小</w:t>
            </w:r>
            <w:r>
              <w:rPr>
                <w:rFonts w:hint="eastAsia" w:ascii="Times New Roman" w:hAnsi="Times New Roman"/>
                <w:spacing w:val="-53"/>
                <w:sz w:val="21"/>
                <w:szCs w:val="21"/>
                <w:highlight w:val="none"/>
                <w:lang w:eastAsia="zh-CN"/>
              </w:rPr>
              <w:t>5</w:t>
            </w:r>
            <w:r>
              <w:rPr>
                <w:rFonts w:ascii="Times New Roman" w:hAnsi="Times New Roman"/>
                <w:sz w:val="21"/>
                <w:szCs w:val="21"/>
                <w:highlight w:val="none"/>
              </w:rPr>
              <w:t>年一遇</w:t>
            </w:r>
          </w:p>
        </w:tc>
        <w:tc>
          <w:tcPr>
            <w:tcW w:w="1515" w:type="pct"/>
            <w:tcBorders>
              <w:top w:val="single" w:color="000000" w:sz="4" w:space="0"/>
              <w:left w:val="single" w:color="000000" w:sz="4" w:space="0"/>
              <w:bottom w:val="single" w:color="000000" w:sz="4" w:space="0"/>
              <w:right w:val="single" w:color="000000" w:sz="4" w:space="0"/>
            </w:tcBorders>
            <w:vAlign w:val="center"/>
          </w:tcPr>
          <w:p>
            <w:pPr>
              <w:pStyle w:val="21"/>
              <w:spacing w:before="28"/>
              <w:jc w:val="center"/>
              <w:rPr>
                <w:rFonts w:ascii="Times New Roman" w:hAnsi="Times New Roman"/>
                <w:sz w:val="21"/>
                <w:szCs w:val="21"/>
                <w:highlight w:val="none"/>
              </w:rPr>
            </w:pPr>
            <w:r>
              <w:rPr>
                <w:rFonts w:ascii="Times New Roman" w:hAnsi="Times New Roman"/>
                <w:sz w:val="21"/>
                <w:szCs w:val="21"/>
                <w:highlight w:val="none"/>
              </w:rPr>
              <w:t>属较高发生频次</w:t>
            </w:r>
          </w:p>
        </w:tc>
      </w:tr>
      <w:tr>
        <w:tblPrEx>
          <w:tblCellMar>
            <w:top w:w="0" w:type="dxa"/>
            <w:left w:w="0" w:type="dxa"/>
            <w:bottom w:w="0" w:type="dxa"/>
            <w:right w:w="0" w:type="dxa"/>
          </w:tblCellMar>
        </w:tblPrEx>
        <w:trPr>
          <w:trHeight w:val="567" w:hRule="exact"/>
        </w:trPr>
        <w:tc>
          <w:tcPr>
            <w:tcW w:w="875" w:type="pct"/>
            <w:tcBorders>
              <w:top w:val="single" w:color="000000" w:sz="4" w:space="0"/>
              <w:left w:val="single" w:color="000000" w:sz="4" w:space="0"/>
              <w:bottom w:val="single" w:color="000000" w:sz="4" w:space="0"/>
              <w:right w:val="single" w:color="000000" w:sz="4" w:space="0"/>
            </w:tcBorders>
            <w:vAlign w:val="center"/>
          </w:tcPr>
          <w:p>
            <w:pPr>
              <w:pStyle w:val="21"/>
              <w:spacing w:before="28"/>
              <w:ind w:left="2"/>
              <w:jc w:val="center"/>
              <w:rPr>
                <w:rFonts w:ascii="Times New Roman" w:hAnsi="Times New Roman"/>
                <w:sz w:val="21"/>
                <w:szCs w:val="21"/>
                <w:highlight w:val="none"/>
              </w:rPr>
            </w:pPr>
            <w:r>
              <w:rPr>
                <w:rFonts w:ascii="Times New Roman" w:hAnsi="Times New Roman"/>
                <w:sz w:val="21"/>
                <w:szCs w:val="21"/>
                <w:highlight w:val="none"/>
              </w:rPr>
              <w:t>高危险区</w:t>
            </w:r>
          </w:p>
        </w:tc>
        <w:tc>
          <w:tcPr>
            <w:tcW w:w="2608" w:type="pct"/>
            <w:tcBorders>
              <w:top w:val="single" w:color="000000" w:sz="4" w:space="0"/>
              <w:left w:val="single" w:color="000000" w:sz="4" w:space="0"/>
              <w:bottom w:val="single" w:color="000000" w:sz="4" w:space="0"/>
              <w:right w:val="single" w:color="000000" w:sz="4" w:space="0"/>
            </w:tcBorders>
            <w:vAlign w:val="center"/>
          </w:tcPr>
          <w:p>
            <w:pPr>
              <w:pStyle w:val="21"/>
              <w:spacing w:before="28"/>
              <w:jc w:val="center"/>
              <w:rPr>
                <w:rFonts w:ascii="Times New Roman" w:hAnsi="Times New Roman"/>
                <w:sz w:val="21"/>
                <w:szCs w:val="21"/>
                <w:highlight w:val="none"/>
              </w:rPr>
            </w:pPr>
            <w:r>
              <w:rPr>
                <w:rFonts w:ascii="Times New Roman" w:hAnsi="Times New Roman"/>
                <w:sz w:val="21"/>
                <w:szCs w:val="21"/>
                <w:highlight w:val="none"/>
              </w:rPr>
              <w:t>大于等于5年一遇，小于20年一遇</w:t>
            </w:r>
          </w:p>
        </w:tc>
        <w:tc>
          <w:tcPr>
            <w:tcW w:w="1515" w:type="pct"/>
            <w:tcBorders>
              <w:top w:val="single" w:color="000000" w:sz="4" w:space="0"/>
              <w:left w:val="single" w:color="000000" w:sz="4" w:space="0"/>
              <w:bottom w:val="single" w:color="000000" w:sz="4" w:space="0"/>
              <w:right w:val="single" w:color="000000" w:sz="4" w:space="0"/>
            </w:tcBorders>
            <w:vAlign w:val="center"/>
          </w:tcPr>
          <w:p>
            <w:pPr>
              <w:pStyle w:val="21"/>
              <w:spacing w:before="28"/>
              <w:jc w:val="center"/>
              <w:rPr>
                <w:rFonts w:ascii="Times New Roman" w:hAnsi="Times New Roman"/>
                <w:sz w:val="21"/>
                <w:szCs w:val="21"/>
                <w:highlight w:val="none"/>
              </w:rPr>
            </w:pPr>
            <w:r>
              <w:rPr>
                <w:rFonts w:ascii="Times New Roman" w:hAnsi="Times New Roman"/>
                <w:sz w:val="21"/>
                <w:szCs w:val="21"/>
                <w:highlight w:val="none"/>
              </w:rPr>
              <w:t>属中等发生频次</w:t>
            </w:r>
          </w:p>
        </w:tc>
      </w:tr>
      <w:tr>
        <w:tblPrEx>
          <w:tblCellMar>
            <w:top w:w="0" w:type="dxa"/>
            <w:left w:w="0" w:type="dxa"/>
            <w:bottom w:w="0" w:type="dxa"/>
            <w:right w:w="0" w:type="dxa"/>
          </w:tblCellMar>
        </w:tblPrEx>
        <w:trPr>
          <w:trHeight w:val="567" w:hRule="exact"/>
        </w:trPr>
        <w:tc>
          <w:tcPr>
            <w:tcW w:w="875" w:type="pct"/>
            <w:tcBorders>
              <w:top w:val="single" w:color="000000" w:sz="4" w:space="0"/>
              <w:left w:val="single" w:color="000000" w:sz="4" w:space="0"/>
              <w:bottom w:val="single" w:color="000000" w:sz="4" w:space="0"/>
              <w:right w:val="single" w:color="000000" w:sz="4" w:space="0"/>
            </w:tcBorders>
            <w:vAlign w:val="center"/>
          </w:tcPr>
          <w:p>
            <w:pPr>
              <w:pStyle w:val="21"/>
              <w:spacing w:before="28"/>
              <w:jc w:val="center"/>
              <w:rPr>
                <w:rFonts w:ascii="Times New Roman" w:hAnsi="Times New Roman"/>
                <w:sz w:val="21"/>
                <w:szCs w:val="21"/>
                <w:highlight w:val="none"/>
              </w:rPr>
            </w:pPr>
            <w:r>
              <w:rPr>
                <w:rFonts w:ascii="Times New Roman" w:hAnsi="Times New Roman"/>
                <w:sz w:val="21"/>
                <w:szCs w:val="21"/>
                <w:highlight w:val="none"/>
              </w:rPr>
              <w:t>危险区</w:t>
            </w:r>
          </w:p>
        </w:tc>
        <w:tc>
          <w:tcPr>
            <w:tcW w:w="2608" w:type="pct"/>
            <w:tcBorders>
              <w:top w:val="single" w:color="000000" w:sz="4" w:space="0"/>
              <w:left w:val="single" w:color="000000" w:sz="4" w:space="0"/>
              <w:bottom w:val="single" w:color="000000" w:sz="4" w:space="0"/>
              <w:right w:val="single" w:color="000000" w:sz="4" w:space="0"/>
            </w:tcBorders>
            <w:vAlign w:val="center"/>
          </w:tcPr>
          <w:p>
            <w:pPr>
              <w:pStyle w:val="21"/>
              <w:spacing w:before="28"/>
              <w:jc w:val="center"/>
              <w:rPr>
                <w:rFonts w:ascii="Times New Roman" w:hAnsi="Times New Roman"/>
                <w:sz w:val="21"/>
                <w:szCs w:val="21"/>
                <w:highlight w:val="none"/>
                <w:lang w:eastAsia="zh-CN"/>
              </w:rPr>
            </w:pPr>
            <w:r>
              <w:rPr>
                <w:rFonts w:ascii="Times New Roman" w:hAnsi="Times New Roman"/>
                <w:sz w:val="21"/>
                <w:szCs w:val="21"/>
                <w:highlight w:val="none"/>
                <w:lang w:eastAsia="zh-CN"/>
              </w:rPr>
              <w:t>大于等于20年一遇至历史最高洪水位</w:t>
            </w:r>
          </w:p>
        </w:tc>
        <w:tc>
          <w:tcPr>
            <w:tcW w:w="1515" w:type="pct"/>
            <w:tcBorders>
              <w:top w:val="single" w:color="000000" w:sz="4" w:space="0"/>
              <w:left w:val="single" w:color="000000" w:sz="4" w:space="0"/>
              <w:bottom w:val="single" w:color="000000" w:sz="4" w:space="0"/>
              <w:right w:val="single" w:color="000000" w:sz="4" w:space="0"/>
            </w:tcBorders>
            <w:vAlign w:val="center"/>
          </w:tcPr>
          <w:p>
            <w:pPr>
              <w:pStyle w:val="21"/>
              <w:spacing w:before="28"/>
              <w:jc w:val="center"/>
              <w:rPr>
                <w:rFonts w:ascii="Times New Roman" w:hAnsi="Times New Roman"/>
                <w:sz w:val="21"/>
                <w:szCs w:val="21"/>
                <w:highlight w:val="none"/>
              </w:rPr>
            </w:pPr>
            <w:r>
              <w:rPr>
                <w:rFonts w:ascii="Times New Roman" w:hAnsi="Times New Roman"/>
                <w:sz w:val="21"/>
                <w:szCs w:val="21"/>
                <w:highlight w:val="none"/>
              </w:rPr>
              <w:t>属稀遇发生频次</w:t>
            </w:r>
          </w:p>
        </w:tc>
      </w:tr>
    </w:tbl>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C</w:t>
      </w:r>
      <w:r>
        <w:rPr>
          <w:rFonts w:hint="eastAsia" w:ascii="宋体" w:hAnsi="宋体" w:eastAsia="宋体" w:cs="宋体"/>
          <w:spacing w:val="5"/>
          <w:lang w:val="en-US"/>
        </w:rPr>
        <w:t>危险区划分还应注意以下几点：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a.根据具体情况适当调整危险区等级。按划分的原危险性等级区内存在学校、医院等重要设施；或者河谷形态为窄深型，到达成灾水位以后，水位流量关系曲线陡峭，对人口和房屋影响严重的情况，应提升一级危险区等级。</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b.考虑工程失事等特殊工况的危险区划分。如果防灾对象上下游有堰塘、小型水库、堤防、桥涵等工程，有可能发生溃决或者堵塞洪水情况的，应有针对性地进行溃决洪水影响、壅水影响等的简易分析，进而划分出特殊工况的危险区，重点是确定洪水影响范围，并统计相应的人口和房屋数量。</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c.转移路线和临时安置地点确定在危险区等级划分的基础上，还应结合河村落、集镇等防灾对象的地形地貌、交通条件等信息，对现场调查的转移路线和安置地点进行评价和修订，以确定最佳的转移路线和临时安置地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D</w:t>
      </w:r>
      <w:r>
        <w:rPr>
          <w:rFonts w:hint="eastAsia" w:ascii="宋体" w:hAnsi="宋体" w:eastAsia="宋体" w:cs="宋体"/>
          <w:spacing w:val="5"/>
          <w:lang w:val="en-US"/>
        </w:rPr>
        <w:t>成果要求集镇等防灾对象防洪现状评价图；集镇等防灾对象防洪能力、各级危险区人口、房屋统计信息，填写防洪现状评价表。</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4）预警指标分析</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①一般规定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山区洪水灾害预警指标分析针对各个集镇等防灾对象进行。对于地理位置非常接近且所在河段河流地貌形态相似的多个防灾对象，可以使用相同的预警指标。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预警指标包括雨量预警指标与水位预警指标2类，分为危险和高危两级；各地可以根据自身情况，基于气象预报或水文预报信息，增加一级警戒预警指标。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雨量预警通过分析不同预警时段的临界雨量得出。临界雨量指导致一个流域或区域发生山溪洪水可能致灾时，即达到成灾水位时，降雨达到或超过的最小量级和强度，降雨总量和雨强、土壤含水量以及下垫面是临界雨量分析的关键因素；基本分析思路是根据成灾水位，采用比降面积法、曼宁公式或水位流量关系等方法，推算出成灾水位对应的流量值，再根据设计暴雨洪水计算方法和典型暴雨时程分布，反算设计洪水洪峰达到该流量值时，各个预警时段设计暴雨的雨量。雨量预警指标可以通过经验估计法、降雨分析法以及模型分析法3类方法分析得到，各种方法的基本流程分为确定预警时段、分析流域土壤含水量、计算临界雨量、综合确定预警指标四个步骤。</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临界雨量指标是面平均雨量，单站与多站情况下的雨量预警指标应按代表雨量的方法确定。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水位预警通过分析临界水位得出。临界水位可通过洪水演进方法和历史洪水分析方法分析得到。</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预警指标分析成果是山区洪水灾害预警的重要依据，各地应在分析成果的基础上，根据实际情况进行检验修正，在工作中运用和改进。</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②</w:t>
      </w:r>
      <w:r>
        <w:rPr>
          <w:rFonts w:hint="eastAsia" w:ascii="宋体" w:hAnsi="宋体" w:eastAsia="宋体" w:cs="宋体"/>
          <w:b w:val="0"/>
          <w:bCs w:val="0"/>
          <w:spacing w:val="5"/>
          <w:lang w:val="en-US"/>
        </w:rPr>
        <w:t>雨量预警指标分析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雨量预警指标分析内容包括各个预警时段的临界雨量，以及各预警时段的准备转移雨量和立即转移雨量。临界雨量可以采用经验估计法、降雨分析法以及模型分析法3类方法进行分析。各地也可以选择适合当地条件的方法，但在分析评价 成果报告中，应对方法选择、资料要求、算法流程、分析成果等内容进行详细说明。</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A</w:t>
      </w:r>
      <w:r>
        <w:rPr>
          <w:rFonts w:hint="eastAsia" w:ascii="宋体" w:hAnsi="宋体" w:eastAsia="宋体" w:cs="宋体"/>
          <w:spacing w:val="5"/>
          <w:lang w:val="en-US"/>
        </w:rPr>
        <w:t>预警时段确定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预警时段指雨量预警指标中采用的最典型的降雨历时，是雨量预警指标的重要组成部分。受防灾对象上游集雨面积大小、降雨强度、流域形状及其地形地貌、植被、土壤含水量等因素的影响，预警时段会发生变化。</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预警时段确定原则和方法如下：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a.最长时段确定：流域汇流时间是非常重要预警时段，也是预警指标的最长时段。</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b.典型时段确定：应根据防灾对象所在地区暴雨特性、流域面积大小、平均比降、形状系数、下垫面情况等因素，确定比汇流时间小的短历时预警时段，如0.5小时、1小时、3小时等。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c.综合确定：充分参考前期基础工作成果的流域单位线信息，结合流域暴雨、下垫面特性以及历史山区洪水情况，综合分析集镇防灾对象所处河段的河谷形态、洪水上涨速率、转移时间及其影响人口等因素后，确定各防灾对象的各个典型预警时段，从最小预警时段直至流域汇流时间。</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B</w:t>
      </w:r>
      <w:r>
        <w:rPr>
          <w:rFonts w:hint="eastAsia" w:ascii="宋体" w:hAnsi="宋体" w:eastAsia="宋体" w:cs="宋体"/>
          <w:spacing w:val="5"/>
          <w:lang w:val="en-US"/>
        </w:rPr>
        <w:t>土壤含水量计算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流域土壤含水量对流域产流有重要影响，是雨量预警的重要基础信息，主要用于净雨分析计算时考虑，并进而用于分析临界雨量阈值。计算土壤含水量时，可直接采用水文部门的现有成果；若资料高度缺乏，可以采用前期降雨对流域土壤含水量进行估算，推荐采用流域最大蓄水量估算法。</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C</w:t>
      </w:r>
      <w:r>
        <w:rPr>
          <w:rFonts w:hint="eastAsia" w:ascii="宋体" w:hAnsi="宋体" w:eastAsia="宋体" w:cs="宋体"/>
          <w:spacing w:val="5"/>
          <w:lang w:val="en-US"/>
        </w:rPr>
        <w:t>临界雨量计算</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临界雨量计算采用水位/流量反推法，基本方法如下：假定断面处有一洪峰流量Qm，则有一个1h的时段降雨X1h，经过产汇流后形成的洪水过程的洪峰等于Qm；同样有一个3h的时段降雨X3h，经过产汇流后形成的洪水过程的洪峰等于Qm，则X1h和X3h的频率相同，均等于Qm的频率，以此类推，会有许多个时段的降雨，经过产汇流后形成的洪水过程的洪峰均等于Qm，且频率都与Qm的频率相同。在此假定的基础上，首先确定防灾对象处的成灾水位，然后根据断面特征、水位流量关系，确定对应的流量，且认为该流量为成灾流量Qm，同时确定其对应的频率Pm，最后计算频率为Pm的各时段降雨量，即为各时段的临界雨量。</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D</w:t>
      </w:r>
      <w:r>
        <w:rPr>
          <w:rFonts w:hint="eastAsia" w:ascii="宋体" w:hAnsi="宋体" w:eastAsia="宋体" w:cs="宋体"/>
          <w:spacing w:val="5"/>
          <w:lang w:val="en-US"/>
        </w:rPr>
        <w:t>预警指标综合确定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集镇等防灾对象因所在河段的河谷形态不同，洪水上涨与淹没速度会有很大差别，这些特性对山区洪水灾害预警、转移响应时间、危险区危险等级划分等都有一定影响。考虑防治对象所处河段河谷形态、洪水上涨速率、预警响应时间和站点位置等因素，在临界雨量的基础上综合确定准备转移和立即转移的预警指标；并利用该预警指标进行暴雨洪水复核校正，以避免与成灾水位及相应的暴雨洪水频率差异过大。</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E</w:t>
      </w:r>
      <w:r>
        <w:rPr>
          <w:rFonts w:hint="eastAsia" w:ascii="宋体" w:hAnsi="宋体" w:eastAsia="宋体" w:cs="宋体"/>
          <w:spacing w:val="5"/>
          <w:lang w:val="en-US"/>
        </w:rPr>
        <w:t>合理性分析可采用以下方法，进行预警指标的合理性分析：a.与当地山区洪水灾害事件实际资料对比分析；b.将各种方法的计算结果进行对比分析；c.与流域大小、气候条件、地形地貌、植被覆盖、土壤类型、行洪能力等因素相近或相同的沿河村落的预警指标成果进行比较和分析。</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③</w:t>
      </w:r>
      <w:r>
        <w:rPr>
          <w:rFonts w:hint="eastAsia" w:ascii="宋体" w:hAnsi="宋体" w:eastAsia="宋体" w:cs="宋体"/>
          <w:b w:val="0"/>
          <w:bCs w:val="0"/>
          <w:spacing w:val="5"/>
          <w:lang w:val="en-US"/>
        </w:rPr>
        <w:t>水位预警指标分析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根据预警对象控制断面成灾水位，推算上游水位站的相应水位，作为临界水位进行预警。山区洪水从水位站演进至下游预警对象的时间不应小于30分钟。临界水位通过洪水演进方法和上下游水位相关法进行分析。</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④</w:t>
      </w:r>
      <w:r>
        <w:rPr>
          <w:rFonts w:hint="eastAsia" w:ascii="宋体" w:hAnsi="宋体" w:eastAsia="宋体" w:cs="宋体"/>
          <w:b w:val="0"/>
          <w:bCs w:val="0"/>
          <w:spacing w:val="5"/>
          <w:lang w:val="en-US"/>
        </w:rPr>
        <w:t>成果要求</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雨量预警应提供集镇等对象不同预警时段准备转移和立即转移两种指标的临界雨量信息。不同方法，提供的成果略有区别，具体如下：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采用经验估计法进行分析，成果应提供30分钟、1小时、3小时、……、直至流域汇流时间段（τ）等预警时段内准备转移指标和立即转移指标的临界值，</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采用降雨分析法进行分析，成果应提供系数a以及与准备转移指标和立即转移指标对应的各预警时段的临界值C。</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模型分析法进行分析，成果应提供30分钟、1小时、3小时、……、直至流域汇流时间段（τ）等预警时段内不同土壤含水量情况下的准备转移指标和立即转移指标的临界值。按时段滚动计算的，还应提供预警雨量临界线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水位预警应提供水位信息所在地点、具体水位值以及预警对象等信息。</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雨量预警指标和水位预警指标按“预警指标成果表”填写，并以图表或文字方式，作为危险区图的主要内容之一。</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5）危险区图绘制</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危险区图是在山区洪水灾害调查评价工作底图（或更大比例地图）上采用地理信息系统（GIS）等专业技术方法，将防洪现状评价成果直观展现在图件上，为山区洪水预警、预案编制、人员转移、临时安置等工作提供支撑。</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危险区图根据危险区等级对应频率的设计暴雨洪水淹没范围进行绘制，如防灾对象上下游有堰塘、小型水库、堤防、桥涵等工程，有可能发生溃决或者堵塞洪水情况的，应另外绘制特殊工况的危险区图。危险区图图式应符合《防汛抗旱用图图式》（SL73.7-2013）等行业和相关地图及测绘的标准要求。危险区图应包括基础底图信息、主要信息和辅助信息3类。各类信息主要包括：</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①</w:t>
      </w:r>
      <w:r>
        <w:rPr>
          <w:rFonts w:hint="eastAsia" w:ascii="宋体" w:hAnsi="宋体" w:eastAsia="宋体" w:cs="宋体"/>
          <w:spacing w:val="5"/>
          <w:lang w:val="en-US"/>
        </w:rPr>
        <w:t>基础底图信息：遥感底图信息，行政区划、居民区范围、危险区、控制断面、河流流向、对象在县级行政区的空间位置；</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②</w:t>
      </w:r>
      <w:r>
        <w:rPr>
          <w:rFonts w:hint="eastAsia" w:ascii="宋体" w:hAnsi="宋体" w:eastAsia="宋体" w:cs="宋体"/>
          <w:spacing w:val="5"/>
          <w:lang w:val="en-US"/>
        </w:rPr>
        <w:t>主要信息：各级危险区（极高、高危、危险）空间分布及其人口、房屋统计信息，转移路线，临时安置地点，典型雨型分布，设计洪水主要成果，预警指标，预警方式，责任人，联系方式等；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③</w:t>
      </w:r>
      <w:r>
        <w:rPr>
          <w:rFonts w:hint="eastAsia" w:ascii="宋体" w:hAnsi="宋体" w:eastAsia="宋体" w:cs="宋体"/>
          <w:spacing w:val="5"/>
          <w:lang w:val="en-US"/>
        </w:rPr>
        <w:t>辅助信息：编制单位、编制时间等编制信息，以及图名、图例、比例尺、指北针等地图辅助信息。</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（四）调查实施</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山丘区重点集镇山洪风险调查评估实施由县级负责，其调查评估实施步骤如下：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1.根据山洪灾害防御工作重点及风险程度，结合当地实际情况，进一步梳理山丘区重点集镇，及时更新、调整、复核确定山丘区重点集镇名录。</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2.收集重点集镇集水区的气象水文资料、小流域划分及属性参数成果、下垫面提取成果等，整理出适合山区暴雨洪水分析计算的资料。</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3.调查集镇洪水威胁区内人口、房屋等信息；通过现场查勘、问询、洪痕调查和专业分析等方法，调查历史最高洪水位或最高可能淹没水位，综合确定成灾水位和可能受山区洪水威胁的居民区范围，调查洪水威胁区内区人口、房屋、企事业单位高程及分布信息。</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4.对影响重点集镇防洪风险的溪河开展断面测量，调查行洪影响因素，调查历史洪水位；以满足行洪能力分析计算、现状防洪能力评价、危险区划分和预警指标分析的要求。控制断面测量成果要反映河道断面形态和特征，推算成灾水位、历史最高洪水位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5.调查影响居民区防洪安全的塘（堰）坝、路涵、桥梁等涉水建筑物基本情况。</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6.对于重点集镇居民区范围有多条河流贯穿且可能引起洪水灾害的，应分区调查和评价。</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7.分析集镇上游集水区内小流域暴雨洪水特征，主要针对五种典型频率（5年一遇、10年一遇、20年一遇、50年一遇、100年一遇）分析计算小流域标准历时的设计暴雨特征值，以及以小流域汇流时间为历时的设计暴雨及对应设计洪水的特征值。</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8.分析集镇的现状防洪能力，主要包括成灾水位对应流量的频率分析，以及根据五种典型频率洪水洪峰水位及人口和房屋沿高程分布情况，制作控制断面水位-流量-人口关系图表，分析评价防灾对象防洪能力，在地形图上确定5年、10年、20年、50年、100年一遇洪水淹没范围。</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9.对集镇山洪危险区等级划分，将危险区划分为极高、高、危险三级，并科学合理的确定转移路线和临时安置地点。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10.分析确定集镇的预警指标，重点分析流域土壤较湿以及一般两种情况下的临界雨量，进而确定危险和高危雨量预警指标。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11.绘制山丘区重点集镇山洪危险区划图，结合典型频率洪水淹没范围，制作调查评价成果一张图。</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（五）评估制图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1.基于山丘区重点集镇现状防洪能力评价成果，在地形图上确定5年、10年、20年、50年、100年一遇洪水淹没范围。</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2.绘制山丘区重点集镇山洪危险区划图。针对山丘区重点集镇，基于山洪灾害调查评价成果，根据5年一遇、20年一遇、100年一遇的洪水位，确定危险区等级，结合地形地貌情况，在工作底图划分不同等级的山洪危险区范围，并对现场调查的危险区范围进行核对与修正。</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3.制作调查评价成果一张图。将调查成果录入浙江省山洪灾害监测预警信息管理与共享系统，形成全省山洪灾害防御“一张图”。根据相关技术要求，本次一张图底图采用2020年版天地图（提供含影像图、交通图，符合OGC标准的WMTS服务），成果一张图绘制技术要求：</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重点集镇调查信息标绘整理调查成果，参照相关技术导则标绘至底图。重点集镇调查信息应包括：重点集镇位置、人口、户数、面积等基本信息；防御对象名称、类型、联系人、位置等基础信息；河道断面选取位置及测量信息。</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（2）重点集镇分析评价信息标绘 整理分析评价成果，参照相关技术导则标绘至底图。重点集镇调查信息应包括：重点集镇危险区总体范围、典型频率（5年、10年、20年、50年、100年一遇）洪水淹没范围及危险区划分信息；预警指标关联站点信息；各重点集镇雨量（水位）预警指标信息。</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（六）成果要求</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1.《兰溪市7个乡镇（街道）山丘区重点集镇山洪风险调查评估报告》；</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2.《兰溪市其余9个乡镇（街道）山丘区重点集镇山洪风险调查评估与复核评价报告》。</w:t>
      </w:r>
      <w:bookmarkStart w:id="408" w:name="_Toc18876"/>
      <w:bookmarkStart w:id="409" w:name="_Toc30726"/>
      <w:bookmarkStart w:id="410" w:name="_Toc13971"/>
      <w:bookmarkStart w:id="411" w:name="_Toc3189"/>
      <w:bookmarkStart w:id="412" w:name="_Toc6141"/>
      <w:bookmarkStart w:id="413" w:name="_Toc13470"/>
      <w:bookmarkStart w:id="414" w:name="_Toc13300"/>
      <w:bookmarkStart w:id="415" w:name="_Toc23793"/>
      <w:bookmarkStart w:id="416" w:name="_Toc25558"/>
      <w:bookmarkStart w:id="417" w:name="_Toc16749"/>
      <w:bookmarkStart w:id="418" w:name="_Toc26391"/>
      <w:bookmarkStart w:id="419" w:name="_Toc19510"/>
      <w:bookmarkStart w:id="420" w:name="_Toc24228"/>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2.1.3 水旱灾害风险评估与区划</w:t>
      </w:r>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rPr>
        <w:t>根据《省级水旱方案》中“</w:t>
      </w:r>
      <w:r>
        <w:rPr>
          <w:rFonts w:hint="eastAsia" w:ascii="宋体" w:hAnsi="宋体" w:eastAsia="宋体" w:cs="宋体"/>
          <w:spacing w:val="5"/>
          <w:lang w:val="en-US" w:eastAsia="zh-CN"/>
        </w:rPr>
        <w:t>水旱灾害风险评估与区划</w:t>
      </w:r>
      <w:r>
        <w:rPr>
          <w:rFonts w:hint="eastAsia" w:ascii="宋体" w:hAnsi="宋体" w:eastAsia="宋体" w:cs="宋体"/>
          <w:spacing w:val="5"/>
          <w:lang w:val="en-US"/>
        </w:rPr>
        <w:t>”工作要求，</w:t>
      </w:r>
      <w:r>
        <w:rPr>
          <w:rFonts w:hint="eastAsia" w:ascii="宋体" w:hAnsi="宋体" w:eastAsia="宋体" w:cs="宋体"/>
          <w:spacing w:val="5"/>
          <w:lang w:val="en-US" w:eastAsia="zh-CN"/>
        </w:rPr>
        <w:t>省级负责全省洪水风险区划、全省洪水灾害防治区划、干旱灾害风险评估、干旱灾害风险区划和干旱灾害防治区划，</w:t>
      </w:r>
      <w:r>
        <w:rPr>
          <w:rFonts w:hint="eastAsia" w:ascii="宋体" w:hAnsi="宋体" w:eastAsia="宋体" w:cs="宋体"/>
          <w:spacing w:val="5"/>
          <w:lang w:val="en-US"/>
        </w:rPr>
        <w:t>县级负责</w:t>
      </w:r>
      <w:r>
        <w:rPr>
          <w:rFonts w:hint="eastAsia" w:ascii="宋体" w:hAnsi="宋体" w:eastAsia="宋体" w:cs="宋体"/>
          <w:spacing w:val="5"/>
          <w:lang w:val="en-US" w:eastAsia="zh-CN"/>
        </w:rPr>
        <w:t>山丘区中小河流洪水淹没图，任务分工如表3-4：</w:t>
      </w:r>
    </w:p>
    <w:p>
      <w:pPr>
        <w:pStyle w:val="10"/>
        <w:spacing w:before="110" w:line="338" w:lineRule="auto"/>
        <w:ind w:right="603" w:firstLine="622" w:firstLineChars="283"/>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表3-4水旱灾害风险评估与区划任务分工表</w:t>
      </w:r>
    </w:p>
    <w:tbl>
      <w:tblPr>
        <w:tblStyle w:val="16"/>
        <w:tblW w:w="4998" w:type="pct"/>
        <w:tblInd w:w="0" w:type="dxa"/>
        <w:shd w:val="clear" w:color="auto" w:fill="auto"/>
        <w:tblLayout w:type="autofit"/>
        <w:tblCellMar>
          <w:top w:w="0" w:type="dxa"/>
          <w:left w:w="0" w:type="dxa"/>
          <w:bottom w:w="0" w:type="dxa"/>
          <w:right w:w="0" w:type="dxa"/>
        </w:tblCellMar>
      </w:tblPr>
      <w:tblGrid>
        <w:gridCol w:w="777"/>
        <w:gridCol w:w="801"/>
        <w:gridCol w:w="1904"/>
        <w:gridCol w:w="1096"/>
        <w:gridCol w:w="2161"/>
        <w:gridCol w:w="1098"/>
        <w:gridCol w:w="1261"/>
      </w:tblGrid>
      <w:tr>
        <w:tblPrEx>
          <w:shd w:val="clear" w:color="auto" w:fill="auto"/>
          <w:tblCellMar>
            <w:top w:w="0" w:type="dxa"/>
            <w:left w:w="0" w:type="dxa"/>
            <w:bottom w:w="0" w:type="dxa"/>
            <w:right w:w="0" w:type="dxa"/>
          </w:tblCellMar>
        </w:tblPrEx>
        <w:trPr>
          <w:trHeight w:val="550" w:hRule="atLeast"/>
          <w:tblHeader/>
        </w:trPr>
        <w:tc>
          <w:tcPr>
            <w:tcW w:w="427"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default" w:ascii="Times New Roman" w:hAnsi="Times New Roman" w:eastAsia="仿宋" w:cs="Times New Roman"/>
                <w:b/>
                <w:bCs/>
                <w:i w:val="0"/>
                <w:color w:val="000000"/>
                <w:sz w:val="24"/>
                <w:szCs w:val="24"/>
                <w:highlight w:val="none"/>
                <w:u w:val="none"/>
              </w:rPr>
            </w:pPr>
            <w:r>
              <w:rPr>
                <w:rFonts w:hint="default" w:ascii="Times New Roman" w:hAnsi="Times New Roman" w:eastAsia="仿宋" w:cs="Times New Roman"/>
                <w:b/>
                <w:bCs/>
                <w:i w:val="0"/>
                <w:color w:val="000000"/>
                <w:kern w:val="0"/>
                <w:sz w:val="24"/>
                <w:szCs w:val="24"/>
                <w:highlight w:val="none"/>
                <w:u w:val="none"/>
                <w:lang w:val="en-US" w:eastAsia="zh-CN" w:bidi="ar"/>
              </w:rPr>
              <w:t>任务</w:t>
            </w:r>
          </w:p>
        </w:tc>
        <w:tc>
          <w:tcPr>
            <w:tcW w:w="1486"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default" w:ascii="Times New Roman" w:hAnsi="Times New Roman" w:eastAsia="仿宋" w:cs="Times New Roman"/>
                <w:b/>
                <w:bCs/>
                <w:i w:val="0"/>
                <w:color w:val="000000"/>
                <w:sz w:val="24"/>
                <w:szCs w:val="24"/>
                <w:highlight w:val="none"/>
                <w:u w:val="none"/>
              </w:rPr>
            </w:pPr>
            <w:r>
              <w:rPr>
                <w:rFonts w:hint="default" w:ascii="Times New Roman" w:hAnsi="Times New Roman" w:eastAsia="仿宋" w:cs="Times New Roman"/>
                <w:b/>
                <w:bCs/>
                <w:i w:val="0"/>
                <w:color w:val="000000"/>
                <w:kern w:val="0"/>
                <w:sz w:val="24"/>
                <w:szCs w:val="24"/>
                <w:highlight w:val="none"/>
                <w:u w:val="none"/>
                <w:lang w:val="en-US" w:eastAsia="zh-CN" w:bidi="ar"/>
              </w:rPr>
              <w:t>子任务</w:t>
            </w:r>
          </w:p>
        </w:tc>
        <w:tc>
          <w:tcPr>
            <w:tcW w:w="602"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default" w:ascii="Times New Roman" w:hAnsi="Times New Roman" w:eastAsia="仿宋" w:cs="Times New Roman"/>
                <w:b/>
                <w:bCs/>
                <w:i w:val="0"/>
                <w:color w:val="000000"/>
                <w:sz w:val="24"/>
                <w:szCs w:val="24"/>
                <w:highlight w:val="none"/>
                <w:u w:val="none"/>
              </w:rPr>
            </w:pPr>
            <w:r>
              <w:rPr>
                <w:rFonts w:hint="default" w:ascii="Times New Roman" w:hAnsi="Times New Roman" w:eastAsia="仿宋" w:cs="Times New Roman"/>
                <w:b/>
                <w:bCs/>
                <w:i w:val="0"/>
                <w:color w:val="000000"/>
                <w:kern w:val="0"/>
                <w:sz w:val="24"/>
                <w:szCs w:val="24"/>
                <w:highlight w:val="none"/>
                <w:u w:val="none"/>
                <w:lang w:val="en-US" w:eastAsia="zh-CN" w:bidi="ar"/>
              </w:rPr>
              <w:t>任务分级</w:t>
            </w:r>
          </w:p>
        </w:tc>
        <w:tc>
          <w:tcPr>
            <w:tcW w:w="1187"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default" w:ascii="Times New Roman" w:hAnsi="Times New Roman" w:eastAsia="仿宋" w:cs="Times New Roman"/>
                <w:b/>
                <w:bCs/>
                <w:i w:val="0"/>
                <w:color w:val="000000"/>
                <w:sz w:val="24"/>
                <w:szCs w:val="24"/>
                <w:highlight w:val="none"/>
                <w:u w:val="none"/>
              </w:rPr>
            </w:pPr>
            <w:r>
              <w:rPr>
                <w:rFonts w:hint="default" w:ascii="Times New Roman" w:hAnsi="Times New Roman" w:eastAsia="仿宋" w:cs="Times New Roman"/>
                <w:b/>
                <w:bCs/>
                <w:i w:val="0"/>
                <w:color w:val="000000"/>
                <w:kern w:val="0"/>
                <w:sz w:val="24"/>
                <w:szCs w:val="24"/>
                <w:highlight w:val="none"/>
                <w:u w:val="none"/>
                <w:lang w:val="en-US" w:eastAsia="zh-CN" w:bidi="ar"/>
              </w:rPr>
              <w:t>具体任务</w:t>
            </w:r>
          </w:p>
        </w:tc>
        <w:tc>
          <w:tcPr>
            <w:tcW w:w="603"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default" w:ascii="Times New Roman" w:hAnsi="Times New Roman" w:eastAsia="仿宋" w:cs="Times New Roman"/>
                <w:b/>
                <w:bCs/>
                <w:i w:val="0"/>
                <w:color w:val="000000"/>
                <w:sz w:val="24"/>
                <w:szCs w:val="24"/>
                <w:highlight w:val="none"/>
                <w:u w:val="none"/>
                <w:lang w:val="en-US" w:eastAsia="zh-CN"/>
              </w:rPr>
            </w:pPr>
            <w:r>
              <w:rPr>
                <w:rFonts w:hint="default" w:ascii="Times New Roman" w:hAnsi="Times New Roman" w:eastAsia="仿宋" w:cs="Times New Roman"/>
                <w:b/>
                <w:bCs/>
                <w:i w:val="0"/>
                <w:color w:val="000000"/>
                <w:sz w:val="24"/>
                <w:szCs w:val="24"/>
                <w:highlight w:val="none"/>
                <w:u w:val="none"/>
                <w:lang w:val="en-US" w:eastAsia="zh-CN"/>
              </w:rPr>
              <w:t>任务范围</w:t>
            </w:r>
          </w:p>
        </w:tc>
        <w:tc>
          <w:tcPr>
            <w:tcW w:w="692"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default" w:ascii="Times New Roman" w:hAnsi="Times New Roman" w:eastAsia="仿宋" w:cs="Times New Roman"/>
                <w:b/>
                <w:bCs/>
                <w:i w:val="0"/>
                <w:color w:val="000000"/>
                <w:sz w:val="24"/>
                <w:szCs w:val="24"/>
                <w:highlight w:val="none"/>
                <w:u w:val="none"/>
                <w:lang w:val="en-US" w:eastAsia="zh-CN"/>
              </w:rPr>
            </w:pPr>
            <w:r>
              <w:rPr>
                <w:rFonts w:hint="eastAsia" w:cs="Times New Roman"/>
                <w:b/>
                <w:bCs/>
                <w:i w:val="0"/>
                <w:color w:val="000000"/>
                <w:sz w:val="24"/>
                <w:szCs w:val="24"/>
                <w:highlight w:val="none"/>
                <w:u w:val="none"/>
                <w:lang w:val="en-US" w:eastAsia="zh-CN"/>
              </w:rPr>
              <w:t>备注</w:t>
            </w:r>
          </w:p>
        </w:tc>
      </w:tr>
      <w:tr>
        <w:tblPrEx>
          <w:tblCellMar>
            <w:top w:w="0" w:type="dxa"/>
            <w:left w:w="0" w:type="dxa"/>
            <w:bottom w:w="0" w:type="dxa"/>
            <w:right w:w="0" w:type="dxa"/>
          </w:tblCellMar>
        </w:tblPrEx>
        <w:trPr>
          <w:trHeight w:val="750" w:hRule="atLeast"/>
        </w:trPr>
        <w:tc>
          <w:tcPr>
            <w:tcW w:w="4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水旱灾害风险评估与区划</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洪水灾害风险评估及区划</w:t>
            </w:r>
          </w:p>
        </w:tc>
        <w:tc>
          <w:tcPr>
            <w:tcW w:w="10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山丘区中小河流洪水淹没图</w:t>
            </w:r>
          </w:p>
        </w:tc>
        <w:tc>
          <w:tcPr>
            <w:tcW w:w="60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省级、县级</w:t>
            </w:r>
          </w:p>
        </w:tc>
        <w:tc>
          <w:tcPr>
            <w:tcW w:w="118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1.</w:t>
            </w:r>
            <w:r>
              <w:rPr>
                <w:rFonts w:hint="eastAsia" w:ascii="宋体" w:hAnsi="宋体" w:eastAsia="宋体" w:cs="宋体"/>
                <w:i w:val="0"/>
                <w:color w:val="000000"/>
                <w:kern w:val="0"/>
                <w:sz w:val="21"/>
                <w:szCs w:val="21"/>
                <w:u w:val="none"/>
                <w:lang w:val="en-US" w:eastAsia="zh-CN" w:bidi="ar"/>
              </w:rPr>
              <w:t>兰溪市梅溪不同洪水频率（5年、10年、20年、50年、100年一遇或标准）洪水淹没范围图；</w:t>
            </w:r>
          </w:p>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rPr>
            </w:pPr>
            <w:r>
              <w:rPr>
                <w:rFonts w:hint="eastAsia" w:cs="宋体"/>
                <w:i w:val="0"/>
                <w:color w:val="000000"/>
                <w:kern w:val="0"/>
                <w:sz w:val="21"/>
                <w:szCs w:val="21"/>
                <w:u w:val="none"/>
                <w:lang w:val="en-US" w:eastAsia="zh-CN" w:bidi="ar"/>
              </w:rPr>
              <w:t>2.</w:t>
            </w:r>
            <w:r>
              <w:rPr>
                <w:rFonts w:hint="eastAsia" w:ascii="宋体" w:hAnsi="宋体" w:eastAsia="宋体" w:cs="宋体"/>
                <w:i w:val="0"/>
                <w:color w:val="000000"/>
                <w:kern w:val="0"/>
                <w:sz w:val="21"/>
                <w:szCs w:val="21"/>
                <w:u w:val="none"/>
                <w:lang w:val="en-US" w:eastAsia="zh-CN" w:bidi="ar"/>
              </w:rPr>
              <w:t>《兰溪市梅溪洪水淹没图编制报告》。</w:t>
            </w:r>
          </w:p>
        </w:tc>
        <w:tc>
          <w:tcPr>
            <w:tcW w:w="60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highlight w:val="none"/>
                <w:u w:val="none"/>
                <w:lang w:val="en-US" w:eastAsia="zh-CN"/>
              </w:rPr>
            </w:pPr>
            <w:r>
              <w:rPr>
                <w:rFonts w:hint="eastAsia" w:cs="宋体"/>
                <w:i w:val="0"/>
                <w:color w:val="000000"/>
                <w:kern w:val="0"/>
                <w:sz w:val="21"/>
                <w:szCs w:val="21"/>
                <w:u w:val="none"/>
                <w:lang w:val="en-US" w:eastAsia="zh-CN" w:bidi="ar"/>
              </w:rPr>
              <w:t>兰溪市梅溪</w:t>
            </w:r>
          </w:p>
        </w:tc>
        <w:tc>
          <w:tcPr>
            <w:tcW w:w="6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bl>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2.1.3.1 山丘区中小河流洪水淹没图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21" w:name="_Toc6770"/>
      <w:bookmarkStart w:id="422" w:name="_Toc12123"/>
      <w:bookmarkStart w:id="423" w:name="_Toc17538"/>
      <w:bookmarkStart w:id="424" w:name="_Toc20237"/>
      <w:bookmarkStart w:id="425" w:name="_Toc4221"/>
      <w:bookmarkStart w:id="426" w:name="_Toc6459"/>
      <w:r>
        <w:rPr>
          <w:rFonts w:hint="eastAsia" w:ascii="宋体" w:hAnsi="宋体" w:eastAsia="宋体" w:cs="宋体"/>
          <w:spacing w:val="5"/>
          <w:lang w:val="en-US" w:eastAsia="zh-CN"/>
        </w:rPr>
        <w:t>2.1.3.1.1 工作内容</w:t>
      </w:r>
      <w:bookmarkEnd w:id="421"/>
      <w:bookmarkEnd w:id="422"/>
      <w:bookmarkEnd w:id="423"/>
      <w:bookmarkEnd w:id="424"/>
      <w:bookmarkEnd w:id="425"/>
      <w:bookmarkEnd w:id="426"/>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基于中小流域洪水频率图或采用推理公式、瞬时单位线或分布式水文模型等方法推求设计洪水，采用基于一维非恒定流水力学方法或曼宁公式等方法开展洪水分析，分析沿程水位和流量，确定洪水特征参数，在工作底图上绘制不同频率（5年、10年、20年、50年、100年一遇或超标准）洪水淹没范围。结合承灾体调查成果，统计分析洪水影响的集镇、村庄、人口，编制山丘区中小河流洪水淹没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27" w:name="_Toc1395"/>
      <w:bookmarkStart w:id="428" w:name="_Toc30521"/>
      <w:bookmarkStart w:id="429" w:name="_Toc12083"/>
      <w:bookmarkStart w:id="430" w:name="_Toc27476"/>
      <w:bookmarkStart w:id="431" w:name="_Toc29609"/>
      <w:bookmarkStart w:id="432" w:name="_Toc5408"/>
      <w:r>
        <w:rPr>
          <w:rFonts w:hint="eastAsia" w:ascii="宋体" w:hAnsi="宋体" w:eastAsia="宋体" w:cs="宋体"/>
          <w:spacing w:val="5"/>
          <w:lang w:val="en-US" w:eastAsia="zh-CN"/>
        </w:rPr>
        <w:t>2.1.3.1.2 技术方法</w:t>
      </w:r>
      <w:bookmarkEnd w:id="427"/>
      <w:bookmarkEnd w:id="428"/>
      <w:bookmarkEnd w:id="429"/>
      <w:bookmarkEnd w:id="430"/>
      <w:bookmarkEnd w:id="431"/>
      <w:bookmarkEnd w:id="432"/>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1.</w:t>
      </w:r>
      <w:r>
        <w:rPr>
          <w:rFonts w:hint="eastAsia" w:ascii="宋体" w:hAnsi="宋体" w:eastAsia="宋体" w:cs="宋体"/>
          <w:b w:val="0"/>
          <w:bCs w:val="0"/>
          <w:spacing w:val="5"/>
          <w:lang w:val="en-US"/>
        </w:rPr>
        <w:t>编制对象确定</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开展山丘区中小河流洪水淹没图绘制，主要针对针对山丘区流域面积为200~3000km</w:t>
      </w:r>
      <w:r>
        <w:rPr>
          <w:rFonts w:hint="eastAsia" w:ascii="宋体" w:hAnsi="宋体" w:eastAsia="宋体" w:cs="宋体"/>
          <w:spacing w:val="5"/>
          <w:vertAlign w:val="baseline"/>
          <w:lang w:val="en-US" w:eastAsia="zh-CN"/>
        </w:rPr>
        <w:t>2</w:t>
      </w:r>
      <w:r>
        <w:rPr>
          <w:rFonts w:hint="eastAsia" w:ascii="宋体" w:hAnsi="宋体" w:eastAsia="宋体" w:cs="宋体"/>
          <w:spacing w:val="5"/>
          <w:lang w:val="en-US" w:eastAsia="zh-CN"/>
        </w:rPr>
        <w:t>的中小河流且两岸有人居住或农田等防洪保护对象的河段，拟对兰溪市境内的梅溪干流（上至第一个沿河自然村，下至河口）进行洪水淹没图的绘制。</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2.</w:t>
      </w:r>
      <w:r>
        <w:rPr>
          <w:rFonts w:hint="eastAsia" w:ascii="宋体" w:hAnsi="宋体" w:eastAsia="宋体" w:cs="宋体"/>
          <w:b w:val="0"/>
          <w:bCs w:val="0"/>
          <w:spacing w:val="5"/>
          <w:lang w:val="en-US"/>
        </w:rPr>
        <w:t>已有成果和基础资料收集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以中小河流所在流域为单元，收集和整理水文气象、流域边界、河道（网）、土地利用、植被覆盖、土壤类型、遥感影像、历史洪水、水利工程等基本数据。已有成果：已组织开展过</w:t>
      </w:r>
      <w:r>
        <w:rPr>
          <w:rFonts w:hint="eastAsia" w:ascii="宋体" w:hAnsi="宋体" w:eastAsia="宋体" w:cs="宋体"/>
          <w:spacing w:val="5"/>
          <w:lang w:val="en-US" w:eastAsia="zh-CN"/>
        </w:rPr>
        <w:t>兰溪市</w:t>
      </w:r>
      <w:r>
        <w:rPr>
          <w:rFonts w:hint="eastAsia" w:ascii="宋体" w:hAnsi="宋体" w:eastAsia="宋体" w:cs="宋体"/>
          <w:spacing w:val="5"/>
          <w:lang w:val="en-US"/>
        </w:rPr>
        <w:t>洪水风险图编制项目。河道断面资料：前期（2019~2020年）组织开展了水域调查工作，部分河段已有河道断面资料，如不满足编制要求需补测。地形图：收集流域最新1:2000地形图（缺乏1:2000地形图地区可采用1:10000地形图）。DEM数据：优先采用高精度DEM数据（1:2000及以上），如收集不到，可从国家基础地理信息网（</w:t>
      </w:r>
      <w:r>
        <w:rPr>
          <w:rFonts w:hint="eastAsia" w:ascii="宋体" w:hAnsi="宋体" w:eastAsia="宋体" w:cs="宋体"/>
          <w:spacing w:val="5"/>
          <w:lang w:val="en-US"/>
        </w:rPr>
        <w:fldChar w:fldCharType="begin"/>
      </w:r>
      <w:r>
        <w:rPr>
          <w:rFonts w:hint="eastAsia" w:ascii="宋体" w:hAnsi="宋体" w:eastAsia="宋体" w:cs="宋体"/>
          <w:spacing w:val="5"/>
          <w:lang w:val="en-US"/>
        </w:rPr>
        <w:instrText xml:space="preserve"> HYPERLINK "http://www.gscloud.cn/" \h </w:instrText>
      </w:r>
      <w:r>
        <w:rPr>
          <w:rFonts w:hint="eastAsia" w:ascii="宋体" w:hAnsi="宋体" w:eastAsia="宋体" w:cs="宋体"/>
          <w:spacing w:val="5"/>
          <w:lang w:val="en-US"/>
        </w:rPr>
        <w:fldChar w:fldCharType="separate"/>
      </w:r>
      <w:r>
        <w:rPr>
          <w:rFonts w:hint="eastAsia" w:ascii="宋体" w:hAnsi="宋体" w:eastAsia="宋体" w:cs="宋体"/>
          <w:spacing w:val="5"/>
          <w:lang w:val="en-US"/>
        </w:rPr>
        <w:t>http://www.gscloud.cn/</w:t>
      </w:r>
      <w:r>
        <w:rPr>
          <w:rFonts w:hint="eastAsia" w:ascii="宋体" w:hAnsi="宋体" w:eastAsia="宋体" w:cs="宋体"/>
          <w:spacing w:val="5"/>
          <w:lang w:val="en-US"/>
        </w:rPr>
        <w:fldChar w:fldCharType="end"/>
      </w:r>
      <w:r>
        <w:rPr>
          <w:rFonts w:hint="eastAsia" w:ascii="宋体" w:hAnsi="宋体" w:eastAsia="宋体" w:cs="宋体"/>
          <w:spacing w:val="5"/>
          <w:lang w:val="en-US"/>
        </w:rPr>
        <w:t>、https://</w:t>
      </w:r>
      <w:r>
        <w:rPr>
          <w:rFonts w:hint="eastAsia" w:ascii="宋体" w:hAnsi="宋体" w:eastAsia="宋体" w:cs="宋体"/>
          <w:spacing w:val="5"/>
          <w:lang w:val="en-US"/>
        </w:rPr>
        <w:fldChar w:fldCharType="begin"/>
      </w:r>
      <w:r>
        <w:rPr>
          <w:rFonts w:hint="eastAsia" w:ascii="宋体" w:hAnsi="宋体" w:eastAsia="宋体" w:cs="宋体"/>
          <w:spacing w:val="5"/>
          <w:lang w:val="en-US"/>
        </w:rPr>
        <w:instrText xml:space="preserve"> HYPERLINK "http://www.webmap.cn/" \h </w:instrText>
      </w:r>
      <w:r>
        <w:rPr>
          <w:rFonts w:hint="eastAsia" w:ascii="宋体" w:hAnsi="宋体" w:eastAsia="宋体" w:cs="宋体"/>
          <w:spacing w:val="5"/>
          <w:lang w:val="en-US"/>
        </w:rPr>
        <w:fldChar w:fldCharType="separate"/>
      </w:r>
      <w:r>
        <w:rPr>
          <w:rFonts w:hint="eastAsia" w:ascii="宋体" w:hAnsi="宋体" w:eastAsia="宋体" w:cs="宋体"/>
          <w:spacing w:val="5"/>
          <w:lang w:val="en-US"/>
        </w:rPr>
        <w:t>www.webmap.cn/</w:t>
      </w:r>
      <w:r>
        <w:rPr>
          <w:rFonts w:hint="eastAsia" w:ascii="宋体" w:hAnsi="宋体" w:eastAsia="宋体" w:cs="宋体"/>
          <w:spacing w:val="5"/>
          <w:lang w:val="en-US"/>
        </w:rPr>
        <w:fldChar w:fldCharType="end"/>
      </w:r>
      <w:r>
        <w:rPr>
          <w:rFonts w:hint="eastAsia" w:ascii="宋体" w:hAnsi="宋体" w:eastAsia="宋体" w:cs="宋体"/>
          <w:spacing w:val="5"/>
          <w:lang w:val="en-US"/>
        </w:rPr>
        <w:t>）等进行免费下载。</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遥感影像数据：2020年版天地图遥感影像数据。水利工程：收集主要水利工程基础信息及其调度资料。历史洪水：收集近年实测洪水资料。</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3.</w:t>
      </w:r>
      <w:r>
        <w:rPr>
          <w:rFonts w:hint="eastAsia" w:ascii="宋体" w:hAnsi="宋体" w:eastAsia="宋体" w:cs="宋体"/>
          <w:b w:val="0"/>
          <w:bCs w:val="0"/>
          <w:spacing w:val="5"/>
          <w:lang w:val="en-US"/>
        </w:rPr>
        <w:t>现场调查与测量</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对重要保护对象、水库、山塘、堰坝、水闸、堤防、阻水构筑物等开展现场调查。对缺少断面或断面不满足要求的河段开展河道断面测量。河道断面平面布设在下列情况下应当加密：1）河道发生弯曲、转向、突然 展宽或者收缩；2）河段所在流域坡面差别较大；3）有堰坝等构筑物 改变局地河道地形的河段；4）保护对象（沿河村落、集镇）所在河段。河道横断面应当足够长，一般应到达河道两侧山脚和跨过沿河村落；高度至少应在山脚和沿河村落高程2m以上，以反映高程分布情况。断面测量间距应小于0.3km。为了有利于洪水影响分析工作的开展，当中小河流经过重要保护对象时，应加密测量河道两侧沿岸高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b w:val="0"/>
          <w:bCs w:val="0"/>
          <w:spacing w:val="5"/>
          <w:lang w:val="en-US" w:eastAsia="zh-CN"/>
        </w:rPr>
        <w:t>4.</w:t>
      </w:r>
      <w:r>
        <w:rPr>
          <w:rFonts w:hint="eastAsia" w:ascii="宋体" w:hAnsi="宋体" w:eastAsia="宋体" w:cs="宋体"/>
          <w:b w:val="0"/>
          <w:bCs w:val="0"/>
          <w:spacing w:val="5"/>
          <w:lang w:val="en-US"/>
        </w:rPr>
        <w:t>洪水演进模拟</w:t>
      </w:r>
      <w:r>
        <w:rPr>
          <w:rFonts w:hint="eastAsia" w:ascii="宋体" w:hAnsi="宋体" w:eastAsia="宋体" w:cs="宋体"/>
          <w:spacing w:val="5"/>
          <w:lang w:val="en-US"/>
        </w:rPr>
        <w:t xml:space="preserve"> </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采用实测断面，考虑重要水利工程影响，采用一维非恒定流模拟河道洪水演进过程，并采用近期实测洪水资料进行率定验证，无实测洪水资料的可移用相似流域模型参数。</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采用5年、10年、20年、50年、100年一遇5种典型频率，开展典型频率洪水模拟计算；对于有库闸坝等防洪工程的河段，需进行超标准洪水分析。计算边界条件可基于全省中小流域洪水频率图进行计算，或采用推理公式、瞬时单位线或分布式水文模型等方法推求设计洪水，并考虑干支流、上下游影响，必要时进行洪水遭遇分析。</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5.</w:t>
      </w:r>
      <w:r>
        <w:rPr>
          <w:rFonts w:hint="eastAsia" w:ascii="宋体" w:hAnsi="宋体" w:eastAsia="宋体" w:cs="宋体"/>
          <w:b w:val="0"/>
          <w:bCs w:val="0"/>
          <w:spacing w:val="5"/>
          <w:lang w:val="en-US"/>
        </w:rPr>
        <w:t>洪水淹没分析</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通过洪水分析计算的洪水水面线，结合历史水灾及局地地形等资料和DEM数据，运用GIS技术，获取洪水淹没范围信息。淹没水深图网格密度不低于30m×30m。</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结合承灾体调查成果，统计分析洪水影响的集镇、村庄、人口；划定转移路线及临时安置地点。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b w:val="0"/>
          <w:bCs w:val="0"/>
          <w:spacing w:val="5"/>
          <w:lang w:val="en-US" w:eastAsia="zh-CN"/>
        </w:rPr>
        <w:t>6.</w:t>
      </w:r>
      <w:r>
        <w:rPr>
          <w:rFonts w:hint="eastAsia" w:ascii="宋体" w:hAnsi="宋体" w:eastAsia="宋体" w:cs="宋体"/>
          <w:b w:val="0"/>
          <w:bCs w:val="0"/>
          <w:spacing w:val="5"/>
          <w:lang w:val="en-US"/>
        </w:rPr>
        <w:t>洪水淹没图绘制</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中小河流洪水淹没图图式应符合《防汛抗旱用图图式》（SL73.7-2013）等行业和相关地图及测绘的标准要求，包括基础信息、核心信息和辅助信息3类。各类信息主要包括：</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基础信息：河流名称及代码、遥感底图信息，行政区划、居民区范围、危险区、控制断面、河流流向、对象在县级行政区的空间位置。</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核心信息：各典型频率或超标准洪水淹没范围信息；转移路线及临时安置地点；编制说明：采用的数据、分析方法以及风险情景（含流域基本情况、设计暴雨、设计洪水、库闸坝工程调洪）等。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辅助信息：保护对象在全流域的地理位置；编制单位、编制时间；图名、图例、比例尺、指北针等。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33" w:name="_Toc30127"/>
      <w:bookmarkStart w:id="434" w:name="_Toc9250"/>
      <w:bookmarkStart w:id="435" w:name="_Toc12682"/>
      <w:bookmarkStart w:id="436" w:name="_Toc17404"/>
      <w:bookmarkStart w:id="437" w:name="_Toc6277"/>
      <w:bookmarkStart w:id="438" w:name="_Toc3380"/>
      <w:r>
        <w:rPr>
          <w:rFonts w:hint="eastAsia" w:ascii="宋体" w:hAnsi="宋体" w:eastAsia="宋体" w:cs="宋体"/>
          <w:spacing w:val="5"/>
          <w:lang w:val="en-US" w:eastAsia="zh-CN"/>
        </w:rPr>
        <w:t>2.1.3.1.3 成果要求</w:t>
      </w:r>
      <w:bookmarkEnd w:id="433"/>
      <w:bookmarkEnd w:id="434"/>
      <w:bookmarkEnd w:id="435"/>
      <w:bookmarkEnd w:id="436"/>
      <w:bookmarkEnd w:id="437"/>
      <w:bookmarkEnd w:id="438"/>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1.兰溪市梅溪不同洪水频率（5年、10年、20年、50年、100年一遇或标准）洪水淹没范围图；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2.《兰溪市梅溪洪水淹没图编制报告》。</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39" w:name="_Toc25503"/>
      <w:bookmarkStart w:id="440" w:name="_Toc7243"/>
      <w:bookmarkStart w:id="441" w:name="_Toc2706"/>
      <w:bookmarkStart w:id="442" w:name="_Toc20458"/>
      <w:bookmarkStart w:id="443" w:name="_Toc31450"/>
      <w:bookmarkStart w:id="444" w:name="_Toc30111"/>
      <w:bookmarkStart w:id="445" w:name="_Toc20385"/>
      <w:bookmarkStart w:id="446" w:name="_Toc14491"/>
      <w:r>
        <w:rPr>
          <w:rFonts w:hint="eastAsia" w:ascii="宋体" w:hAnsi="宋体" w:eastAsia="宋体" w:cs="宋体"/>
          <w:spacing w:val="5"/>
          <w:lang w:val="en-US" w:eastAsia="zh-CN"/>
        </w:rPr>
        <w:t>2.1.4 其他</w:t>
      </w:r>
      <w:bookmarkEnd w:id="439"/>
      <w:bookmarkEnd w:id="440"/>
      <w:bookmarkEnd w:id="441"/>
      <w:bookmarkEnd w:id="442"/>
      <w:bookmarkEnd w:id="443"/>
      <w:bookmarkEnd w:id="444"/>
      <w:bookmarkEnd w:id="445"/>
      <w:bookmarkEnd w:id="446"/>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根据兰溪实际增加的任务如下：兰溪市水旱灾害风险普查培训和编制兰溪市水旱灾害风险普查成果报告。</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2.1.4.1 兰溪市水旱灾害风险普查培训</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兰溪市</w:t>
      </w:r>
      <w:r>
        <w:rPr>
          <w:rFonts w:hint="eastAsia" w:ascii="宋体" w:hAnsi="宋体" w:eastAsia="宋体" w:cs="宋体"/>
          <w:spacing w:val="5"/>
          <w:lang w:val="en-US"/>
        </w:rPr>
        <w:t>水旱灾害风险普查是一项为</w:t>
      </w:r>
      <w:r>
        <w:rPr>
          <w:rFonts w:hint="eastAsia" w:ascii="宋体" w:hAnsi="宋体" w:eastAsia="宋体" w:cs="宋体"/>
          <w:spacing w:val="5"/>
          <w:lang w:val="en-US" w:eastAsia="zh-CN"/>
        </w:rPr>
        <w:t>兰溪</w:t>
      </w:r>
      <w:r>
        <w:rPr>
          <w:rFonts w:hint="eastAsia" w:ascii="宋体" w:hAnsi="宋体" w:eastAsia="宋体" w:cs="宋体"/>
          <w:spacing w:val="5"/>
          <w:lang w:val="en-US"/>
        </w:rPr>
        <w:t>各</w:t>
      </w:r>
      <w:r>
        <w:rPr>
          <w:rFonts w:hint="eastAsia" w:ascii="宋体" w:hAnsi="宋体" w:eastAsia="宋体" w:cs="宋体"/>
          <w:spacing w:val="5"/>
          <w:lang w:val="en-US" w:eastAsia="zh-CN"/>
        </w:rPr>
        <w:t>部门</w:t>
      </w:r>
      <w:r>
        <w:rPr>
          <w:rFonts w:hint="eastAsia" w:ascii="宋体" w:hAnsi="宋体" w:eastAsia="宋体" w:cs="宋体"/>
          <w:spacing w:val="5"/>
          <w:lang w:val="en-US"/>
        </w:rPr>
        <w:t>有效开展水旱灾害防治和应急管理工作、切实保障社会经济可持续发展提供权威的灾害风险信息和科学决策依据的调查项目，在项目实施之前和实施过程中对项目管理人员、技术人员和普查员开展培训工作，是保障普查工作质量的前提和基础。</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2.1.4.1.1 培训目标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水旱灾害风险普查培训工作是准备阶段和实施阶段的重要环节， 通过系统性、开放式、模块化的培训，达到以下目标：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1.</w:t>
      </w:r>
      <w:r>
        <w:rPr>
          <w:rFonts w:hint="eastAsia" w:ascii="宋体" w:hAnsi="宋体" w:eastAsia="宋体" w:cs="宋体"/>
          <w:spacing w:val="5"/>
          <w:lang w:val="en-US"/>
        </w:rPr>
        <w:t>使相关参与人员深刻认识水旱灾害风险普查工作的重要性，增强参与人员的责任性和使命感。</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2.</w:t>
      </w:r>
      <w:r>
        <w:rPr>
          <w:rFonts w:hint="eastAsia" w:ascii="宋体" w:hAnsi="宋体" w:eastAsia="宋体" w:cs="宋体"/>
          <w:spacing w:val="5"/>
          <w:lang w:val="en-US"/>
        </w:rPr>
        <w:t>使相关参与人员深入了解风险普查的目标、主要任务、普查的范围、内容以及主要的技术路线，掌握普查工作各项任务的工作流程、步骤、技术方法、质量控制方法以及成果汇交形式。</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3.</w:t>
      </w:r>
      <w:r>
        <w:rPr>
          <w:rFonts w:hint="eastAsia" w:ascii="宋体" w:hAnsi="宋体" w:eastAsia="宋体" w:cs="宋体"/>
          <w:spacing w:val="5"/>
          <w:lang w:val="en-US"/>
        </w:rPr>
        <w:t>使相关参与人员获得持续性的培训和反馈，建设一支专业、高效、文明的普查队伍，为</w:t>
      </w:r>
      <w:r>
        <w:rPr>
          <w:rFonts w:hint="eastAsia" w:ascii="宋体" w:hAnsi="宋体" w:eastAsia="宋体" w:cs="宋体"/>
          <w:spacing w:val="5"/>
          <w:lang w:val="en-US" w:eastAsia="zh-CN"/>
        </w:rPr>
        <w:t>兰溪市</w:t>
      </w:r>
      <w:r>
        <w:rPr>
          <w:rFonts w:hint="eastAsia" w:ascii="宋体" w:hAnsi="宋体" w:eastAsia="宋体" w:cs="宋体"/>
          <w:spacing w:val="5"/>
          <w:lang w:val="en-US"/>
        </w:rPr>
        <w:t>水旱灾害风险普查项目顺利开展提供人员保障和技术支撑。</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2.1.4.1.2 培训对象</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兰溪市</w:t>
      </w:r>
      <w:r>
        <w:rPr>
          <w:rFonts w:hint="eastAsia" w:ascii="宋体" w:hAnsi="宋体" w:eastAsia="宋体" w:cs="宋体"/>
          <w:spacing w:val="5"/>
          <w:lang w:val="en-US"/>
        </w:rPr>
        <w:t>及以下的普查指导员和普查员；其他与普查工作密切相关的各部门工作人员。</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 xml:space="preserve">2.1.4.1.3 </w:t>
      </w:r>
      <w:r>
        <w:rPr>
          <w:rFonts w:hint="eastAsia" w:ascii="宋体" w:hAnsi="宋体" w:eastAsia="宋体" w:cs="宋体"/>
          <w:spacing w:val="5"/>
          <w:lang w:val="en-US"/>
        </w:rPr>
        <w:t>培训方式</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培训采用现场培训形式。现场培训期间以集中面授为主，辅以课件等多媒体手段，授课时要有实际案例模拟；通过培训保证所有参加培训的人员都能熟练掌握相关普查内容和技术方法。建立培训工作群，提供问题咨询，线上答疑和课程讨论等技术支撑服务。</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2.1.4.1.4 培训内容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培训内容主要包括水旱灾害普查工作方案、水旱灾害致灾调查与评估、重点隐患调查与评估、水旱灾害风险评估与区划等相关内容和技术要求讲解。</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1.</w:t>
      </w:r>
      <w:r>
        <w:rPr>
          <w:rFonts w:hint="eastAsia" w:ascii="宋体" w:hAnsi="宋体" w:eastAsia="宋体" w:cs="宋体"/>
          <w:b w:val="0"/>
          <w:bCs w:val="0"/>
          <w:spacing w:val="5"/>
          <w:lang w:val="en-US"/>
        </w:rPr>
        <w:t>水旱灾害风险普查实施方案讲解</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水旱灾害普查工作背景、目标任务、组织方式、时间进度、成果要求、保障措施等内容。</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2.</w:t>
      </w:r>
      <w:r>
        <w:rPr>
          <w:rFonts w:hint="eastAsia" w:ascii="宋体" w:hAnsi="宋体" w:eastAsia="宋体" w:cs="宋体"/>
          <w:b w:val="0"/>
          <w:bCs w:val="0"/>
          <w:spacing w:val="5"/>
          <w:lang w:val="en-US"/>
        </w:rPr>
        <w:t>水旱灾害致灾调查与评估技术要点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讲解干旱灾害致灾调查与风险性评估技术要点等内容，重点针对</w:t>
      </w:r>
      <w:r>
        <w:rPr>
          <w:rFonts w:hint="eastAsia" w:ascii="宋体" w:hAnsi="宋体" w:eastAsia="宋体" w:cs="宋体"/>
          <w:spacing w:val="5"/>
          <w:lang w:val="en-US" w:eastAsia="zh-CN"/>
        </w:rPr>
        <w:t>兰溪市</w:t>
      </w:r>
      <w:r>
        <w:rPr>
          <w:rFonts w:hint="eastAsia" w:ascii="宋体" w:hAnsi="宋体" w:eastAsia="宋体" w:cs="宋体"/>
          <w:spacing w:val="5"/>
          <w:lang w:val="en-US"/>
        </w:rPr>
        <w:t>需完成的干旱灾害致灾调查工作内容。</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rPr>
      </w:pPr>
      <w:r>
        <w:rPr>
          <w:rFonts w:hint="eastAsia" w:ascii="宋体" w:hAnsi="宋体" w:eastAsia="宋体" w:cs="宋体"/>
          <w:b w:val="0"/>
          <w:bCs w:val="0"/>
          <w:spacing w:val="5"/>
          <w:lang w:val="en-US" w:eastAsia="zh-CN"/>
        </w:rPr>
        <w:t>3.</w:t>
      </w:r>
      <w:r>
        <w:rPr>
          <w:rFonts w:hint="eastAsia" w:ascii="宋体" w:hAnsi="宋体" w:eastAsia="宋体" w:cs="宋体"/>
          <w:b w:val="0"/>
          <w:bCs w:val="0"/>
          <w:spacing w:val="5"/>
          <w:lang w:val="en-US"/>
        </w:rPr>
        <w:t>重点隐患调查与评估技术要点</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讲解水库、水闸、堤防等不同隐患调查表填报以及分析评估要求；介绍山丘区重点集镇山洪风险调查评估、中小河流洪水淹没图编制的工作内容与技术要求。</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2.1.4.1.5 成果要求</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培训签到单；</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培训会议流程；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培训现场照片。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2.1.4.2 编制兰溪市水旱灾害风险普查成果报告</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根据兰溪市水旱灾害普查的成果编制《兰溪市水旱灾害风险普查成果报告》</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47" w:name="_Toc6593"/>
      <w:bookmarkStart w:id="448" w:name="_Toc3213"/>
      <w:bookmarkStart w:id="449" w:name="_Toc15276"/>
      <w:bookmarkStart w:id="450" w:name="_Toc30622"/>
      <w:bookmarkStart w:id="451" w:name="_Toc6378"/>
      <w:bookmarkStart w:id="452" w:name="_Toc19065"/>
      <w:bookmarkStart w:id="453" w:name="_Toc16803"/>
      <w:bookmarkStart w:id="454" w:name="_Toc16720"/>
      <w:bookmarkStart w:id="455" w:name="_Toc17059"/>
      <w:bookmarkStart w:id="456" w:name="_Toc16279"/>
      <w:bookmarkStart w:id="457" w:name="_Toc28717"/>
      <w:bookmarkStart w:id="458" w:name="_Toc22367"/>
      <w:bookmarkStart w:id="459" w:name="_Toc6843"/>
      <w:bookmarkStart w:id="460" w:name="_Toc20273"/>
      <w:bookmarkStart w:id="461" w:name="_Toc7932"/>
      <w:bookmarkStart w:id="462" w:name="_Toc15481"/>
      <w:bookmarkStart w:id="463" w:name="_Toc4318"/>
      <w:bookmarkStart w:id="464" w:name="_Toc81"/>
      <w:bookmarkStart w:id="465" w:name="_Toc24398"/>
      <w:r>
        <w:rPr>
          <w:rFonts w:hint="eastAsia" w:ascii="宋体" w:hAnsi="宋体" w:eastAsia="宋体" w:cs="宋体"/>
          <w:spacing w:val="5"/>
          <w:lang w:val="en-US" w:eastAsia="zh-CN"/>
        </w:rPr>
        <w:t>2.2 山洪灾害防治</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根据《浙江省水利厅关于做好2021年度山洪灾害防御工作的通知》（浙水灾防〔2021〕4号）和《金华市水利局关于下发2021年度各县（市、区）山洪灾害防治项目工作任务量的通知》（2021年6月），结合兰溪实际情况山洪灾害防治工作任务清单如表3-5：</w:t>
      </w:r>
    </w:p>
    <w:p>
      <w:pPr>
        <w:pStyle w:val="10"/>
        <w:spacing w:before="110" w:line="338" w:lineRule="auto"/>
        <w:ind w:right="603" w:firstLine="622" w:firstLineChars="283"/>
        <w:jc w:val="center"/>
        <w:rPr>
          <w:rFonts w:hint="default"/>
          <w:highlight w:val="none"/>
          <w:lang w:val="en-US" w:eastAsia="zh-CN"/>
        </w:rPr>
      </w:pPr>
      <w:r>
        <w:rPr>
          <w:rFonts w:hint="eastAsia" w:ascii="宋体" w:hAnsi="宋体" w:eastAsia="宋体" w:cs="宋体"/>
          <w:spacing w:val="5"/>
          <w:lang w:val="en-US" w:eastAsia="zh-CN"/>
        </w:rPr>
        <w:t>表3-5  兰溪市2021年度山洪灾害防治项目工作任务清单表</w:t>
      </w:r>
    </w:p>
    <w:tbl>
      <w:tblPr>
        <w:tblStyle w:val="16"/>
        <w:tblW w:w="4991" w:type="pct"/>
        <w:tblInd w:w="0" w:type="dxa"/>
        <w:shd w:val="clear" w:color="auto" w:fill="auto"/>
        <w:tblLayout w:type="autofit"/>
        <w:tblCellMar>
          <w:top w:w="0" w:type="dxa"/>
          <w:left w:w="0" w:type="dxa"/>
          <w:bottom w:w="0" w:type="dxa"/>
          <w:right w:w="0" w:type="dxa"/>
        </w:tblCellMar>
      </w:tblPr>
      <w:tblGrid>
        <w:gridCol w:w="1807"/>
        <w:gridCol w:w="2863"/>
        <w:gridCol w:w="1543"/>
        <w:gridCol w:w="927"/>
        <w:gridCol w:w="1946"/>
      </w:tblGrid>
      <w:tr>
        <w:tblPrEx>
          <w:shd w:val="clear" w:color="auto" w:fill="auto"/>
          <w:tblCellMar>
            <w:top w:w="0" w:type="dxa"/>
            <w:left w:w="0" w:type="dxa"/>
            <w:bottom w:w="0" w:type="dxa"/>
            <w:right w:w="0" w:type="dxa"/>
          </w:tblCellMar>
        </w:tblPrEx>
        <w:trPr>
          <w:trHeight w:val="567" w:hRule="exact"/>
          <w:tblHeader/>
        </w:trPr>
        <w:tc>
          <w:tcPr>
            <w:tcW w:w="9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cs="宋体"/>
                <w:b/>
                <w:bCs w:val="0"/>
                <w:i w:val="0"/>
                <w:color w:val="000000"/>
                <w:kern w:val="0"/>
                <w:sz w:val="21"/>
                <w:szCs w:val="21"/>
                <w:highlight w:val="none"/>
                <w:u w:val="none"/>
                <w:lang w:val="en-US" w:eastAsia="zh-CN" w:bidi="ar"/>
              </w:rPr>
              <w:t>任务</w:t>
            </w: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cs="宋体"/>
                <w:b/>
                <w:bCs w:val="0"/>
                <w:i w:val="0"/>
                <w:color w:val="000000"/>
                <w:kern w:val="0"/>
                <w:sz w:val="21"/>
                <w:szCs w:val="21"/>
                <w:highlight w:val="none"/>
                <w:u w:val="none"/>
                <w:lang w:val="en-US" w:eastAsia="zh-CN" w:bidi="ar"/>
              </w:rPr>
              <w:t>子任务</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cs="宋体"/>
                <w:b/>
                <w:bCs w:val="0"/>
                <w:i w:val="0"/>
                <w:color w:val="000000"/>
                <w:kern w:val="0"/>
                <w:sz w:val="21"/>
                <w:szCs w:val="21"/>
                <w:highlight w:val="none"/>
                <w:u w:val="none"/>
                <w:lang w:val="en-US" w:eastAsia="zh-CN" w:bidi="ar"/>
              </w:rPr>
              <w:t>单位</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cs="宋体"/>
                <w:b/>
                <w:bCs w:val="0"/>
                <w:i w:val="0"/>
                <w:color w:val="000000"/>
                <w:kern w:val="0"/>
                <w:sz w:val="21"/>
                <w:szCs w:val="21"/>
                <w:highlight w:val="none"/>
                <w:u w:val="none"/>
                <w:lang w:val="en-US" w:eastAsia="zh-CN" w:bidi="ar"/>
              </w:rPr>
              <w:t>数量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cs="宋体"/>
                <w:b/>
                <w:bCs w:val="0"/>
                <w:i w:val="0"/>
                <w:color w:val="000000"/>
                <w:kern w:val="0"/>
                <w:sz w:val="21"/>
                <w:szCs w:val="21"/>
                <w:highlight w:val="none"/>
                <w:u w:val="none"/>
                <w:lang w:val="en-US" w:eastAsia="zh-CN" w:bidi="ar"/>
              </w:rPr>
            </w:pPr>
            <w:r>
              <w:rPr>
                <w:rFonts w:hint="eastAsia" w:cs="宋体"/>
                <w:b/>
                <w:bCs w:val="0"/>
                <w:i w:val="0"/>
                <w:color w:val="000000"/>
                <w:kern w:val="0"/>
                <w:sz w:val="21"/>
                <w:szCs w:val="21"/>
                <w:highlight w:val="none"/>
                <w:u w:val="none"/>
                <w:lang w:val="en-US" w:eastAsia="zh-CN" w:bidi="ar"/>
              </w:rPr>
              <w:t>备注</w:t>
            </w:r>
          </w:p>
        </w:tc>
      </w:tr>
      <w:tr>
        <w:tblPrEx>
          <w:tblCellMar>
            <w:top w:w="0" w:type="dxa"/>
            <w:left w:w="0" w:type="dxa"/>
            <w:bottom w:w="0" w:type="dxa"/>
            <w:right w:w="0" w:type="dxa"/>
          </w:tblCellMar>
        </w:tblPrEx>
        <w:trPr>
          <w:trHeight w:val="900" w:hRule="exact"/>
        </w:trPr>
        <w:tc>
          <w:tcPr>
            <w:tcW w:w="9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补充调查评价</w:t>
            </w: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重点集镇调查评价</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集镇数（个）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此项内容在洪水灾害隐患调查与评估已经开展</w:t>
            </w:r>
          </w:p>
        </w:tc>
      </w:tr>
      <w:tr>
        <w:tblPrEx>
          <w:tblCellMar>
            <w:top w:w="0" w:type="dxa"/>
            <w:left w:w="0" w:type="dxa"/>
            <w:bottom w:w="0" w:type="dxa"/>
            <w:right w:w="0" w:type="dxa"/>
          </w:tblCellMar>
        </w:tblPrEx>
        <w:trPr>
          <w:trHeight w:val="567" w:hRule="exact"/>
        </w:trPr>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重点城镇调查评价</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城镇数（个）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兰溪市全域</w:t>
            </w:r>
          </w:p>
        </w:tc>
      </w:tr>
      <w:tr>
        <w:tblPrEx>
          <w:tblCellMar>
            <w:top w:w="0" w:type="dxa"/>
            <w:left w:w="0" w:type="dxa"/>
            <w:bottom w:w="0" w:type="dxa"/>
            <w:right w:w="0" w:type="dxa"/>
          </w:tblCellMar>
        </w:tblPrEx>
        <w:trPr>
          <w:trHeight w:val="947" w:hRule="exact"/>
        </w:trPr>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其</w:t>
            </w:r>
            <w:r>
              <w:rPr>
                <w:rFonts w:hint="eastAsia" w:ascii="宋体" w:hAnsi="宋体" w:eastAsia="宋体" w:cs="宋体"/>
                <w:i w:val="0"/>
                <w:color w:val="000000"/>
                <w:kern w:val="0"/>
                <w:sz w:val="21"/>
                <w:szCs w:val="21"/>
                <w:highlight w:val="none"/>
                <w:u w:val="none"/>
                <w:lang w:val="en-US" w:eastAsia="zh-CN" w:bidi="ar"/>
              </w:rPr>
              <w:t>余乡镇街道山丘区重点集镇山洪风险调查评估与复核评价</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集镇数（个）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9</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此项内容在洪水灾害隐患调查与评估已经开展</w:t>
            </w:r>
          </w:p>
        </w:tc>
      </w:tr>
      <w:tr>
        <w:tblPrEx>
          <w:tblCellMar>
            <w:top w:w="0" w:type="dxa"/>
            <w:left w:w="0" w:type="dxa"/>
            <w:bottom w:w="0" w:type="dxa"/>
            <w:right w:w="0" w:type="dxa"/>
          </w:tblCellMar>
        </w:tblPrEx>
        <w:trPr>
          <w:trHeight w:val="567" w:hRule="exact"/>
        </w:trPr>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沿河村落预警水位划定</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县数（个）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兰溪市全域</w:t>
            </w:r>
          </w:p>
        </w:tc>
      </w:tr>
      <w:tr>
        <w:tblPrEx>
          <w:tblCellMar>
            <w:top w:w="0" w:type="dxa"/>
            <w:left w:w="0" w:type="dxa"/>
            <w:bottom w:w="0" w:type="dxa"/>
            <w:right w:w="0" w:type="dxa"/>
          </w:tblCellMar>
        </w:tblPrEx>
        <w:trPr>
          <w:trHeight w:val="567" w:hRule="exact"/>
        </w:trPr>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危险区动态管理清单</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县数（个）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兰溪市全域</w:t>
            </w:r>
          </w:p>
        </w:tc>
      </w:tr>
      <w:tr>
        <w:tblPrEx>
          <w:tblCellMar>
            <w:top w:w="0" w:type="dxa"/>
            <w:left w:w="0" w:type="dxa"/>
            <w:bottom w:w="0" w:type="dxa"/>
            <w:right w:w="0" w:type="dxa"/>
          </w:tblCellMar>
        </w:tblPrEx>
        <w:trPr>
          <w:trHeight w:val="567" w:hRule="exact"/>
        </w:trPr>
        <w:tc>
          <w:tcPr>
            <w:tcW w:w="9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群测群防体系</w:t>
            </w: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cs="宋体"/>
                <w:i w:val="0"/>
                <w:color w:val="000000"/>
                <w:kern w:val="0"/>
                <w:sz w:val="21"/>
                <w:szCs w:val="21"/>
                <w:highlight w:val="none"/>
                <w:u w:val="none"/>
                <w:lang w:val="en-US" w:eastAsia="zh-CN" w:bidi="ar"/>
              </w:rPr>
              <w:t>山洪灾害防御指南</w:t>
            </w:r>
            <w:r>
              <w:rPr>
                <w:rFonts w:hint="eastAsia" w:ascii="宋体" w:hAnsi="宋体" w:eastAsia="宋体" w:cs="宋体"/>
                <w:i w:val="0"/>
                <w:color w:val="000000"/>
                <w:kern w:val="0"/>
                <w:sz w:val="21"/>
                <w:szCs w:val="21"/>
                <w:highlight w:val="none"/>
                <w:u w:val="none"/>
                <w:lang w:val="en-US" w:eastAsia="zh-CN" w:bidi="ar"/>
              </w:rPr>
              <w:t>编制</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县数（个）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兰溪市全域</w:t>
            </w:r>
          </w:p>
        </w:tc>
      </w:tr>
      <w:tr>
        <w:tblPrEx>
          <w:tblCellMar>
            <w:top w:w="0" w:type="dxa"/>
            <w:left w:w="0" w:type="dxa"/>
            <w:bottom w:w="0" w:type="dxa"/>
            <w:right w:w="0" w:type="dxa"/>
          </w:tblCellMar>
        </w:tblPrEx>
        <w:trPr>
          <w:trHeight w:val="664" w:hRule="exact"/>
        </w:trPr>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声光电预警设备</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数量（个）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根据兰溪实际增加至9个</w:t>
            </w:r>
          </w:p>
        </w:tc>
      </w:tr>
      <w:tr>
        <w:tblPrEx>
          <w:tblCellMar>
            <w:top w:w="0" w:type="dxa"/>
            <w:left w:w="0" w:type="dxa"/>
            <w:bottom w:w="0" w:type="dxa"/>
            <w:right w:w="0" w:type="dxa"/>
          </w:tblCellMar>
        </w:tblPrEx>
        <w:trPr>
          <w:trHeight w:val="567" w:hRule="exact"/>
        </w:trPr>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5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cs="宋体"/>
                <w:i w:val="0"/>
                <w:color w:val="000000"/>
                <w:kern w:val="0"/>
                <w:sz w:val="21"/>
                <w:szCs w:val="21"/>
                <w:highlight w:val="none"/>
                <w:u w:val="none"/>
                <w:lang w:val="en-US" w:eastAsia="zh-CN" w:bidi="ar"/>
              </w:rPr>
              <w:t>宣传、培训、演练</w:t>
            </w:r>
          </w:p>
        </w:tc>
        <w:tc>
          <w:tcPr>
            <w:tcW w:w="8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县数（个）</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兰溪市全域</w:t>
            </w:r>
          </w:p>
        </w:tc>
      </w:tr>
    </w:tbl>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bookmarkStart w:id="466" w:name="_Toc6962"/>
      <w:bookmarkStart w:id="467" w:name="_Toc23134"/>
      <w:bookmarkStart w:id="468" w:name="_Toc7020"/>
      <w:bookmarkStart w:id="469" w:name="_Toc7636"/>
      <w:bookmarkStart w:id="470" w:name="_Toc10126"/>
      <w:bookmarkStart w:id="471" w:name="_Toc31786"/>
      <w:bookmarkStart w:id="472" w:name="_Toc10911"/>
      <w:bookmarkStart w:id="473" w:name="_Toc2221"/>
      <w:bookmarkStart w:id="474" w:name="_Toc4416"/>
      <w:bookmarkStart w:id="475" w:name="_Toc5150"/>
      <w:bookmarkStart w:id="476" w:name="_Toc364"/>
      <w:bookmarkStart w:id="477" w:name="_Toc20591"/>
      <w:bookmarkStart w:id="478" w:name="_Toc6481"/>
      <w:r>
        <w:rPr>
          <w:rFonts w:hint="eastAsia" w:ascii="宋体" w:hAnsi="宋体" w:eastAsia="宋体" w:cs="宋体"/>
          <w:spacing w:val="5"/>
          <w:lang w:val="en-US" w:eastAsia="zh-CN"/>
        </w:rPr>
        <w:t>2.2.1 补充调查评价</w:t>
      </w:r>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479" w:name="_Toc22679"/>
      <w:bookmarkStart w:id="480" w:name="_Toc11110"/>
      <w:bookmarkStart w:id="481" w:name="_Toc5973"/>
      <w:bookmarkStart w:id="482" w:name="_Toc4338"/>
      <w:bookmarkStart w:id="483" w:name="_Toc3859"/>
      <w:bookmarkStart w:id="484" w:name="_Toc9119"/>
      <w:bookmarkStart w:id="485" w:name="_Toc30734"/>
      <w:bookmarkStart w:id="486" w:name="_Toc22807"/>
      <w:bookmarkStart w:id="487" w:name="_Toc4819"/>
      <w:bookmarkStart w:id="488" w:name="_Toc17298"/>
      <w:bookmarkStart w:id="489" w:name="_Toc7449"/>
      <w:bookmarkStart w:id="490" w:name="_Toc20898"/>
      <w:bookmarkStart w:id="491" w:name="_Toc20910"/>
      <w:bookmarkStart w:id="492" w:name="_Toc19877"/>
      <w:bookmarkStart w:id="493" w:name="_Toc26313"/>
      <w:bookmarkStart w:id="494" w:name="_Toc15100"/>
      <w:bookmarkStart w:id="495" w:name="_Toc31354"/>
      <w:bookmarkStart w:id="496" w:name="_Toc1029"/>
      <w:bookmarkStart w:id="497" w:name="_Toc27983"/>
      <w:bookmarkStart w:id="498" w:name="_Toc10815"/>
      <w:bookmarkStart w:id="499" w:name="_Toc10647"/>
      <w:bookmarkStart w:id="500" w:name="_Toc18636"/>
      <w:bookmarkStart w:id="501" w:name="_Toc22240"/>
      <w:bookmarkStart w:id="502" w:name="_Toc14432"/>
      <w:bookmarkStart w:id="503" w:name="_Toc31301"/>
      <w:bookmarkStart w:id="504" w:name="_Toc4607"/>
      <w:bookmarkStart w:id="505" w:name="_Toc932"/>
      <w:bookmarkStart w:id="506" w:name="_Toc21020"/>
      <w:bookmarkStart w:id="507" w:name="_Toc12958"/>
      <w:bookmarkStart w:id="508" w:name="_Toc23153"/>
      <w:bookmarkStart w:id="509" w:name="_Toc21072"/>
      <w:bookmarkStart w:id="510" w:name="_Toc20251"/>
      <w:bookmarkStart w:id="511" w:name="_Toc10018"/>
      <w:r>
        <w:rPr>
          <w:rFonts w:hint="eastAsia" w:ascii="宋体" w:hAnsi="宋体" w:eastAsia="宋体" w:cs="宋体"/>
          <w:spacing w:val="5"/>
          <w:lang w:val="en-US" w:eastAsia="zh-CN"/>
        </w:rPr>
        <w:t>2.2.1.1 山丘区重点城集镇山洪风险调查评估</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此项内容在洪水灾害隐患调查与评估已经开展。</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2.2.1.2 沿河村落预警水位划定</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根据“准备转移”和“立即转移”两个预警阈值，推定</w:t>
      </w:r>
      <w:r>
        <w:rPr>
          <w:rFonts w:hint="eastAsia" w:ascii="宋体" w:hAnsi="宋体" w:eastAsia="宋体" w:cs="宋体"/>
          <w:spacing w:val="5"/>
          <w:lang w:val="en-US" w:eastAsia="zh-CN"/>
        </w:rPr>
        <w:t>226个沿河</w:t>
      </w:r>
      <w:r>
        <w:rPr>
          <w:rFonts w:hint="eastAsia" w:ascii="宋体" w:hAnsi="宋体" w:eastAsia="宋体" w:cs="宋体"/>
          <w:spacing w:val="5"/>
          <w:lang w:val="en-US"/>
        </w:rPr>
        <w:t>山洪灾害防御重要村落</w:t>
      </w:r>
      <w:r>
        <w:rPr>
          <w:rFonts w:hint="eastAsia" w:ascii="宋体" w:hAnsi="宋体" w:eastAsia="宋体" w:cs="宋体"/>
          <w:spacing w:val="5"/>
          <w:lang w:val="en-US" w:eastAsia="zh-CN"/>
        </w:rPr>
        <w:t>（如</w:t>
      </w:r>
      <w:r>
        <w:rPr>
          <w:rFonts w:hint="eastAsia" w:ascii="宋体" w:hAnsi="宋体" w:eastAsia="宋体" w:cs="宋体"/>
          <w:spacing w:val="5"/>
          <w:lang w:val="en-US"/>
        </w:rPr>
        <w:t>表</w:t>
      </w:r>
      <w:r>
        <w:rPr>
          <w:rFonts w:hint="eastAsia" w:ascii="宋体" w:hAnsi="宋体" w:eastAsia="宋体" w:cs="宋体"/>
          <w:spacing w:val="5"/>
          <w:lang w:val="en-US" w:eastAsia="zh-CN"/>
        </w:rPr>
        <w:t>3</w:t>
      </w:r>
      <w:r>
        <w:rPr>
          <w:rFonts w:hint="eastAsia" w:ascii="宋体" w:hAnsi="宋体" w:eastAsia="宋体" w:cs="宋体"/>
          <w:spacing w:val="5"/>
          <w:lang w:val="en-US"/>
        </w:rPr>
        <w:t>-</w:t>
      </w:r>
      <w:r>
        <w:rPr>
          <w:rFonts w:hint="eastAsia" w:ascii="宋体" w:hAnsi="宋体" w:eastAsia="宋体" w:cs="宋体"/>
          <w:spacing w:val="5"/>
          <w:lang w:val="en-US" w:eastAsia="zh-CN"/>
        </w:rPr>
        <w:t>6）</w:t>
      </w:r>
      <w:r>
        <w:rPr>
          <w:rFonts w:hint="eastAsia" w:ascii="宋体" w:hAnsi="宋体" w:eastAsia="宋体" w:cs="宋体"/>
          <w:spacing w:val="5"/>
          <w:lang w:val="en-US"/>
        </w:rPr>
        <w:t>警戒水位和危急水位，</w:t>
      </w:r>
      <w:r>
        <w:rPr>
          <w:rFonts w:hint="eastAsia" w:ascii="宋体" w:hAnsi="宋体" w:eastAsia="宋体" w:cs="宋体"/>
          <w:spacing w:val="5"/>
          <w:lang w:val="en-US" w:eastAsia="zh-CN"/>
        </w:rPr>
        <w:t>安装水位尺（如图3-5）</w:t>
      </w:r>
      <w:r>
        <w:rPr>
          <w:rFonts w:hint="eastAsia" w:ascii="宋体" w:hAnsi="宋体" w:eastAsia="宋体" w:cs="宋体"/>
          <w:spacing w:val="5"/>
          <w:lang w:val="en-US"/>
        </w:rPr>
        <w:t>做出明显标志，以便监测。预警水位划定要求如下：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1）预警水位划定要综合考虑沿河重要村落所处河段河谷形态、洪水上涨速率、预警响应时间、站点位置、历史山洪灾害情况和附近居民生活生产环境等因素，在成灾水位基础上综合确定警戒和危急水位预警指标。</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（2）根据控制断面的设计洪水过程线，求得洪峰出现前30分钟对应的流量，由水位流量关系曲线获得对应危急水位；警戒水位在危急水位的基础上，再往前推30分钟。</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表</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兰溪市</w:t>
      </w:r>
      <w:r>
        <w:rPr>
          <w:rFonts w:hint="eastAsia" w:ascii="Times New Roman" w:hAnsi="Times New Roman" w:cs="Times New Roman"/>
          <w:color w:val="000000" w:themeColor="text1"/>
          <w:highlight w:val="none"/>
          <w14:textFill>
            <w14:solidFill>
              <w14:schemeClr w14:val="tx1"/>
            </w14:solidFill>
          </w14:textFill>
        </w:rPr>
        <w:t>山洪灾害防御重要沿河村落</w:t>
      </w:r>
    </w:p>
    <w:tbl>
      <w:tblPr>
        <w:tblStyle w:val="16"/>
        <w:tblW w:w="8451" w:type="dxa"/>
        <w:tblInd w:w="0" w:type="dxa"/>
        <w:shd w:val="clear" w:color="auto" w:fill="auto"/>
        <w:tblLayout w:type="fixed"/>
        <w:tblCellMar>
          <w:top w:w="0" w:type="dxa"/>
          <w:left w:w="0" w:type="dxa"/>
          <w:bottom w:w="0" w:type="dxa"/>
          <w:right w:w="0" w:type="dxa"/>
        </w:tblCellMar>
      </w:tblPr>
      <w:tblGrid>
        <w:gridCol w:w="920"/>
        <w:gridCol w:w="2071"/>
        <w:gridCol w:w="1980"/>
        <w:gridCol w:w="1605"/>
        <w:gridCol w:w="1875"/>
      </w:tblGrid>
      <w:tr>
        <w:tblPrEx>
          <w:shd w:val="clear" w:color="auto" w:fill="auto"/>
          <w:tblCellMar>
            <w:top w:w="0" w:type="dxa"/>
            <w:left w:w="0" w:type="dxa"/>
            <w:bottom w:w="0" w:type="dxa"/>
            <w:right w:w="0" w:type="dxa"/>
          </w:tblCellMar>
        </w:tblPrEx>
        <w:trPr>
          <w:trHeight w:val="425" w:hRule="exact"/>
          <w:tblHeader/>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i w:val="0"/>
                <w:color w:val="000000"/>
                <w:sz w:val="21"/>
                <w:szCs w:val="21"/>
                <w:highlight w:val="none"/>
                <w:u w:val="none"/>
              </w:rPr>
            </w:pPr>
            <w:r>
              <w:rPr>
                <w:rFonts w:hint="default" w:ascii="Times New Roman" w:hAnsi="Times New Roman" w:eastAsia="仿宋" w:cs="Times New Roman"/>
                <w:b/>
                <w:i w:val="0"/>
                <w:color w:val="000000"/>
                <w:kern w:val="0"/>
                <w:sz w:val="21"/>
                <w:szCs w:val="21"/>
                <w:highlight w:val="none"/>
                <w:u w:val="none"/>
                <w:lang w:val="en-US" w:eastAsia="zh-CN" w:bidi="ar"/>
              </w:rPr>
              <w:t>序号</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i w:val="0"/>
                <w:color w:val="000000"/>
                <w:sz w:val="21"/>
                <w:szCs w:val="21"/>
                <w:highlight w:val="none"/>
                <w:u w:val="none"/>
              </w:rPr>
            </w:pPr>
            <w:r>
              <w:rPr>
                <w:rFonts w:hint="default" w:ascii="Times New Roman" w:hAnsi="Times New Roman" w:eastAsia="仿宋" w:cs="Times New Roman"/>
                <w:b/>
                <w:i w:val="0"/>
                <w:color w:val="000000"/>
                <w:kern w:val="0"/>
                <w:sz w:val="21"/>
                <w:szCs w:val="21"/>
                <w:highlight w:val="none"/>
                <w:u w:val="none"/>
                <w:lang w:val="en-US" w:eastAsia="zh-CN" w:bidi="ar"/>
              </w:rPr>
              <w:t>乡（镇、街道）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i w:val="0"/>
                <w:color w:val="000000"/>
                <w:sz w:val="21"/>
                <w:szCs w:val="21"/>
                <w:highlight w:val="none"/>
                <w:u w:val="none"/>
              </w:rPr>
            </w:pPr>
            <w:r>
              <w:rPr>
                <w:rFonts w:hint="default" w:ascii="Times New Roman" w:hAnsi="Times New Roman" w:eastAsia="仿宋" w:cs="Times New Roman"/>
                <w:b/>
                <w:i w:val="0"/>
                <w:color w:val="000000"/>
                <w:kern w:val="0"/>
                <w:sz w:val="21"/>
                <w:szCs w:val="21"/>
                <w:highlight w:val="none"/>
                <w:u w:val="none"/>
                <w:lang w:val="en-US" w:eastAsia="zh-CN" w:bidi="ar"/>
              </w:rPr>
              <w:t>行政村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i w:val="0"/>
                <w:color w:val="000000"/>
                <w:sz w:val="21"/>
                <w:szCs w:val="21"/>
                <w:highlight w:val="none"/>
                <w:u w:val="none"/>
              </w:rPr>
            </w:pPr>
            <w:r>
              <w:rPr>
                <w:rFonts w:hint="default" w:ascii="Times New Roman" w:hAnsi="Times New Roman" w:eastAsia="仿宋" w:cs="Times New Roman"/>
                <w:b/>
                <w:i w:val="0"/>
                <w:color w:val="000000"/>
                <w:kern w:val="0"/>
                <w:sz w:val="21"/>
                <w:szCs w:val="21"/>
                <w:highlight w:val="none"/>
                <w:u w:val="none"/>
                <w:lang w:val="en-US" w:eastAsia="zh-CN" w:bidi="ar"/>
              </w:rPr>
              <w:t>自然村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i w:val="0"/>
                <w:color w:val="000000"/>
                <w:sz w:val="21"/>
                <w:szCs w:val="21"/>
                <w:highlight w:val="none"/>
                <w:u w:val="none"/>
              </w:rPr>
            </w:pPr>
            <w:r>
              <w:rPr>
                <w:rFonts w:hint="default" w:ascii="Times New Roman" w:hAnsi="Times New Roman" w:eastAsia="仿宋" w:cs="Times New Roman"/>
                <w:b/>
                <w:i w:val="0"/>
                <w:color w:val="000000"/>
                <w:kern w:val="0"/>
                <w:sz w:val="21"/>
                <w:szCs w:val="21"/>
                <w:highlight w:val="none"/>
                <w:u w:val="none"/>
                <w:lang w:val="en-US" w:eastAsia="zh-CN" w:bidi="ar"/>
              </w:rPr>
              <w:t>是否沿河</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sz w:val="21"/>
                <w:szCs w:val="21"/>
                <w:highlight w:val="none"/>
                <w:u w:val="none"/>
              </w:rPr>
            </w:pPr>
            <w:r>
              <w:rPr>
                <w:rFonts w:hint="default" w:ascii="Times New Roman" w:hAnsi="Times New Roman" w:eastAsia="仿宋" w:cs="Times New Roman"/>
                <w:i w:val="0"/>
                <w:color w:val="000000"/>
                <w:kern w:val="0"/>
                <w:sz w:val="21"/>
                <w:szCs w:val="21"/>
                <w:highlight w:val="none"/>
                <w:u w:val="none"/>
                <w:lang w:val="en-US" w:eastAsia="zh-CN" w:bidi="ar"/>
              </w:rPr>
              <w:t>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sz w:val="21"/>
                <w:szCs w:val="21"/>
                <w:highlight w:val="none"/>
                <w:u w:val="none"/>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sz w:val="21"/>
                <w:szCs w:val="21"/>
                <w:highlight w:val="none"/>
                <w:u w:val="none"/>
              </w:rPr>
            </w:pPr>
            <w:r>
              <w:rPr>
                <w:rFonts w:hint="default" w:ascii="Times New Roman" w:hAnsi="Times New Roman" w:eastAsia="仿宋" w:cs="Times New Roman"/>
                <w:i w:val="0"/>
                <w:color w:val="000000"/>
                <w:kern w:val="0"/>
                <w:sz w:val="21"/>
                <w:szCs w:val="21"/>
                <w:highlight w:val="none"/>
                <w:u w:val="none"/>
                <w:lang w:val="en-US" w:eastAsia="zh-CN" w:bidi="ar"/>
              </w:rPr>
              <w:t>白鸠村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sz w:val="21"/>
                <w:szCs w:val="21"/>
                <w:highlight w:val="none"/>
                <w:u w:val="none"/>
              </w:rPr>
            </w:pPr>
            <w:r>
              <w:rPr>
                <w:rFonts w:hint="default" w:ascii="Times New Roman" w:hAnsi="Times New Roman" w:eastAsia="仿宋" w:cs="Times New Roman"/>
                <w:i w:val="0"/>
                <w:color w:val="000000"/>
                <w:kern w:val="0"/>
                <w:sz w:val="21"/>
                <w:szCs w:val="21"/>
                <w:highlight w:val="none"/>
                <w:u w:val="none"/>
                <w:lang w:val="en-US" w:eastAsia="zh-CN" w:bidi="ar"/>
              </w:rPr>
              <w:t>白鸠</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sz w:val="21"/>
                <w:szCs w:val="21"/>
                <w:highlight w:val="none"/>
                <w:u w:val="none"/>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白鸠村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富村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白鸠村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岗岭下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白鸠村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米坑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白鸠村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百聚社村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柏树下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百聚社村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北舒村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何小坞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北舒村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桐树岗</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大厦院</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殿外</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麻车</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前半山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山门</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上马公须</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下马公须</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大厦口村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前湾山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方华垅村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全华垄</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洪塘里村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下大畈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洪塘里村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新塘边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凌塘村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里翁</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凌塘村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凌塘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凌塘村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毛竹山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凌塘村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田畈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岭口村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岭口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岭口村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岭下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岭口村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马分桥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桥头村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桥头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桥头村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下桥头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陈栗坞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大水堆</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石桥头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毛竹坞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毛竹坞口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倪宅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39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外方坞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水阁村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水阁</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水阁村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西坞口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何岭头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洪涧坞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贾李</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里方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屠宅村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年台口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屠宅村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屠宅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49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屠宅村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王园</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溪滩徐村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溪滩徐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澎坑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施坞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王村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下蒋坞村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羊干头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新里胡村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里胡</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孙下坞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59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芝园村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石塔头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芝园村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小垄</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钟王村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祠堂脚</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柏社乡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钟王村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台门下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赤溪街道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插口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赤溪街道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如来殿</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赤溪街道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赵家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赤溪街道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石龙头村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下洪溪</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赤溪街道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石龙头村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姓邵</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城头村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荷盘塘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69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城头村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凤凰村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枫树丘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凤凰村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凤凰村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里大斯</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凤凰村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凤凰村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外大斯</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国庆村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芦西</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国庆村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盘塘坞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施宅村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陈派宅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施宅村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施宅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79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双溪村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双溪口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宋宅村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宋宅村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宋宅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宋宅村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下溪前</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田畈周村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田畈周</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通津桥村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店坵</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通津桥村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通津桥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新联村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冷水湾</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新联村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上甲山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新联村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沈宅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89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新联村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下陈坞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新胜村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殿前金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新胜村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上街头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新胜村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王北山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新胜村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溪口店</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渔塘村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鱼塘下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虞街村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钱宅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横溪镇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虞街村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于街</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慈源村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下慈坞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大坞陈村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大坞陈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99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范宅村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柏树园</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范宅村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范宅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范宅村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何家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肥皂村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长连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甘溪村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甘溪</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佳泽坞村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塘下畈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佳泽坞村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刘家村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高丼</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刘家村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刘家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刘家村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夏唐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109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黄岙桥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蟠山村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上毛</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三峰殿口村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金钟</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三峰殿口村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樟坞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清塘畈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中和</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太平桥村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百步岩</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太平桥村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太平桥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桐山后金村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桐山后金村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119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桐山后金村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桐山后金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余粮山村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岭脚</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余粮山村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坞口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芝堰村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厦王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芝堰村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芝堰</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朱家村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张坞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黄店镇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朱家村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朱家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兰江街道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后陆村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桥头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兰江街道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姚村村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姚村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兰江街道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映月村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下江</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129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兰江街道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映月村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下陆门里</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八石溪村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八石溪</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八石溪村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庙后</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八石溪村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唐村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八石溪村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下田</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板桥村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潘村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板桥村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西溪</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洞源村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洞源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洞源村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梅坞口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甘露源村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甘露源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139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甘露源村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阮畈通</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龚塘村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麻车桥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杨青桥村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石关</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灵洞乡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杨青桥村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章宅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大丘田村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青条岭</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大二</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东方何村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东江畈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里尼</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汇溪村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大公殿前</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149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汇溪村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后潘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马五</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马一</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马坞村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穆澄源村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穆澄源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盘山口村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澄宅口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山峰村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红岩脚</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堰头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五丰村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大板桥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五星村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龙王殿</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159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西湖村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塘坞沿口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溪源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下杜村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下杜</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下庄村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社何</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下庄村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外月坞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下庄村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翁村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新塘源村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水库下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严宅村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塘上</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严宅村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塘下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169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姚塘下村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下青桥头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源口村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源口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马涧镇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云溪村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富竹坑</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朝阳村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前店</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朝阳村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西岩下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戴宅村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大溪干</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聚仁村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射头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刘源村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刘源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龙门村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半源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密溪岩村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白岩下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179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密溪岩村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叶坞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群声村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钱宅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群声村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下马源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群声村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岩下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潘宅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石埠村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石埠</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太阳岭脚村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桃源溪村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上龙</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桃源溪村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王沙溪</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团结村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岩下陈</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189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镇溪村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下马桥头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梅江镇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祝宅村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上（下）祝宅</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见坦村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见坦</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金家村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桥下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郎山村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坟头</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郎山村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郎山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郎山村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郎司坞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女埠街道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穆坞村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穆坞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水亭畲族乡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古塘村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古塘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199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水亭畲族乡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古塘村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乐塘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水亭畲族乡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古塘村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午塘殿</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水亭畲族乡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河伯村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河伯沿</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水亭畲族乡</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午塘新村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金塘口</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香溪镇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北山村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大里源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香溪镇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北山村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燕窝形</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香溪镇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北山村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姚郎</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香溪镇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北山村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正江桶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香溪镇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坑边村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坑边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永昌街道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东风村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隔溪</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209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永昌街道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东风村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两头门</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永昌街道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瑞溪村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桥下河</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永昌街道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瑞溪村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潭塘坞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东山项村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下谢</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范院坞村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街超范</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焦山村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坭桥</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金湖村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东莞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伍家圩村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前叶</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下王村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下章</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焦山村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上俞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219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游埠镇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焦山村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下俞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云山街道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白沙岭</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朱山</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云山街道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陈家井村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大屋基</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云山街道</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蒋里村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化里</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诸葛镇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双牌村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何岗</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诸葛镇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银塘村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处塘坞</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诸葛镇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银塘村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仁塘</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r>
        <w:tblPrEx>
          <w:tblCellMar>
            <w:top w:w="0" w:type="dxa"/>
            <w:left w:w="0" w:type="dxa"/>
            <w:bottom w:w="0" w:type="dxa"/>
            <w:right w:w="0" w:type="dxa"/>
          </w:tblCellMar>
        </w:tblPrEx>
        <w:trPr>
          <w:trHeight w:val="425" w:hRule="exac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226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诸葛镇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长乐村</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长乐</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val="0"/>
                <w:color w:val="000000"/>
                <w:kern w:val="0"/>
                <w:sz w:val="21"/>
                <w:szCs w:val="21"/>
                <w:highlight w:val="none"/>
                <w:u w:val="none"/>
                <w:lang w:val="en-US" w:eastAsia="zh-CN" w:bidi="ar"/>
              </w:rPr>
            </w:pPr>
            <w:r>
              <w:rPr>
                <w:rFonts w:hint="default" w:ascii="Times New Roman" w:hAnsi="Times New Roman" w:eastAsia="仿宋" w:cs="Times New Roman"/>
                <w:i w:val="0"/>
                <w:color w:val="000000"/>
                <w:kern w:val="0"/>
                <w:sz w:val="21"/>
                <w:szCs w:val="21"/>
                <w:highlight w:val="none"/>
                <w:u w:val="none"/>
                <w:lang w:val="en-US" w:eastAsia="zh-CN" w:bidi="ar"/>
              </w:rPr>
              <w:t>是</w:t>
            </w:r>
          </w:p>
        </w:tc>
      </w:tr>
    </w:tbl>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bookmarkStart w:id="512" w:name="_Toc7949"/>
      <w:bookmarkStart w:id="513" w:name="_Toc11038"/>
      <w:bookmarkStart w:id="514" w:name="_Toc23007"/>
      <w:bookmarkStart w:id="515" w:name="_Toc7444"/>
      <w:bookmarkStart w:id="516" w:name="_Toc12273"/>
      <w:bookmarkStart w:id="517" w:name="_Toc19502"/>
      <w:bookmarkStart w:id="518" w:name="_Toc23513"/>
      <w:bookmarkStart w:id="519" w:name="_Toc25862"/>
      <w:bookmarkStart w:id="520" w:name="_Toc18839"/>
      <w:bookmarkStart w:id="521" w:name="_Toc219"/>
      <w:bookmarkStart w:id="522" w:name="_Toc19125"/>
      <w:bookmarkStart w:id="523" w:name="_Toc22943"/>
      <w:bookmarkStart w:id="524" w:name="_Toc21155"/>
      <w:bookmarkStart w:id="525" w:name="_Toc16618"/>
      <w:bookmarkStart w:id="526" w:name="_Toc26030"/>
      <w:bookmarkStart w:id="527" w:name="_Toc18631"/>
      <w:bookmarkStart w:id="528" w:name="_Toc21503"/>
      <w:bookmarkStart w:id="529" w:name="_Toc28695"/>
      <w:r>
        <w:rPr>
          <w:rFonts w:hint="eastAsia" w:ascii="宋体" w:hAnsi="宋体" w:eastAsia="宋体" w:cs="宋体"/>
          <w:spacing w:val="5"/>
          <w:sz w:val="21"/>
          <w:szCs w:val="21"/>
          <w:lang w:val="en-US" w:eastAsia="zh-CN"/>
        </w:rPr>
        <w:t>备注：相关村落信息摘于</w:t>
      </w:r>
      <w:r>
        <w:rPr>
          <w:rFonts w:hint="eastAsia" w:ascii="宋体" w:hAnsi="宋体" w:eastAsia="宋体" w:cs="宋体"/>
          <w:b w:val="0"/>
          <w:bCs w:val="0"/>
          <w:spacing w:val="5"/>
          <w:sz w:val="21"/>
          <w:szCs w:val="21"/>
          <w:lang w:val="en-US" w:eastAsia="zh-CN"/>
        </w:rPr>
        <w:t>兰溪市2020年度山洪灾害防治</w:t>
      </w:r>
      <w:r>
        <w:rPr>
          <w:rFonts w:hint="eastAsia" w:ascii="宋体" w:hAnsi="宋体" w:eastAsia="宋体" w:cs="宋体"/>
          <w:b w:val="0"/>
          <w:bCs w:val="0"/>
          <w:i w:val="0"/>
          <w:caps w:val="0"/>
          <w:spacing w:val="5"/>
          <w:sz w:val="21"/>
          <w:szCs w:val="21"/>
          <w:shd w:val="clear"/>
          <w:lang w:val="en-US"/>
        </w:rPr>
        <w:t>（群测群防整体提升）项目</w:t>
      </w:r>
      <w:r>
        <w:rPr>
          <w:rFonts w:hint="eastAsia" w:ascii="宋体" w:hAnsi="宋体" w:eastAsia="宋体" w:cs="宋体"/>
          <w:b w:val="0"/>
          <w:bCs w:val="0"/>
          <w:i w:val="0"/>
          <w:caps w:val="0"/>
          <w:spacing w:val="5"/>
          <w:sz w:val="21"/>
          <w:szCs w:val="21"/>
          <w:shd w:val="clear"/>
          <w:lang w:val="en-US" w:eastAsia="zh-CN"/>
        </w:rPr>
        <w:t>。</w:t>
      </w: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p>
      <w:pPr>
        <w:pStyle w:val="10"/>
        <w:spacing w:before="110" w:line="338" w:lineRule="auto"/>
        <w:ind w:right="603" w:firstLine="622" w:firstLineChars="283"/>
        <w:jc w:val="both"/>
        <w:rPr>
          <w:rFonts w:hint="eastAsia" w:ascii="宋体" w:hAnsi="宋体" w:eastAsia="宋体" w:cs="宋体"/>
          <w:b w:val="0"/>
          <w:bCs w:val="0"/>
          <w:i w:val="0"/>
          <w:caps w:val="0"/>
          <w:spacing w:val="5"/>
          <w:sz w:val="21"/>
          <w:szCs w:val="21"/>
          <w:shd w:val="clear"/>
          <w:lang w:val="en-US" w:eastAsia="zh-CN"/>
        </w:rPr>
      </w:pPr>
    </w:p>
    <w:tbl>
      <w:tblPr>
        <w:tblStyle w:val="17"/>
        <w:tblpPr w:leftFromText="180" w:rightFromText="180" w:vertAnchor="text" w:horzAnchor="page" w:tblpX="3975" w:tblpY="3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865"/>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trPr>
        <w:tc>
          <w:tcPr>
            <w:tcW w:w="3841" w:type="dxa"/>
            <w:gridSpan w:val="2"/>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参数</w:t>
            </w:r>
          </w:p>
        </w:tc>
        <w:tc>
          <w:tcPr>
            <w:tcW w:w="12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exact"/>
        </w:trPr>
        <w:tc>
          <w:tcPr>
            <w:tcW w:w="976"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量程</w:t>
            </w:r>
          </w:p>
        </w:tc>
        <w:tc>
          <w:tcPr>
            <w:tcW w:w="28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2.0m</w:t>
            </w:r>
          </w:p>
        </w:tc>
        <w:tc>
          <w:tcPr>
            <w:tcW w:w="12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根据沿河村落实际情况调整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trPr>
        <w:tc>
          <w:tcPr>
            <w:tcW w:w="976"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宽</w:t>
            </w:r>
          </w:p>
        </w:tc>
        <w:tc>
          <w:tcPr>
            <w:tcW w:w="28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30cm</w:t>
            </w:r>
          </w:p>
        </w:tc>
        <w:tc>
          <w:tcPr>
            <w:tcW w:w="12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trPr>
        <w:tc>
          <w:tcPr>
            <w:tcW w:w="976"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颜色</w:t>
            </w:r>
          </w:p>
        </w:tc>
        <w:tc>
          <w:tcPr>
            <w:tcW w:w="28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红、黑</w:t>
            </w:r>
          </w:p>
        </w:tc>
        <w:tc>
          <w:tcPr>
            <w:tcW w:w="12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trPr>
        <w:tc>
          <w:tcPr>
            <w:tcW w:w="976"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材质</w:t>
            </w:r>
          </w:p>
        </w:tc>
        <w:tc>
          <w:tcPr>
            <w:tcW w:w="28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厚0.8mm不锈钢</w:t>
            </w:r>
          </w:p>
        </w:tc>
        <w:tc>
          <w:tcPr>
            <w:tcW w:w="12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exact"/>
        </w:trPr>
        <w:tc>
          <w:tcPr>
            <w:tcW w:w="976"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要求</w:t>
            </w:r>
          </w:p>
        </w:tc>
        <w:tc>
          <w:tcPr>
            <w:tcW w:w="2865" w:type="dxa"/>
            <w:vAlign w:val="center"/>
          </w:tcPr>
          <w:p>
            <w:pPr>
              <w:keepNext w:val="0"/>
              <w:keepLines w:val="0"/>
              <w:pageBreakBefore w:val="0"/>
              <w:widowControl w:val="0"/>
              <w:numPr>
                <w:ilvl w:val="0"/>
                <w:numId w:val="9"/>
              </w:numPr>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lang w:val="en-US" w:eastAsia="zh-CN"/>
              </w:rPr>
            </w:pPr>
            <w:r>
              <w:rPr>
                <w:rFonts w:hint="eastAsia"/>
                <w:lang w:val="en-US" w:eastAsia="zh-CN"/>
              </w:rPr>
              <w:t>经久耐用、永不褪色</w:t>
            </w:r>
          </w:p>
          <w:p>
            <w:pPr>
              <w:pStyle w:val="2"/>
              <w:keepNext w:val="0"/>
              <w:keepLines w:val="0"/>
              <w:pageBreakBefore w:val="0"/>
              <w:widowControl w:val="0"/>
              <w:numPr>
                <w:ilvl w:val="0"/>
                <w:numId w:val="9"/>
              </w:numPr>
              <w:kinsoku/>
              <w:wordWrap/>
              <w:overflowPunct/>
              <w:topLinePunct w:val="0"/>
              <w:bidi w:val="0"/>
              <w:adjustRightInd w:val="0"/>
              <w:snapToGrid w:val="0"/>
              <w:spacing w:after="0" w:line="240" w:lineRule="auto"/>
              <w:jc w:val="left"/>
              <w:rPr>
                <w:rFonts w:hint="default"/>
                <w:lang w:val="en-US" w:eastAsia="zh-CN"/>
              </w:rPr>
            </w:pPr>
            <w:r>
              <w:rPr>
                <w:rFonts w:hint="eastAsia"/>
                <w:lang w:val="en-US" w:eastAsia="zh-CN"/>
              </w:rPr>
              <w:t>安装牢靠，选择河段尽量减少阻水，能够经受山洪和漂浮物冲击；</w:t>
            </w:r>
          </w:p>
          <w:p>
            <w:pPr>
              <w:pStyle w:val="2"/>
              <w:keepNext w:val="0"/>
              <w:keepLines w:val="0"/>
              <w:pageBreakBefore w:val="0"/>
              <w:widowControl w:val="0"/>
              <w:numPr>
                <w:ilvl w:val="0"/>
                <w:numId w:val="9"/>
              </w:numPr>
              <w:kinsoku/>
              <w:wordWrap/>
              <w:overflowPunct/>
              <w:topLinePunct w:val="0"/>
              <w:bidi w:val="0"/>
              <w:adjustRightInd w:val="0"/>
              <w:snapToGrid w:val="0"/>
              <w:spacing w:after="0" w:line="240" w:lineRule="auto"/>
              <w:jc w:val="left"/>
              <w:rPr>
                <w:rFonts w:hint="default"/>
                <w:lang w:val="en-US" w:eastAsia="zh-CN"/>
              </w:rPr>
            </w:pPr>
            <w:r>
              <w:rPr>
                <w:rFonts w:hint="eastAsia"/>
                <w:lang w:val="en-US" w:eastAsia="zh-CN"/>
              </w:rPr>
              <w:t>水尺安装符合水文设施安装要求，测量高程准确。</w:t>
            </w:r>
          </w:p>
        </w:tc>
        <w:tc>
          <w:tcPr>
            <w:tcW w:w="1265" w:type="dxa"/>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val="0"/>
        <w:ind w:left="0" w:leftChars="0" w:firstLine="0" w:firstLineChars="0"/>
        <w:jc w:val="left"/>
        <w:textAlignment w:val="auto"/>
        <w:rPr>
          <w:rFonts w:hint="default"/>
          <w:vertAlign w:val="baseline"/>
          <w:lang w:val="en-US" w:eastAsia="zh-CN"/>
        </w:rPr>
      </w:pPr>
      <w:r>
        <w:rPr>
          <w:rFonts w:hint="eastAsia"/>
          <w:sz w:val="24"/>
          <w:szCs w:val="24"/>
          <w:vertAlign w:val="baseline"/>
          <w:lang w:val="en-US" w:eastAsia="zh-CN"/>
        </w:rPr>
        <w:drawing>
          <wp:inline distT="0" distB="0" distL="114300" distR="114300">
            <wp:extent cx="1193165" cy="3016250"/>
            <wp:effectExtent l="0" t="0" r="6985" b="12700"/>
            <wp:docPr id="2"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
                    <pic:cNvPicPr>
                      <a:picLocks noChangeAspect="1"/>
                    </pic:cNvPicPr>
                  </pic:nvPicPr>
                  <pic:blipFill>
                    <a:blip r:embed="rId20"/>
                    <a:stretch>
                      <a:fillRect/>
                    </a:stretch>
                  </pic:blipFill>
                  <pic:spPr>
                    <a:xfrm>
                      <a:off x="0" y="0"/>
                      <a:ext cx="1193165" cy="3016250"/>
                    </a:xfrm>
                    <a:prstGeom prst="rect">
                      <a:avLst/>
                    </a:prstGeom>
                  </pic:spPr>
                </pic:pic>
              </a:graphicData>
            </a:graphic>
          </wp:inline>
        </w:drawing>
      </w:r>
    </w:p>
    <w:p>
      <w:pPr>
        <w:pStyle w:val="10"/>
        <w:spacing w:before="110" w:line="338" w:lineRule="auto"/>
        <w:ind w:right="603" w:firstLine="622" w:firstLineChars="283"/>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图3-5水位尺示意</w:t>
      </w:r>
      <w:r>
        <w:rPr>
          <w:rFonts w:hint="eastAsia" w:cs="宋体"/>
          <w:spacing w:val="5"/>
          <w:lang w:val="en-US" w:eastAsia="zh-CN"/>
        </w:rPr>
        <w:t>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bookmarkStart w:id="530" w:name="_Toc9438"/>
      <w:bookmarkStart w:id="531" w:name="_Toc21306"/>
      <w:bookmarkStart w:id="532" w:name="_Toc5636"/>
      <w:bookmarkStart w:id="533" w:name="_Toc8685"/>
      <w:bookmarkStart w:id="534" w:name="_Toc14061"/>
      <w:bookmarkStart w:id="535" w:name="_Toc1205"/>
      <w:bookmarkStart w:id="536" w:name="_Toc15074"/>
      <w:bookmarkStart w:id="537" w:name="_Toc1045"/>
      <w:bookmarkStart w:id="538" w:name="_Toc12692"/>
      <w:bookmarkStart w:id="539" w:name="_Toc5043"/>
      <w:bookmarkStart w:id="540" w:name="_Toc9758"/>
      <w:bookmarkStart w:id="541" w:name="_Toc26638"/>
      <w:bookmarkStart w:id="542" w:name="_Toc31394"/>
      <w:bookmarkStart w:id="543" w:name="_Toc27759"/>
      <w:bookmarkStart w:id="544" w:name="_Toc29132"/>
      <w:r>
        <w:rPr>
          <w:rFonts w:hint="eastAsia" w:ascii="宋体" w:hAnsi="宋体" w:eastAsia="宋体" w:cs="宋体"/>
          <w:spacing w:val="5"/>
          <w:lang w:val="en-US" w:eastAsia="zh-CN"/>
        </w:rPr>
        <w:t>2.2.1.3 危险区动态管理清单编制</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bookmarkStart w:id="545" w:name="_Toc7362"/>
      <w:r>
        <w:rPr>
          <w:rFonts w:hint="eastAsia" w:ascii="宋体" w:hAnsi="宋体" w:eastAsia="宋体" w:cs="宋体"/>
          <w:b w:val="0"/>
          <w:bCs w:val="0"/>
          <w:spacing w:val="5"/>
          <w:lang w:val="en-US" w:eastAsia="zh-CN"/>
        </w:rPr>
        <w:t>1.工作内容</w:t>
      </w:r>
      <w:bookmarkEnd w:id="545"/>
    </w:p>
    <w:p>
      <w:pPr>
        <w:pStyle w:val="10"/>
        <w:adjustRightInd w:val="0"/>
        <w:snapToGrid w:val="0"/>
        <w:spacing w:before="0" w:line="360" w:lineRule="auto"/>
        <w:ind w:right="0" w:firstLine="440" w:firstLineChars="200"/>
        <w:jc w:val="both"/>
        <w:rPr>
          <w:rFonts w:hint="eastAsia" w:ascii="宋体" w:hAnsi="宋体" w:eastAsia="宋体" w:cs="宋体"/>
          <w:spacing w:val="5"/>
          <w:szCs w:val="21"/>
          <w:lang w:val="en-US"/>
        </w:rPr>
      </w:pPr>
      <w:r>
        <w:rPr>
          <w:rFonts w:hint="eastAsia" w:ascii="宋体" w:hAnsi="宋体" w:eastAsia="宋体" w:cs="宋体"/>
          <w:spacing w:val="5"/>
          <w:szCs w:val="21"/>
          <w:lang w:val="en-US"/>
        </w:rPr>
        <w:t>以已有调查评价成果为基础，结合补充调查和实际发生的山洪灾害事件，建立危险区动态管理清单，明确监测站点、预警指标、责任人等内容。</w:t>
      </w:r>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bookmarkStart w:id="546" w:name="_Toc31582"/>
      <w:r>
        <w:rPr>
          <w:rFonts w:hint="eastAsia" w:ascii="宋体" w:hAnsi="宋体" w:eastAsia="宋体" w:cs="宋体"/>
          <w:b w:val="0"/>
          <w:bCs w:val="0"/>
          <w:spacing w:val="5"/>
          <w:lang w:val="en-US" w:eastAsia="zh-CN"/>
        </w:rPr>
        <w:t>2.技术方法</w:t>
      </w:r>
      <w:bookmarkEnd w:id="546"/>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b w:val="0"/>
          <w:bCs w:val="0"/>
          <w:spacing w:val="5"/>
          <w:lang w:val="en-US" w:eastAsia="zh-CN"/>
        </w:rPr>
        <w:t>1）清单内容</w:t>
      </w:r>
    </w:p>
    <w:p>
      <w:pPr>
        <w:pStyle w:val="10"/>
        <w:adjustRightInd w:val="0"/>
        <w:snapToGrid w:val="0"/>
        <w:spacing w:before="0" w:line="360" w:lineRule="auto"/>
        <w:ind w:right="0" w:firstLine="440" w:firstLineChars="200"/>
        <w:jc w:val="both"/>
        <w:rPr>
          <w:rFonts w:hint="eastAsia" w:ascii="宋体" w:hAnsi="宋体" w:eastAsia="宋体" w:cs="宋体"/>
          <w:spacing w:val="5"/>
          <w:szCs w:val="21"/>
          <w:lang w:val="en-US"/>
        </w:rPr>
      </w:pPr>
      <w:r>
        <w:rPr>
          <w:rFonts w:hint="eastAsia" w:ascii="宋体" w:hAnsi="宋体" w:eastAsia="宋体" w:cs="宋体"/>
          <w:spacing w:val="5"/>
          <w:szCs w:val="21"/>
          <w:lang w:val="en-US"/>
        </w:rPr>
        <w:t>危险区清单包括危险区防御对象清单和危险区监测预警体系清单。危险区清单一般以行政村为单、危险区为单元。危险区单位应与社会管理单元相对应，可为自然村、社区、学校、医院、养老院、农家乐、景区、矿场、林场、施工工地等。</w:t>
      </w:r>
    </w:p>
    <w:p>
      <w:pPr>
        <w:adjustRightInd w:val="0"/>
        <w:snapToGrid w:val="0"/>
        <w:spacing w:line="360" w:lineRule="auto"/>
        <w:ind w:firstLine="460" w:firstLineChars="200"/>
        <w:jc w:val="left"/>
        <w:rPr>
          <w:rFonts w:hint="eastAsia" w:ascii="宋体" w:hAnsi="宋体" w:eastAsia="宋体" w:cs="宋体"/>
          <w:spacing w:val="5"/>
          <w:szCs w:val="21"/>
          <w:lang w:val="en-US"/>
        </w:rPr>
        <w:sectPr>
          <w:footerReference r:id="rId7" w:type="default"/>
          <w:type w:val="continuous"/>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spacing w:val="5"/>
          <w:szCs w:val="21"/>
          <w:lang w:val="en-US"/>
        </w:rPr>
        <w:t>危险区防御对象清单应包含但不限于：县（市、区）、乡镇（街道）、村组（社区）名称；危险区名称、风险等级、现状防洪能力；危险区居民户数、人口数、老弱妇幼及行动不便人口数；各户户主、责任人信息及联系电话。参见表</w:t>
      </w:r>
      <w:r>
        <w:rPr>
          <w:rFonts w:hint="eastAsia" w:ascii="宋体" w:hAnsi="宋体" w:eastAsia="宋体" w:cs="宋体"/>
          <w:spacing w:val="5"/>
          <w:szCs w:val="21"/>
          <w:lang w:val="en-US" w:eastAsia="zh-CN"/>
        </w:rPr>
        <w:t>3</w:t>
      </w:r>
      <w:r>
        <w:rPr>
          <w:rFonts w:hint="eastAsia" w:ascii="宋体" w:hAnsi="宋体" w:eastAsia="宋体" w:cs="宋体"/>
          <w:spacing w:val="5"/>
          <w:szCs w:val="21"/>
          <w:lang w:val="en-US"/>
        </w:rPr>
        <w:t>-</w:t>
      </w:r>
      <w:r>
        <w:rPr>
          <w:rFonts w:hint="eastAsia" w:ascii="宋体" w:hAnsi="宋体" w:eastAsia="宋体" w:cs="宋体"/>
          <w:spacing w:val="5"/>
          <w:szCs w:val="21"/>
          <w:lang w:val="en-US" w:eastAsia="zh-CN"/>
        </w:rPr>
        <w:t>7</w:t>
      </w:r>
      <w:r>
        <w:rPr>
          <w:rFonts w:hint="eastAsia" w:ascii="宋体" w:hAnsi="宋体" w:eastAsia="宋体" w:cs="宋体"/>
          <w:spacing w:val="5"/>
          <w:szCs w:val="21"/>
          <w:lang w:val="en-US"/>
        </w:rPr>
        <w:t>。危险区监测预警体系清单应包含但不限于：危险区名称、水雨情监测设施配置、预警阈值设定、临时避灾场所容纳能力等。参见表</w:t>
      </w:r>
      <w:r>
        <w:rPr>
          <w:rFonts w:hint="eastAsia" w:ascii="宋体" w:hAnsi="宋体" w:eastAsia="宋体" w:cs="宋体"/>
          <w:spacing w:val="5"/>
          <w:szCs w:val="21"/>
          <w:lang w:val="en-US" w:eastAsia="zh-CN"/>
        </w:rPr>
        <w:t>3</w:t>
      </w:r>
      <w:r>
        <w:rPr>
          <w:rFonts w:hint="eastAsia" w:ascii="宋体" w:hAnsi="宋体" w:eastAsia="宋体" w:cs="宋体"/>
          <w:spacing w:val="5"/>
          <w:szCs w:val="21"/>
          <w:lang w:val="en-US"/>
        </w:rPr>
        <w:t>-</w:t>
      </w:r>
      <w:r>
        <w:rPr>
          <w:rFonts w:hint="eastAsia" w:ascii="宋体" w:hAnsi="宋体" w:eastAsia="宋体" w:cs="宋体"/>
          <w:spacing w:val="5"/>
          <w:szCs w:val="21"/>
          <w:lang w:val="en-US" w:eastAsia="zh-CN"/>
        </w:rPr>
        <w:t>8</w:t>
      </w:r>
      <w:r>
        <w:rPr>
          <w:rFonts w:hint="eastAsia" w:ascii="宋体" w:hAnsi="宋体" w:eastAsia="宋体" w:cs="宋体"/>
          <w:spacing w:val="5"/>
          <w:szCs w:val="21"/>
          <w:lang w:val="en-US"/>
        </w:rPr>
        <w:t>。</w:t>
      </w:r>
    </w:p>
    <w:p>
      <w:pPr>
        <w:ind w:firstLine="562"/>
        <w:jc w:val="center"/>
        <w:rPr>
          <w:rFonts w:hint="default" w:ascii="Times New Roman" w:hAnsi="Times New Roman" w:eastAsia="仿宋" w:cs="Times New Roman"/>
          <w:b/>
          <w:highlight w:val="none"/>
        </w:rPr>
      </w:pPr>
      <w:r>
        <w:rPr>
          <w:rFonts w:hint="default" w:ascii="Times New Roman" w:hAnsi="Times New Roman" w:eastAsia="仿宋" w:cs="Times New Roman"/>
          <w:b/>
          <w:highlight w:val="none"/>
        </w:rPr>
        <w:t>表</w:t>
      </w:r>
      <w:r>
        <w:rPr>
          <w:rFonts w:hint="eastAsia" w:cs="Times New Roman"/>
          <w:b/>
          <w:highlight w:val="none"/>
          <w:lang w:val="en-US" w:eastAsia="zh-CN"/>
        </w:rPr>
        <w:t>3</w:t>
      </w:r>
      <w:r>
        <w:rPr>
          <w:rFonts w:hint="default" w:ascii="Times New Roman" w:hAnsi="Times New Roman" w:eastAsia="仿宋" w:cs="Times New Roman"/>
          <w:b/>
          <w:highlight w:val="none"/>
        </w:rPr>
        <w:t>-</w:t>
      </w:r>
      <w:r>
        <w:rPr>
          <w:rFonts w:hint="eastAsia" w:cs="Times New Roman"/>
          <w:b/>
          <w:highlight w:val="none"/>
          <w:lang w:val="en-US" w:eastAsia="zh-CN"/>
        </w:rPr>
        <w:t>7</w:t>
      </w:r>
      <w:r>
        <w:rPr>
          <w:rFonts w:hint="default" w:ascii="Times New Roman" w:hAnsi="Times New Roman" w:eastAsia="仿宋" w:cs="Times New Roman"/>
          <w:b/>
          <w:highlight w:val="none"/>
        </w:rPr>
        <w:t xml:space="preserve">  危险区防御对象清单表</w:t>
      </w:r>
    </w:p>
    <w:tbl>
      <w:tblPr>
        <w:tblStyle w:val="16"/>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61"/>
        <w:gridCol w:w="1060"/>
        <w:gridCol w:w="1590"/>
        <w:gridCol w:w="1060"/>
        <w:gridCol w:w="913"/>
        <w:gridCol w:w="913"/>
        <w:gridCol w:w="916"/>
        <w:gridCol w:w="1114"/>
        <w:gridCol w:w="1114"/>
        <w:gridCol w:w="1083"/>
        <w:gridCol w:w="689"/>
        <w:gridCol w:w="84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6" w:type="dxa"/>
            <w:gridSpan w:val="4"/>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行政区划</w:t>
            </w:r>
          </w:p>
        </w:tc>
        <w:tc>
          <w:tcPr>
            <w:tcW w:w="3802" w:type="dxa"/>
            <w:gridSpan w:val="4"/>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危险区单元</w:t>
            </w:r>
          </w:p>
        </w:tc>
        <w:tc>
          <w:tcPr>
            <w:tcW w:w="4844" w:type="dxa"/>
            <w:gridSpan w:val="5"/>
            <w:shd w:val="clear" w:color="auto" w:fill="auto"/>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防御对象</w:t>
            </w:r>
          </w:p>
        </w:tc>
        <w:tc>
          <w:tcPr>
            <w:tcW w:w="1213" w:type="dxa"/>
            <w:shd w:val="clear" w:color="auto" w:fill="auto"/>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05" w:type="dxa"/>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序号</w:t>
            </w:r>
          </w:p>
        </w:tc>
        <w:tc>
          <w:tcPr>
            <w:tcW w:w="1061" w:type="dxa"/>
            <w:shd w:val="clear" w:color="auto" w:fill="auto"/>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县（市、区）</w:t>
            </w:r>
          </w:p>
        </w:tc>
        <w:tc>
          <w:tcPr>
            <w:tcW w:w="1060" w:type="dxa"/>
            <w:shd w:val="clear" w:color="auto" w:fill="auto"/>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乡镇（街道）</w:t>
            </w:r>
          </w:p>
        </w:tc>
        <w:tc>
          <w:tcPr>
            <w:tcW w:w="1590"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行政村（社区）</w:t>
            </w:r>
          </w:p>
        </w:tc>
        <w:tc>
          <w:tcPr>
            <w:tcW w:w="1060"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名称</w:t>
            </w:r>
          </w:p>
        </w:tc>
        <w:tc>
          <w:tcPr>
            <w:tcW w:w="913"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风险类型</w:t>
            </w:r>
          </w:p>
        </w:tc>
        <w:tc>
          <w:tcPr>
            <w:tcW w:w="913"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风险等级</w:t>
            </w:r>
          </w:p>
        </w:tc>
        <w:tc>
          <w:tcPr>
            <w:tcW w:w="916"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防洪能力</w:t>
            </w:r>
          </w:p>
        </w:tc>
        <w:tc>
          <w:tcPr>
            <w:tcW w:w="1114"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户数</w:t>
            </w:r>
          </w:p>
        </w:tc>
        <w:tc>
          <w:tcPr>
            <w:tcW w:w="1114" w:type="dxa"/>
            <w:shd w:val="clear" w:color="auto" w:fill="auto"/>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人口数</w:t>
            </w:r>
          </w:p>
        </w:tc>
        <w:tc>
          <w:tcPr>
            <w:tcW w:w="1083"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特殊人群</w:t>
            </w:r>
          </w:p>
        </w:tc>
        <w:tc>
          <w:tcPr>
            <w:tcW w:w="689"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责任人</w:t>
            </w:r>
          </w:p>
        </w:tc>
        <w:tc>
          <w:tcPr>
            <w:tcW w:w="844"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联系电话</w:t>
            </w:r>
          </w:p>
        </w:tc>
        <w:tc>
          <w:tcPr>
            <w:tcW w:w="1213" w:type="dxa"/>
            <w:shd w:val="clear" w:color="auto" w:fill="auto"/>
            <w:noWrap/>
            <w:tcMar>
              <w:left w:w="0" w:type="dxa"/>
              <w:right w:w="0" w:type="dxa"/>
            </w:tcMar>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危险区</w:t>
            </w:r>
          </w:p>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r>
              <w:rPr>
                <w:rFonts w:hint="eastAsia" w:ascii="宋体" w:hAnsi="宋体" w:eastAsia="宋体" w:cs="宋体"/>
                <w:bCs/>
                <w:sz w:val="21"/>
                <w:szCs w:val="21"/>
                <w:highlight w:val="none"/>
                <w:shd w:val="clear" w:color="auto" w:fill="FFFFFF"/>
              </w:rPr>
              <w:t>二维码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p>
        </w:tc>
        <w:tc>
          <w:tcPr>
            <w:tcW w:w="1061"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060"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590"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060"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91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91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916"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114"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114" w:type="dxa"/>
            <w:shd w:val="clear" w:color="auto" w:fill="auto"/>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08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689"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844"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21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Align w:val="center"/>
          </w:tcPr>
          <w:p>
            <w:pPr>
              <w:widowControl/>
              <w:adjustRightInd w:val="0"/>
              <w:snapToGrid w:val="0"/>
              <w:spacing w:line="300" w:lineRule="exact"/>
              <w:ind w:firstLine="0" w:firstLineChars="0"/>
              <w:jc w:val="center"/>
              <w:rPr>
                <w:rFonts w:hint="eastAsia" w:ascii="宋体" w:hAnsi="宋体" w:eastAsia="宋体" w:cs="宋体"/>
                <w:bCs/>
                <w:sz w:val="21"/>
                <w:szCs w:val="21"/>
                <w:highlight w:val="none"/>
                <w:shd w:val="clear" w:color="auto" w:fill="FFFFFF"/>
              </w:rPr>
            </w:pPr>
          </w:p>
        </w:tc>
        <w:tc>
          <w:tcPr>
            <w:tcW w:w="1061"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060"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590"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060"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91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91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916"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114"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114" w:type="dxa"/>
            <w:shd w:val="clear" w:color="auto" w:fill="auto"/>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08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689"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844"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c>
          <w:tcPr>
            <w:tcW w:w="1213" w:type="dxa"/>
            <w:shd w:val="clear" w:color="auto" w:fill="auto"/>
            <w:tcMar>
              <w:left w:w="0" w:type="dxa"/>
              <w:right w:w="0" w:type="dxa"/>
            </w:tcMar>
            <w:vAlign w:val="center"/>
          </w:tcPr>
          <w:p>
            <w:pPr>
              <w:widowControl/>
              <w:adjustRightInd w:val="0"/>
              <w:snapToGrid w:val="0"/>
              <w:spacing w:line="300" w:lineRule="exact"/>
              <w:ind w:firstLine="0" w:firstLineChars="0"/>
              <w:rPr>
                <w:rFonts w:hint="eastAsia" w:ascii="宋体" w:hAnsi="宋体" w:eastAsia="宋体" w:cs="宋体"/>
                <w:bCs/>
                <w:sz w:val="21"/>
                <w:szCs w:val="21"/>
                <w:highlight w:val="none"/>
                <w:shd w:val="clear" w:color="auto" w:fill="FFFFFF"/>
              </w:rPr>
            </w:pPr>
          </w:p>
        </w:tc>
      </w:tr>
    </w:tbl>
    <w:p>
      <w:pPr>
        <w:spacing w:line="280" w:lineRule="exact"/>
        <w:ind w:firstLine="0" w:firstLineChars="0"/>
        <w:rPr>
          <w:rFonts w:hint="default" w:ascii="Times New Roman" w:hAnsi="Times New Roman" w:eastAsia="仿宋" w:cs="Times New Roman"/>
          <w:b/>
          <w:sz w:val="24"/>
          <w:szCs w:val="24"/>
          <w:highlight w:val="none"/>
          <w:shd w:val="clear" w:color="auto" w:fill="FFFFFF"/>
        </w:rPr>
      </w:pPr>
      <w:r>
        <w:rPr>
          <w:rFonts w:hint="default" w:ascii="Times New Roman" w:hAnsi="Times New Roman" w:eastAsia="仿宋" w:cs="Times New Roman"/>
          <w:b/>
          <w:sz w:val="24"/>
          <w:szCs w:val="24"/>
          <w:highlight w:val="none"/>
          <w:shd w:val="clear" w:color="auto" w:fill="FFFFFF"/>
        </w:rPr>
        <w:t>填表说明：</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1、县（市、区）：填写危险区所在的县（市、区）的名称。</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2、乡镇 （街道）：填写危险区所在的乡镇 （街道）的名称。</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3、行政村（社区）：填写危险区所在的行政村（社区）的名称。</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4、危险区名称：填写危险区单元一般与社会管理单元相对应，可为自然村、学校、医院、养老院、农家乐、景区、矿产、施工工地等。</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5、风险类型：填写危险区风险类型，可为临河隐患、阻水隐患、工程隐患、地灾隐患、冲沟隐患、历史山洪等。</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6、风险等级：填写危险区所处的风险等级，高风险区填I，低风险区填II。</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7、现状防洪能力：一般为成灾水位对应的洪水重现期（单位：年，取整数）。</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8、户数：填写危险区单元内的家庭户数（单位：户）。</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9、人口数：填写危险区内的年末人口数（单位：人）。</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10、特殊人群：老弱妇幼及行动不便人口数，填写危险区内的老人、妇女、儿童及行动不便人口数（单位：人）。</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11、责任人：填写危险区对应的防汛责任人姓名。</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12、联系电话：填写危险区对应的防汛责任人的联系电话，包括座机和手机。</w:t>
      </w:r>
    </w:p>
    <w:p>
      <w:pPr>
        <w:ind w:firstLine="562"/>
        <w:jc w:val="left"/>
        <w:rPr>
          <w:rFonts w:hint="eastAsia" w:ascii="宋体" w:hAnsi="宋体" w:eastAsia="宋体" w:cs="宋体"/>
          <w:spacing w:val="5"/>
          <w:sz w:val="22"/>
          <w:szCs w:val="21"/>
          <w:shd w:val="clear"/>
          <w:lang w:val="en-US"/>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spacing w:val="5"/>
          <w:sz w:val="22"/>
          <w:szCs w:val="21"/>
          <w:shd w:val="clear"/>
          <w:lang w:val="en-US"/>
        </w:rPr>
        <w:t>13、危险区二维码（选填）：由省级监测预警平台软件系统自动生成，并下发使用。</w:t>
      </w:r>
    </w:p>
    <w:p>
      <w:pPr>
        <w:ind w:firstLine="562"/>
        <w:jc w:val="center"/>
        <w:rPr>
          <w:rFonts w:ascii="Times New Roman" w:hAnsi="Times New Roman" w:cs="Times New Roman"/>
          <w:b/>
          <w:highlight w:val="none"/>
        </w:rPr>
      </w:pPr>
      <w:r>
        <w:rPr>
          <w:rFonts w:ascii="Times New Roman" w:hAnsi="Times New Roman" w:cs="Times New Roman"/>
          <w:b/>
          <w:highlight w:val="none"/>
        </w:rPr>
        <w:t>表</w:t>
      </w:r>
      <w:r>
        <w:rPr>
          <w:rFonts w:hint="eastAsia" w:cs="Times New Roman"/>
          <w:b/>
          <w:highlight w:val="none"/>
          <w:lang w:val="en-US" w:eastAsia="zh-CN"/>
        </w:rPr>
        <w:t>3</w:t>
      </w:r>
      <w:r>
        <w:rPr>
          <w:rFonts w:ascii="Times New Roman" w:hAnsi="Times New Roman" w:cs="Times New Roman"/>
          <w:b/>
          <w:highlight w:val="none"/>
        </w:rPr>
        <w:t>-</w:t>
      </w:r>
      <w:r>
        <w:rPr>
          <w:rFonts w:hint="eastAsia" w:cs="Times New Roman"/>
          <w:b/>
          <w:highlight w:val="none"/>
          <w:lang w:val="en-US" w:eastAsia="zh-CN"/>
        </w:rPr>
        <w:t>8</w:t>
      </w:r>
      <w:r>
        <w:rPr>
          <w:rFonts w:ascii="Times New Roman" w:hAnsi="Times New Roman" w:cs="Times New Roman"/>
          <w:b/>
          <w:highlight w:val="none"/>
        </w:rPr>
        <w:t xml:space="preserve">  危险区防御对象清单表</w:t>
      </w:r>
    </w:p>
    <w:tbl>
      <w:tblPr>
        <w:tblStyle w:val="16"/>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66"/>
        <w:gridCol w:w="1342"/>
        <w:gridCol w:w="1342"/>
        <w:gridCol w:w="1598"/>
        <w:gridCol w:w="650"/>
        <w:gridCol w:w="1512"/>
        <w:gridCol w:w="494"/>
        <w:gridCol w:w="494"/>
        <w:gridCol w:w="499"/>
        <w:gridCol w:w="494"/>
        <w:gridCol w:w="494"/>
        <w:gridCol w:w="499"/>
        <w:gridCol w:w="1333"/>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gridSpan w:val="2"/>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县级行政区名</w:t>
            </w:r>
          </w:p>
        </w:tc>
        <w:tc>
          <w:tcPr>
            <w:tcW w:w="4282" w:type="dxa"/>
            <w:gridSpan w:val="3"/>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2162" w:type="dxa"/>
            <w:gridSpan w:val="2"/>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县级行政区代码</w:t>
            </w:r>
          </w:p>
        </w:tc>
        <w:tc>
          <w:tcPr>
            <w:tcW w:w="5635" w:type="dxa"/>
            <w:gridSpan w:val="8"/>
            <w:shd w:val="clear" w:color="auto" w:fill="auto"/>
            <w:noWrap/>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3" w:type="dxa"/>
            <w:vMerge w:val="restart"/>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序号</w:t>
            </w:r>
          </w:p>
        </w:tc>
        <w:tc>
          <w:tcPr>
            <w:tcW w:w="1166" w:type="dxa"/>
            <w:vMerge w:val="restart"/>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危险区名称</w:t>
            </w:r>
          </w:p>
        </w:tc>
        <w:tc>
          <w:tcPr>
            <w:tcW w:w="4282" w:type="dxa"/>
            <w:gridSpan w:val="3"/>
            <w:vMerge w:val="restart"/>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用于直接预警的监测站点</w:t>
            </w:r>
          </w:p>
        </w:tc>
        <w:tc>
          <w:tcPr>
            <w:tcW w:w="2162" w:type="dxa"/>
            <w:gridSpan w:val="2"/>
            <w:vMerge w:val="restart"/>
            <w:shd w:val="clear" w:color="auto" w:fill="auto"/>
            <w:noWrap/>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临时避险场所情况</w:t>
            </w:r>
          </w:p>
        </w:tc>
        <w:tc>
          <w:tcPr>
            <w:tcW w:w="2974" w:type="dxa"/>
            <w:gridSpan w:val="6"/>
            <w:shd w:val="clear" w:color="auto" w:fill="auto"/>
            <w:noWrap/>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雨量预警指标</w:t>
            </w:r>
          </w:p>
        </w:tc>
        <w:tc>
          <w:tcPr>
            <w:tcW w:w="2661" w:type="dxa"/>
            <w:gridSpan w:val="2"/>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水位预警指标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3" w:type="dxa"/>
            <w:vMerge w:val="continue"/>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166" w:type="dxa"/>
            <w:vMerge w:val="continue"/>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282" w:type="dxa"/>
            <w:gridSpan w:val="3"/>
            <w:vMerge w:val="continue"/>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2162" w:type="dxa"/>
            <w:gridSpan w:val="2"/>
            <w:vMerge w:val="continue"/>
            <w:shd w:val="clear" w:color="auto" w:fill="auto"/>
            <w:noWrap/>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487" w:type="dxa"/>
            <w:gridSpan w:val="3"/>
            <w:shd w:val="clear" w:color="auto" w:fill="auto"/>
            <w:noWrap/>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准备转移</w:t>
            </w:r>
          </w:p>
        </w:tc>
        <w:tc>
          <w:tcPr>
            <w:tcW w:w="1487" w:type="dxa"/>
            <w:gridSpan w:val="3"/>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立即转移</w:t>
            </w:r>
          </w:p>
        </w:tc>
        <w:tc>
          <w:tcPr>
            <w:tcW w:w="1333" w:type="dxa"/>
            <w:vMerge w:val="restart"/>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准备转移</w:t>
            </w:r>
          </w:p>
        </w:tc>
        <w:tc>
          <w:tcPr>
            <w:tcW w:w="1328" w:type="dxa"/>
            <w:vMerge w:val="restart"/>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立即转移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3" w:type="dxa"/>
            <w:vMerge w:val="continue"/>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166" w:type="dxa"/>
            <w:vMerge w:val="continue"/>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342"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简易监测站</w:t>
            </w:r>
          </w:p>
        </w:tc>
        <w:tc>
          <w:tcPr>
            <w:tcW w:w="1342"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自动雨量站</w:t>
            </w:r>
          </w:p>
        </w:tc>
        <w:tc>
          <w:tcPr>
            <w:tcW w:w="1598" w:type="dxa"/>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自动水位站</w:t>
            </w:r>
          </w:p>
        </w:tc>
        <w:tc>
          <w:tcPr>
            <w:tcW w:w="650"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地点</w:t>
            </w:r>
          </w:p>
        </w:tc>
        <w:tc>
          <w:tcPr>
            <w:tcW w:w="1512"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容纳人数</w:t>
            </w:r>
          </w:p>
        </w:tc>
        <w:tc>
          <w:tcPr>
            <w:tcW w:w="494"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1h</w:t>
            </w: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3h</w:t>
            </w:r>
          </w:p>
        </w:tc>
        <w:tc>
          <w:tcPr>
            <w:tcW w:w="499"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6h</w:t>
            </w: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1h</w:t>
            </w: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3h</w:t>
            </w:r>
          </w:p>
        </w:tc>
        <w:tc>
          <w:tcPr>
            <w:tcW w:w="499"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6h</w:t>
            </w:r>
          </w:p>
        </w:tc>
        <w:tc>
          <w:tcPr>
            <w:tcW w:w="1333" w:type="dxa"/>
            <w:vMerge w:val="continue"/>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328" w:type="dxa"/>
            <w:vMerge w:val="continue"/>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3" w:type="dxa"/>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r>
              <w:rPr>
                <w:rFonts w:ascii="Times New Roman" w:hAnsi="Times New Roman" w:cs="Times New Roman"/>
                <w:bCs/>
                <w:sz w:val="24"/>
                <w:szCs w:val="24"/>
                <w:highlight w:val="none"/>
                <w:shd w:val="clear" w:color="auto" w:fill="FFFFFF"/>
              </w:rPr>
              <w:t>1</w:t>
            </w:r>
          </w:p>
        </w:tc>
        <w:tc>
          <w:tcPr>
            <w:tcW w:w="1166"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342"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342"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598" w:type="dxa"/>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650"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512"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94"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99"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499"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333" w:type="dxa"/>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c>
          <w:tcPr>
            <w:tcW w:w="1328" w:type="dxa"/>
            <w:vAlign w:val="center"/>
          </w:tcPr>
          <w:p>
            <w:pPr>
              <w:widowControl/>
              <w:adjustRightInd w:val="0"/>
              <w:snapToGrid w:val="0"/>
              <w:spacing w:line="240" w:lineRule="exact"/>
              <w:ind w:firstLine="0" w:firstLineChars="0"/>
              <w:jc w:val="center"/>
              <w:rPr>
                <w:rFonts w:ascii="Times New Roman" w:hAnsi="Times New Roman" w:cs="Times New Roman"/>
                <w:bCs/>
                <w:sz w:val="24"/>
                <w:szCs w:val="24"/>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3" w:type="dxa"/>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r>
              <w:rPr>
                <w:rFonts w:ascii="Times New Roman" w:hAnsi="Times New Roman" w:cs="Times New Roman"/>
                <w:sz w:val="24"/>
                <w:szCs w:val="24"/>
                <w:highlight w:val="none"/>
                <w:shd w:val="clear" w:color="auto" w:fill="FFFFFF"/>
              </w:rPr>
              <w:t>…</w:t>
            </w:r>
          </w:p>
        </w:tc>
        <w:tc>
          <w:tcPr>
            <w:tcW w:w="1166"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1342"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1342"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1598" w:type="dxa"/>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650"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1512" w:type="dxa"/>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494" w:type="dxa"/>
            <w:shd w:val="clear" w:color="auto" w:fill="auto"/>
            <w:tcMar>
              <w:left w:w="0" w:type="dxa"/>
              <w:right w:w="0" w:type="dxa"/>
            </w:tcMar>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499"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494"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499" w:type="dxa"/>
            <w:shd w:val="clear" w:color="auto" w:fill="auto"/>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1333" w:type="dxa"/>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c>
          <w:tcPr>
            <w:tcW w:w="1328" w:type="dxa"/>
            <w:vAlign w:val="center"/>
          </w:tcPr>
          <w:p>
            <w:pPr>
              <w:widowControl/>
              <w:adjustRightInd w:val="0"/>
              <w:snapToGrid w:val="0"/>
              <w:spacing w:line="240" w:lineRule="exact"/>
              <w:ind w:firstLine="0" w:firstLineChars="0"/>
              <w:jc w:val="center"/>
              <w:rPr>
                <w:rFonts w:ascii="Times New Roman" w:hAnsi="Times New Roman" w:cs="Times New Roman"/>
                <w:sz w:val="24"/>
                <w:szCs w:val="24"/>
                <w:highlight w:val="none"/>
                <w:shd w:val="clear" w:color="auto" w:fill="FFFFFF"/>
              </w:rPr>
            </w:pPr>
          </w:p>
        </w:tc>
      </w:tr>
    </w:tbl>
    <w:p>
      <w:pPr>
        <w:spacing w:line="280" w:lineRule="exact"/>
        <w:ind w:firstLine="0" w:firstLineChars="0"/>
        <w:rPr>
          <w:rFonts w:ascii="Times New Roman" w:hAnsi="Times New Roman" w:cs="Times New Roman"/>
          <w:b/>
          <w:sz w:val="24"/>
          <w:szCs w:val="24"/>
          <w:highlight w:val="none"/>
          <w:shd w:val="clear" w:color="auto" w:fill="FFFFFF"/>
        </w:rPr>
      </w:pPr>
      <w:r>
        <w:rPr>
          <w:rFonts w:ascii="Times New Roman" w:hAnsi="Times New Roman" w:cs="Times New Roman"/>
          <w:b/>
          <w:sz w:val="24"/>
          <w:szCs w:val="24"/>
          <w:highlight w:val="none"/>
          <w:shd w:val="clear" w:color="auto" w:fill="FFFFFF"/>
        </w:rPr>
        <w:t>填表说明：</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1、县级行政区名：填写危险区所在的县级行政区的名称。</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2、县级行政区代码：填写县级行政区名对应的行政区划代码。</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3、用于直接预警的监测站点</w:t>
      </w:r>
    </w:p>
    <w:p>
      <w:pPr>
        <w:spacing w:line="240" w:lineRule="auto"/>
        <w:ind w:left="0"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（1）简易监测站：填写危险区内是否配置简易雨量报警器、简易水位（报警）站。</w:t>
      </w:r>
    </w:p>
    <w:p>
      <w:pPr>
        <w:spacing w:line="240" w:lineRule="auto"/>
        <w:ind w:left="0"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（2）自动雨量站：填写危险区所关联的上游自动雨量站名称，可包括周边自动雨量站。当有多个雨量站时，应用分号隔开。</w:t>
      </w:r>
    </w:p>
    <w:p>
      <w:pPr>
        <w:spacing w:line="240" w:lineRule="auto"/>
        <w:ind w:left="0"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（3）自动水位站：填写危险区所关联的上游河道自动水位站名称。当有多个水位站时，应用分号隔开。</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4、临时避险场所情况：</w:t>
      </w:r>
    </w:p>
    <w:p>
      <w:pPr>
        <w:spacing w:line="240" w:lineRule="auto"/>
        <w:ind w:left="0"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（1）地点：填写危险区对应的临时避险场所地点。</w:t>
      </w:r>
    </w:p>
    <w:p>
      <w:pPr>
        <w:spacing w:line="240" w:lineRule="auto"/>
        <w:ind w:left="0"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（2）容纳人数：填写危险区对应的临时避险场所容纳人数（单位：人）。</w:t>
      </w:r>
    </w:p>
    <w:p>
      <w:pPr>
        <w:spacing w:line="240" w:lineRule="auto"/>
        <w:ind w:firstLine="562"/>
        <w:rPr>
          <w:rFonts w:hint="eastAsia" w:ascii="宋体" w:hAnsi="宋体" w:eastAsia="宋体" w:cs="宋体"/>
          <w:spacing w:val="5"/>
          <w:sz w:val="22"/>
          <w:szCs w:val="21"/>
          <w:shd w:val="clear"/>
          <w:lang w:val="en-US"/>
        </w:rPr>
      </w:pPr>
      <w:r>
        <w:rPr>
          <w:rFonts w:hint="eastAsia" w:ascii="宋体" w:hAnsi="宋体" w:eastAsia="宋体" w:cs="宋体"/>
          <w:spacing w:val="5"/>
          <w:sz w:val="22"/>
          <w:szCs w:val="21"/>
          <w:shd w:val="clear"/>
          <w:lang w:val="en-US"/>
        </w:rPr>
        <w:t>5、雨量预警指标：分为准备转移和立即转移，填写1h、3h和6h的准备转移和立即转移预警指标（单位：mm，取整数）。</w:t>
      </w:r>
    </w:p>
    <w:p>
      <w:pPr>
        <w:ind w:firstLine="562"/>
        <w:jc w:val="left"/>
        <w:rPr>
          <w:rFonts w:hint="eastAsia" w:ascii="宋体" w:hAnsi="宋体" w:eastAsia="宋体" w:cs="宋体"/>
          <w:spacing w:val="5"/>
          <w:sz w:val="22"/>
          <w:szCs w:val="21"/>
          <w:shd w:val="clear"/>
          <w:lang w:val="en-US"/>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spacing w:val="5"/>
          <w:sz w:val="22"/>
          <w:szCs w:val="21"/>
          <w:shd w:val="clear"/>
          <w:lang w:val="en-US"/>
        </w:rPr>
        <w:t>6、水位预警指标：填写准备转移和立即转移水位预警指标（单位：m，1位小数）。</w:t>
      </w:r>
    </w:p>
    <w:p>
      <w:pPr>
        <w:pStyle w:val="10"/>
        <w:adjustRightInd w:val="0"/>
        <w:snapToGrid w:val="0"/>
        <w:spacing w:before="0" w:line="360" w:lineRule="auto"/>
        <w:ind w:right="0" w:firstLine="440" w:firstLineChars="200"/>
        <w:jc w:val="both"/>
        <w:rPr>
          <w:rFonts w:hint="eastAsia" w:ascii="宋体" w:hAnsi="宋体" w:eastAsia="宋体" w:cs="宋体"/>
          <w:b w:val="0"/>
          <w:spacing w:val="5"/>
          <w:lang w:val="en-US"/>
        </w:rPr>
      </w:pPr>
      <w:r>
        <w:rPr>
          <w:rFonts w:hint="eastAsia" w:ascii="宋体" w:hAnsi="宋体" w:eastAsia="宋体" w:cs="宋体"/>
          <w:b w:val="0"/>
          <w:spacing w:val="5"/>
          <w:lang w:val="en-US" w:eastAsia="zh-CN"/>
        </w:rPr>
        <w:t>2）</w:t>
      </w:r>
      <w:r>
        <w:rPr>
          <w:rFonts w:hint="eastAsia" w:ascii="宋体" w:hAnsi="宋体" w:eastAsia="宋体" w:cs="宋体"/>
          <w:b w:val="0"/>
          <w:spacing w:val="5"/>
          <w:lang w:val="en-US"/>
        </w:rPr>
        <w:t>危险区风险等级划分</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危险区等级分为高风险区（I级）、低风险区（II级）。危险区等级划分标准应综合考虑当地暴雨洪水特征、房屋结构类型和人口分布、山洪灾害现状防御防洪能力、历史灾害等因素。如存在河道淤积、阻水等不利影响而加重山洪灾害情况的，应提高危险区风险等级。</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bookmarkStart w:id="547" w:name="_Toc16100"/>
      <w:bookmarkStart w:id="548" w:name="_Toc6835"/>
      <w:bookmarkStart w:id="549" w:name="_Toc4521"/>
      <w:bookmarkStart w:id="550" w:name="_Toc2930"/>
      <w:bookmarkStart w:id="551" w:name="_Toc23046"/>
      <w:bookmarkStart w:id="552" w:name="_Toc12508"/>
      <w:bookmarkStart w:id="553" w:name="_Toc12366"/>
      <w:bookmarkStart w:id="554" w:name="_Toc183"/>
      <w:bookmarkStart w:id="555" w:name="_Toc22873"/>
      <w:bookmarkStart w:id="556" w:name="_Toc27543"/>
      <w:bookmarkStart w:id="557" w:name="_Toc11372"/>
      <w:bookmarkStart w:id="558" w:name="_Toc8187"/>
      <w:bookmarkStart w:id="559" w:name="_Toc16118"/>
      <w:bookmarkStart w:id="560" w:name="_Toc28157"/>
      <w:r>
        <w:rPr>
          <w:rFonts w:hint="eastAsia" w:ascii="宋体" w:hAnsi="宋体" w:eastAsia="宋体" w:cs="宋体"/>
          <w:spacing w:val="5"/>
          <w:lang w:val="en-US" w:eastAsia="zh-CN"/>
        </w:rPr>
        <w:t>2.2.2 监测预警能力巩固提升</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szCs w:val="21"/>
          <w:lang w:val="en-US" w:eastAsia="zh-CN"/>
        </w:rPr>
        <w:t>兰溪市拟</w:t>
      </w:r>
      <w:r>
        <w:rPr>
          <w:rFonts w:hint="eastAsia" w:ascii="宋体" w:hAnsi="宋体" w:eastAsia="宋体" w:cs="宋体"/>
          <w:spacing w:val="5"/>
          <w:szCs w:val="21"/>
          <w:lang w:val="en-US"/>
        </w:rPr>
        <w:t>自动雨量站改造升级</w:t>
      </w:r>
      <w:r>
        <w:rPr>
          <w:rFonts w:hint="eastAsia" w:ascii="宋体" w:hAnsi="宋体" w:eastAsia="宋体" w:cs="宋体"/>
          <w:spacing w:val="5"/>
          <w:szCs w:val="21"/>
          <w:lang w:val="en-US" w:eastAsia="zh-CN"/>
        </w:rPr>
        <w:t>14</w:t>
      </w:r>
      <w:r>
        <w:rPr>
          <w:rFonts w:hint="eastAsia" w:ascii="宋体" w:hAnsi="宋体" w:eastAsia="宋体" w:cs="宋体"/>
          <w:spacing w:val="5"/>
          <w:szCs w:val="21"/>
          <w:lang w:val="en-US"/>
        </w:rPr>
        <w:t>个</w:t>
      </w:r>
      <w:r>
        <w:rPr>
          <w:rFonts w:hint="eastAsia" w:ascii="宋体" w:hAnsi="宋体" w:eastAsia="宋体" w:cs="宋体"/>
          <w:spacing w:val="5"/>
          <w:szCs w:val="21"/>
          <w:lang w:val="en-US" w:eastAsia="zh-CN"/>
        </w:rPr>
        <w:t>、</w:t>
      </w:r>
      <w:r>
        <w:rPr>
          <w:rFonts w:hint="eastAsia" w:ascii="宋体" w:hAnsi="宋体" w:eastAsia="宋体" w:cs="宋体"/>
          <w:spacing w:val="5"/>
          <w:szCs w:val="21"/>
          <w:lang w:val="en-US"/>
        </w:rPr>
        <w:t>自动水位站改造升级</w:t>
      </w:r>
      <w:r>
        <w:rPr>
          <w:rFonts w:hint="eastAsia" w:ascii="宋体" w:hAnsi="宋体" w:eastAsia="宋体" w:cs="宋体"/>
          <w:spacing w:val="5"/>
          <w:szCs w:val="21"/>
          <w:lang w:val="en-US" w:eastAsia="zh-CN"/>
        </w:rPr>
        <w:t>23</w:t>
      </w:r>
      <w:r>
        <w:rPr>
          <w:rFonts w:hint="eastAsia" w:ascii="宋体" w:hAnsi="宋体" w:eastAsia="宋体" w:cs="宋体"/>
          <w:spacing w:val="5"/>
          <w:szCs w:val="21"/>
          <w:lang w:val="en-US"/>
        </w:rPr>
        <w:t>个</w:t>
      </w:r>
      <w:r>
        <w:rPr>
          <w:rFonts w:hint="eastAsia" w:ascii="宋体" w:hAnsi="宋体" w:eastAsia="宋体" w:cs="宋体"/>
          <w:spacing w:val="5"/>
          <w:szCs w:val="21"/>
          <w:lang w:val="en-US" w:eastAsia="zh-CN"/>
        </w:rPr>
        <w:t>、</w:t>
      </w:r>
      <w:r>
        <w:rPr>
          <w:rFonts w:hint="eastAsia" w:ascii="宋体" w:hAnsi="宋体" w:eastAsia="宋体" w:cs="宋体"/>
          <w:spacing w:val="5"/>
          <w:szCs w:val="21"/>
          <w:lang w:val="en-US"/>
        </w:rPr>
        <w:t>自动监测站点卫星通讯建设</w:t>
      </w:r>
      <w:r>
        <w:rPr>
          <w:rFonts w:hint="eastAsia" w:ascii="宋体" w:hAnsi="宋体" w:eastAsia="宋体" w:cs="宋体"/>
          <w:spacing w:val="5"/>
          <w:szCs w:val="21"/>
          <w:lang w:val="en-US" w:eastAsia="zh-CN"/>
        </w:rPr>
        <w:t>35</w:t>
      </w:r>
      <w:r>
        <w:rPr>
          <w:rFonts w:hint="eastAsia" w:ascii="宋体" w:hAnsi="宋体" w:eastAsia="宋体" w:cs="宋体"/>
          <w:spacing w:val="5"/>
          <w:szCs w:val="21"/>
          <w:lang w:val="en-US"/>
        </w:rPr>
        <w:t>个。</w:t>
      </w:r>
      <w:r>
        <w:rPr>
          <w:rFonts w:hint="eastAsia" w:ascii="宋体" w:hAnsi="宋体" w:eastAsia="宋体" w:cs="宋体"/>
          <w:spacing w:val="5"/>
          <w:szCs w:val="21"/>
          <w:lang w:val="en-US" w:eastAsia="zh-CN"/>
        </w:rPr>
        <w:t>（此项内容在兰溪市2021年水文测报能力提升建设采购项目已实施）。</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561" w:name="_Toc18616"/>
      <w:bookmarkStart w:id="562" w:name="_Toc13664"/>
      <w:bookmarkStart w:id="563" w:name="_Toc24179"/>
      <w:bookmarkStart w:id="564" w:name="_Toc3395"/>
      <w:bookmarkStart w:id="565" w:name="_Toc11220"/>
      <w:bookmarkStart w:id="566" w:name="_Toc3620"/>
      <w:bookmarkStart w:id="567" w:name="_Toc17829"/>
      <w:bookmarkStart w:id="568" w:name="_Toc19050"/>
      <w:bookmarkStart w:id="569" w:name="_Toc20665"/>
      <w:bookmarkStart w:id="570" w:name="_Toc2609"/>
      <w:bookmarkStart w:id="571" w:name="_Toc14199"/>
      <w:bookmarkStart w:id="572" w:name="_Toc25560"/>
      <w:bookmarkStart w:id="573" w:name="_Toc31089"/>
      <w:bookmarkStart w:id="574" w:name="_Toc22283"/>
      <w:bookmarkStart w:id="575" w:name="_Toc18645"/>
      <w:bookmarkStart w:id="576" w:name="_Toc5257"/>
      <w:bookmarkStart w:id="577" w:name="_Toc1769"/>
      <w:bookmarkStart w:id="578" w:name="_Toc5251"/>
      <w:bookmarkStart w:id="579" w:name="_Toc2431"/>
      <w:bookmarkStart w:id="580" w:name="_Toc12052"/>
      <w:bookmarkStart w:id="581" w:name="_Toc12525"/>
      <w:bookmarkStart w:id="582" w:name="_Toc21805"/>
      <w:bookmarkStart w:id="583" w:name="_Toc11045"/>
      <w:bookmarkStart w:id="584" w:name="_Toc5419"/>
      <w:bookmarkStart w:id="585" w:name="_Toc3901"/>
      <w:bookmarkStart w:id="586" w:name="_Toc16124"/>
      <w:bookmarkStart w:id="587" w:name="_Toc29058"/>
      <w:bookmarkStart w:id="588" w:name="_Toc12724"/>
      <w:bookmarkStart w:id="589" w:name="_Toc13135"/>
      <w:bookmarkStart w:id="590" w:name="_Toc17663"/>
      <w:bookmarkStart w:id="591" w:name="_Toc16110"/>
      <w:bookmarkStart w:id="592" w:name="_Toc16687"/>
      <w:bookmarkStart w:id="593" w:name="_Toc14611"/>
      <w:bookmarkStart w:id="594" w:name="_Toc24218"/>
      <w:bookmarkStart w:id="595" w:name="_Toc16815"/>
      <w:bookmarkStart w:id="596" w:name="_Toc17208"/>
      <w:bookmarkStart w:id="597" w:name="_Toc10477"/>
      <w:bookmarkStart w:id="598" w:name="_Toc3521"/>
      <w:bookmarkStart w:id="599" w:name="_Toc2362"/>
      <w:bookmarkStart w:id="600" w:name="_Toc19298"/>
      <w:bookmarkStart w:id="601" w:name="_Toc11195"/>
      <w:bookmarkStart w:id="602" w:name="_Toc4384"/>
      <w:bookmarkStart w:id="603" w:name="_Toc16994"/>
      <w:bookmarkStart w:id="604" w:name="_Toc9222"/>
      <w:bookmarkStart w:id="605" w:name="_Toc29574"/>
      <w:bookmarkStart w:id="606" w:name="_Toc2608"/>
      <w:bookmarkStart w:id="607" w:name="_Toc12204"/>
      <w:bookmarkStart w:id="608" w:name="_Toc23250"/>
      <w:bookmarkStart w:id="609" w:name="_Toc4488"/>
      <w:bookmarkStart w:id="610" w:name="_Toc2375"/>
      <w:bookmarkStart w:id="611" w:name="_Toc5829"/>
      <w:bookmarkStart w:id="612" w:name="_Toc13901"/>
      <w:bookmarkStart w:id="613" w:name="_Toc1760"/>
      <w:r>
        <w:rPr>
          <w:rFonts w:hint="eastAsia" w:ascii="宋体" w:hAnsi="宋体" w:eastAsia="宋体" w:cs="宋体"/>
          <w:spacing w:val="5"/>
          <w:lang w:val="en-US" w:eastAsia="zh-CN"/>
        </w:rPr>
        <w:t>2.2.3 群测群防体系</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614" w:name="_Toc10564"/>
      <w:bookmarkStart w:id="615" w:name="_Toc30429"/>
      <w:bookmarkStart w:id="616" w:name="_Toc4619"/>
      <w:bookmarkStart w:id="617" w:name="_Toc31094"/>
      <w:bookmarkStart w:id="618" w:name="_Toc21525"/>
      <w:bookmarkStart w:id="619" w:name="_Toc29096"/>
      <w:r>
        <w:rPr>
          <w:rFonts w:hint="eastAsia" w:ascii="宋体" w:hAnsi="宋体" w:eastAsia="宋体" w:cs="宋体"/>
          <w:spacing w:val="5"/>
          <w:lang w:val="en-US" w:eastAsia="zh-CN"/>
        </w:rPr>
        <w:t>2.2.3.1 山洪灾害防御指南编制</w:t>
      </w:r>
      <w:bookmarkEnd w:id="614"/>
      <w:bookmarkEnd w:id="615"/>
      <w:bookmarkEnd w:id="616"/>
      <w:bookmarkEnd w:id="617"/>
      <w:bookmarkEnd w:id="618"/>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为深入贯彻落实水利改革发展总基调，进一步规范</w:t>
      </w:r>
      <w:r>
        <w:rPr>
          <w:rFonts w:hint="eastAsia" w:ascii="宋体" w:hAnsi="宋体" w:eastAsia="宋体" w:cs="宋体"/>
          <w:spacing w:val="5"/>
          <w:lang w:val="en-US" w:eastAsia="zh-CN"/>
        </w:rPr>
        <w:t>兰溪市</w:t>
      </w:r>
      <w:r>
        <w:rPr>
          <w:rFonts w:hint="eastAsia" w:ascii="宋体" w:hAnsi="宋体" w:eastAsia="宋体" w:cs="宋体"/>
          <w:spacing w:val="5"/>
          <w:lang w:val="en-US"/>
        </w:rPr>
        <w:t>山洪灾害防御工作，提升山洪灾害防御水平，最大限度减轻灾害损失，本次在总结前期山洪灾害防御工作的基础上，结合</w:t>
      </w:r>
      <w:r>
        <w:rPr>
          <w:rFonts w:hint="eastAsia" w:ascii="宋体" w:hAnsi="宋体" w:eastAsia="宋体" w:cs="宋体"/>
          <w:spacing w:val="5"/>
          <w:lang w:val="en-US" w:eastAsia="zh-CN"/>
        </w:rPr>
        <w:t>兰溪市</w:t>
      </w:r>
      <w:r>
        <w:rPr>
          <w:rFonts w:hint="eastAsia" w:ascii="宋体" w:hAnsi="宋体" w:eastAsia="宋体" w:cs="宋体"/>
          <w:spacing w:val="5"/>
          <w:lang w:val="en-US"/>
        </w:rPr>
        <w:t>山洪灾害防御特点，编制</w:t>
      </w:r>
      <w:r>
        <w:rPr>
          <w:rFonts w:hint="eastAsia" w:ascii="宋体" w:hAnsi="宋体" w:eastAsia="宋体" w:cs="宋体"/>
          <w:spacing w:val="5"/>
          <w:lang w:val="en-US" w:eastAsia="zh-CN"/>
        </w:rPr>
        <w:t>兰溪市山洪灾害防御指南</w:t>
      </w:r>
      <w:r>
        <w:rPr>
          <w:rFonts w:hint="eastAsia" w:ascii="宋体" w:hAnsi="宋体" w:eastAsia="宋体" w:cs="宋体"/>
          <w:spacing w:val="5"/>
          <w:lang w:val="en-US"/>
        </w:rPr>
        <w:t>（以下简称“</w:t>
      </w:r>
      <w:r>
        <w:rPr>
          <w:rFonts w:hint="eastAsia" w:ascii="宋体" w:hAnsi="宋体" w:eastAsia="宋体" w:cs="宋体"/>
          <w:spacing w:val="5"/>
          <w:lang w:val="en-US" w:eastAsia="zh-CN"/>
        </w:rPr>
        <w:t>指南</w:t>
      </w:r>
      <w:r>
        <w:rPr>
          <w:rFonts w:hint="eastAsia" w:ascii="宋体" w:hAnsi="宋体" w:eastAsia="宋体" w:cs="宋体"/>
          <w:spacing w:val="5"/>
          <w:lang w:val="en-US"/>
        </w:rPr>
        <w:t>”）。</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指南</w:t>
      </w:r>
      <w:r>
        <w:rPr>
          <w:rFonts w:hint="eastAsia" w:ascii="宋体" w:hAnsi="宋体" w:eastAsia="宋体" w:cs="宋体"/>
          <w:spacing w:val="5"/>
          <w:lang w:val="en-US"/>
        </w:rPr>
        <w:t>的主要内容包括：编制目的、编制依据、编制原则、组织责任、工作机制、职责分工、隐患排查、预案编制、标识标牌、演练、宣传、培训、风险识别、危险区划、防御对象、预警指标、监测体系、预警体系、值班值守、转移避险、抢险救灾等。</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620" w:name="_Toc31029"/>
      <w:bookmarkStart w:id="621" w:name="_Toc7934"/>
      <w:bookmarkStart w:id="622" w:name="_Toc31774"/>
      <w:bookmarkStart w:id="623" w:name="_Toc16203"/>
      <w:bookmarkStart w:id="624" w:name="_Toc27507"/>
      <w:r>
        <w:rPr>
          <w:rFonts w:hint="eastAsia" w:ascii="宋体" w:hAnsi="宋体" w:eastAsia="宋体" w:cs="宋体"/>
          <w:spacing w:val="5"/>
          <w:lang w:val="en-US" w:eastAsia="zh-CN"/>
        </w:rPr>
        <w:t xml:space="preserve">2.2.3.2 </w:t>
      </w:r>
      <w:r>
        <w:rPr>
          <w:rFonts w:hint="eastAsia" w:ascii="宋体" w:hAnsi="宋体" w:eastAsia="宋体" w:cs="宋体"/>
          <w:spacing w:val="5"/>
          <w:lang w:val="en-US"/>
        </w:rPr>
        <w:t>声光电预警设备</w:t>
      </w:r>
      <w:bookmarkEnd w:id="619"/>
      <w:bookmarkEnd w:id="620"/>
      <w:bookmarkEnd w:id="621"/>
      <w:bookmarkEnd w:id="622"/>
      <w:bookmarkEnd w:id="623"/>
      <w:bookmarkEnd w:id="624"/>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 xml:space="preserve">2.2.3.2.1 </w:t>
      </w:r>
      <w:r>
        <w:rPr>
          <w:rFonts w:hint="eastAsia" w:ascii="宋体" w:hAnsi="宋体" w:eastAsia="宋体" w:cs="宋体"/>
          <w:spacing w:val="5"/>
          <w:lang w:val="en-US"/>
        </w:rPr>
        <w:t>系统简介</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声光电</w:t>
      </w:r>
      <w:r>
        <w:rPr>
          <w:rFonts w:hint="eastAsia" w:ascii="宋体" w:hAnsi="宋体" w:eastAsia="宋体" w:cs="宋体"/>
          <w:spacing w:val="5"/>
          <w:lang w:val="en-US"/>
        </w:rPr>
        <w:t>预警设备系统是一套集实时雨量水位图像采集、声光报警和数据传输于一体的监控系统。系统能够显示实时采集雨量、时段雨量、实时水位等数据，根据降雨量和水位的内部模型自行演算进行现地预警，并且能够将采集数据图像及报警传输到云端，为应急部门指挥决策提供依据。报警参数均可进行人工配置。系统采用模块化设计思路，雨量和水位的监测预警可独立成系统，根据用户需求自行选择。</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rPr>
        <w:t>该系统技术稳定先进，其集成了传感、物联网、数据分析算法等。同时结构设计巧妙，能迅速布置，维护简便，适合山洪的预警预报，契合山洪暴发的突发性特点，能及时发现暴雨、河道水位急速上涨并发出山洪警报通知村民疏散，保障人民群众的生命财产安全。</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rPr>
      </w:pPr>
      <w:r>
        <w:rPr>
          <w:rFonts w:hint="eastAsia" w:ascii="宋体" w:hAnsi="宋体" w:eastAsia="宋体" w:cs="宋体"/>
          <w:spacing w:val="5"/>
          <w:lang w:val="en-US" w:eastAsia="zh-CN"/>
        </w:rPr>
        <w:t xml:space="preserve">2.2.3.2.2 </w:t>
      </w:r>
      <w:r>
        <w:rPr>
          <w:rFonts w:hint="eastAsia" w:ascii="宋体" w:hAnsi="宋体" w:eastAsia="宋体" w:cs="宋体"/>
          <w:spacing w:val="5"/>
          <w:lang w:val="en-US"/>
        </w:rPr>
        <w:t>主要功能</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1、</w:t>
      </w:r>
      <w:r>
        <w:rPr>
          <w:rFonts w:hint="eastAsia" w:ascii="宋体" w:hAnsi="宋体" w:eastAsia="宋体" w:cs="宋体"/>
          <w:spacing w:val="5"/>
          <w:sz w:val="21"/>
          <w:szCs w:val="21"/>
          <w:lang w:val="en-US"/>
        </w:rPr>
        <w:t>雨量监测</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rPr>
        <w:t>1）支持雨量信息实时监测、接收、显示和存储功能；2）支持2个以上时段的告警雨量阈值设置、报警；3）支持多时段雨量统计算法。</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2、</w:t>
      </w:r>
      <w:r>
        <w:rPr>
          <w:rFonts w:hint="eastAsia" w:ascii="宋体" w:hAnsi="宋体" w:eastAsia="宋体" w:cs="宋体"/>
          <w:spacing w:val="5"/>
          <w:sz w:val="21"/>
          <w:szCs w:val="21"/>
          <w:lang w:val="en-US"/>
        </w:rPr>
        <w:t>水位监测</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1）</w:t>
      </w:r>
      <w:r>
        <w:rPr>
          <w:rFonts w:hint="eastAsia" w:ascii="宋体" w:hAnsi="宋体" w:eastAsia="宋体" w:cs="宋体"/>
          <w:spacing w:val="5"/>
          <w:sz w:val="21"/>
          <w:szCs w:val="21"/>
          <w:lang w:val="en-US"/>
        </w:rPr>
        <w:t>支持水位信息实时监测、接收、信息显示和存储功能；2）支持2个以上告警水位阈值设置、报警；3）支持实时水位计量算法。</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3、</w:t>
      </w:r>
      <w:r>
        <w:rPr>
          <w:rFonts w:hint="eastAsia" w:ascii="宋体" w:hAnsi="宋体" w:eastAsia="宋体" w:cs="宋体"/>
          <w:spacing w:val="5"/>
          <w:sz w:val="21"/>
          <w:szCs w:val="21"/>
          <w:lang w:val="en-US"/>
        </w:rPr>
        <w:t>声光报警</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1）</w:t>
      </w:r>
      <w:r>
        <w:rPr>
          <w:rFonts w:hint="eastAsia" w:ascii="宋体" w:hAnsi="宋体" w:eastAsia="宋体" w:cs="宋体"/>
          <w:spacing w:val="5"/>
          <w:sz w:val="21"/>
          <w:szCs w:val="21"/>
          <w:lang w:val="en-US"/>
        </w:rPr>
        <w:t>支持不小于2个不同级别的告警、复位；2）支持报警参数配置功能；3）支持报警调度算法。</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4、视频监控</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1）具备夜间可视功能，夜间视觉效果与日间基本一致。2）支持实时监控上传钱塘江流域防洪减灾数字化平台。</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rPr>
      </w:pPr>
      <w:r>
        <w:rPr>
          <w:rFonts w:hint="eastAsia" w:ascii="宋体" w:hAnsi="宋体" w:eastAsia="宋体" w:cs="宋体"/>
          <w:spacing w:val="5"/>
          <w:sz w:val="21"/>
          <w:szCs w:val="21"/>
          <w:lang w:val="en-US" w:eastAsia="zh-CN"/>
        </w:rPr>
        <w:t>5、数据传输</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rPr>
        <w:t>1）支持4G全网通、GPRS、北斗等无线传输；2）支持RS485、以太网等有线传输；3）支持《SL651-2014 水文监测数据通信规约》；4）支持《SZY206-2016 水资源监测数据传输规约 》</w:t>
      </w:r>
      <w:r>
        <w:rPr>
          <w:rFonts w:hint="eastAsia" w:ascii="宋体" w:hAnsi="宋体" w:eastAsia="宋体" w:cs="宋体"/>
          <w:spacing w:val="5"/>
          <w:sz w:val="21"/>
          <w:szCs w:val="21"/>
          <w:lang w:val="en-US" w:eastAsia="zh-CN"/>
        </w:rPr>
        <w:t>；</w:t>
      </w:r>
    </w:p>
    <w:p>
      <w:pPr>
        <w:pStyle w:val="10"/>
        <w:adjustRightInd w:val="0"/>
        <w:snapToGrid w:val="0"/>
        <w:spacing w:before="0" w:line="360" w:lineRule="auto"/>
        <w:ind w:right="0" w:firstLine="440" w:firstLineChars="200"/>
        <w:jc w:val="both"/>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5）支持实时监测数据接入浙江省水文通信平台。</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2.2.3.2.3 相关参数</w:t>
      </w:r>
    </w:p>
    <w:p>
      <w:pPr>
        <w:jc w:val="center"/>
        <w:rPr>
          <w:rFonts w:hint="default"/>
          <w:lang w:val="en-US" w:eastAsia="zh-CN"/>
        </w:rPr>
      </w:pPr>
      <w:r>
        <w:rPr>
          <w:rFonts w:hint="eastAsia"/>
          <w:lang w:val="en-US" w:eastAsia="zh-CN"/>
        </w:rPr>
        <w:t>表3-9声光电预警设备相关参数</w:t>
      </w:r>
    </w:p>
    <w:tbl>
      <w:tblPr>
        <w:tblStyle w:val="16"/>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83"/>
        <w:gridCol w:w="7886"/>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jc w:val="center"/>
        </w:trPr>
        <w:tc>
          <w:tcPr>
            <w:tcW w:w="350" w:type="pct"/>
            <w:noWrap/>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46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w:t>
            </w:r>
          </w:p>
        </w:tc>
        <w:tc>
          <w:tcPr>
            <w:tcW w:w="3754"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系统功能及技术参数</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立杆</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定制热镀锌钢管，高度3.5m，壁厚≥2mm,由上下部构成，上部直径9mm，下部10mm，可旋转设计（便于单人调试维护），法兰连接</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控制箱</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400mm*500mm*200mm，304不锈钢，板厚1.2mm</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雨量筒</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口径200mm±6，雨强测量范围0-4mm/min（允许通过最大雨强8mm/min），测量精度0.5mm，工作温度-10℃-50℃</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雷达</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水位计</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量程</w:t>
            </w:r>
            <w:r>
              <w:rPr>
                <w:rFonts w:hint="eastAsia" w:cs="宋体"/>
                <w:color w:val="000000"/>
                <w:sz w:val="21"/>
                <w:szCs w:val="21"/>
                <w:lang w:eastAsia="zh-CN"/>
              </w:rPr>
              <w:t>：</w:t>
            </w:r>
            <w:r>
              <w:rPr>
                <w:rFonts w:hint="eastAsia" w:ascii="宋体" w:hAnsi="宋体" w:eastAsia="宋体" w:cs="宋体"/>
                <w:color w:val="000000"/>
                <w:sz w:val="21"/>
                <w:szCs w:val="21"/>
              </w:rPr>
              <w:t>35m，测量精度</w:t>
            </w:r>
            <w:r>
              <w:rPr>
                <w:rFonts w:hint="eastAsia" w:cs="宋体"/>
                <w:color w:val="000000"/>
                <w:sz w:val="21"/>
                <w:szCs w:val="21"/>
                <w:lang w:eastAsia="zh-CN"/>
              </w:rPr>
              <w:t>：</w:t>
            </w:r>
            <w:r>
              <w:rPr>
                <w:rFonts w:hint="eastAsia" w:ascii="宋体" w:hAnsi="宋体" w:eastAsia="宋体" w:cs="宋体"/>
                <w:color w:val="000000"/>
                <w:sz w:val="21"/>
                <w:szCs w:val="21"/>
              </w:rPr>
              <w:t>2mm</w:t>
            </w:r>
            <w:r>
              <w:rPr>
                <w:rFonts w:hint="eastAsia" w:cs="宋体"/>
                <w:color w:val="000000"/>
                <w:sz w:val="21"/>
                <w:szCs w:val="21"/>
                <w:lang w:eastAsia="zh-CN"/>
              </w:rPr>
              <w:t>，</w:t>
            </w:r>
            <w:r>
              <w:rPr>
                <w:rFonts w:hint="eastAsia" w:ascii="宋体" w:hAnsi="宋体" w:eastAsia="宋体" w:cs="宋体"/>
                <w:color w:val="000000"/>
                <w:sz w:val="21"/>
                <w:szCs w:val="21"/>
              </w:rPr>
              <w:t>频率范围：26GHz；信号输出：RS485；电源：DC12或24V；防护等级：IP67</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黑光智能球机</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图像传感器:1/2.8＂ progressive scan CMOS，双sensor架构</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最低照度:彩色：0.0004Lux @ (F1.5，AGC ON)；黑白：0.0001Lux @(F1.5，AGC ON) ；0 Lux with IR</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分辨率及帧率:主码流  50Hz: 25fps (1920×1080) ,60Hz: 30fps(1920×1080) </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视频压缩:H.265/H.264/MJPEG</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红外照射距离:200米</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焦距:4.8-120mm，25倍光学</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山洪遥测终端</w:t>
            </w:r>
          </w:p>
        </w:tc>
        <w:tc>
          <w:tcPr>
            <w:tcW w:w="3754" w:type="pct"/>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Chars="0" w:right="0" w:rightChars="0"/>
              <w:jc w:val="both"/>
              <w:textAlignment w:val="auto"/>
              <w:rPr>
                <w:rFonts w:hint="eastAsia" w:cs="宋体"/>
                <w:color w:val="000000"/>
                <w:sz w:val="21"/>
                <w:szCs w:val="21"/>
                <w:lang w:eastAsia="zh-CN"/>
              </w:rPr>
            </w:pPr>
            <w:r>
              <w:rPr>
                <w:rFonts w:hint="eastAsia" w:cs="宋体"/>
                <w:color w:val="000000"/>
                <w:sz w:val="21"/>
                <w:szCs w:val="21"/>
                <w:lang w:val="en-US" w:eastAsia="zh-CN"/>
              </w:rPr>
              <w:t>1.</w:t>
            </w:r>
            <w:r>
              <w:rPr>
                <w:rFonts w:hint="eastAsia" w:ascii="宋体" w:hAnsi="宋体" w:eastAsia="宋体" w:cs="宋体"/>
                <w:color w:val="000000"/>
                <w:sz w:val="21"/>
                <w:szCs w:val="21"/>
              </w:rPr>
              <w:t>支持最新水文、水资源协议；设备超低功耗设计，具有多种工作模式。静态值守电流应小于1毫安，工作电流应小于8毫安</w:t>
            </w:r>
            <w:r>
              <w:rPr>
                <w:rFonts w:hint="eastAsia" w:cs="宋体"/>
                <w:color w:val="00000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val="0"/>
              <w:spacing w:line="240" w:lineRule="auto"/>
              <w:ind w:leftChars="0" w:right="0" w:rightChars="0"/>
              <w:jc w:val="both"/>
              <w:textAlignment w:val="auto"/>
              <w:rPr>
                <w:rFonts w:hint="eastAsia" w:ascii="宋体" w:hAnsi="宋体" w:eastAsia="宋体" w:cs="宋体"/>
                <w:color w:val="000000"/>
                <w:sz w:val="21"/>
                <w:szCs w:val="21"/>
                <w:lang w:val="en-US"/>
              </w:rPr>
            </w:pPr>
            <w:r>
              <w:t>▲</w:t>
            </w:r>
            <w:r>
              <w:rPr>
                <w:rFonts w:hint="eastAsia" w:cs="宋体"/>
                <w:color w:val="000000"/>
                <w:sz w:val="21"/>
                <w:szCs w:val="21"/>
                <w:lang w:val="en-US" w:eastAsia="zh-CN"/>
              </w:rPr>
              <w:t>2.</w:t>
            </w:r>
            <w:r>
              <w:rPr>
                <w:rFonts w:hint="eastAsia" w:ascii="宋体" w:hAnsi="宋体" w:eastAsia="宋体" w:cs="宋体"/>
                <w:color w:val="000000"/>
                <w:sz w:val="21"/>
                <w:szCs w:val="21"/>
                <w:lang w:val="en-US" w:eastAsia="zh-CN"/>
              </w:rPr>
              <w:t>实时</w:t>
            </w:r>
            <w:r>
              <w:rPr>
                <w:rFonts w:hint="eastAsia" w:cs="宋体"/>
                <w:color w:val="000000"/>
                <w:sz w:val="21"/>
                <w:szCs w:val="21"/>
                <w:lang w:val="en-US" w:eastAsia="zh-CN"/>
              </w:rPr>
              <w:t>水位、雨量</w:t>
            </w:r>
            <w:r>
              <w:rPr>
                <w:rFonts w:hint="eastAsia" w:ascii="宋体" w:hAnsi="宋体" w:eastAsia="宋体" w:cs="宋体"/>
                <w:color w:val="000000"/>
                <w:sz w:val="21"/>
                <w:szCs w:val="21"/>
                <w:lang w:val="en-US" w:eastAsia="zh-CN"/>
              </w:rPr>
              <w:t>监测数据接入浙江省水文通信平台</w:t>
            </w:r>
            <w:r>
              <w:rPr>
                <w:rFonts w:hint="eastAsia" w:cs="宋体"/>
                <w:color w:val="000000"/>
                <w:sz w:val="21"/>
                <w:szCs w:val="21"/>
                <w:lang w:val="en-US" w:eastAsia="zh-CN"/>
              </w:rPr>
              <w:t>。</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串口服务器</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系统功能及技术参数：工作电压：DC 5.0～36.0 V；网口规格：RJ45、10/100Mbps、交叉直连自适应；串口波特率：600～230.4K（bps）</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4路隔离语音播报器</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电源电压：接 12-24V 直流电源。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输入 1-4：为 4 路输入信号。</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9</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100w号角广播喇叭</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额定功率：100W</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灵敏度：89dB</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电源：DC12V3A</w:t>
            </w:r>
          </w:p>
        </w:tc>
        <w:tc>
          <w:tcPr>
            <w:tcW w:w="427"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光报警设备</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工作电压：DC12V </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额定功率：15W</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光源类型：LED发光</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防护等级：IP65</w:t>
            </w:r>
          </w:p>
        </w:tc>
        <w:tc>
          <w:tcPr>
            <w:tcW w:w="42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云存储</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30天存储，</w:t>
            </w:r>
            <w:r>
              <w:rPr>
                <w:rFonts w:hint="eastAsia" w:cs="宋体"/>
                <w:color w:val="000000"/>
                <w:sz w:val="21"/>
                <w:szCs w:val="21"/>
                <w:lang w:val="en-US" w:eastAsia="zh-CN"/>
              </w:rPr>
              <w:t>3</w:t>
            </w:r>
            <w:r>
              <w:rPr>
                <w:rFonts w:hint="eastAsia" w:ascii="宋体" w:hAnsi="宋体" w:eastAsia="宋体" w:cs="宋体"/>
                <w:color w:val="000000"/>
                <w:sz w:val="21"/>
                <w:szCs w:val="21"/>
              </w:rPr>
              <w:t>年</w:t>
            </w:r>
          </w:p>
        </w:tc>
        <w:tc>
          <w:tcPr>
            <w:tcW w:w="42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cs="宋体"/>
                <w:color w:val="000000"/>
                <w:sz w:val="21"/>
                <w:szCs w:val="21"/>
                <w:lang w:val="en-US" w:eastAsia="zh-CN"/>
              </w:rPr>
              <w:t>12</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通讯</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专线</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10M </w:t>
            </w:r>
            <w:r>
              <w:rPr>
                <w:rFonts w:hint="eastAsia" w:cs="宋体"/>
                <w:color w:val="000000"/>
                <w:sz w:val="21"/>
                <w:szCs w:val="21"/>
                <w:lang w:val="en-US" w:eastAsia="zh-CN"/>
              </w:rPr>
              <w:t>3</w:t>
            </w:r>
            <w:r>
              <w:rPr>
                <w:rFonts w:hint="eastAsia" w:ascii="宋体" w:hAnsi="宋体" w:eastAsia="宋体" w:cs="宋体"/>
                <w:color w:val="000000"/>
                <w:sz w:val="21"/>
                <w:szCs w:val="21"/>
              </w:rPr>
              <w:t>年，带双网口</w:t>
            </w:r>
          </w:p>
        </w:tc>
        <w:tc>
          <w:tcPr>
            <w:tcW w:w="42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cs="宋体"/>
                <w:color w:val="000000"/>
                <w:sz w:val="21"/>
                <w:szCs w:val="21"/>
                <w:lang w:val="en-US" w:eastAsia="zh-CN"/>
              </w:rPr>
              <w:t>13</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线缆管线敷设</w:t>
            </w:r>
          </w:p>
        </w:tc>
        <w:tc>
          <w:tcPr>
            <w:tcW w:w="3754"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电力电缆接续，电力线布放（平均每杆300米）硅芯管铺放</w:t>
            </w:r>
          </w:p>
        </w:tc>
        <w:tc>
          <w:tcPr>
            <w:tcW w:w="42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50" w:type="pct"/>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cs="宋体"/>
                <w:color w:val="000000"/>
                <w:sz w:val="21"/>
                <w:szCs w:val="21"/>
                <w:lang w:val="en-US" w:eastAsia="zh-CN"/>
              </w:rPr>
              <w:t>14</w:t>
            </w:r>
          </w:p>
        </w:tc>
        <w:tc>
          <w:tcPr>
            <w:tcW w:w="46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其他</w:t>
            </w:r>
          </w:p>
        </w:tc>
        <w:tc>
          <w:tcPr>
            <w:tcW w:w="3754" w:type="pct"/>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right="0" w:rightChars="0"/>
              <w:jc w:val="left"/>
              <w:textAlignment w:val="auto"/>
              <w:rPr>
                <w:rFonts w:hint="eastAsia" w:cs="宋体"/>
                <w:color w:val="000000"/>
                <w:sz w:val="21"/>
                <w:szCs w:val="21"/>
                <w:lang w:eastAsia="zh-CN"/>
              </w:rPr>
            </w:pPr>
            <w:r>
              <w:rPr>
                <w:rFonts w:hint="eastAsia" w:cs="宋体"/>
                <w:color w:val="000000"/>
                <w:sz w:val="21"/>
                <w:szCs w:val="21"/>
                <w:lang w:val="en-US" w:eastAsia="zh-CN"/>
              </w:rPr>
              <w:t>1.</w:t>
            </w:r>
            <w:r>
              <w:rPr>
                <w:rFonts w:hint="eastAsia" w:ascii="宋体" w:hAnsi="宋体" w:eastAsia="宋体" w:cs="宋体"/>
                <w:color w:val="000000"/>
                <w:sz w:val="21"/>
                <w:szCs w:val="21"/>
              </w:rPr>
              <w:t>雨量、水位设备参数及安装调试需符合浙江省水文设备安装使用相关要求</w:t>
            </w:r>
            <w:r>
              <w:rPr>
                <w:rFonts w:hint="eastAsia" w:cs="宋体"/>
                <w:color w:val="00000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val="0"/>
              <w:spacing w:line="240" w:lineRule="auto"/>
              <w:ind w:right="0" w:rightChars="0"/>
              <w:jc w:val="left"/>
              <w:textAlignment w:val="auto"/>
              <w:rPr>
                <w:rFonts w:hint="eastAsia" w:ascii="宋体" w:hAnsi="宋体" w:eastAsia="宋体" w:cs="宋体"/>
                <w:color w:val="000000"/>
                <w:sz w:val="21"/>
                <w:szCs w:val="21"/>
              </w:rPr>
            </w:pPr>
            <w:r>
              <w:t>▲</w:t>
            </w:r>
            <w:r>
              <w:rPr>
                <w:rFonts w:hint="eastAsia" w:cs="宋体"/>
                <w:color w:val="000000"/>
                <w:sz w:val="21"/>
                <w:szCs w:val="21"/>
                <w:lang w:val="en-US" w:eastAsia="zh-CN"/>
              </w:rPr>
              <w:t>2.</w:t>
            </w:r>
            <w:r>
              <w:rPr>
                <w:rFonts w:hint="eastAsia" w:cs="宋体"/>
                <w:color w:val="000000"/>
                <w:sz w:val="21"/>
                <w:szCs w:val="21"/>
                <w:lang w:eastAsia="zh-CN"/>
              </w:rPr>
              <w:t>视频集成至钱塘江流域防洪减灾数字化平台视频监控模块。</w:t>
            </w:r>
          </w:p>
        </w:tc>
        <w:tc>
          <w:tcPr>
            <w:tcW w:w="427" w:type="pct"/>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000000"/>
                <w:sz w:val="21"/>
                <w:szCs w:val="21"/>
              </w:rPr>
            </w:pPr>
          </w:p>
        </w:tc>
      </w:tr>
    </w:tbl>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3409950" cy="2562225"/>
            <wp:effectExtent l="0" t="0" r="0" b="952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21"/>
                    <a:stretch>
                      <a:fillRect/>
                    </a:stretch>
                  </pic:blipFill>
                  <pic:spPr>
                    <a:xfrm>
                      <a:off x="0" y="0"/>
                      <a:ext cx="3409950" cy="2562225"/>
                    </a:xfrm>
                    <a:prstGeom prst="rect">
                      <a:avLst/>
                    </a:prstGeom>
                  </pic:spPr>
                </pic:pic>
              </a:graphicData>
            </a:graphic>
          </wp:inline>
        </w:drawing>
      </w:r>
    </w:p>
    <w:p>
      <w:pPr>
        <w:jc w:val="center"/>
        <w:rPr>
          <w:rFonts w:hint="eastAsia" w:eastAsia="仿宋"/>
          <w:lang w:val="en-US" w:eastAsia="zh-CN"/>
        </w:rPr>
      </w:pPr>
      <w:r>
        <w:rPr>
          <w:rFonts w:hint="eastAsia"/>
          <w:lang w:val="en-US" w:eastAsia="zh-CN"/>
        </w:rPr>
        <w:t xml:space="preserve">图3-6  </w:t>
      </w:r>
      <w:r>
        <w:rPr>
          <w:rFonts w:hint="eastAsia"/>
        </w:rPr>
        <w:t>山洪遥测终端</w:t>
      </w:r>
      <w:r>
        <w:rPr>
          <w:rFonts w:hint="eastAsia"/>
          <w:lang w:val="en-US" w:eastAsia="zh-CN"/>
        </w:rPr>
        <w:t>示意图</w:t>
      </w:r>
    </w:p>
    <w:p>
      <w:pPr>
        <w:jc w:val="center"/>
        <w:rPr>
          <w:rFonts w:hint="eastAsia" w:eastAsia="仿宋"/>
          <w:lang w:eastAsia="zh-CN"/>
        </w:rPr>
      </w:pPr>
      <w:r>
        <w:rPr>
          <w:rFonts w:hint="eastAsia" w:eastAsia="仿宋"/>
          <w:lang w:eastAsia="zh-CN"/>
        </w:rPr>
        <w:drawing>
          <wp:inline distT="0" distB="0" distL="114300" distR="114300">
            <wp:extent cx="3808730" cy="5078730"/>
            <wp:effectExtent l="0" t="0" r="1270" b="762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22"/>
                    <a:stretch>
                      <a:fillRect/>
                    </a:stretch>
                  </pic:blipFill>
                  <pic:spPr>
                    <a:xfrm>
                      <a:off x="0" y="0"/>
                      <a:ext cx="3808730" cy="5078730"/>
                    </a:xfrm>
                    <a:prstGeom prst="rect">
                      <a:avLst/>
                    </a:prstGeom>
                  </pic:spPr>
                </pic:pic>
              </a:graphicData>
            </a:graphic>
          </wp:inline>
        </w:drawing>
      </w:r>
    </w:p>
    <w:p>
      <w:pPr>
        <w:bidi w:val="0"/>
        <w:ind w:left="0" w:leftChars="-545" w:hanging="1199" w:hangingChars="545"/>
        <w:jc w:val="center"/>
        <w:rPr>
          <w:rFonts w:hint="default"/>
          <w:lang w:val="en-US" w:eastAsia="zh-CN"/>
        </w:rPr>
      </w:pPr>
      <w:r>
        <w:rPr>
          <w:rFonts w:hint="eastAsia"/>
          <w:lang w:val="en-US" w:eastAsia="zh-CN"/>
        </w:rPr>
        <w:t>图3-7 声光电</w:t>
      </w:r>
      <w:r>
        <w:rPr>
          <w:rFonts w:hint="eastAsia"/>
        </w:rPr>
        <w:t>预警设备</w:t>
      </w:r>
      <w:r>
        <w:rPr>
          <w:rFonts w:hint="eastAsia"/>
          <w:lang w:val="en-US" w:eastAsia="zh-CN"/>
        </w:rPr>
        <w:t>实物示意</w:t>
      </w:r>
      <w:r>
        <w:rPr>
          <w:rFonts w:hint="eastAsia"/>
        </w:rPr>
        <w:t>图</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2.2.3.2.4 设备安装试点位置</w:t>
      </w:r>
    </w:p>
    <w:p>
      <w:pPr>
        <w:pStyle w:val="10"/>
        <w:adjustRightInd w:val="0"/>
        <w:snapToGrid w:val="0"/>
        <w:spacing w:before="0" w:line="360" w:lineRule="auto"/>
        <w:ind w:right="0" w:firstLine="440" w:firstLineChars="200"/>
        <w:jc w:val="both"/>
        <w:rPr>
          <w:rFonts w:hint="eastAsia" w:ascii="宋体" w:hAnsi="宋体" w:eastAsia="宋体" w:cs="宋体"/>
          <w:spacing w:val="5"/>
          <w:szCs w:val="21"/>
          <w:lang w:val="en-US" w:eastAsia="zh-CN"/>
        </w:rPr>
        <w:sectPr>
          <w:type w:val="continuous"/>
          <w:pgSz w:w="11910" w:h="16840"/>
          <w:pgMar w:top="1440" w:right="920" w:bottom="1040" w:left="1200" w:header="0" w:footer="852" w:gutter="0"/>
          <w:cols w:space="720" w:num="1"/>
        </w:sectPr>
      </w:pPr>
      <w:r>
        <w:rPr>
          <w:rFonts w:hint="eastAsia" w:ascii="宋体" w:hAnsi="宋体" w:eastAsia="宋体" w:cs="宋体"/>
          <w:spacing w:val="5"/>
          <w:szCs w:val="21"/>
          <w:lang w:val="en-US" w:eastAsia="zh-CN"/>
        </w:rPr>
        <w:t>为</w:t>
      </w:r>
      <w:r>
        <w:rPr>
          <w:rFonts w:hint="eastAsia" w:ascii="宋体" w:hAnsi="宋体" w:eastAsia="宋体" w:cs="宋体"/>
          <w:spacing w:val="5"/>
          <w:szCs w:val="21"/>
          <w:lang w:val="en-US"/>
        </w:rPr>
        <w:t>进一步推进新型预警设施建设</w:t>
      </w:r>
      <w:r>
        <w:rPr>
          <w:rFonts w:hint="eastAsia" w:ascii="宋体" w:hAnsi="宋体" w:eastAsia="宋体" w:cs="宋体"/>
          <w:spacing w:val="5"/>
          <w:szCs w:val="21"/>
          <w:lang w:val="en-US" w:eastAsia="zh-CN"/>
        </w:rPr>
        <w:t>，经过现场调查分析评价，</w:t>
      </w:r>
      <w:r>
        <w:rPr>
          <w:rFonts w:hint="eastAsia" w:ascii="宋体" w:hAnsi="宋体" w:eastAsia="宋体" w:cs="宋体"/>
          <w:spacing w:val="5"/>
          <w:szCs w:val="21"/>
          <w:lang w:val="en-US"/>
        </w:rPr>
        <w:t>柏社乡青珠山</w:t>
      </w:r>
      <w:r>
        <w:rPr>
          <w:rFonts w:hint="eastAsia" w:ascii="宋体" w:hAnsi="宋体" w:eastAsia="宋体" w:cs="宋体"/>
          <w:spacing w:val="5"/>
          <w:szCs w:val="21"/>
          <w:lang w:val="en-US" w:eastAsia="zh-CN"/>
        </w:rPr>
        <w:t>自然</w:t>
      </w:r>
      <w:r>
        <w:rPr>
          <w:rFonts w:hint="eastAsia" w:ascii="宋体" w:hAnsi="宋体" w:eastAsia="宋体" w:cs="宋体"/>
          <w:spacing w:val="5"/>
          <w:szCs w:val="21"/>
          <w:lang w:val="en-US"/>
        </w:rPr>
        <w:t>村</w:t>
      </w:r>
      <w:r>
        <w:rPr>
          <w:rFonts w:hint="eastAsia" w:ascii="宋体" w:hAnsi="宋体" w:eastAsia="宋体" w:cs="宋体"/>
          <w:spacing w:val="5"/>
          <w:szCs w:val="21"/>
          <w:lang w:val="en-US" w:eastAsia="zh-CN"/>
        </w:rPr>
        <w:t>、横溪镇陈派宅自然村、黄店镇朱家自然村、灵洞乡八石溪自然村、马涧镇堰头自然村、梅江镇刘源自然村、香溪镇姚郎自然村、游埠镇上俞自然村和柏社乡新宅自然村详见表3-10，在这9个</w:t>
      </w:r>
      <w:r>
        <w:rPr>
          <w:rFonts w:hint="eastAsia" w:ascii="宋体" w:hAnsi="宋体" w:eastAsia="宋体" w:cs="宋体"/>
          <w:spacing w:val="5"/>
          <w:szCs w:val="21"/>
          <w:lang w:val="en-US"/>
        </w:rPr>
        <w:t>重要村落试点开展声光电预警设备安装</w:t>
      </w:r>
      <w:r>
        <w:rPr>
          <w:rFonts w:hint="eastAsia" w:ascii="宋体" w:hAnsi="宋体" w:eastAsia="宋体" w:cs="宋体"/>
          <w:spacing w:val="5"/>
          <w:szCs w:val="21"/>
          <w:lang w:val="en-US" w:eastAsia="zh-CN"/>
        </w:rPr>
        <w:t>。</w:t>
      </w:r>
    </w:p>
    <w:p>
      <w:pPr>
        <w:bidi w:val="0"/>
        <w:ind w:left="0" w:leftChars="0" w:firstLine="0" w:firstLineChars="0"/>
        <w:jc w:val="center"/>
        <w:rPr>
          <w:rFonts w:hint="eastAsia"/>
          <w:highlight w:val="none"/>
          <w:lang w:val="en-US" w:eastAsia="zh-CN"/>
        </w:rPr>
      </w:pPr>
      <w:r>
        <w:rPr>
          <w:rFonts w:hint="eastAsia"/>
          <w:highlight w:val="none"/>
          <w:lang w:val="en-US" w:eastAsia="zh-CN"/>
        </w:rPr>
        <w:t>表3-10声光电预警设备试点村相关信息表</w:t>
      </w:r>
    </w:p>
    <w:tbl>
      <w:tblPr>
        <w:tblStyle w:val="16"/>
        <w:tblW w:w="5092" w:type="pct"/>
        <w:tblInd w:w="0" w:type="dxa"/>
        <w:shd w:val="clear" w:color="auto" w:fill="auto"/>
        <w:tblLayout w:type="fixed"/>
        <w:tblCellMar>
          <w:top w:w="0" w:type="dxa"/>
          <w:left w:w="0" w:type="dxa"/>
          <w:bottom w:w="0" w:type="dxa"/>
          <w:right w:w="0" w:type="dxa"/>
        </w:tblCellMar>
      </w:tblPr>
      <w:tblGrid>
        <w:gridCol w:w="837"/>
        <w:gridCol w:w="1003"/>
        <w:gridCol w:w="1204"/>
        <w:gridCol w:w="1034"/>
        <w:gridCol w:w="1080"/>
        <w:gridCol w:w="1003"/>
        <w:gridCol w:w="972"/>
        <w:gridCol w:w="4002"/>
        <w:gridCol w:w="646"/>
        <w:gridCol w:w="968"/>
        <w:gridCol w:w="1066"/>
        <w:gridCol w:w="840"/>
      </w:tblGrid>
      <w:tr>
        <w:tblPrEx>
          <w:shd w:val="clear" w:color="auto" w:fill="auto"/>
          <w:tblCellMar>
            <w:top w:w="0" w:type="dxa"/>
            <w:left w:w="0" w:type="dxa"/>
            <w:bottom w:w="0" w:type="dxa"/>
            <w:right w:w="0" w:type="dxa"/>
          </w:tblCellMar>
        </w:tblPrEx>
        <w:trPr>
          <w:trHeight w:val="28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所在</w:t>
            </w:r>
          </w:p>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乡镇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所在</w:t>
            </w:r>
          </w:p>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行政村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自然村</w:t>
            </w:r>
          </w:p>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名称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所在流域</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村落以上</w:t>
            </w:r>
          </w:p>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流域面积</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村落以上河流长度</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流域</w:t>
            </w:r>
          </w:p>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比降</w:t>
            </w:r>
          </w:p>
        </w:tc>
        <w:tc>
          <w:tcPr>
            <w:tcW w:w="1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布设理由</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村落户数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村落人口</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90mm下一小时立即转移指标</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成灾流量</w:t>
            </w:r>
          </w:p>
        </w:tc>
      </w:tr>
      <w:tr>
        <w:tblPrEx>
          <w:tblCellMar>
            <w:top w:w="0" w:type="dxa"/>
            <w:left w:w="0" w:type="dxa"/>
            <w:bottom w:w="0" w:type="dxa"/>
            <w:right w:w="0" w:type="dxa"/>
          </w:tblCellMar>
        </w:tblPrEx>
        <w:trPr>
          <w:trHeight w:val="132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柏社乡</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青珠山村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青珠山</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水阁溪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36.16</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10.1</w:t>
            </w:r>
            <w:r>
              <w:rPr>
                <w:rFonts w:hint="eastAsia" w:ascii="宋体" w:hAnsi="宋体" w:cs="宋体"/>
                <w:i w:val="0"/>
                <w:color w:val="000000"/>
                <w:kern w:val="0"/>
                <w:sz w:val="21"/>
                <w:szCs w:val="21"/>
                <w:highlight w:val="none"/>
                <w:u w:val="none"/>
                <w:lang w:val="en-US" w:eastAsia="zh-CN" w:bidi="ar"/>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0.045</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水阁溪沿程堤防较低，未经过大规模的整治和改造，青珠山村落列入极高危险区，上游集雨面积很大，人口众多且所在位置地势较缓，容易在强降雨时形成高壅水</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104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315</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333.03</w:t>
            </w:r>
          </w:p>
        </w:tc>
      </w:tr>
      <w:tr>
        <w:tblPrEx>
          <w:tblCellMar>
            <w:top w:w="0" w:type="dxa"/>
            <w:left w:w="0" w:type="dxa"/>
            <w:bottom w:w="0" w:type="dxa"/>
            <w:right w:w="0" w:type="dxa"/>
          </w:tblCellMar>
        </w:tblPrEx>
        <w:trPr>
          <w:trHeight w:val="2347"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横溪镇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施宅村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陈派宅</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梅溪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12.00</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w:t>
            </w:r>
            <w:r>
              <w:rPr>
                <w:rFonts w:hint="eastAsia" w:cs="宋体"/>
                <w:i w:val="0"/>
                <w:color w:val="000000"/>
                <w:kern w:val="0"/>
                <w:sz w:val="21"/>
                <w:szCs w:val="21"/>
                <w:highlight w:val="none"/>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0.032</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陈派宅村曾经发生过比较严重的山洪灾害，列入高危险区，由于梅溪上游有多条小支流汇流，因此相对河长而言集雨面积较大，容易成灾，加上陈派宅村本身位于浦兰线公路侧方，与浦兰线隔着河流相望，而浦兰线地势较高，陈派宅村地势偏低，堤防较为老旧，一旦成灾容易淹没全村</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255</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63.95</w:t>
            </w:r>
          </w:p>
        </w:tc>
      </w:tr>
      <w:tr>
        <w:tblPrEx>
          <w:tblCellMar>
            <w:top w:w="0" w:type="dxa"/>
            <w:left w:w="0" w:type="dxa"/>
            <w:bottom w:w="0" w:type="dxa"/>
            <w:right w:w="0" w:type="dxa"/>
          </w:tblCellMar>
        </w:tblPrEx>
        <w:trPr>
          <w:trHeight w:val="9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黄店镇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朱家村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朱家</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朱家溪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11.6</w:t>
            </w:r>
            <w:r>
              <w:rPr>
                <w:rFonts w:hint="eastAsia" w:cs="宋体"/>
                <w:i w:val="0"/>
                <w:color w:val="000000"/>
                <w:kern w:val="0"/>
                <w:sz w:val="21"/>
                <w:szCs w:val="21"/>
                <w:highlight w:val="none"/>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5.7</w:t>
            </w:r>
            <w:r>
              <w:rPr>
                <w:rFonts w:hint="eastAsia" w:cs="宋体"/>
                <w:i w:val="0"/>
                <w:color w:val="000000"/>
                <w:kern w:val="0"/>
                <w:sz w:val="21"/>
                <w:szCs w:val="21"/>
                <w:highlight w:val="none"/>
                <w:u w:val="none"/>
                <w:lang w:val="en-US" w:eastAsia="zh-CN" w:bidi="ar"/>
              </w:rPr>
              <w:t>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0.089</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朱家村位于两条河流的交汇处，本身集雨面积较大；朱家村内有建设于河道之内的违章建筑，是重点防控的对象；朱家村本身地势较为平坦，容易壅水，两条河流自村后两侧绕至村口汇流，整个村地处于两条河流的交差三角地带，危险系数很高</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332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1083</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142.6</w:t>
            </w:r>
          </w:p>
        </w:tc>
      </w:tr>
      <w:tr>
        <w:tblPrEx>
          <w:tblCellMar>
            <w:top w:w="0" w:type="dxa"/>
            <w:left w:w="0" w:type="dxa"/>
            <w:bottom w:w="0" w:type="dxa"/>
            <w:right w:w="0" w:type="dxa"/>
          </w:tblCellMar>
        </w:tblPrEx>
        <w:trPr>
          <w:trHeight w:val="2876"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灵洞乡</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八石溪村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八石溪</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八石溪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8.04</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8.3</w:t>
            </w:r>
            <w:r>
              <w:rPr>
                <w:rFonts w:hint="eastAsia" w:cs="宋体"/>
                <w:i w:val="0"/>
                <w:color w:val="000000"/>
                <w:kern w:val="0"/>
                <w:sz w:val="21"/>
                <w:szCs w:val="21"/>
                <w:highlight w:val="none"/>
                <w:u w:val="none"/>
                <w:lang w:val="en-US" w:eastAsia="zh-CN" w:bidi="ar"/>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0.088</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八石溪沿岸缺少参照站，目前只能用水库的雨量数值作为参照，而八石溪本身比降高、堤岸高度很低，且河道较窄，而集雨面积不小，一旦上游发生强降雨，下游的河道不足以承载汇流的流量，容易成灾。八石溪沿程村落中，八石溪较为靠近上游、集雨面积大且人口众多，地势平坦，成灾可能性很大，建议将参照站设在八石溪处，同时对于下游的下田、唐村等村落也具有提前提醒的作用</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185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740</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42</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30.80</w:t>
            </w:r>
          </w:p>
        </w:tc>
      </w:tr>
      <w:tr>
        <w:tblPrEx>
          <w:tblCellMar>
            <w:top w:w="0" w:type="dxa"/>
            <w:left w:w="0" w:type="dxa"/>
            <w:bottom w:w="0" w:type="dxa"/>
            <w:right w:w="0" w:type="dxa"/>
          </w:tblCellMar>
        </w:tblPrEx>
        <w:trPr>
          <w:trHeight w:val="1718"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马涧镇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石渠村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堰头</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石渠溪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24.</w:t>
            </w:r>
            <w:r>
              <w:rPr>
                <w:rFonts w:hint="eastAsia" w:cs="宋体"/>
                <w:i w:val="0"/>
                <w:color w:val="000000"/>
                <w:kern w:val="0"/>
                <w:sz w:val="21"/>
                <w:szCs w:val="21"/>
                <w:highlight w:val="none"/>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10.2</w:t>
            </w:r>
            <w:r>
              <w:rPr>
                <w:rFonts w:hint="eastAsia" w:cs="宋体"/>
                <w:i w:val="0"/>
                <w:color w:val="000000"/>
                <w:kern w:val="0"/>
                <w:sz w:val="21"/>
                <w:szCs w:val="21"/>
                <w:highlight w:val="none"/>
                <w:u w:val="none"/>
                <w:lang w:val="en-US" w:eastAsia="zh-CN" w:bidi="ar"/>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0.1</w:t>
            </w:r>
            <w:r>
              <w:rPr>
                <w:rFonts w:hint="eastAsia" w:cs="宋体"/>
                <w:i w:val="0"/>
                <w:color w:val="000000"/>
                <w:kern w:val="0"/>
                <w:sz w:val="21"/>
                <w:szCs w:val="21"/>
                <w:highlight w:val="none"/>
                <w:u w:val="none"/>
                <w:lang w:val="en-US" w:eastAsia="zh-CN" w:bidi="ar"/>
              </w:rPr>
              <w:t>1</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石渠溪为兰溪市重要河流，集雨面积较大且流域比降较高，形成洪水的风险性较高，而目前石渠溪两岸缺少参照站，目前只能以水库的雨量数值作为参照，而石渠溪沿程有大量人口密集的村庄，因此建议在石渠溪岸侧增设参照站</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1079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3669</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214.94</w:t>
            </w:r>
          </w:p>
        </w:tc>
      </w:tr>
      <w:tr>
        <w:tblPrEx>
          <w:tblCellMar>
            <w:top w:w="0" w:type="dxa"/>
            <w:left w:w="0" w:type="dxa"/>
            <w:bottom w:w="0" w:type="dxa"/>
            <w:right w:w="0" w:type="dxa"/>
          </w:tblCellMar>
        </w:tblPrEx>
        <w:trPr>
          <w:trHeight w:val="153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梅江镇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刘源村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刘源</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刘源溪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20.977</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8.7</w:t>
            </w:r>
            <w:r>
              <w:rPr>
                <w:rFonts w:hint="eastAsia" w:cs="宋体"/>
                <w:i w:val="0"/>
                <w:color w:val="000000"/>
                <w:kern w:val="0"/>
                <w:sz w:val="21"/>
                <w:szCs w:val="21"/>
                <w:highlight w:val="none"/>
                <w:u w:val="none"/>
                <w:lang w:val="en-US" w:eastAsia="zh-CN" w:bidi="ar"/>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0.11</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刘源溪本身的流域比降很高，目前主要的参照站为龙门电站，位于刘源溪的最上游深处，对于下游的行洪具体情况缺少水位指导的意义；刘源村本身规模较大，而堤防情况很不理想，在高集雨面积、高比降的情况下成灾的风险性较高</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240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752</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41</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81.13</w:t>
            </w:r>
          </w:p>
        </w:tc>
      </w:tr>
      <w:tr>
        <w:tblPrEx>
          <w:tblCellMar>
            <w:top w:w="0" w:type="dxa"/>
            <w:left w:w="0" w:type="dxa"/>
            <w:bottom w:w="0" w:type="dxa"/>
            <w:right w:w="0" w:type="dxa"/>
          </w:tblCellMar>
        </w:tblPrEx>
        <w:trPr>
          <w:trHeight w:val="1632"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香溪镇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北山村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姚郎</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香溪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10.47</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5.3</w:t>
            </w:r>
            <w:r>
              <w:rPr>
                <w:rFonts w:hint="eastAsia" w:cs="宋体"/>
                <w:i w:val="0"/>
                <w:color w:val="000000"/>
                <w:kern w:val="0"/>
                <w:sz w:val="21"/>
                <w:szCs w:val="21"/>
                <w:highlight w:val="none"/>
                <w:u w:val="none"/>
                <w:lang w:val="en-US" w:eastAsia="zh-CN" w:bidi="ar"/>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0.1</w:t>
            </w:r>
            <w:r>
              <w:rPr>
                <w:rFonts w:hint="eastAsia" w:cs="宋体"/>
                <w:i w:val="0"/>
                <w:color w:val="000000"/>
                <w:kern w:val="0"/>
                <w:sz w:val="21"/>
                <w:szCs w:val="21"/>
                <w:highlight w:val="none"/>
                <w:u w:val="none"/>
                <w:lang w:val="en-US" w:eastAsia="zh-CN" w:bidi="ar"/>
              </w:rPr>
              <w:t>4</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姚郎村一带为香溪镇最重要的防洪区域，香溪镇南部的多条溪沟岩山垅流出，在姚郎村一带汇流，流域面积较大且流域比降较高，成灾风险较高；姚郎为北山村最大规模的自然村落，人口较为密集，地势平坦，容易壅水</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463</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65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104.46</w:t>
            </w:r>
          </w:p>
        </w:tc>
      </w:tr>
      <w:tr>
        <w:tblPrEx>
          <w:tblCellMar>
            <w:top w:w="0" w:type="dxa"/>
            <w:left w:w="0" w:type="dxa"/>
            <w:bottom w:w="0" w:type="dxa"/>
            <w:right w:w="0" w:type="dxa"/>
          </w:tblCellMar>
        </w:tblPrEx>
        <w:trPr>
          <w:trHeight w:val="2038"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游埠镇</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焦山村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上俞</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游埠溪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90.4</w:t>
            </w:r>
            <w:r>
              <w:rPr>
                <w:rFonts w:hint="eastAsia" w:cs="宋体"/>
                <w:i w:val="0"/>
                <w:color w:val="000000"/>
                <w:kern w:val="0"/>
                <w:sz w:val="21"/>
                <w:szCs w:val="21"/>
                <w:highlight w:val="none"/>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r>
              <w:rPr>
                <w:rFonts w:hint="eastAsia" w:cs="宋体"/>
                <w:i w:val="0"/>
                <w:color w:val="000000"/>
                <w:kern w:val="0"/>
                <w:sz w:val="21"/>
                <w:szCs w:val="21"/>
                <w:highlight w:val="none"/>
                <w:u w:val="none"/>
                <w:lang w:val="en-US" w:eastAsia="zh-CN" w:bidi="ar"/>
              </w:rPr>
              <w:t>9.00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0.014</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上俞村当地受流域性洪水影响，加上游埠溪两岸没有固定堤防，受游埠溪水域的影响很大，据当地人说法，平均一到两年就会发生一次淹没至半层楼高的洪水；而该地区由于受区域性洪水较大，雨量站的作用相对没有那么高，需要以水位站为辅助来对洪水进行预警</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278</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212.68</w:t>
            </w:r>
          </w:p>
        </w:tc>
      </w:tr>
      <w:tr>
        <w:tblPrEx>
          <w:tblCellMar>
            <w:top w:w="0" w:type="dxa"/>
            <w:left w:w="0" w:type="dxa"/>
            <w:bottom w:w="0" w:type="dxa"/>
            <w:right w:w="0" w:type="dxa"/>
          </w:tblCellMar>
        </w:tblPrEx>
        <w:trPr>
          <w:trHeight w:val="1691"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柏社乡</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新宅村</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新宅</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大溪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8.69</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6.90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0.0</w:t>
            </w:r>
            <w:r>
              <w:rPr>
                <w:rFonts w:hint="eastAsia" w:cs="宋体"/>
                <w:i w:val="0"/>
                <w:color w:val="000000"/>
                <w:kern w:val="0"/>
                <w:sz w:val="21"/>
                <w:szCs w:val="21"/>
                <w:highlight w:val="none"/>
                <w:u w:val="none"/>
                <w:lang w:val="en-US" w:eastAsia="zh-CN" w:bidi="ar"/>
              </w:rPr>
              <w:t>9</w:t>
            </w:r>
          </w:p>
        </w:tc>
        <w:tc>
          <w:tcPr>
            <w:tcW w:w="1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新宅村地处两条支流的交汇处，本身入住村落的人口众多，而普遍房屋距离河底的高度很低，很容易发生山洪灾害，本次调查评价中列入极高危险区。之前已建有雨量站，为了更好地进行监测，本次建议增设一体化监测设备</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401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1302</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88.22</w:t>
            </w:r>
          </w:p>
        </w:tc>
      </w:tr>
    </w:tbl>
    <w:p>
      <w:pPr>
        <w:pStyle w:val="10"/>
        <w:spacing w:before="110" w:line="338" w:lineRule="auto"/>
        <w:ind w:right="603" w:firstLine="0" w:firstLineChars="0"/>
        <w:jc w:val="both"/>
        <w:rPr>
          <w:rFonts w:hint="eastAsia" w:ascii="宋体" w:hAnsi="宋体" w:eastAsia="宋体" w:cs="宋体"/>
          <w:spacing w:val="5"/>
          <w:szCs w:val="21"/>
          <w:lang w:val="en-US" w:eastAsia="zh-CN"/>
        </w:rPr>
        <w:sectPr>
          <w:pgSz w:w="16840" w:h="11910" w:orient="landscape"/>
          <w:pgMar w:top="1200" w:right="1440" w:bottom="920" w:left="1040" w:header="0" w:footer="852" w:gutter="0"/>
          <w:cols w:space="720" w:num="1"/>
        </w:sectPr>
      </w:pPr>
    </w:p>
    <w:p>
      <w:pPr>
        <w:pStyle w:val="10"/>
        <w:tabs>
          <w:tab w:val="left" w:pos="607"/>
        </w:tabs>
        <w:adjustRightInd w:val="0"/>
        <w:snapToGrid w:val="0"/>
        <w:spacing w:before="0" w:line="360" w:lineRule="auto"/>
        <w:ind w:right="0" w:firstLine="440" w:firstLineChars="200"/>
        <w:jc w:val="both"/>
        <w:rPr>
          <w:rFonts w:hint="eastAsia" w:ascii="宋体" w:hAnsi="宋体" w:eastAsia="宋体" w:cs="宋体"/>
          <w:spacing w:val="5"/>
          <w:lang w:val="en-US" w:eastAsia="zh-CN"/>
        </w:rPr>
      </w:pPr>
      <w:bookmarkStart w:id="625" w:name="_Toc13500"/>
      <w:bookmarkStart w:id="626" w:name="_Toc4484"/>
      <w:bookmarkStart w:id="627" w:name="_Toc11272"/>
      <w:bookmarkStart w:id="628" w:name="_Toc22016"/>
      <w:bookmarkStart w:id="629" w:name="_Toc2545"/>
      <w:r>
        <w:rPr>
          <w:rFonts w:hint="eastAsia" w:ascii="宋体" w:hAnsi="宋体" w:eastAsia="宋体" w:cs="宋体"/>
          <w:spacing w:val="5"/>
          <w:lang w:val="en-US" w:eastAsia="zh-CN"/>
        </w:rPr>
        <w:t>2.2.3.3 宣传、培训、演练</w:t>
      </w:r>
      <w:bookmarkEnd w:id="625"/>
      <w:bookmarkEnd w:id="626"/>
      <w:bookmarkEnd w:id="627"/>
      <w:bookmarkEnd w:id="628"/>
      <w:bookmarkEnd w:id="629"/>
    </w:p>
    <w:p>
      <w:pPr>
        <w:pStyle w:val="10"/>
        <w:adjustRightInd w:val="0"/>
        <w:snapToGrid w:val="0"/>
        <w:spacing w:before="0" w:line="360" w:lineRule="auto"/>
        <w:ind w:right="0" w:firstLine="440" w:firstLineChars="200"/>
        <w:jc w:val="both"/>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1.标识标牌</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b w:val="0"/>
          <w:bCs w:val="0"/>
          <w:spacing w:val="5"/>
          <w:lang w:val="en-US" w:eastAsia="zh-CN"/>
        </w:rPr>
        <w:t>（1）警示牌</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本次根据调查成果在山洪极高危险区和高危险区（名录如表3-11）竖立警示牌，警示牌应醒目、直观、易见，并考虑满足夜间使用及风雨侵蚀的环境要求，示意图如图3-7。</w:t>
      </w:r>
    </w:p>
    <w:p>
      <w:pPr>
        <w:pStyle w:val="2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sz w:val="24"/>
          <w:szCs w:val="24"/>
          <w:highlight w:val="none"/>
          <w:lang w:val="en-US" w:eastAsia="zh-CN"/>
        </w:rPr>
      </w:pPr>
      <w:r>
        <w:rPr>
          <w:rFonts w:hint="eastAsia"/>
          <w:sz w:val="24"/>
          <w:szCs w:val="24"/>
          <w:highlight w:val="none"/>
          <w:lang w:val="en-US" w:eastAsia="zh-CN"/>
        </w:rPr>
        <w:t>表3-11警示牌安置点名录</w:t>
      </w:r>
    </w:p>
    <w:tbl>
      <w:tblPr>
        <w:tblStyle w:val="16"/>
        <w:tblW w:w="4998" w:type="pct"/>
        <w:tblInd w:w="0" w:type="dxa"/>
        <w:shd w:val="clear" w:color="auto" w:fill="auto"/>
        <w:tblLayout w:type="autofit"/>
        <w:tblCellMar>
          <w:top w:w="0" w:type="dxa"/>
          <w:left w:w="0" w:type="dxa"/>
          <w:bottom w:w="0" w:type="dxa"/>
          <w:right w:w="0" w:type="dxa"/>
        </w:tblCellMar>
      </w:tblPr>
      <w:tblGrid>
        <w:gridCol w:w="1098"/>
        <w:gridCol w:w="2097"/>
        <w:gridCol w:w="1912"/>
        <w:gridCol w:w="2112"/>
        <w:gridCol w:w="1114"/>
      </w:tblGrid>
      <w:tr>
        <w:tblPrEx>
          <w:shd w:val="clear" w:color="auto" w:fill="auto"/>
          <w:tblCellMar>
            <w:top w:w="0" w:type="dxa"/>
            <w:left w:w="0" w:type="dxa"/>
            <w:bottom w:w="0" w:type="dxa"/>
            <w:right w:w="0" w:type="dxa"/>
          </w:tblCellMar>
        </w:tblPrEx>
        <w:trPr>
          <w:trHeight w:val="315" w:hRule="atLeast"/>
          <w:tblHeader/>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序号</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乡（镇、街道）</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行政村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自然村</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数量</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1</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百聚社村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柏树下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2</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百聚社村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前厅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北舒村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何小坞</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大厦口村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大厦口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5</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青珠山村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大水堆</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6</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青珠山村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青珠山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青珠山村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外方坞</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8</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屠宅村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年台口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9</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屠宅村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王园</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溪滩徐村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溪滩徐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11</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下陈村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下陈</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12</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新宅村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孙下坞</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柏社乡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新宅村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新宅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赤溪街道</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金桥村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插口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15</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施宅村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陈派宅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16</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宋宅村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前屋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宋宅村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宋宅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18</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宋宅村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下溪前</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19</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田畈周村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田畈周</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通津桥村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通津桥</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21</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新联村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下陈坞</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22</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虞街村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钱宅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横溪镇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虞街村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于街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黄店镇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范宅村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柏树园</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25</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黄店镇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范宅村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范宅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26</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黄店镇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三峰殿口村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金钟</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黄店镇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上包村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中和</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28</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黄店镇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余粮山村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坞口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29</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黄店镇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朱家村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朱家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兰江街道</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姚村村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姚村</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31</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兰江街道</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映月村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下陆门里</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32</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八石溪村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八石溪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八石溪村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庙后</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板桥村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潘村</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35</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板桥村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西溪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36</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洞源村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洞源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洞源村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梅坞口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38</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灵洞乡</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龚塘村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麻车桥</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39</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马涧镇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东叶村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东叶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马涧镇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汇溪村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后潘</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41</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马涧镇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溪源村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塘坞沿口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42</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马涧镇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严宅村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塘上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马涧镇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严宅村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塘下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马涧镇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源口村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源口</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45</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梅江镇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刘源村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刘源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46</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梅江镇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龙门村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半源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梅江镇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团结村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岩下陈</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48</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梅江镇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镇溪村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下马桥头</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49</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女埠街道</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金家村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金家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香溪镇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北山村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姚郎</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51</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香溪镇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北山村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正江桶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52</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香溪镇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坑边村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董宅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香溪镇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坑边村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坑边</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游埠镇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东山项村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下谢</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55</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游埠镇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焦山村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坭桥</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56</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游埠镇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下王村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下章</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游埠镇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焦山村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上俞</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58</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游埠镇</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焦山村</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下俞</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1</w:t>
            </w:r>
          </w:p>
        </w:tc>
      </w:tr>
      <w:tr>
        <w:tblPrEx>
          <w:tblCellMar>
            <w:top w:w="0" w:type="dxa"/>
            <w:left w:w="0" w:type="dxa"/>
            <w:bottom w:w="0" w:type="dxa"/>
            <w:right w:w="0" w:type="dxa"/>
          </w:tblCellMar>
        </w:tblPrEx>
        <w:trPr>
          <w:trHeight w:val="31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合计</w:t>
            </w:r>
          </w:p>
        </w:tc>
        <w:tc>
          <w:tcPr>
            <w:tcW w:w="4340"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58</w:t>
            </w:r>
          </w:p>
        </w:tc>
      </w:tr>
    </w:tbl>
    <w:p>
      <w:pPr>
        <w:pStyle w:val="2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sz w:val="24"/>
          <w:szCs w:val="24"/>
          <w:highlight w:val="none"/>
          <w:lang w:val="en-US" w:eastAsia="zh-CN"/>
        </w:rPr>
      </w:pPr>
    </w:p>
    <w:p>
      <w:pPr>
        <w:pStyle w:val="2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highlight w:val="none"/>
        </w:rPr>
      </w:pPr>
    </w:p>
    <w:p>
      <w:pPr>
        <w:ind w:firstLine="0" w:firstLineChars="0"/>
        <w:jc w:val="center"/>
        <w:rPr>
          <w:rFonts w:ascii="Times New Roman" w:hAnsi="Times New Roman" w:cs="Times New Roman"/>
          <w:b/>
          <w:color w:val="0D0D0D"/>
          <w:szCs w:val="28"/>
          <w:highlight w:val="none"/>
        </w:rPr>
      </w:pPr>
    </w:p>
    <w:p>
      <w:pPr>
        <w:ind w:firstLine="0" w:firstLineChars="0"/>
        <w:jc w:val="center"/>
        <w:rPr>
          <w:rFonts w:ascii="Times New Roman" w:hAnsi="Times New Roman" w:cs="Times New Roman"/>
          <w:b/>
          <w:color w:val="0D0D0D"/>
          <w:szCs w:val="28"/>
          <w:highlight w:val="none"/>
        </w:rPr>
      </w:pPr>
    </w:p>
    <w:p>
      <w:pPr>
        <w:ind w:firstLine="0" w:firstLineChars="0"/>
        <w:jc w:val="center"/>
        <w:rPr>
          <w:rFonts w:ascii="Times New Roman" w:hAnsi="Times New Roman" w:cs="Times New Roman"/>
          <w:b/>
          <w:color w:val="0D0D0D"/>
          <w:szCs w:val="28"/>
          <w:highlight w:val="none"/>
        </w:rPr>
      </w:pPr>
    </w:p>
    <w:p>
      <w:pPr>
        <w:ind w:firstLine="0" w:firstLineChars="0"/>
        <w:jc w:val="center"/>
        <w:rPr>
          <w:rFonts w:ascii="Times New Roman" w:hAnsi="Times New Roman" w:cs="Times New Roman"/>
          <w:b/>
          <w:color w:val="0D0D0D"/>
          <w:szCs w:val="28"/>
          <w:highlight w:val="none"/>
        </w:rPr>
      </w:pPr>
    </w:p>
    <w:p>
      <w:pPr>
        <w:ind w:firstLine="0" w:firstLineChars="0"/>
        <w:jc w:val="center"/>
        <w:rPr>
          <w:rFonts w:ascii="Times New Roman" w:hAnsi="Times New Roman" w:cs="Times New Roman"/>
          <w:b/>
          <w:color w:val="0D0D0D"/>
          <w:szCs w:val="28"/>
          <w:highlight w:val="none"/>
        </w:rPr>
      </w:pPr>
      <w:r>
        <w:drawing>
          <wp:inline distT="0" distB="0" distL="114300" distR="114300">
            <wp:extent cx="5269230" cy="5375910"/>
            <wp:effectExtent l="0" t="0" r="7620"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3"/>
                    <a:stretch>
                      <a:fillRect/>
                    </a:stretch>
                  </pic:blipFill>
                  <pic:spPr>
                    <a:xfrm>
                      <a:off x="0" y="0"/>
                      <a:ext cx="5269230" cy="5375910"/>
                    </a:xfrm>
                    <a:prstGeom prst="rect">
                      <a:avLst/>
                    </a:prstGeom>
                    <a:noFill/>
                    <a:ln>
                      <a:noFill/>
                    </a:ln>
                  </pic:spPr>
                </pic:pic>
              </a:graphicData>
            </a:graphic>
          </wp:inline>
        </w:drawing>
      </w:r>
    </w:p>
    <w:p>
      <w:pPr>
        <w:pStyle w:val="10"/>
        <w:adjustRightInd w:val="0"/>
        <w:snapToGrid w:val="0"/>
        <w:spacing w:before="0" w:line="360" w:lineRule="auto"/>
        <w:ind w:right="0" w:firstLine="440" w:firstLineChars="200"/>
        <w:jc w:val="center"/>
        <w:rPr>
          <w:rFonts w:hint="eastAsia" w:ascii="宋体" w:hAnsi="宋体" w:eastAsia="宋体" w:cs="宋体"/>
          <w:b w:val="0"/>
          <w:spacing w:val="5"/>
          <w:szCs w:val="21"/>
          <w:lang w:val="en-US"/>
        </w:rPr>
      </w:pPr>
      <w:r>
        <w:rPr>
          <w:rFonts w:hint="eastAsia" w:ascii="宋体" w:hAnsi="宋体" w:eastAsia="宋体" w:cs="宋体"/>
          <w:b w:val="0"/>
          <w:spacing w:val="5"/>
          <w:szCs w:val="21"/>
          <w:lang w:val="en-US"/>
        </w:rPr>
        <w:t>图</w:t>
      </w:r>
      <w:r>
        <w:rPr>
          <w:rFonts w:hint="eastAsia" w:ascii="宋体" w:hAnsi="宋体" w:eastAsia="宋体" w:cs="宋体"/>
          <w:b w:val="0"/>
          <w:spacing w:val="5"/>
          <w:szCs w:val="21"/>
          <w:lang w:val="en-US" w:eastAsia="zh-CN"/>
        </w:rPr>
        <w:t>3</w:t>
      </w:r>
      <w:r>
        <w:rPr>
          <w:rFonts w:hint="eastAsia" w:ascii="宋体" w:hAnsi="宋体" w:eastAsia="宋体" w:cs="宋体"/>
          <w:b w:val="0"/>
          <w:spacing w:val="5"/>
          <w:szCs w:val="21"/>
          <w:lang w:val="en-US"/>
        </w:rPr>
        <w:t>-</w:t>
      </w:r>
      <w:r>
        <w:rPr>
          <w:rFonts w:hint="eastAsia" w:ascii="宋体" w:hAnsi="宋体" w:eastAsia="宋体" w:cs="宋体"/>
          <w:b w:val="0"/>
          <w:spacing w:val="5"/>
          <w:szCs w:val="21"/>
          <w:lang w:val="en-US" w:eastAsia="zh-CN"/>
        </w:rPr>
        <w:t>7警示牌</w:t>
      </w:r>
      <w:r>
        <w:rPr>
          <w:rFonts w:hint="eastAsia" w:ascii="宋体" w:hAnsi="宋体" w:eastAsia="宋体" w:cs="宋体"/>
          <w:b w:val="0"/>
          <w:spacing w:val="5"/>
          <w:szCs w:val="21"/>
          <w:lang w:val="en-US"/>
        </w:rPr>
        <w:t>示意图</w:t>
      </w:r>
    </w:p>
    <w:p>
      <w:pPr>
        <w:pStyle w:val="10"/>
        <w:adjustRightInd w:val="0"/>
        <w:snapToGrid w:val="0"/>
        <w:spacing w:before="0" w:line="360" w:lineRule="auto"/>
        <w:ind w:right="0" w:firstLine="440" w:firstLineChars="200"/>
        <w:rPr>
          <w:rFonts w:hint="eastAsia" w:ascii="宋体" w:hAnsi="宋体" w:eastAsia="宋体" w:cs="宋体"/>
          <w:b w:val="0"/>
          <w:spacing w:val="5"/>
          <w:szCs w:val="21"/>
          <w:lang w:val="en-US" w:eastAsia="zh-CN"/>
        </w:rPr>
      </w:pPr>
      <w:r>
        <w:rPr>
          <w:rFonts w:hint="eastAsia" w:ascii="宋体" w:hAnsi="宋体" w:eastAsia="宋体" w:cs="宋体"/>
          <w:b w:val="0"/>
          <w:spacing w:val="5"/>
          <w:szCs w:val="21"/>
          <w:lang w:val="en-US" w:eastAsia="zh-CN"/>
        </w:rPr>
        <w:t>（2）责任牌</w:t>
      </w:r>
    </w:p>
    <w:p>
      <w:pPr>
        <w:pStyle w:val="10"/>
        <w:adjustRightInd w:val="0"/>
        <w:snapToGrid w:val="0"/>
        <w:spacing w:before="0" w:line="360" w:lineRule="auto"/>
        <w:ind w:right="0" w:firstLine="440" w:firstLineChars="200"/>
        <w:jc w:val="both"/>
        <w:rPr>
          <w:rFonts w:hint="eastAsia" w:ascii="宋体" w:hAnsi="宋体" w:eastAsia="宋体" w:cs="宋体"/>
          <w:spacing w:val="5"/>
          <w:lang w:val="en-US" w:eastAsia="zh-CN"/>
        </w:rPr>
      </w:pPr>
      <w:r>
        <w:rPr>
          <w:rFonts w:hint="eastAsia" w:ascii="宋体" w:hAnsi="宋体" w:eastAsia="宋体" w:cs="宋体"/>
          <w:spacing w:val="5"/>
          <w:lang w:val="en-US" w:eastAsia="zh-CN"/>
        </w:rPr>
        <w:t>本次根据调查成果在行政村（名录如表3-12）竖立责任牌，示意图如图3-8。</w:t>
      </w:r>
    </w:p>
    <w:p>
      <w:pPr>
        <w:bidi w:val="0"/>
        <w:ind w:firstLine="0" w:firstLineChars="0"/>
        <w:jc w:val="center"/>
        <w:rPr>
          <w:rFonts w:hint="eastAsia"/>
          <w:lang w:val="en-US" w:eastAsia="zh-CN"/>
        </w:rPr>
      </w:pPr>
      <w:r>
        <w:rPr>
          <w:rFonts w:hint="eastAsia"/>
          <w:lang w:val="en-US" w:eastAsia="zh-CN"/>
        </w:rPr>
        <w:t>表3-12责任牌安置点名录</w:t>
      </w:r>
    </w:p>
    <w:tbl>
      <w:tblPr>
        <w:tblStyle w:val="16"/>
        <w:tblW w:w="4998" w:type="pct"/>
        <w:tblInd w:w="0" w:type="dxa"/>
        <w:shd w:val="clear" w:color="auto" w:fill="auto"/>
        <w:tblLayout w:type="autofit"/>
        <w:tblCellMar>
          <w:top w:w="0" w:type="dxa"/>
          <w:left w:w="0" w:type="dxa"/>
          <w:bottom w:w="0" w:type="dxa"/>
          <w:right w:w="0" w:type="dxa"/>
        </w:tblCellMar>
      </w:tblPr>
      <w:tblGrid>
        <w:gridCol w:w="1284"/>
        <w:gridCol w:w="3251"/>
        <w:gridCol w:w="2511"/>
        <w:gridCol w:w="1287"/>
      </w:tblGrid>
      <w:tr>
        <w:tblPrEx>
          <w:shd w:val="clear" w:color="auto" w:fill="auto"/>
          <w:tblCellMar>
            <w:top w:w="0" w:type="dxa"/>
            <w:left w:w="0" w:type="dxa"/>
            <w:bottom w:w="0" w:type="dxa"/>
            <w:right w:w="0" w:type="dxa"/>
          </w:tblCellMar>
        </w:tblPrEx>
        <w:trPr>
          <w:trHeight w:val="397" w:hRule="exact"/>
          <w:tblHeader/>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b/>
                <w:i w:val="0"/>
                <w:color w:val="000000"/>
                <w:sz w:val="24"/>
                <w:szCs w:val="24"/>
                <w:u w:val="none"/>
              </w:rPr>
            </w:pPr>
            <w:r>
              <w:rPr>
                <w:rFonts w:hint="default" w:ascii="Times New Roman" w:hAnsi="Times New Roman" w:eastAsia="仿宋" w:cs="Times New Roman"/>
                <w:b/>
                <w:i w:val="0"/>
                <w:color w:val="000000"/>
                <w:kern w:val="0"/>
                <w:sz w:val="24"/>
                <w:szCs w:val="24"/>
                <w:u w:val="none"/>
                <w:lang w:val="en-US" w:eastAsia="zh-CN" w:bidi="ar"/>
              </w:rPr>
              <w:t>序号</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b/>
                <w:i w:val="0"/>
                <w:color w:val="000000"/>
                <w:sz w:val="24"/>
                <w:szCs w:val="24"/>
                <w:u w:val="none"/>
              </w:rPr>
            </w:pPr>
            <w:r>
              <w:rPr>
                <w:rFonts w:hint="default" w:ascii="Times New Roman" w:hAnsi="Times New Roman" w:eastAsia="仿宋" w:cs="Times New Roman"/>
                <w:b/>
                <w:i w:val="0"/>
                <w:color w:val="000000"/>
                <w:kern w:val="0"/>
                <w:sz w:val="24"/>
                <w:szCs w:val="24"/>
                <w:u w:val="none"/>
                <w:lang w:val="en-US" w:eastAsia="zh-CN" w:bidi="ar"/>
              </w:rPr>
              <w:t>乡（镇、街道）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b/>
                <w:i w:val="0"/>
                <w:color w:val="000000"/>
                <w:sz w:val="24"/>
                <w:szCs w:val="24"/>
                <w:u w:val="none"/>
              </w:rPr>
            </w:pPr>
            <w:r>
              <w:rPr>
                <w:rFonts w:hint="default" w:ascii="Times New Roman" w:hAnsi="Times New Roman" w:eastAsia="仿宋" w:cs="Times New Roman"/>
                <w:b/>
                <w:i w:val="0"/>
                <w:color w:val="000000"/>
                <w:kern w:val="0"/>
                <w:sz w:val="24"/>
                <w:szCs w:val="24"/>
                <w:u w:val="none"/>
                <w:lang w:val="en-US" w:eastAsia="zh-CN" w:bidi="ar"/>
              </w:rPr>
              <w:t>行政村</w:t>
            </w:r>
          </w:p>
        </w:tc>
        <w:tc>
          <w:tcPr>
            <w:tcW w:w="771"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b/>
                <w:i w:val="0"/>
                <w:color w:val="000000"/>
                <w:sz w:val="24"/>
                <w:szCs w:val="24"/>
                <w:u w:val="none"/>
              </w:rPr>
            </w:pPr>
            <w:r>
              <w:rPr>
                <w:rFonts w:hint="default" w:ascii="Times New Roman" w:hAnsi="Times New Roman" w:eastAsia="仿宋" w:cs="Times New Roman"/>
                <w:b/>
                <w:i w:val="0"/>
                <w:color w:val="000000"/>
                <w:kern w:val="0"/>
                <w:sz w:val="24"/>
                <w:szCs w:val="24"/>
                <w:u w:val="none"/>
                <w:lang w:val="en-US" w:eastAsia="zh-CN" w:bidi="ar"/>
              </w:rPr>
              <w:t>数量</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sz w:val="24"/>
                <w:szCs w:val="24"/>
                <w:u w:val="none"/>
              </w:rPr>
            </w:pPr>
            <w:r>
              <w:rPr>
                <w:rFonts w:hint="default" w:ascii="Times New Roman" w:hAnsi="Times New Roman" w:eastAsia="仿宋" w:cs="Times New Roman"/>
                <w:i w:val="0"/>
                <w:color w:val="000000"/>
                <w:kern w:val="0"/>
                <w:sz w:val="24"/>
                <w:szCs w:val="24"/>
                <w:u w:val="none"/>
                <w:lang w:val="en-US" w:eastAsia="zh-CN" w:bidi="ar"/>
              </w:rPr>
              <w:t>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仿宋" w:cs="Times New Roman"/>
                <w:i w:val="0"/>
                <w:color w:val="000000"/>
                <w:sz w:val="24"/>
                <w:szCs w:val="24"/>
                <w:u w:val="none"/>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仿宋" w:cs="Times New Roman"/>
                <w:i w:val="0"/>
                <w:color w:val="000000"/>
                <w:sz w:val="24"/>
                <w:szCs w:val="24"/>
                <w:u w:val="none"/>
              </w:rPr>
            </w:pPr>
            <w:r>
              <w:rPr>
                <w:rFonts w:hint="default" w:ascii="Times New Roman" w:hAnsi="Times New Roman" w:eastAsia="仿宋" w:cs="Times New Roman"/>
                <w:i w:val="0"/>
                <w:color w:val="000000"/>
                <w:kern w:val="0"/>
                <w:sz w:val="24"/>
                <w:szCs w:val="24"/>
                <w:u w:val="none"/>
                <w:lang w:val="en-US" w:eastAsia="zh-CN" w:bidi="ar"/>
              </w:rPr>
              <w:t>白鸠村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sz w:val="24"/>
                <w:szCs w:val="24"/>
                <w:u w:val="none"/>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百聚社村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北舒村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大厦口村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方华垅村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洪塘里村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凌塘村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岭口村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桥头村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青珠山村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水阁村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塘边村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屠宅村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溪滩徐村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下陈村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下蒋坞村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新里胡村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芝园村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柏社乡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钟王村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赤溪街道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金桥村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赤溪街道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石龙头村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城头村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凤凰村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国庆村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里董金村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施宅村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双溪村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宋宅村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田畈周村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通津桥村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西塘下村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新联村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新胜村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渔塘村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横溪镇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虞街村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慈源村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大坞陈村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范宅村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肥皂村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甘溪村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佳泽坞村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刘家村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露源村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蟠山村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三峰殿口村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上包村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太平桥村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桐山后金村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余粮山村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芝堰村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黄店镇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朱家村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兰江街道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大阜张村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兰江街道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后陆村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兰江街道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骅骝黄村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兰江街道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兰荫新村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兰江街道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姚村村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兰江街道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映月村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灵洞乡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八石溪村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灵洞乡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板桥村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灵洞乡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洞源村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灵洞乡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甘露源村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灵洞乡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龚塘村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灵洞乡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杨青桥村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大丘田村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大塘村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东方何村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东叶村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汇溪村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马坞村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穆澄源村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盘山口村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菩提源村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山峰村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石渠村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五丰村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五星村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西湖村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溪源村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下杜村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下庄村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新塘源村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严宅村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姚塘下村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源口村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马涧镇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云溪村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朝阳村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戴宅村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东源村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墩头村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聚仁村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刘源村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龙门村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密溪村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密溪岩村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民益村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群声村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石埠村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太阳岭脚村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桃源溪村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团结村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沿塘村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永镇村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镇溪村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梅江镇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祝宅村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女埠街道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见坦村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女埠街道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金家村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女埠街道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郎山村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女埠街道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穆坞村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水亭畲族乡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古塘村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水亭畲族乡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河伯村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水亭畲族乡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柳家村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水亭畲族乡</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午塘新村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香溪镇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北山村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香溪镇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将军村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香溪镇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坑边村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香溪镇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上李村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永昌街道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东风村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永昌街道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瑞溪村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东山项村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范院坞村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焦山村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金湖村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125</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里郎村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126</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沐澡塘村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127</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伍家圩村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128</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游埠镇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下王村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129</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云山街道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白沙岭</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130</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云山街道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陈家井村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131</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云山街道</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蒋里村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132</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诸葛镇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双牌村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133</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诸葛镇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银塘村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134</w:t>
            </w:r>
          </w:p>
        </w:tc>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诸葛镇</w:t>
            </w:r>
          </w:p>
        </w:tc>
        <w:tc>
          <w:tcPr>
            <w:tcW w:w="15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长乐村</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397" w:hRule="exact"/>
        </w:trPr>
        <w:tc>
          <w:tcPr>
            <w:tcW w:w="7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合计</w:t>
            </w:r>
          </w:p>
        </w:tc>
        <w:tc>
          <w:tcPr>
            <w:tcW w:w="4228"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134</w:t>
            </w:r>
          </w:p>
        </w:tc>
      </w:tr>
    </w:tbl>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pPr>
      <w:r>
        <w:drawing>
          <wp:inline distT="0" distB="0" distL="114300" distR="114300">
            <wp:extent cx="5270500" cy="5960110"/>
            <wp:effectExtent l="0" t="0" r="635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a:off x="0" y="0"/>
                      <a:ext cx="5270500" cy="5960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b/>
          <w:bCs/>
          <w:lang w:val="en-US" w:eastAsia="zh-CN"/>
        </w:rPr>
      </w:pPr>
      <w:r>
        <w:rPr>
          <w:rFonts w:hint="eastAsia"/>
          <w:b/>
          <w:bCs/>
          <w:lang w:val="en-US" w:eastAsia="zh-CN"/>
        </w:rPr>
        <w:t>图3-8  责任牌示意图</w:t>
      </w:r>
    </w:p>
    <w:p>
      <w:pPr>
        <w:pStyle w:val="10"/>
        <w:adjustRightInd w:val="0"/>
        <w:snapToGrid w:val="0"/>
        <w:spacing w:before="0" w:line="360" w:lineRule="auto"/>
        <w:ind w:right="0" w:firstLine="440" w:firstLineChars="200"/>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2.山洪灾害防御培训</w:t>
      </w:r>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r>
        <w:rPr>
          <w:rFonts w:hint="eastAsia" w:ascii="宋体" w:hAnsi="宋体" w:eastAsia="宋体" w:cs="宋体"/>
          <w:spacing w:val="5"/>
          <w:kern w:val="0"/>
          <w:sz w:val="21"/>
          <w:szCs w:val="21"/>
          <w:lang w:val="en-US" w:eastAsia="zh-CN" w:bidi="ar-SA"/>
        </w:rPr>
        <w:t>本次组织开展山洪灾害防御培训1次，主要针对乡镇、村级防汛责任人（包括各类网格责任</w:t>
      </w:r>
      <w:r>
        <w:rPr>
          <w:rFonts w:hint="eastAsia" w:ascii="宋体" w:hAnsi="宋体" w:eastAsia="宋体" w:cs="宋体"/>
          <w:spacing w:val="5"/>
          <w:lang w:val="en-US" w:eastAsia="zh-CN"/>
        </w:rPr>
        <w:t>人）、水库、山塘巡查员，进行组织责任体系、应急预案、巡查知识等内容的培训，真正提升基层山洪灾害群测群防能力。</w:t>
      </w:r>
      <w:r>
        <w:rPr>
          <w:rFonts w:hint="eastAsia" w:ascii="宋体" w:hAnsi="宋体" w:eastAsia="宋体" w:cs="宋体"/>
          <w:spacing w:val="5"/>
          <w:lang w:val="en-US"/>
        </w:rPr>
        <w:t>通过培训，提升乡镇（街道）、村（社区）基层防汛责任人和各类水利工程巡查员的履职能力，确保发生灾害时抢险救灾工作科学、有效的开展</w:t>
      </w:r>
      <w:r>
        <w:rPr>
          <w:rFonts w:hint="eastAsia" w:ascii="宋体" w:hAnsi="宋体" w:eastAsia="宋体" w:cs="宋体"/>
          <w:spacing w:val="5"/>
          <w:lang w:val="en-US" w:eastAsia="zh-CN"/>
        </w:rPr>
        <w:t>（由于2021年4月已经组织相关培训，此次培训安排在2022年汛前）</w:t>
      </w:r>
      <w:r>
        <w:rPr>
          <w:rFonts w:hint="eastAsia" w:ascii="宋体" w:hAnsi="宋体" w:eastAsia="宋体" w:cs="宋体"/>
          <w:spacing w:val="5"/>
          <w:lang w:val="en-US"/>
        </w:rPr>
        <w:t>。</w:t>
      </w:r>
    </w:p>
    <w:p>
      <w:pPr>
        <w:pStyle w:val="10"/>
        <w:adjustRightInd w:val="0"/>
        <w:snapToGrid w:val="0"/>
        <w:spacing w:before="0" w:line="360" w:lineRule="auto"/>
        <w:ind w:right="0" w:firstLine="440" w:firstLineChars="200"/>
        <w:rPr>
          <w:rFonts w:hint="eastAsia" w:ascii="宋体" w:hAnsi="宋体" w:eastAsia="宋体" w:cs="宋体"/>
          <w:b w:val="0"/>
          <w:bCs w:val="0"/>
          <w:spacing w:val="5"/>
          <w:lang w:val="en-US" w:eastAsia="zh-CN"/>
        </w:rPr>
      </w:pPr>
      <w:r>
        <w:rPr>
          <w:rFonts w:hint="eastAsia" w:ascii="宋体" w:hAnsi="宋体" w:eastAsia="宋体" w:cs="宋体"/>
          <w:b w:val="0"/>
          <w:bCs w:val="0"/>
          <w:spacing w:val="5"/>
          <w:lang w:val="en-US" w:eastAsia="zh-CN"/>
        </w:rPr>
        <w:t>3.县级演练</w:t>
      </w:r>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r>
        <w:rPr>
          <w:rFonts w:hint="eastAsia" w:ascii="宋体" w:hAnsi="宋体" w:eastAsia="宋体" w:cs="宋体"/>
          <w:spacing w:val="5"/>
          <w:lang w:val="en-US" w:eastAsia="zh-CN"/>
        </w:rPr>
        <w:t>本次拟组织2021年11月30日前开展一场山洪灾害防御应急县级演练。通过开展应急演练，检验应急预案的针对性和可操作性，进一步提高山洪防御组织指挥水平，健全重大汛情应急机制，提高市、镇、村三级组织应对重大灾情的综合处理能力，增强群众自我防范意思、提高自救能力，最大限度地减轻财产损失和避免人员伤亡。</w:t>
      </w:r>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r>
        <w:rPr>
          <w:rFonts w:hint="eastAsia" w:ascii="宋体" w:hAnsi="宋体" w:eastAsia="宋体" w:cs="宋体"/>
          <w:spacing w:val="5"/>
          <w:lang w:val="en-US" w:eastAsia="zh-CN"/>
        </w:rPr>
        <w:t>参加演练的人员应包括水务局领导及工作人员、相关单位领导，演练所在乡镇乡镇领导、工作人员，演练所在村村山洪灾害防御工作人员及部分村民，其它乡镇（街道）山洪灾害防御工作分管领导、水利员。</w:t>
      </w:r>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r>
        <w:rPr>
          <w:rFonts w:hint="eastAsia" w:ascii="宋体" w:hAnsi="宋体" w:eastAsia="宋体" w:cs="宋体"/>
          <w:spacing w:val="5"/>
          <w:lang w:val="en-US" w:eastAsia="zh-CN"/>
        </w:rPr>
        <w:t>演练内容主要包括山洪灾害避险转移、紧急救援、工程抢险等科目。</w:t>
      </w:r>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bookmarkStart w:id="630" w:name="_Toc24054"/>
      <w:bookmarkStart w:id="631" w:name="_Toc29847"/>
      <w:bookmarkStart w:id="632" w:name="_Toc22794"/>
      <w:bookmarkStart w:id="633" w:name="_Toc32591"/>
      <w:bookmarkStart w:id="634" w:name="_Toc4170"/>
      <w:bookmarkStart w:id="635" w:name="_Toc3283"/>
      <w:bookmarkStart w:id="636" w:name="_Toc30361"/>
      <w:bookmarkStart w:id="637" w:name="_Toc10057"/>
      <w:bookmarkStart w:id="638" w:name="_Toc2773"/>
      <w:bookmarkStart w:id="639" w:name="_Toc9089"/>
      <w:bookmarkStart w:id="640" w:name="_Toc1749"/>
      <w:bookmarkStart w:id="641" w:name="_Toc12519"/>
      <w:bookmarkStart w:id="642" w:name="_Toc27208"/>
      <w:r>
        <w:rPr>
          <w:rFonts w:hint="eastAsia" w:ascii="宋体" w:hAnsi="宋体" w:eastAsia="宋体" w:cs="宋体"/>
          <w:spacing w:val="5"/>
          <w:lang w:val="en-US" w:eastAsia="zh-CN"/>
        </w:rPr>
        <w:t>2.2.4 重点山洪沟防洪治理</w:t>
      </w:r>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r>
        <w:rPr>
          <w:rFonts w:hint="eastAsia" w:ascii="宋体" w:hAnsi="宋体" w:eastAsia="宋体" w:cs="宋体"/>
          <w:spacing w:val="5"/>
          <w:lang w:val="en-US" w:eastAsia="zh-CN"/>
        </w:rPr>
        <w:t>兰溪市重点山洪沟防洪治理0条。</w:t>
      </w:r>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bookmarkStart w:id="643" w:name="_Toc29511"/>
      <w:bookmarkStart w:id="644" w:name="_Toc19329"/>
      <w:bookmarkStart w:id="645" w:name="_Toc9496"/>
      <w:bookmarkStart w:id="646" w:name="_Toc18407"/>
      <w:bookmarkStart w:id="647" w:name="_Toc20593"/>
      <w:bookmarkStart w:id="648" w:name="_Toc32685"/>
      <w:bookmarkStart w:id="649" w:name="_Toc10795"/>
      <w:bookmarkStart w:id="650" w:name="_Toc20163"/>
      <w:bookmarkStart w:id="651" w:name="_Toc8983"/>
      <w:bookmarkStart w:id="652" w:name="_Toc21609"/>
      <w:bookmarkStart w:id="653" w:name="_Toc11154"/>
      <w:bookmarkStart w:id="654" w:name="_Toc32169"/>
      <w:bookmarkStart w:id="655" w:name="_Toc32606"/>
      <w:r>
        <w:rPr>
          <w:rFonts w:hint="eastAsia" w:ascii="宋体" w:hAnsi="宋体" w:eastAsia="宋体" w:cs="宋体"/>
          <w:spacing w:val="5"/>
          <w:lang w:val="en-US" w:eastAsia="zh-CN"/>
        </w:rPr>
        <w:t>2.3 工作任务清单</w:t>
      </w:r>
      <w:bookmarkEnd w:id="643"/>
      <w:bookmarkEnd w:id="644"/>
      <w:bookmarkEnd w:id="645"/>
      <w:bookmarkEnd w:id="646"/>
      <w:r>
        <w:rPr>
          <w:rFonts w:hint="eastAsia" w:ascii="宋体" w:hAnsi="宋体" w:eastAsia="宋体" w:cs="宋体"/>
          <w:spacing w:val="5"/>
          <w:lang w:val="en-US" w:eastAsia="zh-CN"/>
        </w:rPr>
        <w:t>汇总</w:t>
      </w:r>
      <w:bookmarkEnd w:id="647"/>
      <w:bookmarkEnd w:id="648"/>
      <w:bookmarkEnd w:id="649"/>
      <w:bookmarkEnd w:id="650"/>
      <w:bookmarkEnd w:id="651"/>
      <w:bookmarkEnd w:id="652"/>
      <w:bookmarkEnd w:id="653"/>
      <w:bookmarkEnd w:id="654"/>
      <w:bookmarkEnd w:id="655"/>
    </w:p>
    <w:p>
      <w:pPr>
        <w:pStyle w:val="10"/>
        <w:adjustRightInd w:val="0"/>
        <w:snapToGrid w:val="0"/>
        <w:spacing w:before="0" w:line="360" w:lineRule="auto"/>
        <w:ind w:right="0" w:firstLine="440" w:firstLineChars="200"/>
        <w:rPr>
          <w:rFonts w:hint="eastAsia" w:ascii="宋体" w:hAnsi="宋体" w:eastAsia="宋体" w:cs="宋体"/>
          <w:spacing w:val="5"/>
          <w:lang w:val="en-US" w:eastAsia="zh-CN"/>
        </w:rPr>
      </w:pPr>
      <w:r>
        <w:rPr>
          <w:rFonts w:hint="eastAsia" w:ascii="宋体" w:hAnsi="宋体" w:eastAsia="宋体" w:cs="宋体"/>
          <w:spacing w:val="5"/>
          <w:lang w:val="en-US" w:eastAsia="zh-CN"/>
        </w:rPr>
        <w:t>根据</w:t>
      </w:r>
      <w:r>
        <w:rPr>
          <w:rFonts w:hint="eastAsia" w:ascii="宋体" w:hAnsi="宋体" w:eastAsia="宋体" w:cs="宋体"/>
          <w:spacing w:val="5"/>
          <w:kern w:val="0"/>
          <w:lang w:val="en-US"/>
        </w:rPr>
        <w:t>《浙江省</w:t>
      </w:r>
      <w:r>
        <w:rPr>
          <w:rFonts w:hint="eastAsia" w:ascii="宋体" w:hAnsi="宋体" w:eastAsia="宋体" w:cs="宋体"/>
          <w:spacing w:val="5"/>
          <w:kern w:val="0"/>
          <w:lang w:val="en-US" w:eastAsia="zh-CN"/>
        </w:rPr>
        <w:t>水利厅关于印发&lt;浙江省第一次水旱灾害风险普查实施方案&gt;的通知</w:t>
      </w:r>
      <w:r>
        <w:rPr>
          <w:rFonts w:hint="eastAsia" w:ascii="宋体" w:hAnsi="宋体" w:eastAsia="宋体" w:cs="宋体"/>
          <w:spacing w:val="5"/>
          <w:kern w:val="0"/>
          <w:lang w:val="en-US"/>
        </w:rPr>
        <w:t>》（</w:t>
      </w:r>
      <w:r>
        <w:rPr>
          <w:rFonts w:hint="eastAsia" w:ascii="宋体" w:hAnsi="宋体" w:eastAsia="宋体" w:cs="宋体"/>
          <w:spacing w:val="5"/>
          <w:kern w:val="0"/>
          <w:lang w:val="en-US" w:eastAsia="zh-CN"/>
        </w:rPr>
        <w:t>浙水灾防</w:t>
      </w:r>
      <w:r>
        <w:rPr>
          <w:rFonts w:hint="eastAsia" w:ascii="宋体" w:hAnsi="宋体" w:eastAsia="宋体" w:cs="宋体"/>
          <w:spacing w:val="5"/>
          <w:kern w:val="0"/>
          <w:lang w:val="en-US"/>
        </w:rPr>
        <w:t>〔202</w:t>
      </w:r>
      <w:r>
        <w:rPr>
          <w:rFonts w:hint="eastAsia" w:ascii="宋体" w:hAnsi="宋体" w:eastAsia="宋体" w:cs="宋体"/>
          <w:spacing w:val="5"/>
          <w:kern w:val="0"/>
          <w:lang w:val="en-US" w:eastAsia="zh-CN"/>
        </w:rPr>
        <w:t>1</w:t>
      </w:r>
      <w:r>
        <w:rPr>
          <w:rFonts w:hint="eastAsia" w:ascii="宋体" w:hAnsi="宋体" w:eastAsia="宋体" w:cs="宋体"/>
          <w:spacing w:val="5"/>
          <w:kern w:val="0"/>
          <w:lang w:val="en-US"/>
        </w:rPr>
        <w:t>〕</w:t>
      </w:r>
      <w:r>
        <w:rPr>
          <w:rFonts w:hint="eastAsia" w:ascii="宋体" w:hAnsi="宋体" w:eastAsia="宋体" w:cs="宋体"/>
          <w:spacing w:val="5"/>
          <w:kern w:val="0"/>
          <w:lang w:val="en-US" w:eastAsia="zh-CN"/>
        </w:rPr>
        <w:t>13</w:t>
      </w:r>
      <w:r>
        <w:rPr>
          <w:rFonts w:hint="eastAsia" w:ascii="宋体" w:hAnsi="宋体" w:eastAsia="宋体" w:cs="宋体"/>
          <w:spacing w:val="5"/>
          <w:kern w:val="0"/>
          <w:lang w:val="en-US"/>
        </w:rPr>
        <w:t>号）</w:t>
      </w:r>
      <w:r>
        <w:rPr>
          <w:rFonts w:hint="eastAsia" w:ascii="宋体" w:hAnsi="宋体" w:eastAsia="宋体" w:cs="宋体"/>
          <w:spacing w:val="5"/>
          <w:lang w:val="en-US" w:eastAsia="zh-CN"/>
        </w:rPr>
        <w:t>、《浙江省水利厅关于做好2021年度山洪灾害防御工作的通知》（浙水灾防〔2021〕4号）和《金华市水利局关于下发2021年度各县（市、区）山洪灾害防治项目工作任务量的通知》（2021年6月），</w:t>
      </w:r>
      <w:r>
        <w:rPr>
          <w:rFonts w:hint="eastAsia" w:ascii="宋体" w:hAnsi="宋体" w:eastAsia="宋体" w:cs="宋体"/>
          <w:spacing w:val="5"/>
          <w:szCs w:val="21"/>
          <w:lang w:val="en-US" w:eastAsia="zh-CN"/>
        </w:rPr>
        <w:t>水旱灾害风险普查和山洪灾害防治的</w:t>
      </w:r>
      <w:r>
        <w:rPr>
          <w:rFonts w:hint="eastAsia" w:ascii="宋体" w:hAnsi="宋体" w:eastAsia="宋体" w:cs="宋体"/>
          <w:spacing w:val="5"/>
          <w:lang w:val="en-US" w:eastAsia="zh-CN"/>
        </w:rPr>
        <w:t>具体工作任务清单汇总见表3-13和表3-14：</w:t>
      </w:r>
    </w:p>
    <w:p>
      <w:pPr>
        <w:pStyle w:val="10"/>
        <w:spacing w:before="110" w:line="338" w:lineRule="auto"/>
        <w:ind w:right="603" w:firstLine="2200" w:firstLineChars="1000"/>
        <w:rPr>
          <w:rFonts w:hint="eastAsia" w:ascii="宋体" w:hAnsi="宋体" w:eastAsia="宋体" w:cs="宋体"/>
          <w:spacing w:val="5"/>
          <w:lang w:val="en-US" w:eastAsia="zh-CN"/>
        </w:rPr>
      </w:pPr>
      <w:r>
        <w:rPr>
          <w:rFonts w:hint="eastAsia" w:ascii="宋体" w:hAnsi="宋体" w:eastAsia="宋体" w:cs="宋体"/>
          <w:spacing w:val="5"/>
          <w:lang w:val="en-US" w:eastAsia="zh-CN"/>
        </w:rPr>
        <w:t>表3-13 兰溪市水旱灾害风险普查工作任务清单表</w:t>
      </w:r>
    </w:p>
    <w:tbl>
      <w:tblPr>
        <w:tblStyle w:val="16"/>
        <w:tblW w:w="4997" w:type="pct"/>
        <w:tblInd w:w="0" w:type="dxa"/>
        <w:shd w:val="clear" w:color="auto" w:fill="auto"/>
        <w:tblLayout w:type="autofit"/>
        <w:tblCellMar>
          <w:top w:w="0" w:type="dxa"/>
          <w:left w:w="0" w:type="dxa"/>
          <w:bottom w:w="0" w:type="dxa"/>
          <w:right w:w="0" w:type="dxa"/>
        </w:tblCellMar>
      </w:tblPr>
      <w:tblGrid>
        <w:gridCol w:w="758"/>
        <w:gridCol w:w="775"/>
        <w:gridCol w:w="1827"/>
        <w:gridCol w:w="714"/>
        <w:gridCol w:w="2719"/>
        <w:gridCol w:w="769"/>
        <w:gridCol w:w="769"/>
      </w:tblGrid>
      <w:tr>
        <w:tblPrEx>
          <w:shd w:val="clear" w:color="auto" w:fill="auto"/>
          <w:tblCellMar>
            <w:top w:w="0" w:type="dxa"/>
            <w:left w:w="0" w:type="dxa"/>
            <w:bottom w:w="0" w:type="dxa"/>
            <w:right w:w="0" w:type="dxa"/>
          </w:tblCellMar>
        </w:tblPrEx>
        <w:trPr>
          <w:trHeight w:val="550" w:hRule="atLeast"/>
          <w:tblHeader/>
        </w:trPr>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宋体" w:hAnsi="宋体" w:eastAsia="宋体" w:cs="宋体"/>
                <w:b/>
                <w:bCs/>
                <w:i w:val="0"/>
                <w:color w:val="000000"/>
                <w:sz w:val="21"/>
                <w:szCs w:val="21"/>
                <w:u w:val="none"/>
              </w:rPr>
            </w:pPr>
            <w:r>
              <w:rPr>
                <w:rFonts w:hint="eastAsia" w:ascii="宋体" w:hAnsi="宋体" w:eastAsia="宋体" w:cs="宋体"/>
                <w:b/>
                <w:bCs/>
                <w:sz w:val="21"/>
                <w:szCs w:val="21"/>
                <w:highlight w:val="none"/>
                <w:lang w:val="en-GB" w:eastAsia="zh-CN"/>
              </w:rPr>
              <w:br w:type="page"/>
            </w:r>
            <w:r>
              <w:rPr>
                <w:rFonts w:hint="eastAsia" w:ascii="宋体" w:hAnsi="宋体" w:eastAsia="宋体" w:cs="宋体"/>
                <w:b/>
                <w:bCs/>
                <w:i w:val="0"/>
                <w:color w:val="000000"/>
                <w:kern w:val="0"/>
                <w:sz w:val="21"/>
                <w:szCs w:val="21"/>
                <w:u w:val="none"/>
                <w:lang w:val="en-US" w:eastAsia="zh-CN" w:bidi="ar"/>
              </w:rPr>
              <w:t>任务</w:t>
            </w:r>
          </w:p>
        </w:tc>
        <w:tc>
          <w:tcPr>
            <w:tcW w:w="156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子任务</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任务分级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具体任务</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sz w:val="21"/>
                <w:szCs w:val="21"/>
                <w:u w:val="none"/>
                <w:lang w:val="en-US"/>
              </w:rPr>
            </w:pPr>
            <w:r>
              <w:rPr>
                <w:rFonts w:hint="eastAsia" w:ascii="宋体" w:hAnsi="宋体" w:eastAsia="宋体" w:cs="宋体"/>
                <w:b/>
                <w:bCs/>
                <w:i w:val="0"/>
                <w:color w:val="000000"/>
                <w:kern w:val="0"/>
                <w:sz w:val="21"/>
                <w:szCs w:val="21"/>
                <w:u w:val="none"/>
                <w:lang w:val="en-US" w:eastAsia="zh-CN" w:bidi="ar"/>
              </w:rPr>
              <w:t>任务量</w:t>
            </w:r>
            <w:r>
              <w:rPr>
                <w:rFonts w:hint="eastAsia" w:ascii="宋体" w:hAnsi="宋体" w:cs="宋体"/>
                <w:b/>
                <w:bCs/>
                <w:i w:val="0"/>
                <w:color w:val="000000"/>
                <w:kern w:val="0"/>
                <w:sz w:val="21"/>
                <w:szCs w:val="21"/>
                <w:u w:val="none"/>
                <w:lang w:val="en-US" w:eastAsia="zh-CN" w:bidi="ar"/>
              </w:rPr>
              <w:t>范围</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b/>
                <w:bCs/>
                <w:i w:val="0"/>
                <w:color w:val="000000"/>
                <w:kern w:val="0"/>
                <w:sz w:val="21"/>
                <w:szCs w:val="21"/>
                <w:u w:val="none"/>
                <w:lang w:val="en-US" w:eastAsia="zh-CN" w:bidi="ar"/>
              </w:rPr>
            </w:pPr>
            <w:r>
              <w:rPr>
                <w:rFonts w:hint="eastAsia" w:cs="宋体"/>
                <w:b/>
                <w:bCs/>
                <w:i w:val="0"/>
                <w:color w:val="000000"/>
                <w:kern w:val="0"/>
                <w:sz w:val="21"/>
                <w:szCs w:val="21"/>
                <w:u w:val="none"/>
                <w:lang w:val="en-US" w:eastAsia="zh-CN" w:bidi="ar"/>
              </w:rPr>
              <w:t>备注</w:t>
            </w:r>
          </w:p>
        </w:tc>
      </w:tr>
      <w:tr>
        <w:tblPrEx>
          <w:tblCellMar>
            <w:top w:w="0" w:type="dxa"/>
            <w:left w:w="0" w:type="dxa"/>
            <w:bottom w:w="0" w:type="dxa"/>
            <w:right w:w="0" w:type="dxa"/>
          </w:tblCellMar>
        </w:tblPrEx>
        <w:trPr>
          <w:trHeight w:val="920" w:hRule="atLeast"/>
        </w:trPr>
        <w:tc>
          <w:tcPr>
            <w:tcW w:w="45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水旱灾害致灾调查与评估</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干旱灾害致灾调查</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县级行政区干旱灾害致灾调查</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县级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pacing w:line="240" w:lineRule="auto"/>
              <w:ind w:leftChars="0"/>
              <w:jc w:val="left"/>
              <w:textAlignment w:val="top"/>
              <w:rPr>
                <w:rFonts w:hint="eastAsia" w:ascii="宋体" w:hAnsi="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1.</w:t>
            </w:r>
            <w:r>
              <w:rPr>
                <w:rFonts w:hint="eastAsia" w:ascii="宋体" w:hAnsi="宋体" w:eastAsia="宋体" w:cs="宋体"/>
                <w:i w:val="0"/>
                <w:color w:val="000000"/>
                <w:kern w:val="0"/>
                <w:sz w:val="21"/>
                <w:szCs w:val="21"/>
                <w:u w:val="none"/>
                <w:lang w:val="en-US" w:eastAsia="zh-CN" w:bidi="ar"/>
              </w:rPr>
              <w:t>开展</w:t>
            </w:r>
            <w:r>
              <w:rPr>
                <w:rFonts w:hint="eastAsia" w:ascii="宋体" w:hAnsi="宋体" w:cs="宋体"/>
                <w:i w:val="0"/>
                <w:color w:val="000000"/>
                <w:kern w:val="0"/>
                <w:sz w:val="21"/>
                <w:szCs w:val="21"/>
                <w:u w:val="none"/>
                <w:lang w:val="en-US" w:eastAsia="zh-CN" w:bidi="ar"/>
              </w:rPr>
              <w:t>兰溪市</w:t>
            </w:r>
            <w:r>
              <w:rPr>
                <w:rFonts w:hint="eastAsia" w:ascii="宋体" w:hAnsi="宋体" w:eastAsia="宋体" w:cs="宋体"/>
                <w:i w:val="0"/>
                <w:color w:val="000000"/>
                <w:kern w:val="0"/>
                <w:sz w:val="21"/>
                <w:szCs w:val="21"/>
                <w:u w:val="none"/>
                <w:lang w:val="en-US" w:eastAsia="zh-CN" w:bidi="ar"/>
              </w:rPr>
              <w:t>行政区干旱灾害致灾调查</w:t>
            </w:r>
            <w:r>
              <w:rPr>
                <w:rFonts w:hint="eastAsia" w:ascii="宋体" w:hAnsi="宋体" w:cs="宋体"/>
                <w:i w:val="0"/>
                <w:color w:val="000000"/>
                <w:kern w:val="0"/>
                <w:sz w:val="21"/>
                <w:szCs w:val="21"/>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pacing w:line="240" w:lineRule="auto"/>
              <w:ind w:leftChars="0"/>
              <w:jc w:val="left"/>
              <w:textAlignment w:val="top"/>
              <w:rPr>
                <w:rFonts w:hint="eastAsia" w:ascii="宋体" w:hAnsi="宋体" w:eastAsia="宋体" w:cs="宋体"/>
                <w:i w:val="0"/>
                <w:color w:val="000000"/>
                <w:sz w:val="21"/>
                <w:szCs w:val="21"/>
                <w:u w:val="none"/>
              </w:rPr>
            </w:pPr>
            <w:r>
              <w:rPr>
                <w:rFonts w:hint="eastAsia" w:cs="宋体"/>
                <w:i w:val="0"/>
                <w:color w:val="000000"/>
                <w:kern w:val="0"/>
                <w:sz w:val="21"/>
                <w:szCs w:val="21"/>
                <w:u w:val="none"/>
                <w:lang w:val="en-US" w:eastAsia="zh-CN" w:bidi="ar"/>
              </w:rPr>
              <w:t>2.</w:t>
            </w:r>
            <w:r>
              <w:rPr>
                <w:rFonts w:hint="eastAsia" w:ascii="宋体" w:hAnsi="宋体" w:eastAsia="宋体" w:cs="宋体"/>
                <w:i w:val="0"/>
                <w:color w:val="000000"/>
                <w:kern w:val="0"/>
                <w:sz w:val="21"/>
                <w:szCs w:val="21"/>
                <w:u w:val="none"/>
                <w:lang w:val="en-US" w:eastAsia="zh-CN" w:bidi="ar"/>
              </w:rPr>
              <w:t>编制</w:t>
            </w:r>
            <w:r>
              <w:rPr>
                <w:rFonts w:hint="eastAsia" w:ascii="宋体" w:hAnsi="宋体" w:cs="宋体"/>
                <w:i w:val="0"/>
                <w:color w:val="000000"/>
                <w:kern w:val="0"/>
                <w:sz w:val="21"/>
                <w:szCs w:val="21"/>
                <w:u w:val="none"/>
                <w:lang w:val="en-US" w:eastAsia="zh-CN" w:bidi="ar"/>
              </w:rPr>
              <w:t>兰溪市</w:t>
            </w:r>
            <w:r>
              <w:rPr>
                <w:rFonts w:hint="eastAsia" w:ascii="宋体" w:hAnsi="宋体" w:eastAsia="宋体" w:cs="宋体"/>
                <w:i w:val="0"/>
                <w:color w:val="000000"/>
                <w:kern w:val="0"/>
                <w:sz w:val="21"/>
                <w:szCs w:val="21"/>
                <w:u w:val="none"/>
                <w:lang w:val="en-US" w:eastAsia="zh-CN" w:bidi="ar"/>
              </w:rPr>
              <w:t>干旱灾害致灾调查成果报告</w:t>
            </w:r>
            <w:r>
              <w:rPr>
                <w:rFonts w:hint="eastAsia" w:ascii="宋体" w:hAnsi="宋体" w:cs="宋体"/>
                <w:i w:val="0"/>
                <w:color w:val="000000"/>
                <w:kern w:val="0"/>
                <w:sz w:val="21"/>
                <w:szCs w:val="21"/>
                <w:u w:val="none"/>
                <w:lang w:val="en-US" w:eastAsia="zh-CN" w:bidi="ar"/>
              </w:rPr>
              <w:t>。</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兰溪市全域</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1253" w:hRule="atLeast"/>
        </w:trPr>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洪水灾害隐患调查与评估</w:t>
            </w:r>
          </w:p>
        </w:tc>
        <w:tc>
          <w:tcPr>
            <w:tcW w:w="156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水利工程洪水灾害隐患调查</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省市县三级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pacing w:line="240" w:lineRule="auto"/>
              <w:ind w:leftChars="0"/>
              <w:jc w:val="both"/>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1.</w:t>
            </w:r>
            <w:r>
              <w:rPr>
                <w:rFonts w:hint="eastAsia" w:ascii="宋体" w:hAnsi="宋体" w:eastAsia="宋体" w:cs="宋体"/>
                <w:i w:val="0"/>
                <w:color w:val="000000"/>
                <w:kern w:val="0"/>
                <w:sz w:val="21"/>
                <w:szCs w:val="21"/>
                <w:u w:val="none"/>
                <w:lang w:val="en-US" w:eastAsia="zh-CN" w:bidi="ar"/>
              </w:rPr>
              <w:t>开展</w:t>
            </w:r>
            <w:r>
              <w:rPr>
                <w:rFonts w:hint="eastAsia" w:cs="宋体"/>
                <w:i w:val="0"/>
                <w:color w:val="000000"/>
                <w:kern w:val="0"/>
                <w:sz w:val="21"/>
                <w:szCs w:val="21"/>
                <w:u w:val="none"/>
                <w:lang w:val="en-US" w:eastAsia="zh-CN" w:bidi="ar"/>
              </w:rPr>
              <w:t>兰溪市</w:t>
            </w:r>
            <w:r>
              <w:rPr>
                <w:rFonts w:hint="eastAsia" w:ascii="宋体" w:hAnsi="宋体" w:eastAsia="宋体" w:cs="宋体"/>
                <w:i w:val="0"/>
                <w:color w:val="000000"/>
                <w:kern w:val="0"/>
                <w:sz w:val="21"/>
                <w:szCs w:val="21"/>
                <w:u w:val="none"/>
                <w:lang w:val="en-US" w:eastAsia="zh-CN" w:bidi="ar"/>
              </w:rPr>
              <w:t>水库</w:t>
            </w:r>
            <w:r>
              <w:rPr>
                <w:rFonts w:hint="eastAsia" w:cs="宋体"/>
                <w:i w:val="0"/>
                <w:color w:val="000000"/>
                <w:kern w:val="0"/>
                <w:sz w:val="21"/>
                <w:szCs w:val="21"/>
                <w:u w:val="none"/>
                <w:lang w:val="en-US" w:eastAsia="zh-CN" w:bidi="ar"/>
              </w:rPr>
              <w:t>（水电站）</w:t>
            </w:r>
            <w:r>
              <w:rPr>
                <w:rFonts w:hint="eastAsia" w:ascii="宋体" w:hAnsi="宋体" w:eastAsia="宋体" w:cs="宋体"/>
                <w:i w:val="0"/>
                <w:color w:val="000000"/>
                <w:kern w:val="0"/>
                <w:sz w:val="21"/>
                <w:szCs w:val="21"/>
                <w:u w:val="none"/>
                <w:lang w:val="en-US" w:eastAsia="zh-CN" w:bidi="ar"/>
              </w:rPr>
              <w:t>、水闸、堤防洪水灾害隐患调查</w:t>
            </w:r>
            <w:r>
              <w:rPr>
                <w:rFonts w:hint="eastAsia" w:cs="宋体"/>
                <w:i w:val="0"/>
                <w:color w:val="000000"/>
                <w:kern w:val="0"/>
                <w:sz w:val="21"/>
                <w:szCs w:val="21"/>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pacing w:line="240" w:lineRule="auto"/>
              <w:ind w:leftChars="0"/>
              <w:jc w:val="both"/>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2.</w:t>
            </w:r>
            <w:r>
              <w:rPr>
                <w:rFonts w:hint="eastAsia" w:ascii="宋体" w:hAnsi="宋体" w:eastAsia="宋体" w:cs="宋体"/>
                <w:i w:val="0"/>
                <w:color w:val="000000"/>
                <w:kern w:val="0"/>
                <w:sz w:val="21"/>
                <w:szCs w:val="21"/>
                <w:u w:val="none"/>
                <w:lang w:val="en-US" w:eastAsia="zh-CN" w:bidi="ar"/>
              </w:rPr>
              <w:t>编制水利工程洪水灾害隐患调查成果报告</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兰溪市全域</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750" w:hRule="atLeast"/>
        </w:trPr>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u w:val="none"/>
              </w:rPr>
            </w:pPr>
          </w:p>
        </w:tc>
        <w:tc>
          <w:tcPr>
            <w:tcW w:w="156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210" w:firstLineChars="10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山丘区重点城集镇山洪风险调查评估</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县级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numPr>
                <w:ilvl w:val="0"/>
                <w:numId w:val="10"/>
              </w:numPr>
              <w:suppressLineNumbers w:val="0"/>
              <w:kinsoku/>
              <w:wordWrap/>
              <w:overflowPunct/>
              <w:topLinePunct w:val="0"/>
              <w:autoSpaceDE/>
              <w:autoSpaceDN/>
              <w:bidi w:val="0"/>
              <w:adjustRightInd/>
              <w:spacing w:line="240" w:lineRule="auto"/>
              <w:ind w:leftChars="0"/>
              <w:jc w:val="left"/>
              <w:textAlignment w:val="top"/>
              <w:rPr>
                <w:rFonts w:hint="eastAsia"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开展</w:t>
            </w:r>
            <w:r>
              <w:rPr>
                <w:rFonts w:hint="eastAsia" w:cs="宋体"/>
                <w:i w:val="0"/>
                <w:color w:val="000000"/>
                <w:kern w:val="0"/>
                <w:sz w:val="21"/>
                <w:szCs w:val="21"/>
                <w:u w:val="none"/>
                <w:lang w:val="en-US" w:eastAsia="zh-CN" w:bidi="ar"/>
              </w:rPr>
              <w:t>兰溪市7个乡镇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山丘区重点集镇山洪风险调查评估</w:t>
            </w:r>
            <w:r>
              <w:rPr>
                <w:rFonts w:hint="eastAsia" w:cs="宋体"/>
                <w:i w:val="0"/>
                <w:color w:val="000000"/>
                <w:kern w:val="0"/>
                <w:sz w:val="21"/>
                <w:szCs w:val="21"/>
                <w:u w:val="none"/>
                <w:lang w:val="en-US" w:eastAsia="zh-CN" w:bidi="ar"/>
              </w:rPr>
              <w:t>；</w:t>
            </w:r>
          </w:p>
          <w:p>
            <w:pPr>
              <w:keepNext w:val="0"/>
              <w:keepLines w:val="0"/>
              <w:pageBreakBefore w:val="0"/>
              <w:widowControl/>
              <w:numPr>
                <w:ilvl w:val="0"/>
                <w:numId w:val="10"/>
              </w:numPr>
              <w:suppressLineNumbers w:val="0"/>
              <w:kinsoku/>
              <w:wordWrap/>
              <w:overflowPunct/>
              <w:topLinePunct w:val="0"/>
              <w:autoSpaceDE/>
              <w:autoSpaceDN/>
              <w:bidi w:val="0"/>
              <w:adjustRightInd/>
              <w:spacing w:line="240" w:lineRule="auto"/>
              <w:ind w:leftChars="0"/>
              <w:jc w:val="left"/>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编制兰溪市7个乡镇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山丘区重点集镇山洪风险调查评估</w:t>
            </w:r>
            <w:r>
              <w:rPr>
                <w:rFonts w:hint="eastAsia" w:cs="宋体"/>
                <w:i w:val="0"/>
                <w:color w:val="000000"/>
                <w:kern w:val="0"/>
                <w:sz w:val="21"/>
                <w:szCs w:val="21"/>
                <w:u w:val="none"/>
                <w:lang w:val="en-US" w:eastAsia="zh-CN" w:bidi="ar"/>
              </w:rPr>
              <w:t>报告；</w:t>
            </w:r>
          </w:p>
          <w:p>
            <w:pPr>
              <w:keepNext w:val="0"/>
              <w:keepLines w:val="0"/>
              <w:pageBreakBefore w:val="0"/>
              <w:widowControl/>
              <w:numPr>
                <w:ilvl w:val="0"/>
                <w:numId w:val="10"/>
              </w:numPr>
              <w:suppressLineNumbers w:val="0"/>
              <w:kinsoku/>
              <w:wordWrap/>
              <w:overflowPunct/>
              <w:topLinePunct w:val="0"/>
              <w:autoSpaceDE/>
              <w:autoSpaceDN/>
              <w:bidi w:val="0"/>
              <w:adjustRightInd/>
              <w:spacing w:line="240" w:lineRule="auto"/>
              <w:ind w:leftChars="0"/>
              <w:jc w:val="left"/>
              <w:textAlignment w:val="top"/>
              <w:rPr>
                <w:rFonts w:hint="eastAsia"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开展</w:t>
            </w:r>
            <w:r>
              <w:rPr>
                <w:rFonts w:hint="eastAsia" w:cs="宋体"/>
                <w:i w:val="0"/>
                <w:color w:val="000000"/>
                <w:kern w:val="0"/>
                <w:sz w:val="21"/>
                <w:szCs w:val="21"/>
                <w:u w:val="none"/>
                <w:lang w:val="en-US" w:eastAsia="zh-CN" w:bidi="ar"/>
              </w:rPr>
              <w:t>兰溪市其余9个乡镇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w:t>
            </w:r>
            <w:r>
              <w:rPr>
                <w:rFonts w:hint="eastAsia" w:cs="宋体"/>
                <w:i w:val="0"/>
                <w:color w:val="000000"/>
                <w:kern w:val="0"/>
                <w:sz w:val="21"/>
                <w:szCs w:val="21"/>
                <w:u w:val="none"/>
                <w:lang w:val="en-US" w:eastAsia="zh-CN" w:bidi="ar"/>
              </w:rPr>
              <w:t>评估与复核评价；</w:t>
            </w:r>
          </w:p>
          <w:p>
            <w:pPr>
              <w:keepNext w:val="0"/>
              <w:keepLines w:val="0"/>
              <w:pageBreakBefore w:val="0"/>
              <w:widowControl/>
              <w:numPr>
                <w:ilvl w:val="0"/>
                <w:numId w:val="10"/>
              </w:numPr>
              <w:suppressLineNumbers w:val="0"/>
              <w:kinsoku/>
              <w:wordWrap/>
              <w:overflowPunct/>
              <w:topLinePunct w:val="0"/>
              <w:autoSpaceDE/>
              <w:autoSpaceDN/>
              <w:bidi w:val="0"/>
              <w:adjustRightInd/>
              <w:spacing w:line="240" w:lineRule="auto"/>
              <w:ind w:leftChars="0"/>
              <w:jc w:val="left"/>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编制其余9个乡镇</w:t>
            </w:r>
            <w:r>
              <w:rPr>
                <w:rFonts w:hint="eastAsia" w:cs="宋体"/>
                <w:color w:val="000000" w:themeColor="text1"/>
                <w:sz w:val="21"/>
                <w:szCs w:val="21"/>
                <w:highlight w:val="none"/>
                <w:lang w:val="en-US" w:eastAsia="zh-CN"/>
                <w14:textFill>
                  <w14:solidFill>
                    <w14:schemeClr w14:val="tx1"/>
                  </w14:solidFill>
                </w14:textFill>
              </w:rPr>
              <w:t>（街道）</w:t>
            </w:r>
            <w:r>
              <w:rPr>
                <w:rFonts w:hint="eastAsia" w:ascii="宋体" w:hAnsi="宋体" w:eastAsia="宋体" w:cs="宋体"/>
                <w:i w:val="0"/>
                <w:color w:val="000000"/>
                <w:kern w:val="0"/>
                <w:sz w:val="21"/>
                <w:szCs w:val="21"/>
                <w:u w:val="none"/>
                <w:lang w:val="en-US" w:eastAsia="zh-CN" w:bidi="ar"/>
              </w:rPr>
              <w:t>山丘区重点集镇山洪风险调查</w:t>
            </w:r>
            <w:r>
              <w:rPr>
                <w:rFonts w:hint="eastAsia" w:cs="宋体"/>
                <w:i w:val="0"/>
                <w:color w:val="000000"/>
                <w:kern w:val="0"/>
                <w:sz w:val="21"/>
                <w:szCs w:val="21"/>
                <w:u w:val="none"/>
                <w:lang w:val="en-US" w:eastAsia="zh-CN" w:bidi="ar"/>
              </w:rPr>
              <w:t>评估与复核评价报告。</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兰溪市全域</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750"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水旱灾害风险评估与区划</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洪水灾害风险评估及区划</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山丘区中小河流洪水淹没图</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省级、县级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1.</w:t>
            </w:r>
            <w:r>
              <w:rPr>
                <w:rFonts w:hint="eastAsia" w:ascii="宋体" w:hAnsi="宋体" w:eastAsia="宋体" w:cs="宋体"/>
                <w:i w:val="0"/>
                <w:color w:val="000000"/>
                <w:kern w:val="0"/>
                <w:sz w:val="21"/>
                <w:szCs w:val="21"/>
                <w:u w:val="none"/>
                <w:lang w:val="en-US" w:eastAsia="zh-CN" w:bidi="ar"/>
              </w:rPr>
              <w:t>兰溪市梅溪不同洪水频率（5年、10年、20年、50年、100年一遇或标准）洪水淹没范围图；</w:t>
            </w:r>
          </w:p>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both"/>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2.</w:t>
            </w:r>
            <w:r>
              <w:rPr>
                <w:rFonts w:hint="eastAsia" w:ascii="宋体" w:hAnsi="宋体" w:eastAsia="宋体" w:cs="宋体"/>
                <w:i w:val="0"/>
                <w:color w:val="000000"/>
                <w:kern w:val="0"/>
                <w:sz w:val="21"/>
                <w:szCs w:val="21"/>
                <w:u w:val="none"/>
                <w:lang w:val="en-US" w:eastAsia="zh-CN" w:bidi="ar"/>
              </w:rPr>
              <w:t>《兰溪市梅溪洪水淹没图编制报告》。</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兰溪市梅溪</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881" w:hRule="exact"/>
        </w:trPr>
        <w:tc>
          <w:tcPr>
            <w:tcW w:w="455" w:type="pct"/>
            <w:vMerge w:val="restart"/>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u w:val="none"/>
                <w:lang w:eastAsia="zh-CN"/>
              </w:rPr>
            </w:pPr>
            <w:r>
              <w:rPr>
                <w:rFonts w:hint="eastAsia" w:ascii="宋体" w:hAnsi="宋体" w:eastAsia="宋体" w:cs="宋体"/>
                <w:i w:val="0"/>
                <w:color w:val="000000"/>
                <w:sz w:val="21"/>
                <w:szCs w:val="21"/>
                <w:u w:val="none"/>
                <w:lang w:eastAsia="zh-CN"/>
              </w:rPr>
              <w:t>其他</w:t>
            </w:r>
          </w:p>
        </w:tc>
        <w:tc>
          <w:tcPr>
            <w:tcW w:w="156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审核汇集</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省级、市级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普查成果审核汇集</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全省</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省级、市级实施</w:t>
            </w:r>
          </w:p>
        </w:tc>
      </w:tr>
      <w:tr>
        <w:tblPrEx>
          <w:tblCellMar>
            <w:top w:w="0" w:type="dxa"/>
            <w:left w:w="0" w:type="dxa"/>
            <w:bottom w:w="0" w:type="dxa"/>
            <w:right w:w="0" w:type="dxa"/>
          </w:tblCellMar>
        </w:tblPrEx>
        <w:trPr>
          <w:trHeight w:val="1131" w:hRule="exact"/>
        </w:trPr>
        <w:tc>
          <w:tcPr>
            <w:tcW w:w="45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240" w:lineRule="auto"/>
              <w:jc w:val="both"/>
              <w:rPr>
                <w:rFonts w:hint="eastAsia" w:ascii="宋体" w:hAnsi="宋体" w:eastAsia="宋体" w:cs="宋体"/>
                <w:i w:val="0"/>
                <w:color w:val="000000"/>
                <w:sz w:val="21"/>
                <w:szCs w:val="21"/>
                <w:u w:val="none"/>
              </w:rPr>
            </w:pPr>
          </w:p>
        </w:tc>
        <w:tc>
          <w:tcPr>
            <w:tcW w:w="156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兰溪市</w:t>
            </w:r>
            <w:r>
              <w:rPr>
                <w:rFonts w:hint="eastAsia" w:ascii="宋体" w:hAnsi="宋体" w:cs="宋体"/>
                <w:i w:val="0"/>
                <w:color w:val="000000"/>
                <w:kern w:val="0"/>
                <w:sz w:val="21"/>
                <w:szCs w:val="21"/>
                <w:u w:val="none"/>
                <w:lang w:val="en-US" w:eastAsia="zh-CN" w:bidi="ar"/>
              </w:rPr>
              <w:t>水旱灾害风险普查培训</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县级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开展兰溪市</w:t>
            </w:r>
            <w:r>
              <w:rPr>
                <w:rFonts w:hint="eastAsia" w:cs="宋体"/>
                <w:i w:val="0"/>
                <w:color w:val="000000"/>
                <w:kern w:val="0"/>
                <w:sz w:val="21"/>
                <w:szCs w:val="21"/>
                <w:u w:val="none"/>
                <w:lang w:val="en-US" w:eastAsia="zh-CN" w:bidi="ar"/>
              </w:rPr>
              <w:t>全域</w:t>
            </w:r>
            <w:r>
              <w:rPr>
                <w:rFonts w:hint="eastAsia" w:ascii="宋体" w:hAnsi="宋体" w:cs="宋体"/>
                <w:i w:val="0"/>
                <w:color w:val="000000"/>
                <w:kern w:val="0"/>
                <w:sz w:val="21"/>
                <w:szCs w:val="21"/>
                <w:u w:val="none"/>
                <w:lang w:val="en-US" w:eastAsia="zh-CN" w:bidi="ar"/>
              </w:rPr>
              <w:t>水旱灾害风险普查培训</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兰溪市全域</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兰溪市根据实际增加的任务并实施</w:t>
            </w:r>
          </w:p>
        </w:tc>
      </w:tr>
      <w:tr>
        <w:tblPrEx>
          <w:tblCellMar>
            <w:top w:w="0" w:type="dxa"/>
            <w:left w:w="0" w:type="dxa"/>
            <w:bottom w:w="0" w:type="dxa"/>
            <w:right w:w="0" w:type="dxa"/>
          </w:tblCellMar>
        </w:tblPrEx>
        <w:trPr>
          <w:trHeight w:val="1518" w:hRule="exact"/>
        </w:trPr>
        <w:tc>
          <w:tcPr>
            <w:tcW w:w="455"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240" w:lineRule="auto"/>
              <w:jc w:val="both"/>
              <w:rPr>
                <w:rFonts w:hint="eastAsia" w:ascii="宋体" w:hAnsi="宋体" w:eastAsia="宋体" w:cs="宋体"/>
                <w:i w:val="0"/>
                <w:color w:val="000000"/>
                <w:sz w:val="21"/>
                <w:szCs w:val="21"/>
                <w:u w:val="none"/>
              </w:rPr>
            </w:pPr>
          </w:p>
        </w:tc>
        <w:tc>
          <w:tcPr>
            <w:tcW w:w="156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编制兰溪市水旱灾害风险普查成果报告</w:t>
            </w:r>
          </w:p>
        </w:tc>
        <w:tc>
          <w:tcPr>
            <w:tcW w:w="4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县级</w:t>
            </w:r>
          </w:p>
        </w:tc>
        <w:tc>
          <w:tcPr>
            <w:tcW w:w="1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编制</w:t>
            </w:r>
            <w:r>
              <w:rPr>
                <w:rFonts w:hint="eastAsia" w:cs="宋体"/>
                <w:i w:val="0"/>
                <w:color w:val="000000"/>
                <w:kern w:val="0"/>
                <w:sz w:val="21"/>
                <w:szCs w:val="21"/>
                <w:u w:val="none"/>
                <w:lang w:val="en-US" w:eastAsia="zh-CN" w:bidi="ar"/>
              </w:rPr>
              <w:t>《兰溪市水旱灾害风险普查成果报告》</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兰溪市全域</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兰溪市根据实际增加的任务并实施</w:t>
            </w:r>
          </w:p>
        </w:tc>
      </w:tr>
    </w:tbl>
    <w:p>
      <w:pPr>
        <w:bidi w:val="0"/>
        <w:ind w:left="0" w:leftChars="0" w:firstLine="0" w:firstLineChars="0"/>
        <w:rPr>
          <w:rFonts w:hint="eastAsia" w:ascii="宋体" w:hAnsi="宋体" w:eastAsia="宋体" w:cs="宋体"/>
          <w:sz w:val="21"/>
          <w:szCs w:val="2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r>
        <w:rPr>
          <w:rFonts w:hint="eastAsia" w:ascii="宋体" w:hAnsi="宋体" w:eastAsia="宋体" w:cs="宋体"/>
          <w:sz w:val="21"/>
          <w:szCs w:val="21"/>
          <w:highlight w:val="none"/>
          <w:lang w:val="en-US" w:eastAsia="zh-CN"/>
        </w:rPr>
        <w:t>备注：</w:t>
      </w:r>
      <w:r>
        <w:rPr>
          <w:rFonts w:hint="eastAsia" w:ascii="宋体" w:hAnsi="宋体" w:eastAsia="宋体" w:cs="宋体"/>
          <w:i w:val="0"/>
          <w:color w:val="000000"/>
          <w:kern w:val="0"/>
          <w:sz w:val="21"/>
          <w:szCs w:val="21"/>
          <w:highlight w:val="none"/>
          <w:u w:val="none"/>
          <w:lang w:val="en-US" w:eastAsia="zh-CN" w:bidi="ar"/>
        </w:rPr>
        <w:t>承灾体（水利设施）</w:t>
      </w:r>
      <w:r>
        <w:rPr>
          <w:rFonts w:hint="eastAsia" w:cs="宋体"/>
          <w:i w:val="0"/>
          <w:color w:val="000000"/>
          <w:kern w:val="0"/>
          <w:sz w:val="21"/>
          <w:szCs w:val="21"/>
          <w:highlight w:val="none"/>
          <w:u w:val="none"/>
          <w:lang w:val="en-US" w:eastAsia="zh-CN" w:bidi="ar"/>
        </w:rPr>
        <w:t>即</w:t>
      </w:r>
      <w:r>
        <w:rPr>
          <w:rFonts w:hint="eastAsia" w:ascii="宋体" w:hAnsi="宋体" w:eastAsia="宋体" w:cs="宋体"/>
          <w:i w:val="0"/>
          <w:color w:val="000000"/>
          <w:kern w:val="0"/>
          <w:sz w:val="21"/>
          <w:szCs w:val="21"/>
          <w:u w:val="none"/>
          <w:lang w:val="en-US" w:eastAsia="zh-CN" w:bidi="ar"/>
        </w:rPr>
        <w:t>洪水灾害隐患调查与评估</w:t>
      </w:r>
    </w:p>
    <w:p>
      <w:pPr>
        <w:bidi w:val="0"/>
        <w:ind w:left="0" w:leftChars="0" w:firstLine="0" w:firstLineChars="0"/>
        <w:jc w:val="center"/>
        <w:rPr>
          <w:rFonts w:hint="default"/>
          <w:highlight w:val="none"/>
          <w:lang w:val="en-US" w:eastAsia="zh-CN"/>
        </w:rPr>
      </w:pPr>
      <w:r>
        <w:rPr>
          <w:rFonts w:hint="eastAsia"/>
          <w:highlight w:val="none"/>
          <w:lang w:val="en-US" w:eastAsia="zh-CN"/>
        </w:rPr>
        <w:t>表3-14 兰溪市2021年度山洪灾害防治项目工作任务清单表</w:t>
      </w:r>
    </w:p>
    <w:tbl>
      <w:tblPr>
        <w:tblStyle w:val="16"/>
        <w:tblW w:w="5044" w:type="pct"/>
        <w:tblInd w:w="0" w:type="dxa"/>
        <w:shd w:val="clear" w:color="auto" w:fill="auto"/>
        <w:tblLayout w:type="autofit"/>
        <w:tblCellMar>
          <w:top w:w="0" w:type="dxa"/>
          <w:left w:w="0" w:type="dxa"/>
          <w:bottom w:w="0" w:type="dxa"/>
          <w:right w:w="0" w:type="dxa"/>
        </w:tblCellMar>
      </w:tblPr>
      <w:tblGrid>
        <w:gridCol w:w="1391"/>
        <w:gridCol w:w="2906"/>
        <w:gridCol w:w="1415"/>
        <w:gridCol w:w="900"/>
        <w:gridCol w:w="3294"/>
      </w:tblGrid>
      <w:tr>
        <w:tblPrEx>
          <w:tblCellMar>
            <w:top w:w="0" w:type="dxa"/>
            <w:left w:w="0" w:type="dxa"/>
            <w:bottom w:w="0" w:type="dxa"/>
            <w:right w:w="0" w:type="dxa"/>
          </w:tblCellMar>
        </w:tblPrEx>
        <w:trPr>
          <w:trHeight w:val="539" w:hRule="exact"/>
          <w:tblHeader/>
        </w:trPr>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cs="宋体"/>
                <w:b/>
                <w:bCs w:val="0"/>
                <w:i w:val="0"/>
                <w:color w:val="000000"/>
                <w:kern w:val="0"/>
                <w:sz w:val="21"/>
                <w:szCs w:val="21"/>
                <w:highlight w:val="none"/>
                <w:u w:val="none"/>
                <w:lang w:val="en-US" w:eastAsia="zh-CN" w:bidi="ar"/>
              </w:rPr>
              <w:t>任务</w:t>
            </w: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cs="宋体"/>
                <w:b/>
                <w:bCs w:val="0"/>
                <w:i w:val="0"/>
                <w:color w:val="000000"/>
                <w:kern w:val="0"/>
                <w:sz w:val="21"/>
                <w:szCs w:val="21"/>
                <w:highlight w:val="none"/>
                <w:u w:val="none"/>
                <w:lang w:val="en-US" w:eastAsia="zh-CN" w:bidi="ar"/>
              </w:rPr>
              <w:t>子任务</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cs="宋体"/>
                <w:b/>
                <w:bCs w:val="0"/>
                <w:i w:val="0"/>
                <w:color w:val="000000"/>
                <w:kern w:val="0"/>
                <w:sz w:val="21"/>
                <w:szCs w:val="21"/>
                <w:highlight w:val="none"/>
                <w:u w:val="none"/>
                <w:lang w:val="en-US" w:eastAsia="zh-CN" w:bidi="ar"/>
              </w:rPr>
              <w:t>单位</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cs="宋体"/>
                <w:b/>
                <w:bCs w:val="0"/>
                <w:i w:val="0"/>
                <w:color w:val="000000"/>
                <w:kern w:val="0"/>
                <w:sz w:val="21"/>
                <w:szCs w:val="21"/>
                <w:highlight w:val="none"/>
                <w:u w:val="none"/>
                <w:lang w:val="en-US" w:eastAsia="zh-CN" w:bidi="ar"/>
              </w:rPr>
              <w:t>数量</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cs="宋体"/>
                <w:b/>
                <w:bCs w:val="0"/>
                <w:i w:val="0"/>
                <w:color w:val="000000"/>
                <w:kern w:val="0"/>
                <w:sz w:val="21"/>
                <w:szCs w:val="21"/>
                <w:highlight w:val="none"/>
                <w:u w:val="none"/>
                <w:lang w:val="en-US" w:eastAsia="zh-CN" w:bidi="ar"/>
              </w:rPr>
            </w:pPr>
            <w:r>
              <w:rPr>
                <w:rFonts w:hint="eastAsia" w:cs="宋体"/>
                <w:b/>
                <w:bCs w:val="0"/>
                <w:i w:val="0"/>
                <w:color w:val="000000"/>
                <w:kern w:val="0"/>
                <w:sz w:val="21"/>
                <w:szCs w:val="21"/>
                <w:highlight w:val="none"/>
                <w:u w:val="none"/>
                <w:lang w:val="en-US" w:eastAsia="zh-CN" w:bidi="ar"/>
              </w:rPr>
              <w:t>备注</w:t>
            </w:r>
          </w:p>
        </w:tc>
      </w:tr>
      <w:tr>
        <w:tblPrEx>
          <w:tblCellMar>
            <w:top w:w="0" w:type="dxa"/>
            <w:left w:w="0" w:type="dxa"/>
            <w:bottom w:w="0" w:type="dxa"/>
            <w:right w:w="0" w:type="dxa"/>
          </w:tblCellMar>
        </w:tblPrEx>
        <w:trPr>
          <w:trHeight w:val="939" w:hRule="exact"/>
        </w:trPr>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补充调查评价</w:t>
            </w: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重点集镇调查评价</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集镇数（个）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此项内容在洪水灾害隐患调查与评估已经开展</w:t>
            </w:r>
          </w:p>
        </w:tc>
      </w:tr>
      <w:tr>
        <w:tblPrEx>
          <w:tblCellMar>
            <w:top w:w="0" w:type="dxa"/>
            <w:left w:w="0" w:type="dxa"/>
            <w:bottom w:w="0" w:type="dxa"/>
            <w:right w:w="0" w:type="dxa"/>
          </w:tblCellMar>
        </w:tblPrEx>
        <w:trPr>
          <w:trHeight w:val="539" w:hRule="exac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重点城镇调查评价</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城镇数（个）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兰溪市全域</w:t>
            </w:r>
          </w:p>
        </w:tc>
      </w:tr>
      <w:tr>
        <w:tblPrEx>
          <w:tblCellMar>
            <w:top w:w="0" w:type="dxa"/>
            <w:left w:w="0" w:type="dxa"/>
            <w:bottom w:w="0" w:type="dxa"/>
            <w:right w:w="0" w:type="dxa"/>
          </w:tblCellMar>
        </w:tblPrEx>
        <w:trPr>
          <w:trHeight w:val="789" w:hRule="exac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其余乡镇街道</w:t>
            </w:r>
            <w:r>
              <w:rPr>
                <w:rFonts w:hint="eastAsia" w:ascii="宋体" w:hAnsi="宋体" w:eastAsia="宋体" w:cs="宋体"/>
                <w:i w:val="0"/>
                <w:color w:val="000000"/>
                <w:kern w:val="0"/>
                <w:sz w:val="21"/>
                <w:szCs w:val="21"/>
                <w:u w:val="none"/>
                <w:lang w:val="en-US" w:eastAsia="zh-CN" w:bidi="ar"/>
              </w:rPr>
              <w:t>山丘区重点集镇山洪风险调查</w:t>
            </w:r>
            <w:r>
              <w:rPr>
                <w:rFonts w:hint="eastAsia" w:cs="宋体"/>
                <w:i w:val="0"/>
                <w:color w:val="000000"/>
                <w:kern w:val="0"/>
                <w:sz w:val="21"/>
                <w:szCs w:val="21"/>
                <w:u w:val="none"/>
                <w:lang w:val="en-US" w:eastAsia="zh-CN" w:bidi="ar"/>
              </w:rPr>
              <w:t>评估与复核评价</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集镇数（个）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9</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此项内容在洪水灾害隐患调查与评估已经开展</w:t>
            </w:r>
          </w:p>
        </w:tc>
      </w:tr>
      <w:tr>
        <w:tblPrEx>
          <w:tblCellMar>
            <w:top w:w="0" w:type="dxa"/>
            <w:left w:w="0" w:type="dxa"/>
            <w:bottom w:w="0" w:type="dxa"/>
            <w:right w:w="0" w:type="dxa"/>
          </w:tblCellMar>
        </w:tblPrEx>
        <w:trPr>
          <w:trHeight w:val="539" w:hRule="exac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沿河村落预警水位划定</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县数（个）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val="0"/>
                <w:bCs w:val="0"/>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兰溪市全域</w:t>
            </w:r>
          </w:p>
        </w:tc>
      </w:tr>
      <w:tr>
        <w:tblPrEx>
          <w:tblCellMar>
            <w:top w:w="0" w:type="dxa"/>
            <w:left w:w="0" w:type="dxa"/>
            <w:bottom w:w="0" w:type="dxa"/>
            <w:right w:w="0" w:type="dxa"/>
          </w:tblCellMar>
        </w:tblPrEx>
        <w:trPr>
          <w:trHeight w:val="539" w:hRule="exac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危险区动态管理清单</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县数（个）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兰溪市全域</w:t>
            </w:r>
          </w:p>
        </w:tc>
      </w:tr>
      <w:tr>
        <w:tblPrEx>
          <w:tblCellMar>
            <w:top w:w="0" w:type="dxa"/>
            <w:left w:w="0" w:type="dxa"/>
            <w:bottom w:w="0" w:type="dxa"/>
            <w:right w:w="0" w:type="dxa"/>
          </w:tblCellMar>
        </w:tblPrEx>
        <w:trPr>
          <w:trHeight w:val="539" w:hRule="exact"/>
        </w:trPr>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群测群防体系</w:t>
            </w: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cs="宋体"/>
                <w:i w:val="0"/>
                <w:color w:val="000000"/>
                <w:kern w:val="0"/>
                <w:sz w:val="21"/>
                <w:szCs w:val="21"/>
                <w:highlight w:val="none"/>
                <w:u w:val="none"/>
                <w:lang w:val="en-US" w:eastAsia="zh-CN" w:bidi="ar"/>
              </w:rPr>
              <w:t>山洪灾害防御指南</w:t>
            </w:r>
            <w:r>
              <w:rPr>
                <w:rFonts w:hint="eastAsia" w:ascii="宋体" w:hAnsi="宋体" w:eastAsia="宋体" w:cs="宋体"/>
                <w:i w:val="0"/>
                <w:color w:val="000000"/>
                <w:kern w:val="0"/>
                <w:sz w:val="21"/>
                <w:szCs w:val="21"/>
                <w:highlight w:val="none"/>
                <w:u w:val="none"/>
                <w:lang w:val="en-US" w:eastAsia="zh-CN" w:bidi="ar"/>
              </w:rPr>
              <w:t>编制</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县数（个）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兰溪市全域</w:t>
            </w:r>
          </w:p>
        </w:tc>
      </w:tr>
      <w:tr>
        <w:tblPrEx>
          <w:tblCellMar>
            <w:top w:w="0" w:type="dxa"/>
            <w:left w:w="0" w:type="dxa"/>
            <w:bottom w:w="0" w:type="dxa"/>
            <w:right w:w="0" w:type="dxa"/>
          </w:tblCellMar>
        </w:tblPrEx>
        <w:trPr>
          <w:trHeight w:val="539" w:hRule="exac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声光电预警设备</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数量（个）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根据兰溪实际增加至9个</w:t>
            </w:r>
          </w:p>
        </w:tc>
      </w:tr>
      <w:tr>
        <w:tblPrEx>
          <w:tblCellMar>
            <w:top w:w="0" w:type="dxa"/>
            <w:left w:w="0" w:type="dxa"/>
            <w:bottom w:w="0" w:type="dxa"/>
            <w:right w:w="0" w:type="dxa"/>
          </w:tblCellMar>
        </w:tblPrEx>
        <w:trPr>
          <w:trHeight w:val="539" w:hRule="exac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i w:val="0"/>
                <w:color w:val="000000"/>
                <w:sz w:val="21"/>
                <w:szCs w:val="21"/>
                <w:highlight w:val="none"/>
                <w:u w:val="none"/>
              </w:rPr>
            </w:pPr>
          </w:p>
        </w:tc>
        <w:tc>
          <w:tcPr>
            <w:tcW w:w="1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cs="宋体"/>
                <w:i w:val="0"/>
                <w:color w:val="000000"/>
                <w:kern w:val="0"/>
                <w:sz w:val="21"/>
                <w:szCs w:val="21"/>
                <w:highlight w:val="none"/>
                <w:u w:val="none"/>
                <w:lang w:val="en-US" w:eastAsia="zh-CN" w:bidi="ar"/>
              </w:rPr>
              <w:t>宣传、培训、演练</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县数（个）</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兰溪市全域</w:t>
            </w:r>
          </w:p>
        </w:tc>
      </w:tr>
    </w:tbl>
    <w:p>
      <w:pPr>
        <w:pStyle w:val="10"/>
        <w:spacing w:before="110" w:line="338" w:lineRule="auto"/>
        <w:ind w:right="603" w:firstLine="622" w:firstLineChars="283"/>
        <w:rPr>
          <w:rFonts w:hint="eastAsia" w:ascii="宋体" w:hAnsi="宋体" w:eastAsia="宋体" w:cs="宋体"/>
          <w:spacing w:val="5"/>
          <w:szCs w:val="21"/>
          <w:lang w:val="en-US" w:eastAsia="zh-CN"/>
        </w:rPr>
      </w:pPr>
    </w:p>
    <w:p>
      <w:pPr>
        <w:pStyle w:val="8"/>
        <w:adjustRightInd w:val="0"/>
        <w:snapToGrid w:val="0"/>
        <w:spacing w:line="360" w:lineRule="auto"/>
        <w:ind w:left="0" w:firstLine="422" w:firstLineChars="200"/>
        <w:rPr>
          <w:b/>
        </w:rPr>
      </w:pPr>
      <w:r>
        <w:rPr>
          <w:b/>
        </w:rPr>
        <w:t>三、进度要求：</w:t>
      </w:r>
    </w:p>
    <w:p>
      <w:pPr>
        <w:bidi w:val="0"/>
        <w:adjustRightInd w:val="0"/>
        <w:snapToGrid w:val="0"/>
        <w:spacing w:line="360" w:lineRule="auto"/>
        <w:ind w:firstLine="420" w:firstLineChars="200"/>
        <w:rPr>
          <w:rFonts w:hint="eastAsia"/>
          <w:sz w:val="21"/>
          <w:szCs w:val="21"/>
          <w:highlight w:val="none"/>
          <w:lang w:val="en-US" w:eastAsia="zh-CN"/>
        </w:rPr>
      </w:pPr>
      <w:r>
        <w:rPr>
          <w:rFonts w:hint="eastAsia"/>
          <w:sz w:val="21"/>
          <w:szCs w:val="21"/>
          <w:highlight w:val="none"/>
          <w:lang w:val="en-US" w:eastAsia="zh-CN"/>
        </w:rPr>
        <w:t>根据相关文件要求，结合兰溪市工作实施，</w:t>
      </w:r>
      <w:r>
        <w:rPr>
          <w:rFonts w:hint="default"/>
          <w:sz w:val="21"/>
          <w:szCs w:val="21"/>
          <w:highlight w:val="none"/>
          <w:lang w:val="en-US" w:eastAsia="zh-CN"/>
        </w:rPr>
        <w:t>202</w:t>
      </w:r>
      <w:r>
        <w:rPr>
          <w:rFonts w:hint="eastAsia"/>
          <w:sz w:val="21"/>
          <w:szCs w:val="21"/>
          <w:highlight w:val="none"/>
          <w:lang w:val="en-US" w:eastAsia="zh-CN"/>
        </w:rPr>
        <w:t>2</w:t>
      </w:r>
      <w:r>
        <w:rPr>
          <w:rFonts w:hint="default"/>
          <w:sz w:val="21"/>
          <w:szCs w:val="21"/>
          <w:highlight w:val="none"/>
          <w:lang w:val="en-US" w:eastAsia="zh-CN"/>
        </w:rPr>
        <w:t>年</w:t>
      </w:r>
      <w:r>
        <w:rPr>
          <w:rFonts w:hint="eastAsia"/>
          <w:sz w:val="21"/>
          <w:szCs w:val="21"/>
          <w:highlight w:val="none"/>
          <w:lang w:val="en-US" w:eastAsia="zh-CN"/>
        </w:rPr>
        <w:t>汛前完成所有建设任务详见表5-1。</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表5-1 兰溪市第一次水旱灾害风险普查实施方案实施计划</w:t>
      </w:r>
    </w:p>
    <w:tbl>
      <w:tblPr>
        <w:tblStyle w:val="16"/>
        <w:tblW w:w="4716" w:type="pct"/>
        <w:jc w:val="center"/>
        <w:shd w:val="clear" w:color="auto" w:fill="auto"/>
        <w:tblLayout w:type="fixed"/>
        <w:tblCellMar>
          <w:top w:w="0" w:type="dxa"/>
          <w:left w:w="0" w:type="dxa"/>
          <w:bottom w:w="0" w:type="dxa"/>
          <w:right w:w="0" w:type="dxa"/>
        </w:tblCellMar>
      </w:tblPr>
      <w:tblGrid>
        <w:gridCol w:w="748"/>
        <w:gridCol w:w="2811"/>
        <w:gridCol w:w="915"/>
        <w:gridCol w:w="803"/>
        <w:gridCol w:w="1993"/>
        <w:gridCol w:w="1993"/>
      </w:tblGrid>
      <w:tr>
        <w:tblPrEx>
          <w:shd w:val="clear" w:color="auto" w:fill="auto"/>
          <w:tblCellMar>
            <w:top w:w="0" w:type="dxa"/>
            <w:left w:w="0" w:type="dxa"/>
            <w:bottom w:w="0" w:type="dxa"/>
            <w:right w:w="0" w:type="dxa"/>
          </w:tblCellMar>
        </w:tblPrEx>
        <w:trPr>
          <w:trHeight w:val="549" w:hRule="exact"/>
          <w:tblHeader/>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序号</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项目名称</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单位</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数量</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cs="宋体"/>
                <w:b/>
                <w:bCs w:val="0"/>
                <w:i w:val="0"/>
                <w:color w:val="000000"/>
                <w:kern w:val="0"/>
                <w:sz w:val="21"/>
                <w:szCs w:val="21"/>
                <w:highlight w:val="none"/>
                <w:u w:val="none"/>
                <w:lang w:val="en-US" w:eastAsia="zh-CN" w:bidi="ar"/>
              </w:rPr>
              <w:t>完成</w:t>
            </w:r>
            <w:r>
              <w:rPr>
                <w:rFonts w:hint="eastAsia" w:ascii="宋体" w:hAnsi="宋体" w:eastAsia="宋体" w:cs="宋体"/>
                <w:b/>
                <w:bCs w:val="0"/>
                <w:i w:val="0"/>
                <w:color w:val="000000"/>
                <w:kern w:val="0"/>
                <w:sz w:val="21"/>
                <w:szCs w:val="21"/>
                <w:highlight w:val="none"/>
                <w:u w:val="none"/>
                <w:lang w:val="en-US" w:eastAsia="zh-CN" w:bidi="ar"/>
              </w:rPr>
              <w:t>时间节点</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r>
              <w:rPr>
                <w:rFonts w:hint="eastAsia" w:ascii="宋体" w:hAnsi="宋体" w:eastAsia="宋体" w:cs="宋体"/>
                <w:b/>
                <w:bCs w:val="0"/>
                <w:i w:val="0"/>
                <w:color w:val="000000"/>
                <w:kern w:val="0"/>
                <w:sz w:val="21"/>
                <w:szCs w:val="21"/>
                <w:highlight w:val="none"/>
                <w:u w:val="none"/>
                <w:lang w:val="en-US" w:eastAsia="zh-CN" w:bidi="ar"/>
              </w:rPr>
              <w:t xml:space="preserve">    备注</w:t>
            </w:r>
          </w:p>
        </w:tc>
      </w:tr>
      <w:tr>
        <w:tblPrEx>
          <w:tblCellMar>
            <w:top w:w="0" w:type="dxa"/>
            <w:left w:w="0" w:type="dxa"/>
            <w:bottom w:w="0" w:type="dxa"/>
            <w:right w:w="0" w:type="dxa"/>
          </w:tblCellMar>
        </w:tblPrEx>
        <w:trPr>
          <w:trHeight w:val="46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一</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水旱灾害风险普查</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val="0"/>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526"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（一）</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水旱灾害致灾调查与评估</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highlight w:val="none"/>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color w:val="000000"/>
                <w:sz w:val="21"/>
                <w:szCs w:val="21"/>
                <w:highlight w:val="none"/>
                <w:u w:val="none"/>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494"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干旱灾害致灾调查</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县级行政区干旱灾害致灾调查</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645"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（二）</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洪水灾害隐患调查与评估</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56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水利工程洪水灾害隐患调查</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山丘区重点集镇山洪风险调查评估</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镇</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662"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3</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其</w:t>
            </w:r>
            <w:r>
              <w:rPr>
                <w:rFonts w:hint="eastAsia" w:ascii="宋体" w:hAnsi="宋体" w:eastAsia="宋体" w:cs="宋体"/>
                <w:i w:val="0"/>
                <w:color w:val="000000"/>
                <w:kern w:val="0"/>
                <w:sz w:val="21"/>
                <w:szCs w:val="21"/>
                <w:highlight w:val="none"/>
                <w:u w:val="none"/>
                <w:lang w:val="en-US" w:eastAsia="zh-CN" w:bidi="ar"/>
              </w:rPr>
              <w:t>余乡镇街道山丘区重点集镇山洪风险调查评估与复核评价</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镇</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2022.1.31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根据兰溪实际增加9个乡镇</w:t>
            </w:r>
          </w:p>
        </w:tc>
      </w:tr>
      <w:tr>
        <w:tblPrEx>
          <w:tblCellMar>
            <w:top w:w="0" w:type="dxa"/>
            <w:left w:w="0" w:type="dxa"/>
            <w:bottom w:w="0" w:type="dxa"/>
            <w:right w:w="0" w:type="dxa"/>
          </w:tblCellMar>
        </w:tblPrEx>
        <w:trPr>
          <w:trHeight w:val="493"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（三）</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水旱灾害风险评估与区划</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526"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洪水灾害风险评估及区划</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493"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山丘区中小河流洪水淹没图</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543"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①</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兰溪市梅溪洪水淹没图</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493"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（四）</w:t>
            </w:r>
          </w:p>
        </w:tc>
        <w:tc>
          <w:tcPr>
            <w:tcW w:w="1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其他</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706"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both"/>
              <w:textAlignment w:val="top"/>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兰溪市</w:t>
            </w:r>
            <w:r>
              <w:rPr>
                <w:rFonts w:hint="eastAsia" w:ascii="宋体" w:hAnsi="宋体" w:cs="宋体"/>
                <w:i w:val="0"/>
                <w:color w:val="000000"/>
                <w:kern w:val="0"/>
                <w:sz w:val="21"/>
                <w:szCs w:val="21"/>
                <w:u w:val="none"/>
                <w:lang w:val="en-US" w:eastAsia="zh-CN" w:bidi="ar"/>
              </w:rPr>
              <w:t>水旱灾害风险普查培训</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2021.8.31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根据兰溪实际增加的任务</w:t>
            </w:r>
          </w:p>
        </w:tc>
      </w:tr>
      <w:tr>
        <w:tblPrEx>
          <w:tblCellMar>
            <w:top w:w="0" w:type="dxa"/>
            <w:left w:w="0" w:type="dxa"/>
            <w:bottom w:w="0" w:type="dxa"/>
            <w:right w:w="0" w:type="dxa"/>
          </w:tblCellMar>
        </w:tblPrEx>
        <w:trPr>
          <w:trHeight w:val="707"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w:t>
            </w:r>
          </w:p>
        </w:tc>
        <w:tc>
          <w:tcPr>
            <w:tcW w:w="1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top"/>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编制兰溪市水旱灾害风险普查成果报告</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2022.1.31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根据兰溪实际增加的任务</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二</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山洪灾害防治</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b/>
                <w:bCs/>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493"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（一）</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补充调查评价</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713"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山丘区重点集镇山洪风险调查评估</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镇</w:t>
            </w:r>
          </w:p>
        </w:tc>
        <w:tc>
          <w:tcPr>
            <w:tcW w:w="433"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w:t>
            </w:r>
          </w:p>
        </w:tc>
        <w:tc>
          <w:tcPr>
            <w:tcW w:w="107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此项内容在洪水灾害隐患调查与评估开展</w:t>
            </w:r>
          </w:p>
        </w:tc>
      </w:tr>
      <w:tr>
        <w:tblPrEx>
          <w:tblCellMar>
            <w:top w:w="0" w:type="dxa"/>
            <w:left w:w="0" w:type="dxa"/>
            <w:bottom w:w="0" w:type="dxa"/>
            <w:right w:w="0" w:type="dxa"/>
          </w:tblCellMar>
        </w:tblPrEx>
        <w:trPr>
          <w:trHeight w:val="7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其</w:t>
            </w:r>
            <w:r>
              <w:rPr>
                <w:rFonts w:hint="eastAsia" w:ascii="宋体" w:hAnsi="宋体" w:eastAsia="宋体" w:cs="宋体"/>
                <w:i w:val="0"/>
                <w:color w:val="000000"/>
                <w:kern w:val="0"/>
                <w:sz w:val="21"/>
                <w:szCs w:val="21"/>
                <w:highlight w:val="none"/>
                <w:u w:val="none"/>
                <w:lang w:val="en-US" w:eastAsia="zh-CN" w:bidi="ar"/>
              </w:rPr>
              <w:t>余乡镇街道山丘区重点集镇山洪风险调查评估与复核评价</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镇</w:t>
            </w:r>
          </w:p>
        </w:tc>
        <w:tc>
          <w:tcPr>
            <w:tcW w:w="433"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w:t>
            </w:r>
          </w:p>
        </w:tc>
        <w:tc>
          <w:tcPr>
            <w:tcW w:w="107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2022.1.31</w:t>
            </w:r>
          </w:p>
        </w:tc>
        <w:tc>
          <w:tcPr>
            <w:tcW w:w="1075"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3</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沿河村落预警水位划定</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46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水位尺安装</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村</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226</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4</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危险区动态管理清单编制</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县</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r>
              <w:rPr>
                <w:rFonts w:hint="eastAsia" w:cs="宋体"/>
                <w:i w:val="0"/>
                <w:color w:val="000000"/>
                <w:kern w:val="0"/>
                <w:sz w:val="21"/>
                <w:szCs w:val="21"/>
                <w:highlight w:val="none"/>
                <w:u w:val="none"/>
                <w:lang w:val="en-US" w:eastAsia="zh-CN" w:bidi="ar"/>
              </w:rPr>
              <w:t>二</w:t>
            </w:r>
            <w:r>
              <w:rPr>
                <w:rFonts w:hint="eastAsia" w:ascii="宋体" w:hAnsi="宋体" w:eastAsia="宋体" w:cs="宋体"/>
                <w:i w:val="0"/>
                <w:color w:val="000000"/>
                <w:kern w:val="0"/>
                <w:sz w:val="21"/>
                <w:szCs w:val="21"/>
                <w:highlight w:val="none"/>
                <w:u w:val="none"/>
                <w:lang w:val="en-US" w:eastAsia="zh-CN" w:bidi="ar"/>
              </w:rPr>
              <w:t>）</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群测群防体系</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山洪灾害防御指南</w:t>
            </w:r>
            <w:r>
              <w:rPr>
                <w:rFonts w:hint="eastAsia" w:ascii="宋体" w:hAnsi="宋体" w:eastAsia="宋体" w:cs="宋体"/>
                <w:i w:val="0"/>
                <w:color w:val="000000"/>
                <w:kern w:val="0"/>
                <w:sz w:val="21"/>
                <w:szCs w:val="21"/>
                <w:highlight w:val="none"/>
                <w:u w:val="none"/>
                <w:lang w:val="en-US" w:eastAsia="zh-CN" w:bidi="ar"/>
              </w:rPr>
              <w:t>编制</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声光电预警设备</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9</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根据兰溪实际增加至9个</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3</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宣传、培训、演练</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标识标牌</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649"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①</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警示牌</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58</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根据兰溪实际确定的数量</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②</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责任牌</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134</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1149"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r>
              <w:rPr>
                <w:rFonts w:hint="eastAsia" w:cs="宋体"/>
                <w:i w:val="0"/>
                <w:color w:val="000000"/>
                <w:kern w:val="0"/>
                <w:sz w:val="21"/>
                <w:szCs w:val="21"/>
                <w:highlight w:val="none"/>
                <w:u w:val="none"/>
                <w:lang w:val="en-US" w:eastAsia="zh-CN" w:bidi="ar"/>
              </w:rPr>
              <w:t>2</w:t>
            </w:r>
            <w:r>
              <w:rPr>
                <w:rFonts w:hint="eastAsia" w:ascii="宋体" w:hAnsi="宋体" w:eastAsia="宋体" w:cs="宋体"/>
                <w:i w:val="0"/>
                <w:color w:val="000000"/>
                <w:kern w:val="0"/>
                <w:sz w:val="21"/>
                <w:szCs w:val="21"/>
                <w:highlight w:val="none"/>
                <w:u w:val="none"/>
                <w:lang w:val="en-US" w:eastAsia="zh-CN" w:bidi="ar"/>
              </w:rPr>
              <w:t>）</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山洪灾害防御</w:t>
            </w:r>
            <w:r>
              <w:rPr>
                <w:rFonts w:hint="eastAsia" w:ascii="宋体" w:hAnsi="宋体" w:eastAsia="宋体" w:cs="宋体"/>
                <w:i w:val="0"/>
                <w:color w:val="000000"/>
                <w:kern w:val="0"/>
                <w:sz w:val="21"/>
                <w:szCs w:val="21"/>
                <w:highlight w:val="none"/>
                <w:u w:val="none"/>
                <w:lang w:val="en-US" w:eastAsia="zh-CN" w:bidi="ar"/>
              </w:rPr>
              <w:t>培训</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场</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2022.3.31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sz w:val="21"/>
                <w:szCs w:val="21"/>
                <w:highlight w:val="none"/>
                <w:lang w:val="en-US" w:eastAsia="zh-CN"/>
              </w:rPr>
              <w:t>此次培训安排在2022年汛前</w:t>
            </w:r>
          </w:p>
        </w:tc>
      </w:tr>
      <w:tr>
        <w:tblPrEx>
          <w:tblCellMar>
            <w:top w:w="0" w:type="dxa"/>
            <w:left w:w="0" w:type="dxa"/>
            <w:bottom w:w="0" w:type="dxa"/>
            <w:right w:w="0" w:type="dxa"/>
          </w:tblCellMar>
        </w:tblPrEx>
        <w:trPr>
          <w:trHeight w:val="680" w:hRule="exac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r>
              <w:rPr>
                <w:rFonts w:hint="eastAsia"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县级</w:t>
            </w:r>
            <w:r>
              <w:rPr>
                <w:rFonts w:hint="eastAsia" w:ascii="宋体" w:hAnsi="宋体" w:eastAsia="宋体" w:cs="宋体"/>
                <w:i w:val="0"/>
                <w:color w:val="000000"/>
                <w:kern w:val="0"/>
                <w:sz w:val="21"/>
                <w:szCs w:val="21"/>
                <w:highlight w:val="none"/>
                <w:u w:val="none"/>
                <w:lang w:val="en-US" w:eastAsia="zh-CN" w:bidi="ar"/>
              </w:rPr>
              <w:t>演练</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场</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2021.11.30</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u w:val="none"/>
                <w:lang w:val="en-US" w:eastAsia="zh-CN" w:bidi="ar"/>
              </w:rPr>
              <w:t>本项目实施</w:t>
            </w:r>
          </w:p>
        </w:tc>
      </w:tr>
    </w:tbl>
    <w:p>
      <w:pPr>
        <w:pStyle w:val="10"/>
        <w:spacing w:line="340" w:lineRule="auto"/>
        <w:ind w:left="218" w:right="4491" w:firstLine="403"/>
        <w:rPr>
          <w:b/>
        </w:rPr>
      </w:pPr>
      <w:r>
        <w:rPr>
          <w:b/>
          <w:spacing w:val="-8"/>
        </w:rPr>
        <w:t>四、质保期：</w:t>
      </w:r>
    </w:p>
    <w:p>
      <w:pPr>
        <w:spacing w:before="0" w:line="338" w:lineRule="auto"/>
        <w:ind w:left="670" w:leftChars="289" w:right="1870" w:hanging="34" w:hangingChars="17"/>
        <w:jc w:val="left"/>
        <w:rPr>
          <w:rFonts w:hint="eastAsia"/>
          <w:sz w:val="21"/>
          <w:lang w:val="en-US" w:eastAsia="zh-CN"/>
        </w:rPr>
      </w:pPr>
      <w:r>
        <w:rPr>
          <w:rFonts w:hint="eastAsia" w:ascii="宋体" w:hAnsi="宋体" w:eastAsia="宋体" w:cs="宋体"/>
          <w:spacing w:val="-9"/>
          <w:lang w:eastAsia="zh-CN"/>
        </w:rPr>
        <w:t>经采购人组织专家评审</w:t>
      </w:r>
      <w:r>
        <w:rPr>
          <w:rFonts w:hint="eastAsia" w:cs="宋体"/>
          <w:spacing w:val="-9"/>
          <w:lang w:eastAsia="zh-CN"/>
        </w:rPr>
        <w:t>最终项目</w:t>
      </w:r>
      <w:r>
        <w:rPr>
          <w:rFonts w:hint="eastAsia" w:ascii="宋体" w:hAnsi="宋体" w:eastAsia="宋体" w:cs="宋体"/>
          <w:spacing w:val="-9"/>
          <w:lang w:eastAsia="zh-CN"/>
        </w:rPr>
        <w:t>验收合格，且提交上级部门认可通过后三</w:t>
      </w:r>
      <w:r>
        <w:rPr>
          <w:rFonts w:hint="eastAsia" w:ascii="宋体" w:hAnsi="宋体" w:eastAsia="宋体" w:cs="宋体"/>
          <w:spacing w:val="-9"/>
        </w:rPr>
        <w:t>年。</w:t>
      </w:r>
      <w:r>
        <w:rPr>
          <w:rFonts w:hint="eastAsia"/>
          <w:sz w:val="21"/>
          <w:lang w:val="en-US" w:eastAsia="zh-CN"/>
        </w:rPr>
        <w:t xml:space="preserve"> </w:t>
      </w:r>
    </w:p>
    <w:p>
      <w:pPr>
        <w:pStyle w:val="10"/>
        <w:snapToGrid/>
        <w:spacing w:after="0" w:line="340" w:lineRule="auto"/>
        <w:ind w:left="218" w:leftChars="0" w:right="4491" w:firstLine="403" w:firstLineChars="0"/>
        <w:jc w:val="left"/>
        <w:rPr>
          <w:rFonts w:hint="default" w:ascii="宋体" w:hAnsi="宋体" w:eastAsia="宋体" w:cs="宋体"/>
          <w:b/>
          <w:spacing w:val="-8"/>
          <w:sz w:val="21"/>
          <w:lang w:val="en-US" w:eastAsia="zh-CN"/>
        </w:rPr>
      </w:pPr>
      <w:r>
        <w:rPr>
          <w:rFonts w:hint="eastAsia" w:ascii="宋体" w:hAnsi="宋体" w:eastAsia="宋体" w:cs="宋体"/>
          <w:b/>
          <w:spacing w:val="-8"/>
          <w:sz w:val="21"/>
          <w:lang w:val="en-US" w:eastAsia="zh-CN"/>
        </w:rPr>
        <w:t>五、</w:t>
      </w:r>
      <w:r>
        <w:rPr>
          <w:rFonts w:hint="default" w:ascii="宋体" w:hAnsi="宋体" w:eastAsia="宋体" w:cs="宋体"/>
          <w:b/>
          <w:spacing w:val="-8"/>
          <w:sz w:val="21"/>
          <w:lang w:val="en-US" w:eastAsia="zh-CN"/>
        </w:rPr>
        <w:t>其他要求：</w:t>
      </w:r>
    </w:p>
    <w:p>
      <w:pPr>
        <w:pStyle w:val="10"/>
        <w:spacing w:line="338" w:lineRule="auto"/>
        <w:ind w:left="218" w:right="498" w:firstLine="420"/>
        <w:rPr>
          <w:rFonts w:hint="eastAsia"/>
          <w:spacing w:val="-11"/>
          <w:lang w:val="en-US" w:eastAsia="zh-CN"/>
        </w:rPr>
      </w:pPr>
      <w:r>
        <w:rPr>
          <w:rFonts w:hint="eastAsia"/>
          <w:spacing w:val="-11"/>
          <w:lang w:val="en-US" w:eastAsia="zh-CN"/>
        </w:rPr>
        <w:t>兰溪市第一次水旱灾害风险普查范围必须涵盖省、市、县相关部门关于此次风险普查要求及省水利厅《关于做好2021年度山洪灾害防御工作的通知》（浙水灾防〔2021〕4号）的所有内容，招标文件及方案中若有缺漏的以省、市、县最新文件为准；若项目实施期间省、市、县相关部门发布最新文件要求的，须按最新文件要求做好相关工作，但合同总价不变。</w:t>
      </w:r>
    </w:p>
    <w:p>
      <w:pPr>
        <w:pStyle w:val="10"/>
        <w:spacing w:line="338" w:lineRule="auto"/>
        <w:ind w:left="218" w:right="498" w:firstLine="420"/>
        <w:rPr>
          <w:rFonts w:hint="eastAsia"/>
          <w:spacing w:val="-11"/>
          <w:lang w:val="en-US" w:eastAsia="zh-CN"/>
        </w:rPr>
      </w:pPr>
      <w:r>
        <w:rPr>
          <w:rFonts w:hint="eastAsia"/>
          <w:spacing w:val="-11"/>
          <w:lang w:val="en-US" w:eastAsia="zh-CN"/>
        </w:rPr>
        <w:t>现场安装设备等项目，根据现场实际由中标人提供施工方案，经采购人、监理单位签证同意后，方可实施。</w:t>
      </w:r>
    </w:p>
    <w:p>
      <w:pPr>
        <w:spacing w:before="0" w:line="338" w:lineRule="auto"/>
        <w:ind w:left="672" w:leftChars="289" w:right="7484" w:hanging="36" w:hangingChars="17"/>
        <w:jc w:val="left"/>
        <w:rPr>
          <w:b/>
          <w:sz w:val="21"/>
          <w:highlight w:val="none"/>
        </w:rPr>
      </w:pPr>
      <w:r>
        <w:rPr>
          <w:rFonts w:hint="eastAsia"/>
          <w:b/>
          <w:sz w:val="21"/>
          <w:highlight w:val="none"/>
          <w:lang w:eastAsia="zh-CN"/>
        </w:rPr>
        <w:t>六</w:t>
      </w:r>
      <w:r>
        <w:rPr>
          <w:b/>
          <w:sz w:val="21"/>
          <w:highlight w:val="none"/>
        </w:rPr>
        <w:t>、付款方式：</w:t>
      </w:r>
    </w:p>
    <w:p>
      <w:pPr>
        <w:pStyle w:val="10"/>
        <w:spacing w:line="338" w:lineRule="auto"/>
        <w:ind w:left="218" w:right="498" w:firstLine="420"/>
      </w:pPr>
      <w:r>
        <w:rPr>
          <w:spacing w:val="-4"/>
        </w:rPr>
        <w:t>在签订合同后，</w:t>
      </w:r>
      <w:r>
        <w:rPr>
          <w:rFonts w:hint="eastAsia"/>
          <w:spacing w:val="-4"/>
          <w:lang w:eastAsia="zh-CN"/>
        </w:rPr>
        <w:t>采购人</w:t>
      </w:r>
      <w:r>
        <w:rPr>
          <w:spacing w:val="-4"/>
        </w:rPr>
        <w:t>支付</w:t>
      </w:r>
      <w:r>
        <w:rPr>
          <w:rFonts w:hint="eastAsia"/>
          <w:spacing w:val="-4"/>
          <w:lang w:eastAsia="zh-CN"/>
        </w:rPr>
        <w:t>中标人</w:t>
      </w:r>
      <w:r>
        <w:rPr>
          <w:spacing w:val="-4"/>
        </w:rPr>
        <w:t>合同款的</w:t>
      </w:r>
      <w:r>
        <w:t>15%</w:t>
      </w:r>
      <w:r>
        <w:rPr>
          <w:rFonts w:hint="eastAsia"/>
          <w:spacing w:val="-2"/>
          <w:lang w:eastAsia="zh-CN"/>
        </w:rPr>
        <w:t>；</w:t>
      </w:r>
      <w:r>
        <w:rPr>
          <w:rFonts w:hint="eastAsia"/>
          <w:spacing w:val="-2"/>
          <w:lang w:val="en-US" w:eastAsia="zh-CN"/>
        </w:rPr>
        <w:t>2021年度12月底前</w:t>
      </w:r>
      <w:r>
        <w:rPr>
          <w:spacing w:val="-2"/>
        </w:rPr>
        <w:t>主要工</w:t>
      </w:r>
      <w:r>
        <w:rPr>
          <w:spacing w:val="-11"/>
        </w:rPr>
        <w:t>作量</w:t>
      </w:r>
      <w:r>
        <w:rPr>
          <w:rFonts w:hint="eastAsia"/>
          <w:spacing w:val="-11"/>
          <w:lang w:eastAsia="zh-CN"/>
        </w:rPr>
        <w:t>经采购人组织专家评审验收合格</w:t>
      </w:r>
      <w:r>
        <w:rPr>
          <w:spacing w:val="-11"/>
        </w:rPr>
        <w:t>，</w:t>
      </w:r>
      <w:r>
        <w:rPr>
          <w:rFonts w:hint="eastAsia"/>
          <w:spacing w:val="-7"/>
          <w:lang w:eastAsia="zh-CN"/>
        </w:rPr>
        <w:t>且提交上级部门认可通过后</w:t>
      </w:r>
      <w:r>
        <w:rPr>
          <w:spacing w:val="-7"/>
        </w:rPr>
        <w:t>，</w:t>
      </w:r>
      <w:r>
        <w:rPr>
          <w:spacing w:val="-11"/>
        </w:rPr>
        <w:t>累计支付至</w:t>
      </w:r>
      <w:r>
        <w:rPr>
          <w:rFonts w:hint="eastAsia"/>
          <w:spacing w:val="-11"/>
          <w:lang w:eastAsia="zh-CN"/>
        </w:rPr>
        <w:t>已完项目报价</w:t>
      </w:r>
      <w:r>
        <w:rPr>
          <w:spacing w:val="-11"/>
        </w:rPr>
        <w:t>的</w:t>
      </w:r>
      <w:r>
        <w:rPr>
          <w:rFonts w:hint="eastAsia"/>
          <w:spacing w:val="-8"/>
          <w:lang w:val="en-US" w:eastAsia="zh-CN"/>
        </w:rPr>
        <w:t>75</w:t>
      </w:r>
      <w:r>
        <w:rPr>
          <w:spacing w:val="-7"/>
        </w:rPr>
        <w:t>%；</w:t>
      </w:r>
      <w:r>
        <w:rPr>
          <w:rFonts w:hint="eastAsia"/>
          <w:spacing w:val="-7"/>
          <w:lang w:eastAsia="zh-CN"/>
        </w:rPr>
        <w:t>项目完成经采购人组织专家评审验收合格，且提交上级部门认可通过后</w:t>
      </w:r>
      <w:r>
        <w:rPr>
          <w:spacing w:val="-7"/>
        </w:rPr>
        <w:t>，退还履约保函，</w:t>
      </w:r>
      <w:r>
        <w:rPr>
          <w:spacing w:val="-12"/>
        </w:rPr>
        <w:t>同时</w:t>
      </w:r>
      <w:r>
        <w:rPr>
          <w:spacing w:val="-13"/>
        </w:rPr>
        <w:t>采购人支付</w:t>
      </w:r>
      <w:r>
        <w:rPr>
          <w:rFonts w:hint="eastAsia"/>
          <w:spacing w:val="-13"/>
          <w:lang w:eastAsia="zh-CN"/>
        </w:rPr>
        <w:t>至合同款的</w:t>
      </w:r>
      <w:r>
        <w:rPr>
          <w:rFonts w:hint="eastAsia"/>
          <w:spacing w:val="-13"/>
          <w:lang w:val="en-US" w:eastAsia="zh-CN"/>
        </w:rPr>
        <w:t>97.5%</w:t>
      </w:r>
      <w:r>
        <w:rPr>
          <w:rFonts w:hint="eastAsia"/>
          <w:spacing w:val="-12"/>
          <w:lang w:eastAsia="zh-CN"/>
        </w:rPr>
        <w:t>；剩余款项在</w:t>
      </w:r>
      <w:r>
        <w:t>质保期满无质量问题</w:t>
      </w:r>
      <w:r>
        <w:rPr>
          <w:rFonts w:hint="eastAsia"/>
          <w:lang w:eastAsia="zh-CN"/>
        </w:rPr>
        <w:t>后一次性支付</w:t>
      </w:r>
      <w:r>
        <w:t>。</w:t>
      </w:r>
    </w:p>
    <w:p>
      <w:pPr>
        <w:spacing w:after="0" w:line="338" w:lineRule="auto"/>
        <w:sectPr>
          <w:pgSz w:w="11910" w:h="16840"/>
          <w:pgMar w:top="1440" w:right="920" w:bottom="1040" w:left="1200" w:header="0" w:footer="852" w:gutter="0"/>
          <w:cols w:space="720" w:num="1"/>
        </w:sectPr>
      </w:pPr>
    </w:p>
    <w:p>
      <w:pPr>
        <w:pStyle w:val="3"/>
        <w:spacing w:before="135"/>
        <w:ind w:left="273"/>
      </w:pPr>
      <w:r>
        <w:t>第四章 投标人须知</w:t>
      </w:r>
    </w:p>
    <w:p>
      <w:pPr>
        <w:pStyle w:val="10"/>
        <w:spacing w:before="11"/>
        <w:rPr>
          <w:b/>
          <w:sz w:val="24"/>
        </w:rPr>
      </w:pPr>
    </w:p>
    <w:p>
      <w:pPr>
        <w:pStyle w:val="8"/>
      </w:pPr>
      <w:r>
        <w:t>一、说明</w:t>
      </w:r>
    </w:p>
    <w:p>
      <w:pPr>
        <w:pStyle w:val="8"/>
        <w:spacing w:before="132"/>
      </w:pPr>
      <w:r>
        <w:t>1、适用范围</w:t>
      </w:r>
    </w:p>
    <w:p>
      <w:pPr>
        <w:pStyle w:val="8"/>
        <w:spacing w:before="129" w:line="357" w:lineRule="auto"/>
        <w:ind w:right="4086" w:firstLine="420"/>
      </w:pPr>
      <w:r>
        <w:t>1.1 本招标文件仅适用于本次招标所叙述的采购项目。2、定义</w:t>
      </w:r>
    </w:p>
    <w:p>
      <w:pPr>
        <w:pStyle w:val="20"/>
        <w:numPr>
          <w:ilvl w:val="1"/>
          <w:numId w:val="11"/>
        </w:numPr>
        <w:tabs>
          <w:tab w:val="left" w:pos="956"/>
        </w:tabs>
        <w:spacing w:before="0" w:after="0" w:line="269" w:lineRule="exact"/>
        <w:ind w:left="955" w:right="0" w:hanging="318"/>
        <w:jc w:val="left"/>
        <w:rPr>
          <w:sz w:val="21"/>
        </w:rPr>
      </w:pPr>
      <w:r>
        <w:rPr>
          <w:sz w:val="21"/>
        </w:rPr>
        <w:t>“招标人”系指组织本次招标的</w:t>
      </w:r>
      <w:r>
        <w:rPr>
          <w:rFonts w:hint="eastAsia"/>
          <w:sz w:val="21"/>
          <w:lang w:eastAsia="zh-CN"/>
        </w:rPr>
        <w:t>杭州中乙信息科技咨询有限公司</w:t>
      </w:r>
      <w:r>
        <w:rPr>
          <w:sz w:val="21"/>
        </w:rPr>
        <w:t>。</w:t>
      </w:r>
    </w:p>
    <w:p>
      <w:pPr>
        <w:pStyle w:val="20"/>
        <w:numPr>
          <w:ilvl w:val="1"/>
          <w:numId w:val="11"/>
        </w:numPr>
        <w:tabs>
          <w:tab w:val="left" w:pos="956"/>
        </w:tabs>
        <w:spacing w:before="130" w:after="0" w:line="240" w:lineRule="auto"/>
        <w:ind w:left="955" w:right="0" w:hanging="318"/>
        <w:jc w:val="left"/>
        <w:rPr>
          <w:sz w:val="21"/>
        </w:rPr>
      </w:pPr>
      <w:r>
        <w:rPr>
          <w:sz w:val="21"/>
        </w:rPr>
        <w:t>“采购人”系指组织本次招标的兰溪市水旱灾害防御中心。</w:t>
      </w:r>
    </w:p>
    <w:p>
      <w:pPr>
        <w:pStyle w:val="20"/>
        <w:numPr>
          <w:ilvl w:val="1"/>
          <w:numId w:val="11"/>
        </w:numPr>
        <w:tabs>
          <w:tab w:val="left" w:pos="956"/>
        </w:tabs>
        <w:spacing w:before="132" w:after="0" w:line="240" w:lineRule="auto"/>
        <w:ind w:left="955" w:right="0" w:hanging="318"/>
        <w:jc w:val="left"/>
        <w:rPr>
          <w:sz w:val="21"/>
        </w:rPr>
      </w:pPr>
      <w:r>
        <w:rPr>
          <w:sz w:val="21"/>
        </w:rPr>
        <w:t>“投标人”系指向招标人提交投标文件的服务承包商；</w:t>
      </w:r>
    </w:p>
    <w:p>
      <w:pPr>
        <w:pStyle w:val="20"/>
        <w:numPr>
          <w:ilvl w:val="1"/>
          <w:numId w:val="11"/>
        </w:numPr>
        <w:tabs>
          <w:tab w:val="left" w:pos="956"/>
        </w:tabs>
        <w:spacing w:before="131" w:after="0" w:line="240" w:lineRule="auto"/>
        <w:ind w:left="955" w:right="0" w:hanging="318"/>
        <w:jc w:val="left"/>
        <w:rPr>
          <w:sz w:val="21"/>
        </w:rPr>
      </w:pPr>
      <w:r>
        <w:rPr>
          <w:spacing w:val="-1"/>
          <w:sz w:val="21"/>
        </w:rPr>
        <w:t>“服 务”系指投标人根据国家及行业标准为招标单位提供的专业技术服务。</w:t>
      </w:r>
    </w:p>
    <w:p>
      <w:pPr>
        <w:pStyle w:val="20"/>
        <w:numPr>
          <w:ilvl w:val="1"/>
          <w:numId w:val="11"/>
        </w:numPr>
        <w:tabs>
          <w:tab w:val="left" w:pos="956"/>
        </w:tabs>
        <w:spacing w:before="130" w:after="0" w:line="240" w:lineRule="auto"/>
        <w:ind w:left="955" w:right="0" w:hanging="318"/>
        <w:jc w:val="left"/>
        <w:rPr>
          <w:sz w:val="21"/>
        </w:rPr>
      </w:pPr>
      <w:r>
        <w:rPr>
          <w:sz w:val="21"/>
        </w:rPr>
        <w:t>“合同期限”系指本招标文件规定的服务起止时间。</w:t>
      </w:r>
    </w:p>
    <w:p>
      <w:pPr>
        <w:pStyle w:val="20"/>
        <w:numPr>
          <w:ilvl w:val="1"/>
          <w:numId w:val="11"/>
        </w:numPr>
        <w:tabs>
          <w:tab w:val="left" w:pos="956"/>
        </w:tabs>
        <w:spacing w:before="131" w:after="0" w:line="240" w:lineRule="auto"/>
        <w:ind w:left="955" w:right="0" w:hanging="318"/>
        <w:jc w:val="left"/>
        <w:rPr>
          <w:sz w:val="21"/>
        </w:rPr>
      </w:pPr>
      <w:r>
        <w:rPr>
          <w:sz w:val="21"/>
        </w:rPr>
        <w:t>“▲”标记的文字系指必须满足不能负偏离或必须应答的条款。</w:t>
      </w:r>
    </w:p>
    <w:p>
      <w:pPr>
        <w:pStyle w:val="8"/>
        <w:spacing w:before="132"/>
      </w:pPr>
      <w:r>
        <w:t>3、合格的投标人</w:t>
      </w:r>
    </w:p>
    <w:p>
      <w:pPr>
        <w:pStyle w:val="20"/>
        <w:numPr>
          <w:ilvl w:val="1"/>
          <w:numId w:val="12"/>
        </w:numPr>
        <w:tabs>
          <w:tab w:val="left" w:pos="1006"/>
        </w:tabs>
        <w:spacing w:before="129" w:after="0" w:line="240" w:lineRule="auto"/>
        <w:ind w:left="1005" w:right="0" w:hanging="368"/>
        <w:jc w:val="both"/>
        <w:rPr>
          <w:sz w:val="21"/>
        </w:rPr>
      </w:pPr>
      <w:r>
        <w:rPr>
          <w:sz w:val="21"/>
        </w:rPr>
        <w:t>满足《中华人民共和国政府采购法》第二十二条规定；</w:t>
      </w:r>
    </w:p>
    <w:p>
      <w:pPr>
        <w:pStyle w:val="20"/>
        <w:numPr>
          <w:ilvl w:val="1"/>
          <w:numId w:val="12"/>
        </w:numPr>
        <w:tabs>
          <w:tab w:val="left" w:pos="1006"/>
        </w:tabs>
        <w:spacing w:before="132" w:after="0" w:line="357" w:lineRule="auto"/>
        <w:ind w:left="218" w:right="601" w:firstLine="420"/>
        <w:jc w:val="both"/>
        <w:rPr>
          <w:sz w:val="21"/>
        </w:rPr>
      </w:pPr>
      <w:r>
        <w:rPr>
          <w:rFonts w:ascii="宋体" w:hAnsi="宋体" w:eastAsia="宋体" w:cs="宋体"/>
          <w:spacing w:val="-2"/>
          <w:w w:val="100"/>
          <w:sz w:val="21"/>
        </w:rPr>
        <w:t>截至投标截止时间前，投标人未被列入“信用中国”网(</w:t>
      </w:r>
      <w:r>
        <w:rPr>
          <w:rFonts w:ascii="宋体" w:hAnsi="宋体" w:eastAsia="宋体" w:cs="宋体"/>
          <w:spacing w:val="-2"/>
          <w:sz w:val="21"/>
        </w:rPr>
        <w:fldChar w:fldCharType="begin"/>
      </w:r>
      <w:r>
        <w:rPr>
          <w:rFonts w:ascii="宋体" w:hAnsi="宋体" w:eastAsia="宋体" w:cs="宋体"/>
          <w:spacing w:val="-2"/>
          <w:sz w:val="21"/>
        </w:rPr>
        <w:instrText xml:space="preserve"> HYPERLINK "http://www.creditchina.gov.cn/" \h </w:instrText>
      </w:r>
      <w:r>
        <w:rPr>
          <w:rFonts w:ascii="宋体" w:hAnsi="宋体" w:eastAsia="宋体" w:cs="宋体"/>
          <w:spacing w:val="-2"/>
          <w:sz w:val="21"/>
        </w:rPr>
        <w:fldChar w:fldCharType="separate"/>
      </w:r>
      <w:r>
        <w:rPr>
          <w:rFonts w:ascii="宋体" w:hAnsi="宋体" w:eastAsia="宋体" w:cs="宋体"/>
          <w:spacing w:val="-2"/>
          <w:w w:val="100"/>
          <w:sz w:val="21"/>
        </w:rPr>
        <w:t>www.creditchina.gov.cn</w:t>
      </w:r>
      <w:r>
        <w:rPr>
          <w:rFonts w:ascii="宋体" w:hAnsi="宋体" w:eastAsia="宋体" w:cs="宋体"/>
          <w:spacing w:val="-2"/>
          <w:w w:val="100"/>
          <w:sz w:val="21"/>
        </w:rPr>
        <w:fldChar w:fldCharType="end"/>
      </w:r>
      <w:r>
        <w:rPr>
          <w:rFonts w:ascii="宋体" w:hAnsi="宋体" w:eastAsia="宋体" w:cs="宋体"/>
          <w:spacing w:val="-2"/>
          <w:w w:val="100"/>
          <w:sz w:val="21"/>
        </w:rPr>
        <w:t xml:space="preserve">)和“中 </w:t>
      </w:r>
      <w:r>
        <w:rPr>
          <w:spacing w:val="-2"/>
          <w:w w:val="95"/>
          <w:sz w:val="21"/>
        </w:rPr>
        <w:t xml:space="preserve">  </w:t>
      </w:r>
      <w:r>
        <w:rPr>
          <w:spacing w:val="-2"/>
          <w:sz w:val="21"/>
        </w:rPr>
        <w:t>国政府采购网”（</w:t>
      </w:r>
      <w:r>
        <w:fldChar w:fldCharType="begin"/>
      </w:r>
      <w:r>
        <w:instrText xml:space="preserve"> HYPERLINK "http://www.ccgp.gov.cn/" \h </w:instrText>
      </w:r>
      <w:r>
        <w:fldChar w:fldCharType="separate"/>
      </w:r>
      <w:r>
        <w:rPr>
          <w:spacing w:val="-2"/>
          <w:sz w:val="21"/>
        </w:rPr>
        <w:t>www.ccgp.gov.cn</w:t>
      </w:r>
      <w:r>
        <w:rPr>
          <w:spacing w:val="-2"/>
          <w:sz w:val="21"/>
        </w:rPr>
        <w:fldChar w:fldCharType="end"/>
      </w:r>
      <w:r>
        <w:rPr>
          <w:spacing w:val="-2"/>
          <w:sz w:val="21"/>
        </w:rPr>
        <w:t>）失信被执行人、重大税收违法案件当事人名单、政府采购严重违法失信行为记录名单的。</w:t>
      </w:r>
    </w:p>
    <w:p>
      <w:pPr>
        <w:pStyle w:val="20"/>
        <w:numPr>
          <w:ilvl w:val="1"/>
          <w:numId w:val="12"/>
        </w:numPr>
        <w:tabs>
          <w:tab w:val="left" w:pos="1006"/>
        </w:tabs>
        <w:spacing w:before="0" w:after="0" w:line="357" w:lineRule="auto"/>
        <w:ind w:left="218" w:right="5420" w:firstLine="420"/>
        <w:jc w:val="left"/>
        <w:rPr>
          <w:b/>
          <w:sz w:val="21"/>
        </w:rPr>
      </w:pPr>
      <w:r>
        <w:rPr>
          <w:sz w:val="21"/>
        </w:rPr>
        <w:t xml:space="preserve">本《招标文件》中所要求其它条件； </w:t>
      </w:r>
      <w:r>
        <w:rPr>
          <w:b/>
          <w:sz w:val="21"/>
        </w:rPr>
        <w:t>4、投标费用</w:t>
      </w:r>
    </w:p>
    <w:p>
      <w:pPr>
        <w:pStyle w:val="8"/>
        <w:spacing w:line="357" w:lineRule="auto"/>
        <w:ind w:right="572" w:firstLine="420"/>
      </w:pPr>
      <w:r>
        <w:t>4.1</w:t>
      </w:r>
      <w:r>
        <w:rPr>
          <w:spacing w:val="-10"/>
        </w:rPr>
        <w:t xml:space="preserve"> 不论投标过程中的作法和结果如何，投标人应承担所有与投标有关的全部费用。招标人在任何情况下均无义务和责任承担上述这些费用。</w:t>
      </w:r>
    </w:p>
    <w:p>
      <w:pPr>
        <w:pStyle w:val="8"/>
        <w:spacing w:line="355" w:lineRule="auto"/>
        <w:ind w:right="7775"/>
      </w:pPr>
      <w:r>
        <w:t>二、招标文件细则 5</w:t>
      </w:r>
      <w:r>
        <w:rPr>
          <w:spacing w:val="-2"/>
        </w:rPr>
        <w:t>、招标文件的组成</w:t>
      </w:r>
    </w:p>
    <w:p>
      <w:pPr>
        <w:pStyle w:val="8"/>
        <w:numPr>
          <w:ilvl w:val="1"/>
          <w:numId w:val="13"/>
        </w:numPr>
        <w:tabs>
          <w:tab w:val="left" w:pos="1008"/>
        </w:tabs>
        <w:spacing w:before="0" w:after="0" w:line="357" w:lineRule="auto"/>
        <w:ind w:left="218" w:right="577" w:firstLine="420"/>
        <w:jc w:val="both"/>
      </w:pPr>
      <w:r>
        <w:rPr>
          <w:rFonts w:ascii="宋体" w:hAnsi="宋体" w:eastAsia="宋体" w:cs="宋体"/>
          <w:spacing w:val="-5"/>
          <w:w w:val="100"/>
        </w:rPr>
        <w:t xml:space="preserve">招标文件除本《招标文件》内容外，招标人在招标期间发出的质疑回答、补遗文件和其它   </w:t>
      </w:r>
      <w:r>
        <w:rPr>
          <w:rFonts w:ascii="宋体" w:hAnsi="宋体" w:eastAsia="宋体" w:cs="宋体"/>
          <w:spacing w:val="-5"/>
        </w:rPr>
        <w:t>正</w:t>
      </w:r>
      <w:r>
        <w:rPr>
          <w:spacing w:val="-5"/>
        </w:rPr>
        <w:t>式有效函件，均构成招标文件的组成部分。</w:t>
      </w:r>
    </w:p>
    <w:p>
      <w:pPr>
        <w:pStyle w:val="20"/>
        <w:numPr>
          <w:ilvl w:val="1"/>
          <w:numId w:val="13"/>
        </w:numPr>
        <w:tabs>
          <w:tab w:val="left" w:pos="1059"/>
        </w:tabs>
        <w:spacing w:before="0" w:after="0" w:line="357" w:lineRule="auto"/>
        <w:ind w:left="218" w:right="606" w:firstLine="420"/>
        <w:jc w:val="both"/>
        <w:rPr>
          <w:sz w:val="21"/>
        </w:rPr>
      </w:pPr>
      <w:r>
        <w:rPr>
          <w:rFonts w:ascii="宋体" w:hAnsi="宋体" w:eastAsia="宋体" w:cs="宋体"/>
          <w:spacing w:val="-9"/>
          <w:w w:val="100"/>
          <w:sz w:val="21"/>
        </w:rPr>
        <w:t xml:space="preserve">投标人应认真对照阅读招标文件中所有的事项、格式、条款和技术规范等。投标人没有按   照招标文件要求提交全部资料，或者投标人没有对招标文件在各方面都做出实质性响应是投标人的   </w:t>
      </w:r>
      <w:r>
        <w:rPr>
          <w:spacing w:val="-9"/>
          <w:sz w:val="21"/>
        </w:rPr>
        <w:t>风险，并可能导致其投标被拒绝。</w:t>
      </w:r>
    </w:p>
    <w:p>
      <w:pPr>
        <w:pStyle w:val="8"/>
        <w:spacing w:line="266" w:lineRule="exact"/>
      </w:pPr>
      <w:r>
        <w:t>6、质疑和投诉</w:t>
      </w:r>
    </w:p>
    <w:p>
      <w:pPr>
        <w:pStyle w:val="20"/>
        <w:numPr>
          <w:ilvl w:val="1"/>
          <w:numId w:val="14"/>
        </w:numPr>
        <w:tabs>
          <w:tab w:val="left" w:pos="1006"/>
        </w:tabs>
        <w:spacing w:before="127" w:after="0" w:line="357" w:lineRule="auto"/>
        <w:ind w:left="218" w:right="603" w:firstLine="420"/>
        <w:jc w:val="both"/>
        <w:rPr>
          <w:sz w:val="21"/>
        </w:rPr>
      </w:pPr>
      <w:r>
        <w:rPr>
          <w:spacing w:val="-2"/>
          <w:sz w:val="21"/>
        </w:rPr>
        <w:t>投标人认为招标文件、招标过程或中标结果使自己的合法权益受到损害的，应当在知道或者应知其权益受到损害之日起七个工作日内，以书面形式向采购代理机构提出质疑。</w:t>
      </w:r>
    </w:p>
    <w:p>
      <w:pPr>
        <w:pStyle w:val="20"/>
        <w:numPr>
          <w:ilvl w:val="1"/>
          <w:numId w:val="14"/>
        </w:numPr>
        <w:tabs>
          <w:tab w:val="left" w:pos="1006"/>
        </w:tabs>
        <w:spacing w:before="0" w:after="0" w:line="357" w:lineRule="auto"/>
        <w:ind w:left="218" w:right="601" w:firstLine="420"/>
        <w:jc w:val="both"/>
        <w:rPr>
          <w:sz w:val="21"/>
        </w:rPr>
      </w:pPr>
      <w:r>
        <w:rPr>
          <w:spacing w:val="-3"/>
          <w:sz w:val="21"/>
        </w:rPr>
        <w:t>质疑应当以书面形式提出，格式见《政</w:t>
      </w:r>
      <w:r>
        <w:rPr>
          <w:rFonts w:ascii="宋体" w:hAnsi="宋体" w:eastAsia="宋体" w:cs="宋体"/>
          <w:spacing w:val="-9"/>
          <w:sz w:val="21"/>
        </w:rPr>
        <w:t>府采购质疑和投诉办法》（财政部令第 94 号）附</w:t>
      </w:r>
      <w:r>
        <w:rPr>
          <w:rFonts w:ascii="宋体" w:hAnsi="宋体" w:eastAsia="宋体" w:cs="宋体"/>
          <w:spacing w:val="-9"/>
          <w:w w:val="100"/>
          <w:sz w:val="21"/>
        </w:rPr>
        <w:t>件范本，下载网址：浙江政府采购网，位置：“首页-下载专区-质疑投诉模板”。供应商提出质疑</w:t>
      </w:r>
      <w:r>
        <w:rPr>
          <w:rFonts w:ascii="宋体" w:hAnsi="宋体" w:eastAsia="宋体" w:cs="宋体"/>
          <w:spacing w:val="-9"/>
          <w:sz w:val="21"/>
        </w:rPr>
        <w:t>应当提交质疑函和必要的证明材料。质疑函应当包括下列内容：</w:t>
      </w:r>
    </w:p>
    <w:p>
      <w:pPr>
        <w:pStyle w:val="10"/>
        <w:spacing w:line="266" w:lineRule="exact"/>
        <w:ind w:left="638"/>
        <w:jc w:val="both"/>
      </w:pPr>
      <w:r>
        <w:t>a 供应商的姓名或者名称、地址、邮编、联系人及联系电话；</w:t>
      </w:r>
    </w:p>
    <w:p>
      <w:pPr>
        <w:spacing w:after="0" w:line="266" w:lineRule="exact"/>
        <w:jc w:val="both"/>
        <w:sectPr>
          <w:pgSz w:w="11910" w:h="16840"/>
          <w:pgMar w:top="1580" w:right="920" w:bottom="1040" w:left="1200" w:header="0" w:footer="852" w:gutter="0"/>
          <w:cols w:space="720" w:num="1"/>
        </w:sectPr>
      </w:pPr>
    </w:p>
    <w:p>
      <w:pPr>
        <w:pStyle w:val="10"/>
        <w:spacing w:before="50"/>
        <w:ind w:left="638"/>
      </w:pPr>
      <w:r>
        <w:t>b 质疑项目的名称、编号；</w:t>
      </w:r>
    </w:p>
    <w:p>
      <w:pPr>
        <w:pStyle w:val="10"/>
        <w:spacing w:before="130" w:line="357" w:lineRule="auto"/>
        <w:ind w:left="638" w:right="4302"/>
      </w:pPr>
      <w:r>
        <w:t>c 具体、明确的质疑事项和与质疑事项相关的请求； d 事实依据；</w:t>
      </w:r>
    </w:p>
    <w:p>
      <w:pPr>
        <w:pStyle w:val="10"/>
        <w:spacing w:line="355" w:lineRule="auto"/>
        <w:ind w:left="638" w:right="7259"/>
      </w:pPr>
      <w:r>
        <w:t>e 必要的法律依据； f 提出质疑的日期。</w:t>
      </w:r>
    </w:p>
    <w:p>
      <w:pPr>
        <w:pStyle w:val="10"/>
        <w:spacing w:before="2" w:line="357" w:lineRule="auto"/>
        <w:ind w:left="218" w:right="603" w:firstLine="420"/>
        <w:jc w:val="both"/>
      </w:pPr>
      <w:r>
        <w:t>供应商为自然人的，应当由</w:t>
      </w:r>
      <w:r>
        <w:rPr>
          <w:rFonts w:ascii="宋体" w:hAnsi="宋体" w:eastAsia="宋体" w:cs="宋体"/>
          <w:spacing w:val="-10"/>
        </w:rPr>
        <w:t>本人签字；供应商为法人或者其他组织的，应当由法定代 表人、</w:t>
      </w:r>
      <w:r>
        <w:rPr>
          <w:rFonts w:ascii="宋体" w:hAnsi="宋体" w:eastAsia="宋体" w:cs="宋体"/>
          <w:spacing w:val="-10"/>
          <w:w w:val="100"/>
        </w:rPr>
        <w:t>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w:t>
      </w:r>
      <w:r>
        <w:rPr>
          <w:spacing w:val="-10"/>
        </w:rPr>
        <w:t>齐的，采购人自收到补齐材料之日起受理；逾期未补齐的，按自动撤回质疑处理。</w:t>
      </w:r>
    </w:p>
    <w:p>
      <w:pPr>
        <w:pStyle w:val="8"/>
        <w:spacing w:line="264" w:lineRule="exact"/>
      </w:pPr>
      <w:r>
        <w:t>7、招标文件的修改</w:t>
      </w:r>
    </w:p>
    <w:p>
      <w:pPr>
        <w:pStyle w:val="20"/>
        <w:numPr>
          <w:ilvl w:val="1"/>
          <w:numId w:val="15"/>
        </w:numPr>
        <w:tabs>
          <w:tab w:val="left" w:pos="1006"/>
        </w:tabs>
        <w:spacing w:before="132" w:after="0" w:line="357" w:lineRule="auto"/>
        <w:ind w:left="218" w:right="603" w:firstLine="420"/>
        <w:jc w:val="both"/>
        <w:rPr>
          <w:sz w:val="21"/>
        </w:rPr>
      </w:pPr>
      <w:r>
        <w:rPr>
          <w:rFonts w:ascii="宋体" w:hAnsi="宋体" w:eastAsia="宋体" w:cs="宋体"/>
          <w:spacing w:val="-10"/>
          <w:w w:val="100"/>
          <w:sz w:val="21"/>
          <w:szCs w:val="21"/>
        </w:rPr>
        <w:t xml:space="preserve">在投标截止时间前，招标人有权修改招标文件。招标人可主动地或在解答投标人提出的澄   </w:t>
      </w:r>
      <w:r>
        <w:rPr>
          <w:spacing w:val="-2"/>
          <w:sz w:val="21"/>
        </w:rPr>
        <w:t>清问题时对招标文件进行修改。</w:t>
      </w:r>
    </w:p>
    <w:p>
      <w:pPr>
        <w:pStyle w:val="20"/>
        <w:numPr>
          <w:ilvl w:val="1"/>
          <w:numId w:val="15"/>
        </w:numPr>
        <w:tabs>
          <w:tab w:val="left" w:pos="1006"/>
        </w:tabs>
        <w:spacing w:before="0" w:after="0" w:line="357" w:lineRule="auto"/>
        <w:ind w:left="218" w:right="603" w:firstLine="420"/>
        <w:jc w:val="both"/>
        <w:rPr>
          <w:sz w:val="21"/>
        </w:rPr>
      </w:pPr>
      <w:r>
        <w:rPr>
          <w:rFonts w:ascii="宋体" w:hAnsi="宋体" w:eastAsia="宋体" w:cs="宋体"/>
          <w:spacing w:val="-10"/>
          <w:w w:val="100"/>
          <w:sz w:val="21"/>
          <w:szCs w:val="21"/>
        </w:rPr>
        <w:t xml:space="preserve">招标文件的修改将以书面形式通知所有购买招标文件的投标人，并对其具有约束力。投标   </w:t>
      </w:r>
      <w:r>
        <w:rPr>
          <w:rFonts w:ascii="宋体" w:hAnsi="宋体" w:eastAsia="宋体" w:cs="宋体"/>
          <w:spacing w:val="-10"/>
          <w:sz w:val="21"/>
          <w:szCs w:val="21"/>
        </w:rPr>
        <w:t>人在收到上述通知后，应立即向招标人回函确认</w:t>
      </w:r>
      <w:r>
        <w:rPr>
          <w:spacing w:val="-2"/>
          <w:sz w:val="21"/>
        </w:rPr>
        <w:t>。</w:t>
      </w:r>
    </w:p>
    <w:p>
      <w:pPr>
        <w:pStyle w:val="20"/>
        <w:numPr>
          <w:ilvl w:val="1"/>
          <w:numId w:val="15"/>
        </w:numPr>
        <w:tabs>
          <w:tab w:val="left" w:pos="1006"/>
        </w:tabs>
        <w:spacing w:before="0" w:after="0" w:line="355" w:lineRule="auto"/>
        <w:ind w:left="218" w:right="606" w:firstLine="420"/>
        <w:jc w:val="both"/>
        <w:rPr>
          <w:sz w:val="21"/>
        </w:rPr>
      </w:pPr>
      <w:r>
        <w:rPr>
          <w:rFonts w:ascii="宋体" w:hAnsi="宋体" w:eastAsia="宋体" w:cs="宋体"/>
          <w:spacing w:val="-10"/>
          <w:w w:val="100"/>
          <w:sz w:val="21"/>
          <w:szCs w:val="21"/>
        </w:rPr>
        <w:t xml:space="preserve">为使投标人准备投标时有充分时间对招标文件的修改部分进行研究，招标人可在投标截止   </w:t>
      </w:r>
      <w:r>
        <w:rPr>
          <w:rFonts w:ascii="宋体" w:hAnsi="宋体" w:eastAsia="宋体" w:cs="宋体"/>
          <w:spacing w:val="-10"/>
          <w:sz w:val="21"/>
          <w:szCs w:val="21"/>
        </w:rPr>
        <w:t>前通知投标人，适当</w:t>
      </w:r>
      <w:r>
        <w:rPr>
          <w:spacing w:val="-1"/>
          <w:sz w:val="21"/>
        </w:rPr>
        <w:t>延长投标截止期。</w:t>
      </w:r>
    </w:p>
    <w:p>
      <w:pPr>
        <w:pStyle w:val="20"/>
        <w:numPr>
          <w:ilvl w:val="1"/>
          <w:numId w:val="15"/>
        </w:numPr>
        <w:tabs>
          <w:tab w:val="left" w:pos="1006"/>
        </w:tabs>
        <w:spacing w:before="0" w:after="0" w:line="357" w:lineRule="auto"/>
        <w:ind w:left="218" w:right="601" w:firstLine="420"/>
        <w:jc w:val="both"/>
        <w:rPr>
          <w:rFonts w:ascii="宋体" w:hAnsi="宋体" w:eastAsia="宋体" w:cs="宋体"/>
          <w:spacing w:val="-10"/>
          <w:sz w:val="21"/>
          <w:szCs w:val="21"/>
        </w:rPr>
      </w:pPr>
      <w:r>
        <w:rPr>
          <w:spacing w:val="-3"/>
          <w:sz w:val="21"/>
        </w:rPr>
        <w:t>招标文件的澄清、答疑、</w:t>
      </w:r>
      <w:r>
        <w:rPr>
          <w:rFonts w:ascii="宋体" w:hAnsi="宋体" w:eastAsia="宋体" w:cs="宋体"/>
          <w:spacing w:val="-10"/>
          <w:sz w:val="21"/>
          <w:szCs w:val="21"/>
        </w:rPr>
        <w:t>修改、补充文件是招标文件的组成部分，投标人须按照招标文件</w:t>
      </w:r>
      <w:r>
        <w:rPr>
          <w:rFonts w:ascii="宋体" w:hAnsi="宋体" w:eastAsia="宋体" w:cs="宋体"/>
          <w:spacing w:val="-10"/>
          <w:w w:val="100"/>
          <w:sz w:val="21"/>
          <w:szCs w:val="21"/>
        </w:rPr>
        <w:t>的澄清、答疑、修改、补充文件的要求参与投标，投标人没有做出实质性响应是投标人的风险，并</w:t>
      </w:r>
      <w:r>
        <w:rPr>
          <w:rFonts w:ascii="宋体" w:hAnsi="宋体" w:eastAsia="宋体" w:cs="宋体"/>
          <w:spacing w:val="-10"/>
          <w:sz w:val="21"/>
          <w:szCs w:val="21"/>
        </w:rPr>
        <w:t>可能导致其投标被拒绝。</w:t>
      </w:r>
    </w:p>
    <w:p>
      <w:pPr>
        <w:pStyle w:val="8"/>
        <w:spacing w:line="266" w:lineRule="exact"/>
      </w:pPr>
      <w:r>
        <w:t>三、投标文件</w:t>
      </w:r>
    </w:p>
    <w:p>
      <w:pPr>
        <w:pStyle w:val="8"/>
        <w:spacing w:before="132"/>
      </w:pPr>
      <w:r>
        <w:t>8、投标文件的语言、计量及货币</w:t>
      </w:r>
    </w:p>
    <w:p>
      <w:pPr>
        <w:pStyle w:val="20"/>
        <w:numPr>
          <w:ilvl w:val="1"/>
          <w:numId w:val="16"/>
        </w:numPr>
        <w:tabs>
          <w:tab w:val="left" w:pos="1006"/>
        </w:tabs>
        <w:spacing w:before="129" w:after="0" w:line="240" w:lineRule="auto"/>
        <w:ind w:left="1005" w:right="0" w:hanging="368"/>
        <w:jc w:val="left"/>
        <w:rPr>
          <w:sz w:val="21"/>
        </w:rPr>
      </w:pPr>
      <w:r>
        <w:rPr>
          <w:sz w:val="21"/>
        </w:rPr>
        <w:t>投标及投标人与采购有关的来往通知、函件和文件均应使用中文编写。</w:t>
      </w:r>
    </w:p>
    <w:p>
      <w:pPr>
        <w:pStyle w:val="20"/>
        <w:numPr>
          <w:ilvl w:val="1"/>
          <w:numId w:val="16"/>
        </w:numPr>
        <w:tabs>
          <w:tab w:val="left" w:pos="1006"/>
        </w:tabs>
        <w:spacing w:before="132" w:after="0" w:line="240" w:lineRule="auto"/>
        <w:ind w:left="1005" w:right="0" w:hanging="368"/>
        <w:jc w:val="left"/>
        <w:rPr>
          <w:sz w:val="21"/>
        </w:rPr>
      </w:pPr>
      <w:r>
        <w:rPr>
          <w:sz w:val="21"/>
        </w:rPr>
        <w:t>除在技术规格中另有规定外，计量单位应使用公制单位。</w:t>
      </w:r>
    </w:p>
    <w:p>
      <w:pPr>
        <w:pStyle w:val="20"/>
        <w:numPr>
          <w:ilvl w:val="1"/>
          <w:numId w:val="16"/>
        </w:numPr>
        <w:tabs>
          <w:tab w:val="left" w:pos="1006"/>
        </w:tabs>
        <w:spacing w:before="131" w:after="0" w:line="355" w:lineRule="auto"/>
        <w:ind w:left="218" w:right="5840" w:firstLine="420"/>
        <w:jc w:val="left"/>
        <w:rPr>
          <w:b/>
          <w:sz w:val="21"/>
        </w:rPr>
      </w:pPr>
      <w:r>
        <w:rPr>
          <w:sz w:val="21"/>
        </w:rPr>
        <w:t>投标货币为人民币，单位为元。</w:t>
      </w:r>
      <w:r>
        <w:rPr>
          <w:b/>
          <w:sz w:val="21"/>
        </w:rPr>
        <w:t>9、对投标文件的要求</w:t>
      </w:r>
    </w:p>
    <w:p>
      <w:pPr>
        <w:pStyle w:val="20"/>
        <w:numPr>
          <w:ilvl w:val="1"/>
          <w:numId w:val="17"/>
        </w:numPr>
        <w:tabs>
          <w:tab w:val="left" w:pos="1006"/>
        </w:tabs>
        <w:spacing w:before="3" w:after="0" w:line="357" w:lineRule="auto"/>
        <w:ind w:left="218" w:right="603" w:firstLine="420"/>
        <w:jc w:val="left"/>
        <w:rPr>
          <w:sz w:val="21"/>
        </w:rPr>
      </w:pPr>
      <w:r>
        <w:rPr>
          <w:rFonts w:ascii="宋体" w:hAnsi="宋体" w:eastAsia="宋体" w:cs="宋体"/>
          <w:spacing w:val="0"/>
          <w:w w:val="100"/>
          <w:sz w:val="21"/>
        </w:rPr>
        <w:t>投标人应仔细阅读招标文件的所有内容，按招标文件的要求提供投标文件，并保证所提供</w:t>
      </w:r>
      <w:r>
        <w:rPr>
          <w:rFonts w:ascii="宋体" w:hAnsi="宋体" w:eastAsia="宋体" w:cs="宋体"/>
          <w:spacing w:val="0"/>
          <w:sz w:val="21"/>
        </w:rPr>
        <w:t>的全部资料的真实性，以使其投标对招标文件做出实质性响应，</w:t>
      </w:r>
      <w:r>
        <w:rPr>
          <w:spacing w:val="-2"/>
          <w:sz w:val="21"/>
        </w:rPr>
        <w:t>否则，其投标可能被拒绝。</w:t>
      </w:r>
    </w:p>
    <w:p>
      <w:pPr>
        <w:pStyle w:val="8"/>
        <w:numPr>
          <w:ilvl w:val="1"/>
          <w:numId w:val="17"/>
        </w:numPr>
        <w:tabs>
          <w:tab w:val="left" w:pos="1013"/>
        </w:tabs>
        <w:spacing w:before="0" w:after="0" w:line="357" w:lineRule="auto"/>
        <w:ind w:left="218" w:right="575" w:firstLine="420"/>
        <w:jc w:val="left"/>
      </w:pPr>
      <w:r>
        <w:t>在招标文件对服务技术要求中，投标人必须充分应答应满足采购人的强制性的需求，如“▲”等，否则将导致废标。</w:t>
      </w:r>
    </w:p>
    <w:p>
      <w:pPr>
        <w:pStyle w:val="20"/>
        <w:numPr>
          <w:ilvl w:val="1"/>
          <w:numId w:val="17"/>
        </w:numPr>
        <w:tabs>
          <w:tab w:val="left" w:pos="1006"/>
        </w:tabs>
        <w:spacing w:before="0" w:after="0" w:line="355" w:lineRule="auto"/>
        <w:ind w:left="218" w:right="606" w:firstLine="420"/>
        <w:jc w:val="left"/>
        <w:rPr>
          <w:sz w:val="21"/>
        </w:rPr>
      </w:pPr>
      <w:r>
        <w:rPr>
          <w:rFonts w:ascii="宋体" w:hAnsi="宋体" w:eastAsia="宋体" w:cs="宋体"/>
          <w:spacing w:val="0"/>
          <w:w w:val="100"/>
          <w:sz w:val="21"/>
        </w:rPr>
        <w:t>投标人须对所参投的服务的专利等知识产权负责，因知识产权问题引起的纠纷由投标人自</w:t>
      </w:r>
      <w:r>
        <w:rPr>
          <w:rFonts w:ascii="宋体" w:hAnsi="宋体" w:eastAsia="宋体" w:cs="宋体"/>
          <w:spacing w:val="0"/>
          <w:sz w:val="21"/>
        </w:rPr>
        <w:t>行承担，采购方不承</w:t>
      </w:r>
      <w:r>
        <w:rPr>
          <w:spacing w:val="-1"/>
          <w:sz w:val="21"/>
        </w:rPr>
        <w:t>担因此产生的任何责任。</w:t>
      </w:r>
    </w:p>
    <w:p>
      <w:pPr>
        <w:pStyle w:val="8"/>
      </w:pPr>
      <w:r>
        <w:t>10、投标文件的组成</w:t>
      </w:r>
    </w:p>
    <w:p>
      <w:pPr>
        <w:spacing w:before="132" w:line="355" w:lineRule="auto"/>
        <w:ind w:left="218" w:right="572" w:firstLine="420"/>
        <w:jc w:val="left"/>
        <w:rPr>
          <w:b/>
          <w:sz w:val="21"/>
        </w:rPr>
      </w:pPr>
      <w:r>
        <w:rPr>
          <w:sz w:val="21"/>
        </w:rPr>
        <w:t>10.1</w:t>
      </w:r>
      <w:r>
        <w:rPr>
          <w:spacing w:val="-6"/>
          <w:sz w:val="21"/>
        </w:rPr>
        <w:t xml:space="preserve"> 投标文件由资格证明文件、技术商务标和价格标组成。</w:t>
      </w:r>
      <w:r>
        <w:rPr>
          <w:b/>
          <w:sz w:val="21"/>
          <w:u w:val="single"/>
        </w:rPr>
        <w:t>电子投标文件中所须加盖公章部</w:t>
      </w:r>
      <w:r>
        <w:rPr>
          <w:b/>
          <w:spacing w:val="-2"/>
          <w:sz w:val="21"/>
          <w:u w:val="single"/>
        </w:rPr>
        <w:t xml:space="preserve">分均采用 </w:t>
      </w:r>
      <w:r>
        <w:rPr>
          <w:b/>
          <w:sz w:val="21"/>
          <w:u w:val="single"/>
        </w:rPr>
        <w:t>CA</w:t>
      </w:r>
      <w:r>
        <w:rPr>
          <w:b/>
          <w:spacing w:val="-1"/>
          <w:sz w:val="21"/>
          <w:u w:val="single"/>
        </w:rPr>
        <w:t xml:space="preserve"> 签章。投标人应根据“政采云供应商项目采购-电子交易操作指南”及本招标文件规</w:t>
      </w:r>
    </w:p>
    <w:p>
      <w:pPr>
        <w:spacing w:after="0" w:line="355" w:lineRule="auto"/>
        <w:jc w:val="left"/>
        <w:rPr>
          <w:sz w:val="21"/>
        </w:rPr>
        <w:sectPr>
          <w:pgSz w:w="11910" w:h="16840"/>
          <w:pgMar w:top="1460" w:right="920" w:bottom="1040" w:left="1200" w:header="0" w:footer="852" w:gutter="0"/>
          <w:cols w:space="720" w:num="1"/>
        </w:sectPr>
      </w:pPr>
    </w:p>
    <w:p>
      <w:pPr>
        <w:pStyle w:val="8"/>
        <w:spacing w:before="50"/>
      </w:pPr>
      <w:r>
        <w:rPr>
          <w:u w:val="single"/>
        </w:rPr>
        <w:t>定的格式和顺序编制电子响应文件并进行关联定位。</w:t>
      </w:r>
    </w:p>
    <w:p>
      <w:pPr>
        <w:pStyle w:val="8"/>
        <w:spacing w:before="130" w:line="357" w:lineRule="auto"/>
        <w:ind w:right="570" w:firstLine="410"/>
        <w:jc w:val="both"/>
      </w:pPr>
      <w:r>
        <w:t>▲10.2</w:t>
      </w:r>
      <w:r>
        <w:rPr>
          <w:spacing w:val="-3"/>
        </w:rPr>
        <w:t xml:space="preserve"> 递交的投标文件应分为资格证明文件、技术商务标和价格标，资格证明文件、技术商务标为除价格报价及价格组成外的所有内容。</w:t>
      </w:r>
      <w:r>
        <w:rPr>
          <w:spacing w:val="-7"/>
          <w:u w:val="single"/>
        </w:rPr>
        <w:t>资格证明文件、技术商务标不得含价格报价，否则作废标处理</w:t>
      </w:r>
      <w:r>
        <w:rPr>
          <w:spacing w:val="-7"/>
        </w:rPr>
        <w:t>。</w:t>
      </w:r>
    </w:p>
    <w:p>
      <w:pPr>
        <w:pStyle w:val="8"/>
        <w:numPr>
          <w:ilvl w:val="1"/>
          <w:numId w:val="18"/>
        </w:numPr>
        <w:tabs>
          <w:tab w:val="left" w:pos="1114"/>
        </w:tabs>
        <w:spacing w:before="0" w:after="0" w:line="266" w:lineRule="exact"/>
        <w:ind w:left="1113" w:right="0" w:hanging="476"/>
        <w:jc w:val="left"/>
      </w:pPr>
      <w:r>
        <w:t>资格证明文件的组成</w:t>
      </w:r>
    </w:p>
    <w:p>
      <w:pPr>
        <w:pStyle w:val="20"/>
        <w:numPr>
          <w:ilvl w:val="2"/>
          <w:numId w:val="18"/>
        </w:numPr>
        <w:tabs>
          <w:tab w:val="left" w:pos="1373"/>
        </w:tabs>
        <w:spacing w:before="131" w:after="0" w:line="240" w:lineRule="auto"/>
        <w:ind w:left="1372" w:right="0" w:hanging="735"/>
        <w:jc w:val="left"/>
        <w:rPr>
          <w:sz w:val="21"/>
        </w:rPr>
      </w:pPr>
      <w:r>
        <w:rPr>
          <w:spacing w:val="-5"/>
          <w:sz w:val="21"/>
        </w:rPr>
        <w:t>经有关部门年检通过且在有效期内的《营业执照副本》或《事业单位法人证》复印件；</w:t>
      </w:r>
    </w:p>
    <w:p>
      <w:pPr>
        <w:pStyle w:val="20"/>
        <w:numPr>
          <w:ilvl w:val="2"/>
          <w:numId w:val="18"/>
        </w:numPr>
        <w:tabs>
          <w:tab w:val="left" w:pos="1373"/>
        </w:tabs>
        <w:spacing w:before="132" w:after="0" w:line="355" w:lineRule="auto"/>
        <w:ind w:left="638" w:right="606" w:firstLine="0"/>
        <w:jc w:val="left"/>
        <w:rPr>
          <w:sz w:val="21"/>
        </w:rPr>
      </w:pPr>
      <w:r>
        <w:rPr>
          <w:sz w:val="21"/>
        </w:rPr>
        <w:t>提供最新近一年的财务状况报告、依法缴纳税收和社会保障资金的相关材料（新成立不足一年的公司须出具情况说明）或《承诺函》；</w:t>
      </w:r>
    </w:p>
    <w:p>
      <w:pPr>
        <w:pStyle w:val="20"/>
        <w:numPr>
          <w:ilvl w:val="2"/>
          <w:numId w:val="18"/>
        </w:numPr>
        <w:tabs>
          <w:tab w:val="left" w:pos="1373"/>
        </w:tabs>
        <w:spacing w:before="3" w:after="0" w:line="357" w:lineRule="auto"/>
        <w:ind w:left="638" w:right="606" w:firstLine="0"/>
        <w:jc w:val="left"/>
        <w:rPr>
          <w:sz w:val="21"/>
        </w:rPr>
      </w:pPr>
      <w:r>
        <w:rPr>
          <w:sz w:val="21"/>
        </w:rPr>
        <w:t>具备履行合同所必需的设备和专业技术能力的证明材料或《承诺函》（内容根据项目情况由投标人自定）；</w:t>
      </w:r>
    </w:p>
    <w:p>
      <w:pPr>
        <w:pStyle w:val="20"/>
        <w:numPr>
          <w:ilvl w:val="2"/>
          <w:numId w:val="18"/>
        </w:numPr>
        <w:tabs>
          <w:tab w:val="left" w:pos="1373"/>
        </w:tabs>
        <w:spacing w:before="0" w:after="0" w:line="266" w:lineRule="exact"/>
        <w:ind w:left="1372" w:right="0" w:hanging="735"/>
        <w:jc w:val="left"/>
        <w:rPr>
          <w:sz w:val="21"/>
        </w:rPr>
      </w:pPr>
      <w:r>
        <w:rPr>
          <w:spacing w:val="-1"/>
          <w:sz w:val="21"/>
        </w:rPr>
        <w:t xml:space="preserve">参加政府采购活动前 </w:t>
      </w:r>
      <w:r>
        <w:rPr>
          <w:sz w:val="21"/>
        </w:rPr>
        <w:t>3 年内在经营活动中没有重大违法记录的书面声明；</w:t>
      </w:r>
    </w:p>
    <w:p>
      <w:pPr>
        <w:pStyle w:val="20"/>
        <w:numPr>
          <w:ilvl w:val="2"/>
          <w:numId w:val="18"/>
        </w:numPr>
        <w:tabs>
          <w:tab w:val="left" w:pos="1373"/>
        </w:tabs>
        <w:spacing w:before="132" w:after="0" w:line="240" w:lineRule="auto"/>
        <w:ind w:left="1372" w:right="0" w:hanging="735"/>
        <w:jc w:val="left"/>
        <w:rPr>
          <w:sz w:val="21"/>
        </w:rPr>
      </w:pPr>
      <w:r>
        <w:rPr>
          <w:sz w:val="21"/>
        </w:rPr>
        <w:t>提供采购公告中符合投标人特定条件要求的有效资质证书复印件（如有）；</w:t>
      </w:r>
    </w:p>
    <w:p>
      <w:pPr>
        <w:pStyle w:val="8"/>
        <w:numPr>
          <w:ilvl w:val="1"/>
          <w:numId w:val="18"/>
        </w:numPr>
        <w:tabs>
          <w:tab w:val="left" w:pos="1114"/>
        </w:tabs>
        <w:spacing w:before="131" w:after="0" w:line="240" w:lineRule="auto"/>
        <w:ind w:left="1113" w:right="0" w:hanging="476"/>
        <w:jc w:val="left"/>
      </w:pPr>
      <w:r>
        <w:rPr>
          <w:w w:val="95"/>
        </w:rPr>
        <w:t>技术商务标的组成</w:t>
      </w:r>
    </w:p>
    <w:p>
      <w:pPr>
        <w:pStyle w:val="20"/>
        <w:numPr>
          <w:ilvl w:val="2"/>
          <w:numId w:val="18"/>
        </w:numPr>
        <w:tabs>
          <w:tab w:val="left" w:pos="1373"/>
        </w:tabs>
        <w:spacing w:before="132" w:after="0" w:line="240" w:lineRule="auto"/>
        <w:ind w:left="1372" w:right="0" w:hanging="735"/>
        <w:jc w:val="left"/>
        <w:rPr>
          <w:rFonts w:ascii="宋体" w:hAnsi="宋体" w:eastAsia="宋体" w:cs="宋体"/>
          <w:sz w:val="21"/>
        </w:rPr>
      </w:pPr>
      <w:r>
        <w:rPr>
          <w:rFonts w:hint="eastAsia" w:ascii="宋体" w:hAnsi="宋体" w:eastAsia="宋体" w:cs="宋体"/>
          <w:w w:val="100"/>
          <w:sz w:val="21"/>
          <w:lang w:val="en-US" w:eastAsia="zh-CN"/>
        </w:rPr>
        <w:t xml:space="preserve"> </w:t>
      </w:r>
      <w:r>
        <w:rPr>
          <w:rFonts w:ascii="宋体" w:hAnsi="宋体" w:eastAsia="宋体" w:cs="宋体"/>
          <w:w w:val="100"/>
          <w:sz w:val="21"/>
        </w:rPr>
        <w:t>投标声明书；</w:t>
      </w:r>
    </w:p>
    <w:p>
      <w:pPr>
        <w:pStyle w:val="20"/>
        <w:numPr>
          <w:ilvl w:val="2"/>
          <w:numId w:val="18"/>
        </w:numPr>
        <w:tabs>
          <w:tab w:val="left" w:pos="1320"/>
        </w:tabs>
        <w:spacing w:before="131" w:after="0" w:line="240" w:lineRule="auto"/>
        <w:ind w:left="1320" w:right="0" w:hanging="682"/>
        <w:jc w:val="left"/>
        <w:rPr>
          <w:sz w:val="21"/>
        </w:rPr>
      </w:pPr>
      <w:r>
        <w:rPr>
          <w:rFonts w:hint="eastAsia"/>
          <w:sz w:val="21"/>
          <w:lang w:val="en-US" w:eastAsia="zh-CN"/>
        </w:rPr>
        <w:t xml:space="preserve"> </w:t>
      </w:r>
      <w:r>
        <w:rPr>
          <w:sz w:val="21"/>
        </w:rPr>
        <w:t>投标人营业执照或事业单位法人证书；</w:t>
      </w:r>
    </w:p>
    <w:p>
      <w:pPr>
        <w:pStyle w:val="20"/>
        <w:numPr>
          <w:ilvl w:val="2"/>
          <w:numId w:val="18"/>
        </w:numPr>
        <w:tabs>
          <w:tab w:val="left" w:pos="1373"/>
        </w:tabs>
        <w:spacing w:before="132" w:after="0" w:line="240" w:lineRule="auto"/>
        <w:ind w:left="1372" w:right="0" w:hanging="735"/>
        <w:jc w:val="left"/>
        <w:rPr>
          <w:rFonts w:ascii="宋体" w:hAnsi="宋体" w:eastAsia="宋体" w:cs="宋体"/>
          <w:sz w:val="21"/>
        </w:rPr>
      </w:pPr>
      <w:r>
        <w:rPr>
          <w:rFonts w:hint="eastAsia" w:ascii="宋体" w:hAnsi="宋体" w:eastAsia="宋体" w:cs="宋体"/>
          <w:w w:val="100"/>
          <w:sz w:val="21"/>
          <w:lang w:val="en-US" w:eastAsia="zh-CN"/>
        </w:rPr>
        <w:t xml:space="preserve"> </w:t>
      </w:r>
      <w:r>
        <w:rPr>
          <w:rFonts w:ascii="宋体" w:hAnsi="宋体" w:eastAsia="宋体" w:cs="宋体"/>
          <w:w w:val="100"/>
          <w:sz w:val="21"/>
        </w:rPr>
        <w:t>法定代表人身份证明书；</w:t>
      </w:r>
    </w:p>
    <w:p>
      <w:pPr>
        <w:pStyle w:val="20"/>
        <w:numPr>
          <w:ilvl w:val="2"/>
          <w:numId w:val="18"/>
        </w:numPr>
        <w:tabs>
          <w:tab w:val="left" w:pos="1373"/>
        </w:tabs>
        <w:spacing w:before="132" w:after="0" w:line="240" w:lineRule="auto"/>
        <w:ind w:left="1372" w:right="0" w:hanging="735"/>
        <w:jc w:val="left"/>
        <w:rPr>
          <w:rFonts w:ascii="宋体" w:hAnsi="宋体" w:eastAsia="宋体" w:cs="宋体"/>
          <w:sz w:val="21"/>
        </w:rPr>
      </w:pPr>
      <w:r>
        <w:rPr>
          <w:rFonts w:hint="eastAsia" w:ascii="宋体" w:hAnsi="宋体" w:eastAsia="宋体" w:cs="宋体"/>
          <w:w w:val="100"/>
          <w:sz w:val="21"/>
          <w:lang w:val="en-US" w:eastAsia="zh-CN"/>
        </w:rPr>
        <w:t xml:space="preserve"> </w:t>
      </w:r>
      <w:r>
        <w:rPr>
          <w:rFonts w:ascii="宋体" w:hAnsi="宋体" w:eastAsia="宋体" w:cs="宋体"/>
          <w:w w:val="100"/>
          <w:sz w:val="21"/>
        </w:rPr>
        <w:t>法定代表人授权委托书；</w:t>
      </w:r>
    </w:p>
    <w:p>
      <w:pPr>
        <w:pStyle w:val="20"/>
        <w:numPr>
          <w:ilvl w:val="2"/>
          <w:numId w:val="18"/>
        </w:numPr>
        <w:tabs>
          <w:tab w:val="left" w:pos="1320"/>
        </w:tabs>
        <w:spacing w:before="132" w:after="0" w:line="240" w:lineRule="auto"/>
        <w:ind w:left="1320" w:right="0" w:hanging="682"/>
        <w:jc w:val="left"/>
        <w:rPr>
          <w:sz w:val="21"/>
        </w:rPr>
      </w:pPr>
      <w:r>
        <w:rPr>
          <w:rFonts w:hint="eastAsia"/>
          <w:sz w:val="21"/>
          <w:lang w:val="en-US" w:eastAsia="zh-CN"/>
        </w:rPr>
        <w:t xml:space="preserve"> </w:t>
      </w:r>
      <w:r>
        <w:rPr>
          <w:sz w:val="21"/>
        </w:rPr>
        <w:t>投标人基本情况介绍；</w:t>
      </w:r>
    </w:p>
    <w:p>
      <w:pPr>
        <w:pStyle w:val="20"/>
        <w:numPr>
          <w:ilvl w:val="2"/>
          <w:numId w:val="18"/>
        </w:numPr>
        <w:tabs>
          <w:tab w:val="left" w:pos="1426"/>
        </w:tabs>
        <w:spacing w:before="132" w:after="0" w:line="240" w:lineRule="auto"/>
        <w:ind w:left="1425" w:right="0" w:hanging="788"/>
        <w:jc w:val="left"/>
        <w:rPr>
          <w:sz w:val="21"/>
        </w:rPr>
      </w:pPr>
      <w:r>
        <w:rPr>
          <w:sz w:val="21"/>
        </w:rPr>
        <w:t>实施方案；</w:t>
      </w:r>
    </w:p>
    <w:p>
      <w:pPr>
        <w:pStyle w:val="20"/>
        <w:numPr>
          <w:ilvl w:val="2"/>
          <w:numId w:val="18"/>
        </w:numPr>
        <w:tabs>
          <w:tab w:val="left" w:pos="1426"/>
        </w:tabs>
        <w:spacing w:before="132" w:after="0" w:line="240" w:lineRule="auto"/>
        <w:ind w:left="1425" w:right="0" w:hanging="788"/>
        <w:jc w:val="left"/>
        <w:rPr>
          <w:sz w:val="21"/>
        </w:rPr>
      </w:pPr>
      <w:r>
        <w:rPr>
          <w:sz w:val="21"/>
        </w:rPr>
        <w:t>拟指派本项目的技术人员明细表；</w:t>
      </w:r>
    </w:p>
    <w:p>
      <w:pPr>
        <w:pStyle w:val="20"/>
        <w:numPr>
          <w:ilvl w:val="2"/>
          <w:numId w:val="18"/>
        </w:numPr>
        <w:tabs>
          <w:tab w:val="left" w:pos="1426"/>
        </w:tabs>
        <w:spacing w:before="129" w:after="0" w:line="240" w:lineRule="auto"/>
        <w:ind w:left="1425" w:right="0" w:hanging="788"/>
        <w:jc w:val="left"/>
        <w:rPr>
          <w:sz w:val="21"/>
        </w:rPr>
      </w:pPr>
      <w:r>
        <w:rPr>
          <w:sz w:val="21"/>
        </w:rPr>
        <w:t>同类业绩证明；</w:t>
      </w:r>
    </w:p>
    <w:p>
      <w:pPr>
        <w:pStyle w:val="20"/>
        <w:numPr>
          <w:ilvl w:val="2"/>
          <w:numId w:val="18"/>
        </w:numPr>
        <w:tabs>
          <w:tab w:val="left" w:pos="1426"/>
        </w:tabs>
        <w:spacing w:before="120" w:after="0" w:line="240" w:lineRule="auto"/>
        <w:ind w:left="1425" w:right="0" w:hanging="788"/>
        <w:jc w:val="left"/>
        <w:rPr>
          <w:sz w:val="21"/>
        </w:rPr>
      </w:pPr>
      <w:r>
        <w:rPr>
          <w:sz w:val="21"/>
        </w:rPr>
        <w:t>投标人认为需要说明的其他文件等。</w:t>
      </w:r>
    </w:p>
    <w:p>
      <w:pPr>
        <w:pStyle w:val="10"/>
        <w:rPr>
          <w:sz w:val="11"/>
        </w:rPr>
      </w:pPr>
    </w:p>
    <w:p>
      <w:pPr>
        <w:pStyle w:val="8"/>
        <w:numPr>
          <w:ilvl w:val="1"/>
          <w:numId w:val="19"/>
        </w:numPr>
        <w:tabs>
          <w:tab w:val="left" w:pos="1167"/>
        </w:tabs>
        <w:spacing w:before="70" w:after="0" w:line="240" w:lineRule="auto"/>
        <w:ind w:left="1166" w:right="0" w:hanging="529"/>
        <w:jc w:val="left"/>
      </w:pPr>
      <w:r>
        <w:t>价格标的组成</w:t>
      </w:r>
    </w:p>
    <w:p>
      <w:pPr>
        <w:pStyle w:val="20"/>
        <w:numPr>
          <w:ilvl w:val="2"/>
          <w:numId w:val="19"/>
        </w:numPr>
        <w:tabs>
          <w:tab w:val="left" w:pos="1320"/>
        </w:tabs>
        <w:spacing w:before="131" w:after="0" w:line="240" w:lineRule="auto"/>
        <w:ind w:left="1320" w:right="0" w:hanging="682"/>
        <w:jc w:val="left"/>
        <w:rPr>
          <w:sz w:val="21"/>
        </w:rPr>
      </w:pPr>
      <w:r>
        <w:rPr>
          <w:sz w:val="21"/>
        </w:rPr>
        <w:t>投标书；</w:t>
      </w:r>
    </w:p>
    <w:p>
      <w:pPr>
        <w:pStyle w:val="20"/>
        <w:numPr>
          <w:ilvl w:val="2"/>
          <w:numId w:val="19"/>
        </w:numPr>
        <w:tabs>
          <w:tab w:val="left" w:pos="1320"/>
        </w:tabs>
        <w:spacing w:before="130" w:after="0" w:line="240" w:lineRule="auto"/>
        <w:ind w:left="1320" w:right="0" w:hanging="682"/>
        <w:jc w:val="left"/>
        <w:rPr>
          <w:sz w:val="21"/>
        </w:rPr>
      </w:pPr>
      <w:r>
        <w:rPr>
          <w:sz w:val="21"/>
        </w:rPr>
        <w:t>开标一览表；</w:t>
      </w:r>
    </w:p>
    <w:p>
      <w:pPr>
        <w:pStyle w:val="20"/>
        <w:numPr>
          <w:ilvl w:val="2"/>
          <w:numId w:val="19"/>
        </w:numPr>
        <w:tabs>
          <w:tab w:val="left" w:pos="1320"/>
        </w:tabs>
        <w:spacing w:before="131" w:after="0" w:line="360" w:lineRule="auto"/>
        <w:ind w:left="638" w:right="2090" w:rightChars="0" w:firstLine="0"/>
        <w:jc w:val="left"/>
        <w:rPr>
          <w:b/>
          <w:sz w:val="21"/>
        </w:rPr>
      </w:pPr>
      <w:r>
        <w:rPr>
          <w:rFonts w:hint="eastAsia" w:ascii="宋体" w:hAnsi="宋体" w:eastAsia="宋体" w:cs="宋体"/>
          <w:w w:val="100"/>
          <w:sz w:val="21"/>
          <w:lang w:val="en-US" w:eastAsia="zh-CN"/>
        </w:rPr>
        <w:t xml:space="preserve"> </w:t>
      </w:r>
      <w:r>
        <w:rPr>
          <w:rFonts w:ascii="宋体" w:hAnsi="宋体" w:eastAsia="宋体" w:cs="宋体"/>
          <w:w w:val="100"/>
          <w:sz w:val="21"/>
        </w:rPr>
        <w:t>其它投标人认为有必要提供的资料</w:t>
      </w:r>
      <w:r>
        <w:rPr>
          <w:b/>
          <w:sz w:val="21"/>
        </w:rPr>
        <w:t>（如中小企业声明函等）。</w:t>
      </w:r>
      <w:r>
        <w:rPr>
          <w:w w:val="95"/>
          <w:sz w:val="21"/>
        </w:rPr>
        <w:t xml:space="preserve"> </w:t>
      </w:r>
    </w:p>
    <w:p>
      <w:pPr>
        <w:pStyle w:val="20"/>
        <w:numPr>
          <w:ilvl w:val="0"/>
          <w:numId w:val="0"/>
        </w:numPr>
        <w:tabs>
          <w:tab w:val="left" w:pos="1320"/>
        </w:tabs>
        <w:spacing w:before="131" w:after="0" w:line="360" w:lineRule="auto"/>
        <w:ind w:left="638" w:leftChars="0" w:right="2090" w:rightChars="0"/>
        <w:jc w:val="left"/>
        <w:rPr>
          <w:b/>
          <w:sz w:val="21"/>
        </w:rPr>
      </w:pPr>
      <w:r>
        <w:rPr>
          <w:b/>
          <w:sz w:val="21"/>
        </w:rPr>
        <w:t>注：法定代表人授权委托书必须由法定代表人签名并加盖单位公章。</w:t>
      </w:r>
    </w:p>
    <w:p>
      <w:pPr>
        <w:pStyle w:val="8"/>
        <w:spacing w:line="266" w:lineRule="exact"/>
        <w:ind w:left="638"/>
      </w:pPr>
      <w:r>
        <w:rPr>
          <w:b w:val="0"/>
        </w:rPr>
        <w:t>11、投标报价</w:t>
      </w:r>
      <w:r>
        <w:t xml:space="preserve">(本项目设有总的最高限价 </w:t>
      </w:r>
      <w:r>
        <w:rPr>
          <w:rFonts w:hint="eastAsia"/>
          <w:lang w:val="en-US" w:eastAsia="zh-CN"/>
        </w:rPr>
        <w:t>400</w:t>
      </w:r>
      <w:r>
        <w:t>.00 万元人民币，高于总的最高限价为废标；）</w:t>
      </w:r>
    </w:p>
    <w:p>
      <w:pPr>
        <w:pStyle w:val="20"/>
        <w:numPr>
          <w:ilvl w:val="1"/>
          <w:numId w:val="20"/>
        </w:numPr>
        <w:tabs>
          <w:tab w:val="left" w:pos="1112"/>
        </w:tabs>
        <w:spacing w:before="132" w:after="0" w:line="240" w:lineRule="auto"/>
        <w:ind w:left="1111" w:right="0" w:hanging="474"/>
        <w:jc w:val="left"/>
        <w:rPr>
          <w:sz w:val="21"/>
        </w:rPr>
      </w:pPr>
      <w:r>
        <w:rPr>
          <w:sz w:val="21"/>
        </w:rPr>
        <w:t>投标报价应按招标文件中相关附表格式填写。投标报价为本招标项目全部工作内容的报</w:t>
      </w:r>
    </w:p>
    <w:p>
      <w:pPr>
        <w:pStyle w:val="10"/>
        <w:spacing w:before="132"/>
        <w:ind w:left="218"/>
      </w:pPr>
      <w:r>
        <w:t>价。</w:t>
      </w:r>
    </w:p>
    <w:p>
      <w:pPr>
        <w:pStyle w:val="20"/>
        <w:numPr>
          <w:ilvl w:val="1"/>
          <w:numId w:val="20"/>
        </w:numPr>
        <w:tabs>
          <w:tab w:val="left" w:pos="1112"/>
        </w:tabs>
        <w:spacing w:before="50" w:after="0" w:line="357" w:lineRule="auto"/>
        <w:ind w:left="218" w:right="500" w:firstLine="420"/>
        <w:jc w:val="left"/>
        <w:rPr>
          <w:sz w:val="21"/>
        </w:rPr>
      </w:pPr>
      <w:r>
        <w:rPr>
          <w:sz w:val="21"/>
        </w:rPr>
        <w:t>投标报价是履行合同的最终价格，应包括货物或服务、人工费</w:t>
      </w:r>
      <w:r>
        <w:rPr>
          <w:spacing w:val="4"/>
          <w:sz w:val="21"/>
        </w:rPr>
        <w:t>（</w:t>
      </w:r>
      <w:r>
        <w:rPr>
          <w:sz w:val="21"/>
        </w:rPr>
        <w:t>包括</w:t>
      </w:r>
      <w:r>
        <w:rPr>
          <w:rFonts w:ascii="宋体" w:hAnsi="宋体" w:eastAsia="宋体" w:cs="宋体"/>
          <w:sz w:val="21"/>
        </w:rPr>
        <w:t>工人工资、奖金、</w:t>
      </w:r>
      <w:r>
        <w:rPr>
          <w:rFonts w:ascii="宋体" w:hAnsi="宋体" w:eastAsia="宋体" w:cs="宋体"/>
          <w:spacing w:val="0"/>
          <w:w w:val="100"/>
          <w:sz w:val="21"/>
        </w:rPr>
        <w:t xml:space="preserve">劳保福利、教育培训费、暂住费、意外伤害险及处理一切伤亡事故等费用）、信息数据、技术成果、   </w:t>
      </w:r>
      <w:r>
        <w:rPr>
          <w:rFonts w:ascii="宋体" w:hAnsi="宋体" w:eastAsia="宋体" w:cs="宋体"/>
          <w:spacing w:val="0"/>
          <w:sz w:val="21"/>
        </w:rPr>
        <w:t>知识产权、工具材料费、、采购代理服务费、企业应缴税金、保险</w:t>
      </w:r>
      <w:r>
        <w:rPr>
          <w:rFonts w:ascii="宋体" w:hAnsi="宋体" w:eastAsia="宋体" w:cs="宋体"/>
          <w:sz w:val="21"/>
        </w:rPr>
        <w:t>（</w:t>
      </w:r>
      <w:r>
        <w:rPr>
          <w:rFonts w:ascii="宋体" w:hAnsi="宋体" w:eastAsia="宋体" w:cs="宋体"/>
          <w:spacing w:val="0"/>
          <w:sz w:val="21"/>
        </w:rPr>
        <w:t>包括医疗、工伤、</w:t>
      </w:r>
      <w:r>
        <w:rPr>
          <w:spacing w:val="-3"/>
          <w:sz w:val="21"/>
        </w:rPr>
        <w:t>养老等社会保险及人身意外保险</w:t>
      </w:r>
      <w:r>
        <w:rPr>
          <w:spacing w:val="-22"/>
          <w:sz w:val="21"/>
        </w:rPr>
        <w:t>）</w:t>
      </w:r>
      <w:r>
        <w:rPr>
          <w:spacing w:val="-6"/>
          <w:sz w:val="21"/>
        </w:rPr>
        <w:t>和应得利润、应急、物价因素等完成合同所需的一切本身和不可或缺的所有工作开支、政策性文件规定及合同包含的所有风险、责任等各项全部费用。</w:t>
      </w:r>
    </w:p>
    <w:p>
      <w:pPr>
        <w:pStyle w:val="8"/>
        <w:spacing w:line="357" w:lineRule="auto"/>
        <w:ind w:right="1451" w:firstLine="420"/>
      </w:pPr>
      <w:r>
        <w:t>▲11.3</w:t>
      </w:r>
      <w:r>
        <w:rPr>
          <w:spacing w:val="-13"/>
        </w:rPr>
        <w:t xml:space="preserve"> </w:t>
      </w:r>
      <w:r>
        <w:rPr>
          <w:u w:val="single"/>
        </w:rPr>
        <w:t>采购项目只允许有一个报价，有选择的报价将不予接受，并作无效标处理。</w:t>
      </w:r>
      <w:r>
        <w:t>12、履约保证金</w:t>
      </w:r>
    </w:p>
    <w:p>
      <w:pPr>
        <w:pStyle w:val="10"/>
        <w:spacing w:line="357" w:lineRule="auto"/>
        <w:ind w:left="218" w:right="2377" w:firstLine="420"/>
        <w:rPr>
          <w:b/>
        </w:rPr>
      </w:pPr>
      <w:r>
        <w:t>12.1</w:t>
      </w:r>
      <w:r>
        <w:rPr>
          <w:spacing w:val="-11"/>
        </w:rPr>
        <w:t xml:space="preserve"> 履约保证金退还；在本项目完工验收合格后 </w:t>
      </w:r>
      <w:r>
        <w:t>5</w:t>
      </w:r>
      <w:r>
        <w:rPr>
          <w:spacing w:val="-8"/>
        </w:rPr>
        <w:t xml:space="preserve"> 个工作日内无息退还。</w:t>
      </w:r>
      <w:r>
        <w:rPr>
          <w:b/>
          <w:spacing w:val="-8"/>
        </w:rPr>
        <w:t>13、投标有效期</w:t>
      </w:r>
    </w:p>
    <w:p>
      <w:pPr>
        <w:pStyle w:val="20"/>
        <w:numPr>
          <w:ilvl w:val="1"/>
          <w:numId w:val="21"/>
        </w:numPr>
        <w:tabs>
          <w:tab w:val="left" w:pos="1109"/>
        </w:tabs>
        <w:spacing w:before="0" w:after="0" w:line="269" w:lineRule="exact"/>
        <w:ind w:left="1108" w:right="0" w:hanging="471"/>
        <w:jc w:val="left"/>
        <w:rPr>
          <w:sz w:val="21"/>
        </w:rPr>
      </w:pPr>
      <w:r>
        <w:rPr>
          <w:spacing w:val="-3"/>
          <w:sz w:val="21"/>
        </w:rPr>
        <w:t xml:space="preserve">投标文件从开标之日起，投标有效期为 </w:t>
      </w:r>
      <w:r>
        <w:rPr>
          <w:sz w:val="21"/>
        </w:rPr>
        <w:t>90</w:t>
      </w:r>
      <w:r>
        <w:rPr>
          <w:spacing w:val="-18"/>
          <w:sz w:val="21"/>
        </w:rPr>
        <w:t xml:space="preserve"> 天。</w:t>
      </w:r>
    </w:p>
    <w:p>
      <w:pPr>
        <w:pStyle w:val="20"/>
        <w:numPr>
          <w:ilvl w:val="1"/>
          <w:numId w:val="21"/>
        </w:numPr>
        <w:tabs>
          <w:tab w:val="left" w:pos="1112"/>
        </w:tabs>
        <w:spacing w:before="122" w:after="0" w:line="357" w:lineRule="auto"/>
        <w:ind w:left="218" w:right="606" w:firstLine="420"/>
        <w:jc w:val="both"/>
        <w:rPr>
          <w:rFonts w:ascii="宋体" w:hAnsi="宋体" w:eastAsia="宋体" w:cs="宋体"/>
          <w:sz w:val="21"/>
        </w:rPr>
      </w:pPr>
      <w:r>
        <w:rPr>
          <w:sz w:val="21"/>
        </w:rPr>
        <w:t>特殊情况下，在原投标有效期截止之前，采购人</w:t>
      </w:r>
      <w:r>
        <w:rPr>
          <w:rFonts w:ascii="宋体" w:hAnsi="宋体" w:eastAsia="宋体" w:cs="宋体"/>
          <w:sz w:val="21"/>
        </w:rPr>
        <w:t>可要求投标人同意延长有效期，这种要</w:t>
      </w:r>
      <w:r>
        <w:rPr>
          <w:rFonts w:ascii="宋体" w:hAnsi="宋体" w:eastAsia="宋体" w:cs="宋体"/>
          <w:spacing w:val="0"/>
          <w:w w:val="100"/>
          <w:sz w:val="21"/>
        </w:rPr>
        <w:t xml:space="preserve">求与答复均应以书面形式提交。在这种情况下，投标人可拒绝这种要求。接受延长投标有效期的投   </w:t>
      </w:r>
      <w:r>
        <w:rPr>
          <w:rFonts w:ascii="宋体" w:hAnsi="宋体" w:eastAsia="宋体" w:cs="宋体"/>
          <w:spacing w:val="0"/>
          <w:sz w:val="21"/>
        </w:rPr>
        <w:t>标人将不会被要求和允许修正其投标。</w:t>
      </w:r>
    </w:p>
    <w:p>
      <w:pPr>
        <w:pStyle w:val="8"/>
        <w:spacing w:line="266" w:lineRule="exact"/>
      </w:pPr>
      <w:r>
        <w:t>14、投标偏离及建议</w:t>
      </w:r>
    </w:p>
    <w:p>
      <w:pPr>
        <w:pStyle w:val="20"/>
        <w:numPr>
          <w:ilvl w:val="1"/>
          <w:numId w:val="22"/>
        </w:numPr>
        <w:tabs>
          <w:tab w:val="left" w:pos="1109"/>
        </w:tabs>
        <w:spacing w:before="131" w:after="0" w:line="240" w:lineRule="auto"/>
        <w:ind w:left="1108" w:right="0" w:hanging="471"/>
        <w:jc w:val="left"/>
        <w:rPr>
          <w:sz w:val="21"/>
        </w:rPr>
      </w:pPr>
      <w:r>
        <w:rPr>
          <w:sz w:val="21"/>
        </w:rPr>
        <w:t>投标人如对项目的要求在技术和商务方面有偏离，均须在规范的偏离表中提出。</w:t>
      </w:r>
    </w:p>
    <w:p>
      <w:pPr>
        <w:pStyle w:val="20"/>
        <w:numPr>
          <w:ilvl w:val="1"/>
          <w:numId w:val="22"/>
        </w:numPr>
        <w:tabs>
          <w:tab w:val="left" w:pos="1112"/>
        </w:tabs>
        <w:spacing w:before="132" w:after="0" w:line="355" w:lineRule="auto"/>
        <w:ind w:left="218" w:right="606" w:firstLine="420"/>
        <w:jc w:val="left"/>
        <w:rPr>
          <w:sz w:val="21"/>
        </w:rPr>
      </w:pPr>
      <w:r>
        <w:rPr>
          <w:sz w:val="21"/>
        </w:rPr>
        <w:t>投标人可以在投标文件中对采购设备的技术规格要求提出推荐和替代意见，但所提出的意见应优于招标文件中提出的响应要求，并且使招标人满意。</w:t>
      </w:r>
    </w:p>
    <w:p>
      <w:pPr>
        <w:pStyle w:val="8"/>
        <w:spacing w:before="3"/>
      </w:pPr>
      <w:r>
        <w:t>15、投标文件格式和装订</w:t>
      </w:r>
    </w:p>
    <w:p>
      <w:pPr>
        <w:spacing w:before="132" w:line="355" w:lineRule="auto"/>
        <w:ind w:left="218" w:right="3006" w:firstLine="420"/>
        <w:jc w:val="left"/>
        <w:rPr>
          <w:spacing w:val="-9"/>
          <w:sz w:val="21"/>
        </w:rPr>
      </w:pPr>
      <w:r>
        <w:rPr>
          <w:sz w:val="21"/>
        </w:rPr>
        <w:t>15.1</w:t>
      </w:r>
      <w:r>
        <w:rPr>
          <w:spacing w:val="-9"/>
          <w:sz w:val="21"/>
        </w:rPr>
        <w:t xml:space="preserve"> 投标人应按招标文件中第八章提供的“投标文件格式”填写。</w:t>
      </w:r>
    </w:p>
    <w:p>
      <w:pPr>
        <w:spacing w:before="132" w:line="355" w:lineRule="auto"/>
        <w:ind w:right="3006" w:firstLine="386" w:firstLineChars="200"/>
        <w:jc w:val="left"/>
        <w:rPr>
          <w:b/>
          <w:sz w:val="21"/>
        </w:rPr>
      </w:pPr>
      <w:r>
        <w:rPr>
          <w:b/>
          <w:spacing w:val="-9"/>
          <w:sz w:val="21"/>
        </w:rPr>
        <w:t>四、投标文件的递交</w:t>
      </w:r>
    </w:p>
    <w:p>
      <w:pPr>
        <w:pStyle w:val="8"/>
        <w:spacing w:before="2"/>
      </w:pPr>
      <w:r>
        <w:t>16、投标文件的签署和盖章</w:t>
      </w:r>
    </w:p>
    <w:p>
      <w:pPr>
        <w:pStyle w:val="20"/>
        <w:numPr>
          <w:ilvl w:val="1"/>
          <w:numId w:val="23"/>
        </w:numPr>
        <w:tabs>
          <w:tab w:val="left" w:pos="1109"/>
        </w:tabs>
        <w:spacing w:before="132" w:after="0" w:line="240" w:lineRule="auto"/>
        <w:ind w:left="1108" w:right="0" w:hanging="471"/>
        <w:jc w:val="left"/>
        <w:rPr>
          <w:sz w:val="21"/>
        </w:rPr>
      </w:pPr>
      <w:r>
        <w:rPr>
          <w:sz w:val="21"/>
        </w:rPr>
        <w:t>投标人应按本投标须知规定，由投标人法定代表人或其法定代表人授权代表签署；</w:t>
      </w:r>
    </w:p>
    <w:p>
      <w:pPr>
        <w:pStyle w:val="20"/>
        <w:numPr>
          <w:ilvl w:val="1"/>
          <w:numId w:val="23"/>
        </w:numPr>
        <w:tabs>
          <w:tab w:val="left" w:pos="1112"/>
        </w:tabs>
        <w:spacing w:before="130" w:after="0" w:line="357" w:lineRule="auto"/>
        <w:ind w:left="218" w:right="606" w:firstLine="420"/>
        <w:jc w:val="left"/>
        <w:rPr>
          <w:sz w:val="21"/>
        </w:rPr>
      </w:pPr>
      <w:r>
        <w:rPr>
          <w:sz w:val="21"/>
        </w:rPr>
        <w:t>投标文件的任何一页不得涂改、行间插字或删除。如有错漏必需修改，修改处须由同一签署人签字并加盖公章。由于字迹模糊或表达不清引起的后果由投标人负责。</w:t>
      </w:r>
    </w:p>
    <w:p>
      <w:pPr>
        <w:pStyle w:val="8"/>
        <w:spacing w:line="269" w:lineRule="exact"/>
      </w:pPr>
      <w:r>
        <w:t>17、电子投标地点和时间</w:t>
      </w:r>
    </w:p>
    <w:p>
      <w:pPr>
        <w:pStyle w:val="10"/>
        <w:spacing w:before="129"/>
        <w:ind w:left="638"/>
      </w:pPr>
      <w:r>
        <w:t>18.1 投标地点：政采云平台线上响应。</w:t>
      </w:r>
    </w:p>
    <w:p>
      <w:pPr>
        <w:spacing w:before="132"/>
        <w:ind w:left="638" w:right="0" w:firstLine="0"/>
        <w:jc w:val="left"/>
        <w:rPr>
          <w:rFonts w:hint="eastAsia" w:eastAsia="宋体"/>
          <w:sz w:val="21"/>
          <w:lang w:eastAsia="zh-CN"/>
        </w:rPr>
      </w:pPr>
      <w:r>
        <w:rPr>
          <w:sz w:val="21"/>
        </w:rPr>
        <w:t>18.2 投标截止时间：</w:t>
      </w:r>
      <w:r>
        <w:rPr>
          <w:rFonts w:hint="eastAsia"/>
          <w:b/>
          <w:sz w:val="21"/>
          <w:lang w:eastAsia="zh-CN"/>
        </w:rPr>
        <w:t>详见采购公告</w:t>
      </w:r>
    </w:p>
    <w:p>
      <w:pPr>
        <w:pStyle w:val="10"/>
        <w:spacing w:before="131" w:line="357" w:lineRule="auto"/>
        <w:ind w:left="218" w:right="606" w:firstLine="420"/>
        <w:jc w:val="both"/>
      </w:pPr>
      <w:r>
        <w:t>18.3</w:t>
      </w:r>
      <w:r>
        <w:rPr>
          <w:spacing w:val="-4"/>
        </w:rPr>
        <w:t xml:space="preserve"> 投标截止前，允许投标方补充、修改或者撤回</w:t>
      </w:r>
      <w:r>
        <w:rPr>
          <w:rFonts w:ascii="宋体" w:hAnsi="宋体" w:eastAsia="宋体" w:cs="宋体"/>
          <w:spacing w:val="-4"/>
        </w:rPr>
        <w:t>电子响应文件。补充或者修改电子投标文</w:t>
      </w:r>
      <w:r>
        <w:rPr>
          <w:rFonts w:ascii="宋体" w:hAnsi="宋体" w:eastAsia="宋体" w:cs="宋体"/>
          <w:spacing w:val="-4"/>
          <w:w w:val="100"/>
        </w:rPr>
        <w:t xml:space="preserve">件的，应当先行撤回原文件，补充、修改后重新传输递交。投标截止时间前未完成传输的，视为撤   </w:t>
      </w:r>
      <w:r>
        <w:rPr>
          <w:rFonts w:ascii="宋体" w:hAnsi="宋体" w:eastAsia="宋体" w:cs="宋体"/>
          <w:spacing w:val="-4"/>
        </w:rPr>
        <w:t>回投标文件。投标、投标截止时间后送达的投标、投标文件，将被政采</w:t>
      </w:r>
      <w:r>
        <w:rPr>
          <w:spacing w:val="-9"/>
        </w:rPr>
        <w:t>云平台拒收。</w:t>
      </w:r>
    </w:p>
    <w:p>
      <w:pPr>
        <w:pStyle w:val="8"/>
        <w:spacing w:line="266" w:lineRule="exact"/>
      </w:pPr>
      <w:r>
        <w:t>▲五、联合体投标</w:t>
      </w:r>
    </w:p>
    <w:p>
      <w:pPr>
        <w:pStyle w:val="8"/>
        <w:spacing w:before="130" w:line="357" w:lineRule="auto"/>
        <w:ind w:right="6721"/>
      </w:pPr>
      <w:r>
        <w:t>18.本项目不接受联合体投标。六、转包与分包</w:t>
      </w:r>
    </w:p>
    <w:p>
      <w:pPr>
        <w:pStyle w:val="20"/>
        <w:numPr>
          <w:ilvl w:val="1"/>
          <w:numId w:val="24"/>
        </w:numPr>
        <w:tabs>
          <w:tab w:val="left" w:pos="1109"/>
        </w:tabs>
        <w:spacing w:before="0" w:after="0" w:line="269" w:lineRule="exact"/>
        <w:ind w:left="1108" w:right="0" w:hanging="471"/>
        <w:jc w:val="left"/>
        <w:rPr>
          <w:rFonts w:ascii="宋体" w:hAnsi="宋体" w:eastAsia="宋体" w:cs="宋体"/>
          <w:spacing w:val="-4"/>
          <w:sz w:val="21"/>
          <w:szCs w:val="21"/>
        </w:rPr>
      </w:pPr>
      <w:r>
        <w:rPr>
          <w:rFonts w:ascii="宋体" w:hAnsi="宋体" w:eastAsia="宋体" w:cs="宋体"/>
          <w:spacing w:val="-4"/>
          <w:w w:val="100"/>
          <w:sz w:val="21"/>
          <w:szCs w:val="21"/>
        </w:rPr>
        <w:t>本项目不允许转包。</w:t>
      </w:r>
    </w:p>
    <w:p>
      <w:pPr>
        <w:pStyle w:val="20"/>
        <w:numPr>
          <w:ilvl w:val="1"/>
          <w:numId w:val="24"/>
        </w:numPr>
        <w:tabs>
          <w:tab w:val="left" w:pos="1109"/>
        </w:tabs>
        <w:spacing w:before="0" w:after="0" w:line="269" w:lineRule="exact"/>
        <w:ind w:left="1108" w:right="0" w:hanging="471"/>
        <w:jc w:val="left"/>
        <w:rPr>
          <w:rFonts w:ascii="宋体" w:hAnsi="宋体" w:eastAsia="宋体" w:cs="宋体"/>
          <w:spacing w:val="-4"/>
          <w:sz w:val="21"/>
          <w:szCs w:val="21"/>
        </w:rPr>
      </w:pPr>
      <w:r>
        <w:rPr>
          <w:rFonts w:ascii="宋体" w:hAnsi="宋体" w:eastAsia="宋体" w:cs="宋体"/>
          <w:spacing w:val="-4"/>
          <w:w w:val="100"/>
          <w:sz w:val="21"/>
          <w:szCs w:val="21"/>
        </w:rPr>
        <w:t>本项目不可以分包。</w:t>
      </w:r>
    </w:p>
    <w:p>
      <w:pPr>
        <w:spacing w:after="0" w:line="240" w:lineRule="auto"/>
        <w:jc w:val="left"/>
        <w:rPr>
          <w:sz w:val="21"/>
        </w:rPr>
        <w:sectPr>
          <w:footerReference r:id="rId8" w:type="default"/>
          <w:pgSz w:w="11910" w:h="16840"/>
          <w:pgMar w:top="1460" w:right="920" w:bottom="1040" w:left="1200" w:header="0" w:footer="852" w:gutter="0"/>
          <w:cols w:space="720" w:num="1"/>
        </w:sectPr>
      </w:pPr>
    </w:p>
    <w:p>
      <w:pPr>
        <w:pStyle w:val="8"/>
        <w:spacing w:before="50"/>
      </w:pPr>
      <w:r>
        <w:t>七、特别说明</w:t>
      </w:r>
    </w:p>
    <w:p>
      <w:pPr>
        <w:pStyle w:val="20"/>
        <w:numPr>
          <w:ilvl w:val="1"/>
          <w:numId w:val="25"/>
        </w:numPr>
        <w:tabs>
          <w:tab w:val="left" w:pos="1112"/>
        </w:tabs>
        <w:spacing w:before="130" w:after="0" w:line="357" w:lineRule="auto"/>
        <w:ind w:left="218" w:right="603" w:firstLine="420"/>
        <w:jc w:val="both"/>
        <w:rPr>
          <w:sz w:val="21"/>
        </w:rPr>
      </w:pPr>
      <w:r>
        <w:rPr>
          <w:sz w:val="21"/>
        </w:rPr>
        <w:t>直接或者间接受采购人控制的当事人，或者与采购人受共同上级</w:t>
      </w:r>
      <w:r>
        <w:rPr>
          <w:rFonts w:ascii="宋体" w:hAnsi="宋体" w:eastAsia="宋体" w:cs="宋体"/>
          <w:sz w:val="21"/>
        </w:rPr>
        <w:t>控制的当事人，为本次</w:t>
      </w:r>
      <w:r>
        <w:rPr>
          <w:rFonts w:ascii="宋体" w:hAnsi="宋体" w:eastAsia="宋体" w:cs="宋体"/>
          <w:spacing w:val="0"/>
          <w:w w:val="100"/>
          <w:sz w:val="21"/>
        </w:rPr>
        <w:t>采购进行设计或编制规范和其他文件的当事人，或者直接或间接地与为本次采购进行设计或编制规范、其他文件的个人、企业、采购代理机构或其附属机构有关联关系的当事人，不得参加本项目投</w:t>
      </w:r>
      <w:r>
        <w:rPr>
          <w:rFonts w:ascii="宋体" w:hAnsi="宋体" w:eastAsia="宋体" w:cs="宋体"/>
          <w:spacing w:val="0"/>
          <w:sz w:val="21"/>
        </w:rPr>
        <w:t>标。</w:t>
      </w:r>
    </w:p>
    <w:p>
      <w:pPr>
        <w:pStyle w:val="20"/>
        <w:numPr>
          <w:ilvl w:val="1"/>
          <w:numId w:val="25"/>
        </w:numPr>
        <w:tabs>
          <w:tab w:val="left" w:pos="1112"/>
        </w:tabs>
        <w:spacing w:before="0" w:after="0" w:line="357" w:lineRule="auto"/>
        <w:ind w:left="218" w:right="606" w:firstLine="420"/>
        <w:jc w:val="both"/>
        <w:rPr>
          <w:sz w:val="21"/>
        </w:rPr>
      </w:pPr>
      <w:r>
        <w:rPr>
          <w:sz w:val="21"/>
        </w:rPr>
        <w:t>投标人投标所使用的资格、信誉、荣誉、业绩与企业认证必须为本法人所拥有。投标人投标所使用的采购项目实施人员可以为其控股公司的工作人员。</w:t>
      </w:r>
    </w:p>
    <w:p>
      <w:pPr>
        <w:pStyle w:val="20"/>
        <w:numPr>
          <w:ilvl w:val="1"/>
          <w:numId w:val="25"/>
        </w:numPr>
        <w:tabs>
          <w:tab w:val="left" w:pos="1109"/>
        </w:tabs>
        <w:spacing w:before="0" w:after="0" w:line="357" w:lineRule="auto"/>
        <w:ind w:left="218" w:right="606" w:firstLine="420"/>
        <w:jc w:val="both"/>
        <w:rPr>
          <w:sz w:val="21"/>
        </w:rPr>
      </w:pPr>
      <w:r>
        <w:rPr>
          <w:rFonts w:ascii="宋体" w:hAnsi="宋体" w:eastAsia="宋体" w:cs="宋体"/>
          <w:spacing w:val="0"/>
          <w:w w:val="100"/>
          <w:sz w:val="21"/>
        </w:rPr>
        <w:t>投标人在投标活动中提供任何虚假材料或从事其他违法活动的,其投标无效，并报监管部</w:t>
      </w:r>
      <w:r>
        <w:rPr>
          <w:rFonts w:ascii="宋体" w:hAnsi="宋体" w:eastAsia="宋体" w:cs="宋体"/>
          <w:spacing w:val="0"/>
          <w:sz w:val="21"/>
        </w:rPr>
        <w:t>门查处；中标后发现的,中标人须</w:t>
      </w:r>
      <w:r>
        <w:rPr>
          <w:spacing w:val="-10"/>
          <w:sz w:val="21"/>
        </w:rPr>
        <w:t xml:space="preserve">依照《中华人民共和国消费者权益保护法》第 </w:t>
      </w:r>
      <w:r>
        <w:rPr>
          <w:sz w:val="21"/>
        </w:rPr>
        <w:t>49</w:t>
      </w:r>
      <w:r>
        <w:rPr>
          <w:spacing w:val="-9"/>
          <w:sz w:val="21"/>
        </w:rPr>
        <w:t xml:space="preserve"> 条之规定双倍赔偿采购人。且民事赔偿并不免除违法投标人的行政与刑事责任。</w:t>
      </w:r>
    </w:p>
    <w:p>
      <w:pPr>
        <w:pStyle w:val="20"/>
        <w:numPr>
          <w:ilvl w:val="1"/>
          <w:numId w:val="25"/>
        </w:numPr>
        <w:tabs>
          <w:tab w:val="left" w:pos="1112"/>
        </w:tabs>
        <w:spacing w:before="0" w:after="0" w:line="357" w:lineRule="auto"/>
        <w:ind w:left="218" w:right="606" w:firstLine="420"/>
        <w:jc w:val="both"/>
        <w:rPr>
          <w:sz w:val="21"/>
        </w:rPr>
      </w:pPr>
      <w:r>
        <w:rPr>
          <w:sz w:val="21"/>
        </w:rPr>
        <w:t>投标人应仔细阅读招标文件的所有内容，按照招标文件的要求提交投标文件。投标文件应对招标文件的要求作出实质性响应，并对所提供的全部资料的真实性承担法律责任。</w:t>
      </w:r>
    </w:p>
    <w:p>
      <w:pPr>
        <w:pStyle w:val="8"/>
        <w:spacing w:line="269" w:lineRule="exact"/>
      </w:pPr>
      <w:r>
        <w:t>八、投标费用</w:t>
      </w:r>
    </w:p>
    <w:p>
      <w:pPr>
        <w:pStyle w:val="20"/>
        <w:numPr>
          <w:ilvl w:val="1"/>
          <w:numId w:val="26"/>
        </w:numPr>
        <w:tabs>
          <w:tab w:val="left" w:pos="1164"/>
        </w:tabs>
        <w:spacing w:before="121" w:after="0" w:line="357" w:lineRule="auto"/>
        <w:ind w:left="218" w:right="606" w:firstLine="420"/>
        <w:jc w:val="left"/>
        <w:rPr>
          <w:sz w:val="21"/>
        </w:rPr>
      </w:pPr>
      <w:r>
        <w:rPr>
          <w:sz w:val="21"/>
        </w:rPr>
        <w:t>无论投标过程中的做法和结果如何，投标人自行承担所有与参加投标有关的费用。投标人取得中标资格后，须向招标代理机构支付</w:t>
      </w:r>
      <w:r>
        <w:rPr>
          <w:rFonts w:hint="eastAsia"/>
          <w:sz w:val="21"/>
          <w:lang w:eastAsia="zh-CN"/>
        </w:rPr>
        <w:t>代理服务费</w:t>
      </w:r>
      <w:r>
        <w:rPr>
          <w:sz w:val="21"/>
        </w:rPr>
        <w:t>，</w:t>
      </w:r>
      <w:r>
        <w:rPr>
          <w:rFonts w:hint="eastAsia"/>
          <w:sz w:val="21"/>
          <w:lang w:eastAsia="zh-CN"/>
        </w:rPr>
        <w:t>代理</w:t>
      </w:r>
      <w:r>
        <w:rPr>
          <w:sz w:val="21"/>
        </w:rPr>
        <w:t>服务费为</w:t>
      </w:r>
      <w:r>
        <w:rPr>
          <w:rFonts w:hint="eastAsia"/>
          <w:sz w:val="21"/>
          <w:lang w:eastAsia="zh-CN"/>
        </w:rPr>
        <w:t>肆万陆仟</w:t>
      </w:r>
      <w:r>
        <w:rPr>
          <w:sz w:val="21"/>
        </w:rPr>
        <w:t>元。</w:t>
      </w:r>
    </w:p>
    <w:p>
      <w:pPr>
        <w:pStyle w:val="20"/>
        <w:numPr>
          <w:ilvl w:val="1"/>
          <w:numId w:val="26"/>
        </w:numPr>
        <w:tabs>
          <w:tab w:val="left" w:pos="1109"/>
        </w:tabs>
        <w:spacing w:before="0" w:after="0" w:line="269" w:lineRule="exact"/>
        <w:ind w:left="1108" w:right="0" w:hanging="471"/>
        <w:jc w:val="left"/>
        <w:rPr>
          <w:sz w:val="21"/>
        </w:rPr>
      </w:pPr>
      <w:r>
        <w:rPr>
          <w:sz w:val="21"/>
        </w:rPr>
        <w:t>中标人领取中标通知书之前，须向招标代理机构支付</w:t>
      </w:r>
      <w:r>
        <w:rPr>
          <w:rFonts w:hint="eastAsia"/>
          <w:sz w:val="21"/>
          <w:lang w:eastAsia="zh-CN"/>
        </w:rPr>
        <w:t>代理</w:t>
      </w:r>
      <w:r>
        <w:rPr>
          <w:sz w:val="21"/>
        </w:rPr>
        <w:t>服务费。</w:t>
      </w:r>
    </w:p>
    <w:p>
      <w:pPr>
        <w:spacing w:after="0" w:line="269" w:lineRule="exact"/>
        <w:jc w:val="left"/>
        <w:rPr>
          <w:sz w:val="21"/>
        </w:rPr>
        <w:sectPr>
          <w:pgSz w:w="11910" w:h="16840"/>
          <w:pgMar w:top="1460" w:right="920" w:bottom="1040" w:left="1200" w:header="0" w:footer="852" w:gutter="0"/>
          <w:cols w:space="720" w:num="1"/>
        </w:sectPr>
      </w:pPr>
    </w:p>
    <w:p>
      <w:pPr>
        <w:pStyle w:val="3"/>
        <w:ind w:left="275"/>
      </w:pPr>
      <w:bookmarkStart w:id="656" w:name="第五章 开标和评标须知"/>
      <w:bookmarkEnd w:id="656"/>
      <w:bookmarkStart w:id="657" w:name="_bookmark4"/>
      <w:bookmarkEnd w:id="657"/>
      <w:r>
        <w:t>第五章 开标和评标须知</w:t>
      </w:r>
    </w:p>
    <w:p>
      <w:pPr>
        <w:pStyle w:val="10"/>
        <w:spacing w:before="6"/>
        <w:rPr>
          <w:b/>
          <w:sz w:val="19"/>
        </w:rPr>
      </w:pPr>
    </w:p>
    <w:p>
      <w:pPr>
        <w:pStyle w:val="8"/>
        <w:spacing w:before="69"/>
      </w:pPr>
      <w:r>
        <w:t>一、开标</w:t>
      </w:r>
    </w:p>
    <w:p>
      <w:pPr>
        <w:pStyle w:val="20"/>
        <w:numPr>
          <w:ilvl w:val="0"/>
          <w:numId w:val="0"/>
        </w:numPr>
        <w:tabs>
          <w:tab w:val="left" w:pos="850"/>
        </w:tabs>
        <w:spacing w:before="163" w:after="0" w:line="360" w:lineRule="auto"/>
        <w:ind w:left="637" w:leftChars="0" w:right="0" w:rightChars="0"/>
        <w:jc w:val="left"/>
        <w:rPr>
          <w:sz w:val="21"/>
        </w:rPr>
      </w:pPr>
      <w:r>
        <w:rPr>
          <w:rFonts w:hint="eastAsia"/>
          <w:sz w:val="21"/>
          <w:lang w:val="en-US" w:eastAsia="zh-CN"/>
        </w:rPr>
        <w:t>1.</w:t>
      </w:r>
      <w:r>
        <w:rPr>
          <w:sz w:val="21"/>
        </w:rPr>
        <w:t>组织开标</w:t>
      </w:r>
    </w:p>
    <w:p>
      <w:pPr>
        <w:pStyle w:val="10"/>
        <w:adjustRightInd w:val="0"/>
        <w:snapToGrid w:val="0"/>
        <w:spacing w:before="0" w:line="360" w:lineRule="auto"/>
        <w:ind w:left="0" w:right="0" w:firstLine="404" w:firstLineChars="200"/>
        <w:rPr>
          <w:rFonts w:ascii="宋体" w:hAnsi="宋体" w:eastAsia="宋体" w:cs="宋体"/>
          <w:spacing w:val="-4"/>
        </w:rPr>
      </w:pPr>
      <w:r>
        <w:rPr>
          <w:rFonts w:ascii="宋体" w:hAnsi="宋体" w:eastAsia="宋体" w:cs="宋体"/>
          <w:spacing w:val="-4"/>
        </w:rPr>
        <w:t>疫情期间：开标现场人员由项目经办人 1 名、代理监督人员 1 名、采购人（采购人代表和采购人监督人员各 1 名）及评审专家组成。所有人员进入评标室前均需测量体温，经酒精消毒，领取医用一次性口罩、手套并配套完毕。</w:t>
      </w:r>
    </w:p>
    <w:p>
      <w:pPr>
        <w:pStyle w:val="20"/>
        <w:numPr>
          <w:ilvl w:val="1"/>
          <w:numId w:val="27"/>
        </w:numPr>
        <w:tabs>
          <w:tab w:val="left" w:pos="1006"/>
        </w:tabs>
        <w:spacing w:before="1" w:after="0" w:line="393" w:lineRule="auto"/>
        <w:ind w:left="218" w:right="330" w:firstLine="420"/>
        <w:jc w:val="left"/>
        <w:rPr>
          <w:sz w:val="21"/>
        </w:rPr>
      </w:pPr>
      <w:r>
        <w:rPr>
          <w:rFonts w:ascii="宋体" w:hAnsi="宋体" w:eastAsia="宋体" w:cs="宋体"/>
          <w:spacing w:val="-4"/>
          <w:w w:val="100"/>
          <w:sz w:val="21"/>
          <w:szCs w:val="21"/>
        </w:rPr>
        <w:t>采购组织机构按照规定的时间通过政采云系统组织开标、开启响应文件，所有投标人均应</w:t>
      </w:r>
      <w:r>
        <w:rPr>
          <w:rFonts w:ascii="宋体" w:hAnsi="宋体" w:eastAsia="宋体" w:cs="宋体"/>
          <w:spacing w:val="-4"/>
          <w:sz w:val="21"/>
          <w:szCs w:val="21"/>
        </w:rPr>
        <w:t>当准时在线参加</w:t>
      </w:r>
      <w:r>
        <w:rPr>
          <w:spacing w:val="-2"/>
          <w:sz w:val="21"/>
        </w:rPr>
        <w:t>。</w:t>
      </w:r>
    </w:p>
    <w:p>
      <w:pPr>
        <w:pStyle w:val="8"/>
        <w:numPr>
          <w:ilvl w:val="1"/>
          <w:numId w:val="27"/>
        </w:numPr>
        <w:tabs>
          <w:tab w:val="left" w:pos="1061"/>
        </w:tabs>
        <w:spacing w:before="0" w:after="0" w:line="391" w:lineRule="auto"/>
        <w:ind w:left="218" w:right="572" w:firstLine="420"/>
        <w:jc w:val="left"/>
      </w:pPr>
      <w:r>
        <w:rPr>
          <w:rFonts w:ascii="宋体" w:hAnsi="宋体" w:eastAsia="宋体" w:cs="宋体"/>
          <w:w w:val="100"/>
        </w:rPr>
        <w:t>投标截止时间后，投标人登录政采云平台，用“项目采购-开标评标”功能对电子响应文</w:t>
      </w:r>
      <w:r>
        <w:t>件进行在线解密。在线解密电子响应文件时间为开标时间起半个小时内；</w:t>
      </w:r>
    </w:p>
    <w:p>
      <w:pPr>
        <w:pStyle w:val="20"/>
        <w:numPr>
          <w:ilvl w:val="1"/>
          <w:numId w:val="27"/>
        </w:numPr>
        <w:tabs>
          <w:tab w:val="left" w:pos="1059"/>
        </w:tabs>
        <w:spacing w:before="2" w:after="0" w:line="240" w:lineRule="auto"/>
        <w:ind w:left="1058" w:right="0" w:hanging="421"/>
        <w:jc w:val="left"/>
        <w:rPr>
          <w:sz w:val="21"/>
        </w:rPr>
      </w:pPr>
      <w:r>
        <w:rPr>
          <w:sz w:val="21"/>
        </w:rPr>
        <w:t>评标委员会对投标文件进行评审；</w:t>
      </w:r>
    </w:p>
    <w:p>
      <w:pPr>
        <w:pStyle w:val="20"/>
        <w:numPr>
          <w:ilvl w:val="1"/>
          <w:numId w:val="27"/>
        </w:numPr>
        <w:tabs>
          <w:tab w:val="left" w:pos="1059"/>
        </w:tabs>
        <w:spacing w:before="170" w:after="0" w:line="240" w:lineRule="auto"/>
        <w:ind w:left="1058" w:right="0" w:hanging="421"/>
        <w:jc w:val="left"/>
        <w:rPr>
          <w:sz w:val="21"/>
        </w:rPr>
      </w:pPr>
      <w:r>
        <w:rPr>
          <w:sz w:val="21"/>
        </w:rPr>
        <w:t>在政采云系统上公布技术商务得分；</w:t>
      </w:r>
    </w:p>
    <w:p>
      <w:pPr>
        <w:pStyle w:val="20"/>
        <w:numPr>
          <w:ilvl w:val="1"/>
          <w:numId w:val="27"/>
        </w:numPr>
        <w:tabs>
          <w:tab w:val="left" w:pos="1059"/>
        </w:tabs>
        <w:spacing w:before="171" w:after="0" w:line="240" w:lineRule="auto"/>
        <w:ind w:left="1058" w:right="0" w:hanging="421"/>
        <w:jc w:val="left"/>
        <w:rPr>
          <w:sz w:val="21"/>
        </w:rPr>
      </w:pPr>
      <w:r>
        <w:rPr>
          <w:sz w:val="21"/>
        </w:rPr>
        <w:t>开启价格投标文件；</w:t>
      </w:r>
    </w:p>
    <w:p>
      <w:pPr>
        <w:pStyle w:val="20"/>
        <w:numPr>
          <w:ilvl w:val="1"/>
          <w:numId w:val="27"/>
        </w:numPr>
        <w:tabs>
          <w:tab w:val="left" w:pos="1059"/>
        </w:tabs>
        <w:spacing w:before="172" w:after="0" w:line="240" w:lineRule="auto"/>
        <w:ind w:left="1058" w:right="0" w:hanging="421"/>
        <w:jc w:val="left"/>
        <w:rPr>
          <w:sz w:val="21"/>
        </w:rPr>
      </w:pPr>
      <w:r>
        <w:rPr>
          <w:sz w:val="21"/>
        </w:rPr>
        <w:t>在政采云系统上公开报价开标情况；</w:t>
      </w:r>
    </w:p>
    <w:p>
      <w:pPr>
        <w:pStyle w:val="20"/>
        <w:numPr>
          <w:ilvl w:val="1"/>
          <w:numId w:val="27"/>
        </w:numPr>
        <w:tabs>
          <w:tab w:val="left" w:pos="1059"/>
        </w:tabs>
        <w:spacing w:before="170" w:after="0" w:line="240" w:lineRule="auto"/>
        <w:ind w:left="1058" w:right="0" w:hanging="421"/>
        <w:jc w:val="left"/>
        <w:rPr>
          <w:sz w:val="21"/>
        </w:rPr>
      </w:pPr>
      <w:r>
        <w:rPr>
          <w:sz w:val="21"/>
        </w:rPr>
        <w:t>评标委员会对报价情况进行评审；</w:t>
      </w:r>
    </w:p>
    <w:p>
      <w:pPr>
        <w:pStyle w:val="20"/>
        <w:numPr>
          <w:ilvl w:val="1"/>
          <w:numId w:val="27"/>
        </w:numPr>
        <w:tabs>
          <w:tab w:val="left" w:pos="1059"/>
        </w:tabs>
        <w:spacing w:before="170" w:after="0" w:line="240" w:lineRule="auto"/>
        <w:ind w:left="1058" w:right="0" w:hanging="421"/>
        <w:jc w:val="left"/>
        <w:rPr>
          <w:sz w:val="21"/>
        </w:rPr>
      </w:pPr>
      <w:r>
        <w:rPr>
          <w:sz w:val="21"/>
        </w:rPr>
        <w:t>在政采云系统上公布评审结果。</w:t>
      </w:r>
    </w:p>
    <w:p>
      <w:pPr>
        <w:pStyle w:val="10"/>
        <w:spacing w:before="173" w:line="364" w:lineRule="auto"/>
        <w:ind w:left="218" w:right="1376" w:firstLine="420"/>
        <w:rPr>
          <w:b/>
        </w:rPr>
      </w:pPr>
      <w:r>
        <w:rPr>
          <w:rFonts w:ascii="宋体" w:hAnsi="宋体" w:eastAsia="宋体" w:cs="宋体"/>
          <w:w w:val="100"/>
          <w:szCs w:val="22"/>
        </w:rPr>
        <w:t>特别说明：政采云公司如对电子化开标及评审程序有调整的，按调整后的程序操作。</w:t>
      </w:r>
      <w:r>
        <w:rPr>
          <w:w w:val="95"/>
        </w:rPr>
        <w:t xml:space="preserve">  </w:t>
      </w:r>
      <w:r>
        <w:rPr>
          <w:b/>
        </w:rPr>
        <w:t>二、评标委员会</w:t>
      </w:r>
    </w:p>
    <w:p>
      <w:pPr>
        <w:pStyle w:val="10"/>
        <w:spacing w:before="22" w:line="391" w:lineRule="auto"/>
        <w:ind w:left="218" w:right="589" w:firstLine="420"/>
      </w:pPr>
      <w:r>
        <w:t>2.1</w:t>
      </w:r>
      <w:r>
        <w:rPr>
          <w:spacing w:val="-9"/>
        </w:rPr>
        <w:t xml:space="preserve"> 招标人将根据招标项目的特点组成评标委员会。评标委员会对投标文件进行审查、质疑、评估和比较。</w:t>
      </w:r>
    </w:p>
    <w:p>
      <w:pPr>
        <w:pStyle w:val="8"/>
        <w:spacing w:line="239" w:lineRule="exact"/>
      </w:pPr>
      <w:r>
        <w:t>三、对投标文件的审查和响应性的确定</w:t>
      </w:r>
    </w:p>
    <w:p>
      <w:pPr>
        <w:pStyle w:val="20"/>
        <w:numPr>
          <w:ilvl w:val="1"/>
          <w:numId w:val="28"/>
        </w:numPr>
        <w:tabs>
          <w:tab w:val="left" w:pos="1006"/>
        </w:tabs>
        <w:spacing w:before="163" w:after="0" w:line="393" w:lineRule="auto"/>
        <w:ind w:left="218" w:right="603" w:firstLine="420"/>
        <w:jc w:val="both"/>
        <w:rPr>
          <w:sz w:val="21"/>
        </w:rPr>
      </w:pPr>
      <w:r>
        <w:rPr>
          <w:rFonts w:ascii="宋体" w:hAnsi="宋体" w:eastAsia="宋体" w:cs="宋体"/>
          <w:spacing w:val="-9"/>
          <w:w w:val="100"/>
          <w:sz w:val="21"/>
          <w:szCs w:val="21"/>
        </w:rPr>
        <w:t xml:space="preserve">开标后，招标人将组织审查投标文件是否完整，文件是否恰当地签署。若大写金额与小写   金额不一致，以大写金额为准；总价金额与按单价金额有不一致，以单价金额计算结果为准；若单   价金额小数点有明显错位的，应以总价为准，并修改单价。若投标人拒绝接受上述修正，其投标将   </w:t>
      </w:r>
      <w:r>
        <w:rPr>
          <w:rFonts w:ascii="宋体" w:hAnsi="宋体" w:eastAsia="宋体" w:cs="宋体"/>
          <w:spacing w:val="-9"/>
          <w:sz w:val="21"/>
          <w:szCs w:val="21"/>
        </w:rPr>
        <w:t>被拒绝</w:t>
      </w:r>
      <w:r>
        <w:rPr>
          <w:spacing w:val="-12"/>
          <w:sz w:val="21"/>
        </w:rPr>
        <w:t>。</w:t>
      </w:r>
    </w:p>
    <w:p>
      <w:pPr>
        <w:pStyle w:val="20"/>
        <w:numPr>
          <w:ilvl w:val="1"/>
          <w:numId w:val="28"/>
        </w:numPr>
        <w:tabs>
          <w:tab w:val="left" w:pos="1006"/>
        </w:tabs>
        <w:spacing w:before="0" w:after="0" w:line="393" w:lineRule="auto"/>
        <w:ind w:left="218" w:right="606" w:firstLine="420"/>
        <w:jc w:val="both"/>
        <w:rPr>
          <w:sz w:val="21"/>
        </w:rPr>
      </w:pPr>
      <w:r>
        <w:rPr>
          <w:rFonts w:ascii="宋体" w:hAnsi="宋体" w:eastAsia="宋体" w:cs="宋体"/>
          <w:spacing w:val="-9"/>
          <w:w w:val="100"/>
          <w:sz w:val="21"/>
          <w:szCs w:val="21"/>
        </w:rPr>
        <w:t xml:space="preserve">对于投标文件中不构成实质性偏差的不正规、不一致或不规则，招标人可以接受，但这种   </w:t>
      </w:r>
      <w:r>
        <w:rPr>
          <w:rFonts w:ascii="宋体" w:hAnsi="宋体" w:eastAsia="宋体" w:cs="宋体"/>
          <w:spacing w:val="-9"/>
          <w:sz w:val="21"/>
          <w:szCs w:val="21"/>
        </w:rPr>
        <w:t>接</w:t>
      </w:r>
      <w:r>
        <w:rPr>
          <w:spacing w:val="-3"/>
          <w:sz w:val="21"/>
        </w:rPr>
        <w:t>受不能损害或影响任何投标人的相对排序。</w:t>
      </w:r>
    </w:p>
    <w:p>
      <w:pPr>
        <w:pStyle w:val="20"/>
        <w:numPr>
          <w:ilvl w:val="1"/>
          <w:numId w:val="28"/>
        </w:numPr>
        <w:tabs>
          <w:tab w:val="left" w:pos="1006"/>
        </w:tabs>
        <w:spacing w:before="0" w:after="0" w:line="391" w:lineRule="auto"/>
        <w:ind w:left="218" w:right="591" w:firstLine="420"/>
        <w:jc w:val="both"/>
        <w:rPr>
          <w:sz w:val="21"/>
        </w:rPr>
      </w:pPr>
      <w:r>
        <w:rPr>
          <w:spacing w:val="-6"/>
          <w:sz w:val="21"/>
        </w:rPr>
        <w:t xml:space="preserve">在详细评标之前，根据本须知第 </w:t>
      </w:r>
      <w:r>
        <w:rPr>
          <w:sz w:val="21"/>
        </w:rPr>
        <w:t>3.4</w:t>
      </w:r>
      <w:r>
        <w:rPr>
          <w:spacing w:val="-9"/>
          <w:sz w:val="21"/>
        </w:rPr>
        <w:t xml:space="preserve"> 条的规定，招标人要审查每份投标文件是否实质上响</w:t>
      </w:r>
      <w:r>
        <w:rPr>
          <w:spacing w:val="-12"/>
          <w:sz w:val="21"/>
        </w:rPr>
        <w:t>应了招标文件的要求。实质上响应的投标应该是与招标文件要求的全部条款、条件和规格相符，没</w:t>
      </w:r>
      <w:r>
        <w:rPr>
          <w:spacing w:val="-13"/>
          <w:sz w:val="21"/>
        </w:rPr>
        <w:t>有重大偏离的投标。对关键条文的偏离、保留或反对，</w:t>
      </w:r>
      <w:r>
        <w:rPr>
          <w:b/>
          <w:spacing w:val="-5"/>
          <w:sz w:val="21"/>
        </w:rPr>
        <w:t>例如关于“▲”条款及特别说明为强制性要</w:t>
      </w:r>
      <w:r>
        <w:rPr>
          <w:b/>
          <w:spacing w:val="-8"/>
          <w:sz w:val="21"/>
        </w:rPr>
        <w:t>求的负偏离将被认为是实质上的偏离。</w:t>
      </w:r>
      <w:r>
        <w:rPr>
          <w:spacing w:val="-2"/>
          <w:sz w:val="21"/>
        </w:rPr>
        <w:t>招标机构决定投标的响应性只根据投标文件的内容，而不寻求外部的证据。</w:t>
      </w:r>
    </w:p>
    <w:p>
      <w:pPr>
        <w:spacing w:after="0" w:line="391" w:lineRule="auto"/>
        <w:jc w:val="both"/>
        <w:rPr>
          <w:sz w:val="21"/>
        </w:rPr>
        <w:sectPr>
          <w:pgSz w:w="11910" w:h="16840"/>
          <w:pgMar w:top="1360" w:right="920" w:bottom="1040" w:left="1200" w:header="0" w:footer="852" w:gutter="0"/>
          <w:cols w:space="720" w:num="1"/>
        </w:sectPr>
      </w:pPr>
    </w:p>
    <w:p>
      <w:pPr>
        <w:pStyle w:val="20"/>
        <w:numPr>
          <w:ilvl w:val="1"/>
          <w:numId w:val="28"/>
        </w:numPr>
        <w:tabs>
          <w:tab w:val="left" w:pos="1006"/>
        </w:tabs>
        <w:spacing w:before="42" w:after="0" w:line="391" w:lineRule="auto"/>
        <w:ind w:left="218" w:right="603" w:firstLine="420"/>
        <w:jc w:val="left"/>
        <w:rPr>
          <w:sz w:val="21"/>
        </w:rPr>
      </w:pPr>
      <w:r>
        <w:rPr>
          <w:rFonts w:ascii="宋体" w:hAnsi="宋体" w:eastAsia="宋体" w:cs="宋体"/>
          <w:spacing w:val="-1"/>
          <w:w w:val="100"/>
          <w:sz w:val="21"/>
        </w:rPr>
        <w:t xml:space="preserve">实质上没有响应招标文件要求的投标将被拒绝。投标人不得通过修改或撤消不符合要求的  </w:t>
      </w:r>
      <w:r>
        <w:rPr>
          <w:spacing w:val="-1"/>
          <w:w w:val="95"/>
          <w:sz w:val="21"/>
        </w:rPr>
        <w:t xml:space="preserve"> </w:t>
      </w:r>
      <w:r>
        <w:rPr>
          <w:spacing w:val="-1"/>
          <w:sz w:val="21"/>
        </w:rPr>
        <w:t>偏离或保留从而使其投标成为实质上响应的投标。</w:t>
      </w:r>
    </w:p>
    <w:p>
      <w:pPr>
        <w:pStyle w:val="8"/>
        <w:spacing w:before="3"/>
        <w:ind w:left="638"/>
      </w:pPr>
      <w:r>
        <w:t>如发现下列情况之一的，其投标将被拒绝或无效：</w:t>
      </w:r>
    </w:p>
    <w:p>
      <w:pPr>
        <w:pStyle w:val="20"/>
        <w:numPr>
          <w:ilvl w:val="2"/>
          <w:numId w:val="28"/>
        </w:numPr>
        <w:tabs>
          <w:tab w:val="left" w:pos="1215"/>
        </w:tabs>
        <w:spacing w:before="170" w:after="0" w:line="391" w:lineRule="auto"/>
        <w:ind w:left="218" w:right="606" w:firstLine="420"/>
        <w:jc w:val="left"/>
        <w:rPr>
          <w:sz w:val="21"/>
        </w:rPr>
      </w:pPr>
      <w:r>
        <w:rPr>
          <w:rFonts w:ascii="宋体" w:hAnsi="宋体" w:eastAsia="宋体" w:cs="宋体"/>
          <w:spacing w:val="-1"/>
          <w:w w:val="100"/>
          <w:sz w:val="21"/>
        </w:rPr>
        <w:t xml:space="preserve">未按招标文件规定提供相关文件，如资格证明、身份证明等；提供虚假资料的（含中标  </w:t>
      </w:r>
      <w:r>
        <w:rPr>
          <w:rFonts w:ascii="宋体" w:hAnsi="宋体" w:eastAsia="宋体" w:cs="宋体"/>
          <w:spacing w:val="-1"/>
          <w:sz w:val="21"/>
        </w:rPr>
        <w:t>后查实的）。联合体</w:t>
      </w:r>
      <w:r>
        <w:rPr>
          <w:sz w:val="21"/>
        </w:rPr>
        <w:t>投标未附联合各方共同投标协议的。</w:t>
      </w:r>
    </w:p>
    <w:p>
      <w:pPr>
        <w:pStyle w:val="20"/>
        <w:numPr>
          <w:ilvl w:val="2"/>
          <w:numId w:val="28"/>
        </w:numPr>
        <w:tabs>
          <w:tab w:val="left" w:pos="1215"/>
        </w:tabs>
        <w:spacing w:before="4" w:after="0" w:line="391" w:lineRule="auto"/>
        <w:ind w:left="218" w:right="606" w:firstLine="420"/>
        <w:jc w:val="left"/>
        <w:rPr>
          <w:sz w:val="21"/>
        </w:rPr>
      </w:pPr>
      <w:r>
        <w:rPr>
          <w:rFonts w:ascii="宋体" w:hAnsi="宋体" w:eastAsia="宋体" w:cs="宋体"/>
          <w:spacing w:val="-1"/>
          <w:w w:val="100"/>
          <w:sz w:val="21"/>
        </w:rPr>
        <w:t xml:space="preserve">投标文件不符合采购文件规定，未按规定格式填写，内容不全或关键字迹模糊、无法辨  </w:t>
      </w:r>
      <w:r>
        <w:rPr>
          <w:rFonts w:ascii="宋体" w:hAnsi="宋体" w:eastAsia="宋体" w:cs="宋体"/>
          <w:spacing w:val="-1"/>
          <w:sz w:val="21"/>
        </w:rPr>
        <w:t>认的。涂改文件、伪造</w:t>
      </w:r>
      <w:r>
        <w:rPr>
          <w:spacing w:val="-3"/>
          <w:sz w:val="21"/>
        </w:rPr>
        <w:t>或编造投标文件的。</w:t>
      </w:r>
    </w:p>
    <w:p>
      <w:pPr>
        <w:pStyle w:val="20"/>
        <w:numPr>
          <w:ilvl w:val="2"/>
          <w:numId w:val="28"/>
        </w:numPr>
        <w:tabs>
          <w:tab w:val="left" w:pos="1215"/>
        </w:tabs>
        <w:spacing w:before="1" w:after="0" w:line="240" w:lineRule="auto"/>
        <w:ind w:left="1214" w:right="0" w:hanging="577"/>
        <w:jc w:val="left"/>
        <w:rPr>
          <w:sz w:val="21"/>
        </w:rPr>
      </w:pPr>
      <w:r>
        <w:rPr>
          <w:sz w:val="21"/>
        </w:rPr>
        <w:t>借用或冒用他人名义或证件投标的。</w:t>
      </w:r>
    </w:p>
    <w:p>
      <w:pPr>
        <w:pStyle w:val="20"/>
        <w:numPr>
          <w:ilvl w:val="2"/>
          <w:numId w:val="28"/>
        </w:numPr>
        <w:tabs>
          <w:tab w:val="left" w:pos="1215"/>
        </w:tabs>
        <w:spacing w:before="173" w:after="0" w:line="240" w:lineRule="auto"/>
        <w:ind w:left="1214" w:right="0" w:hanging="577"/>
        <w:jc w:val="left"/>
        <w:rPr>
          <w:sz w:val="21"/>
        </w:rPr>
      </w:pPr>
      <w:r>
        <w:rPr>
          <w:sz w:val="21"/>
        </w:rPr>
        <w:t>投标人逾期送达投标文件。</w:t>
      </w:r>
    </w:p>
    <w:p>
      <w:pPr>
        <w:pStyle w:val="20"/>
        <w:numPr>
          <w:ilvl w:val="2"/>
          <w:numId w:val="28"/>
        </w:numPr>
        <w:tabs>
          <w:tab w:val="left" w:pos="1215"/>
        </w:tabs>
        <w:spacing w:before="170" w:after="0" w:line="391" w:lineRule="auto"/>
        <w:ind w:left="218" w:right="606" w:firstLine="420"/>
        <w:jc w:val="left"/>
        <w:rPr>
          <w:sz w:val="21"/>
        </w:rPr>
      </w:pPr>
      <w:r>
        <w:rPr>
          <w:rFonts w:ascii="宋体" w:hAnsi="宋体" w:eastAsia="宋体" w:cs="宋体"/>
          <w:spacing w:val="-1"/>
          <w:w w:val="100"/>
          <w:sz w:val="21"/>
        </w:rPr>
        <w:t xml:space="preserve">投标文件未密封或密封不完整，封条中未加盖单位公章或法定代表人（或法定代表人授  </w:t>
      </w:r>
      <w:r>
        <w:rPr>
          <w:rFonts w:ascii="宋体" w:hAnsi="宋体" w:eastAsia="宋体" w:cs="宋体"/>
          <w:spacing w:val="-1"/>
          <w:sz w:val="21"/>
        </w:rPr>
        <w:t>权的代理人）签字或</w:t>
      </w:r>
      <w:r>
        <w:rPr>
          <w:sz w:val="21"/>
        </w:rPr>
        <w:t>盖章的。</w:t>
      </w:r>
    </w:p>
    <w:p>
      <w:pPr>
        <w:pStyle w:val="20"/>
        <w:numPr>
          <w:ilvl w:val="2"/>
          <w:numId w:val="28"/>
        </w:numPr>
        <w:tabs>
          <w:tab w:val="left" w:pos="1215"/>
        </w:tabs>
        <w:spacing w:before="4" w:after="0" w:line="391" w:lineRule="auto"/>
        <w:ind w:left="218" w:right="606" w:firstLine="420"/>
        <w:jc w:val="left"/>
        <w:rPr>
          <w:sz w:val="21"/>
        </w:rPr>
      </w:pPr>
      <w:r>
        <w:rPr>
          <w:rFonts w:ascii="宋体" w:hAnsi="宋体" w:eastAsia="宋体" w:cs="宋体"/>
          <w:spacing w:val="-1"/>
          <w:w w:val="100"/>
          <w:sz w:val="21"/>
        </w:rPr>
        <w:t xml:space="preserve">参投服务的技术商务或价格与招标文件偏离的部分，不能使采购人满意，或实质上不响  </w:t>
      </w:r>
      <w:r>
        <w:rPr>
          <w:rFonts w:ascii="宋体" w:hAnsi="宋体" w:eastAsia="宋体" w:cs="宋体"/>
          <w:spacing w:val="-1"/>
          <w:sz w:val="21"/>
        </w:rPr>
        <w:t>应采购文件的</w:t>
      </w:r>
      <w:r>
        <w:rPr>
          <w:spacing w:val="-2"/>
          <w:sz w:val="21"/>
        </w:rPr>
        <w:t>。</w:t>
      </w:r>
    </w:p>
    <w:p>
      <w:pPr>
        <w:pStyle w:val="20"/>
        <w:numPr>
          <w:ilvl w:val="2"/>
          <w:numId w:val="28"/>
        </w:numPr>
        <w:tabs>
          <w:tab w:val="left" w:pos="1215"/>
        </w:tabs>
        <w:spacing w:before="1" w:after="0" w:line="240" w:lineRule="auto"/>
        <w:ind w:left="1214" w:right="0" w:hanging="577"/>
        <w:jc w:val="left"/>
        <w:rPr>
          <w:sz w:val="21"/>
        </w:rPr>
      </w:pPr>
      <w:r>
        <w:rPr>
          <w:sz w:val="21"/>
        </w:rPr>
        <w:t>技术商务标中体现或包含投标报价。</w:t>
      </w:r>
    </w:p>
    <w:p>
      <w:pPr>
        <w:pStyle w:val="20"/>
        <w:numPr>
          <w:ilvl w:val="2"/>
          <w:numId w:val="28"/>
        </w:numPr>
        <w:tabs>
          <w:tab w:val="left" w:pos="1215"/>
        </w:tabs>
        <w:spacing w:before="172" w:after="0" w:line="391" w:lineRule="auto"/>
        <w:ind w:left="218" w:right="606" w:firstLine="420"/>
        <w:jc w:val="left"/>
        <w:rPr>
          <w:sz w:val="21"/>
        </w:rPr>
      </w:pPr>
      <w:r>
        <w:rPr>
          <w:rFonts w:ascii="宋体" w:hAnsi="宋体" w:eastAsia="宋体" w:cs="宋体"/>
          <w:spacing w:val="-1"/>
          <w:w w:val="100"/>
          <w:sz w:val="21"/>
        </w:rPr>
        <w:t xml:space="preserve">投标中不同投标人的投标文件出现雷同或相似（包括部分雷同或相似），对所有雷同或  </w:t>
      </w:r>
      <w:r>
        <w:rPr>
          <w:rFonts w:ascii="宋体" w:hAnsi="宋体" w:eastAsia="宋体" w:cs="宋体"/>
          <w:spacing w:val="-1"/>
          <w:sz w:val="21"/>
        </w:rPr>
        <w:t>相似投标人按废</w:t>
      </w:r>
      <w:r>
        <w:rPr>
          <w:spacing w:val="-2"/>
          <w:sz w:val="21"/>
        </w:rPr>
        <w:t>标处理，采购方将保留进一步追究责任的权利。</w:t>
      </w:r>
    </w:p>
    <w:p>
      <w:pPr>
        <w:pStyle w:val="20"/>
        <w:numPr>
          <w:ilvl w:val="2"/>
          <w:numId w:val="28"/>
        </w:numPr>
        <w:tabs>
          <w:tab w:val="left" w:pos="1215"/>
        </w:tabs>
        <w:spacing w:before="2" w:after="0" w:line="393" w:lineRule="auto"/>
        <w:ind w:left="218" w:right="606" w:firstLine="420"/>
        <w:jc w:val="left"/>
        <w:rPr>
          <w:sz w:val="21"/>
        </w:rPr>
      </w:pPr>
      <w:r>
        <w:rPr>
          <w:rFonts w:ascii="宋体" w:hAnsi="宋体" w:eastAsia="宋体" w:cs="宋体"/>
          <w:spacing w:val="-1"/>
          <w:w w:val="100"/>
          <w:sz w:val="21"/>
        </w:rPr>
        <w:t xml:space="preserve">投标人递交二份内容不同的投标文件，或在一份投标文件中对同一项目有二个或多个报  </w:t>
      </w:r>
      <w:r>
        <w:rPr>
          <w:rFonts w:ascii="宋体" w:hAnsi="宋体" w:eastAsia="宋体" w:cs="宋体"/>
          <w:spacing w:val="-1"/>
          <w:sz w:val="21"/>
        </w:rPr>
        <w:t>价，且未声明哪个有</w:t>
      </w:r>
      <w:r>
        <w:rPr>
          <w:spacing w:val="-1"/>
          <w:sz w:val="21"/>
        </w:rPr>
        <w:t>效的。按照招标文件规定提交备选投标方案的除外。</w:t>
      </w:r>
    </w:p>
    <w:p>
      <w:pPr>
        <w:pStyle w:val="20"/>
        <w:numPr>
          <w:ilvl w:val="2"/>
          <w:numId w:val="28"/>
        </w:numPr>
        <w:tabs>
          <w:tab w:val="left" w:pos="1320"/>
        </w:tabs>
        <w:spacing w:before="0" w:after="0" w:line="393" w:lineRule="auto"/>
        <w:ind w:left="218" w:right="606" w:firstLine="420"/>
        <w:jc w:val="left"/>
        <w:rPr>
          <w:sz w:val="21"/>
        </w:rPr>
      </w:pPr>
      <w:r>
        <w:rPr>
          <w:sz w:val="21"/>
        </w:rPr>
        <w:t>投</w:t>
      </w:r>
      <w:r>
        <w:rPr>
          <w:rFonts w:ascii="宋体" w:hAnsi="宋体" w:eastAsia="宋体" w:cs="宋体"/>
          <w:spacing w:val="-1"/>
          <w:sz w:val="21"/>
        </w:rPr>
        <w:t>标人名称或组织结构与资格审查时不一致，投标人不以自己真正身份参加竞标，以</w:t>
      </w:r>
      <w:r>
        <w:rPr>
          <w:rFonts w:ascii="宋体" w:hAnsi="宋体" w:eastAsia="宋体" w:cs="宋体"/>
          <w:spacing w:val="-1"/>
          <w:w w:val="100"/>
          <w:sz w:val="21"/>
        </w:rPr>
        <w:t>挂户或以他人名义参与竞标的。投标人不具备独立法人资格或不具有独立承担民事责任能力的（如</w:t>
      </w:r>
      <w:r>
        <w:rPr>
          <w:rFonts w:ascii="宋体" w:hAnsi="宋体" w:eastAsia="宋体" w:cs="宋体"/>
          <w:spacing w:val="-1"/>
          <w:sz w:val="21"/>
        </w:rPr>
        <w:t>分公司、办事处等）。投</w:t>
      </w:r>
      <w:r>
        <w:rPr>
          <w:sz w:val="21"/>
        </w:rPr>
        <w:t>标人参加政府采购活动前三年内在经济活动中有重大违法记录的。</w:t>
      </w:r>
    </w:p>
    <w:p>
      <w:pPr>
        <w:pStyle w:val="20"/>
        <w:numPr>
          <w:ilvl w:val="2"/>
          <w:numId w:val="28"/>
        </w:numPr>
        <w:tabs>
          <w:tab w:val="left" w:pos="1215"/>
        </w:tabs>
        <w:spacing w:before="0" w:after="0" w:line="265" w:lineRule="exact"/>
        <w:ind w:left="1214" w:right="0" w:hanging="577"/>
        <w:jc w:val="left"/>
        <w:rPr>
          <w:rFonts w:ascii="Times New Roman" w:eastAsia="Times New Roman"/>
          <w:sz w:val="21"/>
        </w:rPr>
      </w:pPr>
      <w:r>
        <w:rPr>
          <w:sz w:val="21"/>
        </w:rPr>
        <w:t>未实质性响应招标文件要求或者投标文件有招标人不能接受的附加条件的。</w:t>
      </w:r>
    </w:p>
    <w:p>
      <w:pPr>
        <w:pStyle w:val="20"/>
        <w:numPr>
          <w:ilvl w:val="2"/>
          <w:numId w:val="28"/>
        </w:numPr>
        <w:tabs>
          <w:tab w:val="left" w:pos="1320"/>
        </w:tabs>
        <w:spacing w:before="168" w:after="0" w:line="393" w:lineRule="auto"/>
        <w:ind w:left="218" w:right="695" w:firstLine="420"/>
        <w:jc w:val="left"/>
        <w:rPr>
          <w:sz w:val="21"/>
        </w:rPr>
      </w:pPr>
      <w:r>
        <w:rPr>
          <w:rFonts w:ascii="宋体" w:hAnsi="宋体" w:eastAsia="宋体" w:cs="宋体"/>
          <w:spacing w:val="-1"/>
          <w:w w:val="100"/>
          <w:sz w:val="21"/>
        </w:rPr>
        <w:t xml:space="preserve">投标人的报价超过限价的和其它不符合《政府采购法》或省、市有关政府采购法律、  </w:t>
      </w:r>
      <w:r>
        <w:rPr>
          <w:rFonts w:ascii="宋体" w:hAnsi="宋体" w:eastAsia="宋体" w:cs="宋体"/>
          <w:spacing w:val="-1"/>
          <w:sz w:val="21"/>
        </w:rPr>
        <w:t>法规要求</w:t>
      </w:r>
      <w:r>
        <w:rPr>
          <w:sz w:val="21"/>
        </w:rPr>
        <w:t>的。</w:t>
      </w:r>
    </w:p>
    <w:p>
      <w:pPr>
        <w:pStyle w:val="8"/>
        <w:spacing w:line="236" w:lineRule="exact"/>
      </w:pPr>
      <w:r>
        <w:t>四、投标文件的澄清</w:t>
      </w:r>
    </w:p>
    <w:p>
      <w:pPr>
        <w:pStyle w:val="10"/>
        <w:spacing w:before="163" w:line="391" w:lineRule="auto"/>
        <w:ind w:left="218" w:right="606" w:firstLine="420"/>
      </w:pPr>
      <w:r>
        <w:rPr>
          <w:rFonts w:ascii="宋体" w:hAnsi="宋体" w:eastAsia="宋体" w:cs="宋体"/>
          <w:spacing w:val="-1"/>
          <w:w w:val="100"/>
          <w:szCs w:val="22"/>
        </w:rPr>
        <w:t>在评标期间，招标机构可要求投标人对其投标文件进行澄清，但不得寻求、提供或允许对投标</w:t>
      </w:r>
      <w:r>
        <w:rPr>
          <w:rFonts w:ascii="宋体" w:hAnsi="宋体" w:eastAsia="宋体" w:cs="宋体"/>
          <w:spacing w:val="-1"/>
          <w:szCs w:val="22"/>
        </w:rPr>
        <w:t>价格等实质性内容</w:t>
      </w:r>
      <w:r>
        <w:rPr>
          <w:spacing w:val="-6"/>
        </w:rPr>
        <w:t>做任何更改。有关澄清的要求和答复均应以书面形式提交。</w:t>
      </w:r>
    </w:p>
    <w:p>
      <w:pPr>
        <w:pStyle w:val="8"/>
        <w:spacing w:line="239" w:lineRule="exact"/>
      </w:pPr>
      <w:r>
        <w:t>五、对投标文件的评估和比较</w:t>
      </w:r>
    </w:p>
    <w:p>
      <w:pPr>
        <w:pStyle w:val="20"/>
        <w:numPr>
          <w:ilvl w:val="1"/>
          <w:numId w:val="29"/>
        </w:numPr>
        <w:tabs>
          <w:tab w:val="left" w:pos="1006"/>
        </w:tabs>
        <w:spacing w:before="163" w:after="0" w:line="393" w:lineRule="auto"/>
        <w:ind w:left="218" w:right="536" w:firstLine="420"/>
        <w:jc w:val="both"/>
        <w:rPr>
          <w:b/>
          <w:sz w:val="21"/>
        </w:rPr>
      </w:pPr>
      <w:r>
        <w:rPr>
          <w:spacing w:val="-2"/>
          <w:sz w:val="21"/>
        </w:rPr>
        <w:t>由评标委员会对各投标书的全部内容进行审阅，并确定各投标文件是否合格有效。凡是对</w:t>
      </w:r>
      <w:r>
        <w:rPr>
          <w:spacing w:val="-6"/>
          <w:sz w:val="21"/>
        </w:rPr>
        <w:t>招标文件的实质性</w:t>
      </w:r>
      <w:r>
        <w:rPr>
          <w:rFonts w:ascii="宋体" w:hAnsi="宋体" w:eastAsia="宋体" w:cs="宋体"/>
          <w:spacing w:val="-1"/>
          <w:sz w:val="21"/>
        </w:rPr>
        <w:t>要约内容不作响应的投标，将被视为不合格的投标，而不予接受。经过审标，对</w:t>
      </w:r>
      <w:r>
        <w:rPr>
          <w:rFonts w:ascii="宋体" w:hAnsi="宋体" w:eastAsia="宋体" w:cs="宋体"/>
          <w:spacing w:val="-1"/>
          <w:w w:val="100"/>
          <w:sz w:val="21"/>
        </w:rPr>
        <w:t xml:space="preserve">其投标书中须要进行澄清的问题，将由评标委员会向投标人进行询标，投标人应接受询标、澄清；   </w:t>
      </w:r>
      <w:r>
        <w:rPr>
          <w:rFonts w:ascii="宋体" w:hAnsi="宋体" w:eastAsia="宋体" w:cs="宋体"/>
          <w:spacing w:val="-1"/>
          <w:sz w:val="21"/>
        </w:rPr>
        <w:t>其记录须经投标人授权代表审阅签</w:t>
      </w:r>
      <w:r>
        <w:rPr>
          <w:spacing w:val="-10"/>
          <w:sz w:val="21"/>
        </w:rPr>
        <w:t>字，并应视作投标书的补充，对投标人具有约束力。</w:t>
      </w:r>
      <w:r>
        <w:rPr>
          <w:b/>
          <w:sz w:val="21"/>
        </w:rPr>
        <w:t>评标过程中</w:t>
      </w:r>
    </w:p>
    <w:p>
      <w:pPr>
        <w:spacing w:after="0" w:line="393" w:lineRule="auto"/>
        <w:jc w:val="both"/>
        <w:rPr>
          <w:sz w:val="21"/>
        </w:rPr>
        <w:sectPr>
          <w:pgSz w:w="11910" w:h="16840"/>
          <w:pgMar w:top="1500" w:right="920" w:bottom="1040" w:left="1200" w:header="0" w:footer="852" w:gutter="0"/>
          <w:cols w:space="720" w:num="1"/>
        </w:sectPr>
      </w:pPr>
    </w:p>
    <w:p>
      <w:pPr>
        <w:pStyle w:val="8"/>
        <w:spacing w:before="42"/>
      </w:pPr>
      <w:r>
        <w:t>如发现有异常情况，由评委集体讨论决定。</w:t>
      </w:r>
    </w:p>
    <w:p>
      <w:pPr>
        <w:pStyle w:val="20"/>
        <w:numPr>
          <w:ilvl w:val="1"/>
          <w:numId w:val="29"/>
        </w:numPr>
        <w:tabs>
          <w:tab w:val="left" w:pos="1006"/>
        </w:tabs>
        <w:spacing w:before="170" w:after="0" w:line="393" w:lineRule="auto"/>
        <w:ind w:left="218" w:right="601" w:firstLine="420"/>
        <w:jc w:val="both"/>
        <w:rPr>
          <w:sz w:val="21"/>
        </w:rPr>
      </w:pPr>
      <w:r>
        <w:rPr>
          <w:rFonts w:ascii="宋体" w:hAnsi="宋体" w:eastAsia="宋体" w:cs="宋体"/>
          <w:spacing w:val="-3"/>
          <w:w w:val="100"/>
          <w:sz w:val="21"/>
        </w:rPr>
        <w:t xml:space="preserve">在审标、询标及调查考核的基础上，评标委员会按照平等、客观、公正的原则，先评技术   </w:t>
      </w:r>
      <w:r>
        <w:rPr>
          <w:rFonts w:ascii="宋体" w:hAnsi="宋体" w:eastAsia="宋体" w:cs="宋体"/>
          <w:spacing w:val="-3"/>
          <w:sz w:val="21"/>
        </w:rPr>
        <w:t>商务标（含资信与</w:t>
      </w:r>
      <w:r>
        <w:rPr>
          <w:spacing w:val="-3"/>
          <w:sz w:val="21"/>
        </w:rPr>
        <w:t>服务），并</w:t>
      </w:r>
      <w:r>
        <w:rPr>
          <w:rFonts w:ascii="宋体" w:hAnsi="宋体" w:eastAsia="宋体" w:cs="宋体"/>
          <w:spacing w:val="-3"/>
          <w:sz w:val="21"/>
        </w:rPr>
        <w:t>选定入围投标人，再评价格标，审查价格标及其组价是否合理,最后</w:t>
      </w:r>
      <w:r>
        <w:rPr>
          <w:rFonts w:ascii="宋体" w:hAnsi="宋体" w:eastAsia="宋体" w:cs="宋体"/>
          <w:spacing w:val="-3"/>
          <w:w w:val="100"/>
          <w:sz w:val="21"/>
        </w:rPr>
        <w:t>按技术商务标、价格标情况，对招标项目做出评标结论，按本项目评标办法细则确定为中标人。（</w:t>
      </w:r>
      <w:r>
        <w:rPr>
          <w:rFonts w:ascii="宋体" w:hAnsi="宋体" w:eastAsia="宋体" w:cs="宋体"/>
          <w:b/>
          <w:bCs/>
          <w:spacing w:val="-3"/>
          <w:w w:val="100"/>
          <w:sz w:val="21"/>
        </w:rPr>
        <w:t>《</w:t>
      </w:r>
      <w:r>
        <w:rPr>
          <w:rFonts w:ascii="宋体" w:hAnsi="宋体" w:eastAsia="宋体" w:cs="宋体"/>
          <w:b/>
          <w:sz w:val="21"/>
        </w:rPr>
        <w:t>评标</w:t>
      </w:r>
      <w:r>
        <w:rPr>
          <w:b/>
          <w:sz w:val="21"/>
        </w:rPr>
        <w:t>细则》</w:t>
      </w:r>
      <w:r>
        <w:rPr>
          <w:sz w:val="21"/>
        </w:rPr>
        <w:t>见后）</w:t>
      </w:r>
    </w:p>
    <w:p>
      <w:pPr>
        <w:pStyle w:val="8"/>
        <w:spacing w:line="232" w:lineRule="exact"/>
      </w:pPr>
      <w:r>
        <w:t>六、保密</w:t>
      </w:r>
    </w:p>
    <w:p>
      <w:pPr>
        <w:pStyle w:val="20"/>
        <w:numPr>
          <w:ilvl w:val="1"/>
          <w:numId w:val="30"/>
        </w:numPr>
        <w:tabs>
          <w:tab w:val="left" w:pos="1006"/>
        </w:tabs>
        <w:spacing w:before="163" w:after="0" w:line="393" w:lineRule="auto"/>
        <w:ind w:left="218" w:right="603" w:firstLine="420"/>
        <w:jc w:val="left"/>
        <w:rPr>
          <w:sz w:val="21"/>
        </w:rPr>
      </w:pPr>
      <w:r>
        <w:rPr>
          <w:rFonts w:ascii="宋体" w:hAnsi="宋体" w:eastAsia="宋体" w:cs="宋体"/>
          <w:spacing w:val="-3"/>
          <w:w w:val="100"/>
          <w:sz w:val="21"/>
        </w:rPr>
        <w:t xml:space="preserve">在开标、投标期间，投标人不得向评标委员会成员询问评标情况，不得进行旨在影响评标   </w:t>
      </w:r>
      <w:r>
        <w:rPr>
          <w:rFonts w:ascii="宋体" w:hAnsi="宋体" w:eastAsia="宋体" w:cs="宋体"/>
          <w:spacing w:val="-3"/>
          <w:sz w:val="21"/>
        </w:rPr>
        <w:t>结果的活</w:t>
      </w:r>
      <w:r>
        <w:rPr>
          <w:spacing w:val="-3"/>
          <w:sz w:val="21"/>
        </w:rPr>
        <w:t>动。</w:t>
      </w:r>
    </w:p>
    <w:p>
      <w:pPr>
        <w:pStyle w:val="20"/>
        <w:numPr>
          <w:ilvl w:val="1"/>
          <w:numId w:val="30"/>
        </w:numPr>
        <w:tabs>
          <w:tab w:val="left" w:pos="1006"/>
        </w:tabs>
        <w:spacing w:before="0" w:after="0" w:line="391" w:lineRule="auto"/>
        <w:ind w:left="218" w:right="606" w:firstLine="420"/>
        <w:jc w:val="left"/>
        <w:rPr>
          <w:sz w:val="21"/>
        </w:rPr>
      </w:pPr>
      <w:r>
        <w:rPr>
          <w:rFonts w:ascii="宋体" w:hAnsi="宋体" w:eastAsia="宋体" w:cs="宋体"/>
          <w:spacing w:val="-3"/>
          <w:w w:val="100"/>
          <w:sz w:val="21"/>
        </w:rPr>
        <w:t xml:space="preserve">为保证定标的公正性，在评标过程中，评标成员不得与投标人私人交换意见。在招标工作   </w:t>
      </w:r>
      <w:r>
        <w:rPr>
          <w:rFonts w:ascii="宋体" w:hAnsi="宋体" w:eastAsia="宋体" w:cs="宋体"/>
          <w:spacing w:val="-3"/>
          <w:sz w:val="21"/>
        </w:rPr>
        <w:t>结束后，凡与</w:t>
      </w:r>
      <w:r>
        <w:rPr>
          <w:spacing w:val="-3"/>
          <w:sz w:val="21"/>
        </w:rPr>
        <w:t>评标情况有接触的任何人不得也不应将评标情况扩散出评标成员之外。</w:t>
      </w:r>
    </w:p>
    <w:p>
      <w:pPr>
        <w:pStyle w:val="20"/>
        <w:numPr>
          <w:ilvl w:val="1"/>
          <w:numId w:val="30"/>
        </w:numPr>
        <w:tabs>
          <w:tab w:val="left" w:pos="1006"/>
        </w:tabs>
        <w:spacing w:before="2" w:after="0" w:line="364" w:lineRule="auto"/>
        <w:ind w:left="218" w:right="3320" w:firstLine="420"/>
        <w:jc w:val="left"/>
        <w:rPr>
          <w:b/>
          <w:sz w:val="21"/>
        </w:rPr>
      </w:pPr>
      <w:r>
        <w:rPr>
          <w:rFonts w:ascii="宋体" w:hAnsi="宋体" w:eastAsia="宋体" w:cs="宋体"/>
          <w:spacing w:val="-3"/>
          <w:w w:val="100"/>
          <w:sz w:val="21"/>
        </w:rPr>
        <w:t xml:space="preserve">评标委员会不向落标方解释未中标原因，不退还投标文件。 </w:t>
      </w:r>
      <w:r>
        <w:rPr>
          <w:b/>
          <w:sz w:val="21"/>
        </w:rPr>
        <w:t>七、定标</w:t>
      </w:r>
    </w:p>
    <w:p>
      <w:pPr>
        <w:pStyle w:val="20"/>
        <w:numPr>
          <w:ilvl w:val="1"/>
          <w:numId w:val="31"/>
        </w:numPr>
        <w:tabs>
          <w:tab w:val="left" w:pos="1059"/>
        </w:tabs>
        <w:spacing w:before="22" w:after="0" w:line="391" w:lineRule="auto"/>
        <w:ind w:left="218" w:right="589" w:firstLine="420"/>
        <w:jc w:val="left"/>
        <w:rPr>
          <w:sz w:val="21"/>
        </w:rPr>
      </w:pPr>
      <w:r>
        <w:rPr>
          <w:spacing w:val="-9"/>
          <w:sz w:val="21"/>
        </w:rPr>
        <w:t>评标结束后，由采购人确认评标结果，</w:t>
      </w:r>
      <w:r>
        <w:rPr>
          <w:b/>
          <w:sz w:val="21"/>
        </w:rPr>
        <w:t>结果在浙江政府采购网上公告并向中标单位发中标通知书。</w:t>
      </w:r>
      <w:r>
        <w:rPr>
          <w:sz w:val="21"/>
        </w:rPr>
        <w:t>如有投标人对评标结果提出质疑的，采购人可在质疑处理完毕后确定中标人。</w:t>
      </w:r>
    </w:p>
    <w:p>
      <w:pPr>
        <w:pStyle w:val="20"/>
        <w:numPr>
          <w:ilvl w:val="1"/>
          <w:numId w:val="31"/>
        </w:numPr>
        <w:tabs>
          <w:tab w:val="left" w:pos="956"/>
        </w:tabs>
        <w:spacing w:before="1" w:after="0" w:line="364" w:lineRule="auto"/>
        <w:ind w:left="218" w:right="4633" w:firstLine="420"/>
        <w:jc w:val="left"/>
        <w:rPr>
          <w:b/>
          <w:sz w:val="21"/>
        </w:rPr>
      </w:pPr>
      <w:r>
        <w:rPr>
          <w:rFonts w:ascii="宋体" w:hAnsi="宋体" w:eastAsia="宋体" w:cs="宋体"/>
          <w:spacing w:val="-3"/>
          <w:w w:val="100"/>
          <w:sz w:val="21"/>
        </w:rPr>
        <w:t>《中标通知书》将作为签订合同的重要依据。</w:t>
      </w:r>
      <w:r>
        <w:rPr>
          <w:w w:val="95"/>
          <w:sz w:val="21"/>
        </w:rPr>
        <w:t xml:space="preserve"> </w:t>
      </w:r>
      <w:r>
        <w:rPr>
          <w:b/>
          <w:sz w:val="21"/>
        </w:rPr>
        <w:t>八、签订合同</w:t>
      </w:r>
    </w:p>
    <w:p>
      <w:pPr>
        <w:pStyle w:val="20"/>
        <w:numPr>
          <w:ilvl w:val="1"/>
          <w:numId w:val="32"/>
        </w:numPr>
        <w:tabs>
          <w:tab w:val="left" w:pos="1006"/>
        </w:tabs>
        <w:spacing w:before="22" w:after="0" w:line="393" w:lineRule="auto"/>
        <w:ind w:left="218" w:right="601" w:firstLine="420"/>
        <w:jc w:val="left"/>
        <w:rPr>
          <w:sz w:val="21"/>
        </w:rPr>
      </w:pPr>
      <w:r>
        <w:rPr>
          <w:rFonts w:ascii="宋体" w:hAnsi="宋体" w:eastAsia="宋体" w:cs="宋体"/>
          <w:spacing w:val="-3"/>
          <w:w w:val="100"/>
          <w:sz w:val="21"/>
        </w:rPr>
        <w:t xml:space="preserve">中标人按《中标通知书》指定的时间、地点与采购人签订合同。同时，采购代理机构对合   </w:t>
      </w:r>
      <w:r>
        <w:rPr>
          <w:rFonts w:ascii="宋体" w:hAnsi="宋体" w:eastAsia="宋体" w:cs="宋体"/>
          <w:spacing w:val="-3"/>
          <w:sz w:val="21"/>
        </w:rPr>
        <w:t>同内容进行审查，如发现与采购结果和</w:t>
      </w:r>
      <w:r>
        <w:rPr>
          <w:spacing w:val="-3"/>
          <w:sz w:val="21"/>
        </w:rPr>
        <w:t>投标承诺内容不一致的，应予以纠正。</w:t>
      </w:r>
    </w:p>
    <w:p>
      <w:pPr>
        <w:pStyle w:val="20"/>
        <w:numPr>
          <w:ilvl w:val="1"/>
          <w:numId w:val="32"/>
        </w:numPr>
        <w:tabs>
          <w:tab w:val="left" w:pos="1006"/>
        </w:tabs>
        <w:spacing w:before="0" w:after="0" w:line="267" w:lineRule="exact"/>
        <w:ind w:left="1005" w:right="0" w:hanging="368"/>
        <w:jc w:val="left"/>
        <w:rPr>
          <w:sz w:val="21"/>
        </w:rPr>
      </w:pPr>
      <w:r>
        <w:rPr>
          <w:sz w:val="21"/>
        </w:rPr>
        <w:t>招标文件、中标人的投标文件及澄清文件等，均为签订政府采购合同的依据。</w:t>
      </w:r>
    </w:p>
    <w:p>
      <w:pPr>
        <w:pStyle w:val="20"/>
        <w:numPr>
          <w:ilvl w:val="1"/>
          <w:numId w:val="32"/>
        </w:numPr>
        <w:tabs>
          <w:tab w:val="left" w:pos="1006"/>
        </w:tabs>
        <w:spacing w:before="170" w:after="0" w:line="364" w:lineRule="auto"/>
        <w:ind w:left="218" w:right="4475" w:firstLine="420"/>
        <w:jc w:val="left"/>
        <w:rPr>
          <w:b/>
          <w:sz w:val="21"/>
        </w:rPr>
      </w:pPr>
      <w:r>
        <w:rPr>
          <w:rFonts w:ascii="宋体" w:hAnsi="宋体" w:eastAsia="宋体" w:cs="宋体"/>
          <w:spacing w:val="-3"/>
          <w:w w:val="100"/>
          <w:sz w:val="21"/>
        </w:rPr>
        <w:t>中标人拖延、拒签合同的,将被取消中标资格。</w:t>
      </w:r>
      <w:r>
        <w:rPr>
          <w:w w:val="95"/>
          <w:sz w:val="21"/>
        </w:rPr>
        <w:t xml:space="preserve"> </w:t>
      </w:r>
      <w:r>
        <w:rPr>
          <w:b/>
          <w:sz w:val="21"/>
        </w:rPr>
        <w:t>九、关于中小企业的认定</w:t>
      </w:r>
    </w:p>
    <w:p>
      <w:pPr>
        <w:pStyle w:val="20"/>
        <w:numPr>
          <w:ilvl w:val="1"/>
          <w:numId w:val="33"/>
        </w:numPr>
        <w:tabs>
          <w:tab w:val="left" w:pos="1044"/>
        </w:tabs>
        <w:spacing w:before="22" w:after="0" w:line="393" w:lineRule="auto"/>
        <w:ind w:left="218" w:right="603" w:firstLine="458"/>
        <w:jc w:val="both"/>
        <w:rPr>
          <w:sz w:val="21"/>
        </w:rPr>
      </w:pPr>
      <w:r>
        <w:rPr>
          <w:spacing w:val="-8"/>
          <w:sz w:val="21"/>
        </w:rPr>
        <w:t>根据财政部工业和信息化部关于印发 《政府采购促进中小企业发展管理办法》的通知</w:t>
      </w:r>
      <w:r>
        <w:rPr>
          <w:sz w:val="21"/>
        </w:rPr>
        <w:t>（财</w:t>
      </w:r>
      <w:r>
        <w:rPr>
          <w:spacing w:val="-2"/>
          <w:sz w:val="21"/>
        </w:rPr>
        <w:t>库〔</w:t>
      </w:r>
      <w:r>
        <w:rPr>
          <w:sz w:val="21"/>
        </w:rPr>
        <w:t>2020</w:t>
      </w:r>
      <w:r>
        <w:rPr>
          <w:spacing w:val="-5"/>
          <w:sz w:val="21"/>
        </w:rPr>
        <w:t>〕</w:t>
      </w:r>
      <w:r>
        <w:rPr>
          <w:sz w:val="21"/>
        </w:rPr>
        <w:t>46</w:t>
      </w:r>
      <w:r>
        <w:rPr>
          <w:spacing w:val="-4"/>
          <w:sz w:val="21"/>
        </w:rPr>
        <w:t xml:space="preserve"> 号</w:t>
      </w:r>
      <w:r>
        <w:rPr>
          <w:spacing w:val="-5"/>
          <w:sz w:val="21"/>
        </w:rPr>
        <w:t>）</w:t>
      </w:r>
      <w:r>
        <w:rPr>
          <w:spacing w:val="-4"/>
          <w:sz w:val="21"/>
        </w:rPr>
        <w:t xml:space="preserve">规定，对小型或微型企业的投标报价给予 </w:t>
      </w:r>
      <w:r>
        <w:rPr>
          <w:sz w:val="21"/>
        </w:rPr>
        <w:t>6</w:t>
      </w:r>
      <w:r>
        <w:rPr>
          <w:spacing w:val="-1"/>
          <w:sz w:val="21"/>
        </w:rPr>
        <w:t>%的扣除，并用扣除后的价格计算价格评分。同时符合以下所有要求的投标人被认定为小型、微型企业：</w:t>
      </w:r>
    </w:p>
    <w:p>
      <w:pPr>
        <w:pStyle w:val="10"/>
        <w:spacing w:line="393" w:lineRule="auto"/>
        <w:ind w:left="218" w:right="606" w:firstLine="458"/>
        <w:jc w:val="both"/>
      </w:pPr>
      <w:r>
        <w:t>第二条 本办法所称中小企业，是指在中华人民共和国境内依法设立，依据国务院批准的中小企 业划分标准确定的中型企业、小型企业和微型企业，但与大企业的负责人为同一人，或者与大企业存 在直接控股、管理关系的除外。符合中小企业划分标准的个体工商户，在政府采购活动中视同中小企业。</w:t>
      </w:r>
    </w:p>
    <w:p>
      <w:pPr>
        <w:pStyle w:val="10"/>
        <w:spacing w:line="391" w:lineRule="auto"/>
        <w:ind w:left="218" w:right="606" w:firstLine="458"/>
        <w:jc w:val="both"/>
      </w:pPr>
      <w:r>
        <w:t>第四条 在政府采购活动中，供应商提供的货物、工程或者服务符合下列情形的，享受本办法规定的中小企业扶持政策：</w:t>
      </w:r>
    </w:p>
    <w:p>
      <w:pPr>
        <w:pStyle w:val="10"/>
        <w:spacing w:line="393" w:lineRule="auto"/>
        <w:ind w:left="218" w:right="606" w:firstLine="458"/>
        <w:jc w:val="both"/>
      </w:pPr>
      <w:r>
        <w:t>(一)在货物采购项目中，货物由中小企业制造，即货物由中小企业生产且使用该中小企业商号或者注册商标；</w:t>
      </w:r>
    </w:p>
    <w:p>
      <w:pPr>
        <w:spacing w:after="0" w:line="393" w:lineRule="auto"/>
        <w:jc w:val="both"/>
        <w:sectPr>
          <w:pgSz w:w="11910" w:h="16840"/>
          <w:pgMar w:top="1500" w:right="920" w:bottom="1040" w:left="1200" w:header="0" w:footer="852" w:gutter="0"/>
          <w:cols w:space="720" w:num="1"/>
        </w:sectPr>
      </w:pPr>
    </w:p>
    <w:p>
      <w:pPr>
        <w:pStyle w:val="10"/>
        <w:spacing w:before="42"/>
        <w:ind w:left="676"/>
      </w:pPr>
      <w:bookmarkStart w:id="658" w:name="第六章 评标细则"/>
      <w:bookmarkEnd w:id="658"/>
      <w:r>
        <w:t>(二)在工程采购项目中，工程由中小企业承建，即工程施工单位为中小企业；</w:t>
      </w:r>
    </w:p>
    <w:p>
      <w:pPr>
        <w:pStyle w:val="10"/>
        <w:spacing w:before="170" w:line="393" w:lineRule="auto"/>
        <w:ind w:left="218" w:right="606" w:firstLine="458"/>
      </w:pPr>
      <w:r>
        <w:t>(三)在服务采购项目中，服务由中小企业承接，即提供服务的人员为中小企业依照《中华人民共 和国劳动合同法》订立劳动合同的从业人员。</w:t>
      </w:r>
    </w:p>
    <w:p>
      <w:pPr>
        <w:pStyle w:val="8"/>
        <w:spacing w:line="391" w:lineRule="auto"/>
        <w:ind w:right="572" w:firstLine="458"/>
      </w:pPr>
      <w:r>
        <w:rPr>
          <w:rFonts w:ascii="宋体" w:hAnsi="宋体" w:eastAsia="宋体" w:cs="宋体"/>
        </w:rPr>
        <w:t>在货物采购项目中，供应商提供的货物既有中小企业制造货物，也有大型企业制造货物的，不</w:t>
      </w:r>
      <w:r>
        <w:t>享受本办法规定的中小企业扶持政策。</w:t>
      </w:r>
    </w:p>
    <w:p>
      <w:pPr>
        <w:pStyle w:val="10"/>
        <w:spacing w:before="2" w:line="391" w:lineRule="auto"/>
        <w:ind w:left="218" w:right="500" w:firstLine="458"/>
      </w:pPr>
      <w:r>
        <w:rPr>
          <w:rFonts w:ascii="宋体" w:hAnsi="宋体" w:eastAsia="宋体" w:cs="宋体"/>
          <w:spacing w:val="-1"/>
          <w:w w:val="100"/>
        </w:rPr>
        <w:t xml:space="preserve">以联合体形式参加政府采购活动，联合体各方均为中小企业的，联合体视同中小企业。其中，   </w:t>
      </w:r>
      <w:r>
        <w:rPr>
          <w:rFonts w:ascii="宋体" w:hAnsi="宋体" w:eastAsia="宋体" w:cs="宋体"/>
          <w:spacing w:val="-1"/>
        </w:rPr>
        <w:t>联合体各方均</w:t>
      </w:r>
      <w:r>
        <w:rPr>
          <w:spacing w:val="-1"/>
        </w:rPr>
        <w:t>为小微企业的，联合体视同小微企业。</w:t>
      </w:r>
    </w:p>
    <w:p>
      <w:pPr>
        <w:pStyle w:val="10"/>
        <w:spacing w:before="1" w:line="393" w:lineRule="auto"/>
        <w:ind w:left="218" w:right="606" w:firstLine="458"/>
      </w:pPr>
      <w:r>
        <w:t>第十一条 中小企业参加政府采购活动，应当出具本办法规定的《中小企业声明函》，否则不得享受相关中小企业扶持政策。</w:t>
      </w:r>
    </w:p>
    <w:p>
      <w:pPr>
        <w:pStyle w:val="10"/>
        <w:spacing w:line="391" w:lineRule="auto"/>
        <w:ind w:left="218" w:right="500" w:firstLine="420"/>
      </w:pPr>
      <w:r>
        <w:rPr>
          <w:spacing w:val="-7"/>
        </w:rPr>
        <w:t xml:space="preserve">第二十条 供应商按照本办法规定提供声明函内容不实的，属于提供虚假材料谋取中标、成交， </w:t>
      </w:r>
      <w:r>
        <w:rPr>
          <w:spacing w:val="-3"/>
        </w:rPr>
        <w:t>依照《中华人民共和国政府采购法》等国家有关规定追究相应责任。</w:t>
      </w:r>
    </w:p>
    <w:p>
      <w:pPr>
        <w:pStyle w:val="10"/>
        <w:spacing w:before="2" w:line="391" w:lineRule="auto"/>
        <w:ind w:left="218" w:right="606" w:firstLine="420"/>
      </w:pPr>
      <w:r>
        <w:rPr>
          <w:rFonts w:ascii="宋体" w:hAnsi="宋体" w:eastAsia="宋体" w:cs="宋体"/>
          <w:spacing w:val="-1"/>
          <w:w w:val="100"/>
        </w:rPr>
        <w:t>适用招标投标法的政府采购工程建设项目，投标人按照本办法规定提供声明函内容不实的，属</w:t>
      </w:r>
      <w:r>
        <w:rPr>
          <w:rFonts w:ascii="宋体" w:hAnsi="宋体" w:eastAsia="宋体" w:cs="宋体"/>
          <w:spacing w:val="-1"/>
        </w:rPr>
        <w:t>于弄虚作假骗取</w:t>
      </w:r>
      <w:r>
        <w:rPr>
          <w:spacing w:val="-3"/>
        </w:rPr>
        <w:t>中标，依照《中华人民共和国招标投标法》等国家有关规定追究相应责任。</w:t>
      </w:r>
    </w:p>
    <w:p>
      <w:pPr>
        <w:pStyle w:val="20"/>
        <w:numPr>
          <w:ilvl w:val="1"/>
          <w:numId w:val="33"/>
        </w:numPr>
        <w:tabs>
          <w:tab w:val="left" w:pos="1059"/>
        </w:tabs>
        <w:spacing w:before="1" w:after="0" w:line="240" w:lineRule="auto"/>
        <w:ind w:left="1058" w:right="0" w:hanging="421"/>
        <w:jc w:val="left"/>
        <w:rPr>
          <w:sz w:val="21"/>
        </w:rPr>
      </w:pPr>
      <w:r>
        <w:rPr>
          <w:sz w:val="21"/>
        </w:rPr>
        <w:t>根据《关于政府采购支持监狱企业发展有关问题的通知》（财库[2014]68</w:t>
      </w:r>
      <w:r>
        <w:rPr>
          <w:spacing w:val="-2"/>
          <w:sz w:val="21"/>
        </w:rPr>
        <w:t xml:space="preserve"> 号</w:t>
      </w:r>
      <w:r>
        <w:rPr>
          <w:sz w:val="21"/>
        </w:rPr>
        <w:t>）的规定。</w:t>
      </w:r>
    </w:p>
    <w:p>
      <w:pPr>
        <w:pStyle w:val="20"/>
        <w:numPr>
          <w:ilvl w:val="1"/>
          <w:numId w:val="33"/>
        </w:numPr>
        <w:tabs>
          <w:tab w:val="left" w:pos="1059"/>
        </w:tabs>
        <w:spacing w:before="173" w:after="0" w:line="240" w:lineRule="auto"/>
        <w:ind w:left="1058" w:right="0" w:hanging="421"/>
        <w:jc w:val="left"/>
        <w:rPr>
          <w:sz w:val="21"/>
        </w:rPr>
      </w:pPr>
      <w:r>
        <w:rPr>
          <w:sz w:val="21"/>
        </w:rPr>
        <w:t>符合《关于促进残疾人就业政府采购政策的通知》（财库〔2017〕141</w:t>
      </w:r>
      <w:r>
        <w:rPr>
          <w:spacing w:val="-2"/>
          <w:sz w:val="21"/>
        </w:rPr>
        <w:t xml:space="preserve"> 号</w:t>
      </w:r>
      <w:r>
        <w:rPr>
          <w:sz w:val="21"/>
        </w:rPr>
        <w:t>）规定。</w:t>
      </w:r>
    </w:p>
    <w:p>
      <w:pPr>
        <w:spacing w:after="0" w:line="240" w:lineRule="auto"/>
        <w:jc w:val="left"/>
        <w:rPr>
          <w:sz w:val="21"/>
        </w:rPr>
        <w:sectPr>
          <w:pgSz w:w="11910" w:h="16840"/>
          <w:pgMar w:top="1500" w:right="920" w:bottom="1040" w:left="1200" w:header="0" w:footer="852" w:gutter="0"/>
          <w:cols w:space="720" w:num="1"/>
        </w:sectPr>
      </w:pPr>
    </w:p>
    <w:p>
      <w:pPr>
        <w:pStyle w:val="3"/>
      </w:pPr>
      <w:bookmarkStart w:id="659" w:name="_bookmark5"/>
      <w:bookmarkEnd w:id="659"/>
      <w:r>
        <w:t>第六章 评标细则</w:t>
      </w:r>
    </w:p>
    <w:p>
      <w:pPr>
        <w:pStyle w:val="10"/>
        <w:spacing w:before="0" w:line="357" w:lineRule="auto"/>
        <w:ind w:left="218" w:right="500" w:firstLine="420"/>
        <w:rPr>
          <w:rFonts w:ascii="宋体" w:hAnsi="宋体" w:eastAsia="宋体" w:cs="宋体"/>
          <w:b w:val="0"/>
          <w:spacing w:val="-13"/>
          <w:sz w:val="21"/>
        </w:rPr>
      </w:pPr>
    </w:p>
    <w:p>
      <w:pPr>
        <w:pStyle w:val="10"/>
        <w:spacing w:line="357" w:lineRule="auto"/>
        <w:ind w:left="218" w:right="500" w:firstLine="420"/>
      </w:pPr>
      <w:r>
        <w:rPr>
          <w:rFonts w:ascii="宋体" w:hAnsi="宋体" w:eastAsia="宋体" w:cs="宋体"/>
          <w:spacing w:val="-13"/>
          <w:w w:val="100"/>
        </w:rPr>
        <w:t>根据《中华人民共和国政府采购法》、《中华人民共和国政府采购法实施条例》以及有关规定，</w:t>
      </w:r>
      <w:r>
        <w:rPr>
          <w:spacing w:val="-13"/>
        </w:rPr>
        <w:t>更好地做到公开、公平、公正，结合本次招标的特点，特制定本评标定标办法。</w:t>
      </w:r>
    </w:p>
    <w:p>
      <w:pPr>
        <w:pStyle w:val="8"/>
        <w:spacing w:line="266" w:lineRule="exact"/>
      </w:pPr>
      <w:r>
        <w:t>一、评标组织</w:t>
      </w:r>
    </w:p>
    <w:p>
      <w:pPr>
        <w:spacing w:before="132" w:line="357" w:lineRule="auto"/>
        <w:ind w:left="218" w:right="3687" w:firstLine="420"/>
        <w:jc w:val="left"/>
        <w:rPr>
          <w:b/>
          <w:sz w:val="21"/>
        </w:rPr>
      </w:pPr>
      <w:r>
        <w:rPr>
          <w:spacing w:val="-5"/>
          <w:sz w:val="21"/>
        </w:rPr>
        <w:t xml:space="preserve">评标委员会由采购人代表 </w:t>
      </w:r>
      <w:r>
        <w:rPr>
          <w:rFonts w:hint="eastAsia"/>
          <w:sz w:val="21"/>
          <w:u w:val="single"/>
          <w:lang w:val="en-US" w:eastAsia="zh-CN"/>
        </w:rPr>
        <w:t>1</w:t>
      </w:r>
      <w:r>
        <w:rPr>
          <w:spacing w:val="-15"/>
          <w:sz w:val="21"/>
        </w:rPr>
        <w:t xml:space="preserve">人和评审专家 </w:t>
      </w:r>
      <w:r>
        <w:rPr>
          <w:rFonts w:hint="eastAsia"/>
          <w:sz w:val="21"/>
          <w:u w:val="single"/>
          <w:lang w:val="en-US" w:eastAsia="zh-CN"/>
        </w:rPr>
        <w:t>4</w:t>
      </w:r>
      <w:r>
        <w:rPr>
          <w:spacing w:val="-28"/>
          <w:sz w:val="21"/>
        </w:rPr>
        <w:t xml:space="preserve"> 人共 </w:t>
      </w:r>
      <w:r>
        <w:rPr>
          <w:sz w:val="21"/>
          <w:u w:val="single"/>
        </w:rPr>
        <w:t>5</w:t>
      </w:r>
      <w:r>
        <w:rPr>
          <w:spacing w:val="-12"/>
          <w:sz w:val="21"/>
        </w:rPr>
        <w:t xml:space="preserve"> 人组成。</w:t>
      </w:r>
      <w:r>
        <w:rPr>
          <w:b/>
          <w:spacing w:val="-12"/>
          <w:sz w:val="21"/>
        </w:rPr>
        <w:t>二、评（定）标方法</w:t>
      </w:r>
    </w:p>
    <w:p>
      <w:pPr>
        <w:pStyle w:val="8"/>
        <w:spacing w:line="266" w:lineRule="exact"/>
      </w:pPr>
      <w:r>
        <w:t>（一）评（定）标方法</w:t>
      </w:r>
    </w:p>
    <w:p>
      <w:pPr>
        <w:pStyle w:val="10"/>
        <w:spacing w:before="132" w:line="357" w:lineRule="auto"/>
        <w:ind w:left="218" w:right="500" w:firstLine="420"/>
      </w:pPr>
      <w:r>
        <w:t>开标后，采用综合评分法，评标委员会首</w:t>
      </w:r>
      <w:r>
        <w:rPr>
          <w:rFonts w:ascii="宋体" w:hAnsi="宋体" w:eastAsia="宋体" w:cs="宋体"/>
          <w:spacing w:val="-9"/>
        </w:rPr>
        <w:t>先对投标书的完整性、符合性、响应性等进行审查。</w:t>
      </w:r>
      <w:r>
        <w:rPr>
          <w:rFonts w:ascii="宋体" w:hAnsi="宋体" w:eastAsia="宋体" w:cs="宋体"/>
          <w:spacing w:val="-9"/>
          <w:w w:val="100"/>
        </w:rPr>
        <w:t xml:space="preserve">凡不符合有关规定或不响应招标文件要求的投标文件将不进入评标范围。评标专家组以开标、审标、   询标情况为基本依据，对有效的投标文件及其投标人按评标内容进行分析、评议，确定合格投标人，   </w:t>
      </w:r>
      <w:r>
        <w:rPr>
          <w:rFonts w:ascii="宋体" w:hAnsi="宋体" w:eastAsia="宋体" w:cs="宋体"/>
          <w:spacing w:val="-9"/>
        </w:rPr>
        <w:t>本</w:t>
      </w:r>
      <w:r>
        <w:rPr>
          <w:spacing w:val="-18"/>
        </w:rPr>
        <w:t xml:space="preserve">次招标采购技术商务分为 </w:t>
      </w:r>
      <w:r>
        <w:rPr>
          <w:rFonts w:hint="eastAsia" w:ascii="Times New Roman"/>
          <w:lang w:val="en-US" w:eastAsia="zh-CN"/>
        </w:rPr>
        <w:t>80</w:t>
      </w:r>
      <w:r>
        <w:rPr>
          <w:rFonts w:ascii="Times New Roman" w:eastAsia="Times New Roman"/>
        </w:rPr>
        <w:t xml:space="preserve"> </w:t>
      </w:r>
      <w:r>
        <w:rPr>
          <w:spacing w:val="-12"/>
        </w:rPr>
        <w:t xml:space="preserve">分，价格分为 </w:t>
      </w:r>
      <w:r>
        <w:rPr>
          <w:rFonts w:hint="eastAsia" w:ascii="Times New Roman"/>
          <w:lang w:val="en-US" w:eastAsia="zh-CN"/>
        </w:rPr>
        <w:t>20</w:t>
      </w:r>
      <w:r>
        <w:rPr>
          <w:spacing w:val="-5"/>
        </w:rPr>
        <w:t>分。先评技术商务标得分</w:t>
      </w:r>
      <w:r>
        <w:t>（含资信与服务</w:t>
      </w:r>
      <w:r>
        <w:rPr>
          <w:spacing w:val="-14"/>
        </w:rPr>
        <w:t>）</w:t>
      </w:r>
      <w:r>
        <w:rPr>
          <w:spacing w:val="-5"/>
        </w:rPr>
        <w:t>，后再</w:t>
      </w:r>
      <w:r>
        <w:rPr>
          <w:spacing w:val="-9"/>
        </w:rPr>
        <w:t>开价格标，取合格投标人中投标报价最终最低的投标报价为评标基准价，对合格的投标人进行价格</w:t>
      </w:r>
      <w:r>
        <w:rPr>
          <w:spacing w:val="-8"/>
        </w:rPr>
        <w:t>分计算，以二项总分第一为第一中标人</w:t>
      </w:r>
      <w:r>
        <w:t>（</w:t>
      </w:r>
      <w:r>
        <w:rPr>
          <w:spacing w:val="-4"/>
        </w:rPr>
        <w:t>总得分相同时，以报价低的优先，报价也相同的以资信业</w:t>
      </w:r>
      <w:r>
        <w:rPr>
          <w:spacing w:val="-8"/>
        </w:rPr>
        <w:t>绩得分高的优先，资信业绩得分仍相同的以技术文件得分高的优先，仍相同抽签决定。</w:t>
      </w:r>
      <w:r>
        <w:rPr>
          <w:spacing w:val="-15"/>
        </w:rPr>
        <w:t>）</w:t>
      </w:r>
      <w:r>
        <w:rPr>
          <w:spacing w:val="-4"/>
        </w:rPr>
        <w:t>。中标人</w:t>
      </w:r>
      <w:r>
        <w:t>因不可抗力或者自身原因不能履行政府采购合同的</w:t>
      </w:r>
      <w:r>
        <w:rPr>
          <w:rFonts w:ascii="Times New Roman" w:eastAsia="Times New Roman"/>
        </w:rPr>
        <w:t>,</w:t>
      </w:r>
      <w:r>
        <w:t>采购人可以与排位在第一中标人之后第一位的中标候选投标人签订政府采购合同</w:t>
      </w:r>
      <w:r>
        <w:rPr>
          <w:rFonts w:ascii="Times New Roman" w:eastAsia="Times New Roman"/>
        </w:rPr>
        <w:t>,</w:t>
      </w:r>
      <w:r>
        <w:t>以此类推或重新招标。</w:t>
      </w:r>
    </w:p>
    <w:p>
      <w:pPr>
        <w:pStyle w:val="8"/>
        <w:spacing w:line="261" w:lineRule="exact"/>
        <w:ind w:left="638"/>
      </w:pPr>
      <w:r>
        <w:t xml:space="preserve">1、技术商务标评定（满分为 </w:t>
      </w:r>
      <w:r>
        <w:rPr>
          <w:rFonts w:hint="eastAsia"/>
          <w:lang w:val="en-US" w:eastAsia="zh-CN"/>
        </w:rPr>
        <w:t>80</w:t>
      </w:r>
      <w:r>
        <w:t>分）</w:t>
      </w:r>
    </w:p>
    <w:p>
      <w:pPr>
        <w:pStyle w:val="10"/>
        <w:spacing w:before="132"/>
        <w:ind w:left="638"/>
      </w:pPr>
      <w:r>
        <w:t xml:space="preserve">（1）技术商务分设置为 </w:t>
      </w:r>
      <w:r>
        <w:rPr>
          <w:rFonts w:hint="eastAsia"/>
          <w:lang w:val="en-US" w:eastAsia="zh-CN"/>
        </w:rPr>
        <w:t>80</w:t>
      </w:r>
      <w:r>
        <w:t xml:space="preserve"> 分，分值分配见以下表格。评标委员会根据表格，对该标项各投标</w:t>
      </w:r>
    </w:p>
    <w:p>
      <w:pPr>
        <w:pStyle w:val="10"/>
        <w:spacing w:before="129" w:line="357" w:lineRule="auto"/>
        <w:ind w:left="218" w:right="603"/>
        <w:jc w:val="both"/>
      </w:pPr>
      <w:r>
        <w:rPr>
          <w:spacing w:val="-5"/>
        </w:rPr>
        <w:t>单位的技术商务标进</w:t>
      </w:r>
      <w:r>
        <w:rPr>
          <w:rFonts w:ascii="宋体" w:hAnsi="宋体" w:eastAsia="宋体" w:cs="宋体"/>
          <w:spacing w:val="0"/>
        </w:rPr>
        <w:t xml:space="preserve">行书面审核和评论后，由各成员独立酌情给分，打分时保留小数 </w:t>
      </w:r>
      <w:r>
        <w:rPr>
          <w:rFonts w:ascii="宋体" w:hAnsi="宋体" w:eastAsia="宋体" w:cs="宋体"/>
        </w:rPr>
        <w:t>1</w:t>
      </w:r>
      <w:r>
        <w:rPr>
          <w:rFonts w:ascii="宋体" w:hAnsi="宋体" w:eastAsia="宋体" w:cs="宋体"/>
          <w:spacing w:val="0"/>
        </w:rPr>
        <w:t xml:space="preserve"> 位，每人一</w:t>
      </w:r>
      <w:r>
        <w:rPr>
          <w:rFonts w:ascii="宋体" w:hAnsi="宋体" w:eastAsia="宋体" w:cs="宋体"/>
          <w:spacing w:val="0"/>
          <w:w w:val="100"/>
        </w:rPr>
        <w:t>份评分表，并签名。在统计得分时，如果发现某一单项评分超过评分细则规定的分值范围，则该张评分表无效。投标人技术商务标</w:t>
      </w:r>
      <w:r>
        <w:rPr>
          <w:rFonts w:ascii="宋体" w:hAnsi="宋体" w:eastAsia="宋体" w:cs="宋体"/>
          <w:w w:val="100"/>
        </w:rPr>
        <w:t>（含资信业绩和售后服务</w:t>
      </w:r>
      <w:r>
        <w:rPr>
          <w:rFonts w:ascii="宋体" w:hAnsi="宋体" w:eastAsia="宋体" w:cs="宋体"/>
          <w:spacing w:val="0"/>
          <w:w w:val="100"/>
        </w:rPr>
        <w:t>）</w:t>
      </w:r>
      <w:r>
        <w:rPr>
          <w:rFonts w:ascii="宋体" w:hAnsi="宋体" w:eastAsia="宋体" w:cs="宋体"/>
          <w:w w:val="100"/>
        </w:rPr>
        <w:t>最终得分为评标成员的有效评分的算术</w:t>
      </w:r>
      <w:r>
        <w:rPr>
          <w:rFonts w:ascii="宋体" w:hAnsi="宋体" w:eastAsia="宋体" w:cs="宋体"/>
          <w:spacing w:val="0"/>
        </w:rPr>
        <w:t xml:space="preserve">平均值。计算时保留小数 </w:t>
      </w:r>
      <w:r>
        <w:rPr>
          <w:rFonts w:ascii="宋体" w:hAnsi="宋体" w:eastAsia="宋体" w:cs="宋体"/>
        </w:rPr>
        <w:t>2</w:t>
      </w:r>
      <w:r>
        <w:rPr>
          <w:rFonts w:ascii="宋体" w:hAnsi="宋体" w:eastAsia="宋体" w:cs="宋体"/>
          <w:spacing w:val="0"/>
        </w:rPr>
        <w:t xml:space="preserve"> 位</w:t>
      </w:r>
      <w:r>
        <w:rPr>
          <w:spacing w:val="-18"/>
        </w:rPr>
        <w:t>。</w:t>
      </w:r>
    </w:p>
    <w:p>
      <w:pPr>
        <w:pStyle w:val="8"/>
        <w:numPr>
          <w:ilvl w:val="0"/>
          <w:numId w:val="34"/>
        </w:numPr>
        <w:tabs>
          <w:tab w:val="left" w:pos="744"/>
        </w:tabs>
        <w:spacing w:before="0" w:after="22" w:line="266" w:lineRule="exact"/>
        <w:ind w:left="743" w:right="0" w:hanging="526"/>
        <w:jc w:val="left"/>
      </w:pPr>
      <w:r>
        <w:t>评分标准</w:t>
      </w:r>
    </w:p>
    <w:tbl>
      <w:tblPr>
        <w:tblStyle w:val="16"/>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343"/>
        <w:gridCol w:w="626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0" w:type="dxa"/>
            <w:tcBorders>
              <w:top w:val="single" w:color="auto" w:sz="4" w:space="0"/>
              <w:left w:val="single" w:color="auto" w:sz="4" w:space="0"/>
              <w:right w:val="single" w:color="auto" w:sz="4" w:space="0"/>
            </w:tcBorders>
            <w:noWrap w:val="0"/>
            <w:vAlign w:val="center"/>
          </w:tcPr>
          <w:p>
            <w:pPr>
              <w:widowControl/>
              <w:spacing w:line="320" w:lineRule="exact"/>
              <w:jc w:val="center"/>
              <w:rPr>
                <w:rFonts w:hint="eastAsia" w:ascii="宋体" w:cs="宋体"/>
                <w:b/>
                <w:sz w:val="22"/>
                <w:szCs w:val="22"/>
                <w:highlight w:val="none"/>
              </w:rPr>
            </w:pPr>
            <w:r>
              <w:rPr>
                <w:rFonts w:hint="eastAsia" w:ascii="宋体" w:cs="宋体"/>
                <w:b/>
                <w:sz w:val="22"/>
                <w:szCs w:val="22"/>
                <w:highlight w:val="none"/>
              </w:rPr>
              <w:t>序号</w:t>
            </w:r>
          </w:p>
        </w:tc>
        <w:tc>
          <w:tcPr>
            <w:tcW w:w="1343" w:type="dxa"/>
            <w:tcBorders>
              <w:top w:val="single" w:color="auto" w:sz="4" w:space="0"/>
              <w:left w:val="single" w:color="auto" w:sz="4" w:space="0"/>
              <w:right w:val="single" w:color="auto" w:sz="4" w:space="0"/>
            </w:tcBorders>
            <w:noWrap w:val="0"/>
            <w:vAlign w:val="center"/>
          </w:tcPr>
          <w:p>
            <w:pPr>
              <w:widowControl/>
              <w:spacing w:line="320" w:lineRule="exact"/>
              <w:jc w:val="center"/>
              <w:rPr>
                <w:rFonts w:hint="eastAsia" w:ascii="宋体" w:cs="宋体"/>
                <w:b/>
                <w:sz w:val="22"/>
                <w:szCs w:val="22"/>
                <w:highlight w:val="none"/>
              </w:rPr>
            </w:pPr>
            <w:r>
              <w:rPr>
                <w:rFonts w:hint="eastAsia" w:ascii="宋体" w:cs="宋体"/>
                <w:b/>
                <w:sz w:val="22"/>
                <w:szCs w:val="22"/>
                <w:highlight w:val="none"/>
              </w:rPr>
              <w:t>评分</w:t>
            </w:r>
          </w:p>
          <w:p>
            <w:pPr>
              <w:widowControl/>
              <w:spacing w:line="320" w:lineRule="exact"/>
              <w:jc w:val="center"/>
              <w:rPr>
                <w:rFonts w:hint="eastAsia" w:ascii="宋体" w:cs="宋体"/>
                <w:b/>
                <w:sz w:val="22"/>
                <w:szCs w:val="22"/>
                <w:highlight w:val="none"/>
              </w:rPr>
            </w:pPr>
            <w:r>
              <w:rPr>
                <w:rFonts w:hint="eastAsia" w:ascii="宋体" w:cs="宋体"/>
                <w:b/>
                <w:sz w:val="22"/>
                <w:szCs w:val="22"/>
                <w:highlight w:val="none"/>
              </w:rPr>
              <w:t>项目</w:t>
            </w:r>
          </w:p>
        </w:tc>
        <w:tc>
          <w:tcPr>
            <w:tcW w:w="6262" w:type="dxa"/>
            <w:tcBorders>
              <w:top w:val="single" w:color="auto" w:sz="4" w:space="0"/>
              <w:left w:val="single" w:color="auto" w:sz="4" w:space="0"/>
              <w:right w:val="single" w:color="auto" w:sz="4" w:space="0"/>
            </w:tcBorders>
            <w:noWrap w:val="0"/>
            <w:vAlign w:val="center"/>
          </w:tcPr>
          <w:p>
            <w:pPr>
              <w:snapToGrid w:val="0"/>
              <w:spacing w:line="320" w:lineRule="exact"/>
              <w:jc w:val="center"/>
              <w:rPr>
                <w:rFonts w:hint="eastAsia" w:ascii="宋体"/>
                <w:b/>
                <w:sz w:val="22"/>
                <w:szCs w:val="22"/>
                <w:highlight w:val="none"/>
              </w:rPr>
            </w:pPr>
            <w:r>
              <w:rPr>
                <w:rFonts w:hint="eastAsia" w:ascii="宋体"/>
                <w:b/>
                <w:sz w:val="22"/>
                <w:szCs w:val="22"/>
                <w:highlight w:val="none"/>
              </w:rPr>
              <w:t>评分标准</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eastAsia" w:ascii="宋体" w:cs="宋体"/>
                <w:b/>
                <w:sz w:val="22"/>
                <w:szCs w:val="22"/>
                <w:highlight w:val="none"/>
              </w:rPr>
            </w:pPr>
            <w:r>
              <w:rPr>
                <w:rFonts w:hint="eastAsia" w:ascii="宋体"/>
                <w:b/>
                <w:bCs/>
                <w:sz w:val="22"/>
                <w:szCs w:val="22"/>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0" w:type="dxa"/>
            <w:tcBorders>
              <w:top w:val="single" w:color="auto" w:sz="4" w:space="0"/>
              <w:left w:val="single" w:color="auto" w:sz="4" w:space="0"/>
              <w:right w:val="single" w:color="auto" w:sz="4" w:space="0"/>
            </w:tcBorders>
            <w:noWrap w:val="0"/>
            <w:vAlign w:val="center"/>
          </w:tcPr>
          <w:p>
            <w:pPr>
              <w:widowControl/>
              <w:spacing w:line="320" w:lineRule="exact"/>
              <w:jc w:val="center"/>
              <w:rPr>
                <w:rFonts w:hint="eastAsia" w:ascii="宋体" w:cs="宋体"/>
                <w:b/>
                <w:sz w:val="22"/>
                <w:szCs w:val="22"/>
                <w:highlight w:val="none"/>
              </w:rPr>
            </w:pPr>
            <w:r>
              <w:rPr>
                <w:rFonts w:hint="eastAsia" w:ascii="宋体" w:cs="宋体"/>
                <w:b/>
                <w:sz w:val="22"/>
                <w:szCs w:val="22"/>
                <w:highlight w:val="none"/>
              </w:rPr>
              <w:t>1</w:t>
            </w:r>
          </w:p>
        </w:tc>
        <w:tc>
          <w:tcPr>
            <w:tcW w:w="1343" w:type="dxa"/>
            <w:tcBorders>
              <w:top w:val="single" w:color="auto" w:sz="4" w:space="0"/>
              <w:left w:val="single" w:color="auto" w:sz="4" w:space="0"/>
              <w:right w:val="single" w:color="auto" w:sz="4" w:space="0"/>
            </w:tcBorders>
            <w:noWrap w:val="0"/>
            <w:vAlign w:val="center"/>
          </w:tcPr>
          <w:p>
            <w:pPr>
              <w:widowControl/>
              <w:spacing w:line="320" w:lineRule="exact"/>
              <w:jc w:val="center"/>
              <w:rPr>
                <w:rFonts w:hint="eastAsia" w:eastAsia="宋体"/>
                <w:highlight w:val="none"/>
                <w:lang w:eastAsia="zh-CN"/>
              </w:rPr>
            </w:pPr>
            <w:r>
              <w:rPr>
                <w:rFonts w:hint="eastAsia" w:ascii="宋体" w:cs="宋体"/>
                <w:b/>
                <w:kern w:val="2"/>
                <w:sz w:val="22"/>
                <w:highlight w:val="none"/>
                <w:lang w:eastAsia="zh-CN"/>
              </w:rPr>
              <w:t>体系认证</w:t>
            </w:r>
            <w:r>
              <w:rPr>
                <w:rFonts w:hint="eastAsia" w:cs="宋体"/>
                <w:b/>
                <w:kern w:val="2"/>
                <w:sz w:val="22"/>
                <w:highlight w:val="none"/>
                <w:lang w:eastAsia="zh-CN"/>
              </w:rPr>
              <w:t>（</w:t>
            </w:r>
            <w:r>
              <w:rPr>
                <w:rFonts w:hint="eastAsia" w:cs="宋体"/>
                <w:b/>
                <w:kern w:val="2"/>
                <w:sz w:val="22"/>
                <w:highlight w:val="none"/>
                <w:lang w:val="en-US" w:eastAsia="zh-CN"/>
              </w:rPr>
              <w:t>3分</w:t>
            </w:r>
            <w:r>
              <w:rPr>
                <w:rFonts w:hint="eastAsia" w:cs="宋体"/>
                <w:b/>
                <w:kern w:val="2"/>
                <w:sz w:val="22"/>
                <w:highlight w:val="none"/>
                <w:lang w:eastAsia="zh-CN"/>
              </w:rPr>
              <w:t>）</w:t>
            </w:r>
          </w:p>
        </w:tc>
        <w:tc>
          <w:tcPr>
            <w:tcW w:w="6262" w:type="dxa"/>
            <w:tcBorders>
              <w:top w:val="single" w:color="auto" w:sz="4" w:space="0"/>
              <w:left w:val="single" w:color="auto" w:sz="4" w:space="0"/>
              <w:right w:val="single" w:color="auto" w:sz="4" w:space="0"/>
            </w:tcBorders>
            <w:noWrap w:val="0"/>
            <w:vAlign w:val="center"/>
          </w:tcPr>
          <w:p>
            <w:pPr>
              <w:jc w:val="left"/>
              <w:rPr>
                <w:rFonts w:hint="eastAsia" w:ascii="Times New Roman" w:hAnsi="Times New Roman" w:eastAsia="宋体" w:cs="宋体"/>
                <w:sz w:val="22"/>
                <w:highlight w:val="none"/>
              </w:rPr>
            </w:pPr>
            <w:r>
              <w:rPr>
                <w:rFonts w:hint="eastAsia" w:ascii="Times New Roman" w:hAnsi="Times New Roman" w:eastAsia="宋体" w:cs="宋体"/>
                <w:sz w:val="22"/>
                <w:highlight w:val="none"/>
              </w:rPr>
              <w:t>投标人具有质量管理体系认证证书、环境管理体系认证证书、职业健康安全管理体系认证证书，</w:t>
            </w:r>
            <w:r>
              <w:rPr>
                <w:rFonts w:hint="eastAsia" w:ascii="Times New Roman" w:hAnsi="Times New Roman" w:eastAsia="宋体" w:cs="宋体"/>
                <w:sz w:val="22"/>
                <w:highlight w:val="none"/>
                <w:lang w:eastAsia="zh-CN"/>
              </w:rPr>
              <w:t>每个证书得</w:t>
            </w:r>
            <w:r>
              <w:rPr>
                <w:rFonts w:hint="eastAsia" w:ascii="Times New Roman" w:hAnsi="Times New Roman" w:eastAsia="宋体" w:cs="宋体"/>
                <w:sz w:val="22"/>
                <w:highlight w:val="none"/>
                <w:lang w:val="en-US" w:eastAsia="zh-CN"/>
              </w:rPr>
              <w:t>1分，最高得3分</w:t>
            </w:r>
            <w:r>
              <w:rPr>
                <w:rFonts w:hint="eastAsia" w:ascii="Times New Roman" w:hAnsi="Times New Roman" w:eastAsia="宋体" w:cs="宋体"/>
                <w:sz w:val="22"/>
                <w:highlight w:val="none"/>
              </w:rPr>
              <w:t>。</w:t>
            </w:r>
            <w:r>
              <w:rPr>
                <w:rFonts w:hint="eastAsia" w:ascii="Times New Roman" w:hAnsi="Times New Roman" w:eastAsia="宋体" w:cs="宋体"/>
                <w:sz w:val="22"/>
                <w:highlight w:val="none"/>
                <w:lang w:eastAsia="zh-CN"/>
              </w:rPr>
              <w:t>【</w:t>
            </w:r>
            <w:r>
              <w:rPr>
                <w:rFonts w:hint="eastAsia" w:ascii="Times New Roman" w:hAnsi="Times New Roman" w:eastAsia="宋体" w:cs="宋体"/>
                <w:sz w:val="22"/>
                <w:highlight w:val="none"/>
              </w:rPr>
              <w:t>注：须提供有效证书</w:t>
            </w:r>
            <w:r>
              <w:rPr>
                <w:rFonts w:hint="eastAsia" w:ascii="Times New Roman" w:hAnsi="Times New Roman" w:cs="宋体"/>
                <w:sz w:val="22"/>
                <w:highlight w:val="none"/>
                <w:lang w:eastAsia="zh-CN"/>
              </w:rPr>
              <w:t>扫描件，不提供不得分或提供扫描件无法确认的不得分</w:t>
            </w:r>
            <w:r>
              <w:rPr>
                <w:rFonts w:hint="eastAsia" w:ascii="Times New Roman" w:hAnsi="Times New Roman" w:eastAsia="宋体" w:cs="宋体"/>
                <w:sz w:val="22"/>
                <w:highlight w:val="none"/>
              </w:rPr>
              <w:t>。</w:t>
            </w:r>
            <w:r>
              <w:rPr>
                <w:rFonts w:hint="eastAsia" w:ascii="Times New Roman" w:hAnsi="Times New Roman" w:eastAsia="宋体" w:cs="宋体"/>
                <w:sz w:val="22"/>
                <w:highlight w:val="none"/>
                <w:lang w:eastAsia="zh-CN"/>
              </w:rPr>
              <w:t>】</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cs="宋体"/>
                <w:b/>
                <w:sz w:val="22"/>
                <w:szCs w:val="22"/>
                <w:highlight w:val="none"/>
              </w:rPr>
            </w:pPr>
            <w:r>
              <w:rPr>
                <w:rFonts w:cs="宋体"/>
                <w:b/>
                <w:sz w:val="22"/>
                <w:szCs w:val="22"/>
                <w:highlight w:val="none"/>
              </w:rPr>
              <w:t>0-</w:t>
            </w:r>
            <w:r>
              <w:rPr>
                <w:rFonts w:hint="eastAsia" w:cs="宋体"/>
                <w:b/>
                <w:sz w:val="22"/>
                <w:szCs w:val="22"/>
                <w:highlight w:val="none"/>
                <w:lang w:val="en-US" w:eastAsia="zh-CN"/>
              </w:rPr>
              <w:t>3</w:t>
            </w:r>
            <w:r>
              <w:rPr>
                <w:rFonts w:cs="宋体"/>
                <w:b/>
                <w:sz w:val="22"/>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eastAsia" w:ascii="宋体" w:eastAsia="宋体" w:cs="宋体"/>
                <w:b/>
                <w:kern w:val="2"/>
                <w:sz w:val="22"/>
                <w:highlight w:val="none"/>
                <w:lang w:val="en-US" w:eastAsia="zh-CN"/>
              </w:rPr>
            </w:pPr>
            <w:r>
              <w:rPr>
                <w:rFonts w:hint="eastAsia" w:ascii="宋体" w:cs="宋体"/>
                <w:b/>
                <w:kern w:val="2"/>
                <w:sz w:val="22"/>
                <w:highlight w:val="none"/>
                <w:lang w:val="en-US" w:eastAsia="zh-CN"/>
              </w:rPr>
              <w:t>2</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eastAsia="宋体" w:cs="宋体"/>
                <w:b/>
                <w:kern w:val="2"/>
                <w:sz w:val="22"/>
                <w:highlight w:val="none"/>
                <w:lang w:eastAsia="zh-CN"/>
              </w:rPr>
            </w:pPr>
            <w:r>
              <w:rPr>
                <w:rFonts w:hint="eastAsia" w:ascii="宋体" w:cs="宋体"/>
                <w:b/>
                <w:kern w:val="2"/>
                <w:sz w:val="22"/>
                <w:highlight w:val="none"/>
              </w:rPr>
              <w:t>类似业绩</w:t>
            </w:r>
            <w:r>
              <w:rPr>
                <w:rFonts w:hint="eastAsia" w:cs="宋体"/>
                <w:b/>
                <w:kern w:val="2"/>
                <w:sz w:val="22"/>
                <w:highlight w:val="none"/>
                <w:lang w:eastAsia="zh-CN"/>
              </w:rPr>
              <w:t>（</w:t>
            </w:r>
            <w:r>
              <w:rPr>
                <w:rFonts w:hint="eastAsia" w:cs="宋体"/>
                <w:b/>
                <w:kern w:val="2"/>
                <w:sz w:val="22"/>
                <w:highlight w:val="none"/>
                <w:lang w:val="en-US" w:eastAsia="zh-CN"/>
              </w:rPr>
              <w:t>6分</w:t>
            </w:r>
            <w:r>
              <w:rPr>
                <w:rFonts w:hint="eastAsia" w:cs="宋体"/>
                <w:b/>
                <w:kern w:val="2"/>
                <w:sz w:val="22"/>
                <w:highlight w:val="none"/>
                <w:lang w:eastAsia="zh-CN"/>
              </w:rPr>
              <w:t>）</w:t>
            </w:r>
          </w:p>
        </w:tc>
        <w:tc>
          <w:tcPr>
            <w:tcW w:w="6262" w:type="dxa"/>
            <w:tcBorders>
              <w:top w:val="single" w:color="auto" w:sz="4" w:space="0"/>
              <w:left w:val="single" w:color="auto" w:sz="4" w:space="0"/>
              <w:right w:val="single" w:color="auto" w:sz="4" w:space="0"/>
            </w:tcBorders>
            <w:noWrap w:val="0"/>
            <w:vAlign w:val="center"/>
          </w:tcPr>
          <w:p>
            <w:pPr>
              <w:pStyle w:val="11"/>
              <w:snapToGrid w:val="0"/>
              <w:spacing w:line="320" w:lineRule="exact"/>
              <w:ind w:left="0" w:leftChars="0" w:firstLine="0" w:firstLineChars="0"/>
              <w:jc w:val="left"/>
              <w:rPr>
                <w:rFonts w:hint="eastAsia" w:ascii="Times New Roman" w:hAnsi="Times New Roman" w:eastAsia="宋体" w:cs="宋体"/>
                <w:sz w:val="22"/>
                <w:highlight w:val="none"/>
                <w:lang w:eastAsia="zh-CN"/>
              </w:rPr>
            </w:pPr>
            <w:r>
              <w:rPr>
                <w:rFonts w:hint="eastAsia" w:ascii="Times New Roman" w:hAnsi="Times New Roman" w:eastAsia="宋体" w:cs="宋体"/>
                <w:sz w:val="22"/>
                <w:highlight w:val="none"/>
                <w:lang w:eastAsia="zh-CN"/>
              </w:rPr>
              <w:t>自2016年1月1日以来（合同签订时间），投标人</w:t>
            </w:r>
            <w:r>
              <w:rPr>
                <w:rFonts w:hint="eastAsia" w:cs="宋体"/>
                <w:sz w:val="22"/>
                <w:highlight w:val="none"/>
                <w:lang w:eastAsia="zh-CN"/>
              </w:rPr>
              <w:t>完成</w:t>
            </w:r>
            <w:r>
              <w:rPr>
                <w:rFonts w:hint="eastAsia" w:ascii="Times New Roman" w:hAnsi="Times New Roman" w:eastAsia="宋体" w:cs="宋体"/>
                <w:sz w:val="22"/>
                <w:highlight w:val="none"/>
                <w:lang w:eastAsia="zh-CN"/>
              </w:rPr>
              <w:t>过山洪灾害防治调查评价类项目的每个得</w:t>
            </w:r>
            <w:r>
              <w:rPr>
                <w:rFonts w:hint="eastAsia" w:cs="宋体"/>
                <w:sz w:val="22"/>
                <w:highlight w:val="none"/>
                <w:lang w:val="en-US" w:eastAsia="zh-CN"/>
              </w:rPr>
              <w:t>2</w:t>
            </w:r>
            <w:r>
              <w:rPr>
                <w:rFonts w:hint="eastAsia" w:ascii="Times New Roman" w:hAnsi="Times New Roman" w:eastAsia="宋体" w:cs="宋体"/>
                <w:sz w:val="22"/>
                <w:highlight w:val="none"/>
                <w:lang w:eastAsia="zh-CN"/>
              </w:rPr>
              <w:t>分，最高得</w:t>
            </w:r>
            <w:r>
              <w:rPr>
                <w:rFonts w:hint="eastAsia" w:ascii="Times New Roman" w:hAnsi="Times New Roman" w:eastAsia="宋体" w:cs="宋体"/>
                <w:sz w:val="22"/>
                <w:highlight w:val="none"/>
                <w:lang w:val="en-US" w:eastAsia="zh-CN"/>
              </w:rPr>
              <w:t>6</w:t>
            </w:r>
            <w:r>
              <w:rPr>
                <w:rFonts w:hint="eastAsia" w:ascii="Times New Roman" w:hAnsi="Times New Roman" w:eastAsia="宋体" w:cs="宋体"/>
                <w:sz w:val="22"/>
                <w:highlight w:val="none"/>
                <w:lang w:eastAsia="zh-CN"/>
              </w:rPr>
              <w:t>分。【提供中标通知书或合同或验收报告</w:t>
            </w:r>
            <w:r>
              <w:rPr>
                <w:rFonts w:hint="eastAsia" w:ascii="Times New Roman" w:hAnsi="Times New Roman" w:cs="宋体"/>
                <w:sz w:val="22"/>
                <w:highlight w:val="none"/>
                <w:lang w:eastAsia="zh-CN"/>
              </w:rPr>
              <w:t>扫描件</w:t>
            </w:r>
            <w:r>
              <w:rPr>
                <w:rFonts w:hint="eastAsia" w:ascii="Times New Roman" w:hAnsi="Times New Roman" w:eastAsia="宋体" w:cs="宋体"/>
                <w:sz w:val="22"/>
                <w:highlight w:val="none"/>
                <w:lang w:eastAsia="zh-CN"/>
              </w:rPr>
              <w:t>，</w:t>
            </w:r>
            <w:r>
              <w:rPr>
                <w:rFonts w:hint="eastAsia" w:ascii="Times New Roman" w:hAnsi="Times New Roman" w:cs="宋体"/>
                <w:sz w:val="22"/>
                <w:highlight w:val="none"/>
                <w:lang w:eastAsia="zh-CN"/>
              </w:rPr>
              <w:t>不提供不得分或提供扫描件无法确认的不得分</w:t>
            </w:r>
            <w:r>
              <w:rPr>
                <w:rFonts w:hint="eastAsia" w:ascii="Times New Roman" w:hAnsi="Times New Roman" w:eastAsia="宋体" w:cs="宋体"/>
                <w:sz w:val="22"/>
                <w:highlight w:val="none"/>
              </w:rPr>
              <w:t>。</w:t>
            </w:r>
            <w:r>
              <w:rPr>
                <w:rFonts w:hint="eastAsia" w:ascii="Times New Roman" w:hAnsi="Times New Roman" w:eastAsia="宋体" w:cs="宋体"/>
                <w:sz w:val="22"/>
                <w:highlight w:val="none"/>
                <w:lang w:eastAsia="zh-CN"/>
              </w:rPr>
              <w:t>】</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default" w:eastAsia="宋体" w:cs="宋体"/>
                <w:b/>
                <w:sz w:val="22"/>
                <w:szCs w:val="22"/>
                <w:highlight w:val="none"/>
                <w:lang w:val="en-US" w:eastAsia="zh-CN"/>
              </w:rPr>
            </w:pPr>
            <w:r>
              <w:rPr>
                <w:rFonts w:hint="eastAsia" w:cs="宋体"/>
                <w:b/>
                <w:sz w:val="22"/>
                <w:szCs w:val="22"/>
                <w:highlight w:val="none"/>
                <w:lang w:val="en-US" w:eastAsia="zh-CN"/>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eastAsia" w:ascii="宋体" w:eastAsia="宋体" w:cs="宋体"/>
                <w:b/>
                <w:kern w:val="2"/>
                <w:sz w:val="22"/>
                <w:highlight w:val="none"/>
                <w:lang w:val="en-US" w:eastAsia="zh-CN"/>
              </w:rPr>
            </w:pPr>
            <w:r>
              <w:rPr>
                <w:rFonts w:hint="eastAsia" w:ascii="宋体" w:cs="宋体"/>
                <w:b/>
                <w:kern w:val="2"/>
                <w:sz w:val="22"/>
                <w:highlight w:val="none"/>
                <w:lang w:val="en-US" w:eastAsia="zh-CN"/>
              </w:rPr>
              <w:t>3</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eastAsia="宋体" w:cs="宋体"/>
                <w:b/>
                <w:kern w:val="2"/>
                <w:sz w:val="22"/>
                <w:highlight w:val="none"/>
                <w:lang w:eastAsia="zh-CN"/>
              </w:rPr>
            </w:pPr>
            <w:r>
              <w:rPr>
                <w:rFonts w:hint="eastAsia" w:ascii="宋体" w:cs="宋体"/>
                <w:b/>
                <w:kern w:val="2"/>
                <w:sz w:val="22"/>
                <w:highlight w:val="none"/>
                <w:lang w:eastAsia="zh-CN"/>
              </w:rPr>
              <w:t>项目负责人</w:t>
            </w:r>
            <w:r>
              <w:rPr>
                <w:rFonts w:hint="eastAsia" w:cs="宋体"/>
                <w:b/>
                <w:kern w:val="2"/>
                <w:sz w:val="22"/>
                <w:highlight w:val="none"/>
                <w:lang w:eastAsia="zh-CN"/>
              </w:rPr>
              <w:t>（</w:t>
            </w:r>
            <w:r>
              <w:rPr>
                <w:rFonts w:hint="eastAsia" w:cs="宋体"/>
                <w:b/>
                <w:kern w:val="2"/>
                <w:sz w:val="22"/>
                <w:highlight w:val="none"/>
                <w:lang w:val="en-US" w:eastAsia="zh-CN"/>
              </w:rPr>
              <w:t>3分</w:t>
            </w:r>
            <w:r>
              <w:rPr>
                <w:rFonts w:hint="eastAsia" w:cs="宋体"/>
                <w:b/>
                <w:kern w:val="2"/>
                <w:sz w:val="22"/>
                <w:highlight w:val="none"/>
                <w:lang w:eastAsia="zh-CN"/>
              </w:rPr>
              <w:t>）</w:t>
            </w:r>
          </w:p>
        </w:tc>
        <w:tc>
          <w:tcPr>
            <w:tcW w:w="6262" w:type="dxa"/>
            <w:tcBorders>
              <w:top w:val="single" w:color="auto" w:sz="4" w:space="0"/>
              <w:left w:val="single" w:color="auto" w:sz="4" w:space="0"/>
              <w:right w:val="single" w:color="auto" w:sz="4" w:space="0"/>
            </w:tcBorders>
            <w:noWrap w:val="0"/>
            <w:vAlign w:val="center"/>
          </w:tcPr>
          <w:p>
            <w:pPr>
              <w:pStyle w:val="11"/>
              <w:snapToGrid w:val="0"/>
              <w:spacing w:line="320" w:lineRule="exact"/>
              <w:ind w:left="0" w:leftChars="0" w:firstLine="0" w:firstLineChars="0"/>
              <w:jc w:val="left"/>
              <w:rPr>
                <w:rFonts w:hint="eastAsia" w:ascii="Times New Roman" w:hAnsi="Times New Roman" w:eastAsia="宋体" w:cs="宋体"/>
                <w:sz w:val="22"/>
                <w:highlight w:val="none"/>
                <w:lang w:eastAsia="zh-CN"/>
              </w:rPr>
            </w:pPr>
            <w:r>
              <w:rPr>
                <w:rFonts w:hint="eastAsia" w:ascii="Times New Roman" w:hAnsi="Times New Roman" w:eastAsia="宋体" w:cs="宋体"/>
                <w:sz w:val="22"/>
                <w:highlight w:val="none"/>
              </w:rPr>
              <w:t>项目负责人具有高级工程师及以上职称(水利相关专业)的得</w:t>
            </w:r>
            <w:r>
              <w:rPr>
                <w:rFonts w:hint="eastAsia" w:ascii="Times New Roman" w:hAnsi="Times New Roman" w:cs="宋体"/>
                <w:sz w:val="22"/>
                <w:highlight w:val="none"/>
                <w:lang w:val="en-US" w:eastAsia="zh-CN"/>
              </w:rPr>
              <w:t>3</w:t>
            </w:r>
            <w:r>
              <w:rPr>
                <w:rFonts w:hint="eastAsia" w:ascii="Times New Roman" w:hAnsi="Times New Roman" w:eastAsia="宋体" w:cs="宋体"/>
                <w:sz w:val="22"/>
                <w:highlight w:val="none"/>
              </w:rPr>
              <w:t>分；具有</w:t>
            </w:r>
            <w:r>
              <w:rPr>
                <w:rFonts w:hint="eastAsia" w:cs="宋体"/>
                <w:sz w:val="22"/>
                <w:highlight w:val="none"/>
                <w:lang w:eastAsia="zh-CN"/>
              </w:rPr>
              <w:t>中</w:t>
            </w:r>
            <w:r>
              <w:rPr>
                <w:rFonts w:hint="eastAsia" w:ascii="Times New Roman" w:hAnsi="Times New Roman" w:eastAsia="宋体" w:cs="宋体"/>
                <w:sz w:val="22"/>
                <w:highlight w:val="none"/>
              </w:rPr>
              <w:t>级工程师职称(水利相关专业)的得</w:t>
            </w:r>
            <w:r>
              <w:rPr>
                <w:rFonts w:hint="eastAsia" w:ascii="Times New Roman" w:hAnsi="Times New Roman" w:eastAsia="宋体" w:cs="宋体"/>
                <w:sz w:val="22"/>
                <w:highlight w:val="none"/>
                <w:lang w:val="en-US" w:eastAsia="zh-CN"/>
              </w:rPr>
              <w:t>1</w:t>
            </w:r>
            <w:r>
              <w:rPr>
                <w:rFonts w:hint="eastAsia" w:ascii="Times New Roman" w:hAnsi="Times New Roman" w:eastAsia="宋体" w:cs="宋体"/>
                <w:sz w:val="22"/>
                <w:highlight w:val="none"/>
              </w:rPr>
              <w:t>分；</w:t>
            </w:r>
            <w:r>
              <w:rPr>
                <w:rFonts w:hint="eastAsia" w:ascii="Times New Roman" w:hAnsi="Times New Roman" w:eastAsia="宋体" w:cs="宋体"/>
                <w:sz w:val="22"/>
                <w:highlight w:val="none"/>
                <w:lang w:eastAsia="zh-CN"/>
              </w:rPr>
              <w:t>【证明材料：</w:t>
            </w:r>
            <w:r>
              <w:rPr>
                <w:rFonts w:hint="eastAsia" w:ascii="Times New Roman" w:hAnsi="Times New Roman" w:eastAsia="宋体" w:cs="宋体"/>
                <w:sz w:val="22"/>
                <w:highlight w:val="none"/>
              </w:rPr>
              <w:t>须提供</w:t>
            </w:r>
            <w:r>
              <w:rPr>
                <w:rFonts w:hint="eastAsia" w:ascii="Times New Roman" w:hAnsi="Times New Roman" w:cs="宋体"/>
                <w:sz w:val="22"/>
                <w:highlight w:val="none"/>
                <w:lang w:eastAsia="zh-CN"/>
              </w:rPr>
              <w:t>相关有效证书、投标人为其缴纳的</w:t>
            </w:r>
            <w:r>
              <w:rPr>
                <w:rFonts w:hint="eastAsia" w:ascii="Times New Roman" w:hAnsi="Times New Roman" w:eastAsia="宋体" w:cs="宋体"/>
                <w:sz w:val="22"/>
                <w:highlight w:val="none"/>
              </w:rPr>
              <w:t>近3个月社保证明扫描件</w:t>
            </w:r>
            <w:r>
              <w:rPr>
                <w:rFonts w:hint="eastAsia" w:ascii="Times New Roman" w:hAnsi="Times New Roman" w:cs="宋体"/>
                <w:sz w:val="22"/>
                <w:highlight w:val="none"/>
                <w:lang w:eastAsia="zh-CN"/>
              </w:rPr>
              <w:t>，不提供不得分或提供扫描件无法确认的不得分</w:t>
            </w:r>
            <w:r>
              <w:rPr>
                <w:rFonts w:hint="eastAsia" w:ascii="Times New Roman" w:hAnsi="Times New Roman" w:eastAsia="宋体" w:cs="宋体"/>
                <w:sz w:val="22"/>
                <w:highlight w:val="none"/>
                <w:lang w:eastAsia="zh-CN"/>
              </w:rPr>
              <w:t>。】</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default" w:eastAsia="宋体" w:cs="宋体"/>
                <w:b/>
                <w:sz w:val="22"/>
                <w:szCs w:val="22"/>
                <w:highlight w:val="none"/>
                <w:lang w:val="en-US" w:eastAsia="zh-CN"/>
              </w:rPr>
            </w:pPr>
            <w:r>
              <w:rPr>
                <w:rFonts w:hint="eastAsia" w:cs="宋体"/>
                <w:b/>
                <w:sz w:val="22"/>
                <w:szCs w:val="22"/>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eastAsia="宋体" w:cs="宋体"/>
                <w:b/>
                <w:kern w:val="2"/>
                <w:sz w:val="22"/>
                <w:highlight w:val="none"/>
                <w:lang w:val="en-US" w:eastAsia="zh-CN"/>
              </w:rPr>
              <w:t>4</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hAnsi="Times New Roman" w:eastAsia="宋体" w:cs="宋体"/>
                <w:b/>
                <w:kern w:val="2"/>
                <w:sz w:val="22"/>
                <w:highlight w:val="none"/>
                <w:lang w:eastAsia="zh-CN"/>
              </w:rPr>
            </w:pPr>
            <w:r>
              <w:rPr>
                <w:rFonts w:hint="eastAsia" w:ascii="宋体" w:hAnsi="Times New Roman" w:eastAsia="宋体" w:cs="宋体"/>
                <w:b/>
                <w:kern w:val="2"/>
                <w:sz w:val="22"/>
                <w:highlight w:val="none"/>
                <w:lang w:eastAsia="zh-CN"/>
              </w:rPr>
              <w:t>项目组成人员</w:t>
            </w:r>
            <w:r>
              <w:rPr>
                <w:rFonts w:hint="eastAsia" w:hAnsi="Times New Roman" w:cs="宋体"/>
                <w:b/>
                <w:kern w:val="2"/>
                <w:sz w:val="22"/>
                <w:highlight w:val="none"/>
                <w:lang w:eastAsia="zh-CN"/>
              </w:rPr>
              <w:t>（</w:t>
            </w:r>
            <w:r>
              <w:rPr>
                <w:rFonts w:hint="eastAsia" w:hAnsi="Times New Roman" w:cs="宋体"/>
                <w:b/>
                <w:kern w:val="2"/>
                <w:sz w:val="22"/>
                <w:highlight w:val="none"/>
                <w:lang w:val="en-US" w:eastAsia="zh-CN"/>
              </w:rPr>
              <w:t>10分</w:t>
            </w:r>
            <w:r>
              <w:rPr>
                <w:rFonts w:hint="eastAsia" w:hAnsi="Times New Roman" w:cs="宋体"/>
                <w:b/>
                <w:kern w:val="2"/>
                <w:sz w:val="22"/>
                <w:highlight w:val="none"/>
                <w:lang w:eastAsia="zh-CN"/>
              </w:rPr>
              <w:t>）</w:t>
            </w:r>
          </w:p>
        </w:tc>
        <w:tc>
          <w:tcPr>
            <w:tcW w:w="6262" w:type="dxa"/>
            <w:tcBorders>
              <w:top w:val="single" w:color="auto" w:sz="4" w:space="0"/>
              <w:left w:val="single" w:color="auto" w:sz="4" w:space="0"/>
              <w:right w:val="single" w:color="auto" w:sz="4" w:space="0"/>
            </w:tcBorders>
            <w:noWrap w:val="0"/>
            <w:vAlign w:val="center"/>
          </w:tcPr>
          <w:p>
            <w:pPr>
              <w:pStyle w:val="11"/>
              <w:snapToGrid w:val="0"/>
              <w:spacing w:line="320" w:lineRule="exact"/>
              <w:ind w:left="0" w:leftChars="0" w:firstLine="0" w:firstLineChars="0"/>
              <w:jc w:val="left"/>
              <w:rPr>
                <w:rFonts w:hint="eastAsia" w:ascii="Times New Roman" w:hAnsi="Times New Roman" w:eastAsia="宋体" w:cs="宋体"/>
                <w:sz w:val="22"/>
                <w:highlight w:val="none"/>
              </w:rPr>
            </w:pPr>
            <w:r>
              <w:rPr>
                <w:rFonts w:hint="eastAsia" w:ascii="Times New Roman" w:hAnsi="Times New Roman" w:eastAsia="宋体" w:cs="宋体"/>
                <w:sz w:val="22"/>
                <w:highlight w:val="none"/>
              </w:rPr>
              <w:t>拟配备的项目组成员（项目负责人除外）：</w:t>
            </w:r>
          </w:p>
          <w:p>
            <w:pPr>
              <w:pStyle w:val="11"/>
              <w:snapToGrid w:val="0"/>
              <w:spacing w:line="320" w:lineRule="exact"/>
              <w:ind w:left="0" w:leftChars="0" w:firstLine="0" w:firstLineChars="0"/>
              <w:jc w:val="left"/>
              <w:rPr>
                <w:rFonts w:hint="eastAsia" w:ascii="Times New Roman" w:hAnsi="Times New Roman" w:eastAsia="宋体" w:cs="宋体"/>
                <w:sz w:val="22"/>
                <w:highlight w:val="none"/>
              </w:rPr>
            </w:pPr>
            <w:r>
              <w:rPr>
                <w:rFonts w:hint="eastAsia" w:ascii="Times New Roman" w:hAnsi="Times New Roman" w:eastAsia="宋体" w:cs="宋体"/>
                <w:sz w:val="22"/>
                <w:highlight w:val="none"/>
              </w:rPr>
              <w:t>项目组人员（除项目负责人外）配备水利工程、测绘、</w:t>
            </w:r>
            <w:r>
              <w:rPr>
                <w:rFonts w:hint="eastAsia" w:ascii="Times New Roman" w:hAnsi="Times New Roman" w:cs="宋体"/>
                <w:sz w:val="22"/>
                <w:highlight w:val="none"/>
                <w:lang w:eastAsia="zh-CN"/>
              </w:rPr>
              <w:t>计算机技术与软件</w:t>
            </w:r>
            <w:r>
              <w:rPr>
                <w:rFonts w:hint="eastAsia" w:ascii="Times New Roman" w:hAnsi="Times New Roman" w:eastAsia="宋体" w:cs="宋体"/>
                <w:sz w:val="22"/>
                <w:highlight w:val="none"/>
              </w:rPr>
              <w:t>、</w:t>
            </w:r>
            <w:r>
              <w:rPr>
                <w:rFonts w:hint="eastAsia" w:ascii="Times New Roman" w:hAnsi="Times New Roman" w:cs="宋体"/>
                <w:sz w:val="22"/>
                <w:highlight w:val="none"/>
                <w:lang w:eastAsia="zh-CN"/>
              </w:rPr>
              <w:t>水文（水资源）</w:t>
            </w:r>
            <w:r>
              <w:rPr>
                <w:rFonts w:hint="eastAsia" w:ascii="Times New Roman" w:hAnsi="Times New Roman" w:eastAsia="宋体" w:cs="宋体"/>
                <w:sz w:val="22"/>
                <w:highlight w:val="none"/>
              </w:rPr>
              <w:t>、地理信息系统专业，每类专业具有一个专业</w:t>
            </w:r>
            <w:r>
              <w:rPr>
                <w:rFonts w:hint="eastAsia" w:cs="宋体"/>
                <w:sz w:val="22"/>
                <w:highlight w:val="none"/>
                <w:lang w:eastAsia="zh-CN"/>
              </w:rPr>
              <w:t>高</w:t>
            </w:r>
            <w:r>
              <w:rPr>
                <w:rFonts w:hint="eastAsia" w:ascii="Times New Roman" w:hAnsi="Times New Roman" w:eastAsia="宋体" w:cs="宋体"/>
                <w:sz w:val="22"/>
                <w:highlight w:val="none"/>
              </w:rPr>
              <w:t>级</w:t>
            </w:r>
            <w:r>
              <w:rPr>
                <w:rFonts w:hint="eastAsia" w:cs="宋体"/>
                <w:sz w:val="22"/>
                <w:highlight w:val="none"/>
                <w:lang w:eastAsia="zh-CN"/>
              </w:rPr>
              <w:t>及以上</w:t>
            </w:r>
            <w:r>
              <w:rPr>
                <w:rFonts w:hint="eastAsia" w:ascii="Times New Roman" w:hAnsi="Times New Roman" w:eastAsia="宋体" w:cs="宋体"/>
                <w:sz w:val="22"/>
                <w:highlight w:val="none"/>
              </w:rPr>
              <w:t>职称得</w:t>
            </w:r>
            <w:r>
              <w:rPr>
                <w:rFonts w:hint="eastAsia" w:ascii="Times New Roman" w:hAnsi="Times New Roman" w:cs="宋体"/>
                <w:sz w:val="22"/>
                <w:highlight w:val="none"/>
                <w:lang w:val="en-US" w:eastAsia="zh-CN"/>
              </w:rPr>
              <w:t>2</w:t>
            </w:r>
            <w:r>
              <w:rPr>
                <w:rFonts w:hint="eastAsia" w:ascii="Times New Roman" w:hAnsi="Times New Roman" w:eastAsia="宋体" w:cs="宋体"/>
                <w:sz w:val="22"/>
                <w:highlight w:val="none"/>
              </w:rPr>
              <w:t>分，</w:t>
            </w:r>
            <w:r>
              <w:rPr>
                <w:rFonts w:hint="eastAsia" w:cs="宋体"/>
                <w:sz w:val="22"/>
                <w:highlight w:val="none"/>
                <w:lang w:eastAsia="zh-CN"/>
              </w:rPr>
              <w:t>中</w:t>
            </w:r>
            <w:r>
              <w:rPr>
                <w:rFonts w:hint="eastAsia" w:ascii="Times New Roman" w:hAnsi="Times New Roman" w:eastAsia="宋体" w:cs="宋体"/>
                <w:sz w:val="22"/>
                <w:highlight w:val="none"/>
              </w:rPr>
              <w:t>级职称得</w:t>
            </w:r>
            <w:r>
              <w:rPr>
                <w:rFonts w:hint="eastAsia" w:ascii="Times New Roman" w:hAnsi="Times New Roman" w:cs="宋体"/>
                <w:sz w:val="22"/>
                <w:highlight w:val="none"/>
                <w:lang w:val="en-US" w:eastAsia="zh-CN"/>
              </w:rPr>
              <w:t>1</w:t>
            </w:r>
            <w:r>
              <w:rPr>
                <w:rFonts w:hint="eastAsia" w:ascii="Times New Roman" w:hAnsi="Times New Roman" w:eastAsia="宋体" w:cs="宋体"/>
                <w:sz w:val="22"/>
                <w:highlight w:val="none"/>
              </w:rPr>
              <w:t>分，最多得</w:t>
            </w:r>
            <w:r>
              <w:rPr>
                <w:rFonts w:hint="eastAsia" w:ascii="Times New Roman" w:hAnsi="Times New Roman" w:cs="宋体"/>
                <w:sz w:val="22"/>
                <w:highlight w:val="none"/>
                <w:lang w:val="en-US" w:eastAsia="zh-CN"/>
              </w:rPr>
              <w:t>10</w:t>
            </w:r>
            <w:r>
              <w:rPr>
                <w:rFonts w:hint="eastAsia" w:ascii="Times New Roman" w:hAnsi="Times New Roman" w:eastAsia="宋体" w:cs="宋体"/>
                <w:sz w:val="22"/>
                <w:highlight w:val="none"/>
              </w:rPr>
              <w:t>分。同一人员、同一专业不得重复计分，专业以职称证书</w:t>
            </w:r>
            <w:r>
              <w:rPr>
                <w:rFonts w:hint="eastAsia" w:ascii="Times New Roman" w:hAnsi="Times New Roman" w:cs="宋体"/>
                <w:sz w:val="22"/>
                <w:highlight w:val="none"/>
                <w:lang w:eastAsia="zh-CN"/>
              </w:rPr>
              <w:t>或资格证书</w:t>
            </w:r>
            <w:r>
              <w:rPr>
                <w:rFonts w:hint="eastAsia" w:ascii="Times New Roman" w:hAnsi="Times New Roman" w:eastAsia="宋体" w:cs="宋体"/>
                <w:sz w:val="22"/>
                <w:highlight w:val="none"/>
              </w:rPr>
              <w:t>专业为准。</w:t>
            </w:r>
          </w:p>
          <w:p>
            <w:pPr>
              <w:pStyle w:val="11"/>
              <w:snapToGrid w:val="0"/>
              <w:spacing w:line="320" w:lineRule="exact"/>
              <w:ind w:left="0" w:leftChars="0" w:firstLine="0" w:firstLineChars="0"/>
              <w:jc w:val="left"/>
              <w:rPr>
                <w:rFonts w:hint="eastAsia" w:ascii="Times New Roman" w:hAnsi="Times New Roman" w:eastAsia="宋体" w:cs="宋体"/>
                <w:sz w:val="22"/>
                <w:highlight w:val="none"/>
              </w:rPr>
            </w:pPr>
            <w:r>
              <w:rPr>
                <w:rFonts w:hint="eastAsia" w:ascii="Times New Roman" w:hAnsi="Times New Roman" w:eastAsia="宋体" w:cs="宋体"/>
                <w:sz w:val="22"/>
                <w:highlight w:val="none"/>
                <w:lang w:eastAsia="zh-CN"/>
              </w:rPr>
              <w:t>【</w:t>
            </w:r>
            <w:r>
              <w:rPr>
                <w:rFonts w:hint="eastAsia" w:ascii="Times New Roman" w:hAnsi="Times New Roman" w:eastAsia="宋体" w:cs="宋体"/>
                <w:sz w:val="22"/>
                <w:highlight w:val="none"/>
              </w:rPr>
              <w:t>注：须提供</w:t>
            </w:r>
            <w:r>
              <w:rPr>
                <w:rFonts w:hint="eastAsia" w:ascii="Times New Roman" w:hAnsi="Times New Roman" w:cs="宋体"/>
                <w:sz w:val="22"/>
                <w:highlight w:val="none"/>
                <w:lang w:eastAsia="zh-CN"/>
              </w:rPr>
              <w:t>相关有效证书、投标人为其缴纳的</w:t>
            </w:r>
            <w:r>
              <w:rPr>
                <w:rFonts w:hint="eastAsia" w:ascii="Times New Roman" w:hAnsi="Times New Roman" w:eastAsia="宋体" w:cs="宋体"/>
                <w:sz w:val="22"/>
                <w:highlight w:val="none"/>
              </w:rPr>
              <w:t>近3个月社保证明扫描件</w:t>
            </w:r>
            <w:r>
              <w:rPr>
                <w:rFonts w:hint="eastAsia" w:ascii="Times New Roman" w:hAnsi="Times New Roman" w:eastAsia="宋体" w:cs="宋体"/>
                <w:sz w:val="22"/>
                <w:highlight w:val="none"/>
                <w:lang w:eastAsia="zh-CN"/>
              </w:rPr>
              <w:t>，</w:t>
            </w:r>
            <w:r>
              <w:rPr>
                <w:rFonts w:hint="eastAsia" w:ascii="Times New Roman" w:hAnsi="Times New Roman" w:cs="宋体"/>
                <w:sz w:val="22"/>
                <w:highlight w:val="none"/>
                <w:lang w:eastAsia="zh-CN"/>
              </w:rPr>
              <w:t>不提供不得分或提供扫描件无法确认的不得分</w:t>
            </w:r>
            <w:r>
              <w:rPr>
                <w:rFonts w:hint="eastAsia" w:ascii="Times New Roman" w:hAnsi="Times New Roman" w:eastAsia="宋体" w:cs="宋体"/>
                <w:sz w:val="22"/>
                <w:highlight w:val="none"/>
              </w:rPr>
              <w:t>。</w:t>
            </w:r>
            <w:r>
              <w:rPr>
                <w:rFonts w:hint="eastAsia" w:ascii="Times New Roman" w:hAnsi="Times New Roman" w:eastAsia="宋体" w:cs="宋体"/>
                <w:sz w:val="22"/>
                <w:highlight w:val="none"/>
                <w:lang w:eastAsia="zh-CN"/>
              </w:rPr>
              <w:t>】</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宋体"/>
                <w:b/>
                <w:sz w:val="22"/>
                <w:szCs w:val="22"/>
                <w:highlight w:val="none"/>
                <w:lang w:val="en-US" w:eastAsia="zh-CN"/>
              </w:rPr>
            </w:pPr>
            <w:r>
              <w:rPr>
                <w:rFonts w:hint="eastAsia" w:ascii="Times New Roman" w:hAnsi="Times New Roman" w:eastAsia="宋体" w:cs="宋体"/>
                <w:b/>
                <w:sz w:val="22"/>
                <w:szCs w:val="22"/>
                <w:highlight w:val="none"/>
                <w:lang w:val="en-US" w:eastAsia="zh-CN"/>
              </w:rPr>
              <w:t>0-</w:t>
            </w:r>
            <w:r>
              <w:rPr>
                <w:rFonts w:hint="eastAsia" w:ascii="Times New Roman" w:hAnsi="Times New Roman" w:cs="宋体"/>
                <w:b/>
                <w:sz w:val="22"/>
                <w:szCs w:val="22"/>
                <w:highlight w:val="none"/>
                <w:lang w:val="en-US" w:eastAsia="zh-CN"/>
              </w:rPr>
              <w:t>10</w:t>
            </w:r>
            <w:r>
              <w:rPr>
                <w:rFonts w:hint="eastAsia" w:ascii="Times New Roman" w:hAnsi="Times New Roman" w:eastAsia="宋体" w:cs="宋体"/>
                <w:b/>
                <w:sz w:val="22"/>
                <w:szCs w:val="22"/>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eastAsia="宋体" w:cs="宋体"/>
                <w:b/>
                <w:kern w:val="2"/>
                <w:sz w:val="22"/>
                <w:highlight w:val="none"/>
                <w:lang w:val="en-US" w:eastAsia="zh-CN"/>
              </w:rPr>
              <w:t>5</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hAnsi="Times New Roman" w:eastAsia="宋体" w:cs="宋体"/>
                <w:b/>
                <w:kern w:val="2"/>
                <w:sz w:val="22"/>
                <w:highlight w:val="none"/>
                <w:lang w:val="en-US" w:eastAsia="zh-CN"/>
              </w:rPr>
            </w:pPr>
            <w:r>
              <w:rPr>
                <w:rFonts w:hint="eastAsia" w:ascii="宋体" w:hAnsi="Times New Roman" w:eastAsia="宋体" w:cs="宋体"/>
                <w:b/>
                <w:kern w:val="2"/>
                <w:sz w:val="22"/>
                <w:highlight w:val="none"/>
                <w:lang w:eastAsia="zh-CN"/>
              </w:rPr>
              <w:t>项目理解</w:t>
            </w:r>
            <w:r>
              <w:rPr>
                <w:rFonts w:hint="eastAsia" w:hAnsi="Times New Roman" w:cs="宋体"/>
                <w:b/>
                <w:kern w:val="2"/>
                <w:sz w:val="22"/>
                <w:highlight w:val="none"/>
                <w:lang w:eastAsia="zh-CN"/>
              </w:rPr>
              <w:t>（</w:t>
            </w:r>
            <w:r>
              <w:rPr>
                <w:rFonts w:hint="eastAsia" w:hAnsi="Times New Roman" w:cs="宋体"/>
                <w:b/>
                <w:kern w:val="2"/>
                <w:sz w:val="22"/>
                <w:highlight w:val="none"/>
                <w:lang w:val="en-US" w:eastAsia="zh-CN"/>
              </w:rPr>
              <w:t>10分</w:t>
            </w:r>
            <w:r>
              <w:rPr>
                <w:rFonts w:hint="eastAsia" w:hAnsi="Times New Roman" w:cs="宋体"/>
                <w:b/>
                <w:kern w:val="2"/>
                <w:sz w:val="22"/>
                <w:highlight w:val="none"/>
                <w:lang w:eastAsia="zh-CN"/>
              </w:rPr>
              <w:t>）</w:t>
            </w:r>
          </w:p>
        </w:tc>
        <w:tc>
          <w:tcPr>
            <w:tcW w:w="6262" w:type="dxa"/>
            <w:tcBorders>
              <w:top w:val="single" w:color="auto" w:sz="4" w:space="0"/>
              <w:left w:val="single" w:color="auto" w:sz="4" w:space="0"/>
              <w:right w:val="single" w:color="auto" w:sz="4" w:space="0"/>
            </w:tcBorders>
            <w:noWrap w:val="0"/>
            <w:vAlign w:val="center"/>
          </w:tcPr>
          <w:p>
            <w:pPr>
              <w:pStyle w:val="24"/>
              <w:shd w:val="clear" w:color="auto" w:fill="FFFFFF"/>
              <w:spacing w:before="0" w:beforeAutospacing="0" w:after="0" w:afterAutospacing="0" w:line="300" w:lineRule="exact"/>
              <w:jc w:val="left"/>
              <w:rPr>
                <w:rFonts w:hint="eastAsia" w:ascii="Times New Roman" w:hAnsi="Times New Roman" w:eastAsia="宋体" w:cs="宋体"/>
                <w:sz w:val="22"/>
                <w:szCs w:val="20"/>
                <w:highlight w:val="none"/>
                <w:lang w:val="zh-TW" w:eastAsia="zh-TW" w:bidi="ar-SA"/>
              </w:rPr>
            </w:pPr>
            <w:r>
              <w:rPr>
                <w:rFonts w:hint="eastAsia" w:ascii="Times New Roman" w:hAnsi="Times New Roman" w:eastAsia="宋体" w:cs="宋体"/>
                <w:sz w:val="22"/>
                <w:szCs w:val="20"/>
                <w:highlight w:val="none"/>
                <w:lang w:val="en-US" w:eastAsia="zh-CN" w:bidi="ar-SA"/>
              </w:rPr>
              <w:t>根据投标人对本区域内水旱灾害风险普查工作的理解，重点、难点的梳理及解决措施，由专家综合打分，最高</w:t>
            </w:r>
            <w:r>
              <w:rPr>
                <w:rFonts w:hint="eastAsia" w:ascii="Times New Roman" w:hAnsi="Times New Roman" w:cs="宋体"/>
                <w:sz w:val="22"/>
                <w:szCs w:val="20"/>
                <w:highlight w:val="none"/>
                <w:lang w:val="en-US" w:eastAsia="zh-CN" w:bidi="ar-SA"/>
              </w:rPr>
              <w:t>10</w:t>
            </w:r>
            <w:r>
              <w:rPr>
                <w:rFonts w:hint="eastAsia" w:ascii="Times New Roman" w:hAnsi="Times New Roman" w:eastAsia="宋体" w:cs="宋体"/>
                <w:sz w:val="22"/>
                <w:szCs w:val="20"/>
                <w:highlight w:val="none"/>
                <w:lang w:val="en-US" w:eastAsia="zh-CN" w:bidi="ar-SA"/>
              </w:rPr>
              <w:t>分。</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宋体"/>
                <w:b/>
                <w:sz w:val="22"/>
                <w:szCs w:val="22"/>
                <w:highlight w:val="none"/>
                <w:lang w:val="en-US" w:eastAsia="zh-CN"/>
              </w:rPr>
            </w:pPr>
            <w:r>
              <w:rPr>
                <w:rFonts w:hint="eastAsia" w:ascii="Times New Roman" w:hAnsi="Times New Roman" w:eastAsia="宋体" w:cs="宋体"/>
                <w:b/>
                <w:sz w:val="22"/>
                <w:szCs w:val="22"/>
                <w:highlight w:val="none"/>
                <w:lang w:val="en-US" w:eastAsia="zh-CN"/>
              </w:rPr>
              <w:t>0-</w:t>
            </w:r>
            <w:r>
              <w:rPr>
                <w:rFonts w:hint="eastAsia" w:cs="宋体"/>
                <w:b/>
                <w:sz w:val="22"/>
                <w:szCs w:val="22"/>
                <w:highlight w:val="none"/>
                <w:lang w:val="en-US" w:eastAsia="zh-CN"/>
              </w:rPr>
              <w:t>10</w:t>
            </w:r>
            <w:r>
              <w:rPr>
                <w:rFonts w:hint="eastAsia" w:ascii="Times New Roman" w:hAnsi="Times New Roman" w:eastAsia="宋体" w:cs="宋体"/>
                <w:b/>
                <w:sz w:val="22"/>
                <w:szCs w:val="22"/>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eastAsia" w:ascii="宋体" w:eastAsia="宋体" w:cs="宋体"/>
                <w:b/>
                <w:kern w:val="2"/>
                <w:sz w:val="22"/>
                <w:highlight w:val="none"/>
                <w:lang w:val="en-US" w:eastAsia="zh-CN"/>
              </w:rPr>
            </w:pPr>
            <w:r>
              <w:rPr>
                <w:rFonts w:hint="eastAsia" w:ascii="宋体" w:cs="宋体"/>
                <w:b/>
                <w:kern w:val="2"/>
                <w:sz w:val="22"/>
                <w:highlight w:val="none"/>
                <w:lang w:val="en-US" w:eastAsia="zh-CN"/>
              </w:rPr>
              <w:t>6</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hAnsi="Times New Roman" w:eastAsia="宋体" w:cs="宋体"/>
                <w:b/>
                <w:kern w:val="2"/>
                <w:sz w:val="22"/>
                <w:highlight w:val="none"/>
                <w:lang w:val="en-US" w:eastAsia="zh-CN"/>
              </w:rPr>
            </w:pPr>
            <w:r>
              <w:rPr>
                <w:rFonts w:hint="eastAsia" w:ascii="宋体" w:hAnsi="Times New Roman" w:eastAsia="宋体" w:cs="宋体"/>
                <w:b/>
                <w:kern w:val="2"/>
                <w:sz w:val="22"/>
                <w:highlight w:val="none"/>
                <w:lang w:val="en-US" w:eastAsia="zh-CN"/>
              </w:rPr>
              <w:t>工作思路及技术路线</w:t>
            </w:r>
            <w:r>
              <w:rPr>
                <w:rFonts w:hint="eastAsia" w:hAnsi="Times New Roman" w:cs="宋体"/>
                <w:b/>
                <w:kern w:val="2"/>
                <w:sz w:val="22"/>
                <w:highlight w:val="none"/>
                <w:lang w:val="en-US" w:eastAsia="zh-CN"/>
              </w:rPr>
              <w:t>（10分）</w:t>
            </w:r>
          </w:p>
        </w:tc>
        <w:tc>
          <w:tcPr>
            <w:tcW w:w="6262" w:type="dxa"/>
            <w:tcBorders>
              <w:top w:val="single" w:color="auto" w:sz="4" w:space="0"/>
              <w:left w:val="single" w:color="auto" w:sz="4" w:space="0"/>
              <w:right w:val="single" w:color="auto" w:sz="4" w:space="0"/>
            </w:tcBorders>
            <w:noWrap w:val="0"/>
            <w:vAlign w:val="center"/>
          </w:tcPr>
          <w:p>
            <w:pPr>
              <w:keepNext w:val="0"/>
              <w:keepLines w:val="0"/>
              <w:widowControl/>
              <w:suppressLineNumbers w:val="0"/>
              <w:ind w:left="0" w:leftChars="0" w:right="0" w:rightChars="0"/>
              <w:jc w:val="left"/>
              <w:textAlignment w:val="center"/>
              <w:rPr>
                <w:rFonts w:hint="eastAsia" w:ascii="Times New Roman" w:hAnsi="Times New Roman" w:eastAsia="宋体" w:cs="宋体"/>
                <w:sz w:val="22"/>
                <w:szCs w:val="20"/>
                <w:highlight w:val="none"/>
                <w:lang w:val="zh-TW" w:eastAsia="zh-TW" w:bidi="ar-SA"/>
              </w:rPr>
            </w:pPr>
            <w:r>
              <w:rPr>
                <w:rFonts w:hint="eastAsia" w:ascii="宋体" w:hAnsi="宋体" w:eastAsia="宋体" w:cs="宋体"/>
                <w:i w:val="0"/>
                <w:iCs w:val="0"/>
                <w:color w:val="000000"/>
                <w:kern w:val="0"/>
                <w:sz w:val="22"/>
                <w:szCs w:val="22"/>
                <w:u w:val="none"/>
                <w:lang w:val="en-US" w:eastAsia="zh-CN" w:bidi="ar"/>
              </w:rPr>
              <w:t>根据投标人针对本项目提供的项目工作思路及技术路线进行评审：工作思路及技术路线清晰、可操作性强的 7-10 分；工作思路及技术路线基本清晰、可操作性较强的4-7分；工作思路及技术路线不清楚、可操作性差的2-4分；缺项不得分。</w:t>
            </w:r>
          </w:p>
        </w:tc>
        <w:tc>
          <w:tcPr>
            <w:tcW w:w="1038" w:type="dxa"/>
            <w:tcBorders>
              <w:top w:val="single" w:color="auto" w:sz="4" w:space="0"/>
              <w:left w:val="single" w:color="auto" w:sz="4" w:space="0"/>
              <w:right w:val="single" w:color="auto" w:sz="4" w:space="0"/>
            </w:tcBorders>
            <w:noWrap w:val="0"/>
            <w:vAlign w:val="center"/>
          </w:tcPr>
          <w:p>
            <w:pPr>
              <w:spacing w:line="300" w:lineRule="exact"/>
              <w:jc w:val="center"/>
              <w:rPr>
                <w:rFonts w:hint="eastAsia" w:ascii="Times New Roman" w:hAnsi="Times New Roman" w:eastAsia="宋体" w:cs="宋体"/>
                <w:b/>
                <w:sz w:val="22"/>
                <w:szCs w:val="22"/>
                <w:highlight w:val="none"/>
                <w:lang w:val="en-US" w:eastAsia="zh-CN"/>
              </w:rPr>
            </w:pPr>
            <w:r>
              <w:rPr>
                <w:rFonts w:hint="eastAsia" w:ascii="Times New Roman" w:hAnsi="Times New Roman" w:eastAsia="宋体" w:cs="宋体"/>
                <w:b/>
                <w:sz w:val="22"/>
                <w:szCs w:val="22"/>
                <w:highlight w:val="none"/>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eastAsia" w:ascii="宋体" w:eastAsia="宋体" w:cs="宋体"/>
                <w:b/>
                <w:kern w:val="2"/>
                <w:sz w:val="22"/>
                <w:highlight w:val="none"/>
                <w:lang w:val="en-US" w:eastAsia="zh-CN"/>
              </w:rPr>
            </w:pPr>
            <w:r>
              <w:rPr>
                <w:rFonts w:hint="eastAsia" w:ascii="宋体" w:cs="宋体"/>
                <w:b/>
                <w:kern w:val="2"/>
                <w:sz w:val="22"/>
                <w:highlight w:val="none"/>
                <w:lang w:val="en-US" w:eastAsia="zh-CN"/>
              </w:rPr>
              <w:t>7</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hAnsi="Times New Roman" w:eastAsia="宋体" w:cs="宋体"/>
                <w:b/>
                <w:kern w:val="2"/>
                <w:sz w:val="22"/>
                <w:highlight w:val="none"/>
                <w:lang w:val="en-US" w:eastAsia="zh-CN"/>
              </w:rPr>
            </w:pPr>
            <w:r>
              <w:rPr>
                <w:rFonts w:hint="eastAsia" w:ascii="宋体" w:hAnsi="Times New Roman" w:eastAsia="宋体" w:cs="宋体"/>
                <w:b/>
                <w:kern w:val="2"/>
                <w:sz w:val="22"/>
                <w:highlight w:val="none"/>
                <w:lang w:val="en-US" w:eastAsia="zh-CN"/>
              </w:rPr>
              <w:t>项目实施方案</w:t>
            </w:r>
            <w:r>
              <w:rPr>
                <w:rFonts w:hint="eastAsia" w:hAnsi="Times New Roman" w:cs="宋体"/>
                <w:b/>
                <w:kern w:val="2"/>
                <w:sz w:val="22"/>
                <w:highlight w:val="none"/>
                <w:lang w:val="en-US" w:eastAsia="zh-CN"/>
              </w:rPr>
              <w:t>（16分）</w:t>
            </w:r>
          </w:p>
        </w:tc>
        <w:tc>
          <w:tcPr>
            <w:tcW w:w="6262" w:type="dxa"/>
            <w:tcBorders>
              <w:top w:val="single" w:color="auto" w:sz="4" w:space="0"/>
              <w:left w:val="single" w:color="auto" w:sz="4" w:space="0"/>
              <w:right w:val="single" w:color="auto" w:sz="4" w:space="0"/>
            </w:tcBorders>
            <w:noWrap w:val="0"/>
            <w:vAlign w:val="center"/>
          </w:tcPr>
          <w:p>
            <w:pPr>
              <w:keepNext w:val="0"/>
              <w:keepLines w:val="0"/>
              <w:widowControl/>
              <w:suppressLineNumbers w:val="0"/>
              <w:ind w:left="0" w:leftChars="0" w:right="0" w:rightChars="0"/>
              <w:jc w:val="left"/>
              <w:textAlignment w:val="center"/>
              <w:rPr>
                <w:rFonts w:hint="eastAsia" w:ascii="Times New Roman" w:hAnsi="Times New Roman" w:eastAsia="宋体" w:cs="Times New Roman"/>
                <w:color w:val="auto"/>
                <w:sz w:val="21"/>
                <w:szCs w:val="21"/>
                <w:highlight w:val="none"/>
                <w:lang w:val="zh-TW" w:eastAsia="zh-TW" w:bidi="ar-SA"/>
              </w:rPr>
            </w:pPr>
            <w:r>
              <w:rPr>
                <w:rFonts w:hint="eastAsia" w:ascii="宋体" w:hAnsi="宋体" w:eastAsia="宋体" w:cs="宋体"/>
                <w:i w:val="0"/>
                <w:iCs w:val="0"/>
                <w:color w:val="000000"/>
                <w:kern w:val="0"/>
                <w:sz w:val="22"/>
                <w:szCs w:val="22"/>
                <w:u w:val="none"/>
                <w:lang w:val="en-US" w:eastAsia="zh-CN" w:bidi="ar"/>
              </w:rPr>
              <w:t>方案内容全面合理、条理性强，工作方案科学，针对性强，符合实际情况和招标文件提出的要求，具有很强的可操作性的得10-16分；方案较合理，基本符合实际情况和招标文件提出的要求的得6-10分；方案基本合理，基本符合实际情 况和招标文件提出的要求的得2-6分；缺项不得分。</w:t>
            </w:r>
          </w:p>
        </w:tc>
        <w:tc>
          <w:tcPr>
            <w:tcW w:w="1038" w:type="dxa"/>
            <w:tcBorders>
              <w:top w:val="single" w:color="auto" w:sz="4" w:space="0"/>
              <w:left w:val="single" w:color="auto" w:sz="4" w:space="0"/>
              <w:right w:val="single" w:color="auto" w:sz="4" w:space="0"/>
            </w:tcBorders>
            <w:noWrap w:val="0"/>
            <w:vAlign w:val="center"/>
          </w:tcPr>
          <w:p>
            <w:pPr>
              <w:spacing w:line="300" w:lineRule="exact"/>
              <w:jc w:val="center"/>
              <w:rPr>
                <w:rFonts w:hint="eastAsia" w:ascii="Times New Roman" w:hAnsi="Times New Roman" w:eastAsia="宋体" w:cs="宋体"/>
                <w:b/>
                <w:sz w:val="22"/>
                <w:szCs w:val="22"/>
                <w:highlight w:val="none"/>
                <w:lang w:val="en-US" w:eastAsia="zh-CN"/>
              </w:rPr>
            </w:pPr>
            <w:r>
              <w:rPr>
                <w:rFonts w:hint="eastAsia" w:ascii="Times New Roman" w:hAnsi="Times New Roman" w:eastAsia="宋体" w:cs="宋体"/>
                <w:b/>
                <w:sz w:val="22"/>
                <w:szCs w:val="22"/>
                <w:highlight w:val="none"/>
                <w:lang w:val="en-US" w:eastAsia="zh-CN"/>
              </w:rPr>
              <w:t>0-16分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cs="宋体"/>
                <w:b/>
                <w:kern w:val="2"/>
                <w:sz w:val="22"/>
                <w:highlight w:val="none"/>
                <w:lang w:val="en-US" w:eastAsia="zh-CN"/>
              </w:rPr>
              <w:t>8</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hAnsi="Times New Roman" w:eastAsia="宋体" w:cs="宋体"/>
                <w:b/>
                <w:kern w:val="2"/>
                <w:sz w:val="22"/>
                <w:highlight w:val="none"/>
                <w:lang w:val="en-US" w:eastAsia="zh-CN"/>
              </w:rPr>
            </w:pPr>
            <w:r>
              <w:rPr>
                <w:rFonts w:hint="eastAsia" w:ascii="宋体" w:hAnsi="Times New Roman" w:eastAsia="宋体" w:cs="宋体"/>
                <w:b/>
                <w:kern w:val="2"/>
                <w:sz w:val="22"/>
                <w:highlight w:val="none"/>
                <w:lang w:eastAsia="zh-CN"/>
              </w:rPr>
              <w:t>项目进度控制</w:t>
            </w:r>
            <w:r>
              <w:rPr>
                <w:rFonts w:hint="eastAsia" w:hAnsi="Times New Roman" w:cs="宋体"/>
                <w:b/>
                <w:kern w:val="2"/>
                <w:sz w:val="22"/>
                <w:highlight w:val="none"/>
                <w:lang w:val="en-US" w:eastAsia="zh-CN"/>
              </w:rPr>
              <w:t>（5分）</w:t>
            </w:r>
          </w:p>
        </w:tc>
        <w:tc>
          <w:tcPr>
            <w:tcW w:w="6262" w:type="dxa"/>
            <w:tcBorders>
              <w:top w:val="single" w:color="auto" w:sz="4" w:space="0"/>
              <w:left w:val="single" w:color="auto" w:sz="4" w:space="0"/>
              <w:right w:val="single" w:color="auto" w:sz="4" w:space="0"/>
            </w:tcBorders>
            <w:noWrap w:val="0"/>
            <w:vAlign w:val="center"/>
          </w:tcPr>
          <w:p>
            <w:pPr>
              <w:pStyle w:val="24"/>
              <w:shd w:val="clear" w:color="auto" w:fill="FFFFFF"/>
              <w:spacing w:before="0" w:beforeAutospacing="0" w:after="0" w:afterAutospacing="0" w:line="300" w:lineRule="exact"/>
              <w:jc w:val="left"/>
              <w:rPr>
                <w:rFonts w:hint="eastAsia" w:ascii="Times New Roman" w:hAnsi="Times New Roman" w:eastAsia="宋体" w:cs="宋体"/>
                <w:sz w:val="22"/>
                <w:szCs w:val="20"/>
                <w:highlight w:val="none"/>
                <w:lang w:val="zh-TW" w:eastAsia="zh-TW" w:bidi="ar-SA"/>
              </w:rPr>
            </w:pPr>
            <w:r>
              <w:rPr>
                <w:rFonts w:hint="eastAsia" w:ascii="Times New Roman" w:hAnsi="Times New Roman" w:eastAsia="宋体" w:cs="宋体"/>
                <w:sz w:val="22"/>
                <w:szCs w:val="20"/>
                <w:highlight w:val="none"/>
                <w:lang w:val="en-US" w:eastAsia="zh-CN" w:bidi="ar-SA"/>
              </w:rPr>
              <w:t>评委根据投标人针对本项目的具体进度实施方案（包括阶段划分、工作量、工期安排等）的合理详细性综合打分，由专家综合打分，最高</w:t>
            </w:r>
            <w:r>
              <w:rPr>
                <w:rFonts w:hint="eastAsia" w:ascii="Times New Roman" w:hAnsi="Times New Roman" w:cs="宋体"/>
                <w:sz w:val="22"/>
                <w:szCs w:val="20"/>
                <w:highlight w:val="none"/>
                <w:lang w:val="en-US" w:eastAsia="zh-CN" w:bidi="ar-SA"/>
              </w:rPr>
              <w:t>5</w:t>
            </w:r>
            <w:r>
              <w:rPr>
                <w:rFonts w:hint="eastAsia" w:ascii="Times New Roman" w:hAnsi="Times New Roman" w:eastAsia="宋体" w:cs="宋体"/>
                <w:sz w:val="22"/>
                <w:szCs w:val="20"/>
                <w:highlight w:val="none"/>
                <w:lang w:val="en-US" w:eastAsia="zh-CN" w:bidi="ar-SA"/>
              </w:rPr>
              <w:t>分。</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宋体"/>
                <w:b/>
                <w:sz w:val="22"/>
                <w:szCs w:val="22"/>
                <w:highlight w:val="none"/>
                <w:lang w:val="en-US" w:eastAsia="zh-CN"/>
              </w:rPr>
            </w:pPr>
            <w:r>
              <w:rPr>
                <w:rFonts w:hint="eastAsia" w:ascii="Times New Roman" w:hAnsi="Times New Roman" w:eastAsia="宋体" w:cs="宋体"/>
                <w:b/>
                <w:sz w:val="22"/>
                <w:szCs w:val="22"/>
                <w:highlight w:val="none"/>
                <w:lang w:val="en-US" w:eastAsia="zh-CN"/>
              </w:rPr>
              <w:t>0-</w:t>
            </w:r>
            <w:r>
              <w:rPr>
                <w:rFonts w:hint="eastAsia" w:cs="宋体"/>
                <w:b/>
                <w:sz w:val="22"/>
                <w:szCs w:val="22"/>
                <w:highlight w:val="none"/>
                <w:lang w:val="en-US" w:eastAsia="zh-CN"/>
              </w:rPr>
              <w:t>5</w:t>
            </w:r>
            <w:r>
              <w:rPr>
                <w:rFonts w:hint="eastAsia" w:ascii="Times New Roman" w:hAnsi="Times New Roman" w:eastAsia="宋体" w:cs="宋体"/>
                <w:b/>
                <w:sz w:val="22"/>
                <w:szCs w:val="22"/>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20" w:type="dxa"/>
            <w:tcBorders>
              <w:left w:val="single" w:color="auto" w:sz="4" w:space="0"/>
              <w:right w:val="single" w:color="auto" w:sz="4" w:space="0"/>
            </w:tcBorders>
            <w:noWrap w:val="0"/>
            <w:vAlign w:val="center"/>
          </w:tcPr>
          <w:p>
            <w:pPr>
              <w:snapToGrid w:val="0"/>
              <w:spacing w:line="320" w:lineRule="exact"/>
              <w:jc w:val="center"/>
              <w:rPr>
                <w:rFonts w:hint="default"/>
                <w:lang w:val="en-US" w:eastAsia="zh-CN"/>
              </w:rPr>
            </w:pPr>
            <w:r>
              <w:rPr>
                <w:rFonts w:hint="eastAsia"/>
                <w:lang w:val="en-US" w:eastAsia="zh-CN"/>
              </w:rPr>
              <w:t>9</w:t>
            </w:r>
          </w:p>
        </w:tc>
        <w:tc>
          <w:tcPr>
            <w:tcW w:w="1343" w:type="dxa"/>
            <w:tcBorders>
              <w:left w:val="single" w:color="auto" w:sz="4" w:space="0"/>
              <w:right w:val="single" w:color="auto" w:sz="4" w:space="0"/>
            </w:tcBorders>
            <w:noWrap w:val="0"/>
            <w:vAlign w:val="center"/>
          </w:tcPr>
          <w:p>
            <w:pPr>
              <w:snapToGrid w:val="0"/>
              <w:spacing w:line="320" w:lineRule="exact"/>
              <w:jc w:val="center"/>
              <w:rPr>
                <w:rFonts w:hint="eastAsia" w:ascii="宋体" w:hAnsi="Times New Roman" w:eastAsia="宋体" w:cs="宋体"/>
                <w:b/>
                <w:kern w:val="2"/>
                <w:sz w:val="22"/>
                <w:highlight w:val="none"/>
                <w:lang w:val="en-US" w:eastAsia="zh-CN"/>
              </w:rPr>
            </w:pPr>
            <w:r>
              <w:rPr>
                <w:rFonts w:hint="eastAsia" w:ascii="宋体" w:hAnsi="Times New Roman" w:eastAsia="宋体" w:cs="宋体"/>
                <w:b/>
                <w:kern w:val="2"/>
                <w:sz w:val="22"/>
                <w:highlight w:val="none"/>
                <w:lang w:eastAsia="zh-CN"/>
              </w:rPr>
              <w:t>项目质量控制</w:t>
            </w:r>
            <w:r>
              <w:rPr>
                <w:rFonts w:hint="eastAsia" w:hAnsi="Times New Roman" w:cs="宋体"/>
                <w:b/>
                <w:kern w:val="2"/>
                <w:sz w:val="22"/>
                <w:highlight w:val="none"/>
                <w:lang w:val="en-US" w:eastAsia="zh-CN"/>
              </w:rPr>
              <w:t>（5分）</w:t>
            </w:r>
          </w:p>
        </w:tc>
        <w:tc>
          <w:tcPr>
            <w:tcW w:w="6262" w:type="dxa"/>
            <w:tcBorders>
              <w:top w:val="single" w:color="auto" w:sz="4" w:space="0"/>
              <w:left w:val="single" w:color="auto" w:sz="4" w:space="0"/>
              <w:right w:val="single" w:color="auto" w:sz="4" w:space="0"/>
            </w:tcBorders>
            <w:noWrap w:val="0"/>
            <w:vAlign w:val="center"/>
          </w:tcPr>
          <w:p>
            <w:pPr>
              <w:pStyle w:val="24"/>
              <w:shd w:val="clear" w:color="auto" w:fill="FFFFFF"/>
              <w:spacing w:before="0" w:beforeAutospacing="0" w:after="0" w:afterAutospacing="0" w:line="300" w:lineRule="exact"/>
              <w:jc w:val="left"/>
              <w:rPr>
                <w:rFonts w:hint="eastAsia" w:ascii="Times New Roman" w:hAnsi="Times New Roman" w:eastAsia="宋体" w:cs="宋体"/>
                <w:sz w:val="22"/>
                <w:szCs w:val="20"/>
                <w:highlight w:val="none"/>
                <w:lang w:val="zh-TW" w:eastAsia="zh-TW" w:bidi="ar-SA"/>
              </w:rPr>
            </w:pPr>
            <w:r>
              <w:rPr>
                <w:rFonts w:hint="eastAsia" w:ascii="Times New Roman" w:hAnsi="Times New Roman" w:eastAsia="宋体" w:cs="宋体"/>
                <w:sz w:val="22"/>
                <w:szCs w:val="20"/>
                <w:highlight w:val="none"/>
                <w:lang w:val="en-US" w:eastAsia="zh-CN" w:bidi="ar-SA"/>
              </w:rPr>
              <w:t>根据各投标人人员安排、质量保证目标、质量保证措施的科学性、合理性等进行比较打分，由专家综合打分，最高</w:t>
            </w:r>
            <w:r>
              <w:rPr>
                <w:rFonts w:hint="eastAsia" w:ascii="Times New Roman" w:hAnsi="Times New Roman" w:cs="宋体"/>
                <w:sz w:val="22"/>
                <w:szCs w:val="20"/>
                <w:highlight w:val="none"/>
                <w:lang w:val="en-US" w:eastAsia="zh-CN" w:bidi="ar-SA"/>
              </w:rPr>
              <w:t>5</w:t>
            </w:r>
            <w:r>
              <w:rPr>
                <w:rFonts w:hint="eastAsia" w:ascii="Times New Roman" w:hAnsi="Times New Roman" w:eastAsia="宋体" w:cs="宋体"/>
                <w:sz w:val="22"/>
                <w:szCs w:val="20"/>
                <w:highlight w:val="none"/>
                <w:lang w:val="en-US" w:eastAsia="zh-CN" w:bidi="ar-SA"/>
              </w:rPr>
              <w:t>分。</w:t>
            </w:r>
          </w:p>
        </w:tc>
        <w:tc>
          <w:tcPr>
            <w:tcW w:w="1038" w:type="dxa"/>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宋体"/>
                <w:b/>
                <w:sz w:val="22"/>
                <w:szCs w:val="22"/>
                <w:highlight w:val="none"/>
                <w:lang w:val="en-US" w:eastAsia="zh-CN"/>
              </w:rPr>
            </w:pPr>
            <w:r>
              <w:rPr>
                <w:rFonts w:hint="eastAsia" w:ascii="Times New Roman" w:hAnsi="Times New Roman" w:eastAsia="宋体" w:cs="宋体"/>
                <w:b/>
                <w:sz w:val="22"/>
                <w:szCs w:val="22"/>
                <w:highlight w:val="none"/>
                <w:lang w:val="en-US" w:eastAsia="zh-CN"/>
              </w:rPr>
              <w:t>0-</w:t>
            </w:r>
            <w:r>
              <w:rPr>
                <w:rFonts w:hint="eastAsia" w:cs="宋体"/>
                <w:b/>
                <w:sz w:val="22"/>
                <w:szCs w:val="22"/>
                <w:highlight w:val="none"/>
                <w:lang w:val="en-US" w:eastAsia="zh-CN"/>
              </w:rPr>
              <w:t>5</w:t>
            </w:r>
            <w:r>
              <w:rPr>
                <w:rFonts w:hint="eastAsia" w:ascii="Times New Roman" w:hAnsi="Times New Roman" w:eastAsia="宋体" w:cs="宋体"/>
                <w:b/>
                <w:sz w:val="22"/>
                <w:szCs w:val="22"/>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20" w:type="dxa"/>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cs="宋体"/>
                <w:b/>
                <w:kern w:val="2"/>
                <w:sz w:val="22"/>
                <w:highlight w:val="none"/>
                <w:lang w:val="en-US" w:eastAsia="zh-CN"/>
              </w:rPr>
              <w:t>10</w:t>
            </w:r>
          </w:p>
        </w:tc>
        <w:tc>
          <w:tcPr>
            <w:tcW w:w="1343" w:type="dxa"/>
            <w:noWrap w:val="0"/>
            <w:vAlign w:val="center"/>
          </w:tcPr>
          <w:p>
            <w:pPr>
              <w:snapToGrid w:val="0"/>
              <w:spacing w:line="320" w:lineRule="exact"/>
              <w:jc w:val="center"/>
              <w:rPr>
                <w:rFonts w:hint="eastAsia" w:ascii="宋体" w:hAnsi="Times New Roman" w:eastAsia="宋体" w:cs="宋体"/>
                <w:b/>
                <w:kern w:val="2"/>
                <w:sz w:val="22"/>
                <w:highlight w:val="none"/>
                <w:lang w:val="en-US" w:eastAsia="zh-CN"/>
              </w:rPr>
            </w:pPr>
            <w:r>
              <w:rPr>
                <w:rFonts w:hint="eastAsia" w:ascii="宋体" w:hAnsi="Times New Roman" w:eastAsia="宋体" w:cs="宋体"/>
                <w:b/>
                <w:kern w:val="2"/>
                <w:sz w:val="22"/>
                <w:highlight w:val="none"/>
                <w:lang w:eastAsia="zh-CN"/>
              </w:rPr>
              <w:t>项目安全控制</w:t>
            </w:r>
            <w:r>
              <w:rPr>
                <w:rFonts w:hint="eastAsia" w:hAnsi="Times New Roman" w:cs="宋体"/>
                <w:b/>
                <w:kern w:val="2"/>
                <w:sz w:val="22"/>
                <w:highlight w:val="none"/>
                <w:lang w:val="en-US" w:eastAsia="zh-CN"/>
              </w:rPr>
              <w:t>（3分）</w:t>
            </w:r>
          </w:p>
        </w:tc>
        <w:tc>
          <w:tcPr>
            <w:tcW w:w="6262" w:type="dxa"/>
            <w:noWrap w:val="0"/>
            <w:vAlign w:val="center"/>
          </w:tcPr>
          <w:p>
            <w:pPr>
              <w:pStyle w:val="24"/>
              <w:shd w:val="clear" w:color="auto" w:fill="FFFFFF"/>
              <w:spacing w:before="0" w:beforeAutospacing="0" w:after="0" w:afterAutospacing="0" w:line="300" w:lineRule="exact"/>
              <w:jc w:val="left"/>
              <w:rPr>
                <w:rFonts w:hint="eastAsia" w:ascii="Times New Roman" w:hAnsi="Times New Roman" w:eastAsia="宋体" w:cs="宋体"/>
                <w:sz w:val="22"/>
                <w:szCs w:val="20"/>
                <w:highlight w:val="none"/>
                <w:lang w:val="en-US" w:eastAsia="zh-CN" w:bidi="ar-SA"/>
              </w:rPr>
            </w:pPr>
            <w:r>
              <w:rPr>
                <w:rFonts w:hint="eastAsia" w:ascii="Times New Roman" w:hAnsi="Times New Roman" w:eastAsia="宋体" w:cs="宋体"/>
                <w:sz w:val="22"/>
                <w:szCs w:val="20"/>
                <w:highlight w:val="none"/>
                <w:lang w:val="en-US" w:eastAsia="zh-CN" w:bidi="ar-SA"/>
              </w:rPr>
              <w:t>根据投标人为保证本项目服务过程中的安全保障措施：项目特点分析全面，风险评估详细，对于项目</w:t>
            </w:r>
            <w:r>
              <w:rPr>
                <w:rFonts w:hint="eastAsia" w:ascii="Times New Roman" w:hAnsi="Times New Roman" w:cs="宋体"/>
                <w:sz w:val="22"/>
                <w:szCs w:val="20"/>
                <w:highlight w:val="none"/>
                <w:lang w:val="en-US" w:eastAsia="zh-CN" w:bidi="ar-SA"/>
              </w:rPr>
              <w:t>实施</w:t>
            </w:r>
            <w:r>
              <w:rPr>
                <w:rFonts w:hint="eastAsia" w:ascii="Times New Roman" w:hAnsi="Times New Roman" w:eastAsia="宋体" w:cs="宋体"/>
                <w:sz w:val="22"/>
                <w:szCs w:val="20"/>
                <w:highlight w:val="none"/>
                <w:lang w:val="en-US" w:eastAsia="zh-CN" w:bidi="ar-SA"/>
              </w:rPr>
              <w:t>过程中影响人员人身安全和项目安全的风险点的重点考虑，风险控制措施合理性，由专家综合打分，最高3分。</w:t>
            </w:r>
          </w:p>
        </w:tc>
        <w:tc>
          <w:tcPr>
            <w:tcW w:w="1038" w:type="dxa"/>
            <w:noWrap w:val="0"/>
            <w:vAlign w:val="center"/>
          </w:tcPr>
          <w:p>
            <w:pPr>
              <w:spacing w:line="300" w:lineRule="exact"/>
              <w:jc w:val="center"/>
              <w:rPr>
                <w:rFonts w:hint="eastAsia" w:ascii="宋体" w:hAnsi="宋体"/>
                <w:bCs/>
                <w:color w:val="auto"/>
                <w:sz w:val="18"/>
                <w:lang w:val="en-US" w:eastAsia="zh-CN" w:bidi="ar-SA"/>
              </w:rPr>
            </w:pPr>
            <w:r>
              <w:rPr>
                <w:rFonts w:hint="eastAsia" w:ascii="Times New Roman" w:hAnsi="Times New Roman" w:eastAsia="宋体" w:cs="宋体"/>
                <w:b/>
                <w:sz w:val="22"/>
                <w:szCs w:val="22"/>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20" w:type="dxa"/>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cs="宋体"/>
                <w:b/>
                <w:kern w:val="2"/>
                <w:sz w:val="22"/>
                <w:highlight w:val="none"/>
                <w:lang w:val="en-US" w:eastAsia="zh-CN"/>
              </w:rPr>
              <w:t>11</w:t>
            </w:r>
          </w:p>
        </w:tc>
        <w:tc>
          <w:tcPr>
            <w:tcW w:w="1343" w:type="dxa"/>
            <w:noWrap w:val="0"/>
            <w:vAlign w:val="center"/>
          </w:tcPr>
          <w:p>
            <w:pPr>
              <w:keepNext w:val="0"/>
              <w:keepLines w:val="0"/>
              <w:widowControl/>
              <w:suppressLineNumbers w:val="0"/>
              <w:ind w:left="0" w:leftChars="0" w:right="0" w:rightChars="0"/>
              <w:jc w:val="center"/>
              <w:textAlignment w:val="center"/>
              <w:rPr>
                <w:rFonts w:hint="eastAsia" w:ascii="仿宋" w:hAnsi="仿宋" w:eastAsia="仿宋" w:cs="宋体"/>
                <w:b w:val="0"/>
                <w:color w:val="auto"/>
                <w:kern w:val="2"/>
                <w:sz w:val="22"/>
                <w:szCs w:val="22"/>
                <w:lang w:val="en-US" w:eastAsia="zh-CN" w:bidi="ar-SA"/>
              </w:rPr>
            </w:pPr>
            <w:r>
              <w:rPr>
                <w:rFonts w:hint="eastAsia" w:ascii="宋体" w:hAnsi="Times New Roman" w:eastAsia="宋体" w:cs="宋体"/>
                <w:b/>
                <w:kern w:val="2"/>
                <w:sz w:val="22"/>
                <w:highlight w:val="none"/>
                <w:lang w:val="en-US" w:eastAsia="zh-CN"/>
              </w:rPr>
              <w:t>售后服务</w:t>
            </w:r>
            <w:r>
              <w:rPr>
                <w:rFonts w:hint="eastAsia" w:hAnsi="Times New Roman" w:cs="宋体"/>
                <w:b/>
                <w:kern w:val="2"/>
                <w:sz w:val="22"/>
                <w:highlight w:val="none"/>
                <w:lang w:val="en-US" w:eastAsia="zh-CN"/>
              </w:rPr>
              <w:t>（4分）</w:t>
            </w:r>
          </w:p>
        </w:tc>
        <w:tc>
          <w:tcPr>
            <w:tcW w:w="6262" w:type="dxa"/>
            <w:noWrap w:val="0"/>
            <w:vAlign w:val="center"/>
          </w:tcPr>
          <w:p>
            <w:pPr>
              <w:spacing w:line="300" w:lineRule="exact"/>
              <w:jc w:val="left"/>
              <w:rPr>
                <w:rFonts w:hint="eastAsia" w:ascii="Times New Roman" w:hAnsi="Times New Roman" w:eastAsia="宋体" w:cs="宋体"/>
                <w:b w:val="0"/>
                <w:bCs/>
                <w:sz w:val="22"/>
                <w:szCs w:val="22"/>
                <w:highlight w:val="none"/>
                <w:lang w:val="en-US" w:eastAsia="zh-CN"/>
              </w:rPr>
            </w:pPr>
            <w:r>
              <w:rPr>
                <w:rFonts w:hint="eastAsia" w:ascii="Times New Roman" w:hAnsi="Times New Roman" w:eastAsia="宋体" w:cs="宋体"/>
                <w:b w:val="0"/>
                <w:bCs/>
                <w:sz w:val="22"/>
                <w:szCs w:val="22"/>
                <w:highlight w:val="none"/>
                <w:lang w:val="en-US" w:eastAsia="zh-CN"/>
              </w:rPr>
              <w:t>服务响应是否及时，响应时间（到达兰溪城区）小于 3（含）小时的，得4分；响应时间（到达兰溪城区）在 3（不含） -5（含）小时的，得2分；响应时间（到达兰溪城区）在5（不含）-6（含）小时的，得1分；超过6小时的不得分。</w:t>
            </w:r>
          </w:p>
        </w:tc>
        <w:tc>
          <w:tcPr>
            <w:tcW w:w="1038" w:type="dxa"/>
            <w:noWrap w:val="0"/>
            <w:vAlign w:val="center"/>
          </w:tcPr>
          <w:p>
            <w:pPr>
              <w:spacing w:line="300" w:lineRule="exact"/>
              <w:jc w:val="center"/>
              <w:rPr>
                <w:rFonts w:hint="eastAsia" w:ascii="Times New Roman" w:hAnsi="Times New Roman" w:eastAsia="宋体" w:cs="宋体"/>
                <w:b w:val="0"/>
                <w:bCs/>
                <w:sz w:val="22"/>
                <w:szCs w:val="22"/>
                <w:highlight w:val="none"/>
                <w:lang w:val="en-US" w:eastAsia="zh-CN"/>
              </w:rPr>
            </w:pPr>
            <w:r>
              <w:rPr>
                <w:rFonts w:hint="eastAsia" w:ascii="Times New Roman" w:hAnsi="Times New Roman" w:eastAsia="宋体" w:cs="宋体"/>
                <w:b/>
                <w:sz w:val="22"/>
                <w:szCs w:val="22"/>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20" w:type="dxa"/>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cs="宋体"/>
                <w:b/>
                <w:kern w:val="2"/>
                <w:sz w:val="22"/>
                <w:highlight w:val="none"/>
                <w:lang w:val="en-US" w:eastAsia="zh-CN"/>
              </w:rPr>
              <w:t>12</w:t>
            </w:r>
          </w:p>
        </w:tc>
        <w:tc>
          <w:tcPr>
            <w:tcW w:w="1343" w:type="dxa"/>
            <w:noWrap w:val="0"/>
            <w:vAlign w:val="center"/>
          </w:tcPr>
          <w:p>
            <w:pPr>
              <w:snapToGrid w:val="0"/>
              <w:spacing w:line="320" w:lineRule="exact"/>
              <w:jc w:val="center"/>
              <w:rPr>
                <w:rFonts w:hint="eastAsia" w:ascii="宋体" w:hAnsi="Times New Roman" w:eastAsia="宋体" w:cs="宋体"/>
                <w:b/>
                <w:kern w:val="2"/>
                <w:sz w:val="22"/>
                <w:highlight w:val="none"/>
                <w:lang w:val="en-US" w:eastAsia="zh-CN" w:bidi="ar-SA"/>
              </w:rPr>
            </w:pPr>
            <w:r>
              <w:rPr>
                <w:rFonts w:hint="eastAsia" w:ascii="宋体" w:hAnsi="Times New Roman" w:eastAsia="宋体" w:cs="宋体"/>
                <w:b/>
                <w:kern w:val="2"/>
                <w:sz w:val="22"/>
                <w:highlight w:val="none"/>
                <w:lang w:val="en-US" w:eastAsia="zh-CN" w:bidi="ar-SA"/>
              </w:rPr>
              <w:t>培训</w:t>
            </w:r>
          </w:p>
          <w:p>
            <w:pPr>
              <w:snapToGrid w:val="0"/>
              <w:spacing w:line="320" w:lineRule="exact"/>
              <w:jc w:val="center"/>
              <w:rPr>
                <w:rFonts w:hint="eastAsia" w:ascii="宋体" w:hAnsi="Times New Roman" w:eastAsia="宋体" w:cs="宋体"/>
                <w:b/>
                <w:kern w:val="2"/>
                <w:sz w:val="22"/>
                <w:highlight w:val="none"/>
                <w:lang w:val="en-US" w:eastAsia="zh-CN" w:bidi="ar-SA"/>
              </w:rPr>
            </w:pPr>
            <w:r>
              <w:rPr>
                <w:rFonts w:hint="eastAsia" w:hAnsi="Times New Roman" w:cs="宋体"/>
                <w:b/>
                <w:kern w:val="2"/>
                <w:sz w:val="22"/>
                <w:highlight w:val="none"/>
                <w:lang w:val="en-US" w:eastAsia="zh-CN"/>
              </w:rPr>
              <w:t>（3分）</w:t>
            </w:r>
          </w:p>
        </w:tc>
        <w:tc>
          <w:tcPr>
            <w:tcW w:w="6262" w:type="dxa"/>
            <w:noWrap w:val="0"/>
            <w:vAlign w:val="center"/>
          </w:tcPr>
          <w:p>
            <w:pPr>
              <w:pStyle w:val="21"/>
              <w:spacing w:line="268" w:lineRule="exact"/>
              <w:ind w:left="107" w:leftChars="0"/>
              <w:jc w:val="left"/>
              <w:rPr>
                <w:rFonts w:hint="default" w:ascii="Times New Roman" w:hAnsi="Times New Roman" w:eastAsia="宋体"/>
                <w:spacing w:val="0"/>
                <w:sz w:val="22"/>
                <w:highlight w:val="none"/>
                <w:lang w:val="en-US" w:eastAsia="zh-CN" w:bidi="ar-SA"/>
              </w:rPr>
            </w:pPr>
            <w:r>
              <w:rPr>
                <w:rFonts w:hint="eastAsia" w:ascii="Times New Roman" w:hAnsi="Times New Roman"/>
                <w:spacing w:val="0"/>
                <w:sz w:val="22"/>
                <w:highlight w:val="none"/>
                <w:lang w:val="en-US" w:eastAsia="zh-CN" w:bidi="ar-SA"/>
              </w:rPr>
              <w:t>根据培训方案、计划的可操作性、可行性、完整性等情况进行综合评分，0-3分。</w:t>
            </w:r>
          </w:p>
        </w:tc>
        <w:tc>
          <w:tcPr>
            <w:tcW w:w="1038" w:type="dxa"/>
            <w:noWrap w:val="0"/>
            <w:vAlign w:val="center"/>
          </w:tcPr>
          <w:p>
            <w:pPr>
              <w:pStyle w:val="21"/>
              <w:ind w:left="50" w:leftChars="0" w:right="41" w:rightChars="0"/>
              <w:jc w:val="center"/>
              <w:rPr>
                <w:rFonts w:hint="eastAsia" w:ascii="Times New Roman" w:hAnsi="Times New Roman"/>
                <w:b/>
                <w:sz w:val="22"/>
                <w:szCs w:val="22"/>
                <w:highlight w:val="none"/>
                <w:lang w:val="en-US" w:bidi="ar-SA"/>
              </w:rPr>
            </w:pPr>
            <w:r>
              <w:rPr>
                <w:rFonts w:hint="eastAsia" w:ascii="Times New Roman" w:hAnsi="Times New Roman" w:eastAsia="宋体" w:cs="宋体"/>
                <w:b/>
                <w:sz w:val="22"/>
                <w:szCs w:val="22"/>
                <w:highlight w:val="none"/>
                <w:lang w:val="en-US" w:eastAsia="zh-CN"/>
              </w:rPr>
              <w:t>0-</w:t>
            </w:r>
            <w:r>
              <w:rPr>
                <w:rFonts w:hint="eastAsia" w:ascii="Times New Roman" w:hAnsi="Times New Roman" w:cs="宋体"/>
                <w:b/>
                <w:sz w:val="22"/>
                <w:szCs w:val="22"/>
                <w:highlight w:val="none"/>
                <w:lang w:val="en-US" w:eastAsia="zh-CN"/>
              </w:rPr>
              <w:t>3</w:t>
            </w:r>
            <w:r>
              <w:rPr>
                <w:rFonts w:hint="eastAsia" w:ascii="Times New Roman" w:hAnsi="Times New Roman" w:eastAsia="宋体" w:cs="宋体"/>
                <w:b/>
                <w:sz w:val="22"/>
                <w:szCs w:val="22"/>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20" w:type="dxa"/>
            <w:noWrap w:val="0"/>
            <w:vAlign w:val="center"/>
          </w:tcPr>
          <w:p>
            <w:pPr>
              <w:snapToGrid w:val="0"/>
              <w:spacing w:line="320" w:lineRule="exact"/>
              <w:jc w:val="center"/>
              <w:rPr>
                <w:rFonts w:hint="default" w:ascii="宋体" w:eastAsia="宋体" w:cs="宋体"/>
                <w:b/>
                <w:kern w:val="2"/>
                <w:sz w:val="22"/>
                <w:highlight w:val="none"/>
                <w:lang w:val="en-US" w:eastAsia="zh-CN"/>
              </w:rPr>
            </w:pPr>
            <w:r>
              <w:rPr>
                <w:rFonts w:hint="eastAsia" w:ascii="宋体" w:cs="宋体"/>
                <w:b/>
                <w:kern w:val="2"/>
                <w:sz w:val="22"/>
                <w:highlight w:val="none"/>
                <w:lang w:val="en-US" w:eastAsia="zh-CN"/>
              </w:rPr>
              <w:t>13</w:t>
            </w:r>
          </w:p>
        </w:tc>
        <w:tc>
          <w:tcPr>
            <w:tcW w:w="1343" w:type="dxa"/>
            <w:noWrap w:val="0"/>
            <w:vAlign w:val="center"/>
          </w:tcPr>
          <w:p>
            <w:pPr>
              <w:snapToGrid w:val="0"/>
              <w:spacing w:line="320" w:lineRule="exact"/>
              <w:jc w:val="center"/>
              <w:rPr>
                <w:rFonts w:hint="eastAsia" w:ascii="Times New Roman" w:hAnsi="Times New Roman"/>
                <w:b w:val="0"/>
                <w:sz w:val="22"/>
                <w:highlight w:val="none"/>
                <w:lang w:val="en-US" w:bidi="ar-SA"/>
              </w:rPr>
            </w:pPr>
          </w:p>
          <w:p>
            <w:pPr>
              <w:snapToGrid w:val="0"/>
              <w:spacing w:line="320" w:lineRule="exact"/>
              <w:jc w:val="center"/>
              <w:rPr>
                <w:rFonts w:hint="eastAsia" w:ascii="Times New Roman" w:hAnsi="Times New Roman"/>
                <w:b w:val="0"/>
                <w:sz w:val="22"/>
                <w:highlight w:val="none"/>
                <w:lang w:val="en-US" w:bidi="ar-SA"/>
              </w:rPr>
            </w:pPr>
          </w:p>
          <w:p>
            <w:pPr>
              <w:jc w:val="center"/>
              <w:rPr>
                <w:rFonts w:hint="eastAsia" w:ascii="宋体" w:hAnsi="Times New Roman" w:eastAsia="宋体" w:cs="宋体"/>
                <w:b/>
                <w:kern w:val="2"/>
                <w:sz w:val="22"/>
                <w:highlight w:val="none"/>
                <w:lang w:val="en-US" w:bidi="ar-SA"/>
              </w:rPr>
            </w:pPr>
            <w:r>
              <w:rPr>
                <w:rFonts w:hint="eastAsia" w:ascii="宋体" w:hAnsi="Times New Roman" w:eastAsia="宋体" w:cs="宋体"/>
                <w:b/>
                <w:kern w:val="2"/>
                <w:sz w:val="22"/>
                <w:highlight w:val="none"/>
                <w:lang w:val="en-US" w:bidi="ar-SA"/>
              </w:rPr>
              <w:t>政策分</w:t>
            </w:r>
          </w:p>
          <w:p>
            <w:pPr>
              <w:jc w:val="center"/>
            </w:pPr>
            <w:r>
              <w:rPr>
                <w:rFonts w:hint="eastAsia" w:hAnsi="Times New Roman" w:cs="宋体"/>
                <w:b/>
                <w:kern w:val="2"/>
                <w:sz w:val="22"/>
                <w:highlight w:val="none"/>
                <w:lang w:val="en-US" w:eastAsia="zh-CN"/>
              </w:rPr>
              <w:t>（2分）</w:t>
            </w:r>
          </w:p>
          <w:p>
            <w:pPr>
              <w:snapToGrid w:val="0"/>
              <w:spacing w:before="43" w:line="320" w:lineRule="exact"/>
              <w:ind w:left="480" w:leftChars="0"/>
              <w:jc w:val="center"/>
              <w:rPr>
                <w:rFonts w:hint="eastAsia" w:ascii="Times New Roman" w:hAnsi="Times New Roman" w:eastAsia="宋体" w:cs="宋体"/>
                <w:b w:val="0"/>
                <w:kern w:val="0"/>
                <w:sz w:val="22"/>
                <w:highlight w:val="none"/>
                <w:lang w:val="en-US" w:eastAsia="zh-CN" w:bidi="ar-SA"/>
              </w:rPr>
            </w:pPr>
          </w:p>
        </w:tc>
        <w:tc>
          <w:tcPr>
            <w:tcW w:w="6262" w:type="dxa"/>
            <w:noWrap w:val="0"/>
            <w:vAlign w:val="center"/>
          </w:tcPr>
          <w:p>
            <w:pPr>
              <w:pStyle w:val="21"/>
              <w:spacing w:before="21" w:line="278" w:lineRule="auto"/>
              <w:ind w:left="107" w:leftChars="0" w:right="95"/>
              <w:jc w:val="left"/>
              <w:rPr>
                <w:rFonts w:hint="eastAsia" w:ascii="Times New Roman" w:hAnsi="Times New Roman" w:eastAsia="宋体" w:cs="宋体"/>
                <w:sz w:val="22"/>
                <w:szCs w:val="20"/>
                <w:highlight w:val="none"/>
                <w:lang w:val="en-US" w:eastAsia="zh-CN" w:bidi="ar-SA"/>
              </w:rPr>
            </w:pPr>
            <w:r>
              <w:rPr>
                <w:rFonts w:hint="eastAsia" w:ascii="Times New Roman" w:hAnsi="Times New Roman"/>
                <w:spacing w:val="0"/>
                <w:w w:val="100"/>
                <w:sz w:val="22"/>
                <w:highlight w:val="none"/>
                <w:lang w:val="en-US" w:bidi="ar-SA"/>
              </w:rPr>
              <w:t>投标人或投标产品符合《政府采购货物和服务招标投标管理 办法》第五条规定，属“节约能源、保护环境、扶持不发达地区和少数民族地区等”政府采购政策扶持对象的（注：“促</w:t>
            </w:r>
            <w:r>
              <w:rPr>
                <w:rFonts w:hint="eastAsia" w:ascii="Times New Roman" w:hAnsi="Times New Roman"/>
                <w:w w:val="100"/>
                <w:sz w:val="22"/>
                <w:highlight w:val="none"/>
                <w:lang w:val="en-US" w:bidi="ar-SA"/>
              </w:rPr>
              <w:t>进</w:t>
            </w:r>
            <w:r>
              <w:rPr>
                <w:rFonts w:hint="eastAsia" w:ascii="Times New Roman" w:hAnsi="Times New Roman"/>
                <w:spacing w:val="0"/>
                <w:w w:val="100"/>
                <w:sz w:val="22"/>
                <w:highlight w:val="none"/>
                <w:lang w:val="en-US" w:bidi="ar-SA"/>
              </w:rPr>
              <w:t>中小企业发展”政府采购政策评审时将在“价格分”中进 行政策性价格扣除，此处不予以计分），</w:t>
            </w:r>
            <w:r>
              <w:rPr>
                <w:rFonts w:hint="eastAsia" w:ascii="Times New Roman" w:hAnsi="Times New Roman"/>
                <w:w w:val="100"/>
                <w:sz w:val="22"/>
                <w:highlight w:val="none"/>
                <w:lang w:val="en-US" w:bidi="ar-SA"/>
              </w:rPr>
              <w:t>提供相关证明材料</w:t>
            </w:r>
            <w:r>
              <w:rPr>
                <w:rFonts w:hint="eastAsia" w:ascii="Times New Roman" w:hAnsi="Times New Roman"/>
                <w:spacing w:val="0"/>
                <w:sz w:val="22"/>
                <w:highlight w:val="none"/>
                <w:lang w:val="en-US" w:bidi="ar-SA"/>
              </w:rPr>
              <w:t xml:space="preserve">和政策依据，符合的得 </w:t>
            </w:r>
            <w:r>
              <w:rPr>
                <w:rFonts w:hint="eastAsia" w:ascii="Times New Roman" w:hAnsi="Times New Roman"/>
                <w:sz w:val="22"/>
                <w:highlight w:val="none"/>
                <w:lang w:val="en-US" w:eastAsia="zh-CN" w:bidi="ar-SA"/>
              </w:rPr>
              <w:t>2</w:t>
            </w:r>
            <w:r>
              <w:rPr>
                <w:rFonts w:hint="eastAsia" w:ascii="Times New Roman" w:hAnsi="Times New Roman"/>
                <w:spacing w:val="0"/>
                <w:sz w:val="22"/>
                <w:highlight w:val="none"/>
                <w:lang w:val="en-US" w:bidi="ar-SA"/>
              </w:rPr>
              <w:t xml:space="preserve"> 分；未提供相关证明材料的不得分。</w:t>
            </w:r>
          </w:p>
        </w:tc>
        <w:tc>
          <w:tcPr>
            <w:tcW w:w="1038" w:type="dxa"/>
            <w:noWrap w:val="0"/>
            <w:vAlign w:val="center"/>
          </w:tcPr>
          <w:p>
            <w:pPr>
              <w:pStyle w:val="21"/>
              <w:ind w:left="50" w:leftChars="0" w:right="41" w:rightChars="0"/>
              <w:jc w:val="center"/>
              <w:rPr>
                <w:rFonts w:hint="eastAsia" w:ascii="Times New Roman" w:hAnsi="Times New Roman" w:eastAsia="宋体" w:cs="宋体"/>
                <w:b w:val="0"/>
                <w:sz w:val="22"/>
                <w:szCs w:val="20"/>
                <w:highlight w:val="none"/>
                <w:lang w:val="en-US" w:eastAsia="zh-CN" w:bidi="ar-SA"/>
              </w:rPr>
            </w:pPr>
            <w:r>
              <w:rPr>
                <w:rFonts w:hint="eastAsia" w:ascii="Times New Roman" w:hAnsi="Times New Roman"/>
                <w:b/>
                <w:sz w:val="22"/>
                <w:szCs w:val="22"/>
                <w:highlight w:val="none"/>
                <w:lang w:val="en-US" w:bidi="ar-SA"/>
              </w:rPr>
              <w:t>0-</w:t>
            </w:r>
            <w:r>
              <w:rPr>
                <w:rFonts w:hint="eastAsia" w:ascii="Times New Roman" w:hAnsi="Times New Roman"/>
                <w:b/>
                <w:sz w:val="22"/>
                <w:szCs w:val="22"/>
                <w:highlight w:val="none"/>
                <w:lang w:val="en-US" w:eastAsia="zh-CN" w:bidi="ar-SA"/>
              </w:rPr>
              <w:t>2</w:t>
            </w:r>
            <w:r>
              <w:rPr>
                <w:rFonts w:hint="eastAsia" w:ascii="Times New Roman" w:hAnsi="Times New Roman"/>
                <w:b/>
                <w:sz w:val="22"/>
                <w:szCs w:val="22"/>
                <w:highlight w:val="none"/>
                <w:lang w:val="en-US" w:bidi="ar-SA"/>
              </w:rPr>
              <w:t>分</w:t>
            </w:r>
          </w:p>
        </w:tc>
      </w:tr>
    </w:tbl>
    <w:p>
      <w:pPr>
        <w:spacing w:after="0"/>
        <w:jc w:val="center"/>
        <w:rPr>
          <w:sz w:val="21"/>
        </w:rPr>
        <w:sectPr>
          <w:pgSz w:w="11910" w:h="16840"/>
          <w:pgMar w:top="1360" w:right="920" w:bottom="1040" w:left="1200" w:header="0" w:footer="852" w:gutter="0"/>
          <w:cols w:space="720" w:num="1"/>
        </w:sectPr>
      </w:pPr>
    </w:p>
    <w:p>
      <w:pPr>
        <w:pStyle w:val="8"/>
        <w:spacing w:before="110"/>
        <w:jc w:val="both"/>
      </w:pPr>
      <w:r>
        <w:t xml:space="preserve">2、价格分（满分为 </w:t>
      </w:r>
      <w:r>
        <w:rPr>
          <w:rFonts w:hint="eastAsia"/>
          <w:lang w:val="en-US" w:eastAsia="zh-CN"/>
        </w:rPr>
        <w:t>2</w:t>
      </w:r>
      <w:r>
        <w:t>0 分）</w:t>
      </w:r>
    </w:p>
    <w:p>
      <w:pPr>
        <w:pStyle w:val="10"/>
        <w:spacing w:before="131" w:line="357" w:lineRule="auto"/>
        <w:ind w:left="218" w:right="596" w:firstLine="420"/>
        <w:jc w:val="both"/>
        <w:rPr>
          <w:rFonts w:ascii="宋体" w:hAnsi="宋体" w:eastAsia="宋体" w:cs="宋体"/>
          <w:spacing w:val="-6"/>
        </w:rPr>
      </w:pPr>
      <w:r>
        <w:rPr>
          <w:rFonts w:ascii="宋体" w:hAnsi="宋体" w:eastAsia="宋体" w:cs="宋体"/>
          <w:spacing w:val="-6"/>
        </w:rPr>
        <w:t>价格标的开启：技术商务入围投标人确定后，将开启合格投标人的价格标，公开宣读并由投标</w:t>
      </w:r>
      <w:r>
        <w:rPr>
          <w:rFonts w:ascii="宋体" w:hAnsi="宋体" w:eastAsia="宋体" w:cs="宋体"/>
          <w:spacing w:val="-6"/>
          <w:w w:val="100"/>
        </w:rPr>
        <w:t xml:space="preserve">人确认。对没有合格的投标人价格标将不予开启。价格分采用低价优先法计算，取所有有效投标人   中投标价格最低的投标报价（或政策功能扣除后的评标价格）为评标基准价，其他投标人的价格分按   </w:t>
      </w:r>
      <w:r>
        <w:rPr>
          <w:rFonts w:ascii="宋体" w:hAnsi="宋体" w:eastAsia="宋体" w:cs="宋体"/>
          <w:spacing w:val="-6"/>
        </w:rPr>
        <w:t>照下列公式计算：</w:t>
      </w:r>
    </w:p>
    <w:p>
      <w:pPr>
        <w:pStyle w:val="8"/>
        <w:spacing w:before="50"/>
        <w:ind w:left="638"/>
      </w:pPr>
      <w:r>
        <w:t>价格分=[评标基准价/投标报价（或政策功能扣除后的评标价格）]×</w:t>
      </w:r>
      <w:r>
        <w:rPr>
          <w:rFonts w:hint="eastAsia"/>
          <w:lang w:val="en-US" w:eastAsia="zh-CN"/>
        </w:rPr>
        <w:t>20</w:t>
      </w:r>
      <w:r>
        <w:t>%×100</w:t>
      </w:r>
    </w:p>
    <w:p>
      <w:pPr>
        <w:pStyle w:val="8"/>
        <w:spacing w:before="130"/>
        <w:ind w:left="638"/>
      </w:pPr>
      <w:r>
        <w:t>注：1、 根据财政部工业和信息化部关于印发《政府采购促进中小企业发展管理办法》的通知</w:t>
      </w:r>
    </w:p>
    <w:p>
      <w:pPr>
        <w:pStyle w:val="8"/>
        <w:spacing w:before="131" w:line="357" w:lineRule="auto"/>
        <w:ind w:right="570"/>
        <w:jc w:val="both"/>
      </w:pPr>
      <w:r>
        <w:rPr>
          <w:spacing w:val="4"/>
        </w:rPr>
        <w:t>（财库〔</w:t>
      </w:r>
      <w:r>
        <w:t>2020</w:t>
      </w:r>
      <w:r>
        <w:rPr>
          <w:spacing w:val="4"/>
        </w:rPr>
        <w:t>〕</w:t>
      </w:r>
      <w:r>
        <w:t>46</w:t>
      </w:r>
      <w:r>
        <w:rPr>
          <w:spacing w:val="-12"/>
        </w:rPr>
        <w:t xml:space="preserve"> 号</w:t>
      </w:r>
      <w:r>
        <w:rPr>
          <w:spacing w:val="7"/>
        </w:rPr>
        <w:t>）</w:t>
      </w:r>
      <w:r>
        <w:rPr>
          <w:spacing w:val="1"/>
        </w:rPr>
        <w:t>规定，对小型和微型企业</w:t>
      </w:r>
      <w:r>
        <w:rPr>
          <w:rFonts w:ascii="宋体" w:hAnsi="宋体" w:eastAsia="宋体" w:cs="宋体"/>
          <w:spacing w:val="0"/>
        </w:rPr>
        <w:t>服务的价格给予 6%扣除，用扣除后的价格参与</w:t>
      </w:r>
      <w:r>
        <w:rPr>
          <w:rFonts w:ascii="宋体" w:hAnsi="宋体" w:eastAsia="宋体" w:cs="宋体"/>
          <w:spacing w:val="0"/>
          <w:w w:val="100"/>
        </w:rPr>
        <w:t>评审</w:t>
      </w:r>
      <w:r>
        <w:rPr>
          <w:rFonts w:ascii="宋体" w:hAnsi="宋体" w:eastAsia="宋体" w:cs="宋体"/>
          <w:w w:val="100"/>
        </w:rPr>
        <w:t>（</w:t>
      </w:r>
      <w:r>
        <w:rPr>
          <w:rFonts w:ascii="宋体" w:hAnsi="宋体" w:eastAsia="宋体" w:cs="宋体"/>
          <w:spacing w:val="0"/>
          <w:w w:val="100"/>
        </w:rPr>
        <w:t>需主动提供中小企业声明函，否则不予扣）。监狱企业提供由省级以上监狱管理局、戒毒管理局</w:t>
      </w:r>
      <w:r>
        <w:rPr>
          <w:rFonts w:ascii="宋体" w:hAnsi="宋体" w:eastAsia="宋体" w:cs="宋体"/>
          <w:w w:val="100"/>
        </w:rPr>
        <w:t>（含新疆生产建设兵团</w:t>
      </w:r>
      <w:r>
        <w:rPr>
          <w:rFonts w:ascii="宋体" w:hAnsi="宋体" w:eastAsia="宋体" w:cs="宋体"/>
          <w:spacing w:val="0"/>
          <w:w w:val="100"/>
        </w:rPr>
        <w:t>）出具的监狱企业的证明文件视同小微企业，残疾人福利性企业提供《残</w:t>
      </w:r>
      <w:r>
        <w:rPr>
          <w:rFonts w:ascii="宋体" w:hAnsi="宋体" w:eastAsia="宋体" w:cs="宋体"/>
          <w:spacing w:val="0"/>
        </w:rPr>
        <w:t>疾人福利性单位声明函》的视同小微企业，同样享受上述优惠扣</w:t>
      </w:r>
      <w:r>
        <w:rPr>
          <w:spacing w:val="-8"/>
        </w:rPr>
        <w:t>除。</w:t>
      </w:r>
    </w:p>
    <w:p>
      <w:pPr>
        <w:pStyle w:val="8"/>
        <w:spacing w:line="357" w:lineRule="auto"/>
        <w:ind w:right="572" w:firstLine="628"/>
        <w:jc w:val="both"/>
        <w:rPr>
          <w:rFonts w:ascii="宋体" w:hAnsi="宋体" w:eastAsia="宋体" w:cs="宋体"/>
        </w:rPr>
      </w:pPr>
      <w:r>
        <w:t>2</w:t>
      </w:r>
      <w:r>
        <w:rPr>
          <w:spacing w:val="-1"/>
        </w:rPr>
        <w:t xml:space="preserve">、根据《中华人民共和国财政部令第 </w:t>
      </w:r>
      <w:r>
        <w:t>87</w:t>
      </w:r>
      <w:r>
        <w:rPr>
          <w:spacing w:val="-1"/>
        </w:rPr>
        <w:t xml:space="preserve"> 号</w:t>
      </w:r>
      <w:r>
        <w:rPr>
          <w:rFonts w:ascii="宋体" w:hAnsi="宋体" w:eastAsia="宋体" w:cs="宋体"/>
          <w:spacing w:val="0"/>
        </w:rPr>
        <w:t>》第六十条规定：“评标委员会认为投标人的</w:t>
      </w:r>
      <w:r>
        <w:rPr>
          <w:rFonts w:ascii="宋体" w:hAnsi="宋体" w:eastAsia="宋体" w:cs="宋体"/>
          <w:spacing w:val="0"/>
          <w:w w:val="100"/>
        </w:rPr>
        <w:t>报价明显低于其他通过符合性审查投标人的报价，有可能影响产品质量或者不能诚信履约的，应当要求其在评标现场合理的时间内提供书面说明，必要时提交相关证明材料；投标人不能证明其报价</w:t>
      </w:r>
      <w:r>
        <w:rPr>
          <w:rFonts w:ascii="宋体" w:hAnsi="宋体" w:eastAsia="宋体" w:cs="宋体"/>
          <w:spacing w:val="0"/>
        </w:rPr>
        <w:t>合理性的，评标委员会应当将其作为无效投标处理”。</w:t>
      </w:r>
    </w:p>
    <w:p>
      <w:pPr>
        <w:pStyle w:val="8"/>
        <w:spacing w:line="264" w:lineRule="exact"/>
        <w:jc w:val="both"/>
      </w:pPr>
      <w:r>
        <w:t>（二）总分计算方法（满分为 100 分）</w:t>
      </w:r>
    </w:p>
    <w:p>
      <w:pPr>
        <w:pStyle w:val="10"/>
        <w:spacing w:before="129" w:line="357" w:lineRule="auto"/>
        <w:ind w:left="218" w:right="606" w:firstLine="525"/>
        <w:jc w:val="both"/>
      </w:pPr>
      <w:r>
        <w:t>计算公式：投标人的最终得分</w:t>
      </w:r>
      <w:r>
        <w:rPr>
          <w:rFonts w:ascii="Times New Roman" w:eastAsia="Times New Roman"/>
        </w:rPr>
        <w:t>=</w:t>
      </w:r>
      <w:r>
        <w:t>技术商务得分</w:t>
      </w:r>
      <w:r>
        <w:rPr>
          <w:rFonts w:ascii="Times New Roman" w:eastAsia="Times New Roman"/>
        </w:rPr>
        <w:t>+</w:t>
      </w:r>
      <w:r>
        <w:t xml:space="preserve">价格得分（所有分值四舍五入，保留到小数点后 </w:t>
      </w:r>
      <w:r>
        <w:rPr>
          <w:rFonts w:ascii="Times New Roman" w:eastAsia="Times New Roman"/>
        </w:rPr>
        <w:t xml:space="preserve">2 </w:t>
      </w:r>
      <w:r>
        <w:t>位。</w:t>
      </w:r>
    </w:p>
    <w:p>
      <w:pPr>
        <w:spacing w:after="0" w:line="357" w:lineRule="auto"/>
        <w:jc w:val="both"/>
        <w:sectPr>
          <w:pgSz w:w="11910" w:h="16840"/>
          <w:pgMar w:top="1460" w:right="920" w:bottom="1040" w:left="1200" w:header="0" w:footer="852" w:gutter="0"/>
          <w:cols w:space="720" w:num="1"/>
        </w:sectPr>
      </w:pPr>
    </w:p>
    <w:p>
      <w:pPr>
        <w:pStyle w:val="3"/>
        <w:ind w:left="275"/>
      </w:pPr>
      <w:r>
        <w:t>第七章 合同条款</w:t>
      </w:r>
    </w:p>
    <w:p>
      <w:pPr>
        <w:pStyle w:val="10"/>
        <w:spacing w:before="11"/>
        <w:rPr>
          <w:b/>
        </w:rPr>
      </w:pPr>
    </w:p>
    <w:p>
      <w:pPr>
        <w:pStyle w:val="10"/>
        <w:spacing w:before="70"/>
        <w:ind w:left="273" w:right="663"/>
        <w:jc w:val="center"/>
        <w:rPr>
          <w:rFonts w:hint="eastAsia" w:ascii="宋体" w:hAnsi="宋体" w:eastAsia="宋体" w:cs="宋体"/>
        </w:rPr>
      </w:pPr>
      <w:r>
        <w:rPr>
          <w:rFonts w:hint="eastAsia" w:ascii="宋体" w:hAnsi="宋体" w:eastAsia="宋体" w:cs="宋体"/>
        </w:rPr>
        <w:t>（具体以实际签订的合同为准）</w:t>
      </w:r>
    </w:p>
    <w:p>
      <w:pPr>
        <w:pStyle w:val="10"/>
        <w:tabs>
          <w:tab w:val="left" w:pos="1163"/>
        </w:tabs>
        <w:spacing w:before="139"/>
        <w:ind w:left="638"/>
        <w:rPr>
          <w:rFonts w:hint="eastAsia" w:ascii="宋体" w:hAnsi="宋体" w:eastAsia="宋体" w:cs="宋体"/>
        </w:rPr>
      </w:pPr>
      <w:r>
        <w:rPr>
          <w:rFonts w:hint="eastAsia" w:ascii="宋体" w:hAnsi="宋体" w:eastAsia="宋体" w:cs="宋体"/>
        </w:rPr>
        <w:t>甲</w:t>
      </w:r>
      <w:r>
        <w:rPr>
          <w:rFonts w:hint="eastAsia" w:ascii="宋体" w:hAnsi="宋体" w:eastAsia="宋体" w:cs="宋体"/>
        </w:rPr>
        <w:tab/>
      </w:r>
      <w:r>
        <w:rPr>
          <w:rFonts w:hint="eastAsia" w:ascii="宋体" w:hAnsi="宋体" w:eastAsia="宋体" w:cs="宋体"/>
          <w:spacing w:val="-1"/>
          <w:w w:val="95"/>
        </w:rPr>
        <w:t>方</w:t>
      </w:r>
      <w:r>
        <w:rPr>
          <w:rFonts w:hint="eastAsia" w:ascii="宋体" w:hAnsi="宋体" w:eastAsia="宋体" w:cs="宋体"/>
          <w:w w:val="95"/>
        </w:rPr>
        <w:t>：</w:t>
      </w:r>
    </w:p>
    <w:p>
      <w:pPr>
        <w:pStyle w:val="10"/>
        <w:tabs>
          <w:tab w:val="left" w:pos="1163"/>
        </w:tabs>
        <w:spacing w:before="132"/>
        <w:ind w:left="638"/>
        <w:rPr>
          <w:rFonts w:hint="eastAsia" w:ascii="宋体" w:hAnsi="宋体" w:eastAsia="宋体" w:cs="宋体"/>
        </w:rPr>
      </w:pPr>
      <w:r>
        <w:rPr>
          <w:rFonts w:hint="eastAsia" w:ascii="宋体" w:hAnsi="宋体" w:eastAsia="宋体" w:cs="宋体"/>
        </w:rPr>
        <w:t>乙</w:t>
      </w:r>
      <w:r>
        <w:rPr>
          <w:rFonts w:hint="eastAsia" w:ascii="宋体" w:hAnsi="宋体" w:eastAsia="宋体" w:cs="宋体"/>
        </w:rPr>
        <w:tab/>
      </w:r>
      <w:r>
        <w:rPr>
          <w:rFonts w:hint="eastAsia" w:ascii="宋体" w:hAnsi="宋体" w:eastAsia="宋体" w:cs="宋体"/>
          <w:spacing w:val="-1"/>
          <w:w w:val="95"/>
        </w:rPr>
        <w:t>方</w:t>
      </w:r>
      <w:r>
        <w:rPr>
          <w:rFonts w:hint="eastAsia" w:ascii="宋体" w:hAnsi="宋体" w:eastAsia="宋体" w:cs="宋体"/>
          <w:w w:val="95"/>
        </w:rPr>
        <w:t>：</w:t>
      </w:r>
    </w:p>
    <w:p>
      <w:pPr>
        <w:pStyle w:val="10"/>
        <w:tabs>
          <w:tab w:val="left" w:pos="5068"/>
          <w:tab w:val="left" w:pos="6861"/>
        </w:tabs>
        <w:spacing w:before="131" w:line="355" w:lineRule="auto"/>
        <w:ind w:left="218" w:right="606" w:firstLine="420"/>
        <w:rPr>
          <w:rFonts w:hint="eastAsia" w:ascii="宋体" w:hAnsi="宋体" w:eastAsia="宋体" w:cs="宋体"/>
        </w:rPr>
      </w:pPr>
      <w:r>
        <w:rPr>
          <w:rFonts w:hint="eastAsia" w:ascii="宋体" w:hAnsi="宋体" w:eastAsia="宋体" w:cs="宋体"/>
        </w:rPr>
        <w:t>依据《中华人民共和国</w:t>
      </w:r>
      <w:r>
        <w:rPr>
          <w:rFonts w:hint="eastAsia" w:cs="宋体"/>
          <w:lang w:eastAsia="zh-CN"/>
        </w:rPr>
        <w:t>民法典</w:t>
      </w:r>
      <w:r>
        <w:rPr>
          <w:rFonts w:hint="eastAsia" w:ascii="宋体" w:hAnsi="宋体" w:eastAsia="宋体" w:cs="宋体"/>
        </w:rPr>
        <w:t>》及</w:t>
      </w:r>
      <w:r>
        <w:rPr>
          <w:rFonts w:hint="eastAsia" w:ascii="宋体" w:hAnsi="宋体" w:eastAsia="宋体" w:cs="宋体"/>
          <w:u w:val="single"/>
        </w:rPr>
        <w:t xml:space="preserve"> </w:t>
      </w:r>
      <w:r>
        <w:rPr>
          <w:rFonts w:hint="eastAsia" w:ascii="宋体" w:hAnsi="宋体" w:eastAsia="宋体" w:cs="宋体"/>
          <w:u w:val="single"/>
        </w:rPr>
        <w:tab/>
      </w:r>
      <w:r>
        <w:rPr>
          <w:rFonts w:hint="eastAsia" w:ascii="宋体" w:hAnsi="宋体" w:eastAsia="宋体" w:cs="宋体"/>
          <w:u w:val="single"/>
        </w:rPr>
        <w:t>项目（编号：</w:t>
      </w:r>
      <w:r>
        <w:rPr>
          <w:rFonts w:hint="eastAsia" w:ascii="宋体" w:hAnsi="宋体" w:eastAsia="宋体" w:cs="宋体"/>
          <w:u w:val="single"/>
        </w:rPr>
        <w:tab/>
      </w:r>
      <w:r>
        <w:rPr>
          <w:rFonts w:hint="eastAsia" w:ascii="宋体" w:hAnsi="宋体" w:eastAsia="宋体" w:cs="宋体"/>
          <w:u w:val="single"/>
        </w:rPr>
        <w:t>）</w:t>
      </w:r>
      <w:r>
        <w:rPr>
          <w:rFonts w:hint="eastAsia" w:ascii="宋体" w:hAnsi="宋体" w:eastAsia="宋体" w:cs="宋体"/>
        </w:rPr>
        <w:t>的公开招标结果，本</w:t>
      </w:r>
      <w:r>
        <w:rPr>
          <w:rFonts w:hint="eastAsia" w:ascii="宋体" w:hAnsi="宋体" w:eastAsia="宋体" w:cs="宋体"/>
          <w:spacing w:val="-14"/>
        </w:rPr>
        <w:t>着</w:t>
      </w:r>
      <w:r>
        <w:rPr>
          <w:rFonts w:hint="eastAsia" w:ascii="宋体" w:hAnsi="宋体" w:eastAsia="宋体" w:cs="宋体"/>
        </w:rPr>
        <w:t>诚实守信、平等互利的原则，经甲、乙双方友好协商订立本合同：</w:t>
      </w:r>
    </w:p>
    <w:p>
      <w:pPr>
        <w:pStyle w:val="10"/>
        <w:numPr>
          <w:ilvl w:val="0"/>
          <w:numId w:val="35"/>
        </w:numPr>
        <w:spacing w:line="348" w:lineRule="auto"/>
        <w:ind w:left="638" w:right="1376"/>
        <w:rPr>
          <w:rFonts w:hint="eastAsia" w:ascii="宋体" w:hAnsi="宋体" w:eastAsia="宋体" w:cs="宋体"/>
          <w:w w:val="95"/>
        </w:rPr>
      </w:pPr>
      <w:r>
        <w:rPr>
          <w:rFonts w:hint="eastAsia" w:ascii="宋体" w:hAnsi="宋体" w:eastAsia="宋体" w:cs="宋体"/>
          <w:spacing w:val="-8"/>
          <w:w w:val="100"/>
          <w:u w:val="single"/>
        </w:rPr>
        <w:t>服务范围：</w:t>
      </w:r>
      <w:r>
        <w:rPr>
          <w:rFonts w:hint="eastAsia" w:cs="宋体"/>
          <w:spacing w:val="-8"/>
          <w:w w:val="100"/>
          <w:u w:val="single"/>
          <w:lang w:val="en-US" w:eastAsia="zh-CN"/>
        </w:rPr>
        <w:t xml:space="preserve">                                   </w:t>
      </w:r>
      <w:r>
        <w:rPr>
          <w:rFonts w:hint="eastAsia" w:ascii="宋体" w:hAnsi="宋体" w:eastAsia="宋体" w:cs="宋体"/>
          <w:spacing w:val="-8"/>
          <w:w w:val="100"/>
          <w:u w:val="single"/>
        </w:rPr>
        <w:t>。</w:t>
      </w:r>
      <w:r>
        <w:rPr>
          <w:rFonts w:hint="eastAsia" w:ascii="宋体" w:hAnsi="宋体" w:eastAsia="宋体" w:cs="宋体"/>
          <w:w w:val="95"/>
        </w:rPr>
        <w:t xml:space="preserve">  </w:t>
      </w:r>
    </w:p>
    <w:p>
      <w:pPr>
        <w:pStyle w:val="10"/>
        <w:numPr>
          <w:ilvl w:val="-1"/>
          <w:numId w:val="0"/>
        </w:numPr>
        <w:spacing w:line="348" w:lineRule="auto"/>
        <w:ind w:left="0" w:right="1376" w:firstLine="630" w:firstLineChars="300"/>
        <w:rPr>
          <w:rFonts w:hint="eastAsia" w:ascii="宋体" w:hAnsi="宋体" w:eastAsia="宋体" w:cs="宋体"/>
        </w:rPr>
      </w:pPr>
      <w:r>
        <w:rPr>
          <w:rFonts w:hint="eastAsia" w:ascii="宋体" w:hAnsi="宋体" w:eastAsia="宋体" w:cs="宋体"/>
        </w:rPr>
        <w:t>二、进度要求：</w:t>
      </w:r>
      <w:r>
        <w:rPr>
          <w:rFonts w:hint="eastAsia" w:ascii="宋体" w:hAnsi="宋体" w:eastAsia="宋体" w:cs="宋体"/>
          <w:u w:val="single"/>
          <w:lang w:val="en-US" w:eastAsia="zh-CN"/>
        </w:rPr>
        <w:t xml:space="preserve">                                  </w:t>
      </w:r>
      <w:r>
        <w:rPr>
          <w:rFonts w:hint="eastAsia" w:ascii="宋体" w:hAnsi="宋体" w:eastAsia="宋体" w:cs="宋体"/>
        </w:rPr>
        <w:t>。</w:t>
      </w:r>
    </w:p>
    <w:p>
      <w:pPr>
        <w:pStyle w:val="10"/>
        <w:spacing w:before="3"/>
        <w:ind w:left="638"/>
        <w:rPr>
          <w:rFonts w:hint="eastAsia" w:ascii="宋体" w:hAnsi="宋体" w:eastAsia="宋体" w:cs="宋体"/>
        </w:rPr>
      </w:pPr>
      <w:r>
        <w:rPr>
          <w:rFonts w:hint="eastAsia" w:ascii="宋体" w:hAnsi="宋体" w:eastAsia="宋体" w:cs="宋体"/>
        </w:rPr>
        <w:t>三、服务地点：</w:t>
      </w:r>
      <w:r>
        <w:rPr>
          <w:rFonts w:hint="eastAsia" w:ascii="宋体" w:hAnsi="宋体" w:eastAsia="宋体" w:cs="宋体"/>
          <w:u w:val="single"/>
        </w:rPr>
        <w:t>兰溪市</w:t>
      </w:r>
      <w:r>
        <w:rPr>
          <w:rFonts w:hint="eastAsia" w:ascii="宋体" w:hAnsi="宋体" w:eastAsia="宋体" w:cs="宋体"/>
        </w:rPr>
        <w:t>。</w:t>
      </w:r>
    </w:p>
    <w:p>
      <w:pPr>
        <w:pStyle w:val="10"/>
        <w:spacing w:before="132"/>
        <w:ind w:left="638"/>
        <w:rPr>
          <w:rFonts w:hint="eastAsia" w:ascii="宋体" w:hAnsi="宋体" w:eastAsia="宋体" w:cs="宋体"/>
        </w:rPr>
      </w:pPr>
      <w:r>
        <w:rPr>
          <w:rFonts w:hint="eastAsia" w:ascii="宋体" w:hAnsi="宋体" w:eastAsia="宋体" w:cs="宋体"/>
        </w:rPr>
        <w:t>四、合同价款：</w:t>
      </w:r>
      <w:r>
        <w:rPr>
          <w:rFonts w:hint="eastAsia" w:ascii="宋体" w:hAnsi="宋体" w:eastAsia="宋体" w:cs="宋体"/>
          <w:u w:val="single"/>
        </w:rPr>
        <w:t>按中标价执行</w:t>
      </w:r>
      <w:r>
        <w:rPr>
          <w:rFonts w:hint="eastAsia" w:ascii="宋体" w:hAnsi="宋体" w:eastAsia="宋体" w:cs="宋体"/>
        </w:rPr>
        <w:t>。</w:t>
      </w:r>
    </w:p>
    <w:p>
      <w:pPr>
        <w:pStyle w:val="10"/>
        <w:spacing w:line="338" w:lineRule="auto"/>
        <w:ind w:left="218" w:right="498" w:firstLine="420"/>
      </w:pPr>
      <w:r>
        <w:rPr>
          <w:rFonts w:hint="eastAsia" w:ascii="宋体" w:hAnsi="宋体" w:eastAsia="宋体" w:cs="宋体"/>
          <w:spacing w:val="-17"/>
          <w:highlight w:val="none"/>
        </w:rPr>
        <w:t>五、付款方式：在签订合同后，</w:t>
      </w:r>
      <w:r>
        <w:rPr>
          <w:rFonts w:hint="eastAsia" w:ascii="宋体" w:hAnsi="宋体" w:eastAsia="宋体" w:cs="宋体"/>
          <w:spacing w:val="-17"/>
          <w:highlight w:val="none"/>
          <w:lang w:eastAsia="zh-CN"/>
        </w:rPr>
        <w:t>采购人</w:t>
      </w:r>
      <w:r>
        <w:rPr>
          <w:rFonts w:hint="eastAsia" w:ascii="宋体" w:hAnsi="宋体" w:eastAsia="宋体" w:cs="宋体"/>
          <w:spacing w:val="-17"/>
          <w:highlight w:val="none"/>
        </w:rPr>
        <w:t>支付</w:t>
      </w:r>
      <w:r>
        <w:rPr>
          <w:rFonts w:hint="eastAsia" w:ascii="宋体" w:hAnsi="宋体" w:eastAsia="宋体" w:cs="宋体"/>
          <w:spacing w:val="-17"/>
          <w:highlight w:val="none"/>
          <w:lang w:eastAsia="zh-CN"/>
        </w:rPr>
        <w:t>中标人</w:t>
      </w:r>
      <w:r>
        <w:rPr>
          <w:rFonts w:hint="eastAsia" w:ascii="宋体" w:hAnsi="宋体" w:eastAsia="宋体" w:cs="宋体"/>
          <w:spacing w:val="-17"/>
          <w:highlight w:val="none"/>
        </w:rPr>
        <w:t>合同款的15%</w:t>
      </w:r>
      <w:r>
        <w:rPr>
          <w:rFonts w:hint="eastAsia" w:ascii="宋体" w:hAnsi="宋体" w:eastAsia="宋体" w:cs="宋体"/>
          <w:spacing w:val="-17"/>
          <w:highlight w:val="none"/>
          <w:lang w:eastAsia="zh-CN"/>
        </w:rPr>
        <w:t>；</w:t>
      </w:r>
      <w:r>
        <w:rPr>
          <w:rFonts w:hint="eastAsia" w:ascii="宋体" w:hAnsi="宋体" w:eastAsia="宋体" w:cs="宋体"/>
          <w:spacing w:val="-17"/>
          <w:highlight w:val="none"/>
          <w:lang w:val="en-US" w:eastAsia="zh-CN"/>
        </w:rPr>
        <w:t>2021年度12月底前</w:t>
      </w:r>
      <w:r>
        <w:rPr>
          <w:rFonts w:hint="eastAsia" w:ascii="宋体" w:hAnsi="宋体" w:eastAsia="宋体" w:cs="宋体"/>
          <w:spacing w:val="-17"/>
          <w:highlight w:val="none"/>
        </w:rPr>
        <w:t>主要工作量</w:t>
      </w:r>
      <w:r>
        <w:rPr>
          <w:rFonts w:hint="eastAsia" w:ascii="宋体" w:hAnsi="宋体" w:eastAsia="宋体" w:cs="宋体"/>
          <w:spacing w:val="-17"/>
          <w:highlight w:val="none"/>
          <w:lang w:eastAsia="zh-CN"/>
        </w:rPr>
        <w:t>经采购人组织专家评审验收合格</w:t>
      </w:r>
      <w:r>
        <w:rPr>
          <w:rFonts w:hint="eastAsia" w:ascii="宋体" w:hAnsi="宋体" w:eastAsia="宋体" w:cs="宋体"/>
          <w:spacing w:val="-17"/>
          <w:highlight w:val="none"/>
        </w:rPr>
        <w:t>，</w:t>
      </w:r>
      <w:r>
        <w:rPr>
          <w:rFonts w:hint="eastAsia" w:ascii="宋体" w:hAnsi="宋体" w:eastAsia="宋体" w:cs="宋体"/>
          <w:spacing w:val="-17"/>
          <w:highlight w:val="none"/>
          <w:lang w:eastAsia="zh-CN"/>
        </w:rPr>
        <w:t>且提交上级部门认可通过后</w:t>
      </w:r>
      <w:r>
        <w:rPr>
          <w:rFonts w:hint="eastAsia" w:ascii="宋体" w:hAnsi="宋体" w:eastAsia="宋体" w:cs="宋体"/>
          <w:spacing w:val="-17"/>
          <w:highlight w:val="none"/>
        </w:rPr>
        <w:t>，累计支付至</w:t>
      </w:r>
      <w:r>
        <w:rPr>
          <w:rFonts w:hint="eastAsia" w:ascii="宋体" w:hAnsi="宋体" w:eastAsia="宋体" w:cs="宋体"/>
          <w:spacing w:val="-17"/>
          <w:highlight w:val="none"/>
          <w:lang w:eastAsia="zh-CN"/>
        </w:rPr>
        <w:t>已完项目报价</w:t>
      </w:r>
      <w:r>
        <w:rPr>
          <w:rFonts w:hint="eastAsia" w:ascii="宋体" w:hAnsi="宋体" w:eastAsia="宋体" w:cs="宋体"/>
          <w:spacing w:val="-17"/>
          <w:highlight w:val="none"/>
        </w:rPr>
        <w:t>的</w:t>
      </w:r>
      <w:r>
        <w:rPr>
          <w:rFonts w:hint="eastAsia" w:ascii="宋体" w:hAnsi="宋体" w:eastAsia="宋体" w:cs="宋体"/>
          <w:spacing w:val="-17"/>
          <w:highlight w:val="none"/>
          <w:lang w:val="en-US" w:eastAsia="zh-CN"/>
        </w:rPr>
        <w:t>75</w:t>
      </w:r>
      <w:r>
        <w:rPr>
          <w:rFonts w:hint="eastAsia" w:ascii="宋体" w:hAnsi="宋体" w:eastAsia="宋体" w:cs="宋体"/>
          <w:spacing w:val="-17"/>
          <w:highlight w:val="none"/>
        </w:rPr>
        <w:t>%；</w:t>
      </w:r>
      <w:r>
        <w:rPr>
          <w:rFonts w:hint="eastAsia" w:ascii="宋体" w:hAnsi="宋体" w:eastAsia="宋体" w:cs="宋体"/>
          <w:spacing w:val="-17"/>
          <w:highlight w:val="none"/>
          <w:lang w:eastAsia="zh-CN"/>
        </w:rPr>
        <w:t>项目完成经采购人组织专家评审验收合格，且提交上级部门认可通过后</w:t>
      </w:r>
      <w:r>
        <w:rPr>
          <w:rFonts w:hint="eastAsia" w:ascii="宋体" w:hAnsi="宋体" w:eastAsia="宋体" w:cs="宋体"/>
          <w:spacing w:val="-17"/>
          <w:highlight w:val="none"/>
        </w:rPr>
        <w:t>，退还履约保函，同时采购人支付</w:t>
      </w:r>
      <w:r>
        <w:rPr>
          <w:rFonts w:hint="eastAsia" w:ascii="宋体" w:hAnsi="宋体" w:eastAsia="宋体" w:cs="宋体"/>
          <w:spacing w:val="-17"/>
          <w:highlight w:val="none"/>
          <w:lang w:eastAsia="zh-CN"/>
        </w:rPr>
        <w:t>至合同款的</w:t>
      </w:r>
      <w:r>
        <w:rPr>
          <w:rFonts w:hint="eastAsia" w:ascii="宋体" w:hAnsi="宋体" w:eastAsia="宋体" w:cs="宋体"/>
          <w:spacing w:val="-17"/>
          <w:highlight w:val="none"/>
          <w:lang w:val="en-US" w:eastAsia="zh-CN"/>
        </w:rPr>
        <w:t>97.5%</w:t>
      </w:r>
      <w:r>
        <w:rPr>
          <w:rFonts w:hint="eastAsia" w:ascii="宋体" w:hAnsi="宋体" w:eastAsia="宋体" w:cs="宋体"/>
          <w:spacing w:val="-17"/>
          <w:highlight w:val="none"/>
          <w:lang w:eastAsia="zh-CN"/>
        </w:rPr>
        <w:t>；剩余款项在</w:t>
      </w:r>
      <w:r>
        <w:rPr>
          <w:rFonts w:hint="eastAsia" w:ascii="宋体" w:hAnsi="宋体" w:eastAsia="宋体" w:cs="宋体"/>
          <w:spacing w:val="-17"/>
          <w:highlight w:val="none"/>
        </w:rPr>
        <w:t>质保期满无质量问题</w:t>
      </w:r>
      <w:r>
        <w:rPr>
          <w:rFonts w:hint="eastAsia" w:ascii="宋体" w:hAnsi="宋体" w:eastAsia="宋体" w:cs="宋体"/>
          <w:spacing w:val="-17"/>
          <w:highlight w:val="none"/>
          <w:lang w:eastAsia="zh-CN"/>
        </w:rPr>
        <w:t>后一次性支付</w:t>
      </w:r>
      <w:r>
        <w:t>。</w:t>
      </w:r>
    </w:p>
    <w:p>
      <w:pPr>
        <w:pStyle w:val="10"/>
        <w:spacing w:before="122" w:line="348" w:lineRule="auto"/>
        <w:ind w:left="218" w:right="498" w:firstLine="420"/>
        <w:rPr>
          <w:rFonts w:hint="eastAsia" w:ascii="宋体" w:hAnsi="宋体" w:eastAsia="宋体" w:cs="宋体"/>
        </w:rPr>
      </w:pPr>
      <w:r>
        <w:rPr>
          <w:rFonts w:hint="eastAsia" w:ascii="宋体" w:hAnsi="宋体" w:eastAsia="宋体" w:cs="宋体"/>
        </w:rPr>
        <w:t>六、</w:t>
      </w:r>
      <w:r>
        <w:rPr>
          <w:rFonts w:hint="eastAsia" w:ascii="宋体" w:hAnsi="宋体" w:eastAsia="宋体" w:cs="宋体"/>
          <w:lang w:eastAsia="zh-CN"/>
        </w:rPr>
        <w:t>项目</w:t>
      </w:r>
      <w:r>
        <w:rPr>
          <w:rFonts w:hint="eastAsia" w:ascii="宋体" w:hAnsi="宋体" w:eastAsia="宋体" w:cs="宋体"/>
        </w:rPr>
        <w:t>要求：</w:t>
      </w:r>
      <w:r>
        <w:rPr>
          <w:rFonts w:hint="eastAsia" w:ascii="宋体" w:hAnsi="宋体" w:eastAsia="宋体" w:cs="宋体"/>
          <w:u w:val="single"/>
          <w:lang w:val="en-US" w:eastAsia="zh-CN"/>
        </w:rPr>
        <w:t xml:space="preserve">                              </w:t>
      </w:r>
      <w:r>
        <w:rPr>
          <w:rFonts w:hint="eastAsia" w:ascii="宋体" w:hAnsi="宋体" w:eastAsia="宋体" w:cs="宋体"/>
        </w:rPr>
        <w:t>。</w:t>
      </w:r>
    </w:p>
    <w:p>
      <w:pPr>
        <w:pStyle w:val="10"/>
        <w:spacing w:before="120" w:line="348" w:lineRule="auto"/>
        <w:ind w:left="638" w:right="536"/>
        <w:rPr>
          <w:rFonts w:hint="eastAsia" w:ascii="宋体" w:hAnsi="宋体" w:eastAsia="宋体" w:cs="宋体"/>
          <w:w w:val="95"/>
        </w:rPr>
      </w:pPr>
      <w:r>
        <w:rPr>
          <w:rFonts w:hint="eastAsia" w:ascii="宋体" w:hAnsi="宋体" w:eastAsia="宋体" w:cs="宋体"/>
          <w:w w:val="95"/>
        </w:rPr>
        <w:t>七、</w:t>
      </w:r>
      <w:r>
        <w:rPr>
          <w:rFonts w:hint="eastAsia" w:ascii="宋体" w:hAnsi="宋体" w:eastAsia="宋体" w:cs="宋体"/>
          <w:spacing w:val="-5"/>
          <w:w w:val="100"/>
          <w:u w:val="none"/>
        </w:rPr>
        <w:t>售后服务：</w:t>
      </w:r>
      <w:r>
        <w:rPr>
          <w:rFonts w:hint="eastAsia" w:ascii="宋体" w:hAnsi="宋体" w:eastAsia="宋体" w:cs="宋体"/>
          <w:spacing w:val="-5"/>
          <w:w w:val="100"/>
          <w:u w:val="single"/>
        </w:rPr>
        <w:t>售后服务三年</w:t>
      </w:r>
      <w:r>
        <w:rPr>
          <w:rFonts w:hint="eastAsia" w:cs="宋体"/>
          <w:spacing w:val="-5"/>
          <w:w w:val="100"/>
          <w:u w:val="none"/>
          <w:lang w:eastAsia="zh-CN"/>
        </w:rPr>
        <w:t>。</w:t>
      </w:r>
      <w:r>
        <w:rPr>
          <w:rFonts w:hint="eastAsia" w:ascii="宋体" w:hAnsi="宋体" w:eastAsia="宋体" w:cs="宋体"/>
          <w:w w:val="95"/>
        </w:rPr>
        <w:t xml:space="preserve">   </w:t>
      </w:r>
    </w:p>
    <w:p>
      <w:pPr>
        <w:pStyle w:val="10"/>
        <w:spacing w:line="280" w:lineRule="exact"/>
        <w:ind w:left="218" w:firstLine="396" w:firstLineChars="200"/>
        <w:rPr>
          <w:rFonts w:hint="eastAsia" w:ascii="宋体" w:hAnsi="宋体" w:eastAsia="宋体" w:cs="宋体"/>
          <w:sz w:val="21"/>
        </w:rPr>
      </w:pPr>
      <w:r>
        <w:rPr>
          <w:rFonts w:hint="eastAsia" w:ascii="宋体" w:hAnsi="宋体" w:eastAsia="宋体" w:cs="宋体"/>
          <w:spacing w:val="-6"/>
        </w:rPr>
        <w:t>八、培训服务：</w:t>
      </w:r>
      <w:r>
        <w:rPr>
          <w:rFonts w:hint="eastAsia" w:ascii="宋体" w:hAnsi="宋体" w:eastAsia="宋体" w:cs="宋体"/>
          <w:spacing w:val="-5"/>
          <w:u w:val="single"/>
          <w:lang w:val="en-US" w:eastAsia="zh-CN"/>
        </w:rPr>
        <w:t xml:space="preserve">                       </w:t>
      </w:r>
      <w:r>
        <w:rPr>
          <w:rFonts w:hint="eastAsia" w:ascii="宋体" w:hAnsi="宋体" w:eastAsia="宋体" w:cs="宋体"/>
          <w:sz w:val="21"/>
        </w:rPr>
        <w:t>。</w:t>
      </w:r>
    </w:p>
    <w:p>
      <w:pPr>
        <w:pStyle w:val="10"/>
        <w:spacing w:before="0" w:line="357" w:lineRule="auto"/>
        <w:ind w:left="218" w:right="603" w:firstLine="420"/>
        <w:jc w:val="both"/>
        <w:rPr>
          <w:rFonts w:hint="eastAsia" w:ascii="宋体" w:hAnsi="宋体" w:eastAsia="宋体" w:cs="宋体"/>
          <w:spacing w:val="-9"/>
        </w:rPr>
      </w:pPr>
      <w:r>
        <w:rPr>
          <w:rFonts w:hint="eastAsia" w:ascii="宋体" w:hAnsi="宋体" w:eastAsia="宋体" w:cs="宋体"/>
          <w:spacing w:val="-9"/>
        </w:rPr>
        <w:t>九、履约保证金及履约担保：</w:t>
      </w:r>
      <w:r>
        <w:rPr>
          <w:rFonts w:hint="eastAsia" w:ascii="宋体" w:hAnsi="宋体" w:eastAsia="宋体" w:cs="宋体"/>
          <w:spacing w:val="-9"/>
          <w:u w:val="none"/>
        </w:rPr>
        <w:t>中标价的 5%</w:t>
      </w:r>
      <w:r>
        <w:rPr>
          <w:rFonts w:hint="eastAsia" w:ascii="宋体" w:hAnsi="宋体" w:eastAsia="宋体" w:cs="宋体"/>
          <w:spacing w:val="-9"/>
        </w:rPr>
        <w:t>。</w:t>
      </w:r>
    </w:p>
    <w:p>
      <w:pPr>
        <w:pStyle w:val="10"/>
        <w:spacing w:before="0" w:line="357" w:lineRule="auto"/>
        <w:ind w:left="218" w:right="603" w:firstLine="420"/>
        <w:jc w:val="both"/>
        <w:rPr>
          <w:rFonts w:hint="eastAsia" w:ascii="宋体" w:hAnsi="宋体" w:eastAsia="宋体" w:cs="宋体"/>
          <w:spacing w:val="-9"/>
        </w:rPr>
      </w:pPr>
      <w:r>
        <w:rPr>
          <w:rFonts w:hint="eastAsia" w:ascii="宋体" w:hAnsi="宋体" w:eastAsia="宋体" w:cs="宋体"/>
          <w:spacing w:val="-9"/>
        </w:rPr>
        <w:t>十、质保期：</w:t>
      </w:r>
      <w:r>
        <w:rPr>
          <w:rFonts w:hint="eastAsia" w:ascii="宋体" w:hAnsi="宋体" w:eastAsia="宋体" w:cs="宋体"/>
          <w:spacing w:val="-9"/>
          <w:lang w:eastAsia="zh-CN"/>
        </w:rPr>
        <w:t>经采购人组织专家评审最终项目验收合格，且提交上级部门认可通过后三</w:t>
      </w:r>
      <w:r>
        <w:rPr>
          <w:rFonts w:hint="eastAsia" w:ascii="宋体" w:hAnsi="宋体" w:eastAsia="宋体" w:cs="宋体"/>
          <w:spacing w:val="-9"/>
        </w:rPr>
        <w:t>年。</w:t>
      </w:r>
    </w:p>
    <w:p>
      <w:pPr>
        <w:pStyle w:val="10"/>
        <w:spacing w:line="357" w:lineRule="auto"/>
        <w:ind w:left="218" w:right="603" w:firstLine="420"/>
        <w:jc w:val="both"/>
        <w:rPr>
          <w:rFonts w:hint="eastAsia" w:ascii="宋体" w:hAnsi="宋体" w:eastAsia="宋体" w:cs="宋体"/>
        </w:rPr>
      </w:pPr>
      <w:r>
        <w:rPr>
          <w:rFonts w:hint="eastAsia" w:ascii="宋体" w:hAnsi="宋体" w:eastAsia="宋体" w:cs="宋体"/>
          <w:spacing w:val="-9"/>
          <w:w w:val="95"/>
        </w:rPr>
        <w:t>十一、</w:t>
      </w:r>
      <w:r>
        <w:rPr>
          <w:rFonts w:hint="eastAsia" w:ascii="宋体" w:hAnsi="宋体" w:eastAsia="宋体" w:cs="宋体"/>
          <w:spacing w:val="-9"/>
          <w:w w:val="100"/>
        </w:rPr>
        <w:t xml:space="preserve">工期保证：按合同工期，提前或按期完工，工期不奖不罚；若达不到本项目完成的工期   要求，甲方有权直接从履约保证金中扣除乙方应支付的违约金，若超过履约保证金的，甲方有权直   </w:t>
      </w:r>
      <w:r>
        <w:rPr>
          <w:rFonts w:hint="eastAsia" w:ascii="宋体" w:hAnsi="宋体" w:eastAsia="宋体" w:cs="宋体"/>
          <w:spacing w:val="-9"/>
        </w:rPr>
        <w:t>接从合同价款中扣除。</w:t>
      </w:r>
    </w:p>
    <w:p>
      <w:pPr>
        <w:pStyle w:val="10"/>
        <w:spacing w:line="266" w:lineRule="exact"/>
        <w:ind w:left="638"/>
        <w:rPr>
          <w:rFonts w:hint="eastAsia" w:ascii="宋体" w:hAnsi="宋体" w:eastAsia="宋体" w:cs="宋体"/>
        </w:rPr>
      </w:pPr>
      <w:r>
        <w:rPr>
          <w:rFonts w:hint="eastAsia" w:ascii="宋体" w:hAnsi="宋体" w:eastAsia="宋体" w:cs="宋体"/>
        </w:rPr>
        <w:t>十二、不可抗力事件处理</w:t>
      </w:r>
    </w:p>
    <w:p>
      <w:pPr>
        <w:pStyle w:val="10"/>
        <w:spacing w:before="129" w:line="357" w:lineRule="auto"/>
        <w:ind w:left="218" w:right="500" w:firstLine="420"/>
        <w:rPr>
          <w:rFonts w:hint="eastAsia" w:ascii="宋体" w:hAnsi="宋体" w:eastAsia="宋体" w:cs="宋体"/>
        </w:rPr>
      </w:pPr>
      <w:r>
        <w:rPr>
          <w:rFonts w:hint="eastAsia" w:ascii="宋体" w:hAnsi="宋体" w:eastAsia="宋体" w:cs="宋体"/>
        </w:rPr>
        <w:t>1、不可抗力，是指本合同双方不能合理</w:t>
      </w:r>
      <w:r>
        <w:rPr>
          <w:rFonts w:hint="eastAsia" w:ascii="宋体" w:hAnsi="宋体" w:eastAsia="宋体" w:cs="宋体"/>
          <w:spacing w:val="-9"/>
        </w:rPr>
        <w:t>控制、不可预见或即使预见亦无法避免的事件，该事</w:t>
      </w:r>
      <w:r>
        <w:rPr>
          <w:rFonts w:hint="eastAsia" w:ascii="宋体" w:hAnsi="宋体" w:eastAsia="宋体" w:cs="宋体"/>
          <w:spacing w:val="-9"/>
          <w:w w:val="100"/>
        </w:rPr>
        <w:t>件妨碍、影响或延误任何一方根据本合同履行其全部或部分义务。该事件包括但不限于：自然原因，</w:t>
      </w:r>
      <w:r>
        <w:rPr>
          <w:rFonts w:hint="eastAsia" w:ascii="宋体" w:hAnsi="宋体" w:eastAsia="宋体" w:cs="宋体"/>
          <w:spacing w:val="-9"/>
        </w:rPr>
        <w:t>例如：地震、火灾、严重的传染性疾病等；国家机关政府行</w:t>
      </w:r>
      <w:r>
        <w:rPr>
          <w:rFonts w:hint="eastAsia" w:ascii="宋体" w:hAnsi="宋体" w:eastAsia="宋体" w:cs="宋体"/>
          <w:spacing w:val="-8"/>
        </w:rPr>
        <w:t>为之原因，例如：法律、政策、行政指令。</w:t>
      </w:r>
    </w:p>
    <w:p>
      <w:pPr>
        <w:pStyle w:val="10"/>
        <w:spacing w:line="357" w:lineRule="auto"/>
        <w:ind w:left="218" w:right="606" w:firstLine="420"/>
        <w:rPr>
          <w:rFonts w:hint="eastAsia" w:ascii="宋体" w:hAnsi="宋体" w:eastAsia="宋体" w:cs="宋体"/>
        </w:rPr>
      </w:pPr>
      <w:r>
        <w:rPr>
          <w:rFonts w:hint="eastAsia" w:ascii="宋体" w:hAnsi="宋体" w:eastAsia="宋体" w:cs="宋体"/>
        </w:rPr>
        <w:t>2、遭受不可抗力事件的一方可暂行中止履行本合同项下的义务直至不可抗力事件的影响消除为止，并且无需为此而承担违约责任；但应尽最大努力克服该事件，减轻其负面影响。</w:t>
      </w:r>
    </w:p>
    <w:p>
      <w:pPr>
        <w:pStyle w:val="10"/>
        <w:spacing w:line="357" w:lineRule="auto"/>
        <w:ind w:left="218" w:right="603" w:firstLine="420"/>
        <w:jc w:val="both"/>
        <w:rPr>
          <w:rFonts w:hint="eastAsia" w:ascii="宋体" w:hAnsi="宋体" w:eastAsia="宋体" w:cs="宋体"/>
        </w:rPr>
      </w:pPr>
      <w:r>
        <w:rPr>
          <w:rFonts w:hint="eastAsia" w:ascii="宋体" w:hAnsi="宋体" w:eastAsia="宋体" w:cs="宋体"/>
        </w:rPr>
        <w:t>3、在本</w:t>
      </w:r>
      <w:r>
        <w:rPr>
          <w:rFonts w:hint="eastAsia" w:ascii="宋体" w:hAnsi="宋体" w:eastAsia="宋体" w:cs="宋体"/>
          <w:spacing w:val="-9"/>
        </w:rPr>
        <w:t>合同履行中，一旦本合同一方或双方遭受不可抗力，则不可抗力发生方须在尽可能短</w:t>
      </w:r>
      <w:r>
        <w:rPr>
          <w:rFonts w:hint="eastAsia" w:ascii="宋体" w:hAnsi="宋体" w:eastAsia="宋体" w:cs="宋体"/>
          <w:spacing w:val="-9"/>
          <w:w w:val="100"/>
        </w:rPr>
        <w:t>的时间内通知对方。如果不可抗力的发生，不会造成不可抗力发生方对本合同的根本违约，则另一方应该在履约时间上给与对方适当的宽限。如果不可抗力的发生，造成了不可抗力发生方无法履行</w:t>
      </w:r>
      <w:r>
        <w:rPr>
          <w:rFonts w:hint="eastAsia" w:ascii="宋体" w:hAnsi="宋体" w:eastAsia="宋体" w:cs="宋体"/>
          <w:spacing w:val="-9"/>
        </w:rPr>
        <w:t>本合同，则本合同终</w:t>
      </w:r>
      <w:r>
        <w:rPr>
          <w:rFonts w:hint="eastAsia" w:ascii="宋体" w:hAnsi="宋体" w:eastAsia="宋体" w:cs="宋体"/>
          <w:spacing w:val="-8"/>
        </w:rPr>
        <w:t>止。</w:t>
      </w:r>
    </w:p>
    <w:p>
      <w:pPr>
        <w:pStyle w:val="10"/>
        <w:spacing w:before="131" w:line="357" w:lineRule="auto"/>
        <w:ind w:left="218" w:right="500" w:firstLine="420"/>
        <w:jc w:val="both"/>
        <w:rPr>
          <w:rFonts w:hint="eastAsia" w:ascii="宋体" w:hAnsi="宋体" w:eastAsia="宋体" w:cs="宋体"/>
          <w:spacing w:val="-9"/>
        </w:rPr>
      </w:pPr>
      <w:r>
        <w:rPr>
          <w:rFonts w:hint="eastAsia" w:ascii="宋体" w:hAnsi="宋体" w:eastAsia="宋体" w:cs="宋体"/>
        </w:rPr>
        <w:t>十三、合同相关文件：有关本次采</w:t>
      </w:r>
      <w:r>
        <w:rPr>
          <w:rFonts w:hint="eastAsia" w:ascii="宋体" w:hAnsi="宋体" w:eastAsia="宋体" w:cs="宋体"/>
          <w:spacing w:val="-9"/>
        </w:rPr>
        <w:t>购项目的采购文件以及相关的函件如答疑函、承诺函等均为</w:t>
      </w:r>
    </w:p>
    <w:p>
      <w:pPr>
        <w:pStyle w:val="10"/>
        <w:spacing w:before="131" w:line="357" w:lineRule="auto"/>
        <w:ind w:left="218" w:right="500" w:firstLine="420"/>
        <w:jc w:val="both"/>
        <w:rPr>
          <w:rFonts w:hint="eastAsia" w:ascii="宋体" w:hAnsi="宋体" w:eastAsia="宋体" w:cs="宋体"/>
          <w:spacing w:val="-9"/>
        </w:rPr>
        <w:sectPr>
          <w:footerReference r:id="rId9" w:type="default"/>
          <w:pgSz w:w="11910" w:h="16840"/>
          <w:pgMar w:top="1360" w:right="920" w:bottom="1040" w:left="1200" w:header="0" w:footer="852" w:gutter="0"/>
          <w:cols w:space="720" w:num="1"/>
        </w:sectPr>
      </w:pPr>
    </w:p>
    <w:p>
      <w:pPr>
        <w:pStyle w:val="10"/>
        <w:spacing w:before="131" w:line="357" w:lineRule="auto"/>
        <w:ind w:left="218" w:right="500" w:firstLine="420"/>
        <w:jc w:val="both"/>
        <w:rPr>
          <w:rFonts w:hint="eastAsia" w:ascii="宋体" w:hAnsi="宋体" w:eastAsia="宋体" w:cs="宋体"/>
        </w:rPr>
      </w:pPr>
      <w:r>
        <w:rPr>
          <w:rFonts w:hint="eastAsia" w:ascii="宋体" w:hAnsi="宋体" w:eastAsia="宋体" w:cs="宋体"/>
          <w:spacing w:val="-9"/>
          <w:w w:val="100"/>
        </w:rPr>
        <w:t xml:space="preserve">本合同不可分割的一部份。若“本次采购项目的采购文件以及相关的函件、如答疑函、承诺函”与   </w:t>
      </w:r>
      <w:r>
        <w:rPr>
          <w:rFonts w:hint="eastAsia" w:ascii="宋体" w:hAnsi="宋体" w:eastAsia="宋体" w:cs="宋体"/>
          <w:spacing w:val="-9"/>
        </w:rPr>
        <w:t>本合同有出入时，以“本次采购项目的采购文件以及</w:t>
      </w:r>
      <w:r>
        <w:rPr>
          <w:rFonts w:hint="eastAsia" w:ascii="宋体" w:hAnsi="宋体" w:eastAsia="宋体" w:cs="宋体"/>
          <w:spacing w:val="-6"/>
        </w:rPr>
        <w:t>相关的函件如答疑函、承诺函”为准。</w:t>
      </w:r>
    </w:p>
    <w:p>
      <w:pPr>
        <w:pStyle w:val="10"/>
        <w:spacing w:before="3"/>
        <w:ind w:left="638"/>
        <w:rPr>
          <w:rFonts w:hint="eastAsia" w:ascii="宋体" w:hAnsi="宋体" w:eastAsia="宋体" w:cs="宋体"/>
        </w:rPr>
      </w:pPr>
      <w:r>
        <w:rPr>
          <w:rFonts w:hint="eastAsia" w:ascii="宋体" w:hAnsi="宋体" w:eastAsia="宋体" w:cs="宋体"/>
        </w:rPr>
        <w:t>十四、争议及解决：</w:t>
      </w:r>
    </w:p>
    <w:p>
      <w:pPr>
        <w:pStyle w:val="10"/>
        <w:tabs>
          <w:tab w:val="left" w:pos="3472"/>
          <w:tab w:val="left" w:pos="7463"/>
        </w:tabs>
        <w:spacing w:before="132" w:line="355" w:lineRule="auto"/>
        <w:ind w:left="638" w:right="1062"/>
        <w:rPr>
          <w:rFonts w:hint="eastAsia" w:ascii="宋体" w:hAnsi="宋体" w:eastAsia="宋体" w:cs="宋体"/>
        </w:rPr>
      </w:pPr>
      <w:r>
        <w:rPr>
          <w:rFonts w:hint="eastAsia" w:ascii="宋体" w:hAnsi="宋体" w:eastAsia="宋体" w:cs="宋体"/>
        </w:rPr>
        <w:t>本合同在履行中若发生争议，双方应协商解决。协商不成时，按下列第</w:t>
      </w:r>
      <w:r>
        <w:rPr>
          <w:rFonts w:hint="eastAsia" w:ascii="宋体" w:hAnsi="宋体" w:eastAsia="宋体" w:cs="宋体"/>
          <w:u w:val="single"/>
        </w:rPr>
        <w:t xml:space="preserve"> </w:t>
      </w:r>
      <w:r>
        <w:rPr>
          <w:rFonts w:hint="eastAsia" w:ascii="宋体" w:hAnsi="宋体" w:eastAsia="宋体" w:cs="宋体"/>
          <w:u w:val="single"/>
        </w:rPr>
        <w:tab/>
      </w:r>
      <w:r>
        <w:rPr>
          <w:rFonts w:hint="eastAsia" w:ascii="宋体" w:hAnsi="宋体" w:eastAsia="宋体" w:cs="宋体"/>
        </w:rPr>
        <w:t>种方式处理</w:t>
      </w:r>
      <w:r>
        <w:rPr>
          <w:rFonts w:hint="eastAsia" w:ascii="宋体" w:hAnsi="宋体" w:eastAsia="宋体" w:cs="宋体"/>
          <w:spacing w:val="-14"/>
        </w:rPr>
        <w:t xml:space="preserve">： </w:t>
      </w:r>
      <w:r>
        <w:rPr>
          <w:rFonts w:hint="eastAsia" w:ascii="宋体" w:hAnsi="宋体" w:eastAsia="宋体" w:cs="宋体"/>
        </w:rPr>
        <w:t>(1)提交仲裁委员会仲裁。</w:t>
      </w:r>
      <w:r>
        <w:rPr>
          <w:rFonts w:hint="eastAsia" w:ascii="宋体" w:hAnsi="宋体" w:eastAsia="宋体" w:cs="宋体"/>
        </w:rPr>
        <w:tab/>
      </w:r>
      <w:r>
        <w:rPr>
          <w:rFonts w:hint="eastAsia" w:ascii="宋体" w:hAnsi="宋体" w:eastAsia="宋体" w:cs="宋体"/>
        </w:rPr>
        <w:t>(2)依法向人民法院起诉。</w:t>
      </w:r>
    </w:p>
    <w:p>
      <w:pPr>
        <w:pStyle w:val="10"/>
        <w:spacing w:before="3"/>
        <w:ind w:left="638"/>
        <w:rPr>
          <w:rFonts w:hint="eastAsia" w:ascii="宋体" w:hAnsi="宋体" w:eastAsia="宋体" w:cs="宋体"/>
        </w:rPr>
      </w:pPr>
      <w:r>
        <w:rPr>
          <w:rFonts w:hint="eastAsia" w:ascii="宋体" w:hAnsi="宋体" w:eastAsia="宋体" w:cs="宋体"/>
        </w:rPr>
        <w:t>十五、其他</w:t>
      </w:r>
    </w:p>
    <w:p>
      <w:pPr>
        <w:pStyle w:val="10"/>
        <w:spacing w:before="131" w:line="357" w:lineRule="auto"/>
        <w:ind w:left="218" w:right="500" w:firstLine="420"/>
        <w:jc w:val="both"/>
        <w:rPr>
          <w:rFonts w:hint="eastAsia" w:ascii="宋体" w:hAnsi="宋体" w:eastAsia="宋体" w:cs="宋体"/>
        </w:rPr>
      </w:pPr>
      <w:r>
        <w:rPr>
          <w:rFonts w:hint="eastAsia" w:ascii="宋体" w:hAnsi="宋体" w:eastAsia="宋体" w:cs="宋体"/>
          <w:spacing w:val="-9"/>
          <w:w w:val="100"/>
        </w:rPr>
        <w:t>本合同经甲乙双方签字盖章后生效。本合同未尽事宜按《中华人民共和国</w:t>
      </w:r>
      <w:r>
        <w:rPr>
          <w:rFonts w:hint="eastAsia" w:cs="宋体"/>
          <w:spacing w:val="-9"/>
          <w:w w:val="100"/>
          <w:lang w:eastAsia="zh-CN"/>
        </w:rPr>
        <w:t>民法典</w:t>
      </w:r>
      <w:r>
        <w:rPr>
          <w:rFonts w:hint="eastAsia" w:ascii="宋体" w:hAnsi="宋体" w:eastAsia="宋体" w:cs="宋体"/>
          <w:spacing w:val="-9"/>
          <w:w w:val="100"/>
        </w:rPr>
        <w:t xml:space="preserve">》的有关规定，   </w:t>
      </w:r>
      <w:r>
        <w:rPr>
          <w:rFonts w:hint="eastAsia" w:ascii="宋体" w:hAnsi="宋体" w:eastAsia="宋体" w:cs="宋体"/>
          <w:spacing w:val="-9"/>
        </w:rPr>
        <w:t>双方在不违背本合同和采购(招标)文件的原则下，共同协商，协商结果以书面形式盖章记录在案，作为本合同的附件，附件与本合同同具法律效力。</w:t>
      </w:r>
    </w:p>
    <w:p>
      <w:pPr>
        <w:pStyle w:val="10"/>
        <w:spacing w:after="21" w:line="266" w:lineRule="exact"/>
        <w:ind w:left="638"/>
        <w:rPr>
          <w:rFonts w:hint="eastAsia" w:ascii="宋体" w:hAnsi="宋体" w:eastAsia="宋体" w:cs="宋体"/>
        </w:rPr>
      </w:pPr>
      <w:r>
        <w:rPr>
          <w:rFonts w:hint="eastAsia" w:ascii="宋体" w:hAnsi="宋体" w:eastAsia="宋体" w:cs="宋体"/>
        </w:rPr>
        <w:t>本合同一式六份，甲、乙双方和</w:t>
      </w:r>
      <w:r>
        <w:rPr>
          <w:rFonts w:hint="eastAsia" w:ascii="宋体" w:hAnsi="宋体" w:eastAsia="宋体" w:cs="宋体"/>
          <w:lang w:eastAsia="zh-CN"/>
        </w:rPr>
        <w:t>杭州中乙信息科技咨询有限公司</w:t>
      </w:r>
      <w:r>
        <w:rPr>
          <w:rFonts w:hint="eastAsia" w:ascii="宋体" w:hAnsi="宋体" w:eastAsia="宋体" w:cs="宋体"/>
        </w:rPr>
        <w:t>各执二份。</w:t>
      </w:r>
    </w:p>
    <w:tbl>
      <w:tblPr>
        <w:tblStyle w:val="16"/>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6"/>
        <w:gridCol w:w="3150"/>
        <w:gridCol w:w="2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6" w:hRule="atLeast"/>
        </w:trPr>
        <w:tc>
          <w:tcPr>
            <w:tcW w:w="2986" w:type="dxa"/>
          </w:tcPr>
          <w:p>
            <w:pPr>
              <w:pStyle w:val="21"/>
              <w:spacing w:before="176" w:line="556" w:lineRule="auto"/>
              <w:ind w:left="107" w:right="768"/>
              <w:rPr>
                <w:rFonts w:hint="eastAsia" w:ascii="宋体" w:hAnsi="宋体" w:eastAsia="宋体" w:cs="宋体"/>
                <w:sz w:val="21"/>
                <w:szCs w:val="21"/>
              </w:rPr>
            </w:pPr>
            <w:r>
              <w:rPr>
                <w:rFonts w:hint="eastAsia" w:ascii="宋体" w:hAnsi="宋体" w:eastAsia="宋体" w:cs="宋体"/>
                <w:sz w:val="21"/>
                <w:szCs w:val="21"/>
              </w:rPr>
              <w:t>甲方单位名称（章）： 单位地址：</w:t>
            </w:r>
          </w:p>
          <w:p>
            <w:pPr>
              <w:pStyle w:val="21"/>
              <w:spacing w:line="556" w:lineRule="auto"/>
              <w:ind w:left="107" w:right="1608"/>
              <w:jc w:val="both"/>
              <w:rPr>
                <w:rFonts w:hint="eastAsia" w:ascii="宋体" w:hAnsi="宋体" w:eastAsia="宋体" w:cs="宋体"/>
                <w:sz w:val="21"/>
                <w:szCs w:val="21"/>
              </w:rPr>
            </w:pPr>
            <w:r>
              <w:rPr>
                <w:rFonts w:hint="eastAsia" w:ascii="宋体" w:hAnsi="宋体" w:eastAsia="宋体" w:cs="宋体"/>
                <w:spacing w:val="-3"/>
                <w:sz w:val="21"/>
                <w:szCs w:val="21"/>
              </w:rPr>
              <w:t xml:space="preserve">法定代表人： 委托代理人： </w:t>
            </w:r>
            <w:r>
              <w:rPr>
                <w:rFonts w:hint="eastAsia" w:ascii="宋体" w:hAnsi="宋体" w:eastAsia="宋体" w:cs="宋体"/>
                <w:spacing w:val="-1"/>
                <w:sz w:val="21"/>
                <w:szCs w:val="21"/>
              </w:rPr>
              <w:t>电 话：</w:t>
            </w:r>
          </w:p>
          <w:p>
            <w:pPr>
              <w:pStyle w:val="21"/>
              <w:spacing w:line="556" w:lineRule="auto"/>
              <w:ind w:left="107" w:right="1817"/>
              <w:jc w:val="both"/>
              <w:rPr>
                <w:rFonts w:hint="eastAsia" w:ascii="宋体" w:hAnsi="宋体" w:eastAsia="宋体" w:cs="宋体"/>
                <w:sz w:val="21"/>
                <w:szCs w:val="21"/>
              </w:rPr>
            </w:pPr>
            <w:r>
              <w:rPr>
                <w:rFonts w:hint="eastAsia" w:ascii="宋体" w:hAnsi="宋体" w:eastAsia="宋体" w:cs="宋体"/>
                <w:spacing w:val="-3"/>
                <w:sz w:val="21"/>
                <w:szCs w:val="21"/>
              </w:rPr>
              <w:t xml:space="preserve">开户银行： </w:t>
            </w:r>
            <w:r>
              <w:rPr>
                <w:rFonts w:hint="eastAsia" w:ascii="宋体" w:hAnsi="宋体" w:eastAsia="宋体" w:cs="宋体"/>
                <w:spacing w:val="-1"/>
                <w:sz w:val="21"/>
                <w:szCs w:val="21"/>
              </w:rPr>
              <w:t>帐 号：</w:t>
            </w:r>
          </w:p>
          <w:p>
            <w:pPr>
              <w:pStyle w:val="21"/>
              <w:spacing w:line="269" w:lineRule="exact"/>
              <w:ind w:left="107"/>
              <w:rPr>
                <w:rFonts w:hint="eastAsia" w:ascii="宋体" w:hAnsi="宋体" w:eastAsia="宋体" w:cs="宋体"/>
                <w:sz w:val="21"/>
                <w:szCs w:val="21"/>
              </w:rPr>
            </w:pPr>
            <w:r>
              <w:rPr>
                <w:rFonts w:hint="eastAsia" w:ascii="宋体" w:hAnsi="宋体" w:eastAsia="宋体" w:cs="宋体"/>
                <w:sz w:val="21"/>
                <w:szCs w:val="21"/>
              </w:rPr>
              <w:t>邮政编码：</w:t>
            </w:r>
          </w:p>
        </w:tc>
        <w:tc>
          <w:tcPr>
            <w:tcW w:w="3150" w:type="dxa"/>
          </w:tcPr>
          <w:p>
            <w:pPr>
              <w:pStyle w:val="21"/>
              <w:spacing w:before="176" w:line="556" w:lineRule="auto"/>
              <w:ind w:left="107" w:right="933"/>
              <w:rPr>
                <w:rFonts w:hint="eastAsia" w:ascii="宋体" w:hAnsi="宋体" w:eastAsia="宋体" w:cs="宋体"/>
                <w:sz w:val="21"/>
                <w:szCs w:val="21"/>
              </w:rPr>
            </w:pPr>
            <w:r>
              <w:rPr>
                <w:rFonts w:hint="eastAsia" w:ascii="宋体" w:hAnsi="宋体" w:eastAsia="宋体" w:cs="宋体"/>
                <w:sz w:val="21"/>
                <w:szCs w:val="21"/>
              </w:rPr>
              <w:t>乙方单位名称（章）： 单位地址：</w:t>
            </w:r>
          </w:p>
          <w:p>
            <w:pPr>
              <w:pStyle w:val="21"/>
              <w:spacing w:line="556" w:lineRule="auto"/>
              <w:ind w:left="107" w:right="1773"/>
              <w:jc w:val="both"/>
              <w:rPr>
                <w:rFonts w:hint="eastAsia" w:ascii="宋体" w:hAnsi="宋体" w:eastAsia="宋体" w:cs="宋体"/>
                <w:sz w:val="21"/>
                <w:szCs w:val="21"/>
              </w:rPr>
            </w:pPr>
            <w:r>
              <w:rPr>
                <w:rFonts w:hint="eastAsia" w:ascii="宋体" w:hAnsi="宋体" w:eastAsia="宋体" w:cs="宋体"/>
                <w:spacing w:val="-3"/>
                <w:sz w:val="21"/>
                <w:szCs w:val="21"/>
              </w:rPr>
              <w:t xml:space="preserve">法定代表人： 委托代理人： </w:t>
            </w:r>
            <w:r>
              <w:rPr>
                <w:rFonts w:hint="eastAsia" w:ascii="宋体" w:hAnsi="宋体" w:eastAsia="宋体" w:cs="宋体"/>
                <w:spacing w:val="-1"/>
                <w:sz w:val="21"/>
                <w:szCs w:val="21"/>
              </w:rPr>
              <w:t>电 话：</w:t>
            </w:r>
          </w:p>
          <w:p>
            <w:pPr>
              <w:pStyle w:val="21"/>
              <w:spacing w:line="556" w:lineRule="auto"/>
              <w:ind w:left="107" w:right="1981"/>
              <w:jc w:val="both"/>
              <w:rPr>
                <w:rFonts w:hint="eastAsia" w:ascii="宋体" w:hAnsi="宋体" w:eastAsia="宋体" w:cs="宋体"/>
                <w:sz w:val="21"/>
                <w:szCs w:val="21"/>
              </w:rPr>
            </w:pPr>
            <w:r>
              <w:rPr>
                <w:rFonts w:hint="eastAsia" w:ascii="宋体" w:hAnsi="宋体" w:eastAsia="宋体" w:cs="宋体"/>
                <w:spacing w:val="-3"/>
                <w:sz w:val="21"/>
                <w:szCs w:val="21"/>
              </w:rPr>
              <w:t xml:space="preserve">开户银行： </w:t>
            </w:r>
            <w:r>
              <w:rPr>
                <w:rFonts w:hint="eastAsia" w:ascii="宋体" w:hAnsi="宋体" w:eastAsia="宋体" w:cs="宋体"/>
                <w:spacing w:val="-1"/>
                <w:sz w:val="21"/>
                <w:szCs w:val="21"/>
              </w:rPr>
              <w:t>帐 号：</w:t>
            </w:r>
          </w:p>
          <w:p>
            <w:pPr>
              <w:pStyle w:val="21"/>
              <w:spacing w:line="269" w:lineRule="exact"/>
              <w:ind w:left="107"/>
              <w:rPr>
                <w:rFonts w:hint="eastAsia" w:ascii="宋体" w:hAnsi="宋体" w:eastAsia="宋体" w:cs="宋体"/>
                <w:sz w:val="21"/>
                <w:szCs w:val="21"/>
              </w:rPr>
            </w:pPr>
            <w:r>
              <w:rPr>
                <w:rFonts w:hint="eastAsia" w:ascii="宋体" w:hAnsi="宋体" w:eastAsia="宋体" w:cs="宋体"/>
                <w:sz w:val="21"/>
                <w:szCs w:val="21"/>
              </w:rPr>
              <w:t>邮政编码：</w:t>
            </w:r>
          </w:p>
        </w:tc>
        <w:tc>
          <w:tcPr>
            <w:tcW w:w="2932" w:type="dxa"/>
          </w:tcPr>
          <w:p>
            <w:pPr>
              <w:pStyle w:val="21"/>
              <w:spacing w:before="99"/>
              <w:ind w:left="108"/>
              <w:rPr>
                <w:rFonts w:hint="eastAsia" w:ascii="宋体" w:hAnsi="宋体" w:eastAsia="宋体" w:cs="宋体"/>
                <w:sz w:val="21"/>
                <w:szCs w:val="21"/>
              </w:rPr>
            </w:pPr>
            <w:r>
              <w:rPr>
                <w:rFonts w:hint="eastAsia" w:ascii="宋体" w:hAnsi="宋体" w:eastAsia="宋体" w:cs="宋体"/>
                <w:sz w:val="21"/>
                <w:szCs w:val="21"/>
              </w:rPr>
              <w:t>采购代理机构意见：</w:t>
            </w: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spacing w:before="1"/>
              <w:rPr>
                <w:rFonts w:hint="eastAsia" w:ascii="宋体" w:hAnsi="宋体" w:eastAsia="宋体" w:cs="宋体"/>
                <w:sz w:val="21"/>
                <w:szCs w:val="21"/>
              </w:rPr>
            </w:pPr>
          </w:p>
          <w:p>
            <w:pPr>
              <w:pStyle w:val="21"/>
              <w:tabs>
                <w:tab w:val="left" w:pos="2006"/>
                <w:tab w:val="left" w:pos="2532"/>
              </w:tabs>
              <w:ind w:left="1377"/>
              <w:rPr>
                <w:rFonts w:hint="eastAsia" w:ascii="宋体" w:hAnsi="宋体" w:eastAsia="宋体" w:cs="宋体"/>
                <w:sz w:val="21"/>
                <w:szCs w:val="21"/>
              </w:rPr>
            </w:pPr>
            <w:r>
              <w:rPr>
                <w:rFonts w:hint="eastAsia" w:ascii="宋体" w:hAnsi="宋体" w:eastAsia="宋体" w:cs="宋体"/>
                <w:sz w:val="21"/>
                <w:szCs w:val="21"/>
              </w:rPr>
              <w:t>年</w:t>
            </w:r>
            <w:r>
              <w:rPr>
                <w:rFonts w:hint="eastAsia" w:ascii="宋体" w:hAnsi="宋体" w:eastAsia="宋体" w:cs="宋体"/>
                <w:sz w:val="21"/>
                <w:szCs w:val="21"/>
              </w:rPr>
              <w:tab/>
            </w:r>
            <w:r>
              <w:rPr>
                <w:rFonts w:hint="eastAsia" w:ascii="宋体" w:hAnsi="宋体" w:eastAsia="宋体" w:cs="宋体"/>
                <w:sz w:val="21"/>
                <w:szCs w:val="21"/>
              </w:rPr>
              <w:t>月</w:t>
            </w:r>
            <w:r>
              <w:rPr>
                <w:rFonts w:hint="eastAsia" w:ascii="宋体" w:hAnsi="宋体" w:eastAsia="宋体" w:cs="宋体"/>
                <w:sz w:val="21"/>
                <w:szCs w:val="21"/>
              </w:rPr>
              <w:tab/>
            </w:r>
            <w:r>
              <w:rPr>
                <w:rFonts w:hint="eastAsia" w:ascii="宋体" w:hAnsi="宋体" w:eastAsia="宋体" w:cs="宋体"/>
                <w:sz w:val="21"/>
                <w:szCs w:val="21"/>
              </w:rPr>
              <w:t>日</w:t>
            </w:r>
          </w:p>
        </w:tc>
      </w:tr>
    </w:tbl>
    <w:p>
      <w:r>
        <w:br w:type="page"/>
      </w:r>
    </w:p>
    <w:p>
      <w:pPr>
        <w:pStyle w:val="3"/>
        <w:ind w:left="273"/>
      </w:pPr>
      <w:r>
        <w:t>第八章 投标文件格式</w:t>
      </w:r>
    </w:p>
    <w:p>
      <w:pPr>
        <w:pStyle w:val="10"/>
        <w:spacing w:before="6"/>
        <w:rPr>
          <w:b/>
          <w:sz w:val="18"/>
        </w:rPr>
      </w:pPr>
    </w:p>
    <w:p>
      <w:pPr>
        <w:rPr>
          <w:b/>
          <w:highlight w:val="none"/>
        </w:rPr>
      </w:pPr>
      <w:r>
        <w:rPr>
          <w:b/>
          <w:highlight w:val="none"/>
        </w:rPr>
        <w:t>封面格式：</w:t>
      </w:r>
    </w:p>
    <w:p>
      <w:pPr>
        <w:pStyle w:val="11"/>
        <w:spacing w:line="240" w:lineRule="auto"/>
        <w:ind w:firstLine="0"/>
        <w:rPr>
          <w:b/>
          <w:bCs/>
          <w:highlight w:val="none"/>
        </w:rPr>
      </w:pPr>
    </w:p>
    <w:p/>
    <w:p>
      <w:pPr>
        <w:pStyle w:val="11"/>
        <w:spacing w:line="240" w:lineRule="auto"/>
        <w:ind w:firstLine="0"/>
        <w:jc w:val="center"/>
        <w:rPr>
          <w:b/>
          <w:bCs/>
          <w:highlight w:val="none"/>
        </w:rPr>
      </w:pPr>
    </w:p>
    <w:p>
      <w:pPr>
        <w:pStyle w:val="11"/>
        <w:spacing w:line="240" w:lineRule="auto"/>
        <w:ind w:left="1760" w:hanging="1760" w:hangingChars="400"/>
        <w:jc w:val="center"/>
        <w:rPr>
          <w:rFonts w:hint="eastAsia" w:eastAsia="宋体"/>
          <w:sz w:val="52"/>
          <w:szCs w:val="52"/>
          <w:highlight w:val="none"/>
          <w:lang w:eastAsia="zh-CN"/>
        </w:rPr>
      </w:pPr>
      <w:r>
        <w:rPr>
          <w:rFonts w:hint="eastAsia"/>
          <w:sz w:val="44"/>
          <w:szCs w:val="44"/>
          <w:highlight w:val="none"/>
          <w:lang w:eastAsia="zh-CN"/>
        </w:rPr>
        <w:t>兰溪市第一次水旱灾害风险普查项目</w:t>
      </w:r>
    </w:p>
    <w:p>
      <w:pPr>
        <w:pStyle w:val="11"/>
        <w:tabs>
          <w:tab w:val="left" w:pos="0"/>
          <w:tab w:val="clear" w:pos="3025"/>
        </w:tabs>
        <w:spacing w:line="240" w:lineRule="auto"/>
        <w:ind w:firstLine="0"/>
        <w:jc w:val="center"/>
        <w:rPr>
          <w:sz w:val="32"/>
          <w:szCs w:val="32"/>
          <w:highlight w:val="none"/>
        </w:rPr>
      </w:pPr>
      <w:r>
        <w:rPr>
          <w:sz w:val="32"/>
          <w:szCs w:val="32"/>
          <w:highlight w:val="none"/>
        </w:rPr>
        <w:t>（采购编号：</w:t>
      </w:r>
      <w:r>
        <w:rPr>
          <w:rFonts w:hint="eastAsia"/>
          <w:b/>
          <w:szCs w:val="24"/>
          <w:highlight w:val="none"/>
          <w:lang w:eastAsia="zh-CN"/>
        </w:rPr>
        <w:t>HZZY2021-GK-051</w:t>
      </w:r>
      <w:r>
        <w:rPr>
          <w:sz w:val="32"/>
          <w:szCs w:val="32"/>
          <w:highlight w:val="none"/>
        </w:rPr>
        <w:t>）</w:t>
      </w:r>
    </w:p>
    <w:p>
      <w:pPr>
        <w:pStyle w:val="11"/>
        <w:spacing w:line="240" w:lineRule="auto"/>
        <w:ind w:firstLine="3200" w:firstLineChars="1000"/>
        <w:jc w:val="left"/>
        <w:rPr>
          <w:sz w:val="32"/>
          <w:szCs w:val="32"/>
          <w:highlight w:val="none"/>
        </w:rPr>
      </w:pPr>
    </w:p>
    <w:p>
      <w:pPr>
        <w:pStyle w:val="11"/>
        <w:spacing w:line="240" w:lineRule="auto"/>
        <w:ind w:firstLine="3200" w:firstLineChars="1000"/>
        <w:jc w:val="left"/>
        <w:rPr>
          <w:sz w:val="32"/>
          <w:szCs w:val="32"/>
          <w:highlight w:val="none"/>
        </w:rPr>
      </w:pPr>
    </w:p>
    <w:p>
      <w:pPr>
        <w:pStyle w:val="11"/>
        <w:spacing w:line="240" w:lineRule="auto"/>
        <w:ind w:firstLine="3200" w:firstLineChars="1000"/>
        <w:jc w:val="left"/>
        <w:rPr>
          <w:sz w:val="32"/>
          <w:szCs w:val="32"/>
          <w:highlight w:val="none"/>
        </w:rPr>
      </w:pPr>
    </w:p>
    <w:p>
      <w:pPr>
        <w:pStyle w:val="11"/>
        <w:spacing w:line="240" w:lineRule="auto"/>
        <w:ind w:firstLine="0"/>
        <w:jc w:val="center"/>
        <w:rPr>
          <w:sz w:val="52"/>
          <w:szCs w:val="52"/>
          <w:highlight w:val="none"/>
        </w:rPr>
      </w:pPr>
      <w:r>
        <w:rPr>
          <w:sz w:val="52"/>
          <w:szCs w:val="52"/>
          <w:highlight w:val="none"/>
        </w:rPr>
        <w:t>投标文件</w:t>
      </w:r>
    </w:p>
    <w:p>
      <w:pPr>
        <w:pStyle w:val="11"/>
        <w:spacing w:line="240" w:lineRule="auto"/>
        <w:ind w:firstLine="0"/>
        <w:jc w:val="center"/>
        <w:rPr>
          <w:sz w:val="52"/>
          <w:szCs w:val="52"/>
          <w:highlight w:val="none"/>
        </w:rPr>
      </w:pPr>
    </w:p>
    <w:p>
      <w:pPr>
        <w:pStyle w:val="11"/>
        <w:spacing w:line="240" w:lineRule="auto"/>
        <w:ind w:firstLine="0"/>
        <w:jc w:val="left"/>
        <w:rPr>
          <w:sz w:val="52"/>
          <w:szCs w:val="52"/>
          <w:highlight w:val="none"/>
        </w:rPr>
      </w:pPr>
    </w:p>
    <w:p>
      <w:pPr>
        <w:pStyle w:val="11"/>
        <w:spacing w:line="240" w:lineRule="auto"/>
        <w:ind w:firstLine="0"/>
        <w:jc w:val="center"/>
        <w:rPr>
          <w:sz w:val="48"/>
          <w:szCs w:val="48"/>
          <w:highlight w:val="none"/>
        </w:rPr>
      </w:pPr>
      <w:r>
        <w:rPr>
          <w:sz w:val="48"/>
          <w:szCs w:val="48"/>
          <w:highlight w:val="none"/>
        </w:rPr>
        <w:t>（资格文件，或商务技术文件，或报价文件）</w:t>
      </w:r>
    </w:p>
    <w:p>
      <w:pPr>
        <w:pStyle w:val="11"/>
        <w:spacing w:line="240" w:lineRule="auto"/>
        <w:ind w:firstLine="0"/>
        <w:jc w:val="center"/>
        <w:rPr>
          <w:sz w:val="52"/>
          <w:szCs w:val="52"/>
          <w:highlight w:val="none"/>
        </w:rPr>
      </w:pPr>
    </w:p>
    <w:p>
      <w:pPr>
        <w:pStyle w:val="11"/>
        <w:spacing w:line="240" w:lineRule="auto"/>
        <w:ind w:firstLine="3900" w:firstLineChars="750"/>
        <w:jc w:val="left"/>
        <w:rPr>
          <w:sz w:val="52"/>
          <w:szCs w:val="52"/>
          <w:highlight w:val="none"/>
        </w:rPr>
      </w:pPr>
    </w:p>
    <w:p>
      <w:pPr>
        <w:pStyle w:val="11"/>
        <w:spacing w:line="240" w:lineRule="auto"/>
        <w:ind w:firstLine="3900" w:firstLineChars="750"/>
        <w:jc w:val="left"/>
        <w:rPr>
          <w:sz w:val="52"/>
          <w:szCs w:val="52"/>
          <w:highlight w:val="none"/>
        </w:rPr>
      </w:pPr>
    </w:p>
    <w:p>
      <w:pPr>
        <w:rPr>
          <w:sz w:val="52"/>
          <w:szCs w:val="52"/>
          <w:highlight w:val="none"/>
        </w:rPr>
      </w:pPr>
    </w:p>
    <w:p>
      <w:pPr>
        <w:pStyle w:val="31"/>
        <w:rPr>
          <w:sz w:val="52"/>
          <w:szCs w:val="52"/>
          <w:highlight w:val="none"/>
        </w:rPr>
      </w:pPr>
    </w:p>
    <w:p>
      <w:pPr>
        <w:pStyle w:val="10"/>
        <w:rPr>
          <w:sz w:val="52"/>
          <w:szCs w:val="52"/>
          <w:highlight w:val="none"/>
        </w:rPr>
      </w:pPr>
    </w:p>
    <w:p>
      <w:pPr>
        <w:pStyle w:val="10"/>
        <w:rPr>
          <w:sz w:val="52"/>
          <w:szCs w:val="52"/>
          <w:highlight w:val="none"/>
        </w:rPr>
      </w:pPr>
    </w:p>
    <w:p>
      <w:pPr>
        <w:pStyle w:val="11"/>
        <w:spacing w:line="240" w:lineRule="auto"/>
        <w:ind w:firstLine="2400" w:firstLineChars="800"/>
        <w:rPr>
          <w:sz w:val="30"/>
          <w:szCs w:val="30"/>
          <w:highlight w:val="none"/>
        </w:rPr>
      </w:pPr>
      <w:r>
        <w:rPr>
          <w:sz w:val="30"/>
          <w:szCs w:val="30"/>
          <w:highlight w:val="none"/>
        </w:rPr>
        <w:t>投标供应商：（全称并盖章）</w:t>
      </w:r>
    </w:p>
    <w:p>
      <w:pPr>
        <w:rPr>
          <w:highlight w:val="none"/>
        </w:rPr>
      </w:pPr>
    </w:p>
    <w:p>
      <w:pPr>
        <w:pStyle w:val="11"/>
        <w:spacing w:line="240" w:lineRule="auto"/>
        <w:ind w:firstLine="2400" w:firstLineChars="800"/>
        <w:jc w:val="both"/>
        <w:rPr>
          <w:sz w:val="30"/>
          <w:szCs w:val="30"/>
          <w:highlight w:val="none"/>
        </w:rPr>
      </w:pPr>
      <w:r>
        <w:rPr>
          <w:sz w:val="30"/>
          <w:szCs w:val="30"/>
          <w:highlight w:val="none"/>
        </w:rPr>
        <w:t>编制日期：</w:t>
      </w:r>
      <w:r>
        <w:rPr>
          <w:sz w:val="30"/>
          <w:szCs w:val="30"/>
          <w:highlight w:val="none"/>
          <w:u w:val="single"/>
        </w:rPr>
        <w:t xml:space="preserve">  </w:t>
      </w:r>
      <w:r>
        <w:rPr>
          <w:rFonts w:hint="eastAsia"/>
          <w:sz w:val="30"/>
          <w:szCs w:val="30"/>
          <w:highlight w:val="none"/>
          <w:u w:val="single"/>
        </w:rPr>
        <w:t xml:space="preserve">  </w:t>
      </w:r>
      <w:r>
        <w:rPr>
          <w:sz w:val="30"/>
          <w:szCs w:val="30"/>
          <w:highlight w:val="none"/>
          <w:u w:val="single"/>
        </w:rPr>
        <w:t xml:space="preserve">  </w:t>
      </w:r>
      <w:r>
        <w:rPr>
          <w:sz w:val="30"/>
          <w:szCs w:val="30"/>
          <w:highlight w:val="none"/>
        </w:rPr>
        <w:t>年</w:t>
      </w:r>
      <w:r>
        <w:rPr>
          <w:sz w:val="30"/>
          <w:szCs w:val="30"/>
          <w:highlight w:val="none"/>
          <w:u w:val="single"/>
        </w:rPr>
        <w:t xml:space="preserve">    </w:t>
      </w:r>
      <w:r>
        <w:rPr>
          <w:sz w:val="30"/>
          <w:szCs w:val="30"/>
          <w:highlight w:val="none"/>
        </w:rPr>
        <w:t>月</w:t>
      </w:r>
      <w:r>
        <w:rPr>
          <w:sz w:val="30"/>
          <w:szCs w:val="30"/>
          <w:highlight w:val="none"/>
          <w:u w:val="single"/>
        </w:rPr>
        <w:t xml:space="preserve">    </w:t>
      </w:r>
      <w:r>
        <w:rPr>
          <w:sz w:val="30"/>
          <w:szCs w:val="30"/>
          <w:highlight w:val="none"/>
        </w:rPr>
        <w:t>日</w:t>
      </w:r>
    </w:p>
    <w:p>
      <w:pPr>
        <w:pStyle w:val="11"/>
        <w:spacing w:line="240" w:lineRule="auto"/>
        <w:ind w:firstLine="0"/>
        <w:jc w:val="center"/>
        <w:rPr>
          <w:sz w:val="30"/>
          <w:szCs w:val="30"/>
          <w:highlight w:val="none"/>
        </w:rPr>
      </w:pPr>
    </w:p>
    <w:p>
      <w:pPr>
        <w:spacing w:line="480" w:lineRule="exact"/>
        <w:rPr>
          <w:b/>
          <w:highlight w:val="none"/>
        </w:rPr>
      </w:pPr>
      <w:r>
        <w:rPr>
          <w:b/>
          <w:highlight w:val="none"/>
        </w:rPr>
        <w:br w:type="page"/>
      </w:r>
      <w:r>
        <w:rPr>
          <w:b/>
          <w:highlight w:val="none"/>
        </w:rPr>
        <w:t>1、目录格式：</w:t>
      </w:r>
    </w:p>
    <w:p>
      <w:pPr>
        <w:spacing w:line="480" w:lineRule="exact"/>
        <w:jc w:val="center"/>
        <w:rPr>
          <w:b/>
          <w:szCs w:val="28"/>
          <w:highlight w:val="none"/>
        </w:rPr>
      </w:pPr>
      <w:r>
        <w:rPr>
          <w:b/>
          <w:szCs w:val="28"/>
          <w:highlight w:val="none"/>
        </w:rPr>
        <w:t>目  录</w:t>
      </w:r>
    </w:p>
    <w:p>
      <w:pPr>
        <w:spacing w:line="480" w:lineRule="exact"/>
        <w:jc w:val="center"/>
        <w:rPr>
          <w:b/>
          <w:highlight w:val="none"/>
        </w:rPr>
      </w:pPr>
      <w:r>
        <w:rPr>
          <w:b/>
          <w:highlight w:val="none"/>
        </w:rPr>
        <w:t>（格式自拟）</w:t>
      </w:r>
    </w:p>
    <w:p>
      <w:pPr>
        <w:widowControl/>
        <w:tabs>
          <w:tab w:val="center" w:pos="4755"/>
          <w:tab w:val="right" w:pos="9070"/>
        </w:tabs>
        <w:spacing w:before="100" w:beforeAutospacing="1" w:after="100" w:afterAutospacing="1" w:line="360" w:lineRule="auto"/>
        <w:jc w:val="left"/>
        <w:rPr>
          <w:b/>
          <w:highlight w:val="none"/>
        </w:rPr>
      </w:pPr>
      <w:r>
        <w:rPr>
          <w:b/>
          <w:highlight w:val="none"/>
        </w:rPr>
        <w:br w:type="page"/>
      </w:r>
      <w:r>
        <w:rPr>
          <w:b/>
          <w:highlight w:val="none"/>
        </w:rPr>
        <w:t>2、投标声明书格式:</w:t>
      </w:r>
    </w:p>
    <w:p>
      <w:pPr>
        <w:spacing w:line="480" w:lineRule="exact"/>
        <w:ind w:firstLine="194" w:firstLineChars="88"/>
        <w:jc w:val="center"/>
        <w:rPr>
          <w:b/>
          <w:szCs w:val="28"/>
          <w:highlight w:val="none"/>
        </w:rPr>
      </w:pPr>
      <w:r>
        <w:rPr>
          <w:b/>
          <w:szCs w:val="28"/>
          <w:highlight w:val="none"/>
        </w:rPr>
        <w:t>投标声明书</w:t>
      </w:r>
    </w:p>
    <w:p>
      <w:pPr>
        <w:spacing w:line="400" w:lineRule="exact"/>
        <w:rPr>
          <w:rFonts w:hint="eastAsia"/>
          <w:sz w:val="21"/>
          <w:szCs w:val="21"/>
          <w:highlight w:val="none"/>
        </w:rPr>
      </w:pPr>
      <w:r>
        <w:rPr>
          <w:sz w:val="21"/>
          <w:szCs w:val="21"/>
          <w:highlight w:val="none"/>
        </w:rPr>
        <w:t>致:</w:t>
      </w:r>
      <w:r>
        <w:rPr>
          <w:sz w:val="21"/>
          <w:szCs w:val="21"/>
          <w:highlight w:val="none"/>
          <w:u w:val="single"/>
        </w:rPr>
        <w:t xml:space="preserve">                  </w:t>
      </w:r>
      <w:r>
        <w:rPr>
          <w:sz w:val="21"/>
          <w:szCs w:val="21"/>
          <w:highlight w:val="none"/>
        </w:rPr>
        <w:t>（采购人名称）</w:t>
      </w:r>
      <w:r>
        <w:rPr>
          <w:rFonts w:hint="eastAsia"/>
          <w:sz w:val="21"/>
          <w:szCs w:val="21"/>
          <w:highlight w:val="none"/>
        </w:rPr>
        <w:t>：</w:t>
      </w:r>
    </w:p>
    <w:p>
      <w:pPr>
        <w:spacing w:line="400" w:lineRule="exact"/>
        <w:ind w:firstLine="420" w:firstLineChars="200"/>
        <w:rPr>
          <w:rFonts w:hint="eastAsia"/>
          <w:sz w:val="21"/>
          <w:szCs w:val="21"/>
          <w:highlight w:val="none"/>
        </w:rPr>
      </w:pPr>
      <w:r>
        <w:rPr>
          <w:sz w:val="21"/>
          <w:szCs w:val="21"/>
          <w:highlight w:val="none"/>
          <w:u w:val="single"/>
        </w:rPr>
        <w:t xml:space="preserve">                                 </w:t>
      </w:r>
      <w:r>
        <w:rPr>
          <w:sz w:val="21"/>
          <w:szCs w:val="21"/>
          <w:highlight w:val="none"/>
        </w:rPr>
        <w:t>（投标供应商名称）系中华人民共和国合法企业，经营地址</w:t>
      </w:r>
      <w:r>
        <w:rPr>
          <w:sz w:val="21"/>
          <w:szCs w:val="21"/>
          <w:highlight w:val="none"/>
          <w:u w:val="single"/>
        </w:rPr>
        <w:t xml:space="preserve">                       </w:t>
      </w:r>
      <w:r>
        <w:rPr>
          <w:sz w:val="21"/>
          <w:szCs w:val="21"/>
          <w:highlight w:val="none"/>
        </w:rPr>
        <w:t>。我</w:t>
      </w:r>
      <w:r>
        <w:rPr>
          <w:sz w:val="21"/>
          <w:szCs w:val="21"/>
          <w:highlight w:val="none"/>
          <w:u w:val="single"/>
        </w:rPr>
        <w:t xml:space="preserve">               </w:t>
      </w:r>
      <w:r>
        <w:rPr>
          <w:sz w:val="21"/>
          <w:szCs w:val="21"/>
          <w:highlight w:val="none"/>
        </w:rPr>
        <w:t>（姓名）系</w:t>
      </w:r>
      <w:r>
        <w:rPr>
          <w:sz w:val="21"/>
          <w:szCs w:val="21"/>
          <w:highlight w:val="none"/>
          <w:u w:val="single"/>
        </w:rPr>
        <w:t xml:space="preserve">                 </w:t>
      </w:r>
      <w:r>
        <w:rPr>
          <w:sz w:val="21"/>
          <w:szCs w:val="21"/>
          <w:highlight w:val="none"/>
        </w:rPr>
        <w:t>（投标供应商名称）的法定代表人，我方愿意参加贵方组织的</w:t>
      </w:r>
      <w:r>
        <w:rPr>
          <w:sz w:val="21"/>
          <w:szCs w:val="21"/>
          <w:highlight w:val="none"/>
          <w:u w:val="single"/>
        </w:rPr>
        <w:t xml:space="preserve">                        </w:t>
      </w:r>
      <w:r>
        <w:rPr>
          <w:sz w:val="21"/>
          <w:szCs w:val="21"/>
          <w:highlight w:val="none"/>
        </w:rPr>
        <w:t>项目的投标，项目完成时间</w:t>
      </w:r>
      <w:r>
        <w:rPr>
          <w:sz w:val="21"/>
          <w:szCs w:val="21"/>
          <w:highlight w:val="none"/>
          <w:u w:val="single"/>
        </w:rPr>
        <w:t xml:space="preserve">            </w:t>
      </w:r>
      <w:r>
        <w:rPr>
          <w:sz w:val="21"/>
          <w:szCs w:val="21"/>
          <w:highlight w:val="none"/>
        </w:rPr>
        <w:t>，本项目负责人为</w:t>
      </w:r>
      <w:r>
        <w:rPr>
          <w:sz w:val="21"/>
          <w:szCs w:val="21"/>
          <w:highlight w:val="none"/>
          <w:u w:val="single"/>
        </w:rPr>
        <w:t xml:space="preserve">        </w:t>
      </w:r>
      <w:r>
        <w:rPr>
          <w:sz w:val="21"/>
          <w:szCs w:val="21"/>
          <w:highlight w:val="none"/>
        </w:rPr>
        <w:t>（身份证号码</w:t>
      </w:r>
      <w:r>
        <w:rPr>
          <w:sz w:val="21"/>
          <w:szCs w:val="21"/>
          <w:highlight w:val="none"/>
          <w:u w:val="single"/>
        </w:rPr>
        <w:t xml:space="preserve">                       </w:t>
      </w:r>
      <w:r>
        <w:rPr>
          <w:sz w:val="21"/>
          <w:szCs w:val="21"/>
          <w:highlight w:val="none"/>
        </w:rPr>
        <w:t>）。为便于贵方公正、择优地确定中标供应商及其投标产品和服务，我方就本次投标有关事项郑重声明如下</w:t>
      </w:r>
      <w:r>
        <w:rPr>
          <w:rFonts w:hint="eastAsia"/>
          <w:sz w:val="21"/>
          <w:szCs w:val="21"/>
          <w:highlight w:val="none"/>
        </w:rPr>
        <w:t>：</w:t>
      </w:r>
    </w:p>
    <w:p>
      <w:pPr>
        <w:spacing w:line="400" w:lineRule="exact"/>
        <w:ind w:firstLine="392" w:firstLineChars="187"/>
        <w:rPr>
          <w:sz w:val="21"/>
          <w:szCs w:val="21"/>
          <w:highlight w:val="none"/>
        </w:rPr>
      </w:pPr>
      <w:r>
        <w:rPr>
          <w:sz w:val="21"/>
          <w:szCs w:val="21"/>
          <w:highlight w:val="none"/>
        </w:rPr>
        <w:t>1、我方向贵方提交的所有投标文件、资料都是准确的和真实的；并保证电子投标文件、以介质存储的数据电文形式的备份投标文件和纸质备份投标文件实质性内容的一致性。</w:t>
      </w:r>
    </w:p>
    <w:p>
      <w:pPr>
        <w:spacing w:line="400" w:lineRule="exact"/>
        <w:ind w:firstLine="392" w:firstLineChars="187"/>
        <w:rPr>
          <w:sz w:val="21"/>
          <w:szCs w:val="21"/>
          <w:highlight w:val="none"/>
        </w:rPr>
      </w:pPr>
      <w:r>
        <w:rPr>
          <w:sz w:val="21"/>
          <w:szCs w:val="21"/>
          <w:highlight w:val="none"/>
        </w:rPr>
        <w:t>2、我方不是采购人的附属机构，在获知本项目采购信息后，与采购人聘请的为此项目提供咨询服务的公司及其附属机构没有任何联系；</w:t>
      </w:r>
    </w:p>
    <w:p>
      <w:pPr>
        <w:spacing w:line="400" w:lineRule="exact"/>
        <w:ind w:firstLine="392" w:firstLineChars="187"/>
        <w:rPr>
          <w:sz w:val="21"/>
          <w:szCs w:val="21"/>
          <w:highlight w:val="none"/>
        </w:rPr>
      </w:pPr>
      <w:r>
        <w:rPr>
          <w:sz w:val="21"/>
          <w:szCs w:val="21"/>
          <w:highlight w:val="none"/>
        </w:rPr>
        <w:t>3、我方此次向贵方提供的服务项目名称为</w:t>
      </w:r>
      <w:r>
        <w:rPr>
          <w:rFonts w:hint="eastAsia"/>
          <w:sz w:val="21"/>
          <w:szCs w:val="21"/>
          <w:highlight w:val="none"/>
        </w:rPr>
        <w:t>：</w:t>
      </w:r>
      <w:r>
        <w:rPr>
          <w:sz w:val="21"/>
          <w:szCs w:val="21"/>
          <w:highlight w:val="none"/>
          <w:u w:val="single"/>
        </w:rPr>
        <w:t xml:space="preserve">                                       。 </w:t>
      </w:r>
    </w:p>
    <w:p>
      <w:pPr>
        <w:spacing w:line="400" w:lineRule="exact"/>
        <w:ind w:firstLine="392" w:firstLineChars="187"/>
        <w:rPr>
          <w:sz w:val="21"/>
          <w:szCs w:val="21"/>
          <w:highlight w:val="none"/>
        </w:rPr>
      </w:pPr>
      <w:r>
        <w:rPr>
          <w:sz w:val="21"/>
          <w:szCs w:val="21"/>
          <w:highlight w:val="none"/>
        </w:rPr>
        <w:t>4、我方将严格按照有关政府采购法规及</w:t>
      </w:r>
      <w:r>
        <w:rPr>
          <w:rFonts w:hint="eastAsia"/>
          <w:sz w:val="21"/>
          <w:szCs w:val="21"/>
          <w:highlight w:val="none"/>
        </w:rPr>
        <w:t>招标文件</w:t>
      </w:r>
      <w:r>
        <w:rPr>
          <w:sz w:val="21"/>
          <w:szCs w:val="21"/>
          <w:highlight w:val="none"/>
        </w:rPr>
        <w:t>规定参加投标，并理解你方不一定接受最低价的投标，对决标结果也没有解释义务。如由我方中标，在接到你方发出的中标通知书起</w:t>
      </w:r>
      <w:r>
        <w:rPr>
          <w:sz w:val="21"/>
          <w:szCs w:val="21"/>
          <w:highlight w:val="none"/>
          <w:u w:val="single"/>
        </w:rPr>
        <w:t xml:space="preserve"> 30 </w:t>
      </w:r>
      <w:r>
        <w:rPr>
          <w:sz w:val="21"/>
          <w:szCs w:val="21"/>
          <w:highlight w:val="none"/>
        </w:rPr>
        <w:t>天内，按中标通知书、</w:t>
      </w:r>
      <w:r>
        <w:rPr>
          <w:rFonts w:hint="eastAsia"/>
          <w:sz w:val="21"/>
          <w:szCs w:val="21"/>
          <w:highlight w:val="none"/>
        </w:rPr>
        <w:t>招标文件</w:t>
      </w:r>
      <w:r>
        <w:rPr>
          <w:sz w:val="21"/>
          <w:szCs w:val="21"/>
          <w:highlight w:val="none"/>
        </w:rPr>
        <w:t>和本投标书的约定与你方签订采购合同，履行规定的一切责任和义务。</w:t>
      </w:r>
    </w:p>
    <w:p>
      <w:pPr>
        <w:spacing w:line="400" w:lineRule="exact"/>
        <w:ind w:firstLine="392" w:firstLineChars="187"/>
        <w:rPr>
          <w:rFonts w:hint="eastAsia"/>
          <w:sz w:val="21"/>
          <w:szCs w:val="21"/>
          <w:highlight w:val="none"/>
        </w:rPr>
      </w:pPr>
      <w:r>
        <w:rPr>
          <w:sz w:val="21"/>
          <w:szCs w:val="21"/>
          <w:highlight w:val="none"/>
        </w:rPr>
        <w:t>5、我方诚意提请贵方关注:有关服务等方面的重大决策和事项有</w:t>
      </w:r>
      <w:r>
        <w:rPr>
          <w:rFonts w:hint="eastAsia"/>
          <w:sz w:val="21"/>
          <w:szCs w:val="21"/>
          <w:highlight w:val="none"/>
        </w:rPr>
        <w:t>：</w:t>
      </w:r>
    </w:p>
    <w:p>
      <w:pPr>
        <w:spacing w:line="400" w:lineRule="exact"/>
        <w:ind w:firstLine="184" w:firstLineChars="88"/>
        <w:rPr>
          <w:sz w:val="21"/>
          <w:szCs w:val="21"/>
          <w:highlight w:val="none"/>
          <w:u w:val="single"/>
        </w:rPr>
      </w:pPr>
      <w:r>
        <w:rPr>
          <w:sz w:val="21"/>
          <w:szCs w:val="21"/>
          <w:highlight w:val="none"/>
          <w:u w:val="single"/>
        </w:rPr>
        <w:t>　　　　　　　　　　　　　　　　　                           　　　　　　。</w:t>
      </w:r>
    </w:p>
    <w:p>
      <w:pPr>
        <w:spacing w:line="400" w:lineRule="exact"/>
        <w:ind w:firstLine="392" w:firstLineChars="187"/>
        <w:rPr>
          <w:rFonts w:hint="eastAsia"/>
          <w:sz w:val="21"/>
          <w:szCs w:val="21"/>
          <w:highlight w:val="none"/>
        </w:rPr>
      </w:pPr>
      <w:r>
        <w:rPr>
          <w:sz w:val="21"/>
          <w:szCs w:val="21"/>
          <w:highlight w:val="none"/>
        </w:rPr>
        <w:t>6、我方最近三年内的被公开披露或查处的违法违规行为有</w:t>
      </w:r>
      <w:r>
        <w:rPr>
          <w:rFonts w:hint="eastAsia"/>
          <w:sz w:val="21"/>
          <w:szCs w:val="21"/>
          <w:highlight w:val="none"/>
        </w:rPr>
        <w:t>：</w:t>
      </w:r>
    </w:p>
    <w:p>
      <w:pPr>
        <w:spacing w:line="400" w:lineRule="exact"/>
        <w:ind w:firstLine="184" w:firstLineChars="88"/>
        <w:rPr>
          <w:sz w:val="21"/>
          <w:szCs w:val="21"/>
          <w:highlight w:val="none"/>
          <w:u w:val="single"/>
        </w:rPr>
      </w:pPr>
      <w:r>
        <w:rPr>
          <w:sz w:val="21"/>
          <w:szCs w:val="21"/>
          <w:highlight w:val="none"/>
          <w:u w:val="single"/>
        </w:rPr>
        <w:t>　　　　　　　　　　　　                           　　　　　　　　　　　。</w:t>
      </w:r>
    </w:p>
    <w:p>
      <w:pPr>
        <w:spacing w:line="400" w:lineRule="exact"/>
        <w:ind w:firstLine="392" w:firstLineChars="187"/>
        <w:rPr>
          <w:sz w:val="21"/>
          <w:szCs w:val="21"/>
          <w:highlight w:val="none"/>
        </w:rPr>
      </w:pPr>
      <w:r>
        <w:rPr>
          <w:sz w:val="21"/>
          <w:szCs w:val="21"/>
          <w:highlight w:val="none"/>
        </w:rPr>
        <w:t>7、以上事项如有虚假或隐瞒，我方愿意承担一切后果和责任。</w:t>
      </w:r>
    </w:p>
    <w:p>
      <w:pPr>
        <w:spacing w:line="400" w:lineRule="exact"/>
        <w:ind w:firstLine="184" w:firstLineChars="88"/>
        <w:rPr>
          <w:sz w:val="21"/>
          <w:szCs w:val="21"/>
          <w:highlight w:val="none"/>
        </w:rPr>
      </w:pPr>
    </w:p>
    <w:p>
      <w:pPr>
        <w:spacing w:line="480" w:lineRule="exact"/>
        <w:ind w:firstLine="3780" w:firstLineChars="1800"/>
        <w:rPr>
          <w:sz w:val="21"/>
          <w:szCs w:val="21"/>
          <w:highlight w:val="none"/>
        </w:rPr>
      </w:pPr>
      <w:r>
        <w:rPr>
          <w:sz w:val="21"/>
          <w:szCs w:val="21"/>
          <w:highlight w:val="none"/>
        </w:rPr>
        <w:t>法人或授权代表（签名或盖章）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ind w:firstLine="3780" w:firstLineChars="1800"/>
        <w:rPr>
          <w:sz w:val="21"/>
          <w:szCs w:val="21"/>
          <w:highlight w:val="none"/>
          <w:u w:val="single"/>
        </w:rPr>
      </w:pPr>
      <w:r>
        <w:rPr>
          <w:sz w:val="21"/>
          <w:szCs w:val="21"/>
          <w:highlight w:val="none"/>
        </w:rPr>
        <w:t>投标供应商（盖章）</w:t>
      </w:r>
      <w:r>
        <w:rPr>
          <w:rFonts w:hint="eastAsia"/>
          <w:sz w:val="21"/>
          <w:szCs w:val="21"/>
          <w:highlight w:val="none"/>
        </w:rPr>
        <w:t>：</w:t>
      </w:r>
      <w:r>
        <w:rPr>
          <w:sz w:val="21"/>
          <w:szCs w:val="21"/>
          <w:highlight w:val="none"/>
          <w:u w:val="single"/>
        </w:rPr>
        <w:t xml:space="preserve">                    </w:t>
      </w:r>
    </w:p>
    <w:p>
      <w:pPr>
        <w:spacing w:line="360" w:lineRule="auto"/>
        <w:ind w:firstLine="3780" w:firstLineChars="1800"/>
        <w:rPr>
          <w:highlight w:val="none"/>
        </w:rPr>
      </w:pPr>
      <w:r>
        <w:rPr>
          <w:sz w:val="21"/>
          <w:szCs w:val="21"/>
          <w:highlight w:val="none"/>
        </w:rPr>
        <w:t>日  期：</w:t>
      </w:r>
      <w:r>
        <w:rPr>
          <w:sz w:val="21"/>
          <w:szCs w:val="21"/>
          <w:highlight w:val="none"/>
          <w:u w:val="single"/>
        </w:rPr>
        <w:t xml:space="preserve">  </w:t>
      </w:r>
      <w:r>
        <w:rPr>
          <w:rFonts w:hint="eastAsia"/>
          <w:sz w:val="21"/>
          <w:szCs w:val="21"/>
          <w:highlight w:val="none"/>
          <w:u w:val="single"/>
        </w:rPr>
        <w:t xml:space="preserve">   </w:t>
      </w:r>
      <w:r>
        <w:rPr>
          <w:sz w:val="21"/>
          <w:szCs w:val="21"/>
          <w:highlight w:val="none"/>
          <w:u w:val="single"/>
        </w:rPr>
        <w:t xml:space="preserve"> </w:t>
      </w:r>
      <w:r>
        <w:rPr>
          <w:sz w:val="21"/>
          <w:szCs w:val="21"/>
          <w:highlight w:val="none"/>
        </w:rPr>
        <w:t>年</w:t>
      </w:r>
      <w:r>
        <w:rPr>
          <w:sz w:val="21"/>
          <w:szCs w:val="21"/>
          <w:highlight w:val="none"/>
          <w:u w:val="single"/>
        </w:rPr>
        <w:t xml:space="preserve"> </w:t>
      </w:r>
      <w:r>
        <w:rPr>
          <w:rFonts w:hint="eastAsia"/>
          <w:sz w:val="21"/>
          <w:szCs w:val="21"/>
          <w:highlight w:val="none"/>
          <w:u w:val="single"/>
        </w:rPr>
        <w:t xml:space="preserve"> </w:t>
      </w:r>
      <w:r>
        <w:rPr>
          <w:sz w:val="21"/>
          <w:szCs w:val="21"/>
          <w:highlight w:val="none"/>
          <w:u w:val="single"/>
        </w:rPr>
        <w:t xml:space="preserve"> </w:t>
      </w:r>
      <w:r>
        <w:rPr>
          <w:sz w:val="21"/>
          <w:szCs w:val="21"/>
          <w:highlight w:val="none"/>
        </w:rPr>
        <w:t>月</w:t>
      </w:r>
      <w:r>
        <w:rPr>
          <w:rFonts w:hint="eastAsia"/>
          <w:sz w:val="21"/>
          <w:szCs w:val="21"/>
          <w:highlight w:val="none"/>
          <w:u w:val="single"/>
        </w:rPr>
        <w:t xml:space="preserve"> </w:t>
      </w:r>
      <w:r>
        <w:rPr>
          <w:sz w:val="21"/>
          <w:szCs w:val="21"/>
          <w:highlight w:val="none"/>
          <w:u w:val="single"/>
        </w:rPr>
        <w:t xml:space="preserve">  </w:t>
      </w:r>
      <w:r>
        <w:rPr>
          <w:sz w:val="21"/>
          <w:szCs w:val="21"/>
          <w:highlight w:val="none"/>
        </w:rPr>
        <w:t>日</w:t>
      </w:r>
    </w:p>
    <w:p>
      <w:pPr>
        <w:spacing w:line="480" w:lineRule="exact"/>
        <w:rPr>
          <w:b/>
          <w:highlight w:val="none"/>
        </w:rPr>
      </w:pPr>
    </w:p>
    <w:p>
      <w:pPr>
        <w:spacing w:line="360" w:lineRule="auto"/>
        <w:rPr>
          <w:bCs/>
          <w:sz w:val="32"/>
          <w:highlight w:val="none"/>
        </w:rPr>
      </w:pPr>
    </w:p>
    <w:p>
      <w:pPr>
        <w:rPr>
          <w:sz w:val="32"/>
          <w:szCs w:val="32"/>
          <w:highlight w:val="none"/>
        </w:rPr>
      </w:pPr>
    </w:p>
    <w:p>
      <w:pPr>
        <w:rPr>
          <w:sz w:val="32"/>
          <w:szCs w:val="32"/>
          <w:highlight w:val="none"/>
        </w:rPr>
      </w:pPr>
    </w:p>
    <w:p>
      <w:pPr>
        <w:spacing w:line="480" w:lineRule="exact"/>
        <w:rPr>
          <w:b/>
          <w:highlight w:val="none"/>
        </w:rPr>
      </w:pPr>
      <w:r>
        <w:rPr>
          <w:b/>
          <w:highlight w:val="none"/>
        </w:rPr>
        <w:br w:type="page"/>
      </w:r>
      <w:r>
        <w:rPr>
          <w:b/>
          <w:highlight w:val="none"/>
        </w:rPr>
        <w:t>3、法定代表人授权委托书格式:</w:t>
      </w:r>
    </w:p>
    <w:p>
      <w:pPr>
        <w:spacing w:line="480" w:lineRule="exact"/>
        <w:ind w:firstLine="194" w:firstLineChars="88"/>
        <w:jc w:val="center"/>
        <w:rPr>
          <w:b/>
          <w:szCs w:val="28"/>
          <w:highlight w:val="none"/>
        </w:rPr>
      </w:pPr>
    </w:p>
    <w:p>
      <w:pPr>
        <w:spacing w:line="480" w:lineRule="exact"/>
        <w:ind w:firstLine="194" w:firstLineChars="88"/>
        <w:jc w:val="center"/>
        <w:rPr>
          <w:b/>
          <w:szCs w:val="28"/>
          <w:highlight w:val="none"/>
        </w:rPr>
      </w:pPr>
      <w:r>
        <w:rPr>
          <w:b/>
          <w:szCs w:val="28"/>
          <w:highlight w:val="none"/>
        </w:rPr>
        <w:t>法定代表人授权委托书</w:t>
      </w:r>
    </w:p>
    <w:p>
      <w:pPr>
        <w:spacing w:before="100" w:beforeAutospacing="1" w:after="100" w:afterAutospacing="1" w:line="480" w:lineRule="exact"/>
        <w:rPr>
          <w:rFonts w:hint="eastAsia"/>
          <w:sz w:val="21"/>
          <w:szCs w:val="21"/>
          <w:highlight w:val="none"/>
        </w:rPr>
      </w:pPr>
      <w:r>
        <w:rPr>
          <w:sz w:val="21"/>
          <w:szCs w:val="21"/>
          <w:highlight w:val="none"/>
        </w:rPr>
        <w:t>致:</w:t>
      </w:r>
      <w:r>
        <w:rPr>
          <w:sz w:val="21"/>
          <w:szCs w:val="21"/>
          <w:highlight w:val="none"/>
          <w:u w:val="single"/>
        </w:rPr>
        <w:t xml:space="preserve">                          </w:t>
      </w:r>
      <w:r>
        <w:rPr>
          <w:sz w:val="21"/>
          <w:szCs w:val="21"/>
          <w:highlight w:val="none"/>
        </w:rPr>
        <w:t>（采购人名称）</w:t>
      </w:r>
      <w:r>
        <w:rPr>
          <w:rFonts w:hint="eastAsia"/>
          <w:sz w:val="21"/>
          <w:szCs w:val="21"/>
          <w:highlight w:val="none"/>
        </w:rPr>
        <w:t>：</w:t>
      </w:r>
    </w:p>
    <w:p>
      <w:pPr>
        <w:spacing w:line="480" w:lineRule="exact"/>
        <w:ind w:firstLine="420" w:firstLineChars="200"/>
        <w:rPr>
          <w:sz w:val="21"/>
          <w:szCs w:val="21"/>
          <w:highlight w:val="none"/>
        </w:rPr>
      </w:pPr>
      <w:r>
        <w:rPr>
          <w:sz w:val="21"/>
          <w:szCs w:val="21"/>
          <w:highlight w:val="none"/>
        </w:rPr>
        <w:t>我</w:t>
      </w:r>
      <w:r>
        <w:rPr>
          <w:sz w:val="21"/>
          <w:szCs w:val="21"/>
          <w:highlight w:val="none"/>
          <w:u w:val="single"/>
        </w:rPr>
        <w:t xml:space="preserve">                 </w:t>
      </w:r>
      <w:r>
        <w:rPr>
          <w:sz w:val="21"/>
          <w:szCs w:val="21"/>
          <w:highlight w:val="none"/>
        </w:rPr>
        <w:t>（姓名）系</w:t>
      </w:r>
      <w:r>
        <w:rPr>
          <w:sz w:val="21"/>
          <w:szCs w:val="21"/>
          <w:highlight w:val="none"/>
          <w:u w:val="single"/>
        </w:rPr>
        <w:t xml:space="preserve">                       （</w:t>
      </w:r>
      <w:r>
        <w:rPr>
          <w:sz w:val="21"/>
          <w:szCs w:val="21"/>
          <w:highlight w:val="none"/>
        </w:rPr>
        <w:t>投标供应商名称）的法定代表人，现授权委托本单位在职职工</w:t>
      </w:r>
      <w:r>
        <w:rPr>
          <w:sz w:val="21"/>
          <w:szCs w:val="21"/>
          <w:highlight w:val="none"/>
          <w:u w:val="single"/>
        </w:rPr>
        <w:t xml:space="preserve">     </w:t>
      </w:r>
      <w:r>
        <w:rPr>
          <w:sz w:val="21"/>
          <w:szCs w:val="21"/>
          <w:highlight w:val="none"/>
        </w:rPr>
        <w:t>（姓名）以我方的名义参加</w:t>
      </w:r>
      <w:r>
        <w:rPr>
          <w:sz w:val="21"/>
          <w:szCs w:val="21"/>
          <w:highlight w:val="none"/>
          <w:u w:val="single"/>
        </w:rPr>
        <w:t xml:space="preserve">              </w:t>
      </w:r>
      <w:r>
        <w:rPr>
          <w:sz w:val="21"/>
          <w:szCs w:val="21"/>
          <w:highlight w:val="none"/>
        </w:rPr>
        <w:t>项目的投标活动，并代表我方全权办理针对上述项目的投标、开标、评标、签约等具体事务和签署相关文件。</w:t>
      </w:r>
    </w:p>
    <w:p>
      <w:pPr>
        <w:spacing w:line="480" w:lineRule="exact"/>
        <w:ind w:firstLine="420" w:firstLineChars="200"/>
        <w:rPr>
          <w:sz w:val="21"/>
          <w:szCs w:val="21"/>
          <w:highlight w:val="none"/>
        </w:rPr>
      </w:pPr>
      <w:r>
        <w:rPr>
          <w:sz w:val="21"/>
          <w:szCs w:val="21"/>
          <w:highlight w:val="none"/>
        </w:rPr>
        <w:t>我方对被授权人的签名或盖章负全部责任。</w:t>
      </w:r>
    </w:p>
    <w:p>
      <w:pPr>
        <w:spacing w:line="480" w:lineRule="exact"/>
        <w:ind w:firstLine="394" w:firstLineChars="188"/>
        <w:rPr>
          <w:sz w:val="21"/>
          <w:szCs w:val="21"/>
          <w:highlight w:val="none"/>
        </w:rPr>
      </w:pPr>
      <w:r>
        <w:rPr>
          <w:sz w:val="21"/>
          <w:szCs w:val="21"/>
          <w:highlight w:val="none"/>
        </w:rPr>
        <w:t>在撤销授权的书面通知以前，本授权书一直有效。被授权人在授权书有效期内签署的所有文件不因授权的撤销而失效。</w:t>
      </w:r>
    </w:p>
    <w:p>
      <w:pPr>
        <w:spacing w:line="480" w:lineRule="exact"/>
        <w:ind w:firstLine="394" w:firstLineChars="188"/>
        <w:rPr>
          <w:sz w:val="21"/>
          <w:szCs w:val="21"/>
          <w:highlight w:val="none"/>
        </w:rPr>
      </w:pPr>
      <w:r>
        <w:rPr>
          <w:sz w:val="21"/>
          <w:szCs w:val="21"/>
          <w:highlight w:val="none"/>
        </w:rPr>
        <w:t>被授权人无转委托权，特此委托。</w:t>
      </w:r>
    </w:p>
    <w:p>
      <w:pPr>
        <w:pStyle w:val="15"/>
        <w:ind w:firstLine="210"/>
        <w:rPr>
          <w:sz w:val="21"/>
          <w:szCs w:val="21"/>
          <w:highlight w:val="none"/>
        </w:rPr>
      </w:pPr>
      <w:r>
        <w:rPr>
          <w:sz w:val="21"/>
          <w:highlight w:val="none"/>
        </w:rPr>
        <mc:AlternateContent>
          <mc:Choice Requires="wps">
            <w:drawing>
              <wp:anchor distT="0" distB="0" distL="114300" distR="114300" simplePos="0" relativeHeight="251668480" behindDoc="0" locked="0" layoutInCell="1" allowOverlap="1">
                <wp:simplePos x="0" y="0"/>
                <wp:positionH relativeFrom="column">
                  <wp:posOffset>981710</wp:posOffset>
                </wp:positionH>
                <wp:positionV relativeFrom="paragraph">
                  <wp:posOffset>88265</wp:posOffset>
                </wp:positionV>
                <wp:extent cx="3384550" cy="1238250"/>
                <wp:effectExtent l="7620" t="8255" r="17780" b="10795"/>
                <wp:wrapNone/>
                <wp:docPr id="7" name="文本框 13"/>
                <wp:cNvGraphicFramePr/>
                <a:graphic xmlns:a="http://schemas.openxmlformats.org/drawingml/2006/main">
                  <a:graphicData uri="http://schemas.microsoft.com/office/word/2010/wordprocessingShape">
                    <wps:wsp>
                      <wps:cNvSpPr txBox="1"/>
                      <wps:spPr>
                        <a:xfrm>
                          <a:off x="0" y="0"/>
                          <a:ext cx="3384550" cy="1238250"/>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
                            <w:pPr>
                              <w:pStyle w:val="15"/>
                              <w:ind w:firstLine="240"/>
                            </w:pPr>
                          </w:p>
                          <w:p>
                            <w:pPr>
                              <w:pStyle w:val="15"/>
                              <w:ind w:firstLine="240"/>
                              <w:jc w:val="center"/>
                              <w:rPr>
                                <w:rFonts w:hint="eastAsia"/>
                              </w:rPr>
                            </w:pPr>
                            <w:r>
                              <w:rPr>
                                <w:rFonts w:hint="eastAsia"/>
                              </w:rPr>
                              <w:t>身份证复印件</w:t>
                            </w:r>
                          </w:p>
                        </w:txbxContent>
                      </wps:txbx>
                      <wps:bodyPr upright="1"/>
                    </wps:wsp>
                  </a:graphicData>
                </a:graphic>
              </wp:anchor>
            </w:drawing>
          </mc:Choice>
          <mc:Fallback>
            <w:pict>
              <v:shape id="文本框 13" o:spid="_x0000_s1026" o:spt="202" type="#_x0000_t202" style="position:absolute;left:0pt;margin-left:77.3pt;margin-top:6.95pt;height:97.5pt;width:266.5pt;z-index:251668480;mso-width-relative:page;mso-height-relative:page;" fillcolor="#FFFFFF" filled="t" stroked="t" coordsize="21600,21600" o:gfxdata="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lij/NcAAAAKAQAADwAAAAAAAAAB&#10;ACAAAAAiAAAAZHJzL2Rvd25yZXYueG1sUEsBAhQAFAAAAAgAh07iQFdHMLBKAgAAwAQAAA4AAAAA&#10;AAAAAQAgAAAAJg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
                      <w:pPr>
                        <w:pStyle w:val="15"/>
                        <w:ind w:firstLine="240"/>
                      </w:pPr>
                    </w:p>
                    <w:p>
                      <w:pPr>
                        <w:pStyle w:val="15"/>
                        <w:ind w:firstLine="240"/>
                        <w:jc w:val="center"/>
                        <w:rPr>
                          <w:rFonts w:hint="eastAsia"/>
                        </w:rPr>
                      </w:pPr>
                      <w:r>
                        <w:rPr>
                          <w:rFonts w:hint="eastAsia"/>
                        </w:rPr>
                        <w:t>身份证复印件</w:t>
                      </w:r>
                    </w:p>
                  </w:txbxContent>
                </v:textbox>
              </v:shape>
            </w:pict>
          </mc:Fallback>
        </mc:AlternateContent>
      </w:r>
    </w:p>
    <w:p>
      <w:pPr>
        <w:pStyle w:val="15"/>
        <w:ind w:firstLine="210"/>
        <w:rPr>
          <w:sz w:val="21"/>
          <w:szCs w:val="21"/>
          <w:highlight w:val="none"/>
        </w:rPr>
      </w:pPr>
    </w:p>
    <w:p>
      <w:pPr>
        <w:pStyle w:val="15"/>
        <w:ind w:firstLine="210"/>
        <w:rPr>
          <w:sz w:val="21"/>
          <w:szCs w:val="21"/>
          <w:highlight w:val="none"/>
        </w:rPr>
      </w:pPr>
    </w:p>
    <w:p>
      <w:pPr>
        <w:pStyle w:val="15"/>
        <w:ind w:firstLine="210"/>
        <w:rPr>
          <w:sz w:val="21"/>
          <w:szCs w:val="21"/>
          <w:highlight w:val="none"/>
        </w:rPr>
      </w:pPr>
    </w:p>
    <w:p>
      <w:pPr>
        <w:spacing w:line="480" w:lineRule="exact"/>
        <w:ind w:firstLine="394" w:firstLineChars="188"/>
        <w:rPr>
          <w:sz w:val="21"/>
          <w:szCs w:val="21"/>
          <w:highlight w:val="none"/>
        </w:rPr>
      </w:pPr>
    </w:p>
    <w:p>
      <w:pPr>
        <w:spacing w:before="100" w:beforeAutospacing="1" w:after="100" w:afterAutospacing="1" w:line="480" w:lineRule="exact"/>
        <w:rPr>
          <w:sz w:val="21"/>
          <w:szCs w:val="21"/>
          <w:highlight w:val="none"/>
        </w:rPr>
      </w:pPr>
    </w:p>
    <w:p>
      <w:pPr>
        <w:spacing w:before="100" w:beforeAutospacing="1" w:after="100" w:afterAutospacing="1" w:line="480" w:lineRule="exact"/>
        <w:rPr>
          <w:sz w:val="21"/>
          <w:szCs w:val="21"/>
          <w:highlight w:val="none"/>
        </w:rPr>
      </w:pPr>
    </w:p>
    <w:p>
      <w:pPr>
        <w:spacing w:before="100" w:beforeAutospacing="1" w:after="100" w:afterAutospacing="1" w:line="480" w:lineRule="exact"/>
        <w:rPr>
          <w:sz w:val="21"/>
          <w:szCs w:val="21"/>
          <w:highlight w:val="none"/>
        </w:rPr>
      </w:pPr>
      <w:r>
        <w:rPr>
          <w:sz w:val="21"/>
          <w:szCs w:val="21"/>
          <w:highlight w:val="none"/>
        </w:rPr>
        <w:t>被授权人（签名或盖章）</w:t>
      </w:r>
      <w:r>
        <w:rPr>
          <w:rFonts w:hint="eastAsia"/>
          <w:sz w:val="21"/>
          <w:szCs w:val="21"/>
          <w:highlight w:val="none"/>
        </w:rPr>
        <w:t>：</w:t>
      </w:r>
      <w:r>
        <w:rPr>
          <w:sz w:val="21"/>
          <w:szCs w:val="21"/>
          <w:highlight w:val="none"/>
          <w:u w:val="single"/>
        </w:rPr>
        <w:t xml:space="preserve">                   </w:t>
      </w:r>
      <w:r>
        <w:rPr>
          <w:sz w:val="21"/>
          <w:szCs w:val="21"/>
          <w:highlight w:val="none"/>
        </w:rPr>
        <w:t xml:space="preserve">        法定代表人（签名或盖章）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rPr>
          <w:sz w:val="21"/>
          <w:szCs w:val="21"/>
          <w:highlight w:val="none"/>
        </w:rPr>
      </w:pPr>
      <w:r>
        <w:rPr>
          <w:sz w:val="21"/>
          <w:szCs w:val="21"/>
          <w:highlight w:val="none"/>
        </w:rPr>
        <w:t>职        务</w:t>
      </w:r>
      <w:r>
        <w:rPr>
          <w:rFonts w:hint="eastAsia"/>
          <w:sz w:val="21"/>
          <w:szCs w:val="21"/>
          <w:highlight w:val="none"/>
        </w:rPr>
        <w:t>：</w:t>
      </w:r>
      <w:r>
        <w:rPr>
          <w:sz w:val="21"/>
          <w:szCs w:val="21"/>
          <w:highlight w:val="none"/>
          <w:u w:val="single"/>
        </w:rPr>
        <w:t xml:space="preserve">                  </w:t>
      </w:r>
      <w:r>
        <w:rPr>
          <w:sz w:val="21"/>
          <w:szCs w:val="21"/>
          <w:highlight w:val="none"/>
        </w:rPr>
        <w:t xml:space="preserve">        职          务</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rPr>
          <w:sz w:val="21"/>
          <w:szCs w:val="21"/>
          <w:highlight w:val="none"/>
        </w:rPr>
      </w:pPr>
      <w:r>
        <w:rPr>
          <w:sz w:val="21"/>
          <w:szCs w:val="21"/>
          <w:highlight w:val="none"/>
        </w:rPr>
        <w:t>被授权人身份证号码</w:t>
      </w:r>
      <w:r>
        <w:rPr>
          <w:rFonts w:hint="eastAsia"/>
          <w:sz w:val="21"/>
          <w:szCs w:val="21"/>
          <w:highlight w:val="none"/>
        </w:rPr>
        <w:t>：</w:t>
      </w:r>
      <w:r>
        <w:rPr>
          <w:sz w:val="21"/>
          <w:szCs w:val="21"/>
          <w:highlight w:val="none"/>
          <w:u w:val="single"/>
        </w:rPr>
        <w:t xml:space="preserve">               </w:t>
      </w:r>
      <w:r>
        <w:rPr>
          <w:sz w:val="21"/>
          <w:szCs w:val="21"/>
          <w:highlight w:val="none"/>
        </w:rPr>
        <w:t xml:space="preserve">      手机（微信）：</w:t>
      </w:r>
      <w:r>
        <w:rPr>
          <w:sz w:val="21"/>
          <w:szCs w:val="21"/>
          <w:highlight w:val="none"/>
          <w:u w:val="single"/>
        </w:rPr>
        <w:t xml:space="preserve">                     </w:t>
      </w:r>
    </w:p>
    <w:p>
      <w:pPr>
        <w:spacing w:before="100" w:beforeAutospacing="1" w:after="100" w:afterAutospacing="1" w:line="480" w:lineRule="exact"/>
        <w:rPr>
          <w:sz w:val="21"/>
          <w:szCs w:val="21"/>
          <w:highlight w:val="none"/>
          <w:u w:val="single"/>
        </w:rPr>
      </w:pPr>
      <w:r>
        <w:rPr>
          <w:sz w:val="21"/>
          <w:szCs w:val="21"/>
          <w:highlight w:val="none"/>
        </w:rPr>
        <w:t>电子邮箱：</w:t>
      </w:r>
      <w:r>
        <w:rPr>
          <w:sz w:val="21"/>
          <w:szCs w:val="21"/>
          <w:highlight w:val="none"/>
          <w:u w:val="single"/>
        </w:rPr>
        <w:t xml:space="preserve">                 </w:t>
      </w:r>
    </w:p>
    <w:p>
      <w:pPr>
        <w:spacing w:before="100" w:beforeAutospacing="1" w:after="100" w:afterAutospacing="1" w:line="480" w:lineRule="exact"/>
        <w:rPr>
          <w:sz w:val="21"/>
          <w:szCs w:val="21"/>
          <w:highlight w:val="none"/>
        </w:rPr>
      </w:pPr>
      <w:r>
        <w:rPr>
          <w:sz w:val="21"/>
          <w:szCs w:val="21"/>
          <w:highlight w:val="none"/>
        </w:rPr>
        <w:t>投标供应商：（盖章）</w:t>
      </w:r>
    </w:p>
    <w:p>
      <w:pPr>
        <w:spacing w:line="360" w:lineRule="auto"/>
        <w:jc w:val="left"/>
        <w:rPr>
          <w:sz w:val="21"/>
          <w:szCs w:val="21"/>
          <w:highlight w:val="none"/>
        </w:rPr>
      </w:pPr>
      <w:r>
        <w:rPr>
          <w:sz w:val="21"/>
          <w:szCs w:val="21"/>
          <w:highlight w:val="none"/>
        </w:rPr>
        <w:t>日  期：</w:t>
      </w:r>
      <w:r>
        <w:rPr>
          <w:sz w:val="21"/>
          <w:szCs w:val="21"/>
          <w:highlight w:val="none"/>
          <w:u w:val="single"/>
        </w:rPr>
        <w:t xml:space="preserve">         </w:t>
      </w:r>
      <w:r>
        <w:rPr>
          <w:sz w:val="21"/>
          <w:szCs w:val="21"/>
          <w:highlight w:val="none"/>
        </w:rPr>
        <w:t>年</w:t>
      </w:r>
      <w:r>
        <w:rPr>
          <w:sz w:val="21"/>
          <w:szCs w:val="21"/>
          <w:highlight w:val="none"/>
          <w:u w:val="single"/>
        </w:rPr>
        <w:t xml:space="preserve">     </w:t>
      </w:r>
      <w:r>
        <w:rPr>
          <w:sz w:val="21"/>
          <w:szCs w:val="21"/>
          <w:highlight w:val="none"/>
        </w:rPr>
        <w:t>月</w:t>
      </w:r>
      <w:r>
        <w:rPr>
          <w:sz w:val="21"/>
          <w:szCs w:val="21"/>
          <w:highlight w:val="none"/>
          <w:u w:val="single"/>
        </w:rPr>
        <w:t xml:space="preserve">     </w:t>
      </w:r>
      <w:r>
        <w:rPr>
          <w:sz w:val="21"/>
          <w:szCs w:val="21"/>
          <w:highlight w:val="none"/>
        </w:rPr>
        <w:t>日</w:t>
      </w:r>
    </w:p>
    <w:p>
      <w:pPr>
        <w:tabs>
          <w:tab w:val="left" w:pos="3025"/>
        </w:tabs>
        <w:rPr>
          <w:b/>
          <w:sz w:val="21"/>
          <w:szCs w:val="21"/>
          <w:highlight w:val="none"/>
        </w:rPr>
      </w:pPr>
    </w:p>
    <w:p>
      <w:pPr>
        <w:tabs>
          <w:tab w:val="left" w:pos="3025"/>
        </w:tabs>
        <w:rPr>
          <w:b/>
          <w:sz w:val="21"/>
          <w:szCs w:val="21"/>
          <w:highlight w:val="none"/>
        </w:rPr>
      </w:pPr>
    </w:p>
    <w:p>
      <w:pPr>
        <w:tabs>
          <w:tab w:val="left" w:pos="3025"/>
        </w:tabs>
        <w:rPr>
          <w:b/>
          <w:sz w:val="21"/>
          <w:szCs w:val="21"/>
          <w:highlight w:val="none"/>
        </w:rPr>
      </w:pPr>
    </w:p>
    <w:p>
      <w:pPr>
        <w:snapToGrid w:val="0"/>
        <w:spacing w:before="60" w:after="60" w:line="336" w:lineRule="auto"/>
        <w:ind w:right="62"/>
        <w:outlineLvl w:val="0"/>
        <w:rPr>
          <w:b/>
          <w:bCs/>
          <w:highlight w:val="none"/>
        </w:rPr>
      </w:pPr>
      <w:r>
        <w:rPr>
          <w:b/>
          <w:szCs w:val="22"/>
          <w:highlight w:val="none"/>
        </w:rPr>
        <w:br w:type="page"/>
      </w:r>
      <w:r>
        <w:rPr>
          <w:b/>
          <w:szCs w:val="22"/>
          <w:highlight w:val="none"/>
        </w:rPr>
        <w:t>4、企业营业执照或</w:t>
      </w:r>
      <w:r>
        <w:rPr>
          <w:rFonts w:hint="eastAsia"/>
          <w:b/>
          <w:szCs w:val="22"/>
          <w:highlight w:val="none"/>
        </w:rPr>
        <w:t>事业</w:t>
      </w:r>
      <w:r>
        <w:rPr>
          <w:b/>
          <w:szCs w:val="22"/>
          <w:highlight w:val="none"/>
        </w:rPr>
        <w:t>法人登记证书复印件</w:t>
      </w:r>
      <w:r>
        <w:rPr>
          <w:rFonts w:hint="eastAsia"/>
          <w:b/>
          <w:szCs w:val="22"/>
          <w:highlight w:val="none"/>
        </w:rPr>
        <w:t>；</w:t>
      </w:r>
      <w:r>
        <w:rPr>
          <w:b/>
          <w:bCs/>
          <w:highlight w:val="none"/>
        </w:rPr>
        <w:t>（复印件需加盖公章）</w:t>
      </w: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pStyle w:val="15"/>
        <w:ind w:firstLine="240"/>
        <w:rPr>
          <w:highlight w:val="none"/>
        </w:rPr>
      </w:pPr>
    </w:p>
    <w:p>
      <w:pPr>
        <w:pStyle w:val="15"/>
        <w:ind w:firstLine="240"/>
        <w:rPr>
          <w:highlight w:val="none"/>
        </w:rPr>
      </w:pPr>
    </w:p>
    <w:p>
      <w:pPr>
        <w:pStyle w:val="15"/>
        <w:ind w:firstLine="240"/>
        <w:rPr>
          <w:highlight w:val="none"/>
        </w:rPr>
      </w:pPr>
    </w:p>
    <w:p>
      <w:pPr>
        <w:spacing w:line="480" w:lineRule="exact"/>
        <w:rPr>
          <w:b/>
          <w:highlight w:val="none"/>
        </w:rPr>
      </w:pPr>
    </w:p>
    <w:p>
      <w:pPr>
        <w:spacing w:line="480" w:lineRule="exact"/>
        <w:rPr>
          <w:b/>
          <w:highlight w:val="none"/>
        </w:rPr>
      </w:pPr>
    </w:p>
    <w:p>
      <w:pPr>
        <w:pStyle w:val="31"/>
        <w:rPr>
          <w:rFonts w:hint="eastAsia"/>
          <w:highlight w:val="none"/>
        </w:rPr>
      </w:pPr>
    </w:p>
    <w:p>
      <w:pPr>
        <w:widowControl/>
        <w:autoSpaceDE/>
        <w:autoSpaceDN/>
        <w:adjustRightInd/>
        <w:jc w:val="left"/>
        <w:textAlignment w:val="auto"/>
        <w:rPr>
          <w:sz w:val="21"/>
          <w:szCs w:val="21"/>
          <w:highlight w:val="none"/>
        </w:rPr>
      </w:pPr>
    </w:p>
    <w:p>
      <w:pPr>
        <w:widowControl/>
        <w:autoSpaceDE/>
        <w:autoSpaceDN/>
        <w:adjustRightInd/>
        <w:jc w:val="left"/>
        <w:textAlignment w:val="auto"/>
        <w:rPr>
          <w:sz w:val="21"/>
          <w:szCs w:val="21"/>
          <w:highlight w:val="none"/>
        </w:rPr>
      </w:pPr>
    </w:p>
    <w:p>
      <w:pPr>
        <w:pStyle w:val="26"/>
        <w:snapToGrid w:val="0"/>
        <w:spacing w:beforeLines="0" w:afterLines="0" w:line="360" w:lineRule="auto"/>
        <w:jc w:val="center"/>
        <w:rPr>
          <w:rFonts w:hint="eastAsia" w:ascii="宋体" w:hAnsi="宋体" w:eastAsia="宋体" w:cs="宋体"/>
          <w:b/>
          <w:bCs w:val="0"/>
          <w:color w:val="auto"/>
          <w:szCs w:val="24"/>
          <w:highlight w:val="none"/>
          <w:lang w:eastAsia="zh-CN"/>
        </w:rPr>
      </w:pPr>
      <w:r>
        <w:rPr>
          <w:b/>
          <w:szCs w:val="22"/>
          <w:highlight w:val="none"/>
        </w:rPr>
        <w:br w:type="page"/>
      </w:r>
      <w:r>
        <w:rPr>
          <w:rFonts w:hint="eastAsia" w:ascii="宋体" w:hAnsi="宋体" w:eastAsia="宋体" w:cs="宋体"/>
          <w:b/>
          <w:bCs w:val="0"/>
          <w:color w:val="auto"/>
          <w:szCs w:val="24"/>
          <w:highlight w:val="none"/>
          <w:lang w:eastAsia="zh-CN"/>
        </w:rPr>
        <w:t>5、</w:t>
      </w:r>
      <w:r>
        <w:rPr>
          <w:rFonts w:hint="eastAsia" w:ascii="宋体" w:hAnsi="宋体" w:eastAsia="宋体" w:cs="宋体"/>
          <w:b/>
          <w:bCs w:val="0"/>
          <w:color w:val="auto"/>
          <w:szCs w:val="24"/>
          <w:highlight w:val="none"/>
          <w:lang w:val="en-US" w:eastAsia="zh-CN"/>
        </w:rPr>
        <w:t>具有良好的商业信誉和健全的财务会计制度</w:t>
      </w:r>
      <w:r>
        <w:rPr>
          <w:rFonts w:hint="eastAsia" w:ascii="宋体" w:hAnsi="宋体" w:eastAsia="宋体" w:cs="宋体"/>
          <w:b/>
          <w:bCs w:val="0"/>
          <w:color w:val="auto"/>
          <w:szCs w:val="24"/>
          <w:highlight w:val="none"/>
          <w:lang w:eastAsia="zh-CN"/>
        </w:rPr>
        <w:t>的承诺函</w:t>
      </w:r>
    </w:p>
    <w:p>
      <w:pPr>
        <w:pStyle w:val="26"/>
        <w:snapToGrid w:val="0"/>
        <w:spacing w:beforeLines="0" w:afterLines="0" w:line="360" w:lineRule="auto"/>
        <w:rPr>
          <w:rFonts w:hint="eastAsia" w:ascii="宋体" w:hAnsi="宋体" w:eastAsia="宋体" w:cs="宋体"/>
          <w:bCs/>
          <w:color w:val="auto"/>
          <w:szCs w:val="24"/>
          <w:highlight w:val="none"/>
          <w:lang w:val="en-US" w:eastAsia="zh-CN"/>
        </w:rPr>
      </w:pPr>
    </w:p>
    <w:p>
      <w:pPr>
        <w:pStyle w:val="26"/>
        <w:snapToGrid w:val="0"/>
        <w:spacing w:beforeLines="0" w:afterLines="0" w:line="360" w:lineRule="auto"/>
        <w:rPr>
          <w:rFonts w:hint="eastAsia" w:ascii="宋体" w:hAnsi="宋体" w:eastAsia="宋体" w:cs="宋体"/>
          <w:bCs/>
          <w:color w:val="auto"/>
          <w:szCs w:val="24"/>
          <w:highlight w:val="none"/>
        </w:rPr>
      </w:pPr>
      <w:r>
        <w:rPr>
          <w:rFonts w:hint="eastAsia" w:eastAsia="宋体" w:cs="宋体"/>
          <w:bCs/>
          <w:color w:val="auto"/>
          <w:szCs w:val="24"/>
          <w:highlight w:val="none"/>
          <w:lang w:val="en-US" w:eastAsia="zh-CN"/>
        </w:rPr>
        <w:t>兰溪市水旱灾害防御中心</w:t>
      </w:r>
      <w:r>
        <w:rPr>
          <w:rFonts w:hint="eastAsia" w:ascii="宋体" w:hAnsi="宋体" w:eastAsia="宋体" w:cs="宋体"/>
          <w:bCs/>
          <w:color w:val="auto"/>
          <w:szCs w:val="24"/>
          <w:highlight w:val="none"/>
        </w:rPr>
        <w:t>、</w:t>
      </w:r>
      <w:r>
        <w:rPr>
          <w:rFonts w:hint="eastAsia" w:ascii="宋体" w:hAnsi="宋体" w:eastAsia="宋体" w:cs="宋体"/>
          <w:bCs/>
          <w:color w:val="auto"/>
          <w:szCs w:val="24"/>
          <w:highlight w:val="none"/>
          <w:lang w:eastAsia="zh-CN"/>
        </w:rPr>
        <w:t>杭州中乙信息科技咨询有限公司</w:t>
      </w:r>
      <w:r>
        <w:rPr>
          <w:rFonts w:hint="eastAsia" w:ascii="宋体" w:hAnsi="宋体" w:eastAsia="宋体" w:cs="宋体"/>
          <w:bCs/>
          <w:color w:val="auto"/>
          <w:szCs w:val="24"/>
          <w:highlight w:val="none"/>
        </w:rPr>
        <w:t>：</w:t>
      </w: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我公司郑重声明，我公司严格依法</w:t>
      </w:r>
      <w:r>
        <w:rPr>
          <w:rFonts w:hint="eastAsia" w:ascii="宋体" w:hAnsi="宋体" w:eastAsia="宋体" w:cs="宋体"/>
          <w:bCs/>
          <w:color w:val="auto"/>
          <w:szCs w:val="24"/>
          <w:highlight w:val="none"/>
          <w:lang w:val="en-US" w:eastAsia="zh-CN"/>
        </w:rPr>
        <w:t>经营，具有良好的商业信誉和健全的财务会计制度</w:t>
      </w:r>
      <w:r>
        <w:rPr>
          <w:rFonts w:hint="eastAsia" w:ascii="宋体" w:hAnsi="宋体" w:eastAsia="宋体" w:cs="宋体"/>
          <w:bCs/>
          <w:color w:val="auto"/>
          <w:szCs w:val="24"/>
          <w:highlight w:val="none"/>
        </w:rPr>
        <w:t>，本文件中所提供的相关材料</w:t>
      </w:r>
      <w:r>
        <w:rPr>
          <w:rFonts w:hint="eastAsia" w:ascii="宋体" w:hAnsi="宋体" w:eastAsia="宋体" w:cs="宋体"/>
          <w:bCs/>
          <w:color w:val="auto"/>
          <w:szCs w:val="24"/>
          <w:highlight w:val="none"/>
          <w:lang w:val="en-US" w:eastAsia="zh-CN"/>
        </w:rPr>
        <w:t>及说明</w:t>
      </w:r>
      <w:r>
        <w:rPr>
          <w:rFonts w:hint="eastAsia" w:ascii="宋体" w:hAnsi="宋体" w:eastAsia="宋体" w:cs="宋体"/>
          <w:bCs/>
          <w:color w:val="auto"/>
          <w:szCs w:val="24"/>
          <w:highlight w:val="none"/>
        </w:rPr>
        <w:t>均真实有效，不存在虚假、造假行为。如有违反，愿承担一切责任。</w:t>
      </w:r>
    </w:p>
    <w:p>
      <w:pPr>
        <w:pStyle w:val="26"/>
        <w:snapToGrid w:val="0"/>
        <w:spacing w:beforeLines="0" w:afterLines="0" w:line="360" w:lineRule="auto"/>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特此承诺！</w:t>
      </w: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单位名称（盖章） ：</w:t>
      </w:r>
    </w:p>
    <w:p>
      <w:pPr>
        <w:pStyle w:val="26"/>
        <w:snapToGrid w:val="0"/>
        <w:spacing w:beforeLines="0" w:afterLines="0" w:line="360" w:lineRule="auto"/>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法定代表人或其授权代表（签字或盖章）：</w:t>
      </w:r>
    </w:p>
    <w:p>
      <w:pPr>
        <w:widowControl/>
        <w:snapToGrid w:val="0"/>
        <w:spacing w:beforeLines="0" w:afterLines="0" w:line="360"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日期：     年  月  日</w:t>
      </w: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rPr>
          <w:rFonts w:hint="eastAsia" w:ascii="宋体" w:hAnsi="宋体" w:eastAsia="宋体" w:cs="宋体"/>
          <w:bCs/>
          <w:color w:val="auto"/>
          <w:szCs w:val="24"/>
          <w:highlight w:val="none"/>
        </w:rPr>
      </w:pPr>
    </w:p>
    <w:p>
      <w:pPr>
        <w:pStyle w:val="26"/>
        <w:snapToGrid w:val="0"/>
        <w:spacing w:beforeLines="0" w:afterLines="0" w:line="360" w:lineRule="auto"/>
        <w:jc w:val="center"/>
        <w:rPr>
          <w:rFonts w:hint="eastAsia" w:ascii="宋体" w:hAnsi="宋体" w:eastAsia="宋体" w:cs="宋体"/>
          <w:b/>
          <w:bCs w:val="0"/>
          <w:color w:val="auto"/>
          <w:szCs w:val="24"/>
          <w:highlight w:val="none"/>
        </w:rPr>
      </w:pPr>
      <w:r>
        <w:rPr>
          <w:rFonts w:hint="eastAsia" w:ascii="宋体" w:hAnsi="宋体" w:eastAsia="宋体" w:cs="宋体"/>
          <w:b/>
          <w:bCs w:val="0"/>
          <w:color w:val="auto"/>
          <w:szCs w:val="24"/>
          <w:highlight w:val="none"/>
          <w:lang w:val="en-US" w:eastAsia="zh-CN"/>
        </w:rPr>
        <w:t>6、</w:t>
      </w:r>
      <w:r>
        <w:rPr>
          <w:rFonts w:hint="eastAsia" w:ascii="宋体" w:hAnsi="宋体" w:eastAsia="宋体" w:cs="宋体"/>
          <w:b/>
          <w:bCs w:val="0"/>
          <w:color w:val="auto"/>
          <w:szCs w:val="24"/>
          <w:highlight w:val="none"/>
        </w:rPr>
        <w:t>具有履行合同所必需的场地、设备和专业技术能力的承诺函</w:t>
      </w:r>
    </w:p>
    <w:p>
      <w:pPr>
        <w:pStyle w:val="26"/>
        <w:snapToGrid w:val="0"/>
        <w:spacing w:beforeLines="0" w:afterLines="0" w:line="360" w:lineRule="auto"/>
        <w:rPr>
          <w:rFonts w:hint="eastAsia" w:ascii="宋体" w:hAnsi="宋体" w:eastAsia="宋体" w:cs="宋体"/>
          <w:bCs/>
          <w:color w:val="auto"/>
          <w:szCs w:val="24"/>
          <w:highlight w:val="none"/>
          <w:lang w:val="en-US" w:eastAsia="zh-CN"/>
        </w:rPr>
      </w:pPr>
    </w:p>
    <w:p>
      <w:pPr>
        <w:pStyle w:val="26"/>
        <w:snapToGrid w:val="0"/>
        <w:spacing w:beforeLines="0" w:afterLines="0" w:line="360" w:lineRule="auto"/>
        <w:rPr>
          <w:rFonts w:hint="eastAsia" w:ascii="宋体" w:hAnsi="宋体" w:eastAsia="宋体" w:cs="宋体"/>
          <w:bCs/>
          <w:color w:val="auto"/>
          <w:szCs w:val="24"/>
          <w:highlight w:val="none"/>
        </w:rPr>
      </w:pPr>
      <w:r>
        <w:rPr>
          <w:rFonts w:hint="eastAsia" w:eastAsia="宋体" w:cs="宋体"/>
          <w:bCs/>
          <w:color w:val="auto"/>
          <w:szCs w:val="24"/>
          <w:highlight w:val="none"/>
          <w:lang w:val="en-US" w:eastAsia="zh-CN"/>
        </w:rPr>
        <w:t>兰溪市水旱灾害防御中心</w:t>
      </w:r>
      <w:r>
        <w:rPr>
          <w:rFonts w:hint="eastAsia" w:ascii="宋体" w:hAnsi="宋体" w:eastAsia="宋体" w:cs="宋体"/>
          <w:bCs/>
          <w:color w:val="auto"/>
          <w:szCs w:val="24"/>
          <w:highlight w:val="none"/>
        </w:rPr>
        <w:t>、</w:t>
      </w:r>
      <w:r>
        <w:rPr>
          <w:rFonts w:hint="eastAsia" w:ascii="宋体" w:hAnsi="宋体" w:eastAsia="宋体" w:cs="宋体"/>
          <w:bCs/>
          <w:color w:val="auto"/>
          <w:szCs w:val="24"/>
          <w:highlight w:val="none"/>
          <w:lang w:eastAsia="zh-CN"/>
        </w:rPr>
        <w:t>杭州中乙信息科技咨询有限公司</w:t>
      </w:r>
      <w:r>
        <w:rPr>
          <w:rFonts w:hint="eastAsia" w:ascii="宋体" w:hAnsi="宋体" w:eastAsia="宋体" w:cs="宋体"/>
          <w:bCs/>
          <w:color w:val="auto"/>
          <w:szCs w:val="24"/>
          <w:highlight w:val="none"/>
        </w:rPr>
        <w:t>：</w:t>
      </w: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我方承诺具有履行合同所必需的场地、设备和专业技术能力。如有虚假，招标人可取消我方任何资格（投标/中标/签订合同），我方对此无任何异议。</w:t>
      </w: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特此承诺！</w:t>
      </w: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单位名称（盖章） ：</w:t>
      </w: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法定代表人或其授权代表（签字或盖章）：</w:t>
      </w:r>
    </w:p>
    <w:p>
      <w:pPr>
        <w:pStyle w:val="26"/>
        <w:snapToGrid w:val="0"/>
        <w:spacing w:beforeLines="0" w:afterLines="0" w:line="360" w:lineRule="auto"/>
        <w:ind w:firstLine="48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日期：     年  月  日</w:t>
      </w:r>
    </w:p>
    <w:p>
      <w:pPr>
        <w:pStyle w:val="10"/>
        <w:tabs>
          <w:tab w:val="left" w:pos="1155"/>
        </w:tabs>
        <w:snapToGrid w:val="0"/>
        <w:spacing w:before="0" w:beforeLines="0" w:after="0" w:line="360" w:lineRule="auto"/>
        <w:rPr>
          <w:rFonts w:hint="eastAsia" w:ascii="宋体" w:hAnsi="宋体" w:eastAsia="宋体" w:cs="宋体"/>
          <w:b/>
          <w:color w:val="auto"/>
          <w:sz w:val="24"/>
          <w:szCs w:val="24"/>
          <w:highlight w:val="none"/>
        </w:rPr>
      </w:pPr>
    </w:p>
    <w:p>
      <w:pPr>
        <w:pStyle w:val="26"/>
        <w:snapToGrid w:val="0"/>
        <w:spacing w:beforeLines="0" w:afterLines="0" w:line="360" w:lineRule="auto"/>
        <w:rPr>
          <w:rFonts w:hint="eastAsia" w:ascii="宋体" w:hAnsi="宋体" w:eastAsia="宋体" w:cs="宋体"/>
          <w:bCs/>
          <w:szCs w:val="24"/>
          <w:highlight w:val="none"/>
        </w:rPr>
      </w:pPr>
    </w:p>
    <w:p>
      <w:pPr>
        <w:snapToGrid w:val="0"/>
        <w:spacing w:beforeLines="0" w:afterLines="0" w:line="360" w:lineRule="auto"/>
        <w:jc w:val="center"/>
        <w:rPr>
          <w:rFonts w:hint="eastAsia" w:ascii="宋体" w:hAnsi="宋体" w:eastAsia="宋体" w:cs="宋体"/>
          <w:b/>
          <w:color w:val="000000"/>
          <w:kern w:val="0"/>
          <w:sz w:val="24"/>
          <w:szCs w:val="24"/>
          <w:highlight w:val="none"/>
          <w:u w:val="single"/>
        </w:rPr>
      </w:pPr>
      <w:r>
        <w:rPr>
          <w:rFonts w:hint="eastAsia" w:ascii="宋体" w:hAnsi="宋体" w:eastAsia="宋体" w:cs="宋体"/>
          <w:b/>
          <w:bCs/>
          <w:color w:val="000000"/>
          <w:sz w:val="24"/>
          <w:szCs w:val="24"/>
          <w:highlight w:val="none"/>
          <w:lang w:val="en-US" w:eastAsia="zh-CN"/>
        </w:rPr>
        <w:t>7、</w:t>
      </w:r>
      <w:r>
        <w:rPr>
          <w:rFonts w:hint="eastAsia" w:ascii="宋体" w:hAnsi="宋体" w:eastAsia="宋体" w:cs="宋体"/>
          <w:b/>
          <w:bCs/>
          <w:color w:val="000000"/>
          <w:sz w:val="24"/>
          <w:szCs w:val="24"/>
          <w:highlight w:val="none"/>
        </w:rPr>
        <w:t>依法缴纳税收和社会保障资金的承诺函</w:t>
      </w:r>
    </w:p>
    <w:p>
      <w:pPr>
        <w:shd w:val="clear" w:color="auto" w:fill="FFFFFF"/>
        <w:snapToGrid w:val="0"/>
        <w:spacing w:beforeLines="0" w:afterLines="0" w:line="360" w:lineRule="auto"/>
        <w:rPr>
          <w:rFonts w:hint="eastAsia" w:ascii="宋体" w:hAnsi="宋体" w:eastAsia="宋体" w:cs="宋体"/>
          <w:color w:val="000000"/>
          <w:sz w:val="24"/>
          <w:szCs w:val="24"/>
          <w:highlight w:val="none"/>
          <w:lang w:val="en-US" w:eastAsia="zh-CN"/>
        </w:rPr>
      </w:pPr>
    </w:p>
    <w:p>
      <w:pPr>
        <w:shd w:val="clear" w:color="auto" w:fill="FFFFFF"/>
        <w:snapToGrid w:val="0"/>
        <w:spacing w:beforeLines="0" w:afterLines="0"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兰溪市水旱灾害防御中心</w:t>
      </w:r>
      <w:r>
        <w:rPr>
          <w:rFonts w:hint="eastAsia" w:ascii="宋体" w:hAnsi="宋体" w:eastAsia="宋体" w:cs="宋体"/>
          <w:color w:val="000000"/>
          <w:sz w:val="24"/>
          <w:szCs w:val="24"/>
          <w:highlight w:val="none"/>
        </w:rPr>
        <w:t>、</w:t>
      </w:r>
      <w:r>
        <w:rPr>
          <w:rFonts w:hint="eastAsia" w:ascii="宋体" w:hAnsi="宋体" w:eastAsia="宋体" w:cs="宋体"/>
          <w:bCs/>
          <w:color w:val="auto"/>
          <w:szCs w:val="24"/>
          <w:highlight w:val="none"/>
          <w:lang w:eastAsia="zh-CN"/>
        </w:rPr>
        <w:t>杭州中乙信息科技咨询有限公司</w:t>
      </w:r>
      <w:r>
        <w:rPr>
          <w:rFonts w:hint="eastAsia" w:ascii="宋体" w:hAnsi="宋体" w:eastAsia="宋体" w:cs="宋体"/>
          <w:color w:val="000000"/>
          <w:kern w:val="0"/>
          <w:sz w:val="24"/>
          <w:szCs w:val="24"/>
          <w:highlight w:val="none"/>
        </w:rPr>
        <w:t>：</w:t>
      </w:r>
    </w:p>
    <w:p>
      <w:pPr>
        <w:snapToGrid w:val="0"/>
        <w:spacing w:beforeLines="0" w:afterLines="0" w:line="360" w:lineRule="auto"/>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我公司郑重声明，我公司严格依法缴纳税收和社会保障资金，本文件中所提供的相关材料均真实有效，不存在虚假、造假行为。如有违反，愿承担一切责任。</w:t>
      </w:r>
    </w:p>
    <w:p>
      <w:pPr>
        <w:snapToGrid w:val="0"/>
        <w:spacing w:beforeLines="0" w:afterLines="0" w:line="360" w:lineRule="auto"/>
        <w:ind w:firstLine="480" w:firstLineChars="200"/>
        <w:rPr>
          <w:rFonts w:hint="eastAsia" w:ascii="宋体" w:hAnsi="宋体" w:eastAsia="宋体" w:cs="宋体"/>
          <w:color w:val="000000"/>
          <w:kern w:val="0"/>
          <w:sz w:val="24"/>
          <w:szCs w:val="24"/>
          <w:highlight w:val="none"/>
        </w:rPr>
      </w:pPr>
    </w:p>
    <w:p>
      <w:pPr>
        <w:snapToGrid w:val="0"/>
        <w:spacing w:beforeLines="0" w:afterLines="0" w:line="360" w:lineRule="auto"/>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单位名称（盖章） ：</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法定代表人或其授权代表（签字或盖章）：</w:t>
      </w:r>
    </w:p>
    <w:p>
      <w:pPr>
        <w:pStyle w:val="26"/>
        <w:snapToGrid w:val="0"/>
        <w:spacing w:beforeLines="0" w:afterLines="0" w:line="360" w:lineRule="auto"/>
        <w:ind w:firstLine="480" w:firstLineChars="200"/>
        <w:jc w:val="both"/>
        <w:rPr>
          <w:rFonts w:hint="eastAsia" w:ascii="宋体" w:hAnsi="宋体" w:eastAsia="宋体" w:cs="宋体"/>
          <w:bCs/>
          <w:szCs w:val="24"/>
          <w:highlight w:val="none"/>
        </w:rPr>
      </w:pPr>
      <w:r>
        <w:rPr>
          <w:rFonts w:hint="eastAsia" w:ascii="宋体" w:hAnsi="宋体" w:eastAsia="宋体" w:cs="宋体"/>
          <w:color w:val="000000"/>
          <w:kern w:val="0"/>
          <w:sz w:val="24"/>
          <w:szCs w:val="24"/>
          <w:highlight w:val="none"/>
        </w:rPr>
        <w:t>日期：     年  月  日</w:t>
      </w:r>
    </w:p>
    <w:p>
      <w:pPr>
        <w:pStyle w:val="26"/>
        <w:snapToGrid w:val="0"/>
        <w:spacing w:beforeLines="0" w:afterLines="0" w:line="360" w:lineRule="auto"/>
        <w:ind w:firstLine="960" w:firstLineChars="400"/>
        <w:jc w:val="both"/>
        <w:rPr>
          <w:rFonts w:hint="eastAsia" w:ascii="宋体" w:hAnsi="宋体" w:eastAsia="宋体" w:cs="宋体"/>
          <w:bCs/>
          <w:szCs w:val="24"/>
          <w:highlight w:val="none"/>
        </w:rPr>
      </w:pPr>
    </w:p>
    <w:p>
      <w:pPr>
        <w:pStyle w:val="26"/>
        <w:snapToGrid w:val="0"/>
        <w:spacing w:beforeLines="0" w:afterLines="0" w:line="360" w:lineRule="auto"/>
        <w:ind w:firstLine="960" w:firstLineChars="400"/>
        <w:jc w:val="both"/>
        <w:rPr>
          <w:rFonts w:hint="eastAsia" w:ascii="宋体" w:hAnsi="宋体" w:eastAsia="宋体" w:cs="宋体"/>
          <w:bCs/>
          <w:szCs w:val="24"/>
          <w:highlight w:val="none"/>
        </w:rPr>
      </w:pPr>
    </w:p>
    <w:p>
      <w:pPr>
        <w:pStyle w:val="26"/>
        <w:spacing w:line="360" w:lineRule="auto"/>
        <w:ind w:firstLine="964" w:firstLineChars="400"/>
        <w:jc w:val="both"/>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8、</w:t>
      </w:r>
      <w:r>
        <w:rPr>
          <w:rFonts w:hint="eastAsia" w:ascii="宋体" w:hAnsi="宋体" w:eastAsia="宋体" w:cs="宋体"/>
          <w:b/>
          <w:bCs/>
          <w:color w:val="000000"/>
          <w:sz w:val="24"/>
          <w:szCs w:val="24"/>
          <w:highlight w:val="none"/>
        </w:rPr>
        <w:t>参加</w:t>
      </w:r>
      <w:r>
        <w:rPr>
          <w:rFonts w:hint="eastAsia" w:ascii="宋体" w:hAnsi="宋体" w:eastAsia="宋体" w:cs="宋体"/>
          <w:b/>
          <w:bCs/>
          <w:color w:val="000000"/>
          <w:sz w:val="24"/>
          <w:szCs w:val="24"/>
          <w:highlight w:val="none"/>
          <w:lang w:val="en-US" w:eastAsia="zh-CN"/>
        </w:rPr>
        <w:t>采购</w:t>
      </w:r>
      <w:r>
        <w:rPr>
          <w:rFonts w:hint="eastAsia" w:ascii="宋体" w:hAnsi="宋体" w:eastAsia="宋体" w:cs="宋体"/>
          <w:b/>
          <w:bCs/>
          <w:color w:val="000000"/>
          <w:sz w:val="24"/>
          <w:szCs w:val="24"/>
          <w:highlight w:val="none"/>
        </w:rPr>
        <w:t>活动前3年内在经营活动中没有重大违法记录的声明函</w:t>
      </w:r>
    </w:p>
    <w:p>
      <w:pPr>
        <w:shd w:val="clear" w:color="auto" w:fill="FFFFFF"/>
        <w:snapToGrid w:val="0"/>
        <w:spacing w:beforeLines="0" w:afterLines="0" w:line="360" w:lineRule="auto"/>
        <w:rPr>
          <w:rFonts w:hint="eastAsia" w:ascii="宋体" w:hAnsi="宋体" w:eastAsia="宋体" w:cs="宋体"/>
          <w:color w:val="000000"/>
          <w:sz w:val="24"/>
          <w:szCs w:val="24"/>
          <w:highlight w:val="none"/>
          <w:lang w:val="en-US" w:eastAsia="zh-CN"/>
        </w:rPr>
      </w:pPr>
    </w:p>
    <w:p>
      <w:pPr>
        <w:shd w:val="clear" w:color="auto" w:fill="FFFFFF"/>
        <w:snapToGrid w:val="0"/>
        <w:spacing w:beforeLines="0" w:afterLines="0"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兰溪市水旱灾害防御中心</w:t>
      </w:r>
      <w:r>
        <w:rPr>
          <w:rFonts w:hint="eastAsia" w:ascii="宋体" w:hAnsi="宋体" w:eastAsia="宋体" w:cs="宋体"/>
          <w:color w:val="000000"/>
          <w:sz w:val="24"/>
          <w:szCs w:val="24"/>
          <w:highlight w:val="none"/>
        </w:rPr>
        <w:t>、</w:t>
      </w:r>
      <w:r>
        <w:rPr>
          <w:rFonts w:hint="eastAsia" w:ascii="宋体" w:hAnsi="宋体" w:eastAsia="宋体" w:cs="宋体"/>
          <w:bCs/>
          <w:color w:val="auto"/>
          <w:szCs w:val="24"/>
          <w:highlight w:val="none"/>
          <w:lang w:eastAsia="zh-CN"/>
        </w:rPr>
        <w:t>杭州中乙信息科技咨询有限公司</w:t>
      </w:r>
      <w:r>
        <w:rPr>
          <w:rFonts w:hint="eastAsia" w:ascii="宋体" w:hAnsi="宋体" w:eastAsia="宋体" w:cs="宋体"/>
          <w:color w:val="000000"/>
          <w:kern w:val="0"/>
          <w:sz w:val="24"/>
          <w:szCs w:val="24"/>
          <w:highlight w:val="none"/>
        </w:rPr>
        <w:t>：</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方具有良好的商业信誉，依法缴纳税收和社会保障资金，未被列入失信被执行人名单、重大税收违法案件当事人名单，参加本次招投标活动前3年内在经营活动中没有重大违法记录（没有因违法经营受到刑事处罚，没有被责令停产停业、被吊销许可证或者执照）。如有虚假，招标人可取消我方任何资格（投标/中标/签订合同），我方对此无任何异议。</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单位名称（盖章） ：</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法定代表人或其授权代表（签字或盖章）：</w:t>
      </w:r>
    </w:p>
    <w:p>
      <w:pPr>
        <w:pStyle w:val="26"/>
        <w:snapToGrid w:val="0"/>
        <w:spacing w:beforeLines="0" w:afterLines="0" w:line="360" w:lineRule="auto"/>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000000"/>
          <w:kern w:val="0"/>
          <w:sz w:val="24"/>
          <w:szCs w:val="24"/>
          <w:highlight w:val="none"/>
        </w:rPr>
        <w:t>日期：     年  月  日</w:t>
      </w:r>
    </w:p>
    <w:p>
      <w:pPr>
        <w:pStyle w:val="26"/>
        <w:snapToGrid w:val="0"/>
        <w:spacing w:beforeLines="0" w:afterLines="0" w:line="360" w:lineRule="auto"/>
        <w:rPr>
          <w:rFonts w:hint="eastAsia" w:ascii="宋体" w:hAnsi="宋体" w:eastAsia="宋体" w:cs="宋体"/>
          <w:bCs/>
          <w:szCs w:val="24"/>
          <w:highlight w:val="none"/>
        </w:rPr>
      </w:pPr>
    </w:p>
    <w:p>
      <w:pPr>
        <w:pStyle w:val="26"/>
        <w:snapToGrid w:val="0"/>
        <w:spacing w:beforeLines="0" w:afterLines="0" w:line="360" w:lineRule="auto"/>
        <w:jc w:val="center"/>
        <w:rPr>
          <w:rFonts w:hint="eastAsia" w:ascii="宋体" w:hAnsi="宋体" w:eastAsia="宋体" w:cs="宋体"/>
          <w:b/>
          <w:bCs/>
          <w:color w:val="000000"/>
          <w:sz w:val="24"/>
          <w:szCs w:val="24"/>
          <w:highlight w:val="none"/>
          <w:lang w:val="en-US" w:eastAsia="zh-CN"/>
        </w:rPr>
      </w:pPr>
    </w:p>
    <w:p>
      <w:pPr>
        <w:pStyle w:val="26"/>
        <w:snapToGrid w:val="0"/>
        <w:spacing w:beforeLines="0" w:afterLines="0" w:line="360" w:lineRule="auto"/>
        <w:jc w:val="cente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br w:type="page"/>
      </w:r>
      <w:r>
        <w:rPr>
          <w:rFonts w:hint="eastAsia" w:ascii="宋体" w:hAnsi="宋体" w:eastAsia="宋体" w:cs="宋体"/>
          <w:b/>
          <w:bCs/>
          <w:color w:val="000000"/>
          <w:sz w:val="24"/>
          <w:szCs w:val="24"/>
          <w:highlight w:val="none"/>
          <w:lang w:val="en-US" w:eastAsia="zh-CN"/>
        </w:rPr>
        <w:t>9、</w:t>
      </w:r>
      <w:r>
        <w:rPr>
          <w:rFonts w:hint="eastAsia" w:ascii="宋体" w:hAnsi="宋体" w:eastAsia="宋体" w:cs="宋体"/>
          <w:b/>
          <w:bCs/>
          <w:color w:val="000000"/>
          <w:sz w:val="24"/>
          <w:szCs w:val="24"/>
          <w:highlight w:val="none"/>
        </w:rPr>
        <w:t>与参加本次项目同一合同项下</w:t>
      </w:r>
      <w:r>
        <w:rPr>
          <w:rFonts w:hint="eastAsia" w:ascii="宋体" w:hAnsi="宋体" w:eastAsia="宋体" w:cs="宋体"/>
          <w:b/>
          <w:bCs/>
          <w:color w:val="000000"/>
          <w:sz w:val="24"/>
          <w:szCs w:val="24"/>
          <w:highlight w:val="none"/>
          <w:lang w:val="en-US" w:eastAsia="zh-CN"/>
        </w:rPr>
        <w:t>采购</w:t>
      </w:r>
      <w:r>
        <w:rPr>
          <w:rFonts w:hint="eastAsia" w:ascii="宋体" w:hAnsi="宋体" w:eastAsia="宋体" w:cs="宋体"/>
          <w:b/>
          <w:bCs/>
          <w:color w:val="000000"/>
          <w:sz w:val="24"/>
          <w:szCs w:val="24"/>
          <w:highlight w:val="none"/>
        </w:rPr>
        <w:t>活动的其他单位不存在单位负责人为同一人或者直接控股、管理关系的承诺函</w:t>
      </w:r>
    </w:p>
    <w:p>
      <w:pPr>
        <w:shd w:val="clear" w:color="auto" w:fill="FFFFFF"/>
        <w:snapToGrid w:val="0"/>
        <w:spacing w:beforeLines="0" w:afterLines="0" w:line="360" w:lineRule="auto"/>
        <w:rPr>
          <w:rFonts w:hint="eastAsia" w:ascii="宋体" w:hAnsi="宋体" w:eastAsia="宋体" w:cs="宋体"/>
          <w:color w:val="000000"/>
          <w:sz w:val="24"/>
          <w:szCs w:val="24"/>
          <w:highlight w:val="none"/>
          <w:lang w:val="en-US" w:eastAsia="zh-CN"/>
        </w:rPr>
      </w:pPr>
    </w:p>
    <w:p>
      <w:pPr>
        <w:shd w:val="clear" w:color="auto" w:fill="FFFFFF"/>
        <w:snapToGrid w:val="0"/>
        <w:spacing w:beforeLines="0" w:afterLines="0"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兰溪市水旱灾害防御中心</w:t>
      </w:r>
      <w:r>
        <w:rPr>
          <w:rFonts w:hint="eastAsia" w:ascii="宋体" w:hAnsi="宋体" w:eastAsia="宋体" w:cs="宋体"/>
          <w:color w:val="000000"/>
          <w:kern w:val="0"/>
          <w:sz w:val="24"/>
          <w:szCs w:val="24"/>
          <w:highlight w:val="none"/>
        </w:rPr>
        <w:t>、</w:t>
      </w:r>
      <w:r>
        <w:rPr>
          <w:rFonts w:hint="eastAsia" w:ascii="宋体" w:hAnsi="宋体" w:eastAsia="宋体" w:cs="宋体"/>
          <w:bCs/>
          <w:color w:val="auto"/>
          <w:szCs w:val="24"/>
          <w:highlight w:val="none"/>
          <w:lang w:eastAsia="zh-CN"/>
        </w:rPr>
        <w:t>杭州中乙信息科技咨询有限公司</w:t>
      </w:r>
      <w:r>
        <w:rPr>
          <w:rFonts w:hint="eastAsia" w:ascii="宋体" w:hAnsi="宋体" w:eastAsia="宋体" w:cs="宋体"/>
          <w:color w:val="000000"/>
          <w:kern w:val="0"/>
          <w:sz w:val="24"/>
          <w:szCs w:val="24"/>
          <w:highlight w:val="none"/>
        </w:rPr>
        <w:t>：</w:t>
      </w:r>
    </w:p>
    <w:p>
      <w:pPr>
        <w:snapToGrid w:val="0"/>
        <w:spacing w:beforeLines="0" w:afterLines="0" w:line="360" w:lineRule="auto"/>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我方郑重承诺，我方参加</w:t>
      </w:r>
      <w:r>
        <w:rPr>
          <w:rFonts w:hint="eastAsia" w:ascii="宋体" w:hAnsi="宋体" w:eastAsia="宋体" w:cs="宋体"/>
          <w:color w:val="000000"/>
          <w:kern w:val="0"/>
          <w:sz w:val="24"/>
          <w:szCs w:val="24"/>
          <w:highlight w:val="none"/>
          <w:lang w:val="en-US" w:eastAsia="zh-CN"/>
        </w:rPr>
        <w:t>本次</w:t>
      </w:r>
      <w:r>
        <w:rPr>
          <w:rFonts w:hint="eastAsia" w:ascii="宋体" w:hAnsi="宋体" w:eastAsia="宋体" w:cs="宋体"/>
          <w:color w:val="000000"/>
          <w:kern w:val="0"/>
          <w:sz w:val="24"/>
          <w:szCs w:val="24"/>
          <w:highlight w:val="none"/>
        </w:rPr>
        <w:t>采购项目的投标，与参加本次项目同一合同项下招投标活动的其他单位不存在单位负责人为同一人或者直接控股、管理关系。如有虚假或隐瞒，愿意承担一切后果。</w:t>
      </w:r>
    </w:p>
    <w:p>
      <w:pPr>
        <w:shd w:val="clear" w:color="auto" w:fill="FFFFFF"/>
        <w:snapToGrid w:val="0"/>
        <w:spacing w:beforeLines="0" w:afterLines="0" w:line="360" w:lineRule="auto"/>
        <w:jc w:val="center"/>
        <w:rPr>
          <w:rFonts w:hint="eastAsia" w:ascii="宋体" w:hAnsi="宋体" w:eastAsia="宋体" w:cs="宋体"/>
          <w:b/>
          <w:color w:val="000000"/>
          <w:kern w:val="36"/>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单位名称（盖章） ：</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法定代表人或其授权代表（签字或盖章）：</w:t>
      </w:r>
    </w:p>
    <w:p>
      <w:pPr>
        <w:pStyle w:val="26"/>
        <w:snapToGrid w:val="0"/>
        <w:spacing w:beforeLines="0" w:afterLines="0" w:line="360" w:lineRule="auto"/>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000000"/>
          <w:kern w:val="0"/>
          <w:sz w:val="24"/>
          <w:szCs w:val="24"/>
          <w:highlight w:val="none"/>
        </w:rPr>
        <w:t>日期：     年  月  日</w:t>
      </w:r>
    </w:p>
    <w:p>
      <w:pPr>
        <w:pStyle w:val="26"/>
        <w:snapToGrid w:val="0"/>
        <w:spacing w:beforeLines="0" w:afterLines="0" w:line="360" w:lineRule="auto"/>
        <w:rPr>
          <w:rFonts w:hint="eastAsia" w:ascii="宋体" w:hAnsi="宋体" w:eastAsia="宋体" w:cs="宋体"/>
          <w:color w:val="auto"/>
          <w:sz w:val="24"/>
          <w:szCs w:val="24"/>
          <w:highlight w:val="none"/>
          <w:u w:val="single"/>
          <w:lang w:val="en-US"/>
        </w:rPr>
      </w:pPr>
    </w:p>
    <w:p>
      <w:pPr>
        <w:pStyle w:val="26"/>
        <w:snapToGrid w:val="0"/>
        <w:spacing w:beforeLines="0" w:afterLines="0" w:line="360" w:lineRule="auto"/>
        <w:ind w:firstLine="0" w:firstLineChars="0"/>
        <w:jc w:val="center"/>
        <w:rPr>
          <w:rFonts w:hint="eastAsia" w:ascii="宋体" w:hAnsi="宋体" w:eastAsia="宋体" w:cs="宋体"/>
          <w:b/>
          <w:bCs/>
          <w:color w:val="000000"/>
          <w:sz w:val="24"/>
          <w:szCs w:val="24"/>
          <w:highlight w:val="none"/>
        </w:rPr>
      </w:pPr>
      <w:r>
        <w:rPr>
          <w:rFonts w:hint="eastAsia" w:ascii="宋体" w:hAnsi="宋体" w:eastAsia="宋体" w:cs="宋体"/>
          <w:b/>
          <w:bCs/>
          <w:color w:val="000000"/>
          <w:szCs w:val="24"/>
          <w:highlight w:val="none"/>
          <w:lang w:val="en-US" w:eastAsia="zh-CN"/>
        </w:rPr>
        <w:t>10、</w:t>
      </w:r>
      <w:r>
        <w:rPr>
          <w:rFonts w:hint="eastAsia" w:ascii="宋体" w:hAnsi="宋体" w:eastAsia="宋体" w:cs="宋体"/>
          <w:b/>
          <w:bCs/>
          <w:color w:val="000000"/>
          <w:sz w:val="24"/>
          <w:szCs w:val="24"/>
          <w:highlight w:val="none"/>
        </w:rPr>
        <w:t>投标单位没有失信记录承诺函</w:t>
      </w:r>
    </w:p>
    <w:p>
      <w:pPr>
        <w:shd w:val="clear" w:color="auto" w:fill="FFFFFF"/>
        <w:snapToGrid w:val="0"/>
        <w:spacing w:beforeLines="0" w:afterLines="0" w:line="360" w:lineRule="auto"/>
        <w:rPr>
          <w:rFonts w:hint="eastAsia" w:ascii="宋体" w:hAnsi="宋体" w:eastAsia="宋体" w:cs="宋体"/>
          <w:color w:val="000000"/>
          <w:sz w:val="24"/>
          <w:szCs w:val="24"/>
          <w:highlight w:val="none"/>
          <w:lang w:val="en-US" w:eastAsia="zh-CN"/>
        </w:rPr>
      </w:pPr>
    </w:p>
    <w:p>
      <w:pPr>
        <w:shd w:val="clear" w:color="auto" w:fill="FFFFFF"/>
        <w:snapToGrid w:val="0"/>
        <w:spacing w:beforeLines="0" w:afterLines="0"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兰溪市水旱灾害防御中心</w:t>
      </w:r>
      <w:r>
        <w:rPr>
          <w:rFonts w:hint="eastAsia" w:ascii="宋体" w:hAnsi="宋体" w:eastAsia="宋体" w:cs="宋体"/>
          <w:color w:val="000000"/>
          <w:kern w:val="0"/>
          <w:sz w:val="24"/>
          <w:szCs w:val="24"/>
          <w:highlight w:val="none"/>
        </w:rPr>
        <w:t>、</w:t>
      </w:r>
      <w:r>
        <w:rPr>
          <w:rFonts w:hint="eastAsia" w:ascii="宋体" w:hAnsi="宋体" w:eastAsia="宋体" w:cs="宋体"/>
          <w:bCs/>
          <w:color w:val="auto"/>
          <w:szCs w:val="24"/>
          <w:highlight w:val="none"/>
          <w:lang w:eastAsia="zh-CN"/>
        </w:rPr>
        <w:t>杭州中乙信息科技咨询有限公司</w:t>
      </w:r>
      <w:r>
        <w:rPr>
          <w:rFonts w:hint="eastAsia" w:ascii="宋体" w:hAnsi="宋体" w:eastAsia="宋体" w:cs="宋体"/>
          <w:color w:val="000000"/>
          <w:kern w:val="0"/>
          <w:sz w:val="24"/>
          <w:szCs w:val="24"/>
          <w:highlight w:val="none"/>
        </w:rPr>
        <w:t>：</w:t>
      </w:r>
    </w:p>
    <w:p>
      <w:pPr>
        <w:snapToGrid w:val="0"/>
        <w:spacing w:beforeLines="0" w:afterLines="0" w:line="360" w:lineRule="auto"/>
        <w:ind w:firstLine="484" w:firstLineChars="20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我公司郑重承诺：到本项目投标截止时间为止，我公司未被“信用中国”（www.creditchina.gov.cn）、列入失信被执行人名单、重大税收违法案件当事人名单。如有隐瞒，愿承担一切责任。</w:t>
      </w:r>
    </w:p>
    <w:p>
      <w:pPr>
        <w:shd w:val="clear" w:color="auto" w:fill="FFFFFF"/>
        <w:snapToGrid w:val="0"/>
        <w:spacing w:beforeLines="0" w:afterLines="0" w:line="360" w:lineRule="auto"/>
        <w:rPr>
          <w:rFonts w:hint="eastAsia" w:ascii="宋体" w:hAnsi="宋体" w:eastAsia="宋体" w:cs="宋体"/>
          <w:color w:val="000000"/>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pStyle w:val="11"/>
        <w:snapToGrid w:val="0"/>
        <w:spacing w:beforeLines="0" w:afterLines="0" w:line="360" w:lineRule="auto"/>
        <w:rPr>
          <w:rFonts w:hint="eastAsia" w:ascii="宋体" w:hAnsi="宋体" w:eastAsia="宋体" w:cs="宋体"/>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单位名称（盖章） ：</w:t>
      </w:r>
    </w:p>
    <w:p>
      <w:pPr>
        <w:widowControl/>
        <w:snapToGrid w:val="0"/>
        <w:spacing w:beforeLines="0" w:afterLines="0"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法定代表人或其授权代表（签字或盖章）：</w:t>
      </w:r>
    </w:p>
    <w:p>
      <w:pPr>
        <w:widowControl/>
        <w:autoSpaceDE/>
        <w:autoSpaceDN/>
        <w:adjustRightInd/>
        <w:ind w:firstLine="480" w:firstLineChars="200"/>
        <w:jc w:val="left"/>
        <w:textAlignment w:val="auto"/>
        <w:rPr>
          <w:b/>
          <w:bCs/>
          <w:highlight w:val="none"/>
        </w:rPr>
      </w:pPr>
      <w:r>
        <w:rPr>
          <w:rFonts w:hint="eastAsia" w:ascii="宋体" w:hAnsi="宋体" w:eastAsia="宋体" w:cs="宋体"/>
          <w:color w:val="000000"/>
          <w:kern w:val="0"/>
          <w:sz w:val="24"/>
          <w:szCs w:val="24"/>
          <w:highlight w:val="none"/>
        </w:rPr>
        <w:t>日期：     年  月  日</w:t>
      </w:r>
    </w:p>
    <w:p>
      <w:pPr>
        <w:spacing w:line="480" w:lineRule="exact"/>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spacing w:before="100" w:beforeAutospacing="1" w:after="100" w:afterAutospacing="1" w:line="480" w:lineRule="exact"/>
        <w:rPr>
          <w:b/>
          <w:szCs w:val="22"/>
          <w:highlight w:val="none"/>
        </w:rPr>
      </w:pPr>
      <w:r>
        <w:rPr>
          <w:b/>
          <w:szCs w:val="22"/>
          <w:highlight w:val="none"/>
        </w:rPr>
        <w:t>1</w:t>
      </w:r>
      <w:r>
        <w:rPr>
          <w:rFonts w:hint="eastAsia"/>
          <w:b/>
          <w:szCs w:val="22"/>
          <w:highlight w:val="none"/>
          <w:lang w:val="en-US" w:eastAsia="zh-CN"/>
        </w:rPr>
        <w:t>1</w:t>
      </w:r>
      <w:r>
        <w:rPr>
          <w:b/>
          <w:szCs w:val="22"/>
          <w:highlight w:val="none"/>
        </w:rPr>
        <w:t>、投标函</w:t>
      </w:r>
    </w:p>
    <w:p>
      <w:pPr>
        <w:jc w:val="center"/>
        <w:rPr>
          <w:b/>
          <w:bCs/>
          <w:sz w:val="44"/>
          <w:highlight w:val="none"/>
        </w:rPr>
      </w:pPr>
      <w:r>
        <w:rPr>
          <w:b/>
          <w:bCs/>
          <w:sz w:val="44"/>
          <w:highlight w:val="none"/>
        </w:rPr>
        <w:t>投 标 函（格式）</w:t>
      </w:r>
    </w:p>
    <w:p>
      <w:pPr>
        <w:spacing w:line="500" w:lineRule="exact"/>
        <w:jc w:val="left"/>
        <w:rPr>
          <w:sz w:val="28"/>
          <w:highlight w:val="none"/>
        </w:rPr>
      </w:pPr>
    </w:p>
    <w:p>
      <w:pPr>
        <w:spacing w:line="500" w:lineRule="exact"/>
        <w:jc w:val="left"/>
        <w:rPr>
          <w:sz w:val="28"/>
          <w:highlight w:val="none"/>
          <w:u w:val="single"/>
        </w:rPr>
      </w:pPr>
      <w:r>
        <w:rPr>
          <w:sz w:val="28"/>
          <w:highlight w:val="none"/>
        </w:rPr>
        <w:t>致：</w:t>
      </w:r>
      <w:r>
        <w:rPr>
          <w:rFonts w:hint="eastAsia"/>
          <w:highlight w:val="none"/>
          <w:u w:val="single"/>
          <w:lang w:val="zh-CN"/>
        </w:rPr>
        <w:t>兰溪市水旱灾害防御中心、杭州中乙信息科技咨询有限公司</w:t>
      </w:r>
      <w:r>
        <w:rPr>
          <w:sz w:val="28"/>
          <w:highlight w:val="none"/>
          <w:u w:val="single"/>
        </w:rPr>
        <w:t xml:space="preserve"> </w:t>
      </w:r>
    </w:p>
    <w:p>
      <w:pPr>
        <w:rPr>
          <w:snapToGrid w:val="0"/>
          <w:szCs w:val="24"/>
          <w:highlight w:val="none"/>
        </w:rPr>
      </w:pPr>
    </w:p>
    <w:p>
      <w:pPr>
        <w:spacing w:line="360" w:lineRule="auto"/>
        <w:ind w:firstLine="440" w:firstLineChars="200"/>
        <w:rPr>
          <w:highlight w:val="none"/>
        </w:rPr>
      </w:pPr>
      <w:r>
        <w:rPr>
          <w:highlight w:val="none"/>
        </w:rPr>
        <w:t>1、我方已全面阅读和研究了</w:t>
      </w:r>
      <w:r>
        <w:rPr>
          <w:highlight w:val="none"/>
          <w:u w:val="single"/>
        </w:rPr>
        <w:t xml:space="preserve">             </w:t>
      </w:r>
      <w:r>
        <w:rPr>
          <w:highlight w:val="none"/>
        </w:rPr>
        <w:t>（项目名称）</w:t>
      </w:r>
      <w:r>
        <w:rPr>
          <w:highlight w:val="none"/>
          <w:u w:val="single"/>
        </w:rPr>
        <w:t xml:space="preserve">          </w:t>
      </w:r>
      <w:r>
        <w:rPr>
          <w:highlight w:val="none"/>
        </w:rPr>
        <w:t>（采购编号）</w:t>
      </w:r>
      <w:r>
        <w:rPr>
          <w:rFonts w:hint="eastAsia"/>
          <w:highlight w:val="none"/>
        </w:rPr>
        <w:t>招标文件</w:t>
      </w:r>
      <w:r>
        <w:rPr>
          <w:highlight w:val="none"/>
        </w:rPr>
        <w:t>和补充文件，并经过澄清疑问，已充分理解并掌握了本项目采购的全部有关情况。同意接受</w:t>
      </w:r>
      <w:r>
        <w:rPr>
          <w:rFonts w:hint="eastAsia"/>
          <w:highlight w:val="none"/>
        </w:rPr>
        <w:t>招标文件</w:t>
      </w:r>
      <w:r>
        <w:rPr>
          <w:highlight w:val="none"/>
        </w:rPr>
        <w:t>的全部内容和条件，并按此确定本项目投标的要约内容，以本投标书向你方</w:t>
      </w:r>
      <w:r>
        <w:rPr>
          <w:rFonts w:hint="eastAsia"/>
          <w:highlight w:val="none"/>
        </w:rPr>
        <w:t>采购</w:t>
      </w:r>
      <w:r>
        <w:rPr>
          <w:highlight w:val="none"/>
        </w:rPr>
        <w:t>的</w:t>
      </w:r>
      <w:r>
        <w:rPr>
          <w:highlight w:val="none"/>
          <w:u w:val="single"/>
        </w:rPr>
        <w:t xml:space="preserve">          </w:t>
      </w:r>
      <w:r>
        <w:rPr>
          <w:highlight w:val="none"/>
        </w:rPr>
        <w:t>（采购项目名称）</w:t>
      </w:r>
      <w:r>
        <w:rPr>
          <w:highlight w:val="none"/>
          <w:u w:val="single"/>
        </w:rPr>
        <w:t xml:space="preserve">         </w:t>
      </w:r>
      <w:r>
        <w:rPr>
          <w:highlight w:val="none"/>
        </w:rPr>
        <w:t>（采购编号）全部内容进行投标。工期</w:t>
      </w:r>
      <w:r>
        <w:rPr>
          <w:highlight w:val="none"/>
          <w:u w:val="single"/>
        </w:rPr>
        <w:t xml:space="preserve"> </w:t>
      </w:r>
      <w:r>
        <w:rPr>
          <w:b/>
          <w:highlight w:val="none"/>
          <w:u w:val="single"/>
        </w:rPr>
        <w:t>符合</w:t>
      </w:r>
      <w:r>
        <w:rPr>
          <w:rFonts w:hint="eastAsia"/>
          <w:b/>
          <w:highlight w:val="none"/>
          <w:u w:val="single"/>
        </w:rPr>
        <w:t>招标文件</w:t>
      </w:r>
      <w:r>
        <w:rPr>
          <w:b/>
          <w:highlight w:val="none"/>
          <w:u w:val="single"/>
        </w:rPr>
        <w:t>要求</w:t>
      </w:r>
      <w:r>
        <w:rPr>
          <w:highlight w:val="none"/>
        </w:rPr>
        <w:t>，其中具体进度为：</w:t>
      </w:r>
      <w:r>
        <w:rPr>
          <w:highlight w:val="none"/>
          <w:u w:val="single"/>
        </w:rPr>
        <w:t xml:space="preserve">                         </w:t>
      </w:r>
      <w:r>
        <w:rPr>
          <w:highlight w:val="none"/>
        </w:rPr>
        <w:t>。本项目负责人为</w:t>
      </w:r>
      <w:r>
        <w:rPr>
          <w:highlight w:val="none"/>
          <w:u w:val="single"/>
        </w:rPr>
        <w:t xml:space="preserve">        </w:t>
      </w:r>
      <w:r>
        <w:rPr>
          <w:highlight w:val="none"/>
        </w:rPr>
        <w:t>（身份证号码</w:t>
      </w:r>
      <w:r>
        <w:rPr>
          <w:highlight w:val="none"/>
          <w:u w:val="single"/>
        </w:rPr>
        <w:t xml:space="preserve">                 </w:t>
      </w:r>
      <w:r>
        <w:rPr>
          <w:highlight w:val="none"/>
        </w:rPr>
        <w:t>）。</w:t>
      </w:r>
    </w:p>
    <w:p>
      <w:pPr>
        <w:autoSpaceDE/>
        <w:autoSpaceDN/>
        <w:adjustRightInd/>
        <w:spacing w:line="440" w:lineRule="exact"/>
        <w:ind w:firstLine="440" w:firstLineChars="200"/>
        <w:textAlignment w:val="auto"/>
        <w:rPr>
          <w:rFonts w:hint="eastAsia"/>
          <w:bCs/>
          <w:kern w:val="2"/>
          <w:szCs w:val="21"/>
          <w:highlight w:val="none"/>
        </w:rPr>
      </w:pPr>
      <w:r>
        <w:rPr>
          <w:highlight w:val="none"/>
        </w:rPr>
        <w:t>2、我方承诺已经具备《中华人民共和国政府采购法》中规定的参加政府采购活动的投标供应商应当具备的条件：</w:t>
      </w:r>
      <w:r>
        <w:rPr>
          <w:rFonts w:hint="eastAsia"/>
          <w:bCs/>
          <w:kern w:val="2"/>
          <w:szCs w:val="21"/>
          <w:highlight w:val="none"/>
        </w:rPr>
        <w:t>符合《中华人民共和国政府采购法》第二十二条及招标文件中规定供应商特定资格条件要求。</w:t>
      </w:r>
    </w:p>
    <w:p>
      <w:pPr>
        <w:spacing w:line="440" w:lineRule="exact"/>
        <w:ind w:firstLine="440" w:firstLineChars="200"/>
        <w:rPr>
          <w:highlight w:val="none"/>
        </w:rPr>
      </w:pPr>
      <w:r>
        <w:rPr>
          <w:highlight w:val="none"/>
        </w:rPr>
        <w:t>3</w:t>
      </w:r>
      <w:r>
        <w:rPr>
          <w:rFonts w:hint="eastAsia"/>
          <w:highlight w:val="none"/>
        </w:rPr>
        <w:t>、</w:t>
      </w:r>
      <w:r>
        <w:rPr>
          <w:highlight w:val="none"/>
        </w:rPr>
        <w:t>我方将严格按照有关政府采购法规及</w:t>
      </w:r>
      <w:r>
        <w:rPr>
          <w:rFonts w:hint="eastAsia"/>
          <w:highlight w:val="none"/>
        </w:rPr>
        <w:t>招标文件</w:t>
      </w:r>
      <w:r>
        <w:rPr>
          <w:highlight w:val="none"/>
        </w:rPr>
        <w:t>规定参加投标，并理解你方不一定接受最低价的投标，对决标结果也没有解释义务。如由我方中标，在接到你方发出的中标通知书起</w:t>
      </w:r>
      <w:r>
        <w:rPr>
          <w:highlight w:val="none"/>
          <w:u w:val="single"/>
        </w:rPr>
        <w:t xml:space="preserve">  30  </w:t>
      </w:r>
      <w:r>
        <w:rPr>
          <w:highlight w:val="none"/>
        </w:rPr>
        <w:t>天内，按中标通知书、</w:t>
      </w:r>
      <w:r>
        <w:rPr>
          <w:rFonts w:hint="eastAsia"/>
          <w:highlight w:val="none"/>
        </w:rPr>
        <w:t>招标文件</w:t>
      </w:r>
      <w:r>
        <w:rPr>
          <w:highlight w:val="none"/>
        </w:rPr>
        <w:t>和本投标书的约定与你方签订采购合同，并提交</w:t>
      </w:r>
      <w:r>
        <w:rPr>
          <w:highlight w:val="none"/>
          <w:u w:val="single"/>
        </w:rPr>
        <w:t xml:space="preserve">  /  </w:t>
      </w:r>
      <w:r>
        <w:rPr>
          <w:highlight w:val="none"/>
        </w:rPr>
        <w:t>万元的履约保证金，履行规定的一切责任和义务。</w:t>
      </w:r>
    </w:p>
    <w:p>
      <w:pPr>
        <w:spacing w:line="440" w:lineRule="exact"/>
        <w:ind w:firstLine="440" w:firstLineChars="200"/>
        <w:rPr>
          <w:highlight w:val="none"/>
        </w:rPr>
      </w:pPr>
      <w:r>
        <w:rPr>
          <w:highlight w:val="none"/>
        </w:rPr>
        <w:t>4</w:t>
      </w:r>
      <w:r>
        <w:rPr>
          <w:rFonts w:hint="eastAsia"/>
          <w:highlight w:val="none"/>
        </w:rPr>
        <w:t>、</w:t>
      </w:r>
      <w:r>
        <w:rPr>
          <w:highlight w:val="none"/>
        </w:rPr>
        <w:t>本投标书自递交你方起</w:t>
      </w:r>
      <w:r>
        <w:rPr>
          <w:highlight w:val="none"/>
          <w:u w:val="single"/>
        </w:rPr>
        <w:t xml:space="preserve">  </w:t>
      </w:r>
      <w:r>
        <w:rPr>
          <w:rFonts w:hint="eastAsia"/>
          <w:highlight w:val="none"/>
          <w:u w:val="single"/>
        </w:rPr>
        <w:t>90</w:t>
      </w:r>
      <w:r>
        <w:rPr>
          <w:highlight w:val="none"/>
          <w:u w:val="single"/>
        </w:rPr>
        <w:t xml:space="preserve">  </w:t>
      </w:r>
      <w:r>
        <w:rPr>
          <w:highlight w:val="none"/>
        </w:rPr>
        <w:t>天有效期内，全部条款内容对我方具有约束力。在此有效期内，我方保证不出现以下行为。（1）投标供应商在规定的投标文件有效期内撤回其投标文件；投标供应商不接受对其投标价算术错误的修正。（2）中标供应商在收到中标通知后，擅自修改或拒绝接受已经承诺确认的条款。（3）中标供应商在收到中标通知后在规定期限内拒签合同或拒交履约担保证件。（4）投标供应商相互串通投标、投标供应商以他人名义投标或者以其他方式弄虚作假等违反国家、省及地方有关采购投标法、政府采购法等法律、法规及规定。</w:t>
      </w:r>
    </w:p>
    <w:p>
      <w:pPr>
        <w:autoSpaceDE/>
        <w:autoSpaceDN/>
        <w:adjustRightInd/>
        <w:spacing w:line="440" w:lineRule="exact"/>
        <w:ind w:firstLine="440" w:firstLineChars="200"/>
        <w:textAlignment w:val="auto"/>
        <w:rPr>
          <w:bCs/>
          <w:kern w:val="44"/>
          <w:highlight w:val="none"/>
        </w:rPr>
      </w:pPr>
      <w:r>
        <w:rPr>
          <w:highlight w:val="none"/>
        </w:rPr>
        <w:t>5、提供</w:t>
      </w:r>
      <w:r>
        <w:rPr>
          <w:bCs/>
          <w:kern w:val="44"/>
          <w:highlight w:val="none"/>
        </w:rPr>
        <w:t>编制和提交投标文件须知</w:t>
      </w:r>
      <w:r>
        <w:rPr>
          <w:highlight w:val="none"/>
        </w:rPr>
        <w:t>规定的全部投标文件</w:t>
      </w:r>
      <w:r>
        <w:rPr>
          <w:bCs/>
          <w:kern w:val="44"/>
          <w:highlight w:val="none"/>
        </w:rPr>
        <w:t>。</w:t>
      </w:r>
    </w:p>
    <w:p>
      <w:pPr>
        <w:spacing w:line="440" w:lineRule="exact"/>
        <w:ind w:firstLine="440" w:firstLineChars="200"/>
        <w:rPr>
          <w:highlight w:val="none"/>
        </w:rPr>
      </w:pPr>
      <w:r>
        <w:rPr>
          <w:highlight w:val="none"/>
        </w:rPr>
        <w:t>6、我方将严格遵守《中华人民共和国政府采购法》第七十七条规定，发生下列情形之一的，愿处以采购金额5‰以上10‰以下的罚款，列入不良行为记录名单，在一至三年内禁止参加政府采购活动；有违法所得的，并处没收违法所得；情节严重的，由工商行政管理机关吊销营业执照；构成犯罪的，依法追究刑事责任：</w:t>
      </w:r>
    </w:p>
    <w:p>
      <w:pPr>
        <w:autoSpaceDE/>
        <w:autoSpaceDN/>
        <w:adjustRightInd/>
        <w:spacing w:line="440" w:lineRule="exact"/>
        <w:ind w:firstLine="440" w:firstLineChars="200"/>
        <w:textAlignment w:val="auto"/>
        <w:rPr>
          <w:highlight w:val="none"/>
        </w:rPr>
      </w:pPr>
      <w:r>
        <w:rPr>
          <w:highlight w:val="none"/>
        </w:rPr>
        <w:t>(1)提供虚假材料谋取中标、成交的；</w:t>
      </w:r>
    </w:p>
    <w:p>
      <w:pPr>
        <w:autoSpaceDE/>
        <w:autoSpaceDN/>
        <w:adjustRightInd/>
        <w:spacing w:line="440" w:lineRule="exact"/>
        <w:ind w:firstLine="440" w:firstLineChars="200"/>
        <w:textAlignment w:val="auto"/>
        <w:rPr>
          <w:highlight w:val="none"/>
        </w:rPr>
      </w:pPr>
      <w:r>
        <w:rPr>
          <w:highlight w:val="none"/>
        </w:rPr>
        <w:t>(2)采取不正当手段诋毁、排挤其他投标供应商的；</w:t>
      </w:r>
    </w:p>
    <w:p>
      <w:pPr>
        <w:autoSpaceDE/>
        <w:autoSpaceDN/>
        <w:adjustRightInd/>
        <w:spacing w:line="440" w:lineRule="exact"/>
        <w:ind w:firstLine="440" w:firstLineChars="200"/>
        <w:textAlignment w:val="auto"/>
        <w:rPr>
          <w:highlight w:val="none"/>
        </w:rPr>
      </w:pPr>
      <w:r>
        <w:rPr>
          <w:highlight w:val="none"/>
        </w:rPr>
        <w:t>(3)与采购单位、其它投标供应商恶意串通的；</w:t>
      </w:r>
    </w:p>
    <w:p>
      <w:pPr>
        <w:autoSpaceDE/>
        <w:autoSpaceDN/>
        <w:adjustRightInd/>
        <w:spacing w:line="440" w:lineRule="exact"/>
        <w:ind w:firstLine="440" w:firstLineChars="200"/>
        <w:textAlignment w:val="auto"/>
        <w:rPr>
          <w:highlight w:val="none"/>
        </w:rPr>
      </w:pPr>
      <w:r>
        <w:rPr>
          <w:highlight w:val="none"/>
        </w:rPr>
        <w:t>(4)向采购单位、代理机构行贿或者提供其他不正当利益的；</w:t>
      </w:r>
    </w:p>
    <w:p>
      <w:pPr>
        <w:autoSpaceDE/>
        <w:autoSpaceDN/>
        <w:adjustRightInd/>
        <w:spacing w:line="440" w:lineRule="exact"/>
        <w:ind w:firstLine="440" w:firstLineChars="200"/>
        <w:textAlignment w:val="auto"/>
        <w:rPr>
          <w:highlight w:val="none"/>
        </w:rPr>
      </w:pPr>
      <w:r>
        <w:rPr>
          <w:highlight w:val="none"/>
        </w:rPr>
        <w:t>(5)在采购过程中与采购单位进行协商谈判的；</w:t>
      </w:r>
    </w:p>
    <w:p>
      <w:pPr>
        <w:autoSpaceDE/>
        <w:autoSpaceDN/>
        <w:adjustRightInd/>
        <w:spacing w:line="440" w:lineRule="exact"/>
        <w:ind w:firstLine="440" w:firstLineChars="200"/>
        <w:textAlignment w:val="auto"/>
        <w:rPr>
          <w:highlight w:val="none"/>
        </w:rPr>
      </w:pPr>
      <w:r>
        <w:rPr>
          <w:highlight w:val="none"/>
        </w:rPr>
        <w:t>(6)拒绝有关部门监督检查或提供虚假情况的。</w:t>
      </w:r>
    </w:p>
    <w:p>
      <w:pPr>
        <w:spacing w:line="360" w:lineRule="auto"/>
        <w:rPr>
          <w:highlight w:val="none"/>
        </w:rPr>
      </w:pPr>
    </w:p>
    <w:p>
      <w:pPr>
        <w:spacing w:line="360" w:lineRule="auto"/>
        <w:ind w:firstLine="440" w:firstLineChars="200"/>
        <w:rPr>
          <w:highlight w:val="none"/>
        </w:rPr>
      </w:pPr>
      <w:r>
        <w:rPr>
          <w:highlight w:val="none"/>
        </w:rPr>
        <w:t xml:space="preserve">联系地址：                               邮编：                </w:t>
      </w:r>
    </w:p>
    <w:p>
      <w:pPr>
        <w:spacing w:line="360" w:lineRule="auto"/>
        <w:ind w:firstLine="440" w:firstLineChars="200"/>
        <w:rPr>
          <w:highlight w:val="none"/>
        </w:rPr>
      </w:pPr>
      <w:r>
        <w:rPr>
          <w:highlight w:val="none"/>
        </w:rPr>
        <w:t xml:space="preserve">联 系 人：                               电话：                </w:t>
      </w:r>
    </w:p>
    <w:p>
      <w:pPr>
        <w:spacing w:line="360" w:lineRule="auto"/>
        <w:ind w:firstLine="440" w:firstLineChars="200"/>
        <w:rPr>
          <w:highlight w:val="none"/>
        </w:rPr>
      </w:pPr>
      <w:r>
        <w:rPr>
          <w:highlight w:val="none"/>
        </w:rPr>
        <w:t xml:space="preserve">电子信箱：                               传真：                </w:t>
      </w:r>
    </w:p>
    <w:p>
      <w:pPr>
        <w:spacing w:line="360" w:lineRule="auto"/>
        <w:ind w:firstLine="440" w:firstLineChars="200"/>
        <w:rPr>
          <w:highlight w:val="none"/>
        </w:rPr>
      </w:pPr>
      <w:r>
        <w:rPr>
          <w:highlight w:val="none"/>
        </w:rPr>
        <w:t xml:space="preserve">  </w:t>
      </w:r>
    </w:p>
    <w:p>
      <w:pPr>
        <w:spacing w:line="360" w:lineRule="auto"/>
        <w:ind w:firstLine="3410" w:firstLineChars="1550"/>
        <w:rPr>
          <w:highlight w:val="none"/>
          <w:u w:val="single"/>
        </w:rPr>
      </w:pPr>
      <w:r>
        <w:rPr>
          <w:highlight w:val="none"/>
        </w:rPr>
        <w:t>法定代表人（签名或盖章）：</w:t>
      </w:r>
      <w:r>
        <w:rPr>
          <w:highlight w:val="none"/>
          <w:u w:val="single"/>
        </w:rPr>
        <w:t xml:space="preserve">                    </w:t>
      </w:r>
    </w:p>
    <w:p>
      <w:pPr>
        <w:spacing w:line="360" w:lineRule="auto"/>
        <w:ind w:firstLine="3410" w:firstLineChars="1550"/>
        <w:rPr>
          <w:highlight w:val="none"/>
        </w:rPr>
      </w:pPr>
      <w:r>
        <w:rPr>
          <w:highlight w:val="none"/>
        </w:rPr>
        <w:t>投标供应商（盖章）：</w:t>
      </w:r>
      <w:r>
        <w:rPr>
          <w:highlight w:val="none"/>
          <w:u w:val="single"/>
        </w:rPr>
        <w:t xml:space="preserve">                           </w:t>
      </w:r>
      <w:r>
        <w:rPr>
          <w:highlight w:val="none"/>
        </w:rPr>
        <w:t xml:space="preserve">                       </w:t>
      </w:r>
    </w:p>
    <w:p>
      <w:pPr>
        <w:spacing w:line="360" w:lineRule="auto"/>
        <w:ind w:firstLine="3520" w:firstLineChars="1600"/>
        <w:rPr>
          <w:b/>
          <w:highlight w:val="none"/>
        </w:rPr>
      </w:pPr>
      <w:r>
        <w:rPr>
          <w:highlight w:val="none"/>
        </w:rPr>
        <w:t>日    期：</w:t>
      </w:r>
      <w:r>
        <w:rPr>
          <w:highlight w:val="none"/>
          <w:u w:val="single"/>
        </w:rPr>
        <w:t xml:space="preserve">     </w:t>
      </w:r>
      <w:r>
        <w:rPr>
          <w:b/>
          <w:sz w:val="28"/>
          <w:szCs w:val="28"/>
          <w:highlight w:val="none"/>
          <w:u w:val="single"/>
        </w:rPr>
        <w:t xml:space="preserve"> </w:t>
      </w:r>
      <w:r>
        <w:rPr>
          <w:highlight w:val="none"/>
        </w:rPr>
        <w:t xml:space="preserve"> 年</w:t>
      </w:r>
      <w:r>
        <w:rPr>
          <w:b/>
          <w:sz w:val="28"/>
          <w:szCs w:val="28"/>
          <w:highlight w:val="none"/>
          <w:u w:val="single"/>
        </w:rPr>
        <w:t xml:space="preserve"> </w:t>
      </w:r>
      <w:r>
        <w:rPr>
          <w:highlight w:val="none"/>
          <w:u w:val="single"/>
        </w:rPr>
        <w:t xml:space="preserve">   </w:t>
      </w:r>
      <w:r>
        <w:rPr>
          <w:b/>
          <w:sz w:val="28"/>
          <w:szCs w:val="28"/>
          <w:highlight w:val="none"/>
          <w:u w:val="single"/>
        </w:rPr>
        <w:t xml:space="preserve">  </w:t>
      </w:r>
      <w:r>
        <w:rPr>
          <w:highlight w:val="none"/>
        </w:rPr>
        <w:t>月</w:t>
      </w:r>
      <w:r>
        <w:rPr>
          <w:b/>
          <w:sz w:val="28"/>
          <w:szCs w:val="28"/>
          <w:highlight w:val="none"/>
          <w:u w:val="single"/>
        </w:rPr>
        <w:t xml:space="preserve"> </w:t>
      </w:r>
      <w:r>
        <w:rPr>
          <w:highlight w:val="none"/>
          <w:u w:val="single"/>
        </w:rPr>
        <w:t xml:space="preserve">  </w:t>
      </w:r>
      <w:r>
        <w:rPr>
          <w:b/>
          <w:sz w:val="28"/>
          <w:szCs w:val="28"/>
          <w:highlight w:val="none"/>
          <w:u w:val="single"/>
        </w:rPr>
        <w:t xml:space="preserve">  </w:t>
      </w:r>
      <w:r>
        <w:rPr>
          <w:highlight w:val="none"/>
        </w:rPr>
        <w:t>日</w:t>
      </w:r>
    </w:p>
    <w:p>
      <w:pPr>
        <w:pStyle w:val="15"/>
        <w:ind w:firstLine="0" w:firstLineChars="0"/>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rFonts w:hint="eastAsia"/>
          <w:b/>
          <w:highlight w:val="none"/>
        </w:rPr>
      </w:pPr>
    </w:p>
    <w:p>
      <w:pPr>
        <w:pStyle w:val="15"/>
        <w:ind w:firstLine="241"/>
        <w:rPr>
          <w:rFonts w:hint="eastAsia"/>
          <w:b/>
          <w:highlight w:val="none"/>
        </w:rPr>
      </w:pPr>
    </w:p>
    <w:p>
      <w:pPr>
        <w:pStyle w:val="15"/>
        <w:ind w:firstLine="241"/>
        <w:rPr>
          <w:rFonts w:hint="eastAsia"/>
          <w:b/>
          <w:highlight w:val="none"/>
        </w:rPr>
      </w:pPr>
    </w:p>
    <w:p>
      <w:pPr>
        <w:pStyle w:val="15"/>
        <w:ind w:firstLine="241"/>
        <w:rPr>
          <w:rFonts w:hint="eastAsia"/>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pStyle w:val="15"/>
        <w:ind w:firstLine="241"/>
        <w:rPr>
          <w:b/>
          <w:highlight w:val="none"/>
        </w:rPr>
      </w:pPr>
    </w:p>
    <w:p>
      <w:pPr>
        <w:spacing w:line="480" w:lineRule="exact"/>
        <w:rPr>
          <w:b/>
          <w:highlight w:val="none"/>
        </w:rPr>
      </w:pPr>
      <w:r>
        <w:rPr>
          <w:b/>
          <w:highlight w:val="none"/>
        </w:rPr>
        <w:br w:type="page"/>
      </w:r>
      <w:r>
        <w:rPr>
          <w:b/>
          <w:highlight w:val="none"/>
        </w:rPr>
        <w:t>1</w:t>
      </w:r>
      <w:r>
        <w:rPr>
          <w:rFonts w:hint="eastAsia"/>
          <w:b/>
          <w:highlight w:val="none"/>
          <w:lang w:val="en-US" w:eastAsia="zh-CN"/>
        </w:rPr>
        <w:t>2</w:t>
      </w:r>
      <w:r>
        <w:rPr>
          <w:b/>
          <w:highlight w:val="none"/>
        </w:rPr>
        <w:t>、供应商基本情况表:（格式）</w:t>
      </w:r>
    </w:p>
    <w:p>
      <w:pPr>
        <w:widowControl/>
        <w:autoSpaceDE/>
        <w:autoSpaceDN/>
        <w:adjustRightInd/>
        <w:jc w:val="left"/>
        <w:textAlignment w:val="auto"/>
        <w:rPr>
          <w:highlight w:val="none"/>
        </w:rPr>
      </w:pPr>
    </w:p>
    <w:p>
      <w:pPr>
        <w:widowControl/>
        <w:autoSpaceDE/>
        <w:autoSpaceDN/>
        <w:adjustRightInd/>
        <w:jc w:val="left"/>
        <w:textAlignment w:val="auto"/>
        <w:rPr>
          <w:highlight w:val="none"/>
        </w:rPr>
      </w:pPr>
      <w:r>
        <w:rPr>
          <w:highlight w:val="none"/>
        </w:rPr>
        <w:t xml:space="preserve">                          </w:t>
      </w:r>
      <w:r>
        <w:rPr>
          <w:b/>
          <w:bCs/>
          <w:sz w:val="28"/>
          <w:szCs w:val="28"/>
          <w:highlight w:val="none"/>
        </w:rPr>
        <w:t xml:space="preserve">   供应商基本情况表</w:t>
      </w:r>
    </w:p>
    <w:p>
      <w:pPr>
        <w:pStyle w:val="15"/>
        <w:ind w:firstLine="240"/>
        <w:rPr>
          <w:highlight w:val="none"/>
        </w:rPr>
      </w:pPr>
    </w:p>
    <w:tbl>
      <w:tblPr>
        <w:tblStyle w:val="16"/>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633"/>
        <w:gridCol w:w="704"/>
        <w:gridCol w:w="174"/>
        <w:gridCol w:w="169"/>
        <w:gridCol w:w="864"/>
        <w:gridCol w:w="158"/>
        <w:gridCol w:w="820"/>
        <w:gridCol w:w="543"/>
        <w:gridCol w:w="511"/>
        <w:gridCol w:w="513"/>
        <w:gridCol w:w="685"/>
        <w:gridCol w:w="168"/>
        <w:gridCol w:w="17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78" w:type="dxa"/>
            <w:gridSpan w:val="2"/>
            <w:tcBorders>
              <w:top w:val="single" w:color="auto" w:sz="8" w:space="0"/>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单位名称</w:t>
            </w:r>
          </w:p>
        </w:tc>
        <w:tc>
          <w:tcPr>
            <w:tcW w:w="6668" w:type="dxa"/>
            <w:gridSpan w:val="13"/>
            <w:tcBorders>
              <w:top w:val="single" w:color="auto" w:sz="8" w:space="0"/>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通讯地址</w:t>
            </w:r>
          </w:p>
        </w:tc>
        <w:tc>
          <w:tcPr>
            <w:tcW w:w="1047" w:type="dxa"/>
            <w:gridSpan w:val="3"/>
            <w:tcBorders>
              <w:top w:val="nil"/>
            </w:tcBorders>
            <w:noWrap w:val="0"/>
            <w:vAlign w:val="center"/>
          </w:tcPr>
          <w:p>
            <w:pPr>
              <w:widowControl/>
              <w:autoSpaceDE/>
              <w:autoSpaceDN/>
              <w:adjustRightInd/>
              <w:jc w:val="center"/>
              <w:textAlignment w:val="auto"/>
              <w:rPr>
                <w:snapToGrid w:val="0"/>
                <w:kern w:val="2"/>
                <w:szCs w:val="24"/>
                <w:highlight w:val="none"/>
              </w:rPr>
            </w:pPr>
          </w:p>
        </w:tc>
        <w:tc>
          <w:tcPr>
            <w:tcW w:w="864" w:type="dxa"/>
            <w:tcBorders>
              <w:top w:val="nil"/>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传真</w:t>
            </w:r>
          </w:p>
        </w:tc>
        <w:tc>
          <w:tcPr>
            <w:tcW w:w="2032" w:type="dxa"/>
            <w:gridSpan w:val="4"/>
            <w:tcBorders>
              <w:top w:val="nil"/>
            </w:tcBorders>
            <w:noWrap w:val="0"/>
            <w:vAlign w:val="center"/>
          </w:tcPr>
          <w:p>
            <w:pPr>
              <w:widowControl/>
              <w:autoSpaceDE/>
              <w:autoSpaceDN/>
              <w:adjustRightInd/>
              <w:jc w:val="center"/>
              <w:textAlignment w:val="auto"/>
              <w:rPr>
                <w:snapToGrid w:val="0"/>
                <w:kern w:val="2"/>
                <w:szCs w:val="24"/>
                <w:highlight w:val="none"/>
              </w:rPr>
            </w:pPr>
          </w:p>
        </w:tc>
        <w:tc>
          <w:tcPr>
            <w:tcW w:w="1198" w:type="dxa"/>
            <w:gridSpan w:val="2"/>
            <w:tcBorders>
              <w:top w:val="nil"/>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邮政编码</w:t>
            </w:r>
          </w:p>
        </w:tc>
        <w:tc>
          <w:tcPr>
            <w:tcW w:w="1527" w:type="dxa"/>
            <w:gridSpan w:val="3"/>
            <w:tcBorders>
              <w:top w:val="nil"/>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电    话</w:t>
            </w:r>
          </w:p>
        </w:tc>
        <w:tc>
          <w:tcPr>
            <w:tcW w:w="3943" w:type="dxa"/>
            <w:gridSpan w:val="8"/>
            <w:noWrap w:val="0"/>
            <w:vAlign w:val="center"/>
          </w:tcPr>
          <w:p>
            <w:pPr>
              <w:widowControl/>
              <w:autoSpaceDE/>
              <w:autoSpaceDN/>
              <w:adjustRightInd/>
              <w:jc w:val="center"/>
              <w:textAlignment w:val="auto"/>
              <w:rPr>
                <w:snapToGrid w:val="0"/>
                <w:kern w:val="2"/>
                <w:szCs w:val="24"/>
                <w:highlight w:val="none"/>
              </w:rPr>
            </w:pPr>
          </w:p>
        </w:tc>
        <w:tc>
          <w:tcPr>
            <w:tcW w:w="1198" w:type="dxa"/>
            <w:gridSpan w:val="2"/>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联系人</w:t>
            </w:r>
          </w:p>
        </w:tc>
        <w:tc>
          <w:tcPr>
            <w:tcW w:w="1527" w:type="dxa"/>
            <w:gridSpan w:val="3"/>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电子信箱</w:t>
            </w:r>
          </w:p>
        </w:tc>
        <w:tc>
          <w:tcPr>
            <w:tcW w:w="3943" w:type="dxa"/>
            <w:gridSpan w:val="8"/>
            <w:tcBorders>
              <w:right w:val="single" w:color="auto" w:sz="4" w:space="0"/>
            </w:tcBorders>
            <w:noWrap w:val="0"/>
            <w:vAlign w:val="center"/>
          </w:tcPr>
          <w:p>
            <w:pPr>
              <w:widowControl/>
              <w:autoSpaceDE/>
              <w:autoSpaceDN/>
              <w:adjustRightInd/>
              <w:jc w:val="center"/>
              <w:textAlignment w:val="auto"/>
              <w:rPr>
                <w:snapToGrid w:val="0"/>
                <w:kern w:val="2"/>
                <w:szCs w:val="24"/>
                <w:highlight w:val="none"/>
              </w:rPr>
            </w:pPr>
          </w:p>
        </w:tc>
        <w:tc>
          <w:tcPr>
            <w:tcW w:w="1198" w:type="dxa"/>
            <w:gridSpan w:val="2"/>
            <w:tcBorders>
              <w:right w:val="single" w:color="auto" w:sz="4"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手  机</w:t>
            </w:r>
          </w:p>
        </w:tc>
        <w:tc>
          <w:tcPr>
            <w:tcW w:w="1527" w:type="dxa"/>
            <w:gridSpan w:val="3"/>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成立时间</w:t>
            </w:r>
          </w:p>
        </w:tc>
        <w:tc>
          <w:tcPr>
            <w:tcW w:w="6668" w:type="dxa"/>
            <w:gridSpan w:val="13"/>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法定代表人</w:t>
            </w:r>
          </w:p>
        </w:tc>
        <w:tc>
          <w:tcPr>
            <w:tcW w:w="878" w:type="dxa"/>
            <w:gridSpan w:val="2"/>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姓名</w:t>
            </w:r>
          </w:p>
        </w:tc>
        <w:tc>
          <w:tcPr>
            <w:tcW w:w="1191" w:type="dxa"/>
            <w:gridSpan w:val="3"/>
            <w:noWrap w:val="0"/>
            <w:vAlign w:val="center"/>
          </w:tcPr>
          <w:p>
            <w:pPr>
              <w:widowControl/>
              <w:autoSpaceDE/>
              <w:autoSpaceDN/>
              <w:adjustRightInd/>
              <w:jc w:val="center"/>
              <w:textAlignment w:val="auto"/>
              <w:rPr>
                <w:snapToGrid w:val="0"/>
                <w:kern w:val="2"/>
                <w:szCs w:val="24"/>
                <w:highlight w:val="none"/>
              </w:rPr>
            </w:pPr>
          </w:p>
        </w:tc>
        <w:tc>
          <w:tcPr>
            <w:tcW w:w="820" w:type="dxa"/>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职称</w:t>
            </w:r>
          </w:p>
        </w:tc>
        <w:tc>
          <w:tcPr>
            <w:tcW w:w="1567" w:type="dxa"/>
            <w:gridSpan w:val="3"/>
            <w:noWrap w:val="0"/>
            <w:vAlign w:val="center"/>
          </w:tcPr>
          <w:p>
            <w:pPr>
              <w:widowControl/>
              <w:autoSpaceDE/>
              <w:autoSpaceDN/>
              <w:adjustRightInd/>
              <w:jc w:val="center"/>
              <w:textAlignment w:val="auto"/>
              <w:rPr>
                <w:snapToGrid w:val="0"/>
                <w:kern w:val="2"/>
                <w:szCs w:val="24"/>
                <w:highlight w:val="none"/>
              </w:rPr>
            </w:pPr>
          </w:p>
        </w:tc>
        <w:tc>
          <w:tcPr>
            <w:tcW w:w="853" w:type="dxa"/>
            <w:gridSpan w:val="2"/>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电话</w:t>
            </w:r>
          </w:p>
        </w:tc>
        <w:tc>
          <w:tcPr>
            <w:tcW w:w="1359" w:type="dxa"/>
            <w:gridSpan w:val="2"/>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技术负责人</w:t>
            </w:r>
          </w:p>
        </w:tc>
        <w:tc>
          <w:tcPr>
            <w:tcW w:w="878" w:type="dxa"/>
            <w:gridSpan w:val="2"/>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姓名</w:t>
            </w:r>
          </w:p>
        </w:tc>
        <w:tc>
          <w:tcPr>
            <w:tcW w:w="1191" w:type="dxa"/>
            <w:gridSpan w:val="3"/>
            <w:noWrap w:val="0"/>
            <w:vAlign w:val="center"/>
          </w:tcPr>
          <w:p>
            <w:pPr>
              <w:widowControl/>
              <w:autoSpaceDE/>
              <w:autoSpaceDN/>
              <w:adjustRightInd/>
              <w:jc w:val="center"/>
              <w:textAlignment w:val="auto"/>
              <w:rPr>
                <w:snapToGrid w:val="0"/>
                <w:kern w:val="2"/>
                <w:szCs w:val="24"/>
                <w:highlight w:val="none"/>
              </w:rPr>
            </w:pPr>
          </w:p>
        </w:tc>
        <w:tc>
          <w:tcPr>
            <w:tcW w:w="820" w:type="dxa"/>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职称</w:t>
            </w:r>
          </w:p>
        </w:tc>
        <w:tc>
          <w:tcPr>
            <w:tcW w:w="1567" w:type="dxa"/>
            <w:gridSpan w:val="3"/>
            <w:noWrap w:val="0"/>
            <w:vAlign w:val="center"/>
          </w:tcPr>
          <w:p>
            <w:pPr>
              <w:widowControl/>
              <w:autoSpaceDE/>
              <w:autoSpaceDN/>
              <w:adjustRightInd/>
              <w:jc w:val="center"/>
              <w:textAlignment w:val="auto"/>
              <w:rPr>
                <w:snapToGrid w:val="0"/>
                <w:kern w:val="2"/>
                <w:szCs w:val="24"/>
                <w:highlight w:val="none"/>
              </w:rPr>
            </w:pPr>
          </w:p>
        </w:tc>
        <w:tc>
          <w:tcPr>
            <w:tcW w:w="853" w:type="dxa"/>
            <w:gridSpan w:val="2"/>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电话</w:t>
            </w:r>
          </w:p>
        </w:tc>
        <w:tc>
          <w:tcPr>
            <w:tcW w:w="1359" w:type="dxa"/>
            <w:gridSpan w:val="2"/>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专业资质等级</w:t>
            </w:r>
          </w:p>
        </w:tc>
        <w:tc>
          <w:tcPr>
            <w:tcW w:w="2889" w:type="dxa"/>
            <w:gridSpan w:val="6"/>
            <w:noWrap w:val="0"/>
            <w:vAlign w:val="center"/>
          </w:tcPr>
          <w:p>
            <w:pPr>
              <w:widowControl/>
              <w:autoSpaceDE/>
              <w:autoSpaceDN/>
              <w:adjustRightInd/>
              <w:jc w:val="center"/>
              <w:textAlignment w:val="auto"/>
              <w:rPr>
                <w:snapToGrid w:val="0"/>
                <w:kern w:val="2"/>
                <w:szCs w:val="24"/>
                <w:highlight w:val="none"/>
              </w:rPr>
            </w:pPr>
          </w:p>
        </w:tc>
        <w:tc>
          <w:tcPr>
            <w:tcW w:w="1567" w:type="dxa"/>
            <w:gridSpan w:val="3"/>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资质等级证书编号</w:t>
            </w:r>
          </w:p>
        </w:tc>
        <w:tc>
          <w:tcPr>
            <w:tcW w:w="2212" w:type="dxa"/>
            <w:gridSpan w:val="4"/>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法人营业执照证号</w:t>
            </w:r>
          </w:p>
        </w:tc>
        <w:tc>
          <w:tcPr>
            <w:tcW w:w="2889" w:type="dxa"/>
            <w:gridSpan w:val="6"/>
            <w:noWrap w:val="0"/>
            <w:vAlign w:val="center"/>
          </w:tcPr>
          <w:p>
            <w:pPr>
              <w:widowControl/>
              <w:autoSpaceDE/>
              <w:autoSpaceDN/>
              <w:adjustRightInd/>
              <w:jc w:val="center"/>
              <w:textAlignment w:val="auto"/>
              <w:rPr>
                <w:snapToGrid w:val="0"/>
                <w:kern w:val="2"/>
                <w:szCs w:val="24"/>
                <w:highlight w:val="none"/>
              </w:rPr>
            </w:pPr>
          </w:p>
        </w:tc>
        <w:tc>
          <w:tcPr>
            <w:tcW w:w="1567" w:type="dxa"/>
            <w:gridSpan w:val="3"/>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注册资金</w:t>
            </w:r>
          </w:p>
        </w:tc>
        <w:tc>
          <w:tcPr>
            <w:tcW w:w="2212" w:type="dxa"/>
            <w:gridSpan w:val="4"/>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1678" w:type="dxa"/>
            <w:gridSpan w:val="2"/>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开户行名称</w:t>
            </w:r>
          </w:p>
        </w:tc>
        <w:tc>
          <w:tcPr>
            <w:tcW w:w="2889" w:type="dxa"/>
            <w:gridSpan w:val="6"/>
            <w:noWrap w:val="0"/>
            <w:vAlign w:val="center"/>
          </w:tcPr>
          <w:p>
            <w:pPr>
              <w:widowControl/>
              <w:autoSpaceDE/>
              <w:autoSpaceDN/>
              <w:adjustRightInd/>
              <w:jc w:val="center"/>
              <w:textAlignment w:val="auto"/>
              <w:rPr>
                <w:snapToGrid w:val="0"/>
                <w:kern w:val="2"/>
                <w:szCs w:val="24"/>
                <w:highlight w:val="none"/>
              </w:rPr>
            </w:pPr>
          </w:p>
        </w:tc>
        <w:tc>
          <w:tcPr>
            <w:tcW w:w="1567" w:type="dxa"/>
            <w:gridSpan w:val="3"/>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银行帐号</w:t>
            </w:r>
          </w:p>
        </w:tc>
        <w:tc>
          <w:tcPr>
            <w:tcW w:w="2212" w:type="dxa"/>
            <w:gridSpan w:val="4"/>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045" w:type="dxa"/>
            <w:vMerge w:val="restart"/>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单位总人数（人）</w:t>
            </w:r>
          </w:p>
        </w:tc>
        <w:tc>
          <w:tcPr>
            <w:tcW w:w="633" w:type="dxa"/>
            <w:vMerge w:val="restart"/>
            <w:noWrap w:val="0"/>
            <w:vAlign w:val="center"/>
          </w:tcPr>
          <w:p>
            <w:pPr>
              <w:widowControl/>
              <w:autoSpaceDE/>
              <w:autoSpaceDN/>
              <w:adjustRightInd/>
              <w:jc w:val="center"/>
              <w:textAlignment w:val="auto"/>
              <w:rPr>
                <w:snapToGrid w:val="0"/>
                <w:kern w:val="2"/>
                <w:szCs w:val="24"/>
                <w:highlight w:val="none"/>
              </w:rPr>
            </w:pPr>
          </w:p>
        </w:tc>
        <w:tc>
          <w:tcPr>
            <w:tcW w:w="704" w:type="dxa"/>
            <w:vMerge w:val="restart"/>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其中</w:t>
            </w:r>
          </w:p>
        </w:tc>
        <w:tc>
          <w:tcPr>
            <w:tcW w:w="2185" w:type="dxa"/>
            <w:gridSpan w:val="5"/>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高级职称人员（人）</w:t>
            </w:r>
          </w:p>
        </w:tc>
        <w:tc>
          <w:tcPr>
            <w:tcW w:w="543" w:type="dxa"/>
            <w:noWrap w:val="0"/>
            <w:vAlign w:val="center"/>
          </w:tcPr>
          <w:p>
            <w:pPr>
              <w:widowControl/>
              <w:autoSpaceDE/>
              <w:autoSpaceDN/>
              <w:adjustRightInd/>
              <w:jc w:val="center"/>
              <w:textAlignment w:val="auto"/>
              <w:rPr>
                <w:snapToGrid w:val="0"/>
                <w:kern w:val="2"/>
                <w:szCs w:val="24"/>
                <w:highlight w:val="none"/>
              </w:rPr>
            </w:pPr>
          </w:p>
        </w:tc>
        <w:tc>
          <w:tcPr>
            <w:tcW w:w="2047" w:type="dxa"/>
            <w:gridSpan w:val="5"/>
            <w:noWrap w:val="0"/>
            <w:vAlign w:val="center"/>
          </w:tcPr>
          <w:p>
            <w:pPr>
              <w:widowControl/>
              <w:autoSpaceDE/>
              <w:autoSpaceDN/>
              <w:adjustRightInd/>
              <w:jc w:val="center"/>
              <w:textAlignment w:val="auto"/>
              <w:rPr>
                <w:snapToGrid w:val="0"/>
                <w:kern w:val="2"/>
                <w:szCs w:val="24"/>
                <w:highlight w:val="none"/>
              </w:rPr>
            </w:pPr>
          </w:p>
        </w:tc>
        <w:tc>
          <w:tcPr>
            <w:tcW w:w="1189" w:type="dxa"/>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045" w:type="dxa"/>
            <w:vMerge w:val="continue"/>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p>
        </w:tc>
        <w:tc>
          <w:tcPr>
            <w:tcW w:w="633" w:type="dxa"/>
            <w:vMerge w:val="continue"/>
            <w:noWrap w:val="0"/>
            <w:vAlign w:val="center"/>
          </w:tcPr>
          <w:p>
            <w:pPr>
              <w:widowControl/>
              <w:autoSpaceDE/>
              <w:autoSpaceDN/>
              <w:adjustRightInd/>
              <w:jc w:val="center"/>
              <w:textAlignment w:val="auto"/>
              <w:rPr>
                <w:snapToGrid w:val="0"/>
                <w:kern w:val="2"/>
                <w:szCs w:val="24"/>
                <w:highlight w:val="none"/>
              </w:rPr>
            </w:pPr>
          </w:p>
        </w:tc>
        <w:tc>
          <w:tcPr>
            <w:tcW w:w="704" w:type="dxa"/>
            <w:vMerge w:val="continue"/>
            <w:noWrap w:val="0"/>
            <w:vAlign w:val="center"/>
          </w:tcPr>
          <w:p>
            <w:pPr>
              <w:widowControl/>
              <w:autoSpaceDE/>
              <w:autoSpaceDN/>
              <w:adjustRightInd/>
              <w:jc w:val="center"/>
              <w:textAlignment w:val="auto"/>
              <w:rPr>
                <w:snapToGrid w:val="0"/>
                <w:kern w:val="2"/>
                <w:szCs w:val="24"/>
                <w:highlight w:val="none"/>
              </w:rPr>
            </w:pPr>
          </w:p>
        </w:tc>
        <w:tc>
          <w:tcPr>
            <w:tcW w:w="2185" w:type="dxa"/>
            <w:gridSpan w:val="5"/>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中级职称人员（人）</w:t>
            </w:r>
          </w:p>
        </w:tc>
        <w:tc>
          <w:tcPr>
            <w:tcW w:w="543" w:type="dxa"/>
            <w:noWrap w:val="0"/>
            <w:vAlign w:val="center"/>
          </w:tcPr>
          <w:p>
            <w:pPr>
              <w:widowControl/>
              <w:autoSpaceDE/>
              <w:autoSpaceDN/>
              <w:adjustRightInd/>
              <w:jc w:val="center"/>
              <w:textAlignment w:val="auto"/>
              <w:rPr>
                <w:snapToGrid w:val="0"/>
                <w:kern w:val="2"/>
                <w:szCs w:val="24"/>
                <w:highlight w:val="none"/>
              </w:rPr>
            </w:pPr>
          </w:p>
        </w:tc>
        <w:tc>
          <w:tcPr>
            <w:tcW w:w="2047" w:type="dxa"/>
            <w:gridSpan w:val="5"/>
            <w:noWrap w:val="0"/>
            <w:vAlign w:val="center"/>
          </w:tcPr>
          <w:p>
            <w:pPr>
              <w:widowControl/>
              <w:autoSpaceDE/>
              <w:autoSpaceDN/>
              <w:adjustRightInd/>
              <w:jc w:val="center"/>
              <w:textAlignment w:val="auto"/>
              <w:rPr>
                <w:snapToGrid w:val="0"/>
                <w:kern w:val="2"/>
                <w:szCs w:val="24"/>
                <w:highlight w:val="none"/>
              </w:rPr>
            </w:pPr>
          </w:p>
        </w:tc>
        <w:tc>
          <w:tcPr>
            <w:tcW w:w="1189" w:type="dxa"/>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1045" w:type="dxa"/>
            <w:vMerge w:val="continue"/>
            <w:tcBorders>
              <w:left w:val="single" w:color="auto" w:sz="8" w:space="0"/>
            </w:tcBorders>
            <w:noWrap w:val="0"/>
            <w:vAlign w:val="center"/>
          </w:tcPr>
          <w:p>
            <w:pPr>
              <w:widowControl/>
              <w:autoSpaceDE/>
              <w:autoSpaceDN/>
              <w:adjustRightInd/>
              <w:jc w:val="center"/>
              <w:textAlignment w:val="auto"/>
              <w:rPr>
                <w:snapToGrid w:val="0"/>
                <w:kern w:val="2"/>
                <w:szCs w:val="24"/>
                <w:highlight w:val="none"/>
              </w:rPr>
            </w:pPr>
          </w:p>
        </w:tc>
        <w:tc>
          <w:tcPr>
            <w:tcW w:w="633" w:type="dxa"/>
            <w:vMerge w:val="continue"/>
            <w:noWrap w:val="0"/>
            <w:vAlign w:val="center"/>
          </w:tcPr>
          <w:p>
            <w:pPr>
              <w:widowControl/>
              <w:autoSpaceDE/>
              <w:autoSpaceDN/>
              <w:adjustRightInd/>
              <w:jc w:val="center"/>
              <w:textAlignment w:val="auto"/>
              <w:rPr>
                <w:snapToGrid w:val="0"/>
                <w:kern w:val="2"/>
                <w:szCs w:val="24"/>
                <w:highlight w:val="none"/>
              </w:rPr>
            </w:pPr>
          </w:p>
        </w:tc>
        <w:tc>
          <w:tcPr>
            <w:tcW w:w="704" w:type="dxa"/>
            <w:vMerge w:val="continue"/>
            <w:noWrap w:val="0"/>
            <w:vAlign w:val="center"/>
          </w:tcPr>
          <w:p>
            <w:pPr>
              <w:widowControl/>
              <w:autoSpaceDE/>
              <w:autoSpaceDN/>
              <w:adjustRightInd/>
              <w:jc w:val="center"/>
              <w:textAlignment w:val="auto"/>
              <w:rPr>
                <w:snapToGrid w:val="0"/>
                <w:kern w:val="2"/>
                <w:szCs w:val="24"/>
                <w:highlight w:val="none"/>
              </w:rPr>
            </w:pPr>
          </w:p>
        </w:tc>
        <w:tc>
          <w:tcPr>
            <w:tcW w:w="2185" w:type="dxa"/>
            <w:gridSpan w:val="5"/>
            <w:noWrap w:val="0"/>
            <w:vAlign w:val="center"/>
          </w:tcPr>
          <w:p>
            <w:pPr>
              <w:widowControl/>
              <w:autoSpaceDE/>
              <w:autoSpaceDN/>
              <w:adjustRightInd/>
              <w:jc w:val="center"/>
              <w:textAlignment w:val="auto"/>
              <w:rPr>
                <w:snapToGrid w:val="0"/>
                <w:kern w:val="2"/>
                <w:szCs w:val="24"/>
                <w:highlight w:val="none"/>
              </w:rPr>
            </w:pPr>
            <w:r>
              <w:rPr>
                <w:snapToGrid w:val="0"/>
                <w:kern w:val="2"/>
                <w:szCs w:val="24"/>
                <w:highlight w:val="none"/>
              </w:rPr>
              <w:t>初级职称人员（人）</w:t>
            </w:r>
          </w:p>
        </w:tc>
        <w:tc>
          <w:tcPr>
            <w:tcW w:w="543" w:type="dxa"/>
            <w:noWrap w:val="0"/>
            <w:vAlign w:val="center"/>
          </w:tcPr>
          <w:p>
            <w:pPr>
              <w:widowControl/>
              <w:autoSpaceDE/>
              <w:autoSpaceDN/>
              <w:adjustRightInd/>
              <w:jc w:val="center"/>
              <w:textAlignment w:val="auto"/>
              <w:rPr>
                <w:snapToGrid w:val="0"/>
                <w:kern w:val="2"/>
                <w:szCs w:val="24"/>
                <w:highlight w:val="none"/>
              </w:rPr>
            </w:pPr>
          </w:p>
        </w:tc>
        <w:tc>
          <w:tcPr>
            <w:tcW w:w="2047" w:type="dxa"/>
            <w:gridSpan w:val="5"/>
            <w:noWrap w:val="0"/>
            <w:vAlign w:val="center"/>
          </w:tcPr>
          <w:p>
            <w:pPr>
              <w:widowControl/>
              <w:autoSpaceDE/>
              <w:autoSpaceDN/>
              <w:adjustRightInd/>
              <w:jc w:val="center"/>
              <w:textAlignment w:val="auto"/>
              <w:rPr>
                <w:snapToGrid w:val="0"/>
                <w:kern w:val="2"/>
                <w:szCs w:val="24"/>
                <w:highlight w:val="none"/>
              </w:rPr>
            </w:pPr>
          </w:p>
        </w:tc>
        <w:tc>
          <w:tcPr>
            <w:tcW w:w="1189" w:type="dxa"/>
            <w:tcBorders>
              <w:right w:val="single" w:color="auto" w:sz="8" w:space="0"/>
            </w:tcBorders>
            <w:noWrap w:val="0"/>
            <w:vAlign w:val="center"/>
          </w:tcPr>
          <w:p>
            <w:pPr>
              <w:widowControl/>
              <w:autoSpaceDE/>
              <w:autoSpaceDN/>
              <w:adjustRightInd/>
              <w:jc w:val="center"/>
              <w:textAlignment w:val="auto"/>
              <w:rPr>
                <w:snapToGrid w:val="0"/>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8346" w:type="dxa"/>
            <w:gridSpan w:val="15"/>
            <w:tcBorders>
              <w:left w:val="single" w:color="auto" w:sz="8" w:space="0"/>
              <w:bottom w:val="single" w:color="auto" w:sz="8" w:space="0"/>
              <w:right w:val="single" w:color="auto" w:sz="8" w:space="0"/>
            </w:tcBorders>
            <w:noWrap w:val="0"/>
            <w:vAlign w:val="center"/>
          </w:tcPr>
          <w:p>
            <w:pPr>
              <w:widowControl/>
              <w:autoSpaceDE/>
              <w:autoSpaceDN/>
              <w:adjustRightInd/>
              <w:ind w:firstLine="1320" w:firstLineChars="600"/>
              <w:jc w:val="center"/>
              <w:textAlignment w:val="auto"/>
              <w:rPr>
                <w:snapToGrid w:val="0"/>
                <w:kern w:val="2"/>
                <w:szCs w:val="24"/>
                <w:highlight w:val="none"/>
              </w:rPr>
            </w:pPr>
            <w:r>
              <w:rPr>
                <w:snapToGrid w:val="0"/>
                <w:kern w:val="2"/>
                <w:szCs w:val="24"/>
                <w:highlight w:val="none"/>
              </w:rPr>
              <w:t>近三年合同总价（万元）</w:t>
            </w:r>
          </w:p>
        </w:tc>
      </w:tr>
    </w:tbl>
    <w:p>
      <w:pPr>
        <w:spacing w:line="480" w:lineRule="exact"/>
        <w:ind w:firstLine="3570" w:firstLineChars="1700"/>
        <w:rPr>
          <w:sz w:val="21"/>
          <w:szCs w:val="21"/>
          <w:highlight w:val="none"/>
        </w:rPr>
      </w:pPr>
    </w:p>
    <w:p>
      <w:pPr>
        <w:spacing w:line="480" w:lineRule="exact"/>
        <w:ind w:firstLine="3570" w:firstLineChars="1700"/>
        <w:rPr>
          <w:sz w:val="21"/>
          <w:szCs w:val="21"/>
          <w:highlight w:val="none"/>
        </w:rPr>
      </w:pPr>
      <w:r>
        <w:rPr>
          <w:sz w:val="21"/>
          <w:szCs w:val="21"/>
          <w:highlight w:val="none"/>
        </w:rPr>
        <w:t>法人代表或授权代表（签名或盖章）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ind w:firstLine="3570" w:firstLineChars="1700"/>
        <w:rPr>
          <w:sz w:val="21"/>
          <w:szCs w:val="21"/>
          <w:highlight w:val="none"/>
          <w:u w:val="single"/>
        </w:rPr>
      </w:pPr>
      <w:r>
        <w:rPr>
          <w:sz w:val="21"/>
          <w:szCs w:val="21"/>
          <w:highlight w:val="none"/>
        </w:rPr>
        <w:t>投标供应商（盖章）</w:t>
      </w:r>
      <w:r>
        <w:rPr>
          <w:rFonts w:hint="eastAsia"/>
          <w:sz w:val="21"/>
          <w:szCs w:val="21"/>
          <w:highlight w:val="none"/>
        </w:rPr>
        <w:t>：</w:t>
      </w:r>
      <w:r>
        <w:rPr>
          <w:sz w:val="21"/>
          <w:szCs w:val="21"/>
          <w:highlight w:val="none"/>
          <w:u w:val="single"/>
        </w:rPr>
        <w:t xml:space="preserve">                        </w:t>
      </w:r>
    </w:p>
    <w:p>
      <w:pPr>
        <w:spacing w:line="360" w:lineRule="auto"/>
        <w:ind w:firstLine="3570" w:firstLineChars="1700"/>
        <w:rPr>
          <w:sz w:val="21"/>
          <w:szCs w:val="21"/>
          <w:highlight w:val="none"/>
        </w:rPr>
      </w:pPr>
      <w:r>
        <w:rPr>
          <w:sz w:val="21"/>
          <w:szCs w:val="21"/>
          <w:highlight w:val="none"/>
        </w:rPr>
        <w:t>日  期：</w:t>
      </w:r>
      <w:r>
        <w:rPr>
          <w:sz w:val="21"/>
          <w:szCs w:val="21"/>
          <w:highlight w:val="none"/>
          <w:u w:val="single"/>
        </w:rPr>
        <w:t xml:space="preserve">             </w:t>
      </w:r>
      <w:r>
        <w:rPr>
          <w:sz w:val="21"/>
          <w:szCs w:val="21"/>
          <w:highlight w:val="none"/>
        </w:rPr>
        <w:t>年</w:t>
      </w:r>
      <w:r>
        <w:rPr>
          <w:sz w:val="21"/>
          <w:szCs w:val="21"/>
          <w:highlight w:val="none"/>
          <w:u w:val="single"/>
        </w:rPr>
        <w:t xml:space="preserve">     </w:t>
      </w:r>
      <w:r>
        <w:rPr>
          <w:sz w:val="21"/>
          <w:szCs w:val="21"/>
          <w:highlight w:val="none"/>
        </w:rPr>
        <w:t>月</w:t>
      </w:r>
      <w:r>
        <w:rPr>
          <w:sz w:val="21"/>
          <w:szCs w:val="21"/>
          <w:highlight w:val="none"/>
          <w:u w:val="single"/>
        </w:rPr>
        <w:t xml:space="preserve">     </w:t>
      </w:r>
      <w:r>
        <w:rPr>
          <w:sz w:val="21"/>
          <w:szCs w:val="21"/>
          <w:highlight w:val="none"/>
        </w:rPr>
        <w:t>日</w:t>
      </w:r>
    </w:p>
    <w:p>
      <w:pPr>
        <w:pStyle w:val="15"/>
        <w:ind w:firstLine="241"/>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r>
        <w:rPr>
          <w:rFonts w:ascii="Times New Roman" w:hAnsi="Times New Roman"/>
          <w:b/>
          <w:highlight w:val="none"/>
          <w:lang w:eastAsia="zh-CN"/>
        </w:rPr>
        <w:br w:type="page"/>
      </w:r>
      <w:r>
        <w:rPr>
          <w:rFonts w:ascii="Times New Roman" w:hAnsi="Times New Roman"/>
          <w:b/>
          <w:highlight w:val="none"/>
          <w:lang w:eastAsia="zh-CN"/>
        </w:rPr>
        <w:t>1</w:t>
      </w:r>
      <w:r>
        <w:rPr>
          <w:rFonts w:hint="eastAsia" w:ascii="Times New Roman" w:hAnsi="Times New Roman"/>
          <w:b/>
          <w:highlight w:val="none"/>
          <w:lang w:val="en-US" w:eastAsia="zh-CN"/>
        </w:rPr>
        <w:t>3</w:t>
      </w:r>
      <w:r>
        <w:rPr>
          <w:rFonts w:ascii="Times New Roman" w:hAnsi="Times New Roman"/>
          <w:b/>
          <w:highlight w:val="none"/>
          <w:lang w:eastAsia="zh-CN"/>
        </w:rPr>
        <w:t>、供应商资信情况（格式自拟，包括投标供应商证明等涉及评分的相关材料）；</w:t>
      </w: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r>
        <w:rPr>
          <w:rFonts w:ascii="Times New Roman" w:hAnsi="Times New Roman"/>
          <w:b/>
          <w:highlight w:val="none"/>
          <w:lang w:eastAsia="zh-CN"/>
        </w:rPr>
        <w:t>1</w:t>
      </w:r>
      <w:r>
        <w:rPr>
          <w:rFonts w:hint="eastAsia" w:ascii="Times New Roman" w:hAnsi="Times New Roman"/>
          <w:b/>
          <w:highlight w:val="none"/>
          <w:lang w:val="en-US" w:eastAsia="zh-CN"/>
        </w:rPr>
        <w:t>4</w:t>
      </w:r>
      <w:r>
        <w:rPr>
          <w:rFonts w:ascii="Times New Roman" w:hAnsi="Times New Roman"/>
          <w:b/>
          <w:highlight w:val="none"/>
          <w:lang w:eastAsia="zh-CN"/>
        </w:rPr>
        <w:t>、供应商类似业绩情况（格式自拟，包括投标供应商涉及评分的类似业绩证明材料或相关项目业绩证明材料）；</w:t>
      </w: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pStyle w:val="26"/>
        <w:rPr>
          <w:rFonts w:ascii="Times New Roman" w:hAnsi="Times New Roman"/>
          <w:b/>
          <w:highlight w:val="none"/>
          <w:lang w:eastAsia="zh-CN"/>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b/>
          <w:highlight w:val="none"/>
        </w:rPr>
      </w:pPr>
    </w:p>
    <w:p>
      <w:pPr>
        <w:spacing w:line="480" w:lineRule="exact"/>
        <w:rPr>
          <w:rFonts w:hint="eastAsia"/>
          <w:b/>
          <w:szCs w:val="22"/>
          <w:highlight w:val="none"/>
        </w:rPr>
      </w:pPr>
    </w:p>
    <w:p>
      <w:pPr>
        <w:spacing w:line="480" w:lineRule="exact"/>
        <w:rPr>
          <w:rFonts w:hint="eastAsia"/>
          <w:b/>
          <w:szCs w:val="22"/>
          <w:highlight w:val="none"/>
        </w:rPr>
      </w:pPr>
    </w:p>
    <w:p>
      <w:pPr>
        <w:spacing w:line="480" w:lineRule="exact"/>
        <w:rPr>
          <w:b/>
          <w:szCs w:val="22"/>
          <w:highlight w:val="none"/>
        </w:rPr>
      </w:pPr>
      <w:r>
        <w:rPr>
          <w:b/>
          <w:szCs w:val="22"/>
          <w:highlight w:val="none"/>
        </w:rPr>
        <w:t>1</w:t>
      </w:r>
      <w:r>
        <w:rPr>
          <w:rFonts w:hint="eastAsia"/>
          <w:b/>
          <w:szCs w:val="22"/>
          <w:highlight w:val="none"/>
          <w:lang w:val="en-US" w:eastAsia="zh-CN"/>
        </w:rPr>
        <w:t>5</w:t>
      </w:r>
      <w:r>
        <w:rPr>
          <w:b/>
          <w:szCs w:val="22"/>
          <w:highlight w:val="none"/>
        </w:rPr>
        <w:t>、项目负责人简历表（格式见投标文件格式，附件包括投标单位项目负责人的身份证、技术职称证书</w:t>
      </w:r>
      <w:r>
        <w:rPr>
          <w:rFonts w:hint="eastAsia"/>
          <w:b/>
          <w:szCs w:val="22"/>
          <w:highlight w:val="none"/>
        </w:rPr>
        <w:t>、执业证书（若有）等</w:t>
      </w:r>
      <w:r>
        <w:rPr>
          <w:b/>
          <w:szCs w:val="22"/>
          <w:highlight w:val="none"/>
        </w:rPr>
        <w:t>复印件）。</w:t>
      </w:r>
    </w:p>
    <w:p>
      <w:pPr>
        <w:spacing w:line="360" w:lineRule="auto"/>
        <w:jc w:val="center"/>
        <w:rPr>
          <w:b/>
          <w:highlight w:val="none"/>
        </w:rPr>
      </w:pPr>
    </w:p>
    <w:p>
      <w:pPr>
        <w:spacing w:line="360" w:lineRule="auto"/>
        <w:jc w:val="center"/>
        <w:rPr>
          <w:b/>
          <w:highlight w:val="none"/>
        </w:rPr>
      </w:pPr>
      <w:r>
        <w:rPr>
          <w:b/>
          <w:highlight w:val="none"/>
        </w:rPr>
        <w:t>项目负责人简历表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317"/>
        <w:gridCol w:w="1313"/>
        <w:gridCol w:w="1426"/>
        <w:gridCol w:w="1316"/>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1" w:type="dxa"/>
            <w:noWrap w:val="0"/>
            <w:vAlign w:val="center"/>
          </w:tcPr>
          <w:p>
            <w:pPr>
              <w:jc w:val="center"/>
              <w:rPr>
                <w:highlight w:val="none"/>
              </w:rPr>
            </w:pPr>
            <w:r>
              <w:rPr>
                <w:highlight w:val="none"/>
              </w:rPr>
              <w:t>姓名</w:t>
            </w:r>
          </w:p>
        </w:tc>
        <w:tc>
          <w:tcPr>
            <w:tcW w:w="1317" w:type="dxa"/>
            <w:noWrap w:val="0"/>
            <w:vAlign w:val="center"/>
          </w:tcPr>
          <w:p>
            <w:pPr>
              <w:jc w:val="center"/>
              <w:rPr>
                <w:highlight w:val="none"/>
              </w:rPr>
            </w:pPr>
          </w:p>
        </w:tc>
        <w:tc>
          <w:tcPr>
            <w:tcW w:w="1313" w:type="dxa"/>
            <w:noWrap w:val="0"/>
            <w:vAlign w:val="center"/>
          </w:tcPr>
          <w:p>
            <w:pPr>
              <w:jc w:val="center"/>
              <w:rPr>
                <w:highlight w:val="none"/>
              </w:rPr>
            </w:pPr>
            <w:r>
              <w:rPr>
                <w:highlight w:val="none"/>
              </w:rPr>
              <w:t>性别</w:t>
            </w:r>
          </w:p>
        </w:tc>
        <w:tc>
          <w:tcPr>
            <w:tcW w:w="1426" w:type="dxa"/>
            <w:noWrap w:val="0"/>
            <w:vAlign w:val="center"/>
          </w:tcPr>
          <w:p>
            <w:pPr>
              <w:jc w:val="center"/>
              <w:rPr>
                <w:highlight w:val="none"/>
              </w:rPr>
            </w:pPr>
          </w:p>
        </w:tc>
        <w:tc>
          <w:tcPr>
            <w:tcW w:w="1316" w:type="dxa"/>
            <w:noWrap w:val="0"/>
            <w:vAlign w:val="center"/>
          </w:tcPr>
          <w:p>
            <w:pPr>
              <w:jc w:val="center"/>
              <w:rPr>
                <w:highlight w:val="none"/>
              </w:rPr>
            </w:pPr>
            <w:r>
              <w:rPr>
                <w:highlight w:val="none"/>
              </w:rPr>
              <w:t>年龄</w:t>
            </w:r>
          </w:p>
        </w:tc>
        <w:tc>
          <w:tcPr>
            <w:tcW w:w="1127" w:type="dxa"/>
            <w:noWrap w:val="0"/>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1" w:type="dxa"/>
            <w:noWrap w:val="0"/>
            <w:vAlign w:val="center"/>
          </w:tcPr>
          <w:p>
            <w:pPr>
              <w:jc w:val="center"/>
              <w:rPr>
                <w:highlight w:val="none"/>
              </w:rPr>
            </w:pPr>
            <w:r>
              <w:rPr>
                <w:highlight w:val="none"/>
              </w:rPr>
              <w:t>职务</w:t>
            </w:r>
          </w:p>
        </w:tc>
        <w:tc>
          <w:tcPr>
            <w:tcW w:w="1317" w:type="dxa"/>
            <w:noWrap w:val="0"/>
            <w:vAlign w:val="center"/>
          </w:tcPr>
          <w:p>
            <w:pPr>
              <w:jc w:val="center"/>
              <w:rPr>
                <w:highlight w:val="none"/>
              </w:rPr>
            </w:pPr>
          </w:p>
        </w:tc>
        <w:tc>
          <w:tcPr>
            <w:tcW w:w="1313" w:type="dxa"/>
            <w:noWrap w:val="0"/>
            <w:vAlign w:val="center"/>
          </w:tcPr>
          <w:p>
            <w:pPr>
              <w:jc w:val="center"/>
              <w:rPr>
                <w:highlight w:val="none"/>
              </w:rPr>
            </w:pPr>
            <w:r>
              <w:rPr>
                <w:highlight w:val="none"/>
              </w:rPr>
              <w:t>职称</w:t>
            </w:r>
          </w:p>
        </w:tc>
        <w:tc>
          <w:tcPr>
            <w:tcW w:w="1426" w:type="dxa"/>
            <w:noWrap w:val="0"/>
            <w:vAlign w:val="center"/>
          </w:tcPr>
          <w:p>
            <w:pPr>
              <w:jc w:val="center"/>
              <w:rPr>
                <w:highlight w:val="none"/>
              </w:rPr>
            </w:pPr>
          </w:p>
        </w:tc>
        <w:tc>
          <w:tcPr>
            <w:tcW w:w="1316" w:type="dxa"/>
            <w:noWrap w:val="0"/>
            <w:vAlign w:val="center"/>
          </w:tcPr>
          <w:p>
            <w:pPr>
              <w:jc w:val="center"/>
              <w:rPr>
                <w:highlight w:val="none"/>
              </w:rPr>
            </w:pPr>
            <w:r>
              <w:rPr>
                <w:highlight w:val="none"/>
              </w:rPr>
              <w:t>学历</w:t>
            </w:r>
          </w:p>
        </w:tc>
        <w:tc>
          <w:tcPr>
            <w:tcW w:w="1127" w:type="dxa"/>
            <w:noWrap w:val="0"/>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3298" w:type="dxa"/>
            <w:gridSpan w:val="2"/>
            <w:noWrap w:val="0"/>
            <w:vAlign w:val="center"/>
          </w:tcPr>
          <w:p>
            <w:pPr>
              <w:jc w:val="center"/>
              <w:rPr>
                <w:highlight w:val="none"/>
              </w:rPr>
            </w:pPr>
            <w:r>
              <w:rPr>
                <w:highlight w:val="none"/>
              </w:rPr>
              <w:t>参加工作时间</w:t>
            </w:r>
          </w:p>
        </w:tc>
        <w:tc>
          <w:tcPr>
            <w:tcW w:w="1313" w:type="dxa"/>
            <w:noWrap w:val="0"/>
            <w:vAlign w:val="center"/>
          </w:tcPr>
          <w:p>
            <w:pPr>
              <w:jc w:val="center"/>
              <w:rPr>
                <w:highlight w:val="none"/>
              </w:rPr>
            </w:pPr>
          </w:p>
        </w:tc>
        <w:tc>
          <w:tcPr>
            <w:tcW w:w="2742" w:type="dxa"/>
            <w:gridSpan w:val="2"/>
            <w:noWrap w:val="0"/>
            <w:vAlign w:val="center"/>
          </w:tcPr>
          <w:p>
            <w:pPr>
              <w:jc w:val="center"/>
              <w:rPr>
                <w:highlight w:val="none"/>
              </w:rPr>
            </w:pPr>
            <w:r>
              <w:rPr>
                <w:highlight w:val="none"/>
              </w:rPr>
              <w:t>从事专业工作年限</w:t>
            </w:r>
          </w:p>
        </w:tc>
        <w:tc>
          <w:tcPr>
            <w:tcW w:w="1127" w:type="dxa"/>
            <w:noWrap w:val="0"/>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8480" w:type="dxa"/>
            <w:gridSpan w:val="6"/>
            <w:noWrap w:val="0"/>
            <w:vAlign w:val="center"/>
          </w:tcPr>
          <w:p>
            <w:pPr>
              <w:jc w:val="center"/>
              <w:rPr>
                <w:highlight w:val="none"/>
              </w:rPr>
            </w:pPr>
            <w:r>
              <w:rPr>
                <w:highlight w:val="none"/>
              </w:rPr>
              <w:t>服务业绩情况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1" w:type="dxa"/>
            <w:noWrap w:val="0"/>
            <w:vAlign w:val="center"/>
          </w:tcPr>
          <w:p>
            <w:pPr>
              <w:jc w:val="center"/>
              <w:rPr>
                <w:highlight w:val="none"/>
              </w:rPr>
            </w:pPr>
            <w:r>
              <w:rPr>
                <w:highlight w:val="none"/>
              </w:rPr>
              <w:t>委托单位</w:t>
            </w:r>
          </w:p>
        </w:tc>
        <w:tc>
          <w:tcPr>
            <w:tcW w:w="2630" w:type="dxa"/>
            <w:gridSpan w:val="2"/>
            <w:noWrap w:val="0"/>
            <w:vAlign w:val="center"/>
          </w:tcPr>
          <w:p>
            <w:pPr>
              <w:jc w:val="center"/>
              <w:rPr>
                <w:highlight w:val="none"/>
              </w:rPr>
            </w:pPr>
            <w:r>
              <w:rPr>
                <w:highlight w:val="none"/>
              </w:rPr>
              <w:t>项目名称</w:t>
            </w:r>
          </w:p>
        </w:tc>
        <w:tc>
          <w:tcPr>
            <w:tcW w:w="1426" w:type="dxa"/>
            <w:noWrap w:val="0"/>
            <w:vAlign w:val="center"/>
          </w:tcPr>
          <w:p>
            <w:pPr>
              <w:jc w:val="center"/>
              <w:rPr>
                <w:highlight w:val="none"/>
              </w:rPr>
            </w:pPr>
            <w:r>
              <w:rPr>
                <w:highlight w:val="none"/>
              </w:rPr>
              <w:t>服务年份</w:t>
            </w:r>
          </w:p>
        </w:tc>
        <w:tc>
          <w:tcPr>
            <w:tcW w:w="2443" w:type="dxa"/>
            <w:gridSpan w:val="2"/>
            <w:noWrap w:val="0"/>
            <w:vAlign w:val="center"/>
          </w:tcPr>
          <w:p>
            <w:pPr>
              <w:jc w:val="center"/>
              <w:rPr>
                <w:highlight w:val="none"/>
              </w:rPr>
            </w:pPr>
            <w:r>
              <w:rPr>
                <w:highlight w:val="none"/>
              </w:rPr>
              <w:t>奖罚情况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1981" w:type="dxa"/>
            <w:noWrap w:val="0"/>
            <w:vAlign w:val="top"/>
          </w:tcPr>
          <w:p>
            <w:pPr>
              <w:spacing w:line="360" w:lineRule="auto"/>
              <w:rPr>
                <w:sz w:val="21"/>
                <w:szCs w:val="21"/>
                <w:highlight w:val="none"/>
              </w:rPr>
            </w:pPr>
          </w:p>
        </w:tc>
        <w:tc>
          <w:tcPr>
            <w:tcW w:w="2630" w:type="dxa"/>
            <w:gridSpan w:val="2"/>
            <w:noWrap w:val="0"/>
            <w:vAlign w:val="top"/>
          </w:tcPr>
          <w:p>
            <w:pPr>
              <w:spacing w:line="360" w:lineRule="auto"/>
              <w:rPr>
                <w:sz w:val="21"/>
                <w:szCs w:val="21"/>
                <w:highlight w:val="none"/>
              </w:rPr>
            </w:pPr>
          </w:p>
        </w:tc>
        <w:tc>
          <w:tcPr>
            <w:tcW w:w="1426" w:type="dxa"/>
            <w:noWrap w:val="0"/>
            <w:vAlign w:val="top"/>
          </w:tcPr>
          <w:p>
            <w:pPr>
              <w:spacing w:line="360" w:lineRule="auto"/>
              <w:rPr>
                <w:sz w:val="21"/>
                <w:szCs w:val="21"/>
                <w:highlight w:val="none"/>
              </w:rPr>
            </w:pPr>
          </w:p>
        </w:tc>
        <w:tc>
          <w:tcPr>
            <w:tcW w:w="2443" w:type="dxa"/>
            <w:gridSpan w:val="2"/>
            <w:noWrap w:val="0"/>
            <w:vAlign w:val="top"/>
          </w:tcPr>
          <w:p>
            <w:pPr>
              <w:spacing w:line="360" w:lineRule="auto"/>
              <w:rPr>
                <w:sz w:val="21"/>
                <w:szCs w:val="21"/>
                <w:highlight w:val="none"/>
              </w:rPr>
            </w:pPr>
          </w:p>
        </w:tc>
      </w:tr>
    </w:tbl>
    <w:p>
      <w:pPr>
        <w:spacing w:line="480" w:lineRule="exact"/>
        <w:ind w:firstLine="3570" w:firstLineChars="1700"/>
        <w:rPr>
          <w:sz w:val="21"/>
          <w:szCs w:val="21"/>
          <w:highlight w:val="none"/>
        </w:rPr>
      </w:pPr>
    </w:p>
    <w:p>
      <w:pPr>
        <w:spacing w:line="480" w:lineRule="exact"/>
        <w:ind w:firstLine="3570" w:firstLineChars="1700"/>
        <w:rPr>
          <w:sz w:val="21"/>
          <w:szCs w:val="21"/>
          <w:highlight w:val="none"/>
        </w:rPr>
      </w:pPr>
      <w:r>
        <w:rPr>
          <w:sz w:val="21"/>
          <w:szCs w:val="21"/>
          <w:highlight w:val="none"/>
        </w:rPr>
        <w:t>法人代表或授权代表（签名或盖章）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ind w:firstLine="3570" w:firstLineChars="1700"/>
        <w:rPr>
          <w:sz w:val="21"/>
          <w:szCs w:val="21"/>
          <w:highlight w:val="none"/>
          <w:u w:val="single"/>
        </w:rPr>
      </w:pPr>
      <w:r>
        <w:rPr>
          <w:sz w:val="21"/>
          <w:szCs w:val="21"/>
          <w:highlight w:val="none"/>
        </w:rPr>
        <w:t>投标供应商（盖章）</w:t>
      </w:r>
      <w:r>
        <w:rPr>
          <w:rFonts w:hint="eastAsia"/>
          <w:sz w:val="21"/>
          <w:szCs w:val="21"/>
          <w:highlight w:val="none"/>
        </w:rPr>
        <w:t>：</w:t>
      </w:r>
      <w:r>
        <w:rPr>
          <w:sz w:val="21"/>
          <w:szCs w:val="21"/>
          <w:highlight w:val="none"/>
          <w:u w:val="single"/>
        </w:rPr>
        <w:t xml:space="preserve">                        </w:t>
      </w:r>
    </w:p>
    <w:p>
      <w:pPr>
        <w:spacing w:line="360" w:lineRule="auto"/>
        <w:ind w:firstLine="3570" w:firstLineChars="1700"/>
        <w:rPr>
          <w:sz w:val="21"/>
          <w:szCs w:val="21"/>
          <w:highlight w:val="none"/>
        </w:rPr>
      </w:pPr>
      <w:r>
        <w:rPr>
          <w:sz w:val="21"/>
          <w:szCs w:val="21"/>
          <w:highlight w:val="none"/>
        </w:rPr>
        <w:t>日  期：</w:t>
      </w:r>
      <w:r>
        <w:rPr>
          <w:sz w:val="21"/>
          <w:szCs w:val="21"/>
          <w:highlight w:val="none"/>
          <w:u w:val="single"/>
        </w:rPr>
        <w:t xml:space="preserve">             </w:t>
      </w:r>
      <w:r>
        <w:rPr>
          <w:sz w:val="21"/>
          <w:szCs w:val="21"/>
          <w:highlight w:val="none"/>
        </w:rPr>
        <w:t>年</w:t>
      </w:r>
      <w:r>
        <w:rPr>
          <w:sz w:val="21"/>
          <w:szCs w:val="21"/>
          <w:highlight w:val="none"/>
          <w:u w:val="single"/>
        </w:rPr>
        <w:t xml:space="preserve">     </w:t>
      </w:r>
      <w:r>
        <w:rPr>
          <w:sz w:val="21"/>
          <w:szCs w:val="21"/>
          <w:highlight w:val="none"/>
        </w:rPr>
        <w:t>月</w:t>
      </w:r>
      <w:r>
        <w:rPr>
          <w:sz w:val="21"/>
          <w:szCs w:val="21"/>
          <w:highlight w:val="none"/>
          <w:u w:val="single"/>
        </w:rPr>
        <w:t xml:space="preserve">     </w:t>
      </w:r>
      <w:r>
        <w:rPr>
          <w:sz w:val="21"/>
          <w:szCs w:val="21"/>
          <w:highlight w:val="none"/>
        </w:rPr>
        <w:t>日</w:t>
      </w:r>
    </w:p>
    <w:p>
      <w:pPr>
        <w:spacing w:line="360" w:lineRule="auto"/>
        <w:ind w:firstLine="5040" w:firstLineChars="2400"/>
        <w:rPr>
          <w:sz w:val="21"/>
          <w:szCs w:val="21"/>
          <w:highlight w:val="none"/>
        </w:rPr>
      </w:pPr>
    </w:p>
    <w:p>
      <w:pPr>
        <w:spacing w:line="480" w:lineRule="exact"/>
        <w:rPr>
          <w:b/>
          <w:highlight w:val="none"/>
        </w:rPr>
      </w:pPr>
      <w:r>
        <w:rPr>
          <w:b/>
          <w:highlight w:val="none"/>
        </w:rPr>
        <w:br w:type="page"/>
      </w:r>
      <w:r>
        <w:rPr>
          <w:b/>
          <w:highlight w:val="none"/>
        </w:rPr>
        <w:t>1</w:t>
      </w:r>
      <w:r>
        <w:rPr>
          <w:rFonts w:hint="eastAsia"/>
          <w:b/>
          <w:highlight w:val="none"/>
          <w:lang w:val="en-US" w:eastAsia="zh-CN"/>
        </w:rPr>
        <w:t>6</w:t>
      </w:r>
      <w:r>
        <w:rPr>
          <w:b/>
          <w:highlight w:val="none"/>
        </w:rPr>
        <w:t>、</w:t>
      </w:r>
      <w:r>
        <w:rPr>
          <w:b/>
          <w:szCs w:val="22"/>
          <w:highlight w:val="none"/>
        </w:rPr>
        <w:t>拟投入项目组成员表（格式见投标文件格式，附件包括主要人员的身份证、技术职称证书</w:t>
      </w:r>
      <w:r>
        <w:rPr>
          <w:rFonts w:hint="eastAsia"/>
          <w:b/>
          <w:szCs w:val="22"/>
          <w:highlight w:val="none"/>
        </w:rPr>
        <w:t>、执业证书（若有）等</w:t>
      </w:r>
      <w:r>
        <w:rPr>
          <w:b/>
          <w:szCs w:val="22"/>
          <w:highlight w:val="none"/>
        </w:rPr>
        <w:t xml:space="preserve">复印件）； </w:t>
      </w:r>
    </w:p>
    <w:tbl>
      <w:tblPr>
        <w:tblStyle w:val="16"/>
        <w:tblpPr w:leftFromText="180" w:rightFromText="180" w:vertAnchor="text" w:horzAnchor="page" w:tblpX="1928" w:tblpY="440"/>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049"/>
        <w:gridCol w:w="850"/>
        <w:gridCol w:w="1382"/>
        <w:gridCol w:w="1485"/>
        <w:gridCol w:w="1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1637" w:type="dxa"/>
            <w:noWrap w:val="0"/>
            <w:vAlign w:val="center"/>
          </w:tcPr>
          <w:p>
            <w:pPr>
              <w:snapToGrid w:val="0"/>
              <w:jc w:val="center"/>
              <w:rPr>
                <w:sz w:val="21"/>
                <w:szCs w:val="21"/>
                <w:highlight w:val="none"/>
              </w:rPr>
            </w:pPr>
            <w:r>
              <w:rPr>
                <w:sz w:val="21"/>
                <w:szCs w:val="21"/>
                <w:highlight w:val="none"/>
              </w:rPr>
              <w:t>姓名</w:t>
            </w:r>
          </w:p>
        </w:tc>
        <w:tc>
          <w:tcPr>
            <w:tcW w:w="2049" w:type="dxa"/>
            <w:noWrap w:val="0"/>
            <w:vAlign w:val="center"/>
          </w:tcPr>
          <w:p>
            <w:pPr>
              <w:snapToGrid w:val="0"/>
              <w:jc w:val="center"/>
              <w:rPr>
                <w:sz w:val="21"/>
                <w:szCs w:val="21"/>
                <w:highlight w:val="none"/>
              </w:rPr>
            </w:pPr>
            <w:r>
              <w:rPr>
                <w:sz w:val="21"/>
                <w:szCs w:val="21"/>
                <w:highlight w:val="none"/>
              </w:rPr>
              <w:t>拟担任本项目职务</w:t>
            </w:r>
          </w:p>
        </w:tc>
        <w:tc>
          <w:tcPr>
            <w:tcW w:w="850" w:type="dxa"/>
            <w:noWrap w:val="0"/>
            <w:vAlign w:val="center"/>
          </w:tcPr>
          <w:p>
            <w:pPr>
              <w:snapToGrid w:val="0"/>
              <w:jc w:val="center"/>
              <w:rPr>
                <w:sz w:val="21"/>
                <w:szCs w:val="21"/>
                <w:highlight w:val="none"/>
              </w:rPr>
            </w:pPr>
            <w:r>
              <w:rPr>
                <w:sz w:val="21"/>
                <w:szCs w:val="21"/>
                <w:highlight w:val="none"/>
              </w:rPr>
              <w:t>年龄</w:t>
            </w:r>
          </w:p>
        </w:tc>
        <w:tc>
          <w:tcPr>
            <w:tcW w:w="1382" w:type="dxa"/>
            <w:noWrap w:val="0"/>
            <w:vAlign w:val="center"/>
          </w:tcPr>
          <w:p>
            <w:pPr>
              <w:snapToGrid w:val="0"/>
              <w:jc w:val="center"/>
              <w:rPr>
                <w:sz w:val="21"/>
                <w:szCs w:val="21"/>
                <w:highlight w:val="none"/>
              </w:rPr>
            </w:pPr>
            <w:r>
              <w:rPr>
                <w:sz w:val="21"/>
                <w:szCs w:val="21"/>
                <w:highlight w:val="none"/>
              </w:rPr>
              <w:t>专  业</w:t>
            </w:r>
          </w:p>
        </w:tc>
        <w:tc>
          <w:tcPr>
            <w:tcW w:w="1485" w:type="dxa"/>
            <w:noWrap w:val="0"/>
            <w:vAlign w:val="center"/>
          </w:tcPr>
          <w:p>
            <w:pPr>
              <w:snapToGrid w:val="0"/>
              <w:jc w:val="center"/>
              <w:rPr>
                <w:sz w:val="21"/>
                <w:szCs w:val="21"/>
                <w:highlight w:val="none"/>
              </w:rPr>
            </w:pPr>
            <w:r>
              <w:rPr>
                <w:sz w:val="21"/>
                <w:szCs w:val="21"/>
                <w:highlight w:val="none"/>
              </w:rPr>
              <w:t>职称</w:t>
            </w:r>
          </w:p>
        </w:tc>
        <w:tc>
          <w:tcPr>
            <w:tcW w:w="1166" w:type="dxa"/>
            <w:noWrap w:val="0"/>
            <w:vAlign w:val="center"/>
          </w:tcPr>
          <w:p>
            <w:pPr>
              <w:snapToGrid w:val="0"/>
              <w:jc w:val="center"/>
              <w:rPr>
                <w:sz w:val="21"/>
                <w:szCs w:val="21"/>
                <w:highlight w:val="none"/>
              </w:rPr>
            </w:pPr>
            <w:r>
              <w:rPr>
                <w:sz w:val="21"/>
                <w:szCs w:val="21"/>
                <w:highlight w:val="none"/>
              </w:rPr>
              <w:t>证书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37" w:type="dxa"/>
            <w:noWrap w:val="0"/>
            <w:vAlign w:val="center"/>
          </w:tcPr>
          <w:p>
            <w:pPr>
              <w:snapToGrid w:val="0"/>
              <w:jc w:val="center"/>
              <w:rPr>
                <w:sz w:val="21"/>
                <w:szCs w:val="21"/>
                <w:highlight w:val="none"/>
              </w:rPr>
            </w:pPr>
            <w:r>
              <w:rPr>
                <w:sz w:val="21"/>
                <w:szCs w:val="21"/>
                <w:highlight w:val="none"/>
              </w:rPr>
              <w:t>(项目负责人)</w:t>
            </w:r>
          </w:p>
        </w:tc>
        <w:tc>
          <w:tcPr>
            <w:tcW w:w="2049" w:type="dxa"/>
            <w:noWrap w:val="0"/>
            <w:vAlign w:val="center"/>
          </w:tcPr>
          <w:p>
            <w:pPr>
              <w:snapToGrid w:val="0"/>
              <w:jc w:val="center"/>
              <w:rPr>
                <w:sz w:val="21"/>
                <w:szCs w:val="21"/>
                <w:highlight w:val="none"/>
              </w:rPr>
            </w:pPr>
          </w:p>
        </w:tc>
        <w:tc>
          <w:tcPr>
            <w:tcW w:w="850" w:type="dxa"/>
            <w:noWrap w:val="0"/>
            <w:vAlign w:val="center"/>
          </w:tcPr>
          <w:p>
            <w:pPr>
              <w:snapToGrid w:val="0"/>
              <w:jc w:val="center"/>
              <w:rPr>
                <w:sz w:val="21"/>
                <w:szCs w:val="21"/>
                <w:highlight w:val="none"/>
              </w:rPr>
            </w:pPr>
          </w:p>
        </w:tc>
        <w:tc>
          <w:tcPr>
            <w:tcW w:w="1382" w:type="dxa"/>
            <w:noWrap w:val="0"/>
            <w:vAlign w:val="center"/>
          </w:tcPr>
          <w:p>
            <w:pPr>
              <w:snapToGrid w:val="0"/>
              <w:jc w:val="center"/>
              <w:rPr>
                <w:sz w:val="21"/>
                <w:szCs w:val="21"/>
                <w:highlight w:val="none"/>
              </w:rPr>
            </w:pPr>
          </w:p>
        </w:tc>
        <w:tc>
          <w:tcPr>
            <w:tcW w:w="1485" w:type="dxa"/>
            <w:noWrap w:val="0"/>
            <w:vAlign w:val="center"/>
          </w:tcPr>
          <w:p>
            <w:pPr>
              <w:snapToGrid w:val="0"/>
              <w:jc w:val="center"/>
              <w:rPr>
                <w:sz w:val="21"/>
                <w:szCs w:val="21"/>
                <w:highlight w:val="none"/>
              </w:rPr>
            </w:pPr>
          </w:p>
        </w:tc>
        <w:tc>
          <w:tcPr>
            <w:tcW w:w="1166" w:type="dxa"/>
            <w:noWrap w:val="0"/>
            <w:vAlign w:val="center"/>
          </w:tcPr>
          <w:p>
            <w:pPr>
              <w:snapToGrid w:val="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37" w:type="dxa"/>
            <w:noWrap w:val="0"/>
            <w:vAlign w:val="center"/>
          </w:tcPr>
          <w:p>
            <w:pPr>
              <w:snapToGrid w:val="0"/>
              <w:jc w:val="center"/>
              <w:rPr>
                <w:sz w:val="21"/>
                <w:szCs w:val="21"/>
                <w:highlight w:val="none"/>
              </w:rPr>
            </w:pPr>
            <w:r>
              <w:rPr>
                <w:szCs w:val="21"/>
                <w:highlight w:val="none"/>
              </w:rPr>
              <w:t>......</w:t>
            </w:r>
          </w:p>
        </w:tc>
        <w:tc>
          <w:tcPr>
            <w:tcW w:w="2049" w:type="dxa"/>
            <w:noWrap w:val="0"/>
            <w:vAlign w:val="center"/>
          </w:tcPr>
          <w:p>
            <w:pPr>
              <w:snapToGrid w:val="0"/>
              <w:jc w:val="center"/>
              <w:rPr>
                <w:sz w:val="21"/>
                <w:szCs w:val="21"/>
                <w:highlight w:val="none"/>
              </w:rPr>
            </w:pPr>
          </w:p>
        </w:tc>
        <w:tc>
          <w:tcPr>
            <w:tcW w:w="850" w:type="dxa"/>
            <w:noWrap w:val="0"/>
            <w:vAlign w:val="center"/>
          </w:tcPr>
          <w:p>
            <w:pPr>
              <w:snapToGrid w:val="0"/>
              <w:jc w:val="center"/>
              <w:rPr>
                <w:sz w:val="21"/>
                <w:szCs w:val="21"/>
                <w:highlight w:val="none"/>
              </w:rPr>
            </w:pPr>
          </w:p>
        </w:tc>
        <w:tc>
          <w:tcPr>
            <w:tcW w:w="1382" w:type="dxa"/>
            <w:noWrap w:val="0"/>
            <w:vAlign w:val="center"/>
          </w:tcPr>
          <w:p>
            <w:pPr>
              <w:snapToGrid w:val="0"/>
              <w:jc w:val="center"/>
              <w:rPr>
                <w:sz w:val="21"/>
                <w:szCs w:val="21"/>
                <w:highlight w:val="none"/>
              </w:rPr>
            </w:pPr>
          </w:p>
        </w:tc>
        <w:tc>
          <w:tcPr>
            <w:tcW w:w="1485" w:type="dxa"/>
            <w:noWrap w:val="0"/>
            <w:vAlign w:val="center"/>
          </w:tcPr>
          <w:p>
            <w:pPr>
              <w:snapToGrid w:val="0"/>
              <w:jc w:val="center"/>
              <w:rPr>
                <w:sz w:val="21"/>
                <w:szCs w:val="21"/>
                <w:highlight w:val="none"/>
              </w:rPr>
            </w:pPr>
          </w:p>
        </w:tc>
        <w:tc>
          <w:tcPr>
            <w:tcW w:w="1166" w:type="dxa"/>
            <w:noWrap w:val="0"/>
            <w:vAlign w:val="center"/>
          </w:tcPr>
          <w:p>
            <w:pPr>
              <w:snapToGrid w:val="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37" w:type="dxa"/>
            <w:noWrap w:val="0"/>
            <w:vAlign w:val="center"/>
          </w:tcPr>
          <w:p>
            <w:pPr>
              <w:snapToGrid w:val="0"/>
              <w:jc w:val="center"/>
              <w:rPr>
                <w:szCs w:val="21"/>
                <w:highlight w:val="none"/>
              </w:rPr>
            </w:pPr>
            <w:r>
              <w:rPr>
                <w:szCs w:val="21"/>
                <w:highlight w:val="none"/>
              </w:rPr>
              <w:t>......</w:t>
            </w: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37" w:type="dxa"/>
            <w:noWrap w:val="0"/>
            <w:vAlign w:val="center"/>
          </w:tcPr>
          <w:p>
            <w:pPr>
              <w:snapToGrid w:val="0"/>
              <w:jc w:val="center"/>
              <w:rPr>
                <w:szCs w:val="21"/>
                <w:highlight w:val="none"/>
              </w:rPr>
            </w:pPr>
          </w:p>
        </w:tc>
        <w:tc>
          <w:tcPr>
            <w:tcW w:w="2049" w:type="dxa"/>
            <w:noWrap w:val="0"/>
            <w:vAlign w:val="center"/>
          </w:tcPr>
          <w:p>
            <w:pPr>
              <w:snapToGrid w:val="0"/>
              <w:jc w:val="center"/>
              <w:rPr>
                <w:szCs w:val="21"/>
                <w:highlight w:val="none"/>
              </w:rPr>
            </w:pPr>
          </w:p>
        </w:tc>
        <w:tc>
          <w:tcPr>
            <w:tcW w:w="850" w:type="dxa"/>
            <w:noWrap w:val="0"/>
            <w:vAlign w:val="center"/>
          </w:tcPr>
          <w:p>
            <w:pPr>
              <w:snapToGrid w:val="0"/>
              <w:jc w:val="center"/>
              <w:rPr>
                <w:szCs w:val="21"/>
                <w:highlight w:val="none"/>
              </w:rPr>
            </w:pPr>
          </w:p>
        </w:tc>
        <w:tc>
          <w:tcPr>
            <w:tcW w:w="1382" w:type="dxa"/>
            <w:noWrap w:val="0"/>
            <w:vAlign w:val="center"/>
          </w:tcPr>
          <w:p>
            <w:pPr>
              <w:snapToGrid w:val="0"/>
              <w:jc w:val="center"/>
              <w:rPr>
                <w:szCs w:val="21"/>
                <w:highlight w:val="none"/>
              </w:rPr>
            </w:pPr>
          </w:p>
        </w:tc>
        <w:tc>
          <w:tcPr>
            <w:tcW w:w="1485" w:type="dxa"/>
            <w:noWrap w:val="0"/>
            <w:vAlign w:val="center"/>
          </w:tcPr>
          <w:p>
            <w:pPr>
              <w:snapToGrid w:val="0"/>
              <w:jc w:val="center"/>
              <w:rPr>
                <w:szCs w:val="21"/>
                <w:highlight w:val="none"/>
              </w:rPr>
            </w:pPr>
          </w:p>
        </w:tc>
        <w:tc>
          <w:tcPr>
            <w:tcW w:w="1166" w:type="dxa"/>
            <w:noWrap w:val="0"/>
            <w:vAlign w:val="center"/>
          </w:tcPr>
          <w:p>
            <w:pPr>
              <w:snapToGrid w:val="0"/>
              <w:jc w:val="center"/>
              <w:rPr>
                <w:szCs w:val="21"/>
                <w:highlight w:val="none"/>
              </w:rPr>
            </w:pPr>
          </w:p>
        </w:tc>
      </w:tr>
    </w:tbl>
    <w:p>
      <w:pPr>
        <w:spacing w:line="480" w:lineRule="exact"/>
        <w:rPr>
          <w:sz w:val="21"/>
          <w:szCs w:val="21"/>
          <w:highlight w:val="none"/>
        </w:rPr>
      </w:pPr>
    </w:p>
    <w:p>
      <w:pPr>
        <w:spacing w:line="480" w:lineRule="exact"/>
        <w:ind w:firstLine="3570" w:firstLineChars="1700"/>
        <w:rPr>
          <w:sz w:val="21"/>
          <w:szCs w:val="21"/>
          <w:highlight w:val="none"/>
        </w:rPr>
      </w:pPr>
      <w:r>
        <w:rPr>
          <w:sz w:val="21"/>
          <w:szCs w:val="21"/>
          <w:highlight w:val="none"/>
        </w:rPr>
        <w:t>法人代表或授权代表（签名或盖章）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ind w:firstLine="3570" w:firstLineChars="1700"/>
        <w:rPr>
          <w:sz w:val="21"/>
          <w:szCs w:val="21"/>
          <w:highlight w:val="none"/>
          <w:u w:val="single"/>
        </w:rPr>
      </w:pPr>
      <w:r>
        <w:rPr>
          <w:sz w:val="21"/>
          <w:szCs w:val="21"/>
          <w:highlight w:val="none"/>
        </w:rPr>
        <w:t>投标供应商（盖章）</w:t>
      </w:r>
      <w:r>
        <w:rPr>
          <w:rFonts w:hint="eastAsia"/>
          <w:sz w:val="21"/>
          <w:szCs w:val="21"/>
          <w:highlight w:val="none"/>
        </w:rPr>
        <w:t>：</w:t>
      </w:r>
      <w:r>
        <w:rPr>
          <w:sz w:val="21"/>
          <w:szCs w:val="21"/>
          <w:highlight w:val="none"/>
          <w:u w:val="single"/>
        </w:rPr>
        <w:t xml:space="preserve">                        </w:t>
      </w:r>
    </w:p>
    <w:p>
      <w:pPr>
        <w:spacing w:line="360" w:lineRule="auto"/>
        <w:ind w:firstLine="3570" w:firstLineChars="1700"/>
        <w:rPr>
          <w:sz w:val="21"/>
          <w:szCs w:val="21"/>
          <w:highlight w:val="none"/>
        </w:rPr>
      </w:pPr>
      <w:r>
        <w:rPr>
          <w:sz w:val="21"/>
          <w:szCs w:val="21"/>
          <w:highlight w:val="none"/>
        </w:rPr>
        <w:t>日  期：</w:t>
      </w:r>
      <w:r>
        <w:rPr>
          <w:sz w:val="21"/>
          <w:szCs w:val="21"/>
          <w:highlight w:val="none"/>
          <w:u w:val="single"/>
        </w:rPr>
        <w:t xml:space="preserve">             </w:t>
      </w:r>
      <w:r>
        <w:rPr>
          <w:sz w:val="21"/>
          <w:szCs w:val="21"/>
          <w:highlight w:val="none"/>
        </w:rPr>
        <w:t>年</w:t>
      </w:r>
      <w:r>
        <w:rPr>
          <w:sz w:val="21"/>
          <w:szCs w:val="21"/>
          <w:highlight w:val="none"/>
          <w:u w:val="single"/>
        </w:rPr>
        <w:t xml:space="preserve">     </w:t>
      </w:r>
      <w:r>
        <w:rPr>
          <w:sz w:val="21"/>
          <w:szCs w:val="21"/>
          <w:highlight w:val="none"/>
        </w:rPr>
        <w:t>月</w:t>
      </w:r>
      <w:r>
        <w:rPr>
          <w:sz w:val="21"/>
          <w:szCs w:val="21"/>
          <w:highlight w:val="none"/>
          <w:u w:val="single"/>
        </w:rPr>
        <w:t xml:space="preserve">     </w:t>
      </w:r>
      <w:r>
        <w:rPr>
          <w:sz w:val="21"/>
          <w:szCs w:val="21"/>
          <w:highlight w:val="none"/>
        </w:rPr>
        <w:t>日</w:t>
      </w:r>
    </w:p>
    <w:p>
      <w:pPr>
        <w:pStyle w:val="15"/>
        <w:ind w:firstLine="210"/>
        <w:rPr>
          <w:sz w:val="21"/>
          <w:szCs w:val="21"/>
          <w:highlight w:val="none"/>
        </w:rPr>
      </w:pPr>
    </w:p>
    <w:p>
      <w:pPr>
        <w:pStyle w:val="15"/>
        <w:ind w:firstLine="210"/>
        <w:rPr>
          <w:sz w:val="21"/>
          <w:szCs w:val="21"/>
          <w:highlight w:val="none"/>
        </w:rPr>
      </w:pPr>
    </w:p>
    <w:p>
      <w:pPr>
        <w:pStyle w:val="15"/>
        <w:ind w:firstLine="210"/>
        <w:rPr>
          <w:sz w:val="21"/>
          <w:szCs w:val="21"/>
          <w:highlight w:val="none"/>
        </w:rPr>
      </w:pPr>
    </w:p>
    <w:p>
      <w:pPr>
        <w:widowControl/>
        <w:autoSpaceDE/>
        <w:autoSpaceDN/>
        <w:adjustRightInd/>
        <w:jc w:val="left"/>
        <w:textAlignment w:val="auto"/>
        <w:rPr>
          <w:b/>
          <w:highlight w:val="none"/>
        </w:rPr>
      </w:pPr>
    </w:p>
    <w:p>
      <w:pPr>
        <w:numPr>
          <w:ilvl w:val="0"/>
          <w:numId w:val="0"/>
        </w:numPr>
        <w:spacing w:line="480" w:lineRule="exact"/>
        <w:ind w:left="0"/>
        <w:rPr>
          <w:rFonts w:hint="eastAsia"/>
          <w:b/>
          <w:szCs w:val="22"/>
          <w:highlight w:val="none"/>
          <w:lang w:val="en-US" w:eastAsia="zh-CN"/>
        </w:rPr>
      </w:pPr>
    </w:p>
    <w:p>
      <w:pPr>
        <w:numPr>
          <w:ilvl w:val="0"/>
          <w:numId w:val="0"/>
        </w:numPr>
        <w:spacing w:line="480" w:lineRule="exact"/>
        <w:ind w:left="0"/>
        <w:rPr>
          <w:b/>
          <w:szCs w:val="22"/>
          <w:highlight w:val="none"/>
        </w:rPr>
      </w:pPr>
      <w:r>
        <w:rPr>
          <w:rFonts w:hint="eastAsia"/>
          <w:b/>
          <w:szCs w:val="22"/>
          <w:highlight w:val="none"/>
          <w:lang w:val="en-US" w:eastAsia="zh-CN"/>
        </w:rPr>
        <w:t>17、</w:t>
      </w:r>
      <w:r>
        <w:rPr>
          <w:b/>
          <w:szCs w:val="22"/>
          <w:highlight w:val="none"/>
        </w:rPr>
        <w:t>投标供应商认为可以证明其能力或业绩的其他材料。</w:t>
      </w:r>
    </w:p>
    <w:p>
      <w:pPr>
        <w:pStyle w:val="4"/>
        <w:tabs>
          <w:tab w:val="left" w:pos="720"/>
        </w:tabs>
        <w:rPr>
          <w:rFonts w:hint="eastAsia"/>
          <w:snapToGrid/>
          <w:sz w:val="24"/>
          <w:szCs w:val="22"/>
          <w:highlight w:val="none"/>
        </w:rPr>
      </w:pPr>
    </w:p>
    <w:p>
      <w:pPr>
        <w:spacing w:before="100" w:beforeAutospacing="1" w:after="100" w:afterAutospacing="1" w:line="480" w:lineRule="exact"/>
        <w:rPr>
          <w:b/>
          <w:szCs w:val="22"/>
          <w:highlight w:val="none"/>
        </w:rPr>
      </w:pPr>
      <w:r>
        <w:rPr>
          <w:b/>
          <w:szCs w:val="22"/>
          <w:highlight w:val="none"/>
        </w:rPr>
        <w:t>1</w:t>
      </w:r>
      <w:r>
        <w:rPr>
          <w:rFonts w:hint="eastAsia"/>
          <w:b/>
          <w:szCs w:val="22"/>
          <w:highlight w:val="none"/>
          <w:lang w:val="en-US" w:eastAsia="zh-CN"/>
        </w:rPr>
        <w:t>8</w:t>
      </w:r>
      <w:r>
        <w:rPr>
          <w:b/>
          <w:szCs w:val="22"/>
          <w:highlight w:val="none"/>
        </w:rPr>
        <w:t>、</w:t>
      </w:r>
      <w:r>
        <w:rPr>
          <w:rFonts w:hint="eastAsia"/>
          <w:b/>
          <w:szCs w:val="22"/>
          <w:highlight w:val="none"/>
          <w:lang w:eastAsia="zh-CN"/>
        </w:rPr>
        <w:t>代理</w:t>
      </w:r>
      <w:r>
        <w:rPr>
          <w:b/>
          <w:szCs w:val="22"/>
          <w:highlight w:val="none"/>
        </w:rPr>
        <w:t>服务费承诺函</w:t>
      </w:r>
    </w:p>
    <w:p>
      <w:pPr>
        <w:tabs>
          <w:tab w:val="center" w:pos="4791"/>
        </w:tabs>
        <w:snapToGrid w:val="0"/>
        <w:spacing w:line="360" w:lineRule="auto"/>
        <w:ind w:firstLine="442" w:firstLineChars="200"/>
        <w:jc w:val="left"/>
        <w:rPr>
          <w:b/>
          <w:sz w:val="32"/>
          <w:szCs w:val="32"/>
          <w:highlight w:val="none"/>
        </w:rPr>
      </w:pPr>
      <w:r>
        <w:rPr>
          <w:b/>
          <w:highlight w:val="none"/>
        </w:rPr>
        <w:tab/>
      </w:r>
      <w:r>
        <w:rPr>
          <w:rFonts w:hint="eastAsia"/>
          <w:b/>
          <w:sz w:val="32"/>
          <w:szCs w:val="32"/>
          <w:highlight w:val="none"/>
          <w:lang w:eastAsia="zh-CN"/>
        </w:rPr>
        <w:t>代理</w:t>
      </w:r>
      <w:r>
        <w:rPr>
          <w:b/>
          <w:sz w:val="32"/>
          <w:szCs w:val="32"/>
          <w:highlight w:val="none"/>
        </w:rPr>
        <w:t>服务费承诺函</w:t>
      </w:r>
    </w:p>
    <w:p>
      <w:pPr>
        <w:widowControl/>
        <w:autoSpaceDE/>
        <w:autoSpaceDN/>
        <w:adjustRightInd/>
        <w:spacing w:before="100" w:beforeAutospacing="1" w:after="100" w:afterAutospacing="1" w:line="360" w:lineRule="auto"/>
        <w:jc w:val="left"/>
        <w:textAlignment w:val="auto"/>
        <w:rPr>
          <w:szCs w:val="24"/>
          <w:highlight w:val="none"/>
        </w:rPr>
      </w:pPr>
      <w:r>
        <w:rPr>
          <w:szCs w:val="24"/>
          <w:highlight w:val="none"/>
          <w:u w:val="single"/>
        </w:rPr>
        <w:t>杭州中乙信息科技咨询有限公司</w:t>
      </w:r>
      <w:r>
        <w:rPr>
          <w:szCs w:val="24"/>
          <w:highlight w:val="none"/>
        </w:rPr>
        <w:t>：</w:t>
      </w:r>
    </w:p>
    <w:p>
      <w:pPr>
        <w:widowControl/>
        <w:autoSpaceDE/>
        <w:autoSpaceDN/>
        <w:adjustRightInd/>
        <w:spacing w:before="100" w:beforeAutospacing="1" w:after="100" w:afterAutospacing="1" w:line="360" w:lineRule="auto"/>
        <w:ind w:firstLine="540"/>
        <w:jc w:val="left"/>
        <w:textAlignment w:val="auto"/>
        <w:rPr>
          <w:szCs w:val="24"/>
          <w:highlight w:val="none"/>
        </w:rPr>
      </w:pPr>
      <w:r>
        <w:rPr>
          <w:szCs w:val="24"/>
          <w:highlight w:val="none"/>
        </w:rPr>
        <w:t>根据</w:t>
      </w:r>
      <w:r>
        <w:rPr>
          <w:rFonts w:hint="eastAsia"/>
          <w:szCs w:val="24"/>
          <w:highlight w:val="none"/>
        </w:rPr>
        <w:t>招标文件</w:t>
      </w:r>
      <w:r>
        <w:rPr>
          <w:szCs w:val="24"/>
          <w:highlight w:val="none"/>
        </w:rPr>
        <w:t>约定，</w:t>
      </w:r>
      <w:r>
        <w:rPr>
          <w:rFonts w:hint="eastAsia"/>
          <w:szCs w:val="24"/>
          <w:highlight w:val="none"/>
        </w:rPr>
        <w:t>我方已完全理解并同意</w:t>
      </w:r>
      <w:r>
        <w:rPr>
          <w:rFonts w:hint="eastAsia"/>
          <w:szCs w:val="24"/>
          <w:highlight w:val="none"/>
          <w:lang w:eastAsia="zh-CN"/>
        </w:rPr>
        <w:t>代理</w:t>
      </w:r>
      <w:r>
        <w:rPr>
          <w:rFonts w:hint="eastAsia"/>
          <w:szCs w:val="24"/>
          <w:highlight w:val="none"/>
        </w:rPr>
        <w:t>服务费计算方式和支付方式。</w:t>
      </w:r>
      <w:r>
        <w:rPr>
          <w:szCs w:val="24"/>
          <w:highlight w:val="none"/>
        </w:rPr>
        <w:t>一旦我</w:t>
      </w:r>
      <w:r>
        <w:rPr>
          <w:rFonts w:hint="eastAsia"/>
          <w:szCs w:val="24"/>
          <w:highlight w:val="none"/>
        </w:rPr>
        <w:t>方中标</w:t>
      </w:r>
      <w:r>
        <w:rPr>
          <w:szCs w:val="24"/>
          <w:highlight w:val="none"/>
        </w:rPr>
        <w:t>，由我</w:t>
      </w:r>
      <w:r>
        <w:rPr>
          <w:rFonts w:hint="eastAsia"/>
          <w:szCs w:val="24"/>
          <w:highlight w:val="none"/>
        </w:rPr>
        <w:t>方</w:t>
      </w:r>
      <w:r>
        <w:rPr>
          <w:szCs w:val="24"/>
          <w:highlight w:val="none"/>
        </w:rPr>
        <w:t>支付本项目的</w:t>
      </w:r>
      <w:r>
        <w:rPr>
          <w:rFonts w:hint="eastAsia"/>
          <w:szCs w:val="24"/>
          <w:highlight w:val="none"/>
          <w:lang w:eastAsia="zh-CN"/>
        </w:rPr>
        <w:t>代理</w:t>
      </w:r>
      <w:r>
        <w:rPr>
          <w:szCs w:val="24"/>
          <w:highlight w:val="none"/>
        </w:rPr>
        <w:t>服务费</w:t>
      </w:r>
      <w:r>
        <w:rPr>
          <w:rFonts w:hint="eastAsia"/>
          <w:szCs w:val="24"/>
          <w:highlight w:val="none"/>
          <w:lang w:eastAsia="zh-CN"/>
        </w:rPr>
        <w:t>肆万陆仟元整</w:t>
      </w:r>
      <w:r>
        <w:rPr>
          <w:szCs w:val="24"/>
          <w:highlight w:val="none"/>
        </w:rPr>
        <w:t>，</w:t>
      </w:r>
      <w:r>
        <w:rPr>
          <w:rFonts w:hint="eastAsia"/>
          <w:szCs w:val="24"/>
          <w:highlight w:val="none"/>
        </w:rPr>
        <w:t>并承诺</w:t>
      </w:r>
      <w:r>
        <w:rPr>
          <w:szCs w:val="24"/>
          <w:highlight w:val="none"/>
        </w:rPr>
        <w:t>在我</w:t>
      </w:r>
      <w:r>
        <w:rPr>
          <w:rFonts w:hint="eastAsia"/>
          <w:szCs w:val="24"/>
          <w:highlight w:val="none"/>
        </w:rPr>
        <w:t>方</w:t>
      </w:r>
      <w:r>
        <w:rPr>
          <w:szCs w:val="24"/>
          <w:highlight w:val="none"/>
        </w:rPr>
        <w:t>收到</w:t>
      </w:r>
      <w:r>
        <w:rPr>
          <w:rFonts w:hint="eastAsia"/>
          <w:szCs w:val="24"/>
          <w:highlight w:val="none"/>
        </w:rPr>
        <w:t>中标</w:t>
      </w:r>
      <w:r>
        <w:rPr>
          <w:szCs w:val="24"/>
          <w:highlight w:val="none"/>
        </w:rPr>
        <w:t>通知书同时一次性向贵公司缴清。</w:t>
      </w:r>
    </w:p>
    <w:p>
      <w:pPr>
        <w:widowControl/>
        <w:autoSpaceDE/>
        <w:autoSpaceDN/>
        <w:adjustRightInd/>
        <w:spacing w:before="100" w:beforeAutospacing="1" w:after="100" w:afterAutospacing="1" w:line="360" w:lineRule="auto"/>
        <w:ind w:firstLine="540"/>
        <w:jc w:val="left"/>
        <w:textAlignment w:val="auto"/>
        <w:rPr>
          <w:szCs w:val="24"/>
          <w:highlight w:val="none"/>
        </w:rPr>
      </w:pPr>
      <w:r>
        <w:rPr>
          <w:szCs w:val="24"/>
          <w:highlight w:val="none"/>
        </w:rPr>
        <w:t>本承诺函自开标之日起至本次采购期满有效。</w:t>
      </w:r>
    </w:p>
    <w:p>
      <w:pPr>
        <w:spacing w:line="360" w:lineRule="auto"/>
        <w:ind w:firstLine="570"/>
        <w:rPr>
          <w:rFonts w:eastAsia="仿宋"/>
          <w:sz w:val="28"/>
          <w:szCs w:val="28"/>
          <w:highlight w:val="none"/>
        </w:rPr>
      </w:pPr>
    </w:p>
    <w:p>
      <w:pPr>
        <w:spacing w:line="360" w:lineRule="auto"/>
        <w:ind w:firstLine="3300" w:firstLineChars="1500"/>
        <w:rPr>
          <w:highlight w:val="none"/>
        </w:rPr>
      </w:pPr>
      <w:r>
        <w:rPr>
          <w:highlight w:val="none"/>
        </w:rPr>
        <w:t>投 标 供 应 商：</w:t>
      </w:r>
      <w:r>
        <w:rPr>
          <w:rFonts w:eastAsia="方正楷体简体"/>
          <w:sz w:val="28"/>
          <w:szCs w:val="28"/>
          <w:highlight w:val="none"/>
          <w:u w:val="single"/>
        </w:rPr>
        <w:t xml:space="preserve">               </w:t>
      </w:r>
      <w:r>
        <w:rPr>
          <w:highlight w:val="none"/>
          <w:u w:val="single"/>
        </w:rPr>
        <w:t xml:space="preserve">  (盖章)</w:t>
      </w:r>
    </w:p>
    <w:p>
      <w:pPr>
        <w:spacing w:line="360" w:lineRule="auto"/>
        <w:ind w:firstLine="3300" w:firstLineChars="1500"/>
        <w:rPr>
          <w:highlight w:val="none"/>
        </w:rPr>
      </w:pPr>
      <w:r>
        <w:rPr>
          <w:highlight w:val="none"/>
        </w:rPr>
        <w:t>法定代表人或</w:t>
      </w:r>
    </w:p>
    <w:p>
      <w:pPr>
        <w:spacing w:line="360" w:lineRule="auto"/>
        <w:ind w:firstLine="3300" w:firstLineChars="1500"/>
        <w:rPr>
          <w:highlight w:val="none"/>
        </w:rPr>
      </w:pPr>
      <w:r>
        <w:rPr>
          <w:highlight w:val="none"/>
        </w:rPr>
        <w:t>授权代表：</w:t>
      </w:r>
      <w:r>
        <w:rPr>
          <w:rFonts w:eastAsia="方正楷体简体"/>
          <w:sz w:val="28"/>
          <w:szCs w:val="28"/>
          <w:highlight w:val="none"/>
          <w:u w:val="single"/>
        </w:rPr>
        <w:t xml:space="preserve">              </w:t>
      </w:r>
      <w:r>
        <w:rPr>
          <w:highlight w:val="none"/>
          <w:u w:val="single"/>
        </w:rPr>
        <w:t>（签字或盖章）</w:t>
      </w:r>
    </w:p>
    <w:p>
      <w:pPr>
        <w:snapToGrid w:val="0"/>
        <w:spacing w:line="360" w:lineRule="auto"/>
        <w:ind w:firstLine="3300" w:firstLineChars="1500"/>
        <w:rPr>
          <w:b/>
          <w:bCs/>
          <w:sz w:val="32"/>
          <w:szCs w:val="32"/>
          <w:highlight w:val="none"/>
        </w:rPr>
      </w:pPr>
      <w:r>
        <w:rPr>
          <w:highlight w:val="none"/>
        </w:rPr>
        <w:t>日    期：</w:t>
      </w:r>
      <w:r>
        <w:rPr>
          <w:highlight w:val="none"/>
          <w:u w:val="single"/>
        </w:rPr>
        <w:t xml:space="preserve">     </w:t>
      </w:r>
      <w:r>
        <w:rPr>
          <w:rFonts w:eastAsia="方正楷体简体"/>
          <w:sz w:val="28"/>
          <w:szCs w:val="28"/>
          <w:highlight w:val="none"/>
          <w:u w:val="single"/>
        </w:rPr>
        <w:t xml:space="preserve"> </w:t>
      </w:r>
      <w:r>
        <w:rPr>
          <w:highlight w:val="none"/>
        </w:rPr>
        <w:t xml:space="preserve"> 年</w:t>
      </w:r>
      <w:r>
        <w:rPr>
          <w:rFonts w:eastAsia="方正楷体简体"/>
          <w:sz w:val="28"/>
          <w:szCs w:val="28"/>
          <w:highlight w:val="none"/>
          <w:u w:val="single"/>
        </w:rPr>
        <w:t xml:space="preserve"> </w:t>
      </w:r>
      <w:r>
        <w:rPr>
          <w:highlight w:val="none"/>
          <w:u w:val="single"/>
        </w:rPr>
        <w:t xml:space="preserve">   </w:t>
      </w:r>
      <w:r>
        <w:rPr>
          <w:rFonts w:eastAsia="方正楷体简体"/>
          <w:sz w:val="28"/>
          <w:szCs w:val="28"/>
          <w:highlight w:val="none"/>
          <w:u w:val="single"/>
        </w:rPr>
        <w:t xml:space="preserve">  </w:t>
      </w:r>
      <w:r>
        <w:rPr>
          <w:highlight w:val="none"/>
        </w:rPr>
        <w:t>月</w:t>
      </w:r>
      <w:r>
        <w:rPr>
          <w:rFonts w:eastAsia="方正楷体简体"/>
          <w:sz w:val="28"/>
          <w:szCs w:val="28"/>
          <w:highlight w:val="none"/>
          <w:u w:val="single"/>
        </w:rPr>
        <w:t xml:space="preserve"> </w:t>
      </w:r>
      <w:r>
        <w:rPr>
          <w:highlight w:val="none"/>
          <w:u w:val="single"/>
        </w:rPr>
        <w:t xml:space="preserve">  </w:t>
      </w:r>
      <w:r>
        <w:rPr>
          <w:rFonts w:eastAsia="方正楷体简体"/>
          <w:sz w:val="28"/>
          <w:szCs w:val="28"/>
          <w:highlight w:val="none"/>
          <w:u w:val="single"/>
        </w:rPr>
        <w:t xml:space="preserve">  </w:t>
      </w:r>
      <w:r>
        <w:rPr>
          <w:highlight w:val="none"/>
        </w:rPr>
        <w:t>日</w:t>
      </w:r>
    </w:p>
    <w:p>
      <w:pPr>
        <w:snapToGrid w:val="0"/>
        <w:spacing w:line="360" w:lineRule="auto"/>
        <w:jc w:val="left"/>
        <w:rPr>
          <w:rFonts w:hint="eastAsia"/>
          <w:highlight w:val="none"/>
        </w:rPr>
      </w:pPr>
    </w:p>
    <w:p>
      <w:pPr>
        <w:snapToGrid w:val="0"/>
        <w:spacing w:line="360" w:lineRule="auto"/>
        <w:jc w:val="left"/>
        <w:rPr>
          <w:rFonts w:hint="eastAsia"/>
          <w:highlight w:val="none"/>
        </w:rPr>
      </w:pPr>
      <w:r>
        <w:rPr>
          <w:rFonts w:hint="eastAsia"/>
          <w:highlight w:val="none"/>
        </w:rPr>
        <w:t>代理费汇款帐号:</w:t>
      </w:r>
    </w:p>
    <w:p>
      <w:pPr>
        <w:snapToGrid w:val="0"/>
        <w:spacing w:line="360" w:lineRule="auto"/>
        <w:ind w:firstLine="440" w:firstLineChars="200"/>
        <w:jc w:val="left"/>
        <w:rPr>
          <w:highlight w:val="none"/>
        </w:rPr>
      </w:pPr>
    </w:p>
    <w:p>
      <w:pPr>
        <w:widowControl/>
        <w:autoSpaceDE/>
        <w:autoSpaceDN/>
        <w:snapToGrid w:val="0"/>
        <w:spacing w:line="360" w:lineRule="auto"/>
        <w:ind w:firstLine="1320" w:firstLineChars="600"/>
        <w:jc w:val="left"/>
        <w:textAlignment w:val="auto"/>
        <w:rPr>
          <w:highlight w:val="none"/>
        </w:rPr>
      </w:pPr>
      <w:r>
        <w:rPr>
          <w:highlight w:val="none"/>
        </w:rPr>
        <w:t>收款单位（户名）：杭州中乙信息科技咨询有限公司</w:t>
      </w:r>
    </w:p>
    <w:p>
      <w:pPr>
        <w:snapToGrid w:val="0"/>
        <w:spacing w:line="360" w:lineRule="auto"/>
        <w:ind w:firstLine="1320" w:firstLineChars="600"/>
        <w:rPr>
          <w:highlight w:val="none"/>
        </w:rPr>
      </w:pPr>
      <w:r>
        <w:rPr>
          <w:highlight w:val="none"/>
        </w:rPr>
        <w:t>开户银行：招商银行股份有限公司杭州之江支行</w:t>
      </w:r>
    </w:p>
    <w:p>
      <w:pPr>
        <w:widowControl/>
        <w:autoSpaceDE/>
        <w:autoSpaceDN/>
        <w:snapToGrid w:val="0"/>
        <w:spacing w:line="360" w:lineRule="auto"/>
        <w:ind w:firstLine="1320" w:firstLineChars="600"/>
        <w:jc w:val="left"/>
        <w:textAlignment w:val="auto"/>
        <w:rPr>
          <w:rFonts w:hint="eastAsia"/>
          <w:szCs w:val="22"/>
          <w:highlight w:val="none"/>
        </w:rPr>
      </w:pPr>
      <w:r>
        <w:rPr>
          <w:szCs w:val="22"/>
          <w:highlight w:val="none"/>
        </w:rPr>
        <w:t>银行账号：571907541610902</w:t>
      </w:r>
    </w:p>
    <w:p>
      <w:pPr>
        <w:spacing w:before="100" w:beforeAutospacing="1" w:after="100" w:afterAutospacing="1" w:line="480" w:lineRule="exact"/>
        <w:rPr>
          <w:b/>
          <w:szCs w:val="22"/>
          <w:highlight w:val="none"/>
        </w:rPr>
      </w:pPr>
      <w:r>
        <w:rPr>
          <w:b/>
          <w:szCs w:val="22"/>
          <w:highlight w:val="none"/>
        </w:rPr>
        <w:br w:type="page"/>
      </w:r>
      <w:r>
        <w:rPr>
          <w:b/>
          <w:szCs w:val="22"/>
          <w:highlight w:val="none"/>
        </w:rPr>
        <w:t>1</w:t>
      </w:r>
      <w:r>
        <w:rPr>
          <w:rFonts w:hint="eastAsia"/>
          <w:b/>
          <w:szCs w:val="22"/>
          <w:highlight w:val="none"/>
          <w:lang w:val="en-US" w:eastAsia="zh-CN"/>
        </w:rPr>
        <w:t>9</w:t>
      </w:r>
      <w:r>
        <w:rPr>
          <w:b/>
          <w:szCs w:val="22"/>
          <w:highlight w:val="none"/>
        </w:rPr>
        <w:t>、开标一览表:</w:t>
      </w:r>
    </w:p>
    <w:p>
      <w:pPr>
        <w:ind w:left="565" w:leftChars="257" w:firstLine="2319" w:firstLineChars="525"/>
        <w:rPr>
          <w:b/>
          <w:sz w:val="44"/>
          <w:szCs w:val="44"/>
          <w:highlight w:val="none"/>
        </w:rPr>
      </w:pPr>
      <w:r>
        <w:rPr>
          <w:b/>
          <w:sz w:val="44"/>
          <w:szCs w:val="44"/>
          <w:highlight w:val="none"/>
        </w:rPr>
        <w:t>开 标 一 览 表</w:t>
      </w:r>
    </w:p>
    <w:p>
      <w:pPr>
        <w:ind w:left="565" w:leftChars="257" w:firstLine="1063" w:firstLineChars="294"/>
        <w:rPr>
          <w:b/>
          <w:sz w:val="36"/>
          <w:szCs w:val="36"/>
          <w:highlight w:val="none"/>
        </w:rPr>
      </w:pPr>
    </w:p>
    <w:p>
      <w:pPr>
        <w:spacing w:after="120" w:afterLines="50" w:line="540" w:lineRule="exact"/>
        <w:ind w:left="539" w:firstLine="28"/>
        <w:rPr>
          <w:szCs w:val="24"/>
          <w:highlight w:val="none"/>
        </w:rPr>
      </w:pPr>
      <w:r>
        <w:rPr>
          <w:szCs w:val="24"/>
          <w:highlight w:val="none"/>
        </w:rPr>
        <w:t>供应商名称：</w:t>
      </w:r>
      <w:r>
        <w:rPr>
          <w:szCs w:val="24"/>
          <w:highlight w:val="none"/>
          <w:u w:val="single"/>
        </w:rPr>
        <w:t xml:space="preserve">                          </w:t>
      </w:r>
      <w:r>
        <w:rPr>
          <w:szCs w:val="24"/>
          <w:highlight w:val="none"/>
        </w:rPr>
        <w:t xml:space="preserve"> </w:t>
      </w:r>
      <w:r>
        <w:rPr>
          <w:spacing w:val="20"/>
          <w:szCs w:val="24"/>
          <w:highlight w:val="none"/>
        </w:rPr>
        <w:t xml:space="preserve">  </w:t>
      </w:r>
      <w:r>
        <w:rPr>
          <w:szCs w:val="24"/>
          <w:highlight w:val="none"/>
        </w:rPr>
        <w:t xml:space="preserve">           </w:t>
      </w:r>
    </w:p>
    <w:p>
      <w:pPr>
        <w:spacing w:after="120" w:afterLines="50" w:line="540" w:lineRule="exact"/>
        <w:ind w:left="539" w:firstLine="28"/>
        <w:rPr>
          <w:spacing w:val="20"/>
          <w:szCs w:val="24"/>
          <w:highlight w:val="none"/>
          <w:u w:val="single"/>
        </w:rPr>
      </w:pPr>
      <w:r>
        <w:rPr>
          <w:rFonts w:hint="eastAsia"/>
          <w:spacing w:val="20"/>
          <w:szCs w:val="24"/>
          <w:highlight w:val="none"/>
        </w:rPr>
        <w:t>采购编号：</w:t>
      </w:r>
      <w:r>
        <w:rPr>
          <w:spacing w:val="20"/>
          <w:szCs w:val="24"/>
          <w:highlight w:val="none"/>
          <w:u w:val="single"/>
        </w:rPr>
        <w:t xml:space="preserve">                       </w:t>
      </w:r>
    </w:p>
    <w:tbl>
      <w:tblPr>
        <w:tblStyle w:val="1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71"/>
        <w:gridCol w:w="1759"/>
        <w:gridCol w:w="1896"/>
        <w:gridCol w:w="189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2971" w:type="dxa"/>
            <w:noWrap w:val="0"/>
            <w:vAlign w:val="center"/>
          </w:tcPr>
          <w:p>
            <w:pPr>
              <w:spacing w:line="540" w:lineRule="exact"/>
              <w:jc w:val="center"/>
              <w:rPr>
                <w:szCs w:val="24"/>
                <w:highlight w:val="none"/>
              </w:rPr>
            </w:pPr>
            <w:r>
              <w:rPr>
                <w:szCs w:val="24"/>
                <w:highlight w:val="none"/>
              </w:rPr>
              <w:t>项目名称</w:t>
            </w:r>
          </w:p>
        </w:tc>
        <w:tc>
          <w:tcPr>
            <w:tcW w:w="1759" w:type="dxa"/>
            <w:noWrap w:val="0"/>
            <w:vAlign w:val="center"/>
          </w:tcPr>
          <w:p>
            <w:pPr>
              <w:spacing w:line="540" w:lineRule="exact"/>
              <w:jc w:val="center"/>
              <w:rPr>
                <w:szCs w:val="24"/>
                <w:highlight w:val="none"/>
              </w:rPr>
            </w:pPr>
            <w:r>
              <w:rPr>
                <w:szCs w:val="24"/>
                <w:highlight w:val="none"/>
              </w:rPr>
              <w:t>投标总报价</w:t>
            </w:r>
          </w:p>
        </w:tc>
        <w:tc>
          <w:tcPr>
            <w:tcW w:w="1896" w:type="dxa"/>
            <w:noWrap w:val="0"/>
            <w:vAlign w:val="center"/>
          </w:tcPr>
          <w:p>
            <w:pPr>
              <w:spacing w:line="540" w:lineRule="exact"/>
              <w:jc w:val="center"/>
              <w:rPr>
                <w:szCs w:val="24"/>
                <w:highlight w:val="none"/>
              </w:rPr>
            </w:pPr>
            <w:r>
              <w:rPr>
                <w:szCs w:val="24"/>
                <w:highlight w:val="none"/>
              </w:rPr>
              <w:t>项目完成时间</w:t>
            </w:r>
          </w:p>
        </w:tc>
        <w:tc>
          <w:tcPr>
            <w:tcW w:w="1894" w:type="dxa"/>
            <w:noWrap w:val="0"/>
            <w:vAlign w:val="center"/>
          </w:tcPr>
          <w:p>
            <w:pPr>
              <w:spacing w:line="540" w:lineRule="exact"/>
              <w:jc w:val="center"/>
              <w:rPr>
                <w:szCs w:val="24"/>
                <w:highlight w:val="none"/>
              </w:rPr>
            </w:pPr>
            <w:r>
              <w:rPr>
                <w:szCs w:val="24"/>
                <w:highlight w:val="none"/>
              </w:rPr>
              <w:t>项目负责人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jc w:val="center"/>
        </w:trPr>
        <w:tc>
          <w:tcPr>
            <w:tcW w:w="2971" w:type="dxa"/>
            <w:noWrap w:val="0"/>
            <w:vAlign w:val="center"/>
          </w:tcPr>
          <w:p>
            <w:pPr>
              <w:spacing w:line="540" w:lineRule="exact"/>
              <w:jc w:val="center"/>
              <w:rPr>
                <w:rFonts w:hint="eastAsia"/>
                <w:szCs w:val="24"/>
                <w:highlight w:val="none"/>
              </w:rPr>
            </w:pPr>
            <w:r>
              <w:rPr>
                <w:rFonts w:hint="eastAsia"/>
                <w:szCs w:val="24"/>
                <w:highlight w:val="none"/>
                <w:lang w:eastAsia="zh-CN"/>
              </w:rPr>
              <w:t>兰溪市第一次水旱灾害风险普查项目</w:t>
            </w:r>
          </w:p>
        </w:tc>
        <w:tc>
          <w:tcPr>
            <w:tcW w:w="1759" w:type="dxa"/>
            <w:noWrap w:val="0"/>
            <w:vAlign w:val="top"/>
          </w:tcPr>
          <w:p>
            <w:pPr>
              <w:spacing w:line="540" w:lineRule="exact"/>
              <w:rPr>
                <w:szCs w:val="24"/>
                <w:highlight w:val="none"/>
              </w:rPr>
            </w:pPr>
          </w:p>
        </w:tc>
        <w:tc>
          <w:tcPr>
            <w:tcW w:w="1896" w:type="dxa"/>
            <w:noWrap w:val="0"/>
            <w:vAlign w:val="top"/>
          </w:tcPr>
          <w:p>
            <w:pPr>
              <w:spacing w:line="540" w:lineRule="exact"/>
              <w:rPr>
                <w:szCs w:val="24"/>
                <w:highlight w:val="none"/>
              </w:rPr>
            </w:pPr>
          </w:p>
        </w:tc>
        <w:tc>
          <w:tcPr>
            <w:tcW w:w="1894" w:type="dxa"/>
            <w:noWrap w:val="0"/>
            <w:vAlign w:val="top"/>
          </w:tcPr>
          <w:p>
            <w:pPr>
              <w:spacing w:line="540" w:lineRule="exact"/>
              <w:rPr>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40" w:hRule="atLeast"/>
          <w:jc w:val="center"/>
        </w:trPr>
        <w:tc>
          <w:tcPr>
            <w:tcW w:w="2971" w:type="dxa"/>
            <w:noWrap w:val="0"/>
            <w:vAlign w:val="center"/>
          </w:tcPr>
          <w:p>
            <w:pPr>
              <w:spacing w:line="540" w:lineRule="exact"/>
              <w:jc w:val="center"/>
              <w:rPr>
                <w:szCs w:val="24"/>
                <w:highlight w:val="none"/>
              </w:rPr>
            </w:pPr>
            <w:r>
              <w:rPr>
                <w:szCs w:val="24"/>
                <w:highlight w:val="none"/>
              </w:rPr>
              <w:t>大  写：</w:t>
            </w:r>
          </w:p>
        </w:tc>
        <w:tc>
          <w:tcPr>
            <w:tcW w:w="5549" w:type="dxa"/>
            <w:gridSpan w:val="3"/>
            <w:noWrap w:val="0"/>
            <w:vAlign w:val="top"/>
          </w:tcPr>
          <w:p>
            <w:pPr>
              <w:spacing w:line="540" w:lineRule="exact"/>
              <w:rPr>
                <w:szCs w:val="24"/>
                <w:highlight w:val="none"/>
              </w:rPr>
            </w:pPr>
          </w:p>
        </w:tc>
      </w:tr>
    </w:tbl>
    <w:p>
      <w:pPr>
        <w:spacing w:line="480" w:lineRule="exact"/>
        <w:ind w:firstLine="3570" w:firstLineChars="1700"/>
        <w:rPr>
          <w:sz w:val="21"/>
          <w:szCs w:val="21"/>
          <w:highlight w:val="none"/>
        </w:rPr>
      </w:pPr>
      <w:r>
        <w:rPr>
          <w:sz w:val="21"/>
          <w:szCs w:val="21"/>
          <w:highlight w:val="none"/>
        </w:rPr>
        <w:t>法人代表或授权代表（签名或盖章）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ind w:firstLine="3570" w:firstLineChars="1700"/>
        <w:rPr>
          <w:sz w:val="21"/>
          <w:szCs w:val="21"/>
          <w:highlight w:val="none"/>
          <w:u w:val="single"/>
        </w:rPr>
      </w:pPr>
      <w:r>
        <w:rPr>
          <w:sz w:val="21"/>
          <w:szCs w:val="21"/>
          <w:highlight w:val="none"/>
        </w:rPr>
        <w:t>投标供应商（盖章）</w:t>
      </w:r>
      <w:r>
        <w:rPr>
          <w:rFonts w:hint="eastAsia"/>
          <w:sz w:val="21"/>
          <w:szCs w:val="21"/>
          <w:highlight w:val="none"/>
        </w:rPr>
        <w:t>：</w:t>
      </w:r>
      <w:r>
        <w:rPr>
          <w:sz w:val="21"/>
          <w:szCs w:val="21"/>
          <w:highlight w:val="none"/>
          <w:u w:val="single"/>
        </w:rPr>
        <w:t xml:space="preserve">                        </w:t>
      </w:r>
    </w:p>
    <w:p>
      <w:pPr>
        <w:spacing w:line="360" w:lineRule="auto"/>
        <w:ind w:firstLine="3570" w:firstLineChars="1700"/>
        <w:rPr>
          <w:sz w:val="21"/>
          <w:szCs w:val="21"/>
          <w:highlight w:val="none"/>
        </w:rPr>
      </w:pPr>
      <w:r>
        <w:rPr>
          <w:sz w:val="21"/>
          <w:szCs w:val="21"/>
          <w:highlight w:val="none"/>
        </w:rPr>
        <w:t>日  期：</w:t>
      </w:r>
      <w:r>
        <w:rPr>
          <w:sz w:val="21"/>
          <w:szCs w:val="21"/>
          <w:highlight w:val="none"/>
          <w:u w:val="single"/>
        </w:rPr>
        <w:t xml:space="preserve">             </w:t>
      </w:r>
      <w:r>
        <w:rPr>
          <w:sz w:val="21"/>
          <w:szCs w:val="21"/>
          <w:highlight w:val="none"/>
        </w:rPr>
        <w:t>年</w:t>
      </w:r>
      <w:r>
        <w:rPr>
          <w:sz w:val="21"/>
          <w:szCs w:val="21"/>
          <w:highlight w:val="none"/>
          <w:u w:val="single"/>
        </w:rPr>
        <w:t xml:space="preserve">     </w:t>
      </w:r>
      <w:r>
        <w:rPr>
          <w:sz w:val="21"/>
          <w:szCs w:val="21"/>
          <w:highlight w:val="none"/>
        </w:rPr>
        <w:t>月</w:t>
      </w:r>
      <w:r>
        <w:rPr>
          <w:sz w:val="21"/>
          <w:szCs w:val="21"/>
          <w:highlight w:val="none"/>
          <w:u w:val="single"/>
        </w:rPr>
        <w:t xml:space="preserve">     </w:t>
      </w:r>
      <w:r>
        <w:rPr>
          <w:sz w:val="21"/>
          <w:szCs w:val="21"/>
          <w:highlight w:val="none"/>
        </w:rPr>
        <w:t>日</w:t>
      </w:r>
    </w:p>
    <w:p>
      <w:pPr>
        <w:spacing w:before="240" w:beforeLines="100" w:line="540" w:lineRule="exact"/>
        <w:ind w:left="539" w:firstLine="28"/>
        <w:rPr>
          <w:szCs w:val="24"/>
          <w:highlight w:val="none"/>
        </w:rPr>
      </w:pPr>
      <w:r>
        <w:rPr>
          <w:szCs w:val="24"/>
          <w:highlight w:val="none"/>
        </w:rPr>
        <w:t>备注：</w:t>
      </w:r>
    </w:p>
    <w:p>
      <w:pPr>
        <w:spacing w:line="540" w:lineRule="exact"/>
        <w:ind w:left="539" w:firstLine="28"/>
        <w:rPr>
          <w:bCs/>
          <w:szCs w:val="24"/>
          <w:highlight w:val="none"/>
        </w:rPr>
      </w:pPr>
      <w:r>
        <w:rPr>
          <w:bCs/>
          <w:szCs w:val="24"/>
          <w:highlight w:val="none"/>
        </w:rPr>
        <w:t>▲1、本项目最高限价：</w:t>
      </w:r>
      <w:r>
        <w:rPr>
          <w:rFonts w:hint="eastAsia"/>
          <w:bCs/>
          <w:szCs w:val="24"/>
          <w:highlight w:val="none"/>
          <w:lang w:val="en-US" w:eastAsia="zh-CN"/>
        </w:rPr>
        <w:t>4000000.00</w:t>
      </w:r>
      <w:r>
        <w:rPr>
          <w:bCs/>
          <w:szCs w:val="24"/>
          <w:highlight w:val="none"/>
        </w:rPr>
        <w:t>元。</w:t>
      </w:r>
    </w:p>
    <w:p>
      <w:pPr>
        <w:spacing w:line="540" w:lineRule="exact"/>
        <w:ind w:left="539" w:firstLine="28"/>
        <w:rPr>
          <w:szCs w:val="24"/>
          <w:highlight w:val="none"/>
        </w:rPr>
      </w:pPr>
      <w:r>
        <w:rPr>
          <w:szCs w:val="24"/>
          <w:highlight w:val="none"/>
        </w:rPr>
        <w:t>2、公开招标实行一次性报价，投标价即为最终有效价。</w:t>
      </w:r>
    </w:p>
    <w:p>
      <w:pPr>
        <w:spacing w:line="540" w:lineRule="exact"/>
        <w:ind w:left="539" w:firstLine="28"/>
        <w:rPr>
          <w:szCs w:val="24"/>
          <w:highlight w:val="none"/>
        </w:rPr>
      </w:pPr>
      <w:r>
        <w:rPr>
          <w:szCs w:val="24"/>
          <w:highlight w:val="none"/>
        </w:rPr>
        <w:t>3、报价表格式按此制，还需提供投标报价明细表。</w:t>
      </w:r>
    </w:p>
    <w:p>
      <w:pPr>
        <w:spacing w:line="540" w:lineRule="exact"/>
        <w:ind w:left="539" w:firstLine="28"/>
        <w:rPr>
          <w:szCs w:val="24"/>
          <w:highlight w:val="none"/>
        </w:rPr>
      </w:pPr>
    </w:p>
    <w:p>
      <w:pPr>
        <w:ind w:left="495" w:leftChars="225" w:firstLine="2118" w:firstLineChars="706"/>
        <w:rPr>
          <w:sz w:val="30"/>
          <w:szCs w:val="30"/>
          <w:highlight w:val="none"/>
        </w:rPr>
      </w:pPr>
    </w:p>
    <w:p>
      <w:pPr>
        <w:ind w:left="495" w:leftChars="225" w:firstLine="2118" w:firstLineChars="706"/>
        <w:rPr>
          <w:sz w:val="30"/>
          <w:szCs w:val="30"/>
          <w:highlight w:val="none"/>
        </w:rPr>
      </w:pPr>
    </w:p>
    <w:p>
      <w:pPr>
        <w:ind w:left="495" w:leftChars="225" w:firstLine="3300" w:firstLineChars="747"/>
        <w:rPr>
          <w:b/>
          <w:bCs/>
          <w:sz w:val="44"/>
          <w:highlight w:val="none"/>
        </w:rPr>
      </w:pPr>
    </w:p>
    <w:p>
      <w:pPr>
        <w:pStyle w:val="11"/>
        <w:rPr>
          <w:highlight w:val="none"/>
        </w:rPr>
      </w:pPr>
    </w:p>
    <w:p>
      <w:pPr>
        <w:ind w:left="495" w:leftChars="225" w:firstLine="3300" w:firstLineChars="747"/>
        <w:rPr>
          <w:b/>
          <w:bCs/>
          <w:sz w:val="44"/>
          <w:highlight w:val="none"/>
        </w:rPr>
      </w:pPr>
    </w:p>
    <w:p>
      <w:pPr>
        <w:pStyle w:val="26"/>
        <w:rPr>
          <w:rFonts w:ascii="Times New Roman" w:hAnsi="Times New Roman"/>
          <w:b/>
          <w:bCs/>
          <w:sz w:val="44"/>
          <w:highlight w:val="none"/>
          <w:lang w:eastAsia="zh-CN"/>
        </w:rPr>
      </w:pPr>
    </w:p>
    <w:p>
      <w:pPr>
        <w:spacing w:line="540" w:lineRule="exact"/>
        <w:rPr>
          <w:szCs w:val="24"/>
          <w:highlight w:val="none"/>
        </w:rPr>
      </w:pPr>
      <w:r>
        <w:rPr>
          <w:szCs w:val="24"/>
          <w:highlight w:val="none"/>
        </w:rPr>
        <w:br w:type="page"/>
      </w:r>
      <w:r>
        <w:rPr>
          <w:szCs w:val="24"/>
          <w:highlight w:val="none"/>
        </w:rPr>
        <w:t>1</w:t>
      </w:r>
      <w:r>
        <w:rPr>
          <w:rFonts w:hint="eastAsia"/>
          <w:szCs w:val="24"/>
          <w:highlight w:val="none"/>
          <w:lang w:val="en-US" w:eastAsia="zh-CN"/>
        </w:rPr>
        <w:t>9</w:t>
      </w:r>
      <w:r>
        <w:rPr>
          <w:szCs w:val="24"/>
          <w:highlight w:val="none"/>
        </w:rPr>
        <w:t xml:space="preserve">.1 投标报价明细表格式 </w:t>
      </w:r>
    </w:p>
    <w:p>
      <w:pPr>
        <w:ind w:left="565" w:leftChars="257" w:firstLine="2920" w:firstLineChars="808"/>
        <w:rPr>
          <w:b/>
          <w:sz w:val="36"/>
          <w:highlight w:val="none"/>
        </w:rPr>
      </w:pPr>
      <w:r>
        <w:rPr>
          <w:b/>
          <w:sz w:val="36"/>
          <w:highlight w:val="none"/>
        </w:rPr>
        <w:t>投标报价明细表</w:t>
      </w:r>
    </w:p>
    <w:p>
      <w:pPr>
        <w:ind w:left="565" w:leftChars="257" w:firstLine="2920" w:firstLineChars="808"/>
        <w:rPr>
          <w:highlight w:val="none"/>
        </w:rPr>
      </w:pPr>
      <w:r>
        <w:rPr>
          <w:b/>
          <w:sz w:val="36"/>
          <w:highlight w:val="none"/>
        </w:rPr>
        <w:t xml:space="preserve">                </w:t>
      </w:r>
      <w:r>
        <w:rPr>
          <w:szCs w:val="24"/>
          <w:highlight w:val="none"/>
        </w:rPr>
        <w:t>金额单位：人民币（元）</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3434"/>
        <w:gridCol w:w="1000"/>
        <w:gridCol w:w="1283"/>
        <w:gridCol w:w="22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140" w:type="dxa"/>
            <w:noWrap w:val="0"/>
            <w:vAlign w:val="center"/>
          </w:tcPr>
          <w:p>
            <w:pPr>
              <w:snapToGrid w:val="0"/>
              <w:spacing w:line="240" w:lineRule="exact"/>
              <w:jc w:val="center"/>
              <w:rPr>
                <w:b/>
                <w:bCs/>
                <w:highlight w:val="none"/>
              </w:rPr>
            </w:pPr>
            <w:r>
              <w:rPr>
                <w:b/>
                <w:bCs/>
                <w:highlight w:val="none"/>
              </w:rPr>
              <w:t>序号</w:t>
            </w:r>
          </w:p>
        </w:tc>
        <w:tc>
          <w:tcPr>
            <w:tcW w:w="3434" w:type="dxa"/>
            <w:noWrap w:val="0"/>
            <w:vAlign w:val="center"/>
          </w:tcPr>
          <w:p>
            <w:pPr>
              <w:snapToGrid w:val="0"/>
              <w:spacing w:line="240" w:lineRule="exact"/>
              <w:jc w:val="center"/>
              <w:rPr>
                <w:b/>
                <w:bCs/>
                <w:highlight w:val="none"/>
              </w:rPr>
            </w:pPr>
            <w:r>
              <w:rPr>
                <w:b/>
                <w:bCs/>
                <w:highlight w:val="none"/>
              </w:rPr>
              <w:t>项目</w:t>
            </w:r>
          </w:p>
        </w:tc>
        <w:tc>
          <w:tcPr>
            <w:tcW w:w="1000" w:type="dxa"/>
            <w:noWrap w:val="0"/>
            <w:vAlign w:val="center"/>
          </w:tcPr>
          <w:p>
            <w:pPr>
              <w:snapToGrid w:val="0"/>
              <w:spacing w:line="240" w:lineRule="exact"/>
              <w:jc w:val="center"/>
              <w:rPr>
                <w:b/>
                <w:bCs/>
                <w:sz w:val="20"/>
                <w:highlight w:val="none"/>
              </w:rPr>
            </w:pPr>
            <w:r>
              <w:rPr>
                <w:b/>
                <w:bCs/>
                <w:sz w:val="20"/>
                <w:highlight w:val="none"/>
              </w:rPr>
              <w:t>数量</w:t>
            </w:r>
          </w:p>
        </w:tc>
        <w:tc>
          <w:tcPr>
            <w:tcW w:w="1283" w:type="dxa"/>
            <w:noWrap w:val="0"/>
            <w:vAlign w:val="center"/>
          </w:tcPr>
          <w:p>
            <w:pPr>
              <w:snapToGrid w:val="0"/>
              <w:spacing w:line="240" w:lineRule="exact"/>
              <w:jc w:val="center"/>
              <w:rPr>
                <w:b/>
                <w:bCs/>
                <w:sz w:val="20"/>
                <w:highlight w:val="none"/>
              </w:rPr>
            </w:pPr>
            <w:r>
              <w:rPr>
                <w:b/>
                <w:bCs/>
                <w:sz w:val="20"/>
                <w:highlight w:val="none"/>
              </w:rPr>
              <w:t>合价</w:t>
            </w:r>
          </w:p>
        </w:tc>
        <w:tc>
          <w:tcPr>
            <w:tcW w:w="2222" w:type="dxa"/>
            <w:noWrap w:val="0"/>
            <w:vAlign w:val="center"/>
          </w:tcPr>
          <w:p>
            <w:pPr>
              <w:snapToGrid w:val="0"/>
              <w:spacing w:line="240" w:lineRule="exact"/>
              <w:jc w:val="center"/>
              <w:rPr>
                <w:b/>
                <w:bCs/>
                <w:sz w:val="20"/>
                <w:highlight w:val="none"/>
              </w:rPr>
            </w:pPr>
            <w:r>
              <w:rPr>
                <w:b/>
                <w:bCs/>
                <w:sz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b/>
                <w:i w:val="0"/>
                <w:color w:val="000000"/>
                <w:kern w:val="0"/>
                <w:sz w:val="21"/>
                <w:szCs w:val="21"/>
                <w:highlight w:val="none"/>
                <w:u w:val="none"/>
                <w:lang w:val="en-US" w:eastAsia="zh-CN" w:bidi="ar"/>
              </w:rPr>
              <w:t>一</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b/>
                <w:i w:val="0"/>
                <w:color w:val="000000"/>
                <w:kern w:val="0"/>
                <w:sz w:val="21"/>
                <w:szCs w:val="21"/>
                <w:highlight w:val="none"/>
                <w:u w:val="none"/>
                <w:lang w:val="en-US" w:eastAsia="zh-CN" w:bidi="ar"/>
              </w:rPr>
              <w:t>水旱灾害风险普查</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
                <w:bCs/>
                <w:sz w:val="20"/>
                <w:highlight w:val="none"/>
              </w:rPr>
            </w:pPr>
          </w:p>
        </w:tc>
        <w:tc>
          <w:tcPr>
            <w:tcW w:w="1283" w:type="dxa"/>
            <w:noWrap w:val="0"/>
            <w:tcMar>
              <w:left w:w="142" w:type="dxa"/>
              <w:right w:w="57" w:type="dxa"/>
            </w:tcMar>
            <w:vAlign w:val="center"/>
          </w:tcPr>
          <w:p>
            <w:pPr>
              <w:snapToGrid w:val="0"/>
              <w:spacing w:line="240" w:lineRule="exact"/>
              <w:rPr>
                <w:b/>
                <w:bCs/>
                <w:sz w:val="20"/>
                <w:highlight w:val="none"/>
              </w:rPr>
            </w:pPr>
          </w:p>
        </w:tc>
        <w:tc>
          <w:tcPr>
            <w:tcW w:w="2222" w:type="dxa"/>
            <w:noWrap w:val="0"/>
            <w:tcMar>
              <w:left w:w="284" w:type="dxa"/>
              <w:right w:w="142" w:type="dxa"/>
            </w:tcMar>
            <w:vAlign w:val="center"/>
          </w:tcPr>
          <w:p>
            <w:pPr>
              <w:snapToGrid w:val="0"/>
              <w:spacing w:line="240" w:lineRule="exact"/>
              <w:rPr>
                <w:b/>
                <w:bCs/>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（一）</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水旱灾害致灾调查与评估</w:t>
            </w:r>
          </w:p>
        </w:tc>
        <w:tc>
          <w:tcPr>
            <w:tcW w:w="1000" w:type="dxa"/>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干旱灾害致灾调查</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县级行政区干旱灾害致灾调查</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含调查技术服务、 </w:t>
            </w:r>
          </w:p>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成果报告编制、专 </w:t>
            </w:r>
          </w:p>
          <w:p>
            <w:pPr>
              <w:snapToGrid w:val="0"/>
              <w:spacing w:line="240" w:lineRule="exact"/>
              <w:jc w:val="center"/>
              <w:rPr>
                <w:rFonts w:hint="eastAsia"/>
                <w:sz w:val="20"/>
                <w:highlight w:val="none"/>
                <w:lang w:val="en-US" w:eastAsia="zh-CN"/>
              </w:rPr>
            </w:pPr>
            <w:r>
              <w:rPr>
                <w:rFonts w:hint="eastAsia"/>
                <w:sz w:val="20"/>
                <w:highlight w:val="none"/>
                <w:lang w:val="en-US" w:eastAsia="zh-CN"/>
              </w:rPr>
              <w:t>家咨询等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（二）</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洪水灾害隐患调查与评估</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水利工程洪水灾害隐患调查</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含调查技术服务、 </w:t>
            </w:r>
          </w:p>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成果报告编制、专 </w:t>
            </w:r>
          </w:p>
          <w:p>
            <w:pPr>
              <w:snapToGrid w:val="0"/>
              <w:spacing w:line="240" w:lineRule="exact"/>
              <w:jc w:val="center"/>
              <w:rPr>
                <w:rFonts w:hint="eastAsia"/>
                <w:sz w:val="20"/>
                <w:highlight w:val="none"/>
                <w:lang w:val="en-US" w:eastAsia="zh-CN"/>
              </w:rPr>
            </w:pPr>
            <w:r>
              <w:rPr>
                <w:rFonts w:hint="eastAsia"/>
                <w:sz w:val="20"/>
                <w:highlight w:val="none"/>
                <w:lang w:val="en-US" w:eastAsia="zh-CN"/>
              </w:rPr>
              <w:t>家咨询等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2</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山丘区重点集镇山洪风险调查评估</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7</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含调查技术服务、 </w:t>
            </w:r>
          </w:p>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报告编制、差旅费 </w:t>
            </w:r>
          </w:p>
          <w:p>
            <w:pPr>
              <w:snapToGrid w:val="0"/>
              <w:spacing w:line="240" w:lineRule="exact"/>
              <w:jc w:val="center"/>
              <w:rPr>
                <w:rFonts w:hint="eastAsia"/>
                <w:sz w:val="20"/>
                <w:highlight w:val="none"/>
                <w:lang w:val="en-US" w:eastAsia="zh-CN"/>
              </w:rPr>
            </w:pPr>
            <w:r>
              <w:rPr>
                <w:rFonts w:hint="eastAsia"/>
                <w:sz w:val="20"/>
                <w:highlight w:val="no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3</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cs="宋体"/>
                <w:i w:val="0"/>
                <w:color w:val="000000"/>
                <w:kern w:val="0"/>
                <w:sz w:val="21"/>
                <w:szCs w:val="21"/>
                <w:u w:val="none"/>
                <w:lang w:val="en-US" w:eastAsia="zh-CN" w:bidi="ar"/>
              </w:rPr>
              <w:t>其</w:t>
            </w:r>
            <w:r>
              <w:rPr>
                <w:rFonts w:hint="eastAsia" w:ascii="宋体" w:hAnsi="宋体" w:eastAsia="宋体" w:cs="宋体"/>
                <w:i w:val="0"/>
                <w:color w:val="000000"/>
                <w:kern w:val="0"/>
                <w:sz w:val="21"/>
                <w:szCs w:val="21"/>
                <w:highlight w:val="none"/>
                <w:u w:val="none"/>
                <w:lang w:val="en-US" w:eastAsia="zh-CN" w:bidi="ar"/>
              </w:rPr>
              <w:t>余乡镇街道山丘区重点集镇山洪风险调查评估与复核评价</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9</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含调查技术服务、 </w:t>
            </w:r>
          </w:p>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报告编制、差旅费 </w:t>
            </w:r>
          </w:p>
          <w:p>
            <w:pPr>
              <w:snapToGrid w:val="0"/>
              <w:spacing w:line="240" w:lineRule="exact"/>
              <w:jc w:val="center"/>
              <w:rPr>
                <w:rFonts w:hint="eastAsia"/>
                <w:sz w:val="20"/>
                <w:highlight w:val="none"/>
                <w:lang w:val="en-US" w:eastAsia="zh-CN"/>
              </w:rPr>
            </w:pPr>
            <w:r>
              <w:rPr>
                <w:rFonts w:hint="eastAsia"/>
                <w:sz w:val="20"/>
                <w:highlight w:val="no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（三）</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水旱灾害风险评估与区划</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洪水灾害风险评估及区划</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b/>
                <w:bCs/>
                <w:sz w:val="20"/>
                <w:highlight w:val="none"/>
              </w:rPr>
            </w:pPr>
          </w:p>
        </w:tc>
        <w:tc>
          <w:tcPr>
            <w:tcW w:w="2222" w:type="dxa"/>
            <w:noWrap w:val="0"/>
            <w:tcMar>
              <w:left w:w="284" w:type="dxa"/>
              <w:right w:w="142" w:type="dxa"/>
            </w:tcMar>
            <w:vAlign w:val="center"/>
          </w:tcPr>
          <w:p>
            <w:pPr>
              <w:snapToGrid w:val="0"/>
              <w:spacing w:line="240" w:lineRule="exact"/>
              <w:rPr>
                <w:b/>
                <w:bCs/>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ascii="宋体" w:hAnsi="宋体" w:eastAsia="宋体" w:cs="宋体"/>
                <w:i w:val="0"/>
                <w:color w:val="000000"/>
                <w:kern w:val="0"/>
                <w:sz w:val="21"/>
                <w:szCs w:val="21"/>
                <w:highlight w:val="none"/>
                <w:u w:val="none"/>
                <w:lang w:val="en-US" w:eastAsia="zh-CN" w:bidi="ar"/>
              </w:rPr>
              <w:t>山丘区中小河流洪水淹没图</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b/>
                <w:bCs/>
                <w:sz w:val="20"/>
                <w:highlight w:val="none"/>
              </w:rPr>
            </w:pPr>
          </w:p>
        </w:tc>
        <w:tc>
          <w:tcPr>
            <w:tcW w:w="2222" w:type="dxa"/>
            <w:noWrap w:val="0"/>
            <w:tcMar>
              <w:left w:w="284" w:type="dxa"/>
              <w:right w:w="142" w:type="dxa"/>
            </w:tcMar>
            <w:vAlign w:val="center"/>
          </w:tcPr>
          <w:p>
            <w:pPr>
              <w:snapToGrid w:val="0"/>
              <w:spacing w:line="240" w:lineRule="exact"/>
              <w:rPr>
                <w:b/>
                <w:bCs/>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①</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kern w:val="2"/>
                <w:sz w:val="21"/>
                <w:szCs w:val="21"/>
                <w:highlight w:val="none"/>
              </w:rPr>
            </w:pPr>
            <w:r>
              <w:rPr>
                <w:rFonts w:hint="eastAsia" w:cs="宋体"/>
                <w:i w:val="0"/>
                <w:color w:val="000000"/>
                <w:kern w:val="0"/>
                <w:sz w:val="21"/>
                <w:szCs w:val="21"/>
                <w:highlight w:val="none"/>
                <w:u w:val="none"/>
                <w:lang w:val="en-US" w:eastAsia="zh-CN" w:bidi="ar"/>
              </w:rPr>
              <w:t>兰溪市梅溪洪水淹没图</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1283" w:type="dxa"/>
            <w:noWrap w:val="0"/>
            <w:tcMar>
              <w:left w:w="142" w:type="dxa"/>
              <w:right w:w="57" w:type="dxa"/>
            </w:tcMar>
            <w:vAlign w:val="center"/>
          </w:tcPr>
          <w:p>
            <w:pPr>
              <w:snapToGrid w:val="0"/>
              <w:spacing w:line="240" w:lineRule="exact"/>
              <w:rPr>
                <w:b/>
                <w:bCs/>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含调查技术服务、成果资料编制等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（四）</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0"/>
                <w:highlight w:val="none"/>
              </w:rPr>
            </w:pPr>
            <w:r>
              <w:rPr>
                <w:rFonts w:hint="eastAsia" w:ascii="宋体" w:hAnsi="宋体" w:eastAsia="宋体" w:cs="宋体"/>
                <w:i w:val="0"/>
                <w:color w:val="000000"/>
                <w:kern w:val="0"/>
                <w:sz w:val="21"/>
                <w:szCs w:val="21"/>
                <w:highlight w:val="none"/>
                <w:u w:val="none"/>
                <w:lang w:val="en-US" w:eastAsia="zh-CN" w:bidi="ar"/>
              </w:rPr>
              <w:t>其他</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top"/>
              <w:rPr>
                <w:bCs/>
                <w:sz w:val="20"/>
                <w:highlight w:val="none"/>
              </w:rPr>
            </w:pPr>
            <w:r>
              <w:rPr>
                <w:rFonts w:hint="eastAsia" w:cs="宋体"/>
                <w:i w:val="0"/>
                <w:color w:val="000000"/>
                <w:kern w:val="0"/>
                <w:sz w:val="21"/>
                <w:szCs w:val="21"/>
                <w:u w:val="none"/>
                <w:lang w:val="en-US" w:eastAsia="zh-CN" w:bidi="ar"/>
              </w:rPr>
              <w:t>兰溪市</w:t>
            </w:r>
            <w:r>
              <w:rPr>
                <w:rFonts w:hint="eastAsia" w:ascii="宋体" w:hAnsi="宋体" w:cs="宋体"/>
                <w:i w:val="0"/>
                <w:color w:val="000000"/>
                <w:kern w:val="0"/>
                <w:sz w:val="21"/>
                <w:szCs w:val="21"/>
                <w:u w:val="none"/>
                <w:lang w:val="en-US" w:eastAsia="zh-CN" w:bidi="ar"/>
              </w:rPr>
              <w:t>水旱灾害风险普查培训</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含技术服务、培训 </w:t>
            </w:r>
          </w:p>
          <w:p>
            <w:pPr>
              <w:snapToGrid w:val="0"/>
              <w:spacing w:line="240" w:lineRule="exact"/>
              <w:jc w:val="center"/>
              <w:rPr>
                <w:rFonts w:hint="eastAsia"/>
                <w:sz w:val="20"/>
                <w:highlight w:val="none"/>
                <w:lang w:val="en-US" w:eastAsia="zh-CN"/>
              </w:rPr>
            </w:pPr>
            <w:r>
              <w:rPr>
                <w:rFonts w:hint="eastAsia"/>
                <w:sz w:val="20"/>
                <w:highlight w:val="no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b/>
                <w:bCs/>
                <w:i w:val="0"/>
                <w:color w:val="000000"/>
                <w:kern w:val="0"/>
                <w:sz w:val="21"/>
                <w:szCs w:val="21"/>
                <w:highlight w:val="none"/>
                <w:u w:val="none"/>
                <w:lang w:val="en-US" w:eastAsia="zh-CN" w:bidi="ar"/>
              </w:rPr>
              <w:t>二</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b/>
                <w:bCs/>
                <w:i w:val="0"/>
                <w:color w:val="000000"/>
                <w:kern w:val="0"/>
                <w:sz w:val="21"/>
                <w:szCs w:val="21"/>
                <w:highlight w:val="none"/>
                <w:u w:val="none"/>
                <w:lang w:val="en-US" w:eastAsia="zh-CN" w:bidi="ar"/>
              </w:rPr>
              <w:t>山洪灾害防治</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（一）</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i w:val="0"/>
                <w:color w:val="000000"/>
                <w:kern w:val="0"/>
                <w:sz w:val="21"/>
                <w:szCs w:val="21"/>
                <w:highlight w:val="none"/>
                <w:u w:val="none"/>
                <w:lang w:val="en-US" w:eastAsia="zh-CN" w:bidi="ar"/>
              </w:rPr>
              <w:t>补充调查评价</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i w:val="0"/>
                <w:color w:val="000000"/>
                <w:kern w:val="0"/>
                <w:sz w:val="21"/>
                <w:szCs w:val="21"/>
                <w:highlight w:val="none"/>
                <w:u w:val="none"/>
                <w:lang w:val="en-US" w:eastAsia="zh-CN" w:bidi="ar"/>
              </w:rPr>
              <w:t>沿河村落预警水位划定</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i w:val="0"/>
                <w:color w:val="000000"/>
                <w:kern w:val="0"/>
                <w:sz w:val="21"/>
                <w:szCs w:val="21"/>
                <w:highlight w:val="none"/>
                <w:u w:val="none"/>
                <w:lang w:val="en-US" w:eastAsia="zh-CN" w:bidi="ar"/>
              </w:rPr>
              <w:t>水位尺安装</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226</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含设计、材料、安 </w:t>
            </w:r>
          </w:p>
          <w:p>
            <w:pPr>
              <w:snapToGrid w:val="0"/>
              <w:spacing w:line="240" w:lineRule="exact"/>
              <w:jc w:val="center"/>
              <w:rPr>
                <w:rFonts w:hint="eastAsia"/>
                <w:sz w:val="20"/>
                <w:highlight w:val="none"/>
                <w:lang w:val="en-US" w:eastAsia="zh-CN"/>
              </w:rPr>
            </w:pPr>
            <w:r>
              <w:rPr>
                <w:rFonts w:hint="eastAsia"/>
                <w:sz w:val="20"/>
                <w:highlight w:val="none"/>
                <w:lang w:val="en-US" w:eastAsia="zh-CN"/>
              </w:rPr>
              <w:t>装费等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cs="宋体"/>
                <w:i w:val="0"/>
                <w:color w:val="000000"/>
                <w:kern w:val="0"/>
                <w:sz w:val="21"/>
                <w:szCs w:val="21"/>
                <w:highlight w:val="none"/>
                <w:u w:val="none"/>
                <w:lang w:val="en-US" w:eastAsia="zh-CN" w:bidi="ar"/>
              </w:rPr>
              <w:t>2</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i w:val="0"/>
                <w:color w:val="000000"/>
                <w:kern w:val="0"/>
                <w:sz w:val="21"/>
                <w:szCs w:val="21"/>
                <w:highlight w:val="none"/>
                <w:u w:val="none"/>
                <w:lang w:val="en-US" w:eastAsia="zh-CN" w:bidi="ar"/>
              </w:rPr>
              <w:t>危险区动态管理清单编制</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val="en-US" w:eastAsia="zh-CN"/>
              </w:rPr>
            </w:pPr>
            <w:r>
              <w:rPr>
                <w:rFonts w:hint="eastAsia"/>
                <w:sz w:val="20"/>
                <w:highlight w:val="none"/>
                <w:lang w:val="en-US" w:eastAsia="zh-CN"/>
              </w:rPr>
              <w:t xml:space="preserve">含印刷、专家咨询 </w:t>
            </w:r>
          </w:p>
          <w:p>
            <w:pPr>
              <w:snapToGrid w:val="0"/>
              <w:spacing w:line="240" w:lineRule="exact"/>
              <w:jc w:val="center"/>
              <w:rPr>
                <w:rFonts w:hint="eastAsia"/>
                <w:sz w:val="20"/>
                <w:highlight w:val="none"/>
                <w:lang w:val="en-US" w:eastAsia="zh-CN"/>
              </w:rPr>
            </w:pPr>
            <w:r>
              <w:rPr>
                <w:rFonts w:hint="eastAsia"/>
                <w:sz w:val="20"/>
                <w:highlight w:val="no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w:t>
            </w:r>
            <w:r>
              <w:rPr>
                <w:rFonts w:hint="eastAsia" w:cs="宋体"/>
                <w:i w:val="0"/>
                <w:color w:val="000000"/>
                <w:kern w:val="0"/>
                <w:sz w:val="21"/>
                <w:szCs w:val="21"/>
                <w:highlight w:val="none"/>
                <w:u w:val="none"/>
                <w:lang w:val="en-US" w:eastAsia="zh-CN" w:bidi="ar"/>
              </w:rPr>
              <w:t>二</w:t>
            </w:r>
            <w:r>
              <w:rPr>
                <w:rFonts w:hint="eastAsia" w:ascii="宋体" w:hAnsi="宋体" w:eastAsia="宋体" w:cs="宋体"/>
                <w:i w:val="0"/>
                <w:color w:val="000000"/>
                <w:kern w:val="0"/>
                <w:sz w:val="21"/>
                <w:szCs w:val="21"/>
                <w:highlight w:val="none"/>
                <w:u w:val="none"/>
                <w:lang w:val="en-US" w:eastAsia="zh-CN" w:bidi="ar"/>
              </w:rPr>
              <w:t>）</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i w:val="0"/>
                <w:color w:val="000000"/>
                <w:kern w:val="0"/>
                <w:sz w:val="21"/>
                <w:szCs w:val="21"/>
                <w:highlight w:val="none"/>
                <w:u w:val="none"/>
                <w:lang w:val="en-US" w:eastAsia="zh-CN" w:bidi="ar"/>
              </w:rPr>
              <w:t>群测群防体系</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rPr>
                <w:sz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cs="宋体"/>
                <w:i w:val="0"/>
                <w:color w:val="000000"/>
                <w:kern w:val="0"/>
                <w:sz w:val="21"/>
                <w:szCs w:val="21"/>
                <w:highlight w:val="none"/>
                <w:u w:val="none"/>
                <w:lang w:val="en-US" w:eastAsia="zh-CN" w:bidi="ar"/>
              </w:rPr>
              <w:t>山洪灾害防御指南</w:t>
            </w:r>
            <w:r>
              <w:rPr>
                <w:rFonts w:hint="eastAsia" w:ascii="宋体" w:hAnsi="宋体" w:eastAsia="宋体" w:cs="宋体"/>
                <w:i w:val="0"/>
                <w:color w:val="000000"/>
                <w:kern w:val="0"/>
                <w:sz w:val="21"/>
                <w:szCs w:val="21"/>
                <w:highlight w:val="none"/>
                <w:u w:val="none"/>
                <w:lang w:val="en-US" w:eastAsia="zh-CN" w:bidi="ar"/>
              </w:rPr>
              <w:t>编制</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r>
              <w:rPr>
                <w:rFonts w:hint="eastAsia"/>
                <w:sz w:val="20"/>
                <w:highlight w:val="none"/>
                <w:lang w:val="en-US" w:eastAsia="zh-CN"/>
              </w:rPr>
              <w:t xml:space="preserve">含印刷、专家咨询 </w:t>
            </w:r>
          </w:p>
          <w:p>
            <w:pPr>
              <w:snapToGrid w:val="0"/>
              <w:spacing w:line="240" w:lineRule="exact"/>
              <w:jc w:val="center"/>
              <w:rPr>
                <w:rFonts w:hint="eastAsia"/>
                <w:sz w:val="20"/>
                <w:highlight w:val="none"/>
                <w:lang w:eastAsia="zh-CN"/>
              </w:rPr>
            </w:pPr>
            <w:r>
              <w:rPr>
                <w:rFonts w:hint="eastAsia"/>
                <w:sz w:val="20"/>
                <w:highlight w:val="no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2</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ascii="宋体" w:hAnsi="宋体" w:eastAsia="宋体" w:cs="宋体"/>
                <w:i w:val="0"/>
                <w:color w:val="000000"/>
                <w:kern w:val="0"/>
                <w:sz w:val="21"/>
                <w:szCs w:val="21"/>
                <w:highlight w:val="none"/>
                <w:u w:val="none"/>
                <w:lang w:val="en-US" w:eastAsia="zh-CN" w:bidi="ar"/>
              </w:rPr>
              <w:t>声光电预警设备</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r>
              <w:rPr>
                <w:rFonts w:hint="eastAsia" w:cs="宋体"/>
                <w:i w:val="0"/>
                <w:color w:val="000000"/>
                <w:kern w:val="0"/>
                <w:sz w:val="21"/>
                <w:szCs w:val="21"/>
                <w:highlight w:val="none"/>
                <w:u w:val="none"/>
                <w:lang w:val="en-US" w:eastAsia="zh-CN" w:bidi="ar"/>
              </w:rPr>
              <w:t>9</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r>
              <w:rPr>
                <w:rFonts w:hint="eastAsia"/>
                <w:sz w:val="20"/>
                <w:highlight w:val="none"/>
                <w:lang w:val="en-US" w:eastAsia="zh-CN"/>
              </w:rPr>
              <w:t>设备采购、安装等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3</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cs="宋体"/>
                <w:i w:val="0"/>
                <w:color w:val="000000"/>
                <w:kern w:val="0"/>
                <w:sz w:val="21"/>
                <w:szCs w:val="21"/>
                <w:highlight w:val="none"/>
                <w:u w:val="none"/>
                <w:lang w:val="en-US" w:eastAsia="zh-CN" w:bidi="ar"/>
              </w:rPr>
              <w:t>宣传、培训、演练</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bCs/>
                <w:highlight w:val="none"/>
              </w:rPr>
            </w:pPr>
            <w:r>
              <w:rPr>
                <w:rFonts w:hint="eastAsia" w:cs="宋体"/>
                <w:i w:val="0"/>
                <w:color w:val="000000"/>
                <w:kern w:val="0"/>
                <w:sz w:val="21"/>
                <w:szCs w:val="21"/>
                <w:highlight w:val="none"/>
                <w:u w:val="none"/>
                <w:lang w:val="en-US" w:eastAsia="zh-CN" w:bidi="ar"/>
              </w:rPr>
              <w:t>标识标牌</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sz w:val="20"/>
                <w:highlight w:val="none"/>
              </w:rPr>
            </w:pP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①</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警示牌</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eastAsia="宋体"/>
                <w:sz w:val="20"/>
                <w:highlight w:val="none"/>
                <w:lang w:val="en-US" w:eastAsia="zh-CN"/>
              </w:rPr>
            </w:pPr>
            <w:r>
              <w:rPr>
                <w:rFonts w:hint="eastAsia"/>
                <w:sz w:val="20"/>
                <w:highlight w:val="none"/>
                <w:lang w:val="en-US" w:eastAsia="zh-CN"/>
              </w:rPr>
              <w:t>58</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r>
              <w:rPr>
                <w:rFonts w:hint="eastAsia"/>
                <w:sz w:val="20"/>
                <w:highlight w:val="none"/>
                <w:lang w:val="en-US" w:eastAsia="zh-CN"/>
              </w:rPr>
              <w:t>含设计、制作、安装等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②</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责任牌</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eastAsia="宋体"/>
                <w:sz w:val="20"/>
                <w:highlight w:val="none"/>
                <w:lang w:val="en-US" w:eastAsia="zh-CN"/>
              </w:rPr>
            </w:pPr>
            <w:r>
              <w:rPr>
                <w:rFonts w:hint="eastAsia"/>
                <w:sz w:val="20"/>
                <w:highlight w:val="none"/>
                <w:lang w:val="en-US" w:eastAsia="zh-CN"/>
              </w:rPr>
              <w:t>134</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r>
              <w:rPr>
                <w:rFonts w:hint="eastAsia"/>
                <w:sz w:val="20"/>
                <w:highlight w:val="none"/>
                <w:lang w:val="en-US" w:eastAsia="zh-CN"/>
              </w:rPr>
              <w:t>含设计、制作、安装等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（2）</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山洪灾害防御培训</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sz w:val="20"/>
                <w:highlight w:val="none"/>
                <w:lang w:val="en-US" w:eastAsia="zh-CN"/>
              </w:rPr>
            </w:pPr>
            <w:r>
              <w:rPr>
                <w:rFonts w:hint="eastAsia"/>
                <w:sz w:val="20"/>
                <w:highlight w:val="none"/>
                <w:lang w:val="en-US" w:eastAsia="zh-CN"/>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r>
              <w:rPr>
                <w:rFonts w:hint="eastAsia"/>
                <w:sz w:val="20"/>
                <w:highlight w:val="none"/>
                <w:lang w:val="en-US" w:eastAsia="zh-CN"/>
              </w:rPr>
              <w:t xml:space="preserve">含场地、资料、专 </w:t>
            </w:r>
          </w:p>
          <w:p>
            <w:pPr>
              <w:snapToGrid w:val="0"/>
              <w:spacing w:line="240" w:lineRule="exact"/>
              <w:jc w:val="center"/>
              <w:rPr>
                <w:rFonts w:hint="eastAsia"/>
                <w:sz w:val="20"/>
                <w:highlight w:val="none"/>
                <w:lang w:eastAsia="zh-CN"/>
              </w:rPr>
            </w:pPr>
            <w:r>
              <w:rPr>
                <w:rFonts w:hint="eastAsia"/>
                <w:sz w:val="20"/>
                <w:highlight w:val="none"/>
                <w:lang w:val="en-US" w:eastAsia="zh-CN"/>
              </w:rPr>
              <w:t>家咨询等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（3）</w:t>
            </w:r>
          </w:p>
        </w:tc>
        <w:tc>
          <w:tcPr>
            <w:tcW w:w="3434" w:type="dxa"/>
            <w:noWrap w:val="0"/>
            <w:tcMar>
              <w:left w:w="142" w:type="dxa"/>
              <w:right w:w="142"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s="宋体"/>
                <w:i w:val="0"/>
                <w:color w:val="000000"/>
                <w:kern w:val="0"/>
                <w:sz w:val="21"/>
                <w:szCs w:val="21"/>
                <w:highlight w:val="none"/>
                <w:u w:val="none"/>
                <w:lang w:val="en-US" w:eastAsia="zh-CN" w:bidi="ar"/>
              </w:rPr>
            </w:pPr>
            <w:r>
              <w:rPr>
                <w:rFonts w:hint="eastAsia" w:cs="宋体"/>
                <w:i w:val="0"/>
                <w:color w:val="000000"/>
                <w:kern w:val="0"/>
                <w:sz w:val="21"/>
                <w:szCs w:val="21"/>
                <w:highlight w:val="none"/>
                <w:u w:val="none"/>
                <w:lang w:val="en-US" w:eastAsia="zh-CN" w:bidi="ar"/>
              </w:rPr>
              <w:t>演练</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sz w:val="20"/>
                <w:highlight w:val="none"/>
                <w:lang w:val="en-US" w:eastAsia="zh-CN"/>
              </w:rPr>
            </w:pPr>
            <w:r>
              <w:rPr>
                <w:rFonts w:hint="eastAsia"/>
                <w:sz w:val="20"/>
                <w:highlight w:val="none"/>
                <w:lang w:val="en-US" w:eastAsia="zh-CN"/>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sz w:val="20"/>
                <w:highlight w:val="none"/>
                <w:lang w:eastAsia="zh-CN"/>
              </w:rPr>
            </w:pPr>
            <w:r>
              <w:rPr>
                <w:rFonts w:hint="eastAsia"/>
                <w:sz w:val="20"/>
                <w:highlight w:val="none"/>
                <w:lang w:val="en-US" w:eastAsia="zh-CN"/>
              </w:rPr>
              <w:t xml:space="preserve">含场地、方案、专 </w:t>
            </w:r>
          </w:p>
          <w:p>
            <w:pPr>
              <w:snapToGrid w:val="0"/>
              <w:spacing w:line="240" w:lineRule="exact"/>
              <w:jc w:val="center"/>
              <w:rPr>
                <w:rFonts w:hint="eastAsia"/>
                <w:sz w:val="20"/>
                <w:highlight w:val="none"/>
                <w:lang w:eastAsia="zh-CN"/>
              </w:rPr>
            </w:pPr>
            <w:r>
              <w:rPr>
                <w:rFonts w:hint="eastAsia"/>
                <w:sz w:val="20"/>
                <w:highlight w:val="none"/>
                <w:lang w:val="en-US" w:eastAsia="zh-CN"/>
              </w:rPr>
              <w:t>家咨询等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tcMar>
              <w:left w:w="284" w:type="dxa"/>
              <w:right w:w="142" w:type="dxa"/>
            </w:tcMar>
            <w:vAlign w:val="center"/>
          </w:tcPr>
          <w:p>
            <w:pPr>
              <w:snapToGrid w:val="0"/>
              <w:spacing w:line="240" w:lineRule="exact"/>
              <w:jc w:val="center"/>
              <w:rPr>
                <w:rFonts w:hint="eastAsia" w:eastAsia="宋体"/>
                <w:bCs/>
                <w:sz w:val="21"/>
                <w:szCs w:val="21"/>
                <w:highlight w:val="none"/>
                <w:lang w:eastAsia="zh-CN"/>
              </w:rPr>
            </w:pPr>
            <w:r>
              <w:rPr>
                <w:rFonts w:hint="eastAsia"/>
                <w:bCs/>
                <w:sz w:val="21"/>
                <w:szCs w:val="21"/>
                <w:highlight w:val="none"/>
                <w:lang w:eastAsia="zh-CN"/>
              </w:rPr>
              <w:t>三</w:t>
            </w:r>
          </w:p>
        </w:tc>
        <w:tc>
          <w:tcPr>
            <w:tcW w:w="3434" w:type="dxa"/>
            <w:noWrap w:val="0"/>
            <w:tcMar>
              <w:left w:w="142" w:type="dxa"/>
              <w:right w:w="142" w:type="dxa"/>
            </w:tcMar>
            <w:vAlign w:val="center"/>
          </w:tcPr>
          <w:p>
            <w:pPr>
              <w:snapToGrid w:val="0"/>
              <w:spacing w:line="240" w:lineRule="exact"/>
              <w:jc w:val="center"/>
              <w:rPr>
                <w:rFonts w:hint="eastAsia" w:eastAsia="宋体"/>
                <w:bCs/>
                <w:highlight w:val="none"/>
                <w:lang w:eastAsia="zh-CN"/>
              </w:rPr>
            </w:pPr>
            <w:r>
              <w:rPr>
                <w:rFonts w:hint="eastAsia"/>
                <w:bCs/>
                <w:highlight w:val="none"/>
                <w:lang w:eastAsia="zh-CN"/>
              </w:rPr>
              <w:t>其他</w:t>
            </w:r>
          </w:p>
        </w:tc>
        <w:tc>
          <w:tcPr>
            <w:tcW w:w="1000" w:type="dxa"/>
            <w:noWrap w:val="0"/>
            <w:vAlign w:val="center"/>
          </w:tcPr>
          <w:p>
            <w:pPr>
              <w:snapToGrid w:val="0"/>
              <w:spacing w:line="240" w:lineRule="exact"/>
              <w:jc w:val="center"/>
              <w:rPr>
                <w:rFonts w:hint="eastAsia" w:eastAsia="宋体"/>
                <w:sz w:val="20"/>
                <w:highlight w:val="none"/>
                <w:lang w:val="en-US" w:eastAsia="zh-CN"/>
              </w:rPr>
            </w:pPr>
            <w:r>
              <w:rPr>
                <w:rFonts w:hint="eastAsia"/>
                <w:sz w:val="20"/>
                <w:highlight w:val="none"/>
                <w:lang w:val="en-US" w:eastAsia="zh-CN"/>
              </w:rPr>
              <w:t>1</w:t>
            </w:r>
          </w:p>
        </w:tc>
        <w:tc>
          <w:tcPr>
            <w:tcW w:w="1283" w:type="dxa"/>
            <w:noWrap w:val="0"/>
            <w:tcMar>
              <w:left w:w="142" w:type="dxa"/>
              <w:right w:w="57" w:type="dxa"/>
            </w:tcMar>
            <w:vAlign w:val="center"/>
          </w:tcPr>
          <w:p>
            <w:pPr>
              <w:snapToGrid w:val="0"/>
              <w:spacing w:line="240" w:lineRule="exact"/>
              <w:rPr>
                <w:sz w:val="20"/>
                <w:highlight w:val="none"/>
              </w:rPr>
            </w:pPr>
          </w:p>
        </w:tc>
        <w:tc>
          <w:tcPr>
            <w:tcW w:w="2222" w:type="dxa"/>
            <w:noWrap w:val="0"/>
            <w:tcMar>
              <w:left w:w="284" w:type="dxa"/>
              <w:right w:w="142" w:type="dxa"/>
            </w:tcMar>
            <w:vAlign w:val="center"/>
          </w:tcPr>
          <w:p>
            <w:pPr>
              <w:snapToGrid w:val="0"/>
              <w:spacing w:line="240" w:lineRule="exact"/>
              <w:jc w:val="center"/>
              <w:rPr>
                <w:rFonts w:hint="eastAsia" w:eastAsia="宋体"/>
                <w:sz w:val="20"/>
                <w:highlight w:val="none"/>
                <w:lang w:eastAsia="zh-CN"/>
              </w:rPr>
            </w:pPr>
            <w:r>
              <w:rPr>
                <w:rFonts w:hint="eastAsia"/>
                <w:sz w:val="20"/>
                <w:highlight w:val="none"/>
                <w:lang w:eastAsia="zh-CN"/>
              </w:rPr>
              <w:t>包括“招标需求”中其他要求等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1140" w:type="dxa"/>
            <w:noWrap w:val="0"/>
            <w:tcMar>
              <w:left w:w="284" w:type="dxa"/>
              <w:right w:w="142" w:type="dxa"/>
            </w:tcMar>
            <w:vAlign w:val="center"/>
          </w:tcPr>
          <w:p>
            <w:pPr>
              <w:snapToGrid w:val="0"/>
              <w:spacing w:line="240" w:lineRule="exact"/>
              <w:rPr>
                <w:b/>
                <w:bCs/>
                <w:highlight w:val="none"/>
              </w:rPr>
            </w:pPr>
          </w:p>
        </w:tc>
        <w:tc>
          <w:tcPr>
            <w:tcW w:w="3434" w:type="dxa"/>
            <w:noWrap w:val="0"/>
            <w:tcMar>
              <w:left w:w="142" w:type="dxa"/>
              <w:right w:w="142" w:type="dxa"/>
            </w:tcMar>
            <w:vAlign w:val="center"/>
          </w:tcPr>
          <w:p>
            <w:pPr>
              <w:snapToGrid w:val="0"/>
              <w:spacing w:line="240" w:lineRule="exact"/>
              <w:jc w:val="center"/>
              <w:rPr>
                <w:b/>
                <w:bCs/>
                <w:highlight w:val="none"/>
              </w:rPr>
            </w:pPr>
            <w:r>
              <w:rPr>
                <w:b/>
                <w:bCs/>
                <w:highlight w:val="none"/>
              </w:rPr>
              <w:t>合计</w:t>
            </w:r>
          </w:p>
        </w:tc>
        <w:tc>
          <w:tcPr>
            <w:tcW w:w="2283" w:type="dxa"/>
            <w:gridSpan w:val="2"/>
            <w:noWrap w:val="0"/>
            <w:tcMar>
              <w:left w:w="142" w:type="dxa"/>
              <w:right w:w="57" w:type="dxa"/>
            </w:tcMar>
            <w:vAlign w:val="center"/>
          </w:tcPr>
          <w:p>
            <w:pPr>
              <w:snapToGrid w:val="0"/>
              <w:spacing w:line="240" w:lineRule="exact"/>
              <w:jc w:val="center"/>
              <w:rPr>
                <w:b/>
                <w:bCs/>
                <w:sz w:val="20"/>
                <w:highlight w:val="none"/>
              </w:rPr>
            </w:pPr>
          </w:p>
        </w:tc>
        <w:tc>
          <w:tcPr>
            <w:tcW w:w="2222" w:type="dxa"/>
            <w:noWrap w:val="0"/>
            <w:tcMar>
              <w:left w:w="284" w:type="dxa"/>
              <w:right w:w="142" w:type="dxa"/>
            </w:tcMar>
            <w:vAlign w:val="center"/>
          </w:tcPr>
          <w:p>
            <w:pPr>
              <w:snapToGrid w:val="0"/>
              <w:spacing w:line="240" w:lineRule="exact"/>
              <w:jc w:val="center"/>
              <w:rPr>
                <w:sz w:val="20"/>
                <w:highlight w:val="none"/>
              </w:rPr>
            </w:pPr>
          </w:p>
        </w:tc>
      </w:tr>
    </w:tbl>
    <w:p>
      <w:pPr>
        <w:pStyle w:val="2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left="480" w:firstLine="402" w:firstLineChars="200"/>
        <w:rPr>
          <w:rFonts w:ascii="Times New Roman" w:hAnsi="Times New Roman"/>
          <w:sz w:val="20"/>
          <w:highlight w:val="none"/>
          <w:lang w:eastAsia="zh-CN"/>
        </w:rPr>
      </w:pPr>
      <w:r>
        <w:rPr>
          <w:rFonts w:ascii="Times New Roman" w:hAnsi="Times New Roman"/>
          <w:b/>
          <w:bCs/>
          <w:sz w:val="20"/>
          <w:highlight w:val="none"/>
          <w:lang w:eastAsia="zh-CN"/>
        </w:rPr>
        <w:t>注：</w:t>
      </w:r>
      <w:r>
        <w:rPr>
          <w:rFonts w:ascii="Times New Roman" w:hAnsi="Times New Roman"/>
          <w:sz w:val="20"/>
          <w:highlight w:val="none"/>
          <w:lang w:eastAsia="zh-CN"/>
        </w:rPr>
        <w:t>投标单位可根据自身实际适当调整，但合计数须与投标报价相同。</w:t>
      </w:r>
    </w:p>
    <w:p>
      <w:pPr>
        <w:pStyle w:val="2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240" w:lineRule="exact"/>
        <w:ind w:left="480"/>
        <w:rPr>
          <w:rFonts w:ascii="Times New Roman" w:hAnsi="Times New Roman"/>
          <w:sz w:val="20"/>
          <w:highlight w:val="none"/>
          <w:lang w:eastAsia="zh-CN"/>
        </w:rPr>
      </w:pPr>
    </w:p>
    <w:p>
      <w:pPr>
        <w:snapToGrid w:val="0"/>
        <w:spacing w:line="360" w:lineRule="auto"/>
        <w:ind w:firstLine="3300" w:firstLineChars="1500"/>
        <w:rPr>
          <w:highlight w:val="none"/>
        </w:rPr>
      </w:pPr>
      <w:r>
        <w:rPr>
          <w:highlight w:val="none"/>
        </w:rPr>
        <w:t>投 标 供 应 商：</w:t>
      </w:r>
      <w:r>
        <w:rPr>
          <w:b/>
          <w:sz w:val="28"/>
          <w:szCs w:val="28"/>
          <w:highlight w:val="none"/>
          <w:u w:val="single"/>
        </w:rPr>
        <w:t xml:space="preserve">  </w:t>
      </w:r>
      <w:r>
        <w:rPr>
          <w:sz w:val="28"/>
          <w:szCs w:val="28"/>
          <w:highlight w:val="none"/>
          <w:u w:val="single"/>
        </w:rPr>
        <w:t xml:space="preserve">             </w:t>
      </w:r>
      <w:r>
        <w:rPr>
          <w:highlight w:val="none"/>
          <w:u w:val="single"/>
        </w:rPr>
        <w:t xml:space="preserve">  (盖章)</w:t>
      </w:r>
    </w:p>
    <w:p>
      <w:pPr>
        <w:snapToGrid w:val="0"/>
        <w:spacing w:line="360" w:lineRule="auto"/>
        <w:ind w:firstLine="3300" w:firstLineChars="1500"/>
        <w:rPr>
          <w:highlight w:val="none"/>
        </w:rPr>
      </w:pPr>
      <w:r>
        <w:rPr>
          <w:highlight w:val="none"/>
        </w:rPr>
        <w:t>法定代表人或</w:t>
      </w:r>
    </w:p>
    <w:p>
      <w:pPr>
        <w:snapToGrid w:val="0"/>
        <w:spacing w:line="360" w:lineRule="auto"/>
        <w:ind w:firstLine="3300" w:firstLineChars="1500"/>
        <w:rPr>
          <w:highlight w:val="none"/>
        </w:rPr>
      </w:pPr>
      <w:r>
        <w:rPr>
          <w:highlight w:val="none"/>
        </w:rPr>
        <w:t>授权代表：</w:t>
      </w:r>
      <w:r>
        <w:rPr>
          <w:b/>
          <w:sz w:val="28"/>
          <w:szCs w:val="28"/>
          <w:highlight w:val="none"/>
          <w:u w:val="single"/>
        </w:rPr>
        <w:t xml:space="preserve">              </w:t>
      </w:r>
      <w:r>
        <w:rPr>
          <w:highlight w:val="none"/>
          <w:u w:val="single"/>
        </w:rPr>
        <w:t>（签字或盖章）</w:t>
      </w:r>
    </w:p>
    <w:p>
      <w:pPr>
        <w:snapToGrid w:val="0"/>
        <w:spacing w:line="360" w:lineRule="auto"/>
        <w:ind w:firstLine="3300" w:firstLineChars="1500"/>
        <w:rPr>
          <w:highlight w:val="none"/>
        </w:rPr>
      </w:pPr>
      <w:r>
        <w:rPr>
          <w:highlight w:val="none"/>
        </w:rPr>
        <w:t>日    期：</w:t>
      </w:r>
      <w:r>
        <w:rPr>
          <w:highlight w:val="none"/>
          <w:u w:val="single"/>
        </w:rPr>
        <w:t xml:space="preserve">     </w:t>
      </w:r>
      <w:r>
        <w:rPr>
          <w:b/>
          <w:sz w:val="28"/>
          <w:szCs w:val="28"/>
          <w:highlight w:val="none"/>
          <w:u w:val="single"/>
        </w:rPr>
        <w:t xml:space="preserve"> </w:t>
      </w:r>
      <w:r>
        <w:rPr>
          <w:highlight w:val="none"/>
        </w:rPr>
        <w:t xml:space="preserve"> 年</w:t>
      </w:r>
      <w:r>
        <w:rPr>
          <w:b/>
          <w:sz w:val="28"/>
          <w:szCs w:val="28"/>
          <w:highlight w:val="none"/>
          <w:u w:val="single"/>
        </w:rPr>
        <w:t xml:space="preserve"> </w:t>
      </w:r>
      <w:r>
        <w:rPr>
          <w:highlight w:val="none"/>
          <w:u w:val="single"/>
        </w:rPr>
        <w:t xml:space="preserve">   </w:t>
      </w:r>
      <w:r>
        <w:rPr>
          <w:b/>
          <w:sz w:val="28"/>
          <w:szCs w:val="28"/>
          <w:highlight w:val="none"/>
          <w:u w:val="single"/>
        </w:rPr>
        <w:t xml:space="preserve">  </w:t>
      </w:r>
      <w:r>
        <w:rPr>
          <w:highlight w:val="none"/>
        </w:rPr>
        <w:t>月</w:t>
      </w:r>
      <w:r>
        <w:rPr>
          <w:b/>
          <w:sz w:val="28"/>
          <w:szCs w:val="28"/>
          <w:highlight w:val="none"/>
          <w:u w:val="single"/>
        </w:rPr>
        <w:t xml:space="preserve"> </w:t>
      </w:r>
      <w:r>
        <w:rPr>
          <w:highlight w:val="none"/>
          <w:u w:val="single"/>
        </w:rPr>
        <w:t xml:space="preserve">  </w:t>
      </w:r>
      <w:r>
        <w:rPr>
          <w:b/>
          <w:sz w:val="28"/>
          <w:szCs w:val="28"/>
          <w:highlight w:val="none"/>
          <w:u w:val="single"/>
        </w:rPr>
        <w:t xml:space="preserve">  </w:t>
      </w:r>
      <w:r>
        <w:rPr>
          <w:highlight w:val="none"/>
        </w:rPr>
        <w:t>日</w:t>
      </w:r>
    </w:p>
    <w:p>
      <w:pPr>
        <w:pStyle w:val="15"/>
        <w:ind w:firstLine="240"/>
        <w:rPr>
          <w:highlight w:val="none"/>
        </w:rPr>
      </w:pPr>
    </w:p>
    <w:p>
      <w:pPr>
        <w:pStyle w:val="15"/>
        <w:ind w:firstLine="240"/>
        <w:rPr>
          <w:highlight w:val="none"/>
        </w:rPr>
      </w:pPr>
    </w:p>
    <w:p>
      <w:pPr>
        <w:pStyle w:val="15"/>
        <w:ind w:firstLine="240"/>
        <w:rPr>
          <w:highlight w:val="none"/>
        </w:rPr>
      </w:pPr>
    </w:p>
    <w:p>
      <w:pPr>
        <w:widowControl/>
        <w:autoSpaceDE/>
        <w:autoSpaceDN/>
        <w:adjustRightInd/>
        <w:textAlignment w:val="auto"/>
        <w:rPr>
          <w:b/>
          <w:bCs/>
          <w:szCs w:val="24"/>
          <w:highlight w:val="none"/>
        </w:rPr>
      </w:pPr>
      <w:r>
        <w:rPr>
          <w:rFonts w:hint="eastAsia"/>
          <w:b/>
          <w:highlight w:val="none"/>
        </w:rPr>
        <w:br w:type="page"/>
      </w:r>
      <w:r>
        <w:rPr>
          <w:rFonts w:hint="eastAsia"/>
          <w:b/>
          <w:highlight w:val="none"/>
          <w:lang w:val="en-US" w:eastAsia="zh-CN"/>
        </w:rPr>
        <w:t>20</w:t>
      </w:r>
      <w:r>
        <w:rPr>
          <w:b/>
          <w:highlight w:val="none"/>
        </w:rPr>
        <w:t>、</w:t>
      </w:r>
      <w:r>
        <w:rPr>
          <w:b/>
          <w:bCs/>
          <w:szCs w:val="24"/>
          <w:highlight w:val="none"/>
        </w:rPr>
        <w:t>中小企业声明函（如有）</w:t>
      </w:r>
    </w:p>
    <w:p>
      <w:pPr>
        <w:pStyle w:val="9"/>
        <w:rPr>
          <w:b/>
          <w:bCs/>
          <w:szCs w:val="24"/>
          <w:highlight w:val="none"/>
        </w:rPr>
      </w:pPr>
    </w:p>
    <w:p>
      <w:pPr>
        <w:rPr>
          <w:highlight w:val="none"/>
        </w:rPr>
      </w:pPr>
    </w:p>
    <w:p>
      <w:pPr>
        <w:snapToGrid w:val="0"/>
        <w:spacing w:line="360" w:lineRule="auto"/>
        <w:ind w:firstLine="440" w:firstLineChars="200"/>
        <w:jc w:val="left"/>
        <w:rPr>
          <w:rFonts w:hint="eastAsia" w:ascii="宋体" w:hAnsi="宋体" w:cs="宋体"/>
          <w:bCs/>
          <w:highlight w:val="none"/>
        </w:rPr>
      </w:pPr>
      <w:r>
        <w:rPr>
          <w:rFonts w:hint="eastAsia" w:ascii="宋体" w:hAnsi="宋体" w:cs="宋体"/>
          <w:bCs/>
          <w:highlight w:val="none"/>
        </w:rPr>
        <w:t>本公司郑重明,根据《政府采购促进中小企业发展管理办法》(财库【2020】46号)的规定,本公司参加</w:t>
      </w:r>
      <w:r>
        <w:rPr>
          <w:rFonts w:hint="eastAsia" w:ascii="宋体" w:hAnsi="宋体" w:cs="宋体"/>
          <w:bCs/>
          <w:highlight w:val="none"/>
          <w:u w:val="single"/>
        </w:rPr>
        <w:t>(单位名称)</w:t>
      </w:r>
      <w:r>
        <w:rPr>
          <w:rFonts w:hint="eastAsia" w:ascii="宋体" w:hAnsi="宋体" w:cs="宋体"/>
          <w:bCs/>
          <w:highlight w:val="none"/>
        </w:rPr>
        <w:t>的</w:t>
      </w:r>
      <w:r>
        <w:rPr>
          <w:rFonts w:hint="eastAsia" w:ascii="宋体" w:hAnsi="宋体" w:cs="宋体"/>
          <w:bCs/>
          <w:highlight w:val="none"/>
          <w:u w:val="single"/>
        </w:rPr>
        <w:t>(项目名称)</w:t>
      </w:r>
      <w:r>
        <w:rPr>
          <w:rFonts w:hint="eastAsia" w:ascii="宋体" w:hAnsi="宋体" w:cs="宋体"/>
          <w:bCs/>
          <w:highlight w:val="none"/>
        </w:rPr>
        <w:t>釆购活动,提供的服务全部由符合政策要求的中小企业承接。相关企业的具体情况如下：</w:t>
      </w:r>
    </w:p>
    <w:p>
      <w:pPr>
        <w:snapToGrid w:val="0"/>
        <w:spacing w:line="360" w:lineRule="auto"/>
        <w:ind w:firstLine="440" w:firstLineChars="200"/>
        <w:jc w:val="left"/>
        <w:rPr>
          <w:rFonts w:hint="eastAsia" w:ascii="宋体" w:hAnsi="宋体" w:cs="宋体"/>
          <w:bCs/>
          <w:highlight w:val="none"/>
        </w:rPr>
      </w:pPr>
      <w:r>
        <w:rPr>
          <w:rFonts w:hint="eastAsia" w:ascii="宋体" w:hAnsi="宋体" w:cs="宋体"/>
          <w:bCs/>
          <w:highlight w:val="none"/>
        </w:rPr>
        <w:t>1.</w:t>
      </w:r>
      <w:r>
        <w:rPr>
          <w:rFonts w:hint="eastAsia" w:ascii="宋体" w:hAnsi="宋体" w:cs="宋体"/>
          <w:bCs/>
          <w:highlight w:val="none"/>
          <w:u w:val="single"/>
        </w:rPr>
        <w:t>(标的名称)</w:t>
      </w:r>
      <w:r>
        <w:rPr>
          <w:rFonts w:hint="eastAsia" w:ascii="宋体" w:hAnsi="宋体" w:cs="宋体"/>
          <w:bCs/>
          <w:highlight w:val="none"/>
        </w:rPr>
        <w:t>,属于(采购件中明确的所属行业）；承接企业为</w:t>
      </w:r>
      <w:r>
        <w:rPr>
          <w:rFonts w:hint="eastAsia" w:ascii="宋体" w:hAnsi="宋体" w:cs="宋体"/>
          <w:bCs/>
          <w:highlight w:val="none"/>
          <w:u w:val="single"/>
        </w:rPr>
        <w:t>(企业名称）</w:t>
      </w:r>
      <w:r>
        <w:rPr>
          <w:rFonts w:hint="eastAsia" w:ascii="宋体" w:hAnsi="宋体" w:cs="宋体"/>
          <w:bCs/>
          <w:highlight w:val="none"/>
        </w:rPr>
        <w:t>,</w:t>
      </w:r>
    </w:p>
    <w:p>
      <w:pPr>
        <w:snapToGrid w:val="0"/>
        <w:spacing w:line="360" w:lineRule="auto"/>
        <w:ind w:firstLine="440" w:firstLineChars="200"/>
        <w:jc w:val="left"/>
        <w:rPr>
          <w:rFonts w:hint="eastAsia" w:ascii="宋体" w:hAnsi="宋体" w:cs="宋体"/>
          <w:bCs/>
          <w:highlight w:val="none"/>
        </w:rPr>
      </w:pPr>
      <w:r>
        <w:rPr>
          <w:rFonts w:hint="eastAsia" w:ascii="宋体" w:hAnsi="宋体" w:cs="宋体"/>
          <w:bCs/>
          <w:highlight w:val="none"/>
        </w:rPr>
        <w:t>从业人员</w:t>
      </w:r>
      <w:r>
        <w:rPr>
          <w:rFonts w:hint="eastAsia" w:ascii="宋体" w:hAnsi="宋体" w:cs="宋体"/>
          <w:bCs/>
          <w:highlight w:val="none"/>
          <w:u w:val="single"/>
        </w:rPr>
        <w:t xml:space="preserve">    </w:t>
      </w:r>
      <w:r>
        <w:rPr>
          <w:rFonts w:hint="eastAsia" w:ascii="宋体" w:hAnsi="宋体" w:cs="宋体"/>
          <w:bCs/>
          <w:highlight w:val="none"/>
        </w:rPr>
        <w:t>人,营业收入为</w:t>
      </w:r>
      <w:r>
        <w:rPr>
          <w:rFonts w:hint="eastAsia" w:ascii="宋体" w:hAnsi="宋体" w:cs="宋体"/>
          <w:bCs/>
          <w:highlight w:val="none"/>
          <w:u w:val="single"/>
        </w:rPr>
        <w:t xml:space="preserve">      </w:t>
      </w:r>
      <w:r>
        <w:rPr>
          <w:rFonts w:hint="eastAsia" w:ascii="宋体" w:hAnsi="宋体" w:cs="宋体"/>
          <w:bCs/>
          <w:highlight w:val="none"/>
        </w:rPr>
        <w:t>万元，资产总额为</w:t>
      </w:r>
      <w:r>
        <w:rPr>
          <w:rFonts w:hint="eastAsia" w:ascii="宋体" w:hAnsi="宋体" w:cs="宋体"/>
          <w:bCs/>
          <w:highlight w:val="none"/>
          <w:u w:val="single"/>
        </w:rPr>
        <w:t xml:space="preserve">      </w:t>
      </w:r>
      <w:r>
        <w:rPr>
          <w:rFonts w:hint="eastAsia" w:ascii="宋体" w:hAnsi="宋体" w:cs="宋体"/>
          <w:bCs/>
          <w:highlight w:val="none"/>
        </w:rPr>
        <w:t>万元，属于(中型企业、型企业、微型企业)；</w:t>
      </w:r>
    </w:p>
    <w:p>
      <w:pPr>
        <w:snapToGrid w:val="0"/>
        <w:spacing w:line="360" w:lineRule="auto"/>
        <w:ind w:firstLine="440" w:firstLineChars="200"/>
        <w:jc w:val="left"/>
        <w:rPr>
          <w:rFonts w:hint="eastAsia" w:ascii="宋体" w:hAnsi="宋体" w:cs="宋体"/>
          <w:bCs/>
          <w:highlight w:val="none"/>
        </w:rPr>
      </w:pPr>
      <w:r>
        <w:rPr>
          <w:rFonts w:hint="eastAsia" w:ascii="宋体" w:hAnsi="宋体" w:cs="宋体"/>
          <w:bCs/>
          <w:highlight w:val="none"/>
        </w:rPr>
        <w:t>2.</w:t>
      </w:r>
      <w:r>
        <w:rPr>
          <w:rFonts w:hint="eastAsia" w:ascii="宋体" w:hAnsi="宋体" w:cs="宋体"/>
          <w:bCs/>
          <w:highlight w:val="none"/>
          <w:u w:val="single"/>
        </w:rPr>
        <w:t>(标的名称)</w:t>
      </w:r>
      <w:r>
        <w:rPr>
          <w:rFonts w:hint="eastAsia" w:ascii="宋体" w:hAnsi="宋体" w:cs="宋体"/>
          <w:bCs/>
          <w:highlight w:val="none"/>
        </w:rPr>
        <w:t>,属于(采购件中明确的所属行业）；承接企业为</w:t>
      </w:r>
      <w:r>
        <w:rPr>
          <w:rFonts w:hint="eastAsia" w:ascii="宋体" w:hAnsi="宋体" w:cs="宋体"/>
          <w:bCs/>
          <w:highlight w:val="none"/>
          <w:u w:val="single"/>
        </w:rPr>
        <w:t>(企业名称）</w:t>
      </w:r>
      <w:r>
        <w:rPr>
          <w:rFonts w:hint="eastAsia" w:ascii="宋体" w:hAnsi="宋体" w:cs="宋体"/>
          <w:bCs/>
          <w:highlight w:val="none"/>
        </w:rPr>
        <w:t>,从业人员</w:t>
      </w:r>
      <w:r>
        <w:rPr>
          <w:rFonts w:hint="eastAsia" w:ascii="宋体" w:hAnsi="宋体" w:cs="宋体"/>
          <w:bCs/>
          <w:highlight w:val="none"/>
          <w:u w:val="single"/>
        </w:rPr>
        <w:t xml:space="preserve">    </w:t>
      </w:r>
      <w:r>
        <w:rPr>
          <w:rFonts w:hint="eastAsia" w:ascii="宋体" w:hAnsi="宋体" w:cs="宋体"/>
          <w:bCs/>
          <w:highlight w:val="none"/>
        </w:rPr>
        <w:t>人,营业收入为</w:t>
      </w:r>
      <w:r>
        <w:rPr>
          <w:rFonts w:hint="eastAsia" w:ascii="宋体" w:hAnsi="宋体" w:cs="宋体"/>
          <w:bCs/>
          <w:highlight w:val="none"/>
          <w:u w:val="single"/>
        </w:rPr>
        <w:t xml:space="preserve">      </w:t>
      </w:r>
      <w:r>
        <w:rPr>
          <w:rFonts w:hint="eastAsia" w:ascii="宋体" w:hAnsi="宋体" w:cs="宋体"/>
          <w:bCs/>
          <w:highlight w:val="none"/>
        </w:rPr>
        <w:t>万元，资产总额为</w:t>
      </w:r>
      <w:r>
        <w:rPr>
          <w:rFonts w:hint="eastAsia" w:ascii="宋体" w:hAnsi="宋体" w:cs="宋体"/>
          <w:bCs/>
          <w:highlight w:val="none"/>
          <w:u w:val="single"/>
        </w:rPr>
        <w:t xml:space="preserve">      </w:t>
      </w:r>
      <w:r>
        <w:rPr>
          <w:rFonts w:hint="eastAsia" w:ascii="宋体" w:hAnsi="宋体" w:cs="宋体"/>
          <w:bCs/>
          <w:highlight w:val="none"/>
        </w:rPr>
        <w:t>万元，属于(中型企业、型企业、微型企业)；</w:t>
      </w:r>
    </w:p>
    <w:p>
      <w:pPr>
        <w:snapToGrid w:val="0"/>
        <w:spacing w:line="360" w:lineRule="auto"/>
        <w:ind w:firstLine="440" w:firstLineChars="200"/>
        <w:jc w:val="left"/>
        <w:rPr>
          <w:rFonts w:ascii="宋体" w:hAnsi="宋体" w:cs="宋体"/>
          <w:bCs/>
          <w:highlight w:val="none"/>
        </w:rPr>
      </w:pPr>
      <w:r>
        <w:rPr>
          <w:rFonts w:hint="eastAsia" w:ascii="宋体" w:hAnsi="宋体" w:cs="宋体"/>
          <w:bCs/>
          <w:highlight w:val="none"/>
        </w:rPr>
        <w:t>...</w:t>
      </w:r>
    </w:p>
    <w:p>
      <w:pPr>
        <w:snapToGrid w:val="0"/>
        <w:spacing w:line="360" w:lineRule="auto"/>
        <w:ind w:firstLine="440" w:firstLineChars="200"/>
        <w:jc w:val="left"/>
        <w:rPr>
          <w:rFonts w:hint="eastAsia" w:ascii="宋体" w:hAnsi="宋体" w:cs="宋体"/>
          <w:bCs/>
          <w:highlight w:val="none"/>
        </w:rPr>
      </w:pPr>
      <w:r>
        <w:rPr>
          <w:rFonts w:hint="eastAsia" w:ascii="宋体" w:hAnsi="宋体" w:cs="宋体"/>
          <w:bCs/>
          <w:highlight w:val="none"/>
        </w:rPr>
        <w:t>以上企业,不属于大企业的分支机构,不存在控股股东为大企业的情形,也不存在与大企业的负责人为同一人的情形。</w:t>
      </w:r>
    </w:p>
    <w:p>
      <w:pPr>
        <w:snapToGrid w:val="0"/>
        <w:spacing w:line="360" w:lineRule="auto"/>
        <w:ind w:firstLine="440" w:firstLineChars="200"/>
        <w:jc w:val="left"/>
        <w:rPr>
          <w:rFonts w:hint="eastAsia" w:ascii="宋体" w:hAnsi="宋体" w:cs="宋体"/>
          <w:bCs/>
          <w:highlight w:val="none"/>
        </w:rPr>
      </w:pPr>
      <w:r>
        <w:rPr>
          <w:rFonts w:hint="eastAsia" w:ascii="宋体" w:hAnsi="宋体" w:cs="宋体"/>
          <w:bCs/>
          <w:highlight w:val="none"/>
        </w:rPr>
        <w:t>本企业对上述声明内容的真实性负责。如有虚假,将依法承担相应责任。</w:t>
      </w:r>
    </w:p>
    <w:p>
      <w:pPr>
        <w:snapToGrid w:val="0"/>
        <w:spacing w:line="360" w:lineRule="auto"/>
        <w:ind w:firstLine="552" w:firstLineChars="250"/>
        <w:jc w:val="center"/>
        <w:rPr>
          <w:rFonts w:hint="eastAsia" w:ascii="宋体" w:hAnsi="宋体" w:cs="宋体"/>
          <w:b/>
          <w:highlight w:val="none"/>
        </w:rPr>
      </w:pPr>
    </w:p>
    <w:p>
      <w:pPr>
        <w:snapToGrid w:val="0"/>
        <w:spacing w:line="360" w:lineRule="auto"/>
        <w:ind w:firstLine="552" w:firstLineChars="250"/>
        <w:jc w:val="center"/>
        <w:rPr>
          <w:rFonts w:hint="eastAsia" w:ascii="宋体" w:hAnsi="宋体" w:cs="宋体"/>
          <w:b/>
          <w:highlight w:val="none"/>
        </w:rPr>
      </w:pPr>
    </w:p>
    <w:p>
      <w:pPr>
        <w:widowControl/>
        <w:autoSpaceDE/>
        <w:autoSpaceDN/>
        <w:adjustRightInd/>
        <w:spacing w:line="360" w:lineRule="auto"/>
        <w:ind w:firstLine="440" w:firstLineChars="200"/>
        <w:jc w:val="center"/>
        <w:textAlignment w:val="auto"/>
        <w:rPr>
          <w:szCs w:val="24"/>
          <w:highlight w:val="none"/>
        </w:rPr>
      </w:pPr>
      <w:r>
        <w:rPr>
          <w:rFonts w:hint="eastAsia"/>
          <w:szCs w:val="24"/>
          <w:highlight w:val="none"/>
        </w:rPr>
        <w:t xml:space="preserve">                                     </w:t>
      </w:r>
      <w:r>
        <w:rPr>
          <w:szCs w:val="24"/>
          <w:highlight w:val="none"/>
        </w:rPr>
        <w:t xml:space="preserve">企业名称（盖章）：     </w:t>
      </w:r>
    </w:p>
    <w:p>
      <w:pPr>
        <w:widowControl/>
        <w:autoSpaceDE/>
        <w:autoSpaceDN/>
        <w:adjustRightInd/>
        <w:spacing w:line="360" w:lineRule="auto"/>
        <w:ind w:firstLine="5280" w:firstLineChars="2400"/>
        <w:jc w:val="left"/>
        <w:textAlignment w:val="auto"/>
        <w:rPr>
          <w:szCs w:val="24"/>
          <w:highlight w:val="none"/>
        </w:rPr>
      </w:pPr>
      <w:r>
        <w:rPr>
          <w:szCs w:val="24"/>
          <w:highlight w:val="none"/>
        </w:rPr>
        <w:t>日期：</w:t>
      </w:r>
      <w:r>
        <w:rPr>
          <w:szCs w:val="24"/>
          <w:highlight w:val="none"/>
          <w:u w:val="single"/>
        </w:rPr>
        <w:t xml:space="preserve">     </w:t>
      </w:r>
      <w:r>
        <w:rPr>
          <w:szCs w:val="24"/>
          <w:highlight w:val="none"/>
        </w:rPr>
        <w:t>年</w:t>
      </w:r>
      <w:r>
        <w:rPr>
          <w:szCs w:val="24"/>
          <w:highlight w:val="none"/>
          <w:u w:val="single"/>
        </w:rPr>
        <w:t xml:space="preserve">     </w:t>
      </w:r>
      <w:r>
        <w:rPr>
          <w:szCs w:val="24"/>
          <w:highlight w:val="none"/>
        </w:rPr>
        <w:t>月</w:t>
      </w:r>
      <w:r>
        <w:rPr>
          <w:szCs w:val="24"/>
          <w:highlight w:val="none"/>
          <w:u w:val="single"/>
        </w:rPr>
        <w:t xml:space="preserve">     </w:t>
      </w:r>
      <w:r>
        <w:rPr>
          <w:szCs w:val="24"/>
          <w:highlight w:val="none"/>
        </w:rPr>
        <w:t xml:space="preserve">日 </w:t>
      </w:r>
    </w:p>
    <w:p>
      <w:pPr>
        <w:spacing w:line="360" w:lineRule="auto"/>
        <w:rPr>
          <w:b/>
          <w:bCs/>
          <w:szCs w:val="24"/>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rFonts w:hint="eastAsia"/>
          <w:b/>
          <w:highlight w:val="none"/>
        </w:rPr>
      </w:pPr>
    </w:p>
    <w:p>
      <w:pPr>
        <w:widowControl/>
        <w:autoSpaceDE/>
        <w:autoSpaceDN/>
        <w:adjustRightInd/>
        <w:jc w:val="left"/>
        <w:textAlignment w:val="auto"/>
        <w:rPr>
          <w:b/>
          <w:highlight w:val="none"/>
        </w:rPr>
      </w:pPr>
      <w:r>
        <w:rPr>
          <w:rFonts w:hint="eastAsia"/>
          <w:b/>
          <w:highlight w:val="none"/>
        </w:rPr>
        <w:br w:type="page"/>
      </w:r>
      <w:r>
        <w:rPr>
          <w:rFonts w:hint="eastAsia"/>
          <w:b/>
          <w:highlight w:val="none"/>
        </w:rPr>
        <w:t>2</w:t>
      </w:r>
      <w:r>
        <w:rPr>
          <w:rFonts w:hint="eastAsia"/>
          <w:b/>
          <w:highlight w:val="none"/>
          <w:lang w:val="en-US" w:eastAsia="zh-CN"/>
        </w:rPr>
        <w:t>1</w:t>
      </w:r>
      <w:r>
        <w:rPr>
          <w:b/>
          <w:highlight w:val="none"/>
        </w:rPr>
        <w:t>、残疾人福利性单位声明函（如有）</w:t>
      </w:r>
    </w:p>
    <w:p>
      <w:pPr>
        <w:widowControl/>
        <w:autoSpaceDE/>
        <w:autoSpaceDN/>
        <w:adjustRightInd/>
        <w:jc w:val="left"/>
        <w:textAlignment w:val="auto"/>
        <w:rPr>
          <w:b/>
          <w:highlight w:val="none"/>
        </w:rPr>
      </w:pPr>
    </w:p>
    <w:p>
      <w:pPr>
        <w:tabs>
          <w:tab w:val="left" w:pos="1179"/>
          <w:tab w:val="left" w:pos="3097"/>
          <w:tab w:val="left" w:pos="4537"/>
          <w:tab w:val="left" w:pos="5636"/>
        </w:tabs>
        <w:spacing w:line="360" w:lineRule="auto"/>
        <w:ind w:right="353" w:firstLine="440" w:firstLineChars="200"/>
        <w:jc w:val="left"/>
        <w:rPr>
          <w:szCs w:val="24"/>
          <w:highlight w:val="none"/>
        </w:rPr>
      </w:pPr>
      <w:r>
        <w:rPr>
          <w:szCs w:val="24"/>
          <w:highlight w:val="none"/>
        </w:rPr>
        <w:t>本单位郑重声明，根据《财政部 民政部 中国残疾人联合会关于促进残疾人就业政府采购政策的通知》（财库〔2017〕141 号）的规定，本单位为符合条件的残疾人福利性单位，且本单位参加</w:t>
      </w:r>
      <w:r>
        <w:rPr>
          <w:rFonts w:hint="eastAsia"/>
          <w:szCs w:val="24"/>
          <w:highlight w:val="none"/>
          <w:lang w:val="en-US" w:eastAsia="zh-CN"/>
        </w:rPr>
        <w:t xml:space="preserve"> </w:t>
      </w:r>
      <w:r>
        <w:rPr>
          <w:rFonts w:hint="eastAsia"/>
          <w:szCs w:val="24"/>
          <w:highlight w:val="none"/>
          <w:u w:val="single"/>
          <w:lang w:val="en-US" w:eastAsia="zh-CN"/>
        </w:rPr>
        <w:t xml:space="preserve">         </w:t>
      </w:r>
      <w:r>
        <w:rPr>
          <w:szCs w:val="24"/>
          <w:highlight w:val="none"/>
        </w:rPr>
        <w:t>单位的</w:t>
      </w:r>
      <w:r>
        <w:rPr>
          <w:szCs w:val="24"/>
          <w:highlight w:val="none"/>
          <w:u w:val="single"/>
        </w:rPr>
        <w:tab/>
      </w:r>
      <w:r>
        <w:rPr>
          <w:szCs w:val="24"/>
          <w:highlight w:val="none"/>
        </w:rPr>
        <w:t>项目采购活动提供本单位制造的货物（由本单位承担工程/提供服务），或者提供其他残疾人福利性单位制造的货物（不包括使用非残疾人福利性单位注册商标的货物）。</w:t>
      </w:r>
    </w:p>
    <w:p>
      <w:pPr>
        <w:tabs>
          <w:tab w:val="left" w:pos="1179"/>
          <w:tab w:val="left" w:pos="3097"/>
          <w:tab w:val="left" w:pos="4537"/>
          <w:tab w:val="left" w:pos="5636"/>
        </w:tabs>
        <w:spacing w:line="360" w:lineRule="auto"/>
        <w:ind w:left="440" w:leftChars="200" w:right="353"/>
        <w:jc w:val="left"/>
        <w:rPr>
          <w:szCs w:val="24"/>
          <w:highlight w:val="none"/>
        </w:rPr>
      </w:pPr>
      <w:r>
        <w:rPr>
          <w:szCs w:val="24"/>
          <w:highlight w:val="none"/>
        </w:rPr>
        <w:t>本单位对上述声明的真实性负责。如有虚假，将依法承担相应责任。</w:t>
      </w:r>
    </w:p>
    <w:p>
      <w:pPr>
        <w:tabs>
          <w:tab w:val="left" w:pos="1155"/>
        </w:tabs>
        <w:spacing w:before="205" w:after="120" w:line="360" w:lineRule="auto"/>
        <w:ind w:left="937"/>
        <w:rPr>
          <w:sz w:val="21"/>
          <w:szCs w:val="21"/>
          <w:highlight w:val="none"/>
        </w:rPr>
      </w:pPr>
      <w:r>
        <w:rPr>
          <w:sz w:val="21"/>
          <w:szCs w:val="21"/>
          <w:highlight w:val="none"/>
        </w:rPr>
        <w:t xml:space="preserve"> </w:t>
      </w:r>
    </w:p>
    <w:p>
      <w:pPr>
        <w:spacing w:line="480" w:lineRule="exact"/>
        <w:ind w:firstLine="3570" w:firstLineChars="1700"/>
        <w:rPr>
          <w:sz w:val="21"/>
          <w:szCs w:val="21"/>
          <w:highlight w:val="none"/>
        </w:rPr>
      </w:pPr>
      <w:r>
        <w:rPr>
          <w:sz w:val="21"/>
          <w:szCs w:val="21"/>
          <w:highlight w:val="none"/>
        </w:rPr>
        <w:t>法人代表或授权代表（签名或盖章）</w:t>
      </w:r>
      <w:r>
        <w:rPr>
          <w:rFonts w:hint="eastAsia"/>
          <w:sz w:val="21"/>
          <w:szCs w:val="21"/>
          <w:highlight w:val="none"/>
        </w:rPr>
        <w:t>：</w:t>
      </w:r>
      <w:r>
        <w:rPr>
          <w:sz w:val="21"/>
          <w:szCs w:val="21"/>
          <w:highlight w:val="none"/>
          <w:u w:val="single"/>
        </w:rPr>
        <w:t xml:space="preserve">                </w:t>
      </w:r>
    </w:p>
    <w:p>
      <w:pPr>
        <w:spacing w:before="100" w:beforeAutospacing="1" w:after="100" w:afterAutospacing="1" w:line="480" w:lineRule="exact"/>
        <w:ind w:firstLine="3570" w:firstLineChars="1700"/>
        <w:rPr>
          <w:sz w:val="21"/>
          <w:szCs w:val="21"/>
          <w:highlight w:val="none"/>
          <w:u w:val="single"/>
        </w:rPr>
      </w:pPr>
      <w:r>
        <w:rPr>
          <w:sz w:val="21"/>
          <w:szCs w:val="21"/>
          <w:highlight w:val="none"/>
        </w:rPr>
        <w:t>投标供应商（盖章）</w:t>
      </w:r>
      <w:r>
        <w:rPr>
          <w:rFonts w:hint="eastAsia"/>
          <w:sz w:val="21"/>
          <w:szCs w:val="21"/>
          <w:highlight w:val="none"/>
        </w:rPr>
        <w:t>：</w:t>
      </w:r>
      <w:r>
        <w:rPr>
          <w:sz w:val="21"/>
          <w:szCs w:val="21"/>
          <w:highlight w:val="none"/>
          <w:u w:val="single"/>
        </w:rPr>
        <w:t xml:space="preserve">                        </w:t>
      </w:r>
    </w:p>
    <w:p>
      <w:pPr>
        <w:spacing w:line="360" w:lineRule="auto"/>
        <w:ind w:firstLine="3570" w:firstLineChars="1700"/>
        <w:rPr>
          <w:sz w:val="21"/>
          <w:szCs w:val="21"/>
          <w:highlight w:val="none"/>
        </w:rPr>
      </w:pPr>
      <w:r>
        <w:rPr>
          <w:sz w:val="21"/>
          <w:szCs w:val="21"/>
          <w:highlight w:val="none"/>
        </w:rPr>
        <w:t>日  期：</w:t>
      </w:r>
      <w:r>
        <w:rPr>
          <w:sz w:val="21"/>
          <w:szCs w:val="21"/>
          <w:highlight w:val="none"/>
          <w:u w:val="single"/>
        </w:rPr>
        <w:t xml:space="preserve">             </w:t>
      </w:r>
      <w:r>
        <w:rPr>
          <w:sz w:val="21"/>
          <w:szCs w:val="21"/>
          <w:highlight w:val="none"/>
        </w:rPr>
        <w:t>年</w:t>
      </w:r>
      <w:r>
        <w:rPr>
          <w:sz w:val="21"/>
          <w:szCs w:val="21"/>
          <w:highlight w:val="none"/>
          <w:u w:val="single"/>
        </w:rPr>
        <w:t xml:space="preserve">     </w:t>
      </w:r>
      <w:r>
        <w:rPr>
          <w:sz w:val="21"/>
          <w:szCs w:val="21"/>
          <w:highlight w:val="none"/>
        </w:rPr>
        <w:t>月</w:t>
      </w:r>
      <w:r>
        <w:rPr>
          <w:sz w:val="21"/>
          <w:szCs w:val="21"/>
          <w:highlight w:val="none"/>
          <w:u w:val="single"/>
        </w:rPr>
        <w:t xml:space="preserve">     </w:t>
      </w:r>
      <w:r>
        <w:rPr>
          <w:sz w:val="21"/>
          <w:szCs w:val="21"/>
          <w:highlight w:val="none"/>
        </w:rPr>
        <w:t>日</w:t>
      </w:r>
    </w:p>
    <w:p>
      <w:pPr>
        <w:widowControl/>
        <w:autoSpaceDE/>
        <w:autoSpaceDN/>
        <w:adjustRightInd/>
        <w:spacing w:line="360" w:lineRule="auto"/>
        <w:ind w:firstLine="840" w:firstLineChars="400"/>
        <w:jc w:val="left"/>
        <w:textAlignment w:val="auto"/>
        <w:rPr>
          <w:sz w:val="21"/>
          <w:szCs w:val="21"/>
          <w:highlight w:val="none"/>
        </w:rPr>
      </w:pPr>
    </w:p>
    <w:p>
      <w:pPr>
        <w:widowControl/>
        <w:autoSpaceDE/>
        <w:autoSpaceDN/>
        <w:adjustRightInd/>
        <w:spacing w:line="360" w:lineRule="auto"/>
        <w:ind w:firstLine="840" w:firstLineChars="400"/>
        <w:jc w:val="left"/>
        <w:textAlignment w:val="auto"/>
        <w:rPr>
          <w:sz w:val="21"/>
          <w:szCs w:val="21"/>
          <w:highlight w:val="none"/>
        </w:rPr>
      </w:pPr>
    </w:p>
    <w:p>
      <w:pPr>
        <w:pStyle w:val="26"/>
        <w:rPr>
          <w:rFonts w:ascii="Times New Roman" w:hAnsi="Times New Roman"/>
          <w:highlight w:val="none"/>
          <w:lang w:eastAsia="zh-CN"/>
        </w:rPr>
      </w:pPr>
    </w:p>
    <w:p>
      <w:pPr>
        <w:widowControl/>
        <w:autoSpaceDE/>
        <w:autoSpaceDN/>
        <w:adjustRightInd/>
        <w:jc w:val="left"/>
        <w:textAlignment w:val="auto"/>
        <w:rPr>
          <w:b/>
          <w:szCs w:val="22"/>
          <w:highlight w:val="none"/>
        </w:rPr>
      </w:pPr>
      <w:r>
        <w:rPr>
          <w:rFonts w:hint="eastAsia"/>
          <w:b/>
          <w:szCs w:val="22"/>
          <w:highlight w:val="none"/>
        </w:rPr>
        <w:t>2</w:t>
      </w:r>
      <w:r>
        <w:rPr>
          <w:rFonts w:hint="eastAsia"/>
          <w:b/>
          <w:szCs w:val="22"/>
          <w:highlight w:val="none"/>
          <w:lang w:val="en-US" w:eastAsia="zh-CN"/>
        </w:rPr>
        <w:t>2</w:t>
      </w:r>
      <w:r>
        <w:rPr>
          <w:b/>
          <w:szCs w:val="22"/>
          <w:highlight w:val="none"/>
        </w:rPr>
        <w:t>、由省级以上监狱管理局、戒毒管理局（含新疆生产建设兵团）出具的属于监狱企业的证明文件（如有）</w:t>
      </w: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widowControl/>
        <w:autoSpaceDE/>
        <w:autoSpaceDN/>
        <w:adjustRightInd/>
        <w:jc w:val="left"/>
        <w:textAlignment w:val="auto"/>
        <w:rPr>
          <w:b/>
          <w:highlight w:val="none"/>
        </w:rPr>
      </w:pPr>
    </w:p>
    <w:p>
      <w:pPr>
        <w:pStyle w:val="31"/>
        <w:rPr>
          <w:b/>
          <w:szCs w:val="22"/>
          <w:highlight w:val="none"/>
        </w:rPr>
      </w:pPr>
      <w:r>
        <w:rPr>
          <w:rFonts w:hint="eastAsia"/>
          <w:b/>
          <w:szCs w:val="22"/>
          <w:highlight w:val="none"/>
        </w:rPr>
        <w:br w:type="page"/>
      </w:r>
      <w:r>
        <w:rPr>
          <w:rFonts w:hint="eastAsia"/>
          <w:b/>
          <w:szCs w:val="22"/>
          <w:highlight w:val="none"/>
        </w:rPr>
        <w:t>2</w:t>
      </w:r>
      <w:r>
        <w:rPr>
          <w:rFonts w:hint="eastAsia"/>
          <w:b/>
          <w:szCs w:val="22"/>
          <w:highlight w:val="none"/>
          <w:lang w:val="en-US" w:eastAsia="zh-CN"/>
        </w:rPr>
        <w:t>3</w:t>
      </w:r>
      <w:r>
        <w:rPr>
          <w:b/>
          <w:szCs w:val="22"/>
          <w:highlight w:val="none"/>
        </w:rPr>
        <w:t>、评分索引一览表；（格式）</w:t>
      </w:r>
    </w:p>
    <w:p>
      <w:pPr>
        <w:pStyle w:val="10"/>
        <w:rPr>
          <w:szCs w:val="24"/>
          <w:highlight w:val="none"/>
        </w:rPr>
      </w:pPr>
    </w:p>
    <w:p>
      <w:pPr>
        <w:pStyle w:val="10"/>
        <w:jc w:val="center"/>
        <w:rPr>
          <w:b/>
          <w:bCs/>
          <w:sz w:val="28"/>
          <w:szCs w:val="28"/>
          <w:highlight w:val="none"/>
        </w:rPr>
      </w:pPr>
      <w:r>
        <w:rPr>
          <w:b/>
          <w:bCs/>
          <w:sz w:val="28"/>
          <w:szCs w:val="28"/>
          <w:highlight w:val="none"/>
        </w:rPr>
        <w:t>评分索引一览表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2245"/>
        <w:gridCol w:w="2139"/>
        <w:gridCol w:w="1283"/>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94" w:type="dxa"/>
            <w:noWrap w:val="0"/>
            <w:vAlign w:val="center"/>
          </w:tcPr>
          <w:p>
            <w:pPr>
              <w:spacing w:line="360" w:lineRule="exact"/>
              <w:jc w:val="center"/>
              <w:rPr>
                <w:szCs w:val="21"/>
                <w:highlight w:val="none"/>
              </w:rPr>
            </w:pPr>
            <w:r>
              <w:rPr>
                <w:szCs w:val="21"/>
                <w:highlight w:val="none"/>
              </w:rPr>
              <w:t>序号</w:t>
            </w:r>
          </w:p>
        </w:tc>
        <w:tc>
          <w:tcPr>
            <w:tcW w:w="2245" w:type="dxa"/>
            <w:noWrap w:val="0"/>
            <w:vAlign w:val="center"/>
          </w:tcPr>
          <w:p>
            <w:pPr>
              <w:spacing w:line="360" w:lineRule="exact"/>
              <w:jc w:val="center"/>
              <w:rPr>
                <w:szCs w:val="21"/>
                <w:highlight w:val="none"/>
              </w:rPr>
            </w:pPr>
            <w:r>
              <w:rPr>
                <w:szCs w:val="21"/>
                <w:highlight w:val="none"/>
              </w:rPr>
              <w:t>评分内容</w:t>
            </w:r>
          </w:p>
        </w:tc>
        <w:tc>
          <w:tcPr>
            <w:tcW w:w="2139" w:type="dxa"/>
            <w:noWrap w:val="0"/>
            <w:vAlign w:val="center"/>
          </w:tcPr>
          <w:p>
            <w:pPr>
              <w:spacing w:line="360" w:lineRule="exact"/>
              <w:jc w:val="center"/>
              <w:rPr>
                <w:szCs w:val="21"/>
                <w:highlight w:val="none"/>
              </w:rPr>
            </w:pPr>
            <w:r>
              <w:rPr>
                <w:szCs w:val="21"/>
                <w:highlight w:val="none"/>
              </w:rPr>
              <w:t>标准分</w:t>
            </w:r>
          </w:p>
        </w:tc>
        <w:tc>
          <w:tcPr>
            <w:tcW w:w="1283" w:type="dxa"/>
            <w:noWrap w:val="0"/>
            <w:vAlign w:val="center"/>
          </w:tcPr>
          <w:p>
            <w:pPr>
              <w:spacing w:line="360" w:lineRule="exact"/>
              <w:jc w:val="center"/>
              <w:rPr>
                <w:szCs w:val="21"/>
                <w:highlight w:val="none"/>
              </w:rPr>
            </w:pPr>
            <w:r>
              <w:rPr>
                <w:szCs w:val="21"/>
                <w:highlight w:val="none"/>
              </w:rPr>
              <w:t>自评分</w:t>
            </w:r>
          </w:p>
        </w:tc>
        <w:tc>
          <w:tcPr>
            <w:tcW w:w="1557" w:type="dxa"/>
            <w:noWrap w:val="0"/>
            <w:vAlign w:val="center"/>
          </w:tcPr>
          <w:p>
            <w:pPr>
              <w:spacing w:line="360" w:lineRule="exact"/>
              <w:jc w:val="center"/>
              <w:rPr>
                <w:szCs w:val="21"/>
                <w:highlight w:val="none"/>
              </w:rPr>
            </w:pPr>
            <w:r>
              <w:rPr>
                <w:szCs w:val="21"/>
                <w:highlight w:val="none"/>
              </w:rPr>
              <w:t>在投标文件中所对应的页码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1</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2</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3</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4</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5</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6</w:t>
            </w:r>
          </w:p>
        </w:tc>
        <w:tc>
          <w:tcPr>
            <w:tcW w:w="2245" w:type="dxa"/>
            <w:noWrap w:val="0"/>
            <w:vAlign w:val="center"/>
          </w:tcPr>
          <w:p>
            <w:pPr>
              <w:spacing w:line="300" w:lineRule="exact"/>
              <w:jc w:val="center"/>
              <w:rPr>
                <w:b/>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7</w:t>
            </w:r>
          </w:p>
        </w:tc>
        <w:tc>
          <w:tcPr>
            <w:tcW w:w="2245" w:type="dxa"/>
            <w:noWrap w:val="0"/>
            <w:vAlign w:val="center"/>
          </w:tcPr>
          <w:p>
            <w:pPr>
              <w:spacing w:line="300" w:lineRule="exact"/>
              <w:jc w:val="center"/>
              <w:rPr>
                <w:b/>
                <w:snapToGrid w:val="0"/>
                <w:szCs w:val="21"/>
                <w:highlight w:val="none"/>
              </w:rPr>
            </w:pPr>
          </w:p>
        </w:tc>
        <w:tc>
          <w:tcPr>
            <w:tcW w:w="2139" w:type="dxa"/>
            <w:noWrap w:val="0"/>
            <w:vAlign w:val="center"/>
          </w:tcPr>
          <w:p>
            <w:pPr>
              <w:spacing w:line="300" w:lineRule="exact"/>
              <w:jc w:val="center"/>
              <w:rPr>
                <w:snapToGrid w:val="0"/>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8</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napToGrid w:val="0"/>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9</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4" w:type="dxa"/>
            <w:noWrap w:val="0"/>
            <w:vAlign w:val="center"/>
          </w:tcPr>
          <w:p>
            <w:pPr>
              <w:snapToGrid w:val="0"/>
              <w:spacing w:line="360" w:lineRule="exact"/>
              <w:jc w:val="center"/>
              <w:rPr>
                <w:snapToGrid w:val="0"/>
                <w:szCs w:val="21"/>
                <w:highlight w:val="none"/>
              </w:rPr>
            </w:pPr>
            <w:r>
              <w:rPr>
                <w:snapToGrid w:val="0"/>
                <w:szCs w:val="21"/>
                <w:highlight w:val="none"/>
              </w:rPr>
              <w:t>10</w:t>
            </w:r>
          </w:p>
        </w:tc>
        <w:tc>
          <w:tcPr>
            <w:tcW w:w="2245" w:type="dxa"/>
            <w:noWrap w:val="0"/>
            <w:vAlign w:val="center"/>
          </w:tcPr>
          <w:p>
            <w:pPr>
              <w:spacing w:line="300" w:lineRule="exact"/>
              <w:jc w:val="center"/>
              <w:rPr>
                <w:b/>
                <w:szCs w:val="21"/>
                <w:highlight w:val="none"/>
              </w:rPr>
            </w:pPr>
          </w:p>
        </w:tc>
        <w:tc>
          <w:tcPr>
            <w:tcW w:w="2139" w:type="dxa"/>
            <w:noWrap w:val="0"/>
            <w:vAlign w:val="center"/>
          </w:tcPr>
          <w:p>
            <w:pPr>
              <w:spacing w:line="30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4" w:type="dxa"/>
            <w:noWrap w:val="0"/>
            <w:vAlign w:val="center"/>
          </w:tcPr>
          <w:p>
            <w:pPr>
              <w:spacing w:line="360" w:lineRule="exact"/>
              <w:jc w:val="center"/>
              <w:rPr>
                <w:szCs w:val="21"/>
                <w:highlight w:val="none"/>
              </w:rPr>
            </w:pPr>
            <w:r>
              <w:rPr>
                <w:szCs w:val="21"/>
                <w:highlight w:val="none"/>
              </w:rPr>
              <w:t>....</w:t>
            </w:r>
          </w:p>
        </w:tc>
        <w:tc>
          <w:tcPr>
            <w:tcW w:w="2245" w:type="dxa"/>
            <w:noWrap w:val="0"/>
            <w:vAlign w:val="center"/>
          </w:tcPr>
          <w:p>
            <w:pPr>
              <w:spacing w:line="360" w:lineRule="exact"/>
              <w:jc w:val="center"/>
              <w:rPr>
                <w:szCs w:val="21"/>
                <w:highlight w:val="none"/>
              </w:rPr>
            </w:pPr>
          </w:p>
        </w:tc>
        <w:tc>
          <w:tcPr>
            <w:tcW w:w="2139" w:type="dxa"/>
            <w:noWrap w:val="0"/>
            <w:vAlign w:val="center"/>
          </w:tcPr>
          <w:p>
            <w:pPr>
              <w:spacing w:line="360" w:lineRule="exact"/>
              <w:jc w:val="center"/>
              <w:rPr>
                <w:szCs w:val="21"/>
                <w:highlight w:val="none"/>
              </w:rPr>
            </w:pPr>
          </w:p>
        </w:tc>
        <w:tc>
          <w:tcPr>
            <w:tcW w:w="1283" w:type="dxa"/>
            <w:noWrap w:val="0"/>
            <w:vAlign w:val="center"/>
          </w:tcPr>
          <w:p>
            <w:pPr>
              <w:spacing w:line="360" w:lineRule="exact"/>
              <w:rPr>
                <w:szCs w:val="21"/>
                <w:highlight w:val="none"/>
              </w:rPr>
            </w:pPr>
          </w:p>
        </w:tc>
        <w:tc>
          <w:tcPr>
            <w:tcW w:w="1557" w:type="dxa"/>
            <w:noWrap w:val="0"/>
            <w:vAlign w:val="center"/>
          </w:tcPr>
          <w:p>
            <w:pPr>
              <w:spacing w:line="360" w:lineRule="exact"/>
              <w:rPr>
                <w:szCs w:val="21"/>
                <w:highlight w:val="none"/>
              </w:rPr>
            </w:pPr>
          </w:p>
        </w:tc>
      </w:tr>
    </w:tbl>
    <w:p>
      <w:pPr>
        <w:pStyle w:val="10"/>
        <w:ind w:left="440" w:leftChars="200" w:right="550" w:rightChars="250" w:firstLine="422" w:firstLineChars="200"/>
        <w:rPr>
          <w:szCs w:val="24"/>
          <w:highlight w:val="none"/>
        </w:rPr>
      </w:pPr>
      <w:r>
        <w:rPr>
          <w:b/>
          <w:highlight w:val="none"/>
        </w:rPr>
        <w:t>注：</w:t>
      </w:r>
      <w:r>
        <w:rPr>
          <w:rFonts w:hint="eastAsia"/>
          <w:b/>
          <w:highlight w:val="none"/>
        </w:rPr>
        <w:t>“</w:t>
      </w:r>
      <w:r>
        <w:rPr>
          <w:b/>
          <w:highlight w:val="none"/>
        </w:rPr>
        <w:t>评分索引一览表</w:t>
      </w:r>
      <w:r>
        <w:rPr>
          <w:rFonts w:hint="eastAsia"/>
          <w:b/>
          <w:highlight w:val="none"/>
        </w:rPr>
        <w:t>”</w:t>
      </w:r>
      <w:r>
        <w:rPr>
          <w:b/>
          <w:highlight w:val="none"/>
        </w:rPr>
        <w:t>编排在《商务技术文件》的扉页。投标供应商应认真填写相关内容在投标文件中所对应的页码。</w:t>
      </w:r>
    </w:p>
    <w:p>
      <w:r>
        <w:br w:type="page"/>
      </w:r>
    </w:p>
    <w:p>
      <w:pPr>
        <w:pStyle w:val="10"/>
        <w:spacing w:before="42"/>
        <w:ind w:left="600"/>
      </w:pPr>
      <w:r>
        <w:t>附件 1：</w:t>
      </w:r>
    </w:p>
    <w:p>
      <w:pPr>
        <w:pStyle w:val="10"/>
        <w:rPr>
          <w:sz w:val="20"/>
        </w:rPr>
      </w:pPr>
    </w:p>
    <w:p>
      <w:pPr>
        <w:pStyle w:val="10"/>
        <w:spacing w:before="6"/>
        <w:rPr>
          <w:sz w:val="20"/>
        </w:rPr>
      </w:pPr>
    </w:p>
    <w:p>
      <w:pPr>
        <w:spacing w:before="55"/>
        <w:ind w:left="278" w:right="558" w:firstLine="0"/>
        <w:jc w:val="center"/>
        <w:rPr>
          <w:b/>
          <w:sz w:val="32"/>
        </w:rPr>
      </w:pPr>
      <w:r>
        <w:rPr>
          <w:b/>
          <w:sz w:val="32"/>
        </w:rPr>
        <w:t>快递单格式</w:t>
      </w:r>
    </w:p>
    <w:p>
      <w:pPr>
        <w:pStyle w:val="10"/>
        <w:rPr>
          <w:b/>
          <w:sz w:val="32"/>
        </w:rPr>
      </w:pPr>
    </w:p>
    <w:p>
      <w:pPr>
        <w:pStyle w:val="10"/>
        <w:spacing w:before="2"/>
        <w:rPr>
          <w:b/>
          <w:sz w:val="24"/>
        </w:rPr>
      </w:pPr>
    </w:p>
    <w:p>
      <w:pPr>
        <w:pStyle w:val="10"/>
        <w:tabs>
          <w:tab w:val="left" w:pos="2174"/>
        </w:tabs>
        <w:ind w:left="600"/>
      </w:pPr>
      <w:r>
        <w:t>寄件人：***</w:t>
      </w:r>
      <w:r>
        <w:tab/>
      </w:r>
      <w:r>
        <w:t>手机号码：************</w:t>
      </w:r>
    </w:p>
    <w:p>
      <w:pPr>
        <w:pStyle w:val="10"/>
        <w:spacing w:before="132" w:line="355" w:lineRule="auto"/>
        <w:ind w:left="600" w:right="3935"/>
      </w:pPr>
      <w:r>
        <w:rPr>
          <w:rFonts w:hint="eastAsia" w:ascii="宋体" w:hAnsi="宋体" w:eastAsia="宋体" w:cs="宋体"/>
          <w:lang w:eastAsia="zh-CN"/>
        </w:rPr>
        <w:t>寄件单位：（不得填写，快递外壳不得显示投标人名称）</w:t>
      </w:r>
      <w:r>
        <w:rPr>
          <w:w w:val="95"/>
        </w:rPr>
        <w:t xml:space="preserve"> </w:t>
      </w:r>
      <w:r>
        <w:t>寄件地址：********</w:t>
      </w:r>
    </w:p>
    <w:p>
      <w:pPr>
        <w:pStyle w:val="10"/>
        <w:rPr>
          <w:sz w:val="20"/>
        </w:rPr>
      </w:pPr>
    </w:p>
    <w:p>
      <w:pPr>
        <w:pStyle w:val="10"/>
        <w:tabs>
          <w:tab w:val="left" w:pos="2908"/>
        </w:tabs>
        <w:spacing w:before="147" w:line="355" w:lineRule="auto"/>
        <w:ind w:left="600" w:right="4668"/>
        <w:rPr>
          <w:rFonts w:hint="eastAsia" w:eastAsia="宋体"/>
          <w:lang w:eastAsia="zh-CN"/>
        </w:rPr>
      </w:pPr>
      <w:r>
        <w:t>收件人：</w:t>
      </w:r>
      <w:r>
        <w:rPr>
          <w:rFonts w:hint="eastAsia"/>
          <w:lang w:eastAsia="zh-CN"/>
        </w:rPr>
        <w:t>黄</w:t>
      </w:r>
      <w:r>
        <w:t>先生</w:t>
      </w:r>
      <w:r>
        <w:tab/>
      </w:r>
      <w:r>
        <w:t>手机号码：</w:t>
      </w:r>
      <w:r>
        <w:rPr>
          <w:rFonts w:hint="eastAsia"/>
          <w:lang w:val="en-US" w:eastAsia="zh-CN"/>
        </w:rPr>
        <w:t>18989482631</w:t>
      </w:r>
      <w:r>
        <w:t>收件单位：</w:t>
      </w:r>
      <w:r>
        <w:rPr>
          <w:rFonts w:hint="eastAsia"/>
          <w:lang w:eastAsia="zh-CN"/>
        </w:rPr>
        <w:t>杭州中乙信息科技咨询有限公司</w:t>
      </w:r>
    </w:p>
    <w:p>
      <w:pPr>
        <w:pStyle w:val="10"/>
        <w:spacing w:before="3"/>
        <w:ind w:left="600"/>
        <w:rPr>
          <w:rFonts w:hint="default" w:eastAsia="宋体"/>
          <w:lang w:val="en-US" w:eastAsia="zh-CN"/>
        </w:rPr>
      </w:pPr>
      <w:r>
        <w:t>寄件地址：</w:t>
      </w:r>
      <w:r>
        <w:rPr>
          <w:rFonts w:hint="eastAsia"/>
          <w:lang w:eastAsia="zh-CN"/>
        </w:rPr>
        <w:t>杭州市江干区钱江国际时代广场</w:t>
      </w:r>
      <w:r>
        <w:rPr>
          <w:rFonts w:hint="eastAsia"/>
          <w:lang w:val="en-US" w:eastAsia="zh-CN"/>
        </w:rPr>
        <w:t>2号楼607室—1</w:t>
      </w:r>
    </w:p>
    <w:p>
      <w:pPr>
        <w:pStyle w:val="10"/>
        <w:rPr>
          <w:sz w:val="20"/>
        </w:rPr>
      </w:pPr>
    </w:p>
    <w:p>
      <w:pPr>
        <w:pStyle w:val="10"/>
        <w:spacing w:before="5"/>
      </w:pPr>
    </w:p>
    <w:p>
      <w:pPr>
        <w:pStyle w:val="10"/>
        <w:spacing w:line="357" w:lineRule="auto"/>
        <w:ind w:left="600" w:right="877"/>
      </w:pPr>
      <w:r>
        <w:rPr>
          <w:rFonts w:hint="eastAsia" w:ascii="宋体" w:hAnsi="宋体" w:eastAsia="宋体" w:cs="宋体"/>
          <w:lang w:eastAsia="zh-CN"/>
        </w:rPr>
        <w:t>备注：兰溪市第一次水旱灾害风险普查项目投标，</w:t>
      </w:r>
      <w:r>
        <w:t>请送至收件人亲收。</w:t>
      </w:r>
    </w:p>
    <w:p>
      <w:pPr>
        <w:pStyle w:val="10"/>
        <w:rPr>
          <w:sz w:val="20"/>
        </w:rPr>
      </w:pPr>
    </w:p>
    <w:p>
      <w:pPr>
        <w:pStyle w:val="10"/>
        <w:rPr>
          <w:sz w:val="20"/>
        </w:rPr>
      </w:pPr>
    </w:p>
    <w:p>
      <w:pPr>
        <w:pStyle w:val="10"/>
        <w:rPr>
          <w:sz w:val="20"/>
        </w:rPr>
      </w:pPr>
    </w:p>
    <w:p>
      <w:pPr>
        <w:pStyle w:val="10"/>
        <w:rPr>
          <w:sz w:val="20"/>
        </w:rPr>
      </w:pPr>
    </w:p>
    <w:p>
      <w:pPr>
        <w:pStyle w:val="10"/>
        <w:spacing w:before="175"/>
        <w:ind w:left="600"/>
      </w:pP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56"/>
          <w:w w:val="99"/>
        </w:rPr>
        <w:t>·</w:t>
      </w:r>
      <w:r>
        <w:rPr>
          <w:spacing w:val="-58"/>
          <w:w w:val="99"/>
        </w:rPr>
        <w:t>·</w:t>
      </w:r>
      <w:r>
        <w:rPr>
          <w:spacing w:val="-104"/>
          <w:w w:val="99"/>
        </w:rPr>
        <w:t>···</w:t>
      </w:r>
      <w:r>
        <w:rPr>
          <w:spacing w:val="-106"/>
          <w:w w:val="99"/>
        </w:rPr>
        <w:t>·</w:t>
      </w:r>
      <w:r>
        <w:rPr>
          <w:spacing w:val="-104"/>
          <w:w w:val="99"/>
        </w:rPr>
        <w:t>···</w:t>
      </w:r>
      <w:r>
        <w:rPr>
          <w:spacing w:val="-106"/>
          <w:w w:val="99"/>
        </w:rPr>
        <w:t>·</w:t>
      </w:r>
      <w:r>
        <w:rPr>
          <w:spacing w:val="-104"/>
          <w:w w:val="99"/>
        </w:rPr>
        <w:t>···</w:t>
      </w:r>
      <w:r>
        <w:rPr>
          <w:spacing w:val="-106"/>
          <w:w w:val="99"/>
        </w:rPr>
        <w:t>·</w:t>
      </w:r>
      <w:r>
        <w:rPr>
          <w:spacing w:val="-104"/>
          <w:w w:val="99"/>
        </w:rPr>
        <w:t>···</w:t>
      </w:r>
      <w:r>
        <w:rPr>
          <w:spacing w:val="-106"/>
          <w:w w:val="99"/>
        </w:rPr>
        <w:t>·</w:t>
      </w:r>
      <w:r>
        <w:rPr>
          <w:spacing w:val="-104"/>
          <w:w w:val="99"/>
        </w:rPr>
        <w:t>···</w:t>
      </w:r>
      <w:r>
        <w:rPr>
          <w:spacing w:val="-106"/>
          <w:w w:val="99"/>
        </w:rPr>
        <w:t>·</w:t>
      </w:r>
      <w:r>
        <w:rPr>
          <w:spacing w:val="-104"/>
          <w:w w:val="99"/>
        </w:rPr>
        <w:t>·</w:t>
      </w:r>
      <w:r>
        <w:rPr>
          <w:w w:val="99"/>
        </w:rPr>
        <w:t>·</w:t>
      </w:r>
    </w:p>
    <w:p>
      <w:pPr>
        <w:pStyle w:val="10"/>
        <w:rPr>
          <w:sz w:val="20"/>
        </w:rPr>
      </w:pPr>
    </w:p>
    <w:p>
      <w:pPr>
        <w:pStyle w:val="10"/>
        <w:rPr>
          <w:sz w:val="20"/>
        </w:rPr>
      </w:pPr>
    </w:p>
    <w:p>
      <w:pPr>
        <w:pStyle w:val="10"/>
        <w:spacing w:before="3"/>
        <w:rPr>
          <w:sz w:val="24"/>
        </w:rPr>
      </w:pPr>
    </w:p>
    <w:p>
      <w:pPr>
        <w:spacing w:before="0"/>
        <w:ind w:left="278" w:right="558" w:firstLine="0"/>
        <w:jc w:val="center"/>
        <w:rPr>
          <w:b/>
          <w:sz w:val="32"/>
        </w:rPr>
      </w:pPr>
      <w:r>
        <w:rPr>
          <w:b/>
          <w:sz w:val="32"/>
        </w:rPr>
        <w:t>直接送达单格式</w:t>
      </w:r>
    </w:p>
    <w:p>
      <w:pPr>
        <w:pStyle w:val="10"/>
        <w:rPr>
          <w:b/>
          <w:sz w:val="32"/>
        </w:rPr>
      </w:pPr>
    </w:p>
    <w:p>
      <w:pPr>
        <w:pStyle w:val="10"/>
        <w:spacing w:before="8"/>
        <w:rPr>
          <w:b/>
          <w:sz w:val="26"/>
        </w:rPr>
      </w:pPr>
    </w:p>
    <w:p>
      <w:pPr>
        <w:pStyle w:val="10"/>
        <w:tabs>
          <w:tab w:val="left" w:pos="2068"/>
        </w:tabs>
        <w:ind w:left="600"/>
      </w:pPr>
      <w:r>
        <w:t>送件人：***</w:t>
      </w:r>
      <w:r>
        <w:tab/>
      </w:r>
      <w:r>
        <w:t>手机号码：***********</w:t>
      </w:r>
    </w:p>
    <w:p>
      <w:pPr>
        <w:pStyle w:val="10"/>
        <w:rPr>
          <w:sz w:val="20"/>
        </w:rPr>
      </w:pPr>
    </w:p>
    <w:p>
      <w:pPr>
        <w:pStyle w:val="10"/>
        <w:spacing w:before="5"/>
      </w:pPr>
    </w:p>
    <w:p>
      <w:pPr>
        <w:pStyle w:val="10"/>
        <w:tabs>
          <w:tab w:val="left" w:pos="2908"/>
        </w:tabs>
        <w:spacing w:line="357" w:lineRule="auto"/>
        <w:ind w:left="600" w:right="4668"/>
        <w:rPr>
          <w:rFonts w:hint="eastAsia" w:eastAsia="宋体"/>
          <w:lang w:eastAsia="zh-CN"/>
        </w:rPr>
      </w:pPr>
      <w:r>
        <w:t>收件人：</w:t>
      </w:r>
      <w:r>
        <w:rPr>
          <w:rFonts w:hint="eastAsia"/>
          <w:lang w:eastAsia="zh-CN"/>
        </w:rPr>
        <w:t>黄</w:t>
      </w:r>
      <w:r>
        <w:t>先生</w:t>
      </w:r>
      <w:r>
        <w:tab/>
      </w:r>
      <w:r>
        <w:t>手机号码：</w:t>
      </w:r>
      <w:r>
        <w:rPr>
          <w:rFonts w:hint="eastAsia"/>
          <w:lang w:val="en-US" w:eastAsia="zh-CN"/>
        </w:rPr>
        <w:t>18989482631</w:t>
      </w:r>
      <w:r>
        <w:t xml:space="preserve"> 收件单位：</w:t>
      </w:r>
      <w:r>
        <w:rPr>
          <w:rFonts w:hint="eastAsia"/>
          <w:lang w:eastAsia="zh-CN"/>
        </w:rPr>
        <w:t>杭州中乙信息科技咨询有限公司</w:t>
      </w:r>
    </w:p>
    <w:p>
      <w:pPr>
        <w:pStyle w:val="10"/>
        <w:ind w:left="600"/>
      </w:pPr>
      <w:r>
        <w:t>寄件地址：</w:t>
      </w:r>
      <w:r>
        <w:rPr>
          <w:rFonts w:hint="eastAsia"/>
          <w:lang w:eastAsia="zh-CN"/>
        </w:rPr>
        <w:t>杭州市江干区钱江国际时代广场</w:t>
      </w:r>
      <w:r>
        <w:rPr>
          <w:rFonts w:hint="eastAsia"/>
          <w:lang w:val="en-US" w:eastAsia="zh-CN"/>
        </w:rPr>
        <w:t>2号楼607室—1</w:t>
      </w:r>
    </w:p>
    <w:p>
      <w:pPr>
        <w:pStyle w:val="10"/>
        <w:rPr>
          <w:sz w:val="20"/>
        </w:rPr>
      </w:pPr>
    </w:p>
    <w:p>
      <w:pPr>
        <w:pStyle w:val="10"/>
        <w:spacing w:before="4"/>
      </w:pPr>
    </w:p>
    <w:p>
      <w:pPr>
        <w:pStyle w:val="10"/>
        <w:spacing w:before="1" w:line="357" w:lineRule="auto"/>
        <w:ind w:left="600" w:right="877"/>
      </w:pPr>
      <w:r>
        <w:rPr>
          <w:rFonts w:hint="eastAsia" w:ascii="宋体" w:hAnsi="宋体" w:eastAsia="宋体" w:cs="宋体"/>
          <w:lang w:eastAsia="zh-CN"/>
        </w:rPr>
        <w:t>备注：兰溪市第一次水旱灾害风险普查项目投标</w:t>
      </w:r>
      <w:r>
        <w:t>，请送至收件人亲收。</w:t>
      </w:r>
    </w:p>
    <w:sectPr>
      <w:footerReference r:id="rId10" w:type="default"/>
      <w:pgSz w:w="11910" w:h="16840"/>
      <w:pgMar w:top="1380" w:right="920" w:bottom="1180" w:left="1200" w:header="0" w:footer="9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方正楷体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3726180</wp:posOffset>
              </wp:positionH>
              <wp:positionV relativeFrom="page">
                <wp:posOffset>9921240</wp:posOffset>
              </wp:positionV>
              <wp:extent cx="107950" cy="1524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1.2pt;height:12pt;width:8.5pt;mso-position-horizontal-relative:page;mso-position-vertical-relative:page;z-index:-251657216;mso-width-relative:page;mso-height-relative:page;" filled="f" stroked="f" coordsize="21600,21600" o:gfxdata="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VTC39oAAAANAQAADwAAAAAAAAABACAAAAAiAAAAZHJzL2Rvd25yZXYueG1sUEsB&#10;AhQAFAAAAAgAh07iQGvcvfu6AQAAcQ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3726180</wp:posOffset>
              </wp:positionH>
              <wp:positionV relativeFrom="page">
                <wp:posOffset>10011410</wp:posOffset>
              </wp:positionV>
              <wp:extent cx="107950" cy="1524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4pt;margin-top:788.3pt;height:12pt;width:8.5pt;mso-position-horizontal-relative:page;mso-position-vertical-relative:page;z-index:-251656192;mso-width-relative:page;mso-height-relative:page;" filled="f" stroked="f" coordsize="21600,21600" o:gfxdata="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gsrr3ZAAAADQEAAA8AAAAAAAAAAQAgAAAAIgAAAGRycy9kb3ducmV2LnhtbFBLAQIU&#10;ABQAAAAIAIdO4kBCQMD9uQEAAHEDAAAOAAAAAAAAAAEAIAAAACgBAABkcnMvZTJvRG9jLnhtbFBL&#10;BQYAAAAABgAGAFkBAABT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9SoA4AgAAcA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SL1KgDgCAABwBAAADgAAAAAAAAABACAAAAAfAQAAZHJzL2Uyb0RvYy54&#10;bWxQSwUGAAAAAAYABgBZAQAAyQUAAAAA&#10;">
              <v:fill on="f" focussize="0,0"/>
              <v:stroke on="f" weight="0.5pt"/>
              <v:imagedata o:title=""/>
              <o:lock v:ext="edit" aspectratio="f"/>
              <v:textbox inset="0mm,0mm,0mm,0mm" style="mso-fit-shape-to-text:t;">
                <w:txbxContent>
                  <w:p>
                    <w:pPr>
                      <w:pStyle w:val="12"/>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2"/>
                            <w:rPr>
                              <w:rFonts w:hint="eastAsia" w:eastAsia="宋体"/>
                            </w:rPr>
                          </w:pP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2Rs22eIBAADN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3697605</wp:posOffset>
              </wp:positionH>
              <wp:positionV relativeFrom="page">
                <wp:posOffset>10011410</wp:posOffset>
              </wp:positionV>
              <wp:extent cx="166370" cy="1524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15pt;margin-top:788.3pt;height:12pt;width:13.1pt;mso-position-horizontal-relative:page;mso-position-vertical-relative:page;z-index:-251655168;mso-width-relative:page;mso-height-relative:page;" filled="f" stroked="f" coordsize="21600,21600" o:gfxdata="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ihN72QAAAA0BAAAPAAAAAAAAAAEAIAAAACIAAABkcnMvZG93bnJldi54bWxQSwEC&#10;FAAUAAAACACHTuJAD4HBgroBAAByAwAADgAAAAAAAAABACAAAAAo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3697605</wp:posOffset>
              </wp:positionH>
              <wp:positionV relativeFrom="page">
                <wp:posOffset>10011410</wp:posOffset>
              </wp:positionV>
              <wp:extent cx="166370" cy="152400"/>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15pt;margin-top:788.3pt;height:12pt;width:13.1pt;mso-position-horizontal-relative:page;mso-position-vertical-relative:page;z-index:-251654144;mso-width-relative:page;mso-height-relative:page;" filled="f" stroked="f" coordsize="21600,21600" o:gfxdata="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ihN72QAAAA0BAAAPAAAAAAAAAAEAIAAAACIAAABkcnMvZG93bnJldi54bWxQSwEC&#10;FAAUAAAACACHTuJA38BlFboBAAByAwAADgAAAAAAAAABACAAAAAo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3697605</wp:posOffset>
              </wp:positionH>
              <wp:positionV relativeFrom="page">
                <wp:posOffset>9921240</wp:posOffset>
              </wp:positionV>
              <wp:extent cx="260985" cy="152400"/>
              <wp:effectExtent l="0" t="0" r="0" b="0"/>
              <wp:wrapNone/>
              <wp:docPr id="12" name="文本框 6"/>
              <wp:cNvGraphicFramePr/>
              <a:graphic xmlns:a="http://schemas.openxmlformats.org/drawingml/2006/main">
                <a:graphicData uri="http://schemas.microsoft.com/office/word/2010/wordprocessingShape">
                  <wps:wsp>
                    <wps:cNvSpPr txBox="1"/>
                    <wps:spPr>
                      <a:xfrm>
                        <a:off x="0" y="0"/>
                        <a:ext cx="260985"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32</w:t>
                          </w:r>
                          <w:r>
                            <w:fldChar w:fldCharType="end"/>
                          </w:r>
                        </w:p>
                      </w:txbxContent>
                    </wps:txbx>
                    <wps:bodyPr vert="horz" lIns="0" tIns="0" rIns="0" bIns="0" anchor="t" anchorCtr="0" upright="1"/>
                  </wps:wsp>
                </a:graphicData>
              </a:graphic>
            </wp:anchor>
          </w:drawing>
        </mc:Choice>
        <mc:Fallback>
          <w:pict>
            <v:shape id="文本框 6" o:spid="_x0000_s1026" o:spt="202" type="#_x0000_t202" style="position:absolute;left:0pt;margin-left:291.15pt;margin-top:781.2pt;height:12pt;width:20.55pt;mso-position-horizontal-relative:page;mso-position-vertical-relative:page;z-index:-251653120;mso-width-relative:page;mso-height-relative:page;" filled="f" stroked="f" coordsize="21600,21600" o:gfxdata="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wWAb2wAAAA0BAAAPAAAAAAAAAAEAIAAA&#10;ACIAAABkcnMvZG93bnJldi54bWxQSwECFAAUAAAACACHTuJAYxhxzNABAACXAwAADgAAAAAAAAAB&#10;ACAAAAAqAQAAZHJzL2Uyb0RvYy54bWxQSwUGAAAAAAYABgBZAQAAb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90CBA"/>
    <w:multiLevelType w:val="singleLevel"/>
    <w:tmpl w:val="86F90CBA"/>
    <w:lvl w:ilvl="0" w:tentative="0">
      <w:start w:val="2"/>
      <w:numFmt w:val="decimal"/>
      <w:suff w:val="space"/>
      <w:lvlText w:val="%1."/>
      <w:lvlJc w:val="left"/>
    </w:lvl>
  </w:abstractNum>
  <w:abstractNum w:abstractNumId="1">
    <w:nsid w:val="9239341B"/>
    <w:multiLevelType w:val="multilevel"/>
    <w:tmpl w:val="9239341B"/>
    <w:lvl w:ilvl="0" w:tentative="0">
      <w:start w:val="7"/>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2">
    <w:nsid w:val="9288B902"/>
    <w:multiLevelType w:val="multilevel"/>
    <w:tmpl w:val="9288B902"/>
    <w:lvl w:ilvl="0" w:tentative="0">
      <w:start w:val="2"/>
      <w:numFmt w:val="decimal"/>
      <w:lvlText w:val="（%1）"/>
      <w:lvlJc w:val="left"/>
      <w:pPr>
        <w:ind w:left="743" w:hanging="526"/>
        <w:jc w:val="left"/>
      </w:pPr>
      <w:rPr>
        <w:rFonts w:hint="default" w:ascii="宋体" w:hAnsi="宋体" w:eastAsia="宋体" w:cs="宋体"/>
        <w:b/>
        <w:bCs/>
        <w:spacing w:val="-1"/>
        <w:w w:val="98"/>
        <w:sz w:val="19"/>
        <w:szCs w:val="19"/>
        <w:lang w:val="zh-CN" w:eastAsia="zh-CN" w:bidi="zh-CN"/>
      </w:rPr>
    </w:lvl>
    <w:lvl w:ilvl="1" w:tentative="0">
      <w:start w:val="1"/>
      <w:numFmt w:val="decimal"/>
      <w:lvlText w:val="（%2）"/>
      <w:lvlJc w:val="left"/>
      <w:pPr>
        <w:ind w:left="1267" w:hanging="629"/>
        <w:jc w:val="left"/>
      </w:pPr>
      <w:rPr>
        <w:rFonts w:hint="default" w:ascii="宋体" w:hAnsi="宋体" w:eastAsia="宋体" w:cs="宋体"/>
        <w:spacing w:val="-1"/>
        <w:w w:val="99"/>
        <w:sz w:val="21"/>
        <w:szCs w:val="21"/>
        <w:lang w:val="zh-CN" w:eastAsia="zh-CN" w:bidi="zh-CN"/>
      </w:rPr>
    </w:lvl>
    <w:lvl w:ilvl="2" w:tentative="0">
      <w:start w:val="0"/>
      <w:numFmt w:val="bullet"/>
      <w:lvlText w:val="•"/>
      <w:lvlJc w:val="left"/>
      <w:pPr>
        <w:ind w:left="2207" w:hanging="629"/>
      </w:pPr>
      <w:rPr>
        <w:rFonts w:hint="default"/>
        <w:lang w:val="zh-CN" w:eastAsia="zh-CN" w:bidi="zh-CN"/>
      </w:rPr>
    </w:lvl>
    <w:lvl w:ilvl="3" w:tentative="0">
      <w:start w:val="0"/>
      <w:numFmt w:val="bullet"/>
      <w:lvlText w:val="•"/>
      <w:lvlJc w:val="left"/>
      <w:pPr>
        <w:ind w:left="3154" w:hanging="629"/>
      </w:pPr>
      <w:rPr>
        <w:rFonts w:hint="default"/>
        <w:lang w:val="zh-CN" w:eastAsia="zh-CN" w:bidi="zh-CN"/>
      </w:rPr>
    </w:lvl>
    <w:lvl w:ilvl="4" w:tentative="0">
      <w:start w:val="0"/>
      <w:numFmt w:val="bullet"/>
      <w:lvlText w:val="•"/>
      <w:lvlJc w:val="left"/>
      <w:pPr>
        <w:ind w:left="4102" w:hanging="629"/>
      </w:pPr>
      <w:rPr>
        <w:rFonts w:hint="default"/>
        <w:lang w:val="zh-CN" w:eastAsia="zh-CN" w:bidi="zh-CN"/>
      </w:rPr>
    </w:lvl>
    <w:lvl w:ilvl="5" w:tentative="0">
      <w:start w:val="0"/>
      <w:numFmt w:val="bullet"/>
      <w:lvlText w:val="•"/>
      <w:lvlJc w:val="left"/>
      <w:pPr>
        <w:ind w:left="5049" w:hanging="629"/>
      </w:pPr>
      <w:rPr>
        <w:rFonts w:hint="default"/>
        <w:lang w:val="zh-CN" w:eastAsia="zh-CN" w:bidi="zh-CN"/>
      </w:rPr>
    </w:lvl>
    <w:lvl w:ilvl="6" w:tentative="0">
      <w:start w:val="0"/>
      <w:numFmt w:val="bullet"/>
      <w:lvlText w:val="•"/>
      <w:lvlJc w:val="left"/>
      <w:pPr>
        <w:ind w:left="5996" w:hanging="629"/>
      </w:pPr>
      <w:rPr>
        <w:rFonts w:hint="default"/>
        <w:lang w:val="zh-CN" w:eastAsia="zh-CN" w:bidi="zh-CN"/>
      </w:rPr>
    </w:lvl>
    <w:lvl w:ilvl="7" w:tentative="0">
      <w:start w:val="0"/>
      <w:numFmt w:val="bullet"/>
      <w:lvlText w:val="•"/>
      <w:lvlJc w:val="left"/>
      <w:pPr>
        <w:ind w:left="6944" w:hanging="629"/>
      </w:pPr>
      <w:rPr>
        <w:rFonts w:hint="default"/>
        <w:lang w:val="zh-CN" w:eastAsia="zh-CN" w:bidi="zh-CN"/>
      </w:rPr>
    </w:lvl>
    <w:lvl w:ilvl="8" w:tentative="0">
      <w:start w:val="0"/>
      <w:numFmt w:val="bullet"/>
      <w:lvlText w:val="•"/>
      <w:lvlJc w:val="left"/>
      <w:pPr>
        <w:ind w:left="7891" w:hanging="629"/>
      </w:pPr>
      <w:rPr>
        <w:rFonts w:hint="default"/>
        <w:lang w:val="zh-CN" w:eastAsia="zh-CN" w:bidi="zh-CN"/>
      </w:rPr>
    </w:lvl>
  </w:abstractNum>
  <w:abstractNum w:abstractNumId="3">
    <w:nsid w:val="9C8AC8EF"/>
    <w:multiLevelType w:val="multilevel"/>
    <w:tmpl w:val="9C8AC8EF"/>
    <w:lvl w:ilvl="0" w:tentative="0">
      <w:start w:val="21"/>
      <w:numFmt w:val="decimal"/>
      <w:lvlText w:val="%1"/>
      <w:lvlJc w:val="left"/>
      <w:pPr>
        <w:ind w:left="1108" w:hanging="471"/>
        <w:jc w:val="left"/>
      </w:pPr>
      <w:rPr>
        <w:rFonts w:hint="default"/>
        <w:lang w:val="zh-CN" w:eastAsia="zh-CN" w:bidi="zh-CN"/>
      </w:rPr>
    </w:lvl>
    <w:lvl w:ilvl="1" w:tentative="0">
      <w:start w:val="1"/>
      <w:numFmt w:val="decimal"/>
      <w:lvlText w:val="%1.%2"/>
      <w:lvlJc w:val="left"/>
      <w:pPr>
        <w:ind w:left="1108" w:hanging="471"/>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837" w:hanging="471"/>
      </w:pPr>
      <w:rPr>
        <w:rFonts w:hint="default"/>
        <w:lang w:val="zh-CN" w:eastAsia="zh-CN" w:bidi="zh-CN"/>
      </w:rPr>
    </w:lvl>
    <w:lvl w:ilvl="3" w:tentative="0">
      <w:start w:val="0"/>
      <w:numFmt w:val="bullet"/>
      <w:lvlText w:val="•"/>
      <w:lvlJc w:val="left"/>
      <w:pPr>
        <w:ind w:left="3705" w:hanging="471"/>
      </w:pPr>
      <w:rPr>
        <w:rFonts w:hint="default"/>
        <w:lang w:val="zh-CN" w:eastAsia="zh-CN" w:bidi="zh-CN"/>
      </w:rPr>
    </w:lvl>
    <w:lvl w:ilvl="4" w:tentative="0">
      <w:start w:val="0"/>
      <w:numFmt w:val="bullet"/>
      <w:lvlText w:val="•"/>
      <w:lvlJc w:val="left"/>
      <w:pPr>
        <w:ind w:left="4574" w:hanging="471"/>
      </w:pPr>
      <w:rPr>
        <w:rFonts w:hint="default"/>
        <w:lang w:val="zh-CN" w:eastAsia="zh-CN" w:bidi="zh-CN"/>
      </w:rPr>
    </w:lvl>
    <w:lvl w:ilvl="5" w:tentative="0">
      <w:start w:val="0"/>
      <w:numFmt w:val="bullet"/>
      <w:lvlText w:val="•"/>
      <w:lvlJc w:val="left"/>
      <w:pPr>
        <w:ind w:left="5443" w:hanging="471"/>
      </w:pPr>
      <w:rPr>
        <w:rFonts w:hint="default"/>
        <w:lang w:val="zh-CN" w:eastAsia="zh-CN" w:bidi="zh-CN"/>
      </w:rPr>
    </w:lvl>
    <w:lvl w:ilvl="6" w:tentative="0">
      <w:start w:val="0"/>
      <w:numFmt w:val="bullet"/>
      <w:lvlText w:val="•"/>
      <w:lvlJc w:val="left"/>
      <w:pPr>
        <w:ind w:left="6311" w:hanging="471"/>
      </w:pPr>
      <w:rPr>
        <w:rFonts w:hint="default"/>
        <w:lang w:val="zh-CN" w:eastAsia="zh-CN" w:bidi="zh-CN"/>
      </w:rPr>
    </w:lvl>
    <w:lvl w:ilvl="7" w:tentative="0">
      <w:start w:val="0"/>
      <w:numFmt w:val="bullet"/>
      <w:lvlText w:val="•"/>
      <w:lvlJc w:val="left"/>
      <w:pPr>
        <w:ind w:left="7180" w:hanging="471"/>
      </w:pPr>
      <w:rPr>
        <w:rFonts w:hint="default"/>
        <w:lang w:val="zh-CN" w:eastAsia="zh-CN" w:bidi="zh-CN"/>
      </w:rPr>
    </w:lvl>
    <w:lvl w:ilvl="8" w:tentative="0">
      <w:start w:val="0"/>
      <w:numFmt w:val="bullet"/>
      <w:lvlText w:val="•"/>
      <w:lvlJc w:val="left"/>
      <w:pPr>
        <w:ind w:left="8048" w:hanging="471"/>
      </w:pPr>
      <w:rPr>
        <w:rFonts w:hint="default"/>
        <w:lang w:val="zh-CN" w:eastAsia="zh-CN" w:bidi="zh-CN"/>
      </w:rPr>
    </w:lvl>
  </w:abstractNum>
  <w:abstractNum w:abstractNumId="4">
    <w:nsid w:val="9CF431A6"/>
    <w:multiLevelType w:val="singleLevel"/>
    <w:tmpl w:val="9CF431A6"/>
    <w:lvl w:ilvl="0" w:tentative="0">
      <w:start w:val="1"/>
      <w:numFmt w:val="chineseCounting"/>
      <w:suff w:val="nothing"/>
      <w:lvlText w:val="%1、"/>
      <w:lvlJc w:val="left"/>
      <w:rPr>
        <w:rFonts w:hint="eastAsia"/>
      </w:rPr>
    </w:lvl>
  </w:abstractNum>
  <w:abstractNum w:abstractNumId="5">
    <w:nsid w:val="A3F787D7"/>
    <w:multiLevelType w:val="singleLevel"/>
    <w:tmpl w:val="A3F787D7"/>
    <w:lvl w:ilvl="0" w:tentative="0">
      <w:start w:val="1"/>
      <w:numFmt w:val="decimal"/>
      <w:lvlText w:val="%1."/>
      <w:lvlJc w:val="left"/>
      <w:pPr>
        <w:tabs>
          <w:tab w:val="left" w:pos="312"/>
        </w:tabs>
      </w:pPr>
    </w:lvl>
  </w:abstractNum>
  <w:abstractNum w:abstractNumId="6">
    <w:nsid w:val="B0F1ACD9"/>
    <w:multiLevelType w:val="multilevel"/>
    <w:tmpl w:val="B0F1ACD9"/>
    <w:lvl w:ilvl="0" w:tentative="0">
      <w:start w:val="5"/>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7">
    <w:nsid w:val="BE923771"/>
    <w:multiLevelType w:val="multilevel"/>
    <w:tmpl w:val="BE923771"/>
    <w:lvl w:ilvl="0" w:tentative="0">
      <w:start w:val="8"/>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8">
    <w:nsid w:val="C8879AEF"/>
    <w:multiLevelType w:val="multilevel"/>
    <w:tmpl w:val="C8879AEF"/>
    <w:lvl w:ilvl="0" w:tentative="0">
      <w:start w:val="10"/>
      <w:numFmt w:val="decimal"/>
      <w:lvlText w:val="%1"/>
      <w:lvlJc w:val="left"/>
      <w:pPr>
        <w:ind w:left="1113" w:hanging="476"/>
        <w:jc w:val="left"/>
      </w:pPr>
      <w:rPr>
        <w:rFonts w:hint="default"/>
        <w:lang w:val="zh-CN" w:eastAsia="zh-CN" w:bidi="zh-CN"/>
      </w:rPr>
    </w:lvl>
    <w:lvl w:ilvl="1" w:tentative="0">
      <w:start w:val="3"/>
      <w:numFmt w:val="decimal"/>
      <w:lvlText w:val="%1.%2"/>
      <w:lvlJc w:val="left"/>
      <w:pPr>
        <w:ind w:left="1113" w:hanging="476"/>
        <w:jc w:val="left"/>
      </w:pPr>
      <w:rPr>
        <w:rFonts w:hint="default" w:ascii="宋体" w:hAnsi="宋体" w:eastAsia="宋体" w:cs="宋体"/>
        <w:b/>
        <w:bCs/>
        <w:spacing w:val="0"/>
        <w:w w:val="98"/>
        <w:sz w:val="21"/>
        <w:szCs w:val="21"/>
        <w:lang w:val="zh-CN" w:eastAsia="zh-CN" w:bidi="zh-CN"/>
      </w:rPr>
    </w:lvl>
    <w:lvl w:ilvl="2" w:tentative="0">
      <w:start w:val="1"/>
      <w:numFmt w:val="decimal"/>
      <w:lvlText w:val="%1.%2.%3"/>
      <w:lvlJc w:val="left"/>
      <w:pPr>
        <w:ind w:left="1372" w:hanging="735"/>
        <w:jc w:val="left"/>
      </w:pPr>
      <w:rPr>
        <w:rFonts w:hint="default" w:ascii="宋体" w:hAnsi="宋体" w:eastAsia="宋体" w:cs="宋体"/>
        <w:spacing w:val="-2"/>
        <w:w w:val="99"/>
        <w:sz w:val="21"/>
        <w:szCs w:val="21"/>
        <w:lang w:val="zh-CN" w:eastAsia="zh-CN" w:bidi="zh-CN"/>
      </w:rPr>
    </w:lvl>
    <w:lvl w:ilvl="3" w:tentative="0">
      <w:start w:val="0"/>
      <w:numFmt w:val="bullet"/>
      <w:lvlText w:val="•"/>
      <w:lvlJc w:val="left"/>
      <w:pPr>
        <w:ind w:left="2430" w:hanging="735"/>
      </w:pPr>
      <w:rPr>
        <w:rFonts w:hint="default"/>
        <w:lang w:val="zh-CN" w:eastAsia="zh-CN" w:bidi="zh-CN"/>
      </w:rPr>
    </w:lvl>
    <w:lvl w:ilvl="4" w:tentative="0">
      <w:start w:val="0"/>
      <w:numFmt w:val="bullet"/>
      <w:lvlText w:val="•"/>
      <w:lvlJc w:val="left"/>
      <w:pPr>
        <w:ind w:left="3481" w:hanging="735"/>
      </w:pPr>
      <w:rPr>
        <w:rFonts w:hint="default"/>
        <w:lang w:val="zh-CN" w:eastAsia="zh-CN" w:bidi="zh-CN"/>
      </w:rPr>
    </w:lvl>
    <w:lvl w:ilvl="5" w:tentative="0">
      <w:start w:val="0"/>
      <w:numFmt w:val="bullet"/>
      <w:lvlText w:val="•"/>
      <w:lvlJc w:val="left"/>
      <w:pPr>
        <w:ind w:left="4532" w:hanging="735"/>
      </w:pPr>
      <w:rPr>
        <w:rFonts w:hint="default"/>
        <w:lang w:val="zh-CN" w:eastAsia="zh-CN" w:bidi="zh-CN"/>
      </w:rPr>
    </w:lvl>
    <w:lvl w:ilvl="6" w:tentative="0">
      <w:start w:val="0"/>
      <w:numFmt w:val="bullet"/>
      <w:lvlText w:val="•"/>
      <w:lvlJc w:val="left"/>
      <w:pPr>
        <w:ind w:left="5583" w:hanging="735"/>
      </w:pPr>
      <w:rPr>
        <w:rFonts w:hint="default"/>
        <w:lang w:val="zh-CN" w:eastAsia="zh-CN" w:bidi="zh-CN"/>
      </w:rPr>
    </w:lvl>
    <w:lvl w:ilvl="7" w:tentative="0">
      <w:start w:val="0"/>
      <w:numFmt w:val="bullet"/>
      <w:lvlText w:val="•"/>
      <w:lvlJc w:val="left"/>
      <w:pPr>
        <w:ind w:left="6633" w:hanging="735"/>
      </w:pPr>
      <w:rPr>
        <w:rFonts w:hint="default"/>
        <w:lang w:val="zh-CN" w:eastAsia="zh-CN" w:bidi="zh-CN"/>
      </w:rPr>
    </w:lvl>
    <w:lvl w:ilvl="8" w:tentative="0">
      <w:start w:val="0"/>
      <w:numFmt w:val="bullet"/>
      <w:lvlText w:val="•"/>
      <w:lvlJc w:val="left"/>
      <w:pPr>
        <w:ind w:left="7684" w:hanging="735"/>
      </w:pPr>
      <w:rPr>
        <w:rFonts w:hint="default"/>
        <w:lang w:val="zh-CN" w:eastAsia="zh-CN" w:bidi="zh-CN"/>
      </w:rPr>
    </w:lvl>
  </w:abstractNum>
  <w:abstractNum w:abstractNumId="9">
    <w:nsid w:val="D7F9FE59"/>
    <w:multiLevelType w:val="multilevel"/>
    <w:tmpl w:val="D7F9FE59"/>
    <w:lvl w:ilvl="0" w:tentative="0">
      <w:start w:val="16"/>
      <w:numFmt w:val="decimal"/>
      <w:lvlText w:val="%1"/>
      <w:lvlJc w:val="left"/>
      <w:pPr>
        <w:ind w:left="1108" w:hanging="471"/>
        <w:jc w:val="left"/>
      </w:pPr>
      <w:rPr>
        <w:rFonts w:hint="default"/>
        <w:lang w:val="zh-CN" w:eastAsia="zh-CN" w:bidi="zh-CN"/>
      </w:rPr>
    </w:lvl>
    <w:lvl w:ilvl="1" w:tentative="0">
      <w:start w:val="1"/>
      <w:numFmt w:val="decimal"/>
      <w:lvlText w:val="%1.%2"/>
      <w:lvlJc w:val="left"/>
      <w:pPr>
        <w:ind w:left="1108" w:hanging="471"/>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837" w:hanging="471"/>
      </w:pPr>
      <w:rPr>
        <w:rFonts w:hint="default"/>
        <w:lang w:val="zh-CN" w:eastAsia="zh-CN" w:bidi="zh-CN"/>
      </w:rPr>
    </w:lvl>
    <w:lvl w:ilvl="3" w:tentative="0">
      <w:start w:val="0"/>
      <w:numFmt w:val="bullet"/>
      <w:lvlText w:val="•"/>
      <w:lvlJc w:val="left"/>
      <w:pPr>
        <w:ind w:left="3705" w:hanging="471"/>
      </w:pPr>
      <w:rPr>
        <w:rFonts w:hint="default"/>
        <w:lang w:val="zh-CN" w:eastAsia="zh-CN" w:bidi="zh-CN"/>
      </w:rPr>
    </w:lvl>
    <w:lvl w:ilvl="4" w:tentative="0">
      <w:start w:val="0"/>
      <w:numFmt w:val="bullet"/>
      <w:lvlText w:val="•"/>
      <w:lvlJc w:val="left"/>
      <w:pPr>
        <w:ind w:left="4574" w:hanging="471"/>
      </w:pPr>
      <w:rPr>
        <w:rFonts w:hint="default"/>
        <w:lang w:val="zh-CN" w:eastAsia="zh-CN" w:bidi="zh-CN"/>
      </w:rPr>
    </w:lvl>
    <w:lvl w:ilvl="5" w:tentative="0">
      <w:start w:val="0"/>
      <w:numFmt w:val="bullet"/>
      <w:lvlText w:val="•"/>
      <w:lvlJc w:val="left"/>
      <w:pPr>
        <w:ind w:left="5443" w:hanging="471"/>
      </w:pPr>
      <w:rPr>
        <w:rFonts w:hint="default"/>
        <w:lang w:val="zh-CN" w:eastAsia="zh-CN" w:bidi="zh-CN"/>
      </w:rPr>
    </w:lvl>
    <w:lvl w:ilvl="6" w:tentative="0">
      <w:start w:val="0"/>
      <w:numFmt w:val="bullet"/>
      <w:lvlText w:val="•"/>
      <w:lvlJc w:val="left"/>
      <w:pPr>
        <w:ind w:left="6311" w:hanging="471"/>
      </w:pPr>
      <w:rPr>
        <w:rFonts w:hint="default"/>
        <w:lang w:val="zh-CN" w:eastAsia="zh-CN" w:bidi="zh-CN"/>
      </w:rPr>
    </w:lvl>
    <w:lvl w:ilvl="7" w:tentative="0">
      <w:start w:val="0"/>
      <w:numFmt w:val="bullet"/>
      <w:lvlText w:val="•"/>
      <w:lvlJc w:val="left"/>
      <w:pPr>
        <w:ind w:left="7180" w:hanging="471"/>
      </w:pPr>
      <w:rPr>
        <w:rFonts w:hint="default"/>
        <w:lang w:val="zh-CN" w:eastAsia="zh-CN" w:bidi="zh-CN"/>
      </w:rPr>
    </w:lvl>
    <w:lvl w:ilvl="8" w:tentative="0">
      <w:start w:val="0"/>
      <w:numFmt w:val="bullet"/>
      <w:lvlText w:val="•"/>
      <w:lvlJc w:val="left"/>
      <w:pPr>
        <w:ind w:left="8048" w:hanging="471"/>
      </w:pPr>
      <w:rPr>
        <w:rFonts w:hint="default"/>
        <w:lang w:val="zh-CN" w:eastAsia="zh-CN" w:bidi="zh-CN"/>
      </w:rPr>
    </w:lvl>
  </w:abstractNum>
  <w:abstractNum w:abstractNumId="10">
    <w:nsid w:val="DCBA6B53"/>
    <w:multiLevelType w:val="multilevel"/>
    <w:tmpl w:val="DCBA6B53"/>
    <w:lvl w:ilvl="0" w:tentative="0">
      <w:start w:val="14"/>
      <w:numFmt w:val="decimal"/>
      <w:lvlText w:val="%1"/>
      <w:lvlJc w:val="left"/>
      <w:pPr>
        <w:ind w:left="1108" w:hanging="471"/>
        <w:jc w:val="left"/>
      </w:pPr>
      <w:rPr>
        <w:rFonts w:hint="default"/>
        <w:lang w:val="zh-CN" w:eastAsia="zh-CN" w:bidi="zh-CN"/>
      </w:rPr>
    </w:lvl>
    <w:lvl w:ilvl="1" w:tentative="0">
      <w:start w:val="1"/>
      <w:numFmt w:val="decimal"/>
      <w:lvlText w:val="%1.%2"/>
      <w:lvlJc w:val="left"/>
      <w:pPr>
        <w:ind w:left="1108" w:hanging="471"/>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837" w:hanging="471"/>
      </w:pPr>
      <w:rPr>
        <w:rFonts w:hint="default"/>
        <w:lang w:val="zh-CN" w:eastAsia="zh-CN" w:bidi="zh-CN"/>
      </w:rPr>
    </w:lvl>
    <w:lvl w:ilvl="3" w:tentative="0">
      <w:start w:val="0"/>
      <w:numFmt w:val="bullet"/>
      <w:lvlText w:val="•"/>
      <w:lvlJc w:val="left"/>
      <w:pPr>
        <w:ind w:left="3705" w:hanging="471"/>
      </w:pPr>
      <w:rPr>
        <w:rFonts w:hint="default"/>
        <w:lang w:val="zh-CN" w:eastAsia="zh-CN" w:bidi="zh-CN"/>
      </w:rPr>
    </w:lvl>
    <w:lvl w:ilvl="4" w:tentative="0">
      <w:start w:val="0"/>
      <w:numFmt w:val="bullet"/>
      <w:lvlText w:val="•"/>
      <w:lvlJc w:val="left"/>
      <w:pPr>
        <w:ind w:left="4574" w:hanging="471"/>
      </w:pPr>
      <w:rPr>
        <w:rFonts w:hint="default"/>
        <w:lang w:val="zh-CN" w:eastAsia="zh-CN" w:bidi="zh-CN"/>
      </w:rPr>
    </w:lvl>
    <w:lvl w:ilvl="5" w:tentative="0">
      <w:start w:val="0"/>
      <w:numFmt w:val="bullet"/>
      <w:lvlText w:val="•"/>
      <w:lvlJc w:val="left"/>
      <w:pPr>
        <w:ind w:left="5443" w:hanging="471"/>
      </w:pPr>
      <w:rPr>
        <w:rFonts w:hint="default"/>
        <w:lang w:val="zh-CN" w:eastAsia="zh-CN" w:bidi="zh-CN"/>
      </w:rPr>
    </w:lvl>
    <w:lvl w:ilvl="6" w:tentative="0">
      <w:start w:val="0"/>
      <w:numFmt w:val="bullet"/>
      <w:lvlText w:val="•"/>
      <w:lvlJc w:val="left"/>
      <w:pPr>
        <w:ind w:left="6311" w:hanging="471"/>
      </w:pPr>
      <w:rPr>
        <w:rFonts w:hint="default"/>
        <w:lang w:val="zh-CN" w:eastAsia="zh-CN" w:bidi="zh-CN"/>
      </w:rPr>
    </w:lvl>
    <w:lvl w:ilvl="7" w:tentative="0">
      <w:start w:val="0"/>
      <w:numFmt w:val="bullet"/>
      <w:lvlText w:val="•"/>
      <w:lvlJc w:val="left"/>
      <w:pPr>
        <w:ind w:left="7180" w:hanging="471"/>
      </w:pPr>
      <w:rPr>
        <w:rFonts w:hint="default"/>
        <w:lang w:val="zh-CN" w:eastAsia="zh-CN" w:bidi="zh-CN"/>
      </w:rPr>
    </w:lvl>
    <w:lvl w:ilvl="8" w:tentative="0">
      <w:start w:val="0"/>
      <w:numFmt w:val="bullet"/>
      <w:lvlText w:val="•"/>
      <w:lvlJc w:val="left"/>
      <w:pPr>
        <w:ind w:left="8048" w:hanging="471"/>
      </w:pPr>
      <w:rPr>
        <w:rFonts w:hint="default"/>
        <w:lang w:val="zh-CN" w:eastAsia="zh-CN" w:bidi="zh-CN"/>
      </w:rPr>
    </w:lvl>
  </w:abstractNum>
  <w:abstractNum w:abstractNumId="11">
    <w:nsid w:val="F4B5D9F5"/>
    <w:multiLevelType w:val="multilevel"/>
    <w:tmpl w:val="F4B5D9F5"/>
    <w:lvl w:ilvl="0" w:tentative="0">
      <w:start w:val="11"/>
      <w:numFmt w:val="decimal"/>
      <w:lvlText w:val="%1"/>
      <w:lvlJc w:val="left"/>
      <w:pPr>
        <w:ind w:left="1111" w:hanging="473"/>
        <w:jc w:val="left"/>
      </w:pPr>
      <w:rPr>
        <w:rFonts w:hint="default"/>
        <w:lang w:val="zh-CN" w:eastAsia="zh-CN" w:bidi="zh-CN"/>
      </w:rPr>
    </w:lvl>
    <w:lvl w:ilvl="1" w:tentative="0">
      <w:start w:val="1"/>
      <w:numFmt w:val="decimal"/>
      <w:lvlText w:val="%1.%2"/>
      <w:lvlJc w:val="left"/>
      <w:pPr>
        <w:ind w:left="1111" w:hanging="473"/>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853" w:hanging="473"/>
      </w:pPr>
      <w:rPr>
        <w:rFonts w:hint="default"/>
        <w:lang w:val="zh-CN" w:eastAsia="zh-CN" w:bidi="zh-CN"/>
      </w:rPr>
    </w:lvl>
    <w:lvl w:ilvl="3" w:tentative="0">
      <w:start w:val="0"/>
      <w:numFmt w:val="bullet"/>
      <w:lvlText w:val="•"/>
      <w:lvlJc w:val="left"/>
      <w:pPr>
        <w:ind w:left="3719" w:hanging="473"/>
      </w:pPr>
      <w:rPr>
        <w:rFonts w:hint="default"/>
        <w:lang w:val="zh-CN" w:eastAsia="zh-CN" w:bidi="zh-CN"/>
      </w:rPr>
    </w:lvl>
    <w:lvl w:ilvl="4" w:tentative="0">
      <w:start w:val="0"/>
      <w:numFmt w:val="bullet"/>
      <w:lvlText w:val="•"/>
      <w:lvlJc w:val="left"/>
      <w:pPr>
        <w:ind w:left="4586" w:hanging="473"/>
      </w:pPr>
      <w:rPr>
        <w:rFonts w:hint="default"/>
        <w:lang w:val="zh-CN" w:eastAsia="zh-CN" w:bidi="zh-CN"/>
      </w:rPr>
    </w:lvl>
    <w:lvl w:ilvl="5" w:tentative="0">
      <w:start w:val="0"/>
      <w:numFmt w:val="bullet"/>
      <w:lvlText w:val="•"/>
      <w:lvlJc w:val="left"/>
      <w:pPr>
        <w:ind w:left="5453" w:hanging="473"/>
      </w:pPr>
      <w:rPr>
        <w:rFonts w:hint="default"/>
        <w:lang w:val="zh-CN" w:eastAsia="zh-CN" w:bidi="zh-CN"/>
      </w:rPr>
    </w:lvl>
    <w:lvl w:ilvl="6" w:tentative="0">
      <w:start w:val="0"/>
      <w:numFmt w:val="bullet"/>
      <w:lvlText w:val="•"/>
      <w:lvlJc w:val="left"/>
      <w:pPr>
        <w:ind w:left="6319" w:hanging="473"/>
      </w:pPr>
      <w:rPr>
        <w:rFonts w:hint="default"/>
        <w:lang w:val="zh-CN" w:eastAsia="zh-CN" w:bidi="zh-CN"/>
      </w:rPr>
    </w:lvl>
    <w:lvl w:ilvl="7" w:tentative="0">
      <w:start w:val="0"/>
      <w:numFmt w:val="bullet"/>
      <w:lvlText w:val="•"/>
      <w:lvlJc w:val="left"/>
      <w:pPr>
        <w:ind w:left="7186" w:hanging="473"/>
      </w:pPr>
      <w:rPr>
        <w:rFonts w:hint="default"/>
        <w:lang w:val="zh-CN" w:eastAsia="zh-CN" w:bidi="zh-CN"/>
      </w:rPr>
    </w:lvl>
    <w:lvl w:ilvl="8" w:tentative="0">
      <w:start w:val="0"/>
      <w:numFmt w:val="bullet"/>
      <w:lvlText w:val="•"/>
      <w:lvlJc w:val="left"/>
      <w:pPr>
        <w:ind w:left="8052" w:hanging="473"/>
      </w:pPr>
      <w:rPr>
        <w:rFonts w:hint="default"/>
        <w:lang w:val="zh-CN" w:eastAsia="zh-CN" w:bidi="zh-CN"/>
      </w:rPr>
    </w:lvl>
  </w:abstractNum>
  <w:abstractNum w:abstractNumId="12">
    <w:nsid w:val="FAC71B75"/>
    <w:multiLevelType w:val="singleLevel"/>
    <w:tmpl w:val="FAC71B75"/>
    <w:lvl w:ilvl="0" w:tentative="0">
      <w:start w:val="3"/>
      <w:numFmt w:val="chineseCounting"/>
      <w:suff w:val="nothing"/>
      <w:lvlText w:val="（%1）"/>
      <w:lvlJc w:val="left"/>
      <w:rPr>
        <w:rFonts w:hint="eastAsia"/>
      </w:rPr>
    </w:lvl>
  </w:abstractNum>
  <w:abstractNum w:abstractNumId="13">
    <w:nsid w:val="017925D0"/>
    <w:multiLevelType w:val="singleLevel"/>
    <w:tmpl w:val="017925D0"/>
    <w:lvl w:ilvl="0" w:tentative="0">
      <w:start w:val="1"/>
      <w:numFmt w:val="decimal"/>
      <w:suff w:val="nothing"/>
      <w:lvlText w:val="%1、"/>
      <w:lvlJc w:val="left"/>
    </w:lvl>
  </w:abstractNum>
  <w:abstractNum w:abstractNumId="14">
    <w:nsid w:val="0248C179"/>
    <w:multiLevelType w:val="multilevel"/>
    <w:tmpl w:val="0248C179"/>
    <w:lvl w:ilvl="0" w:tentative="0">
      <w:start w:val="6"/>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15">
    <w:nsid w:val="03D62ECE"/>
    <w:multiLevelType w:val="multilevel"/>
    <w:tmpl w:val="03D62ECE"/>
    <w:lvl w:ilvl="0" w:tentative="0">
      <w:start w:val="2"/>
      <w:numFmt w:val="decimal"/>
      <w:lvlText w:val="%1"/>
      <w:lvlJc w:val="left"/>
      <w:pPr>
        <w:ind w:left="955" w:hanging="317"/>
        <w:jc w:val="left"/>
      </w:pPr>
      <w:rPr>
        <w:rFonts w:hint="default"/>
        <w:lang w:val="zh-CN" w:eastAsia="zh-CN" w:bidi="zh-CN"/>
      </w:rPr>
    </w:lvl>
    <w:lvl w:ilvl="1" w:tentative="0">
      <w:start w:val="1"/>
      <w:numFmt w:val="decimal"/>
      <w:lvlText w:val="%1.%2"/>
      <w:lvlJc w:val="left"/>
      <w:pPr>
        <w:ind w:left="955" w:hanging="317"/>
        <w:jc w:val="left"/>
      </w:pPr>
      <w:rPr>
        <w:rFonts w:hint="default" w:ascii="宋体" w:hAnsi="宋体" w:eastAsia="宋体" w:cs="宋体"/>
        <w:spacing w:val="-2"/>
        <w:w w:val="99"/>
        <w:sz w:val="19"/>
        <w:szCs w:val="19"/>
        <w:lang w:val="zh-CN" w:eastAsia="zh-CN" w:bidi="zh-CN"/>
      </w:rPr>
    </w:lvl>
    <w:lvl w:ilvl="2" w:tentative="0">
      <w:start w:val="0"/>
      <w:numFmt w:val="bullet"/>
      <w:lvlText w:val="•"/>
      <w:lvlJc w:val="left"/>
      <w:pPr>
        <w:ind w:left="2725" w:hanging="317"/>
      </w:pPr>
      <w:rPr>
        <w:rFonts w:hint="default"/>
        <w:lang w:val="zh-CN" w:eastAsia="zh-CN" w:bidi="zh-CN"/>
      </w:rPr>
    </w:lvl>
    <w:lvl w:ilvl="3" w:tentative="0">
      <w:start w:val="0"/>
      <w:numFmt w:val="bullet"/>
      <w:lvlText w:val="•"/>
      <w:lvlJc w:val="left"/>
      <w:pPr>
        <w:ind w:left="3607" w:hanging="317"/>
      </w:pPr>
      <w:rPr>
        <w:rFonts w:hint="default"/>
        <w:lang w:val="zh-CN" w:eastAsia="zh-CN" w:bidi="zh-CN"/>
      </w:rPr>
    </w:lvl>
    <w:lvl w:ilvl="4" w:tentative="0">
      <w:start w:val="0"/>
      <w:numFmt w:val="bullet"/>
      <w:lvlText w:val="•"/>
      <w:lvlJc w:val="left"/>
      <w:pPr>
        <w:ind w:left="4490" w:hanging="317"/>
      </w:pPr>
      <w:rPr>
        <w:rFonts w:hint="default"/>
        <w:lang w:val="zh-CN" w:eastAsia="zh-CN" w:bidi="zh-CN"/>
      </w:rPr>
    </w:lvl>
    <w:lvl w:ilvl="5" w:tentative="0">
      <w:start w:val="0"/>
      <w:numFmt w:val="bullet"/>
      <w:lvlText w:val="•"/>
      <w:lvlJc w:val="left"/>
      <w:pPr>
        <w:ind w:left="5373" w:hanging="317"/>
      </w:pPr>
      <w:rPr>
        <w:rFonts w:hint="default"/>
        <w:lang w:val="zh-CN" w:eastAsia="zh-CN" w:bidi="zh-CN"/>
      </w:rPr>
    </w:lvl>
    <w:lvl w:ilvl="6" w:tentative="0">
      <w:start w:val="0"/>
      <w:numFmt w:val="bullet"/>
      <w:lvlText w:val="•"/>
      <w:lvlJc w:val="left"/>
      <w:pPr>
        <w:ind w:left="6255" w:hanging="317"/>
      </w:pPr>
      <w:rPr>
        <w:rFonts w:hint="default"/>
        <w:lang w:val="zh-CN" w:eastAsia="zh-CN" w:bidi="zh-CN"/>
      </w:rPr>
    </w:lvl>
    <w:lvl w:ilvl="7" w:tentative="0">
      <w:start w:val="0"/>
      <w:numFmt w:val="bullet"/>
      <w:lvlText w:val="•"/>
      <w:lvlJc w:val="left"/>
      <w:pPr>
        <w:ind w:left="7138" w:hanging="317"/>
      </w:pPr>
      <w:rPr>
        <w:rFonts w:hint="default"/>
        <w:lang w:val="zh-CN" w:eastAsia="zh-CN" w:bidi="zh-CN"/>
      </w:rPr>
    </w:lvl>
    <w:lvl w:ilvl="8" w:tentative="0">
      <w:start w:val="0"/>
      <w:numFmt w:val="bullet"/>
      <w:lvlText w:val="•"/>
      <w:lvlJc w:val="left"/>
      <w:pPr>
        <w:ind w:left="8020" w:hanging="317"/>
      </w:pPr>
      <w:rPr>
        <w:rFonts w:hint="default"/>
        <w:lang w:val="zh-CN" w:eastAsia="zh-CN" w:bidi="zh-CN"/>
      </w:rPr>
    </w:lvl>
  </w:abstractNum>
  <w:abstractNum w:abstractNumId="16">
    <w:nsid w:val="0538A25C"/>
    <w:multiLevelType w:val="singleLevel"/>
    <w:tmpl w:val="0538A25C"/>
    <w:lvl w:ilvl="0" w:tentative="0">
      <w:start w:val="1"/>
      <w:numFmt w:val="decimal"/>
      <w:lvlText w:val="%1."/>
      <w:lvlJc w:val="left"/>
      <w:pPr>
        <w:tabs>
          <w:tab w:val="left" w:pos="312"/>
        </w:tabs>
      </w:pPr>
    </w:lvl>
  </w:abstractNum>
  <w:abstractNum w:abstractNumId="17">
    <w:nsid w:val="0E640482"/>
    <w:multiLevelType w:val="multilevel"/>
    <w:tmpl w:val="0E640482"/>
    <w:lvl w:ilvl="0" w:tentative="0">
      <w:start w:val="1"/>
      <w:numFmt w:val="decimal"/>
      <w:lvlText w:val="%1."/>
      <w:lvlJc w:val="left"/>
      <w:pPr>
        <w:ind w:left="849" w:hanging="212"/>
        <w:jc w:val="left"/>
      </w:pPr>
      <w:rPr>
        <w:rFonts w:hint="default" w:ascii="宋体" w:hAnsi="宋体" w:eastAsia="宋体" w:cs="宋体"/>
        <w:spacing w:val="-2"/>
        <w:w w:val="99"/>
        <w:sz w:val="19"/>
        <w:szCs w:val="19"/>
        <w:lang w:val="zh-CN" w:eastAsia="zh-CN" w:bidi="zh-CN"/>
      </w:rPr>
    </w:lvl>
    <w:lvl w:ilvl="1" w:tentative="0">
      <w:start w:val="1"/>
      <w:numFmt w:val="decimal"/>
      <w:lvlText w:val="%1.%2"/>
      <w:lvlJc w:val="left"/>
      <w:pPr>
        <w:ind w:left="218" w:hanging="368"/>
        <w:jc w:val="left"/>
      </w:pPr>
      <w:rPr>
        <w:rFonts w:hint="default"/>
        <w:spacing w:val="0"/>
        <w:w w:val="99"/>
        <w:lang w:val="zh-CN" w:eastAsia="zh-CN" w:bidi="zh-CN"/>
      </w:rPr>
    </w:lvl>
    <w:lvl w:ilvl="2" w:tentative="0">
      <w:start w:val="0"/>
      <w:numFmt w:val="bullet"/>
      <w:lvlText w:val="•"/>
      <w:lvlJc w:val="left"/>
      <w:pPr>
        <w:ind w:left="1834" w:hanging="368"/>
      </w:pPr>
      <w:rPr>
        <w:rFonts w:hint="default"/>
        <w:lang w:val="zh-CN" w:eastAsia="zh-CN" w:bidi="zh-CN"/>
      </w:rPr>
    </w:lvl>
    <w:lvl w:ilvl="3" w:tentative="0">
      <w:start w:val="0"/>
      <w:numFmt w:val="bullet"/>
      <w:lvlText w:val="•"/>
      <w:lvlJc w:val="left"/>
      <w:pPr>
        <w:ind w:left="2828" w:hanging="368"/>
      </w:pPr>
      <w:rPr>
        <w:rFonts w:hint="default"/>
        <w:lang w:val="zh-CN" w:eastAsia="zh-CN" w:bidi="zh-CN"/>
      </w:rPr>
    </w:lvl>
    <w:lvl w:ilvl="4" w:tentative="0">
      <w:start w:val="0"/>
      <w:numFmt w:val="bullet"/>
      <w:lvlText w:val="•"/>
      <w:lvlJc w:val="left"/>
      <w:pPr>
        <w:ind w:left="3822" w:hanging="368"/>
      </w:pPr>
      <w:rPr>
        <w:rFonts w:hint="default"/>
        <w:lang w:val="zh-CN" w:eastAsia="zh-CN" w:bidi="zh-CN"/>
      </w:rPr>
    </w:lvl>
    <w:lvl w:ilvl="5" w:tentative="0">
      <w:start w:val="0"/>
      <w:numFmt w:val="bullet"/>
      <w:lvlText w:val="•"/>
      <w:lvlJc w:val="left"/>
      <w:pPr>
        <w:ind w:left="4816" w:hanging="368"/>
      </w:pPr>
      <w:rPr>
        <w:rFonts w:hint="default"/>
        <w:lang w:val="zh-CN" w:eastAsia="zh-CN" w:bidi="zh-CN"/>
      </w:rPr>
    </w:lvl>
    <w:lvl w:ilvl="6" w:tentative="0">
      <w:start w:val="0"/>
      <w:numFmt w:val="bullet"/>
      <w:lvlText w:val="•"/>
      <w:lvlJc w:val="left"/>
      <w:pPr>
        <w:ind w:left="5810" w:hanging="368"/>
      </w:pPr>
      <w:rPr>
        <w:rFonts w:hint="default"/>
        <w:lang w:val="zh-CN" w:eastAsia="zh-CN" w:bidi="zh-CN"/>
      </w:rPr>
    </w:lvl>
    <w:lvl w:ilvl="7" w:tentative="0">
      <w:start w:val="0"/>
      <w:numFmt w:val="bullet"/>
      <w:lvlText w:val="•"/>
      <w:lvlJc w:val="left"/>
      <w:pPr>
        <w:ind w:left="6804" w:hanging="368"/>
      </w:pPr>
      <w:rPr>
        <w:rFonts w:hint="default"/>
        <w:lang w:val="zh-CN" w:eastAsia="zh-CN" w:bidi="zh-CN"/>
      </w:rPr>
    </w:lvl>
    <w:lvl w:ilvl="8" w:tentative="0">
      <w:start w:val="0"/>
      <w:numFmt w:val="bullet"/>
      <w:lvlText w:val="•"/>
      <w:lvlJc w:val="left"/>
      <w:pPr>
        <w:ind w:left="7798" w:hanging="368"/>
      </w:pPr>
      <w:rPr>
        <w:rFonts w:hint="default"/>
        <w:lang w:val="zh-CN" w:eastAsia="zh-CN" w:bidi="zh-CN"/>
      </w:rPr>
    </w:lvl>
  </w:abstractNum>
  <w:abstractNum w:abstractNumId="18">
    <w:nsid w:val="2470EC97"/>
    <w:multiLevelType w:val="multilevel"/>
    <w:tmpl w:val="2470EC97"/>
    <w:lvl w:ilvl="0" w:tentative="0">
      <w:start w:val="13"/>
      <w:numFmt w:val="decimal"/>
      <w:lvlText w:val="%1"/>
      <w:lvlJc w:val="left"/>
      <w:pPr>
        <w:ind w:left="1108" w:hanging="471"/>
        <w:jc w:val="left"/>
      </w:pPr>
      <w:rPr>
        <w:rFonts w:hint="default"/>
        <w:lang w:val="zh-CN" w:eastAsia="zh-CN" w:bidi="zh-CN"/>
      </w:rPr>
    </w:lvl>
    <w:lvl w:ilvl="1" w:tentative="0">
      <w:start w:val="1"/>
      <w:numFmt w:val="decimal"/>
      <w:lvlText w:val="%1.%2"/>
      <w:lvlJc w:val="left"/>
      <w:pPr>
        <w:ind w:left="1108" w:hanging="471"/>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837" w:hanging="471"/>
      </w:pPr>
      <w:rPr>
        <w:rFonts w:hint="default"/>
        <w:lang w:val="zh-CN" w:eastAsia="zh-CN" w:bidi="zh-CN"/>
      </w:rPr>
    </w:lvl>
    <w:lvl w:ilvl="3" w:tentative="0">
      <w:start w:val="0"/>
      <w:numFmt w:val="bullet"/>
      <w:lvlText w:val="•"/>
      <w:lvlJc w:val="left"/>
      <w:pPr>
        <w:ind w:left="3705" w:hanging="471"/>
      </w:pPr>
      <w:rPr>
        <w:rFonts w:hint="default"/>
        <w:lang w:val="zh-CN" w:eastAsia="zh-CN" w:bidi="zh-CN"/>
      </w:rPr>
    </w:lvl>
    <w:lvl w:ilvl="4" w:tentative="0">
      <w:start w:val="0"/>
      <w:numFmt w:val="bullet"/>
      <w:lvlText w:val="•"/>
      <w:lvlJc w:val="left"/>
      <w:pPr>
        <w:ind w:left="4574" w:hanging="471"/>
      </w:pPr>
      <w:rPr>
        <w:rFonts w:hint="default"/>
        <w:lang w:val="zh-CN" w:eastAsia="zh-CN" w:bidi="zh-CN"/>
      </w:rPr>
    </w:lvl>
    <w:lvl w:ilvl="5" w:tentative="0">
      <w:start w:val="0"/>
      <w:numFmt w:val="bullet"/>
      <w:lvlText w:val="•"/>
      <w:lvlJc w:val="left"/>
      <w:pPr>
        <w:ind w:left="5443" w:hanging="471"/>
      </w:pPr>
      <w:rPr>
        <w:rFonts w:hint="default"/>
        <w:lang w:val="zh-CN" w:eastAsia="zh-CN" w:bidi="zh-CN"/>
      </w:rPr>
    </w:lvl>
    <w:lvl w:ilvl="6" w:tentative="0">
      <w:start w:val="0"/>
      <w:numFmt w:val="bullet"/>
      <w:lvlText w:val="•"/>
      <w:lvlJc w:val="left"/>
      <w:pPr>
        <w:ind w:left="6311" w:hanging="471"/>
      </w:pPr>
      <w:rPr>
        <w:rFonts w:hint="default"/>
        <w:lang w:val="zh-CN" w:eastAsia="zh-CN" w:bidi="zh-CN"/>
      </w:rPr>
    </w:lvl>
    <w:lvl w:ilvl="7" w:tentative="0">
      <w:start w:val="0"/>
      <w:numFmt w:val="bullet"/>
      <w:lvlText w:val="•"/>
      <w:lvlJc w:val="left"/>
      <w:pPr>
        <w:ind w:left="7180" w:hanging="471"/>
      </w:pPr>
      <w:rPr>
        <w:rFonts w:hint="default"/>
        <w:lang w:val="zh-CN" w:eastAsia="zh-CN" w:bidi="zh-CN"/>
      </w:rPr>
    </w:lvl>
    <w:lvl w:ilvl="8" w:tentative="0">
      <w:start w:val="0"/>
      <w:numFmt w:val="bullet"/>
      <w:lvlText w:val="•"/>
      <w:lvlJc w:val="left"/>
      <w:pPr>
        <w:ind w:left="8048" w:hanging="471"/>
      </w:pPr>
      <w:rPr>
        <w:rFonts w:hint="default"/>
        <w:lang w:val="zh-CN" w:eastAsia="zh-CN" w:bidi="zh-CN"/>
      </w:rPr>
    </w:lvl>
  </w:abstractNum>
  <w:abstractNum w:abstractNumId="19">
    <w:nsid w:val="25B654F3"/>
    <w:multiLevelType w:val="multilevel"/>
    <w:tmpl w:val="25B654F3"/>
    <w:lvl w:ilvl="0" w:tentative="0">
      <w:start w:val="3"/>
      <w:numFmt w:val="decimal"/>
      <w:lvlText w:val="%1"/>
      <w:lvlJc w:val="left"/>
      <w:pPr>
        <w:ind w:left="1005" w:hanging="368"/>
        <w:jc w:val="left"/>
      </w:pPr>
      <w:rPr>
        <w:rFonts w:hint="default"/>
        <w:lang w:val="zh-CN" w:eastAsia="zh-CN" w:bidi="zh-CN"/>
      </w:rPr>
    </w:lvl>
    <w:lvl w:ilvl="1" w:tentative="0">
      <w:start w:val="1"/>
      <w:numFmt w:val="decimal"/>
      <w:lvlText w:val="%1.%2"/>
      <w:lvlJc w:val="left"/>
      <w:pPr>
        <w:ind w:left="1005"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757" w:hanging="368"/>
      </w:pPr>
      <w:rPr>
        <w:rFonts w:hint="default"/>
        <w:lang w:val="zh-CN" w:eastAsia="zh-CN" w:bidi="zh-CN"/>
      </w:rPr>
    </w:lvl>
    <w:lvl w:ilvl="3" w:tentative="0">
      <w:start w:val="0"/>
      <w:numFmt w:val="bullet"/>
      <w:lvlText w:val="•"/>
      <w:lvlJc w:val="left"/>
      <w:pPr>
        <w:ind w:left="3635" w:hanging="368"/>
      </w:pPr>
      <w:rPr>
        <w:rFonts w:hint="default"/>
        <w:lang w:val="zh-CN" w:eastAsia="zh-CN" w:bidi="zh-CN"/>
      </w:rPr>
    </w:lvl>
    <w:lvl w:ilvl="4" w:tentative="0">
      <w:start w:val="0"/>
      <w:numFmt w:val="bullet"/>
      <w:lvlText w:val="•"/>
      <w:lvlJc w:val="left"/>
      <w:pPr>
        <w:ind w:left="4514" w:hanging="368"/>
      </w:pPr>
      <w:rPr>
        <w:rFonts w:hint="default"/>
        <w:lang w:val="zh-CN" w:eastAsia="zh-CN" w:bidi="zh-CN"/>
      </w:rPr>
    </w:lvl>
    <w:lvl w:ilvl="5" w:tentative="0">
      <w:start w:val="0"/>
      <w:numFmt w:val="bullet"/>
      <w:lvlText w:val="•"/>
      <w:lvlJc w:val="left"/>
      <w:pPr>
        <w:ind w:left="5393" w:hanging="368"/>
      </w:pPr>
      <w:rPr>
        <w:rFonts w:hint="default"/>
        <w:lang w:val="zh-CN" w:eastAsia="zh-CN" w:bidi="zh-CN"/>
      </w:rPr>
    </w:lvl>
    <w:lvl w:ilvl="6" w:tentative="0">
      <w:start w:val="0"/>
      <w:numFmt w:val="bullet"/>
      <w:lvlText w:val="•"/>
      <w:lvlJc w:val="left"/>
      <w:pPr>
        <w:ind w:left="6271" w:hanging="368"/>
      </w:pPr>
      <w:rPr>
        <w:rFonts w:hint="default"/>
        <w:lang w:val="zh-CN" w:eastAsia="zh-CN" w:bidi="zh-CN"/>
      </w:rPr>
    </w:lvl>
    <w:lvl w:ilvl="7" w:tentative="0">
      <w:start w:val="0"/>
      <w:numFmt w:val="bullet"/>
      <w:lvlText w:val="•"/>
      <w:lvlJc w:val="left"/>
      <w:pPr>
        <w:ind w:left="7150" w:hanging="368"/>
      </w:pPr>
      <w:rPr>
        <w:rFonts w:hint="default"/>
        <w:lang w:val="zh-CN" w:eastAsia="zh-CN" w:bidi="zh-CN"/>
      </w:rPr>
    </w:lvl>
    <w:lvl w:ilvl="8" w:tentative="0">
      <w:start w:val="0"/>
      <w:numFmt w:val="bullet"/>
      <w:lvlText w:val="•"/>
      <w:lvlJc w:val="left"/>
      <w:pPr>
        <w:ind w:left="8028" w:hanging="368"/>
      </w:pPr>
      <w:rPr>
        <w:rFonts w:hint="default"/>
        <w:lang w:val="zh-CN" w:eastAsia="zh-CN" w:bidi="zh-CN"/>
      </w:rPr>
    </w:lvl>
  </w:abstractNum>
  <w:abstractNum w:abstractNumId="20">
    <w:nsid w:val="2A8F537B"/>
    <w:multiLevelType w:val="multilevel"/>
    <w:tmpl w:val="2A8F537B"/>
    <w:lvl w:ilvl="0" w:tentative="0">
      <w:start w:val="8"/>
      <w:numFmt w:val="decimal"/>
      <w:lvlText w:val="%1"/>
      <w:lvlJc w:val="left"/>
      <w:pPr>
        <w:ind w:left="1005" w:hanging="368"/>
        <w:jc w:val="left"/>
      </w:pPr>
      <w:rPr>
        <w:rFonts w:hint="default"/>
        <w:lang w:val="zh-CN" w:eastAsia="zh-CN" w:bidi="zh-CN"/>
      </w:rPr>
    </w:lvl>
    <w:lvl w:ilvl="1" w:tentative="0">
      <w:start w:val="1"/>
      <w:numFmt w:val="decimal"/>
      <w:lvlText w:val="%1.%2"/>
      <w:lvlJc w:val="left"/>
      <w:pPr>
        <w:ind w:left="1005"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757" w:hanging="368"/>
      </w:pPr>
      <w:rPr>
        <w:rFonts w:hint="default"/>
        <w:lang w:val="zh-CN" w:eastAsia="zh-CN" w:bidi="zh-CN"/>
      </w:rPr>
    </w:lvl>
    <w:lvl w:ilvl="3" w:tentative="0">
      <w:start w:val="0"/>
      <w:numFmt w:val="bullet"/>
      <w:lvlText w:val="•"/>
      <w:lvlJc w:val="left"/>
      <w:pPr>
        <w:ind w:left="3635" w:hanging="368"/>
      </w:pPr>
      <w:rPr>
        <w:rFonts w:hint="default"/>
        <w:lang w:val="zh-CN" w:eastAsia="zh-CN" w:bidi="zh-CN"/>
      </w:rPr>
    </w:lvl>
    <w:lvl w:ilvl="4" w:tentative="0">
      <w:start w:val="0"/>
      <w:numFmt w:val="bullet"/>
      <w:lvlText w:val="•"/>
      <w:lvlJc w:val="left"/>
      <w:pPr>
        <w:ind w:left="4514" w:hanging="368"/>
      </w:pPr>
      <w:rPr>
        <w:rFonts w:hint="default"/>
        <w:lang w:val="zh-CN" w:eastAsia="zh-CN" w:bidi="zh-CN"/>
      </w:rPr>
    </w:lvl>
    <w:lvl w:ilvl="5" w:tentative="0">
      <w:start w:val="0"/>
      <w:numFmt w:val="bullet"/>
      <w:lvlText w:val="•"/>
      <w:lvlJc w:val="left"/>
      <w:pPr>
        <w:ind w:left="5393" w:hanging="368"/>
      </w:pPr>
      <w:rPr>
        <w:rFonts w:hint="default"/>
        <w:lang w:val="zh-CN" w:eastAsia="zh-CN" w:bidi="zh-CN"/>
      </w:rPr>
    </w:lvl>
    <w:lvl w:ilvl="6" w:tentative="0">
      <w:start w:val="0"/>
      <w:numFmt w:val="bullet"/>
      <w:lvlText w:val="•"/>
      <w:lvlJc w:val="left"/>
      <w:pPr>
        <w:ind w:left="6271" w:hanging="368"/>
      </w:pPr>
      <w:rPr>
        <w:rFonts w:hint="default"/>
        <w:lang w:val="zh-CN" w:eastAsia="zh-CN" w:bidi="zh-CN"/>
      </w:rPr>
    </w:lvl>
    <w:lvl w:ilvl="7" w:tentative="0">
      <w:start w:val="0"/>
      <w:numFmt w:val="bullet"/>
      <w:lvlText w:val="•"/>
      <w:lvlJc w:val="left"/>
      <w:pPr>
        <w:ind w:left="7150" w:hanging="368"/>
      </w:pPr>
      <w:rPr>
        <w:rFonts w:hint="default"/>
        <w:lang w:val="zh-CN" w:eastAsia="zh-CN" w:bidi="zh-CN"/>
      </w:rPr>
    </w:lvl>
    <w:lvl w:ilvl="8" w:tentative="0">
      <w:start w:val="0"/>
      <w:numFmt w:val="bullet"/>
      <w:lvlText w:val="•"/>
      <w:lvlJc w:val="left"/>
      <w:pPr>
        <w:ind w:left="8028" w:hanging="368"/>
      </w:pPr>
      <w:rPr>
        <w:rFonts w:hint="default"/>
        <w:lang w:val="zh-CN" w:eastAsia="zh-CN" w:bidi="zh-CN"/>
      </w:rPr>
    </w:lvl>
  </w:abstractNum>
  <w:abstractNum w:abstractNumId="21">
    <w:nsid w:val="3BEA90F9"/>
    <w:multiLevelType w:val="singleLevel"/>
    <w:tmpl w:val="3BEA90F9"/>
    <w:lvl w:ilvl="0" w:tentative="0">
      <w:start w:val="1"/>
      <w:numFmt w:val="decimal"/>
      <w:lvlText w:val="%1."/>
      <w:lvlJc w:val="left"/>
      <w:pPr>
        <w:tabs>
          <w:tab w:val="left" w:pos="312"/>
        </w:tabs>
      </w:pPr>
    </w:lvl>
  </w:abstractNum>
  <w:abstractNum w:abstractNumId="22">
    <w:nsid w:val="45CF518A"/>
    <w:multiLevelType w:val="singleLevel"/>
    <w:tmpl w:val="45CF518A"/>
    <w:lvl w:ilvl="0" w:tentative="0">
      <w:start w:val="1"/>
      <w:numFmt w:val="decimal"/>
      <w:lvlText w:val="%1."/>
      <w:lvlJc w:val="left"/>
      <w:pPr>
        <w:tabs>
          <w:tab w:val="left" w:pos="312"/>
        </w:tabs>
      </w:pPr>
    </w:lvl>
  </w:abstractNum>
  <w:abstractNum w:abstractNumId="23">
    <w:nsid w:val="46A08BB8"/>
    <w:multiLevelType w:val="multilevel"/>
    <w:tmpl w:val="46A08BB8"/>
    <w:lvl w:ilvl="0" w:tentative="0">
      <w:start w:val="3"/>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0"/>
        <w:w w:val="99"/>
        <w:sz w:val="21"/>
        <w:szCs w:val="21"/>
        <w:lang w:val="zh-CN" w:eastAsia="zh-CN" w:bidi="zh-CN"/>
      </w:rPr>
    </w:lvl>
    <w:lvl w:ilvl="2" w:tentative="0">
      <w:start w:val="1"/>
      <w:numFmt w:val="decimal"/>
      <w:lvlText w:val="%1.%2.%3"/>
      <w:lvlJc w:val="left"/>
      <w:pPr>
        <w:ind w:left="218" w:hanging="576"/>
        <w:jc w:val="left"/>
      </w:pPr>
      <w:rPr>
        <w:rFonts w:hint="default"/>
        <w:spacing w:val="-2"/>
        <w:w w:val="99"/>
        <w:lang w:val="zh-CN" w:eastAsia="zh-CN" w:bidi="zh-CN"/>
      </w:rPr>
    </w:lvl>
    <w:lvl w:ilvl="3" w:tentative="0">
      <w:start w:val="0"/>
      <w:numFmt w:val="bullet"/>
      <w:lvlText w:val="•"/>
      <w:lvlJc w:val="left"/>
      <w:pPr>
        <w:ind w:left="3089" w:hanging="576"/>
      </w:pPr>
      <w:rPr>
        <w:rFonts w:hint="default"/>
        <w:lang w:val="zh-CN" w:eastAsia="zh-CN" w:bidi="zh-CN"/>
      </w:rPr>
    </w:lvl>
    <w:lvl w:ilvl="4" w:tentative="0">
      <w:start w:val="0"/>
      <w:numFmt w:val="bullet"/>
      <w:lvlText w:val="•"/>
      <w:lvlJc w:val="left"/>
      <w:pPr>
        <w:ind w:left="4046" w:hanging="576"/>
      </w:pPr>
      <w:rPr>
        <w:rFonts w:hint="default"/>
        <w:lang w:val="zh-CN" w:eastAsia="zh-CN" w:bidi="zh-CN"/>
      </w:rPr>
    </w:lvl>
    <w:lvl w:ilvl="5" w:tentative="0">
      <w:start w:val="0"/>
      <w:numFmt w:val="bullet"/>
      <w:lvlText w:val="•"/>
      <w:lvlJc w:val="left"/>
      <w:pPr>
        <w:ind w:left="5003" w:hanging="576"/>
      </w:pPr>
      <w:rPr>
        <w:rFonts w:hint="default"/>
        <w:lang w:val="zh-CN" w:eastAsia="zh-CN" w:bidi="zh-CN"/>
      </w:rPr>
    </w:lvl>
    <w:lvl w:ilvl="6" w:tentative="0">
      <w:start w:val="0"/>
      <w:numFmt w:val="bullet"/>
      <w:lvlText w:val="•"/>
      <w:lvlJc w:val="left"/>
      <w:pPr>
        <w:ind w:left="5959" w:hanging="576"/>
      </w:pPr>
      <w:rPr>
        <w:rFonts w:hint="default"/>
        <w:lang w:val="zh-CN" w:eastAsia="zh-CN" w:bidi="zh-CN"/>
      </w:rPr>
    </w:lvl>
    <w:lvl w:ilvl="7" w:tentative="0">
      <w:start w:val="0"/>
      <w:numFmt w:val="bullet"/>
      <w:lvlText w:val="•"/>
      <w:lvlJc w:val="left"/>
      <w:pPr>
        <w:ind w:left="6916" w:hanging="576"/>
      </w:pPr>
      <w:rPr>
        <w:rFonts w:hint="default"/>
        <w:lang w:val="zh-CN" w:eastAsia="zh-CN" w:bidi="zh-CN"/>
      </w:rPr>
    </w:lvl>
    <w:lvl w:ilvl="8" w:tentative="0">
      <w:start w:val="0"/>
      <w:numFmt w:val="bullet"/>
      <w:lvlText w:val="•"/>
      <w:lvlJc w:val="left"/>
      <w:pPr>
        <w:ind w:left="7872" w:hanging="576"/>
      </w:pPr>
      <w:rPr>
        <w:rFonts w:hint="default"/>
        <w:lang w:val="zh-CN" w:eastAsia="zh-CN" w:bidi="zh-CN"/>
      </w:rPr>
    </w:lvl>
  </w:abstractNum>
  <w:abstractNum w:abstractNumId="24">
    <w:nsid w:val="4C1BAE26"/>
    <w:multiLevelType w:val="multilevel"/>
    <w:tmpl w:val="4C1BAE26"/>
    <w:lvl w:ilvl="0" w:tentative="0">
      <w:start w:val="22"/>
      <w:numFmt w:val="decimal"/>
      <w:lvlText w:val="%1"/>
      <w:lvlJc w:val="left"/>
      <w:pPr>
        <w:ind w:left="218" w:hanging="473"/>
        <w:jc w:val="left"/>
      </w:pPr>
      <w:rPr>
        <w:rFonts w:hint="default"/>
        <w:lang w:val="zh-CN" w:eastAsia="zh-CN" w:bidi="zh-CN"/>
      </w:rPr>
    </w:lvl>
    <w:lvl w:ilvl="1" w:tentative="0">
      <w:start w:val="1"/>
      <w:numFmt w:val="decimal"/>
      <w:lvlText w:val="%1.%2"/>
      <w:lvlJc w:val="left"/>
      <w:pPr>
        <w:ind w:left="218" w:hanging="473"/>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473"/>
      </w:pPr>
      <w:rPr>
        <w:rFonts w:hint="default"/>
        <w:lang w:val="zh-CN" w:eastAsia="zh-CN" w:bidi="zh-CN"/>
      </w:rPr>
    </w:lvl>
    <w:lvl w:ilvl="3" w:tentative="0">
      <w:start w:val="0"/>
      <w:numFmt w:val="bullet"/>
      <w:lvlText w:val="•"/>
      <w:lvlJc w:val="left"/>
      <w:pPr>
        <w:ind w:left="3089" w:hanging="473"/>
      </w:pPr>
      <w:rPr>
        <w:rFonts w:hint="default"/>
        <w:lang w:val="zh-CN" w:eastAsia="zh-CN" w:bidi="zh-CN"/>
      </w:rPr>
    </w:lvl>
    <w:lvl w:ilvl="4" w:tentative="0">
      <w:start w:val="0"/>
      <w:numFmt w:val="bullet"/>
      <w:lvlText w:val="•"/>
      <w:lvlJc w:val="left"/>
      <w:pPr>
        <w:ind w:left="4046" w:hanging="473"/>
      </w:pPr>
      <w:rPr>
        <w:rFonts w:hint="default"/>
        <w:lang w:val="zh-CN" w:eastAsia="zh-CN" w:bidi="zh-CN"/>
      </w:rPr>
    </w:lvl>
    <w:lvl w:ilvl="5" w:tentative="0">
      <w:start w:val="0"/>
      <w:numFmt w:val="bullet"/>
      <w:lvlText w:val="•"/>
      <w:lvlJc w:val="left"/>
      <w:pPr>
        <w:ind w:left="5003" w:hanging="473"/>
      </w:pPr>
      <w:rPr>
        <w:rFonts w:hint="default"/>
        <w:lang w:val="zh-CN" w:eastAsia="zh-CN" w:bidi="zh-CN"/>
      </w:rPr>
    </w:lvl>
    <w:lvl w:ilvl="6" w:tentative="0">
      <w:start w:val="0"/>
      <w:numFmt w:val="bullet"/>
      <w:lvlText w:val="•"/>
      <w:lvlJc w:val="left"/>
      <w:pPr>
        <w:ind w:left="5959" w:hanging="473"/>
      </w:pPr>
      <w:rPr>
        <w:rFonts w:hint="default"/>
        <w:lang w:val="zh-CN" w:eastAsia="zh-CN" w:bidi="zh-CN"/>
      </w:rPr>
    </w:lvl>
    <w:lvl w:ilvl="7" w:tentative="0">
      <w:start w:val="0"/>
      <w:numFmt w:val="bullet"/>
      <w:lvlText w:val="•"/>
      <w:lvlJc w:val="left"/>
      <w:pPr>
        <w:ind w:left="6916" w:hanging="473"/>
      </w:pPr>
      <w:rPr>
        <w:rFonts w:hint="default"/>
        <w:lang w:val="zh-CN" w:eastAsia="zh-CN" w:bidi="zh-CN"/>
      </w:rPr>
    </w:lvl>
    <w:lvl w:ilvl="8" w:tentative="0">
      <w:start w:val="0"/>
      <w:numFmt w:val="bullet"/>
      <w:lvlText w:val="•"/>
      <w:lvlJc w:val="left"/>
      <w:pPr>
        <w:ind w:left="7872" w:hanging="473"/>
      </w:pPr>
      <w:rPr>
        <w:rFonts w:hint="default"/>
        <w:lang w:val="zh-CN" w:eastAsia="zh-CN" w:bidi="zh-CN"/>
      </w:rPr>
    </w:lvl>
  </w:abstractNum>
  <w:abstractNum w:abstractNumId="25">
    <w:nsid w:val="4D4DC07F"/>
    <w:multiLevelType w:val="multilevel"/>
    <w:tmpl w:val="4D4DC07F"/>
    <w:lvl w:ilvl="0" w:tentative="0">
      <w:start w:val="10"/>
      <w:numFmt w:val="decimal"/>
      <w:lvlText w:val="%1"/>
      <w:lvlJc w:val="left"/>
      <w:pPr>
        <w:ind w:left="1166" w:hanging="528"/>
        <w:jc w:val="left"/>
      </w:pPr>
      <w:rPr>
        <w:rFonts w:hint="default"/>
        <w:lang w:val="zh-CN" w:eastAsia="zh-CN" w:bidi="zh-CN"/>
      </w:rPr>
    </w:lvl>
    <w:lvl w:ilvl="1" w:tentative="0">
      <w:start w:val="5"/>
      <w:numFmt w:val="decimal"/>
      <w:lvlText w:val="%1.%2."/>
      <w:lvlJc w:val="left"/>
      <w:pPr>
        <w:ind w:left="1166" w:hanging="528"/>
        <w:jc w:val="left"/>
      </w:pPr>
      <w:rPr>
        <w:rFonts w:hint="default" w:ascii="宋体" w:hAnsi="宋体" w:eastAsia="宋体" w:cs="宋体"/>
        <w:b/>
        <w:bCs/>
        <w:spacing w:val="-2"/>
        <w:w w:val="98"/>
        <w:sz w:val="19"/>
        <w:szCs w:val="19"/>
        <w:lang w:val="zh-CN" w:eastAsia="zh-CN" w:bidi="zh-CN"/>
      </w:rPr>
    </w:lvl>
    <w:lvl w:ilvl="2" w:tentative="0">
      <w:start w:val="1"/>
      <w:numFmt w:val="decimal"/>
      <w:lvlText w:val="%1.%2.%3"/>
      <w:lvlJc w:val="left"/>
      <w:pPr>
        <w:ind w:left="1320" w:hanging="682"/>
        <w:jc w:val="left"/>
      </w:pPr>
      <w:rPr>
        <w:rFonts w:hint="default" w:ascii="宋体" w:hAnsi="宋体" w:eastAsia="宋体" w:cs="宋体"/>
        <w:spacing w:val="-2"/>
        <w:w w:val="99"/>
        <w:sz w:val="21"/>
        <w:szCs w:val="21"/>
        <w:lang w:val="zh-CN" w:eastAsia="zh-CN" w:bidi="zh-CN"/>
      </w:rPr>
    </w:lvl>
    <w:lvl w:ilvl="3" w:tentative="0">
      <w:start w:val="0"/>
      <w:numFmt w:val="bullet"/>
      <w:lvlText w:val="•"/>
      <w:lvlJc w:val="left"/>
      <w:pPr>
        <w:ind w:left="3201" w:hanging="682"/>
      </w:pPr>
      <w:rPr>
        <w:rFonts w:hint="default"/>
        <w:lang w:val="zh-CN" w:eastAsia="zh-CN" w:bidi="zh-CN"/>
      </w:rPr>
    </w:lvl>
    <w:lvl w:ilvl="4" w:tentative="0">
      <w:start w:val="0"/>
      <w:numFmt w:val="bullet"/>
      <w:lvlText w:val="•"/>
      <w:lvlJc w:val="left"/>
      <w:pPr>
        <w:ind w:left="4142" w:hanging="682"/>
      </w:pPr>
      <w:rPr>
        <w:rFonts w:hint="default"/>
        <w:lang w:val="zh-CN" w:eastAsia="zh-CN" w:bidi="zh-CN"/>
      </w:rPr>
    </w:lvl>
    <w:lvl w:ilvl="5" w:tentative="0">
      <w:start w:val="0"/>
      <w:numFmt w:val="bullet"/>
      <w:lvlText w:val="•"/>
      <w:lvlJc w:val="left"/>
      <w:pPr>
        <w:ind w:left="5082" w:hanging="682"/>
      </w:pPr>
      <w:rPr>
        <w:rFonts w:hint="default"/>
        <w:lang w:val="zh-CN" w:eastAsia="zh-CN" w:bidi="zh-CN"/>
      </w:rPr>
    </w:lvl>
    <w:lvl w:ilvl="6" w:tentative="0">
      <w:start w:val="0"/>
      <w:numFmt w:val="bullet"/>
      <w:lvlText w:val="•"/>
      <w:lvlJc w:val="left"/>
      <w:pPr>
        <w:ind w:left="6023" w:hanging="682"/>
      </w:pPr>
      <w:rPr>
        <w:rFonts w:hint="default"/>
        <w:lang w:val="zh-CN" w:eastAsia="zh-CN" w:bidi="zh-CN"/>
      </w:rPr>
    </w:lvl>
    <w:lvl w:ilvl="7" w:tentative="0">
      <w:start w:val="0"/>
      <w:numFmt w:val="bullet"/>
      <w:lvlText w:val="•"/>
      <w:lvlJc w:val="left"/>
      <w:pPr>
        <w:ind w:left="6964" w:hanging="682"/>
      </w:pPr>
      <w:rPr>
        <w:rFonts w:hint="default"/>
        <w:lang w:val="zh-CN" w:eastAsia="zh-CN" w:bidi="zh-CN"/>
      </w:rPr>
    </w:lvl>
    <w:lvl w:ilvl="8" w:tentative="0">
      <w:start w:val="0"/>
      <w:numFmt w:val="bullet"/>
      <w:lvlText w:val="•"/>
      <w:lvlJc w:val="left"/>
      <w:pPr>
        <w:ind w:left="7904" w:hanging="682"/>
      </w:pPr>
      <w:rPr>
        <w:rFonts w:hint="default"/>
        <w:lang w:val="zh-CN" w:eastAsia="zh-CN" w:bidi="zh-CN"/>
      </w:rPr>
    </w:lvl>
  </w:abstractNum>
  <w:abstractNum w:abstractNumId="26">
    <w:nsid w:val="508F121B"/>
    <w:multiLevelType w:val="singleLevel"/>
    <w:tmpl w:val="508F121B"/>
    <w:lvl w:ilvl="0" w:tentative="0">
      <w:start w:val="2"/>
      <w:numFmt w:val="decimal"/>
      <w:suff w:val="space"/>
      <w:lvlText w:val="%1."/>
      <w:lvlJc w:val="left"/>
    </w:lvl>
  </w:abstractNum>
  <w:abstractNum w:abstractNumId="27">
    <w:nsid w:val="59ADCABA"/>
    <w:multiLevelType w:val="multilevel"/>
    <w:tmpl w:val="59ADCABA"/>
    <w:lvl w:ilvl="0" w:tentative="0">
      <w:start w:val="1"/>
      <w:numFmt w:val="decimal"/>
      <w:lvlText w:val="%1."/>
      <w:lvlJc w:val="left"/>
      <w:pPr>
        <w:ind w:left="108" w:hanging="212"/>
        <w:jc w:val="left"/>
      </w:pPr>
      <w:rPr>
        <w:rFonts w:hint="default" w:ascii="宋体" w:hAnsi="宋体" w:eastAsia="宋体" w:cs="宋体"/>
        <w:b/>
        <w:bCs/>
        <w:spacing w:val="1"/>
        <w:w w:val="98"/>
        <w:sz w:val="19"/>
        <w:szCs w:val="19"/>
        <w:lang w:val="zh-CN" w:eastAsia="zh-CN" w:bidi="zh-CN"/>
      </w:rPr>
    </w:lvl>
    <w:lvl w:ilvl="1" w:tentative="0">
      <w:start w:val="0"/>
      <w:numFmt w:val="bullet"/>
      <w:lvlText w:val="•"/>
      <w:lvlJc w:val="left"/>
      <w:pPr>
        <w:ind w:left="932" w:hanging="212"/>
      </w:pPr>
      <w:rPr>
        <w:rFonts w:hint="default"/>
        <w:lang w:val="zh-CN" w:eastAsia="zh-CN" w:bidi="zh-CN"/>
      </w:rPr>
    </w:lvl>
    <w:lvl w:ilvl="2" w:tentative="0">
      <w:start w:val="0"/>
      <w:numFmt w:val="bullet"/>
      <w:lvlText w:val="•"/>
      <w:lvlJc w:val="left"/>
      <w:pPr>
        <w:ind w:left="1765" w:hanging="212"/>
      </w:pPr>
      <w:rPr>
        <w:rFonts w:hint="default"/>
        <w:lang w:val="zh-CN" w:eastAsia="zh-CN" w:bidi="zh-CN"/>
      </w:rPr>
    </w:lvl>
    <w:lvl w:ilvl="3" w:tentative="0">
      <w:start w:val="0"/>
      <w:numFmt w:val="bullet"/>
      <w:lvlText w:val="•"/>
      <w:lvlJc w:val="left"/>
      <w:pPr>
        <w:ind w:left="2598" w:hanging="212"/>
      </w:pPr>
      <w:rPr>
        <w:rFonts w:hint="default"/>
        <w:lang w:val="zh-CN" w:eastAsia="zh-CN" w:bidi="zh-CN"/>
      </w:rPr>
    </w:lvl>
    <w:lvl w:ilvl="4" w:tentative="0">
      <w:start w:val="0"/>
      <w:numFmt w:val="bullet"/>
      <w:lvlText w:val="•"/>
      <w:lvlJc w:val="left"/>
      <w:pPr>
        <w:ind w:left="3431" w:hanging="212"/>
      </w:pPr>
      <w:rPr>
        <w:rFonts w:hint="default"/>
        <w:lang w:val="zh-CN" w:eastAsia="zh-CN" w:bidi="zh-CN"/>
      </w:rPr>
    </w:lvl>
    <w:lvl w:ilvl="5" w:tentative="0">
      <w:start w:val="0"/>
      <w:numFmt w:val="bullet"/>
      <w:lvlText w:val="•"/>
      <w:lvlJc w:val="left"/>
      <w:pPr>
        <w:ind w:left="4264" w:hanging="212"/>
      </w:pPr>
      <w:rPr>
        <w:rFonts w:hint="default"/>
        <w:lang w:val="zh-CN" w:eastAsia="zh-CN" w:bidi="zh-CN"/>
      </w:rPr>
    </w:lvl>
    <w:lvl w:ilvl="6" w:tentative="0">
      <w:start w:val="0"/>
      <w:numFmt w:val="bullet"/>
      <w:lvlText w:val="•"/>
      <w:lvlJc w:val="left"/>
      <w:pPr>
        <w:ind w:left="5096" w:hanging="212"/>
      </w:pPr>
      <w:rPr>
        <w:rFonts w:hint="default"/>
        <w:lang w:val="zh-CN" w:eastAsia="zh-CN" w:bidi="zh-CN"/>
      </w:rPr>
    </w:lvl>
    <w:lvl w:ilvl="7" w:tentative="0">
      <w:start w:val="0"/>
      <w:numFmt w:val="bullet"/>
      <w:lvlText w:val="•"/>
      <w:lvlJc w:val="left"/>
      <w:pPr>
        <w:ind w:left="5929" w:hanging="212"/>
      </w:pPr>
      <w:rPr>
        <w:rFonts w:hint="default"/>
        <w:lang w:val="zh-CN" w:eastAsia="zh-CN" w:bidi="zh-CN"/>
      </w:rPr>
    </w:lvl>
    <w:lvl w:ilvl="8" w:tentative="0">
      <w:start w:val="0"/>
      <w:numFmt w:val="bullet"/>
      <w:lvlText w:val="•"/>
      <w:lvlJc w:val="left"/>
      <w:pPr>
        <w:ind w:left="6762" w:hanging="212"/>
      </w:pPr>
      <w:rPr>
        <w:rFonts w:hint="default"/>
        <w:lang w:val="zh-CN" w:eastAsia="zh-CN" w:bidi="zh-CN"/>
      </w:rPr>
    </w:lvl>
  </w:abstractNum>
  <w:abstractNum w:abstractNumId="28">
    <w:nsid w:val="5A241D34"/>
    <w:multiLevelType w:val="multilevel"/>
    <w:tmpl w:val="5A241D34"/>
    <w:lvl w:ilvl="0" w:tentative="0">
      <w:start w:val="9"/>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spacing w:val="0"/>
        <w:w w:val="99"/>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29">
    <w:nsid w:val="60382F6E"/>
    <w:multiLevelType w:val="multilevel"/>
    <w:tmpl w:val="60382F6E"/>
    <w:lvl w:ilvl="0" w:tentative="0">
      <w:start w:val="23"/>
      <w:numFmt w:val="decimal"/>
      <w:lvlText w:val="%1"/>
      <w:lvlJc w:val="left"/>
      <w:pPr>
        <w:ind w:left="218" w:hanging="526"/>
        <w:jc w:val="left"/>
      </w:pPr>
      <w:rPr>
        <w:rFonts w:hint="default"/>
        <w:lang w:val="zh-CN" w:eastAsia="zh-CN" w:bidi="zh-CN"/>
      </w:rPr>
    </w:lvl>
    <w:lvl w:ilvl="1" w:tentative="0">
      <w:start w:val="1"/>
      <w:numFmt w:val="decimal"/>
      <w:lvlText w:val="%1.%2"/>
      <w:lvlJc w:val="left"/>
      <w:pPr>
        <w:ind w:left="218" w:hanging="526"/>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526"/>
      </w:pPr>
      <w:rPr>
        <w:rFonts w:hint="default"/>
        <w:lang w:val="zh-CN" w:eastAsia="zh-CN" w:bidi="zh-CN"/>
      </w:rPr>
    </w:lvl>
    <w:lvl w:ilvl="3" w:tentative="0">
      <w:start w:val="0"/>
      <w:numFmt w:val="bullet"/>
      <w:lvlText w:val="•"/>
      <w:lvlJc w:val="left"/>
      <w:pPr>
        <w:ind w:left="3089" w:hanging="526"/>
      </w:pPr>
      <w:rPr>
        <w:rFonts w:hint="default"/>
        <w:lang w:val="zh-CN" w:eastAsia="zh-CN" w:bidi="zh-CN"/>
      </w:rPr>
    </w:lvl>
    <w:lvl w:ilvl="4" w:tentative="0">
      <w:start w:val="0"/>
      <w:numFmt w:val="bullet"/>
      <w:lvlText w:val="•"/>
      <w:lvlJc w:val="left"/>
      <w:pPr>
        <w:ind w:left="4046" w:hanging="526"/>
      </w:pPr>
      <w:rPr>
        <w:rFonts w:hint="default"/>
        <w:lang w:val="zh-CN" w:eastAsia="zh-CN" w:bidi="zh-CN"/>
      </w:rPr>
    </w:lvl>
    <w:lvl w:ilvl="5" w:tentative="0">
      <w:start w:val="0"/>
      <w:numFmt w:val="bullet"/>
      <w:lvlText w:val="•"/>
      <w:lvlJc w:val="left"/>
      <w:pPr>
        <w:ind w:left="5003" w:hanging="526"/>
      </w:pPr>
      <w:rPr>
        <w:rFonts w:hint="default"/>
        <w:lang w:val="zh-CN" w:eastAsia="zh-CN" w:bidi="zh-CN"/>
      </w:rPr>
    </w:lvl>
    <w:lvl w:ilvl="6" w:tentative="0">
      <w:start w:val="0"/>
      <w:numFmt w:val="bullet"/>
      <w:lvlText w:val="•"/>
      <w:lvlJc w:val="left"/>
      <w:pPr>
        <w:ind w:left="5959" w:hanging="526"/>
      </w:pPr>
      <w:rPr>
        <w:rFonts w:hint="default"/>
        <w:lang w:val="zh-CN" w:eastAsia="zh-CN" w:bidi="zh-CN"/>
      </w:rPr>
    </w:lvl>
    <w:lvl w:ilvl="7" w:tentative="0">
      <w:start w:val="0"/>
      <w:numFmt w:val="bullet"/>
      <w:lvlText w:val="•"/>
      <w:lvlJc w:val="left"/>
      <w:pPr>
        <w:ind w:left="6916" w:hanging="526"/>
      </w:pPr>
      <w:rPr>
        <w:rFonts w:hint="default"/>
        <w:lang w:val="zh-CN" w:eastAsia="zh-CN" w:bidi="zh-CN"/>
      </w:rPr>
    </w:lvl>
    <w:lvl w:ilvl="8" w:tentative="0">
      <w:start w:val="0"/>
      <w:numFmt w:val="bullet"/>
      <w:lvlText w:val="•"/>
      <w:lvlJc w:val="left"/>
      <w:pPr>
        <w:ind w:left="7872" w:hanging="526"/>
      </w:pPr>
      <w:rPr>
        <w:rFonts w:hint="default"/>
        <w:lang w:val="zh-CN" w:eastAsia="zh-CN" w:bidi="zh-CN"/>
      </w:rPr>
    </w:lvl>
  </w:abstractNum>
  <w:abstractNum w:abstractNumId="30">
    <w:nsid w:val="629F7852"/>
    <w:multiLevelType w:val="multilevel"/>
    <w:tmpl w:val="629F7852"/>
    <w:lvl w:ilvl="0" w:tentative="0">
      <w:start w:val="9"/>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31">
    <w:nsid w:val="72183CF9"/>
    <w:multiLevelType w:val="multilevel"/>
    <w:tmpl w:val="72183CF9"/>
    <w:lvl w:ilvl="0" w:tentative="0">
      <w:start w:val="5"/>
      <w:numFmt w:val="decimal"/>
      <w:lvlText w:val="%1"/>
      <w:lvlJc w:val="left"/>
      <w:pPr>
        <w:ind w:left="218" w:hanging="370"/>
        <w:jc w:val="left"/>
      </w:pPr>
      <w:rPr>
        <w:rFonts w:hint="default"/>
        <w:lang w:val="zh-CN" w:eastAsia="zh-CN" w:bidi="zh-CN"/>
      </w:rPr>
    </w:lvl>
    <w:lvl w:ilvl="1" w:tentative="0">
      <w:start w:val="1"/>
      <w:numFmt w:val="decimal"/>
      <w:lvlText w:val="%1.%2"/>
      <w:lvlJc w:val="left"/>
      <w:pPr>
        <w:ind w:left="218" w:hanging="370"/>
        <w:jc w:val="left"/>
      </w:pPr>
      <w:rPr>
        <w:rFonts w:hint="default"/>
        <w:b/>
        <w:bCs/>
        <w:spacing w:val="0"/>
        <w:w w:val="98"/>
        <w:lang w:val="zh-CN" w:eastAsia="zh-CN" w:bidi="zh-CN"/>
      </w:rPr>
    </w:lvl>
    <w:lvl w:ilvl="2" w:tentative="0">
      <w:start w:val="0"/>
      <w:numFmt w:val="bullet"/>
      <w:lvlText w:val="•"/>
      <w:lvlJc w:val="left"/>
      <w:pPr>
        <w:ind w:left="2133" w:hanging="370"/>
      </w:pPr>
      <w:rPr>
        <w:rFonts w:hint="default"/>
        <w:lang w:val="zh-CN" w:eastAsia="zh-CN" w:bidi="zh-CN"/>
      </w:rPr>
    </w:lvl>
    <w:lvl w:ilvl="3" w:tentative="0">
      <w:start w:val="0"/>
      <w:numFmt w:val="bullet"/>
      <w:lvlText w:val="•"/>
      <w:lvlJc w:val="left"/>
      <w:pPr>
        <w:ind w:left="3089" w:hanging="370"/>
      </w:pPr>
      <w:rPr>
        <w:rFonts w:hint="default"/>
        <w:lang w:val="zh-CN" w:eastAsia="zh-CN" w:bidi="zh-CN"/>
      </w:rPr>
    </w:lvl>
    <w:lvl w:ilvl="4" w:tentative="0">
      <w:start w:val="0"/>
      <w:numFmt w:val="bullet"/>
      <w:lvlText w:val="•"/>
      <w:lvlJc w:val="left"/>
      <w:pPr>
        <w:ind w:left="4046" w:hanging="370"/>
      </w:pPr>
      <w:rPr>
        <w:rFonts w:hint="default"/>
        <w:lang w:val="zh-CN" w:eastAsia="zh-CN" w:bidi="zh-CN"/>
      </w:rPr>
    </w:lvl>
    <w:lvl w:ilvl="5" w:tentative="0">
      <w:start w:val="0"/>
      <w:numFmt w:val="bullet"/>
      <w:lvlText w:val="•"/>
      <w:lvlJc w:val="left"/>
      <w:pPr>
        <w:ind w:left="5003" w:hanging="370"/>
      </w:pPr>
      <w:rPr>
        <w:rFonts w:hint="default"/>
        <w:lang w:val="zh-CN" w:eastAsia="zh-CN" w:bidi="zh-CN"/>
      </w:rPr>
    </w:lvl>
    <w:lvl w:ilvl="6" w:tentative="0">
      <w:start w:val="0"/>
      <w:numFmt w:val="bullet"/>
      <w:lvlText w:val="•"/>
      <w:lvlJc w:val="left"/>
      <w:pPr>
        <w:ind w:left="5959" w:hanging="370"/>
      </w:pPr>
      <w:rPr>
        <w:rFonts w:hint="default"/>
        <w:lang w:val="zh-CN" w:eastAsia="zh-CN" w:bidi="zh-CN"/>
      </w:rPr>
    </w:lvl>
    <w:lvl w:ilvl="7" w:tentative="0">
      <w:start w:val="0"/>
      <w:numFmt w:val="bullet"/>
      <w:lvlText w:val="•"/>
      <w:lvlJc w:val="left"/>
      <w:pPr>
        <w:ind w:left="6916" w:hanging="370"/>
      </w:pPr>
      <w:rPr>
        <w:rFonts w:hint="default"/>
        <w:lang w:val="zh-CN" w:eastAsia="zh-CN" w:bidi="zh-CN"/>
      </w:rPr>
    </w:lvl>
    <w:lvl w:ilvl="8" w:tentative="0">
      <w:start w:val="0"/>
      <w:numFmt w:val="bullet"/>
      <w:lvlText w:val="•"/>
      <w:lvlJc w:val="left"/>
      <w:pPr>
        <w:ind w:left="7872" w:hanging="370"/>
      </w:pPr>
      <w:rPr>
        <w:rFonts w:hint="default"/>
        <w:lang w:val="zh-CN" w:eastAsia="zh-CN" w:bidi="zh-CN"/>
      </w:rPr>
    </w:lvl>
  </w:abstractNum>
  <w:abstractNum w:abstractNumId="32">
    <w:nsid w:val="77ECEA79"/>
    <w:multiLevelType w:val="multilevel"/>
    <w:tmpl w:val="77ECEA79"/>
    <w:lvl w:ilvl="0" w:tentative="0">
      <w:start w:val="7"/>
      <w:numFmt w:val="decimal"/>
      <w:lvlText w:val="%1"/>
      <w:lvlJc w:val="left"/>
      <w:pPr>
        <w:ind w:left="218" w:hanging="420"/>
        <w:jc w:val="left"/>
      </w:pPr>
      <w:rPr>
        <w:rFonts w:hint="default"/>
        <w:lang w:val="zh-CN" w:eastAsia="zh-CN" w:bidi="zh-CN"/>
      </w:rPr>
    </w:lvl>
    <w:lvl w:ilvl="1" w:tentative="0">
      <w:start w:val="1"/>
      <w:numFmt w:val="decimal"/>
      <w:lvlText w:val="%1.%2"/>
      <w:lvlJc w:val="left"/>
      <w:pPr>
        <w:ind w:left="218" w:hanging="420"/>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133" w:hanging="420"/>
      </w:pPr>
      <w:rPr>
        <w:rFonts w:hint="default"/>
        <w:lang w:val="zh-CN" w:eastAsia="zh-CN" w:bidi="zh-CN"/>
      </w:rPr>
    </w:lvl>
    <w:lvl w:ilvl="3" w:tentative="0">
      <w:start w:val="0"/>
      <w:numFmt w:val="bullet"/>
      <w:lvlText w:val="•"/>
      <w:lvlJc w:val="left"/>
      <w:pPr>
        <w:ind w:left="3089" w:hanging="420"/>
      </w:pPr>
      <w:rPr>
        <w:rFonts w:hint="default"/>
        <w:lang w:val="zh-CN" w:eastAsia="zh-CN" w:bidi="zh-CN"/>
      </w:rPr>
    </w:lvl>
    <w:lvl w:ilvl="4" w:tentative="0">
      <w:start w:val="0"/>
      <w:numFmt w:val="bullet"/>
      <w:lvlText w:val="•"/>
      <w:lvlJc w:val="left"/>
      <w:pPr>
        <w:ind w:left="4046" w:hanging="420"/>
      </w:pPr>
      <w:rPr>
        <w:rFonts w:hint="default"/>
        <w:lang w:val="zh-CN" w:eastAsia="zh-CN" w:bidi="zh-CN"/>
      </w:rPr>
    </w:lvl>
    <w:lvl w:ilvl="5" w:tentative="0">
      <w:start w:val="0"/>
      <w:numFmt w:val="bullet"/>
      <w:lvlText w:val="•"/>
      <w:lvlJc w:val="left"/>
      <w:pPr>
        <w:ind w:left="5003" w:hanging="420"/>
      </w:pPr>
      <w:rPr>
        <w:rFonts w:hint="default"/>
        <w:lang w:val="zh-CN" w:eastAsia="zh-CN" w:bidi="zh-CN"/>
      </w:rPr>
    </w:lvl>
    <w:lvl w:ilvl="6" w:tentative="0">
      <w:start w:val="0"/>
      <w:numFmt w:val="bullet"/>
      <w:lvlText w:val="•"/>
      <w:lvlJc w:val="left"/>
      <w:pPr>
        <w:ind w:left="5959" w:hanging="420"/>
      </w:pPr>
      <w:rPr>
        <w:rFonts w:hint="default"/>
        <w:lang w:val="zh-CN" w:eastAsia="zh-CN" w:bidi="zh-CN"/>
      </w:rPr>
    </w:lvl>
    <w:lvl w:ilvl="7" w:tentative="0">
      <w:start w:val="0"/>
      <w:numFmt w:val="bullet"/>
      <w:lvlText w:val="•"/>
      <w:lvlJc w:val="left"/>
      <w:pPr>
        <w:ind w:left="6916" w:hanging="420"/>
      </w:pPr>
      <w:rPr>
        <w:rFonts w:hint="default"/>
        <w:lang w:val="zh-CN" w:eastAsia="zh-CN" w:bidi="zh-CN"/>
      </w:rPr>
    </w:lvl>
    <w:lvl w:ilvl="8" w:tentative="0">
      <w:start w:val="0"/>
      <w:numFmt w:val="bullet"/>
      <w:lvlText w:val="•"/>
      <w:lvlJc w:val="left"/>
      <w:pPr>
        <w:ind w:left="7872" w:hanging="420"/>
      </w:pPr>
      <w:rPr>
        <w:rFonts w:hint="default"/>
        <w:lang w:val="zh-CN" w:eastAsia="zh-CN" w:bidi="zh-CN"/>
      </w:rPr>
    </w:lvl>
  </w:abstractNum>
  <w:abstractNum w:abstractNumId="33">
    <w:nsid w:val="7C246926"/>
    <w:multiLevelType w:val="multilevel"/>
    <w:tmpl w:val="7C246926"/>
    <w:lvl w:ilvl="0" w:tentative="0">
      <w:start w:val="6"/>
      <w:numFmt w:val="decimal"/>
      <w:lvlText w:val="%1"/>
      <w:lvlJc w:val="left"/>
      <w:pPr>
        <w:ind w:left="218" w:hanging="368"/>
        <w:jc w:val="left"/>
      </w:pPr>
      <w:rPr>
        <w:rFonts w:hint="default"/>
        <w:lang w:val="zh-CN" w:eastAsia="zh-CN" w:bidi="zh-CN"/>
      </w:rPr>
    </w:lvl>
    <w:lvl w:ilvl="1" w:tentative="0">
      <w:start w:val="1"/>
      <w:numFmt w:val="decimal"/>
      <w:lvlText w:val="%1.%2"/>
      <w:lvlJc w:val="left"/>
      <w:pPr>
        <w:ind w:left="218" w:hanging="368"/>
        <w:jc w:val="left"/>
      </w:pPr>
      <w:rPr>
        <w:rFonts w:hint="default" w:ascii="宋体" w:hAnsi="宋体" w:eastAsia="宋体" w:cs="宋体"/>
        <w:spacing w:val="-2"/>
        <w:w w:val="99"/>
        <w:sz w:val="21"/>
        <w:szCs w:val="21"/>
        <w:lang w:val="zh-CN" w:eastAsia="zh-CN" w:bidi="zh-CN"/>
      </w:rPr>
    </w:lvl>
    <w:lvl w:ilvl="2" w:tentative="0">
      <w:start w:val="0"/>
      <w:numFmt w:val="bullet"/>
      <w:lvlText w:val="•"/>
      <w:lvlJc w:val="left"/>
      <w:pPr>
        <w:ind w:left="2133" w:hanging="368"/>
      </w:pPr>
      <w:rPr>
        <w:rFonts w:hint="default"/>
        <w:lang w:val="zh-CN" w:eastAsia="zh-CN" w:bidi="zh-CN"/>
      </w:rPr>
    </w:lvl>
    <w:lvl w:ilvl="3" w:tentative="0">
      <w:start w:val="0"/>
      <w:numFmt w:val="bullet"/>
      <w:lvlText w:val="•"/>
      <w:lvlJc w:val="left"/>
      <w:pPr>
        <w:ind w:left="3089" w:hanging="368"/>
      </w:pPr>
      <w:rPr>
        <w:rFonts w:hint="default"/>
        <w:lang w:val="zh-CN" w:eastAsia="zh-CN" w:bidi="zh-CN"/>
      </w:rPr>
    </w:lvl>
    <w:lvl w:ilvl="4" w:tentative="0">
      <w:start w:val="0"/>
      <w:numFmt w:val="bullet"/>
      <w:lvlText w:val="•"/>
      <w:lvlJc w:val="left"/>
      <w:pPr>
        <w:ind w:left="4046" w:hanging="368"/>
      </w:pPr>
      <w:rPr>
        <w:rFonts w:hint="default"/>
        <w:lang w:val="zh-CN" w:eastAsia="zh-CN" w:bidi="zh-CN"/>
      </w:rPr>
    </w:lvl>
    <w:lvl w:ilvl="5" w:tentative="0">
      <w:start w:val="0"/>
      <w:numFmt w:val="bullet"/>
      <w:lvlText w:val="•"/>
      <w:lvlJc w:val="left"/>
      <w:pPr>
        <w:ind w:left="5003" w:hanging="368"/>
      </w:pPr>
      <w:rPr>
        <w:rFonts w:hint="default"/>
        <w:lang w:val="zh-CN" w:eastAsia="zh-CN" w:bidi="zh-CN"/>
      </w:rPr>
    </w:lvl>
    <w:lvl w:ilvl="6" w:tentative="0">
      <w:start w:val="0"/>
      <w:numFmt w:val="bullet"/>
      <w:lvlText w:val="•"/>
      <w:lvlJc w:val="left"/>
      <w:pPr>
        <w:ind w:left="5959" w:hanging="368"/>
      </w:pPr>
      <w:rPr>
        <w:rFonts w:hint="default"/>
        <w:lang w:val="zh-CN" w:eastAsia="zh-CN" w:bidi="zh-CN"/>
      </w:rPr>
    </w:lvl>
    <w:lvl w:ilvl="7" w:tentative="0">
      <w:start w:val="0"/>
      <w:numFmt w:val="bullet"/>
      <w:lvlText w:val="•"/>
      <w:lvlJc w:val="left"/>
      <w:pPr>
        <w:ind w:left="6916" w:hanging="368"/>
      </w:pPr>
      <w:rPr>
        <w:rFonts w:hint="default"/>
        <w:lang w:val="zh-CN" w:eastAsia="zh-CN" w:bidi="zh-CN"/>
      </w:rPr>
    </w:lvl>
    <w:lvl w:ilvl="8" w:tentative="0">
      <w:start w:val="0"/>
      <w:numFmt w:val="bullet"/>
      <w:lvlText w:val="•"/>
      <w:lvlJc w:val="left"/>
      <w:pPr>
        <w:ind w:left="7872" w:hanging="368"/>
      </w:pPr>
      <w:rPr>
        <w:rFonts w:hint="default"/>
        <w:lang w:val="zh-CN" w:eastAsia="zh-CN" w:bidi="zh-CN"/>
      </w:rPr>
    </w:lvl>
  </w:abstractNum>
  <w:abstractNum w:abstractNumId="34">
    <w:nsid w:val="7E606C2D"/>
    <w:multiLevelType w:val="multilevel"/>
    <w:tmpl w:val="7E606C2D"/>
    <w:lvl w:ilvl="0" w:tentative="0">
      <w:start w:val="1"/>
      <w:numFmt w:val="decimal"/>
      <w:pStyle w:val="23"/>
      <w:lvlText w:val="%1."/>
      <w:lvlJc w:val="left"/>
      <w:pPr>
        <w:tabs>
          <w:tab w:val="left" w:pos="-2274"/>
        </w:tabs>
        <w:ind w:left="-2274" w:hanging="420"/>
      </w:pPr>
      <w:rPr>
        <w:rFonts w:hint="default"/>
      </w:rPr>
    </w:lvl>
    <w:lvl w:ilvl="1" w:tentative="0">
      <w:start w:val="1"/>
      <w:numFmt w:val="bullet"/>
      <w:lvlText w:val=""/>
      <w:lvlJc w:val="left"/>
      <w:pPr>
        <w:tabs>
          <w:tab w:val="left" w:pos="-1854"/>
        </w:tabs>
        <w:ind w:left="-1854" w:hanging="420"/>
      </w:pPr>
      <w:rPr>
        <w:rFonts w:hint="default" w:ascii="Wingdings" w:hAnsi="Wingdings"/>
      </w:rPr>
    </w:lvl>
    <w:lvl w:ilvl="2" w:tentative="0">
      <w:start w:val="1"/>
      <w:numFmt w:val="bullet"/>
      <w:lvlText w:val=""/>
      <w:lvlJc w:val="left"/>
      <w:pPr>
        <w:tabs>
          <w:tab w:val="left" w:pos="-1434"/>
        </w:tabs>
        <w:ind w:left="-1434" w:hanging="420"/>
      </w:pPr>
      <w:rPr>
        <w:rFonts w:hint="default" w:ascii="Wingdings" w:hAnsi="Wingdings"/>
      </w:rPr>
    </w:lvl>
    <w:lvl w:ilvl="3" w:tentative="0">
      <w:start w:val="1"/>
      <w:numFmt w:val="bullet"/>
      <w:lvlText w:val=""/>
      <w:lvlJc w:val="left"/>
      <w:pPr>
        <w:tabs>
          <w:tab w:val="left" w:pos="-1014"/>
        </w:tabs>
        <w:ind w:left="-1014" w:hanging="420"/>
      </w:pPr>
      <w:rPr>
        <w:rFonts w:hint="default" w:ascii="Wingdings" w:hAnsi="Wingdings"/>
      </w:rPr>
    </w:lvl>
    <w:lvl w:ilvl="4" w:tentative="0">
      <w:start w:val="1"/>
      <w:numFmt w:val="bullet"/>
      <w:lvlText w:val=""/>
      <w:lvlJc w:val="left"/>
      <w:pPr>
        <w:tabs>
          <w:tab w:val="left" w:pos="-594"/>
        </w:tabs>
        <w:ind w:left="-594" w:hanging="420"/>
      </w:pPr>
      <w:rPr>
        <w:rFonts w:hint="default" w:ascii="Wingdings" w:hAnsi="Wingdings"/>
      </w:rPr>
    </w:lvl>
    <w:lvl w:ilvl="5" w:tentative="0">
      <w:start w:val="1"/>
      <w:numFmt w:val="bullet"/>
      <w:lvlText w:val=""/>
      <w:lvlJc w:val="left"/>
      <w:pPr>
        <w:tabs>
          <w:tab w:val="left" w:pos="-174"/>
        </w:tabs>
        <w:ind w:left="-174" w:hanging="420"/>
      </w:pPr>
      <w:rPr>
        <w:rFonts w:hint="default" w:ascii="Wingdings" w:hAnsi="Wingdings"/>
      </w:rPr>
    </w:lvl>
    <w:lvl w:ilvl="6" w:tentative="0">
      <w:start w:val="1"/>
      <w:numFmt w:val="bullet"/>
      <w:lvlText w:val=""/>
      <w:lvlJc w:val="left"/>
      <w:pPr>
        <w:tabs>
          <w:tab w:val="left" w:pos="246"/>
        </w:tabs>
        <w:ind w:left="246" w:hanging="420"/>
      </w:pPr>
      <w:rPr>
        <w:rFonts w:hint="default" w:ascii="Wingdings" w:hAnsi="Wingdings"/>
      </w:rPr>
    </w:lvl>
    <w:lvl w:ilvl="7" w:tentative="0">
      <w:start w:val="1"/>
      <w:numFmt w:val="bullet"/>
      <w:lvlText w:val=""/>
      <w:lvlJc w:val="left"/>
      <w:pPr>
        <w:tabs>
          <w:tab w:val="left" w:pos="666"/>
        </w:tabs>
        <w:ind w:left="666" w:hanging="420"/>
      </w:pPr>
      <w:rPr>
        <w:rFonts w:hint="default" w:ascii="Wingdings" w:hAnsi="Wingdings"/>
      </w:rPr>
    </w:lvl>
    <w:lvl w:ilvl="8" w:tentative="0">
      <w:start w:val="1"/>
      <w:numFmt w:val="bullet"/>
      <w:lvlText w:val=""/>
      <w:lvlJc w:val="left"/>
      <w:pPr>
        <w:tabs>
          <w:tab w:val="left" w:pos="1086"/>
        </w:tabs>
        <w:ind w:left="1086" w:hanging="420"/>
      </w:pPr>
      <w:rPr>
        <w:rFonts w:hint="default" w:ascii="Wingdings" w:hAnsi="Wingdings"/>
      </w:rPr>
    </w:lvl>
  </w:abstractNum>
  <w:num w:numId="1">
    <w:abstractNumId w:val="34"/>
  </w:num>
  <w:num w:numId="2">
    <w:abstractNumId w:val="12"/>
  </w:num>
  <w:num w:numId="3">
    <w:abstractNumId w:val="27"/>
  </w:num>
  <w:num w:numId="4">
    <w:abstractNumId w:val="0"/>
  </w:num>
  <w:num w:numId="5">
    <w:abstractNumId w:val="26"/>
  </w:num>
  <w:num w:numId="6">
    <w:abstractNumId w:val="22"/>
  </w:num>
  <w:num w:numId="7">
    <w:abstractNumId w:val="16"/>
  </w:num>
  <w:num w:numId="8">
    <w:abstractNumId w:val="21"/>
  </w:num>
  <w:num w:numId="9">
    <w:abstractNumId w:val="13"/>
  </w:num>
  <w:num w:numId="10">
    <w:abstractNumId w:val="5"/>
  </w:num>
  <w:num w:numId="11">
    <w:abstractNumId w:val="15"/>
  </w:num>
  <w:num w:numId="12">
    <w:abstractNumId w:val="19"/>
  </w:num>
  <w:num w:numId="13">
    <w:abstractNumId w:val="31"/>
  </w:num>
  <w:num w:numId="14">
    <w:abstractNumId w:val="14"/>
  </w:num>
  <w:num w:numId="15">
    <w:abstractNumId w:val="1"/>
  </w:num>
  <w:num w:numId="16">
    <w:abstractNumId w:val="20"/>
  </w:num>
  <w:num w:numId="17">
    <w:abstractNumId w:val="28"/>
  </w:num>
  <w:num w:numId="18">
    <w:abstractNumId w:val="8"/>
  </w:num>
  <w:num w:numId="19">
    <w:abstractNumId w:val="25"/>
  </w:num>
  <w:num w:numId="20">
    <w:abstractNumId w:val="11"/>
  </w:num>
  <w:num w:numId="21">
    <w:abstractNumId w:val="18"/>
  </w:num>
  <w:num w:numId="22">
    <w:abstractNumId w:val="10"/>
  </w:num>
  <w:num w:numId="23">
    <w:abstractNumId w:val="9"/>
  </w:num>
  <w:num w:numId="24">
    <w:abstractNumId w:val="3"/>
  </w:num>
  <w:num w:numId="25">
    <w:abstractNumId w:val="24"/>
  </w:num>
  <w:num w:numId="26">
    <w:abstractNumId w:val="29"/>
  </w:num>
  <w:num w:numId="27">
    <w:abstractNumId w:val="17"/>
  </w:num>
  <w:num w:numId="28">
    <w:abstractNumId w:val="23"/>
  </w:num>
  <w:num w:numId="29">
    <w:abstractNumId w:val="6"/>
  </w:num>
  <w:num w:numId="30">
    <w:abstractNumId w:val="33"/>
  </w:num>
  <w:num w:numId="31">
    <w:abstractNumId w:val="32"/>
  </w:num>
  <w:num w:numId="32">
    <w:abstractNumId w:val="7"/>
  </w:num>
  <w:num w:numId="33">
    <w:abstractNumId w:val="30"/>
  </w:num>
  <w:num w:numId="34">
    <w:abstractNumId w:val="2"/>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1" w:cryptProviderType="rsaFull" w:cryptAlgorithmClass="hash" w:cryptAlgorithmType="typeAny" w:cryptAlgorithmSid="4" w:cryptSpinCount="0" w:hash="uf4ZqQdPuwMmS8KJep+xMAkzuSg=" w:salt="03gXoRXqplrlGtVdbbpe7A=="/>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F41B5F"/>
    <w:rsid w:val="235D7F1A"/>
    <w:rsid w:val="2AC335E3"/>
    <w:rsid w:val="34284154"/>
    <w:rsid w:val="3C2217B1"/>
    <w:rsid w:val="41476EE8"/>
    <w:rsid w:val="41CE317D"/>
    <w:rsid w:val="4A8338FD"/>
    <w:rsid w:val="4DC25D78"/>
    <w:rsid w:val="4E54672F"/>
    <w:rsid w:val="4F8769DE"/>
    <w:rsid w:val="65094D25"/>
    <w:rsid w:val="675765F3"/>
    <w:rsid w:val="69107109"/>
    <w:rsid w:val="69453596"/>
    <w:rsid w:val="6A6049C3"/>
    <w:rsid w:val="6E290560"/>
    <w:rsid w:val="702B3D3D"/>
    <w:rsid w:val="75D94A24"/>
    <w:rsid w:val="76B412F6"/>
    <w:rsid w:val="77F221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43"/>
      <w:ind w:left="278" w:right="663"/>
      <w:jc w:val="center"/>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856"/>
      <w:outlineLvl w:val="2"/>
    </w:pPr>
    <w:rPr>
      <w:rFonts w:ascii="宋体" w:hAnsi="宋体" w:eastAsia="宋体" w:cs="宋体"/>
      <w:sz w:val="32"/>
      <w:szCs w:val="32"/>
      <w:lang w:val="zh-CN" w:eastAsia="zh-CN" w:bidi="zh-CN"/>
    </w:rPr>
  </w:style>
  <w:style w:type="paragraph" w:styleId="5">
    <w:name w:val="heading 3"/>
    <w:basedOn w:val="4"/>
    <w:next w:val="1"/>
    <w:qFormat/>
    <w:uiPriority w:val="1"/>
    <w:pPr>
      <w:spacing w:before="32"/>
      <w:ind w:left="218"/>
      <w:outlineLvl w:val="3"/>
    </w:pPr>
    <w:rPr>
      <w:rFonts w:ascii="宋体" w:hAnsi="宋体" w:eastAsia="宋体" w:cs="宋体"/>
      <w:b/>
      <w:bCs/>
      <w:sz w:val="30"/>
      <w:szCs w:val="30"/>
      <w:lang w:val="zh-CN" w:eastAsia="zh-CN" w:bidi="zh-CN"/>
    </w:rPr>
  </w:style>
  <w:style w:type="paragraph" w:styleId="6">
    <w:name w:val="heading 4"/>
    <w:basedOn w:val="1"/>
    <w:next w:val="1"/>
    <w:qFormat/>
    <w:uiPriority w:val="1"/>
    <w:pPr>
      <w:spacing w:before="35"/>
      <w:ind w:left="278" w:right="557"/>
      <w:jc w:val="center"/>
      <w:outlineLvl w:val="4"/>
    </w:pPr>
    <w:rPr>
      <w:rFonts w:ascii="宋体" w:hAnsi="宋体" w:eastAsia="宋体" w:cs="宋体"/>
      <w:b/>
      <w:bCs/>
      <w:sz w:val="28"/>
      <w:szCs w:val="28"/>
      <w:lang w:val="zh-CN" w:eastAsia="zh-CN" w:bidi="zh-CN"/>
    </w:rPr>
  </w:style>
  <w:style w:type="paragraph" w:styleId="7">
    <w:name w:val="heading 5"/>
    <w:basedOn w:val="1"/>
    <w:next w:val="1"/>
    <w:qFormat/>
    <w:uiPriority w:val="1"/>
    <w:pPr>
      <w:spacing w:before="1"/>
      <w:ind w:left="273" w:right="663"/>
      <w:jc w:val="center"/>
      <w:outlineLvl w:val="5"/>
    </w:pPr>
    <w:rPr>
      <w:rFonts w:ascii="微软雅黑" w:hAnsi="微软雅黑" w:eastAsia="微软雅黑" w:cs="微软雅黑"/>
      <w:sz w:val="24"/>
      <w:szCs w:val="24"/>
      <w:lang w:val="zh-CN" w:eastAsia="zh-CN" w:bidi="zh-CN"/>
    </w:rPr>
  </w:style>
  <w:style w:type="paragraph" w:styleId="8">
    <w:name w:val="heading 6"/>
    <w:basedOn w:val="1"/>
    <w:next w:val="1"/>
    <w:qFormat/>
    <w:uiPriority w:val="1"/>
    <w:pPr>
      <w:ind w:left="218"/>
      <w:outlineLvl w:val="6"/>
    </w:pPr>
    <w:rPr>
      <w:rFonts w:ascii="宋体" w:hAnsi="宋体" w:eastAsia="宋体" w:cs="宋体"/>
      <w:b/>
      <w:bCs/>
      <w:sz w:val="21"/>
      <w:szCs w:val="21"/>
      <w:lang w:val="zh-CN" w:eastAsia="zh-CN" w:bidi="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after="120"/>
      <w:jc w:val="both"/>
      <w:textAlignment w:val="baseline"/>
    </w:pPr>
  </w:style>
  <w:style w:type="paragraph" w:styleId="9">
    <w:name w:val="Normal Indent"/>
    <w:basedOn w:val="1"/>
    <w:next w:val="1"/>
    <w:qFormat/>
    <w:uiPriority w:val="0"/>
    <w:pPr>
      <w:ind w:firstLine="488"/>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next w:val="9"/>
    <w:qFormat/>
    <w:uiPriority w:val="0"/>
    <w:pPr>
      <w:tabs>
        <w:tab w:val="left" w:pos="3025"/>
      </w:tabs>
      <w:spacing w:line="420" w:lineRule="exact"/>
      <w:ind w:firstLine="480"/>
    </w:pPr>
  </w:style>
  <w:style w:type="paragraph" w:styleId="12">
    <w:name w:val="foot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left"/>
    </w:pPr>
    <w:rPr>
      <w:rFonts w:ascii="Times New Roman" w:hAnsi="Times New Roman"/>
      <w:sz w:val="18"/>
      <w:szCs w:val="18"/>
    </w:rPr>
  </w:style>
  <w:style w:type="paragraph" w:styleId="13">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1"/>
    <w:pPr>
      <w:spacing w:before="440"/>
      <w:ind w:left="600"/>
    </w:pPr>
    <w:rPr>
      <w:rFonts w:ascii="宋体" w:hAnsi="宋体" w:eastAsia="宋体" w:cs="宋体"/>
      <w:sz w:val="28"/>
      <w:szCs w:val="28"/>
      <w:lang w:val="zh-CN" w:eastAsia="zh-CN" w:bidi="zh-CN"/>
    </w:rPr>
  </w:style>
  <w:style w:type="paragraph" w:styleId="15">
    <w:name w:val="Body Text First Indent"/>
    <w:basedOn w:val="10"/>
    <w:qFormat/>
    <w:uiPriority w:val="99"/>
    <w:pPr>
      <w:ind w:firstLine="420" w:firstLineChars="100"/>
    </w:p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218" w:firstLine="420"/>
    </w:pPr>
    <w:rPr>
      <w:rFonts w:ascii="宋体" w:hAnsi="宋体" w:eastAsia="宋体" w:cs="宋体"/>
      <w:lang w:val="zh-CN" w:eastAsia="zh-CN" w:bidi="zh-CN"/>
    </w:rPr>
  </w:style>
  <w:style w:type="paragraph" w:customStyle="1" w:styleId="21">
    <w:name w:val="Table Paragraph"/>
    <w:basedOn w:val="1"/>
    <w:qFormat/>
    <w:uiPriority w:val="1"/>
    <w:rPr>
      <w:rFonts w:ascii="宋体" w:hAnsi="宋体" w:eastAsia="宋体" w:cs="宋体"/>
      <w:lang w:val="zh-CN" w:eastAsia="zh-CN" w:bidi="zh-CN"/>
    </w:rPr>
  </w:style>
  <w:style w:type="paragraph" w:customStyle="1" w:styleId="22">
    <w:name w:val="Normal Indent1"/>
    <w:basedOn w:val="1"/>
    <w:qFormat/>
    <w:uiPriority w:val="0"/>
    <w:pPr>
      <w:ind w:firstLine="420" w:firstLineChars="200"/>
    </w:pPr>
    <w:rPr>
      <w:rFonts w:ascii="Times New Roman" w:hAnsi="Times New Roman"/>
    </w:rPr>
  </w:style>
  <w:style w:type="paragraph" w:customStyle="1" w:styleId="23">
    <w:name w:val="正文样式"/>
    <w:basedOn w:val="1"/>
    <w:qFormat/>
    <w:uiPriority w:val="0"/>
    <w:pPr>
      <w:numPr>
        <w:ilvl w:val="0"/>
        <w:numId w:val="1"/>
      </w:numPr>
      <w:tabs>
        <w:tab w:val="clear" w:pos="-2274"/>
      </w:tabs>
      <w:adjustRightInd w:val="0"/>
      <w:ind w:left="0" w:firstLine="561" w:firstLineChars="0"/>
      <w:textAlignment w:val="baseline"/>
    </w:pPr>
    <w:rPr>
      <w:rFonts w:ascii="Calibri" w:hAnsi="Calibri" w:eastAsia="仿宋_GB2312" w:cs="Times New Roman"/>
      <w:kern w:val="0"/>
      <w:szCs w:val="28"/>
    </w:rPr>
  </w:style>
  <w:style w:type="paragraph" w:customStyle="1" w:styleId="24">
    <w:name w:val="reader-word-layer reader-word-s1-16"/>
    <w:basedOn w:val="1"/>
    <w:qFormat/>
    <w:uiPriority w:val="0"/>
    <w:pPr>
      <w:widowControl/>
      <w:spacing w:before="100" w:beforeLines="0" w:beforeAutospacing="1" w:after="100" w:afterLines="0" w:afterAutospacing="1"/>
      <w:jc w:val="left"/>
    </w:pPr>
    <w:rPr>
      <w:rFonts w:ascii="宋体" w:hAnsi="宋体" w:cs="宋体"/>
      <w:sz w:val="24"/>
      <w:szCs w:val="24"/>
    </w:rPr>
  </w:style>
  <w:style w:type="paragraph" w:customStyle="1" w:styleId="25">
    <w:name w:val="保留正文"/>
    <w:basedOn w:val="1"/>
    <w:qFormat/>
    <w:uiPriority w:val="0"/>
    <w:pPr>
      <w:keepNext/>
      <w:autoSpaceDE/>
      <w:autoSpaceDN/>
      <w:spacing w:after="160" w:afterLines="0" w:line="480" w:lineRule="auto"/>
    </w:pPr>
    <w:rPr>
      <w:rFonts w:ascii="宋体"/>
    </w:rPr>
  </w:style>
  <w:style w:type="paragraph" w:customStyle="1" w:styleId="26">
    <w:name w:val="[Normal]"/>
    <w:qFormat/>
    <w:uiPriority w:val="0"/>
    <w:rPr>
      <w:rFonts w:ascii="宋体" w:hAnsi="宋体" w:eastAsia="宋体" w:cs="Times New Roman"/>
      <w:sz w:val="24"/>
      <w:lang w:val="en-US" w:eastAsia="en-US" w:bidi="ar-SA"/>
    </w:rPr>
  </w:style>
  <w:style w:type="paragraph" w:customStyle="1" w:styleId="27">
    <w:name w:val="目录"/>
    <w:basedOn w:val="14"/>
    <w:qFormat/>
    <w:uiPriority w:val="0"/>
    <w:pPr>
      <w:tabs>
        <w:tab w:val="right" w:leader="dot" w:pos="7937"/>
      </w:tabs>
      <w:autoSpaceDE/>
      <w:autoSpaceDN/>
      <w:spacing w:before="120" w:beforeLines="0" w:after="120" w:afterLines="0" w:line="360" w:lineRule="auto"/>
      <w:jc w:val="center"/>
    </w:pPr>
    <w:rPr>
      <w:rFonts w:ascii="宋体" w:eastAsia="黑体"/>
      <w:b/>
      <w:caps/>
      <w:sz w:val="30"/>
    </w:rPr>
  </w:style>
  <w:style w:type="paragraph" w:customStyle="1" w:styleId="28">
    <w:name w:val="单位"/>
    <w:basedOn w:val="1"/>
    <w:qFormat/>
    <w:uiPriority w:val="0"/>
    <w:pPr>
      <w:autoSpaceDE/>
      <w:autoSpaceDN/>
      <w:jc w:val="center"/>
    </w:pPr>
    <w:rPr>
      <w:rFonts w:ascii="宋体"/>
      <w:b/>
      <w:sz w:val="32"/>
    </w:rPr>
  </w:style>
  <w:style w:type="paragraph" w:customStyle="1" w:styleId="29">
    <w:name w:val="首行缩进"/>
    <w:basedOn w:val="1"/>
    <w:qFormat/>
    <w:uiPriority w:val="0"/>
    <w:pPr>
      <w:ind w:firstLine="480" w:firstLineChars="200"/>
    </w:pPr>
    <w:rPr>
      <w:lang w:val="zh-CN"/>
    </w:rPr>
  </w:style>
  <w:style w:type="paragraph" w:customStyle="1" w:styleId="30">
    <w:name w:val="样式1"/>
    <w:basedOn w:val="9"/>
    <w:qFormat/>
    <w:uiPriority w:val="0"/>
    <w:pPr>
      <w:autoSpaceDE/>
      <w:autoSpaceDN/>
      <w:ind w:firstLine="510"/>
    </w:pPr>
    <w:rPr>
      <w:rFonts w:ascii="宋体"/>
    </w:rPr>
  </w:style>
  <w:style w:type="paragraph" w:customStyle="1" w:styleId="31">
    <w:name w:val="表格文字"/>
    <w:basedOn w:val="1"/>
    <w:next w:val="10"/>
    <w:qFormat/>
    <w:uiPriority w:val="0"/>
    <w:pPr>
      <w:adjustRightInd w:val="0"/>
      <w:spacing w:line="420" w:lineRule="atLeast"/>
      <w:jc w:val="left"/>
      <w:textAlignment w:val="baseline"/>
    </w:pPr>
    <w:rPr>
      <w:rFonts w:ascii="Times New Roman" w:hAnsi="Times New Roman" w:eastAsia="宋体" w:cs="Times New Roman"/>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jpe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2021-07-20T12:13:00Z</dcterms:created>
  <dc:creator>999宝藏网</dc:creator>
  <cp:lastModifiedBy>中乙</cp:lastModifiedBy>
  <cp:lastPrinted>2021-07-21T15:19:00Z</cp:lastPrinted>
  <dcterms:modified xsi:type="dcterms:W3CDTF">2021-07-23T09:24:08Z</dcterms:modified>
  <dc:title>兰溪市公共资源交易中心关于兰溪市中医院卫生保洁服务采购项目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2021-05-14T00:00:00Z</vt:filetime>
  </property>
  <property fmtid="{D5CDD505-2E9C-101B-9397-08002B2CF9AE}" pid="3" name="Creator">
    <vt:lpwstr>WPS 文字</vt:lpwstr>
  </property>
  <property fmtid="{D5CDD505-2E9C-101B-9397-08002B2CF9AE}" pid="4" name="LastSaved">
    <vt:filetime>2021-07-20T00:00:00Z</vt:filetime>
  </property>
  <property fmtid="{D5CDD505-2E9C-101B-9397-08002B2CF9AE}" pid="5" name="KSOProductBuildVer">
    <vt:lpwstr>2052-11.1.0.10667</vt:lpwstr>
  </property>
  <property fmtid="{D5CDD505-2E9C-101B-9397-08002B2CF9AE}" pid="6" name="ICV">
    <vt:lpwstr>E1C9F50F064349079E5C8B1721EA9763</vt:lpwstr>
  </property>
</Properties>
</file>