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rPr>
      </w:pPr>
      <w:r>
        <w:rPr>
          <w:color w:val="auto"/>
        </w:rPr>
        <w:br w:type="textWrapping"/>
      </w:r>
    </w:p>
    <w:p>
      <w:pPr>
        <w:tabs>
          <w:tab w:val="left" w:pos="4500"/>
        </w:tabs>
        <w:autoSpaceDE w:val="0"/>
        <w:autoSpaceDN w:val="0"/>
        <w:adjustRightInd w:val="0"/>
        <w:snapToGrid w:val="0"/>
        <w:spacing w:line="360" w:lineRule="auto"/>
        <w:jc w:val="center"/>
        <w:textAlignment w:val="bottom"/>
        <w:rPr>
          <w:rFonts w:ascii="宋体"/>
          <w:b/>
          <w:bCs/>
          <w:color w:val="auto"/>
          <w:sz w:val="48"/>
          <w:szCs w:val="48"/>
        </w:rPr>
      </w:pPr>
      <w:r>
        <w:rPr>
          <w:rFonts w:ascii="宋体" w:hAnsi="宋体" w:cs="宋体"/>
          <w:b/>
          <w:bCs/>
          <w:color w:val="auto"/>
          <w:sz w:val="48"/>
          <w:szCs w:val="48"/>
        </w:rPr>
        <w:t>2020</w:t>
      </w:r>
      <w:r>
        <w:rPr>
          <w:rFonts w:hint="eastAsia" w:ascii="宋体" w:hAnsi="宋体" w:cs="宋体"/>
          <w:b/>
          <w:bCs/>
          <w:color w:val="auto"/>
          <w:sz w:val="48"/>
          <w:szCs w:val="48"/>
        </w:rPr>
        <w:t>年枪弹库智能管理系统升级改造项目</w:t>
      </w:r>
    </w:p>
    <w:p>
      <w:pPr>
        <w:tabs>
          <w:tab w:val="left" w:pos="4500"/>
        </w:tabs>
        <w:autoSpaceDE w:val="0"/>
        <w:autoSpaceDN w:val="0"/>
        <w:adjustRightInd w:val="0"/>
        <w:snapToGrid w:val="0"/>
        <w:spacing w:line="360" w:lineRule="auto"/>
        <w:jc w:val="center"/>
        <w:textAlignment w:val="bottom"/>
        <w:rPr>
          <w:rFonts w:ascii="宋体"/>
          <w:b/>
          <w:bCs/>
          <w:color w:val="auto"/>
          <w:sz w:val="48"/>
          <w:szCs w:val="48"/>
        </w:rPr>
      </w:pPr>
      <w:r>
        <w:rPr>
          <w:rFonts w:hint="eastAsia" w:ascii="宋体" w:hAnsi="宋体" w:cs="宋体"/>
          <w:b/>
          <w:bCs/>
          <w:color w:val="auto"/>
          <w:sz w:val="48"/>
          <w:szCs w:val="48"/>
        </w:rPr>
        <w:t>公开招标文件</w:t>
      </w:r>
    </w:p>
    <w:p>
      <w:pPr>
        <w:spacing w:line="360" w:lineRule="auto"/>
        <w:jc w:val="center"/>
        <w:rPr>
          <w:rFonts w:ascii="宋体"/>
          <w:color w:val="auto"/>
          <w:sz w:val="48"/>
          <w:szCs w:val="48"/>
        </w:rPr>
      </w:pPr>
      <w:r>
        <w:rPr>
          <w:rFonts w:hint="eastAsia" w:ascii="宋体" w:hAnsi="宋体" w:cs="宋体"/>
          <w:b/>
          <w:bCs/>
          <w:color w:val="auto"/>
          <w:sz w:val="40"/>
          <w:szCs w:val="40"/>
        </w:rPr>
        <w:t>（线上电子招投标）</w:t>
      </w:r>
      <w:r>
        <w:rPr>
          <w:rFonts w:ascii="宋体"/>
          <w:b/>
          <w:bCs/>
          <w:color w:val="auto"/>
          <w:sz w:val="48"/>
          <w:szCs w:val="48"/>
        </w:rPr>
        <w:br w:type="textWrapping"/>
      </w:r>
    </w:p>
    <w:p>
      <w:pPr>
        <w:spacing w:beforeLines="10" w:line="360" w:lineRule="auto"/>
        <w:ind w:firstLine="1807" w:firstLineChars="500"/>
        <w:rPr>
          <w:rFonts w:ascii="宋体"/>
          <w:b/>
          <w:bCs/>
          <w:color w:val="auto"/>
          <w:sz w:val="36"/>
          <w:szCs w:val="36"/>
        </w:rPr>
      </w:pPr>
      <w:r>
        <w:rPr>
          <w:rFonts w:hint="eastAsia" w:ascii="宋体" w:hAnsi="宋体" w:cs="宋体"/>
          <w:b/>
          <w:bCs/>
          <w:color w:val="auto"/>
          <w:sz w:val="36"/>
          <w:szCs w:val="36"/>
        </w:rPr>
        <w:t>项目编号：</w:t>
      </w:r>
      <w:r>
        <w:rPr>
          <w:rFonts w:ascii="宋体" w:hAnsi="宋体" w:cs="宋体"/>
          <w:b/>
          <w:bCs/>
          <w:color w:val="auto"/>
          <w:sz w:val="36"/>
          <w:szCs w:val="36"/>
        </w:rPr>
        <w:t>ZJLT-2020-03-053-01</w:t>
      </w:r>
    </w:p>
    <w:p>
      <w:pPr>
        <w:spacing w:line="360" w:lineRule="auto"/>
        <w:ind w:firstLine="1807" w:firstLineChars="500"/>
        <w:rPr>
          <w:rFonts w:ascii="宋体"/>
          <w:b/>
          <w:bCs/>
          <w:color w:val="auto"/>
          <w:sz w:val="36"/>
          <w:szCs w:val="36"/>
        </w:rPr>
      </w:pPr>
      <w:r>
        <w:rPr>
          <w:rFonts w:hint="eastAsia" w:ascii="宋体" w:hAnsi="宋体" w:cs="宋体"/>
          <w:b/>
          <w:bCs/>
          <w:color w:val="auto"/>
          <w:sz w:val="36"/>
          <w:szCs w:val="36"/>
        </w:rPr>
        <w:t>报价方式：总价</w:t>
      </w:r>
    </w:p>
    <w:p>
      <w:pPr>
        <w:spacing w:line="360" w:lineRule="auto"/>
        <w:rPr>
          <w:rFonts w:ascii="宋体"/>
          <w:color w:val="auto"/>
          <w:kern w:val="0"/>
          <w:sz w:val="24"/>
          <w:szCs w:val="24"/>
        </w:rPr>
      </w:pPr>
    </w:p>
    <w:p>
      <w:pPr>
        <w:spacing w:line="360" w:lineRule="auto"/>
        <w:rPr>
          <w:rFonts w:ascii="宋体"/>
          <w:color w:val="auto"/>
          <w:kern w:val="0"/>
          <w:sz w:val="24"/>
          <w:szCs w:val="24"/>
        </w:rPr>
      </w:pPr>
    </w:p>
    <w:p>
      <w:pPr>
        <w:spacing w:line="360" w:lineRule="auto"/>
        <w:rPr>
          <w:rFonts w:ascii="宋体"/>
          <w:color w:val="auto"/>
          <w:kern w:val="0"/>
          <w:sz w:val="24"/>
          <w:szCs w:val="24"/>
        </w:rPr>
      </w:pPr>
      <w:r>
        <w:rPr>
          <w:rFonts w:ascii="宋体"/>
          <w:color w:val="auto"/>
          <w:kern w:val="0"/>
          <w:sz w:val="24"/>
          <w:szCs w:val="24"/>
        </w:rPr>
        <w:br w:type="textWrapping"/>
      </w:r>
    </w:p>
    <w:p>
      <w:pPr>
        <w:spacing w:line="360" w:lineRule="auto"/>
        <w:rPr>
          <w:rFonts w:ascii="宋体"/>
          <w:color w:val="auto"/>
          <w:kern w:val="0"/>
          <w:sz w:val="24"/>
          <w:szCs w:val="24"/>
        </w:rPr>
      </w:pPr>
    </w:p>
    <w:p>
      <w:pPr>
        <w:autoSpaceDE w:val="0"/>
        <w:autoSpaceDN w:val="0"/>
        <w:adjustRightInd w:val="0"/>
        <w:snapToGrid w:val="0"/>
        <w:spacing w:line="360" w:lineRule="auto"/>
        <w:jc w:val="center"/>
        <w:textAlignment w:val="bottom"/>
        <w:rPr>
          <w:rFonts w:ascii="宋体"/>
          <w:b/>
          <w:bCs/>
          <w:color w:val="auto"/>
          <w:sz w:val="32"/>
          <w:szCs w:val="32"/>
        </w:rPr>
      </w:pPr>
      <w:r>
        <w:rPr>
          <w:rFonts w:hint="eastAsia" w:ascii="宋体" w:hAnsi="宋体" w:cs="宋体"/>
          <w:b/>
          <w:bCs/>
          <w:color w:val="auto"/>
          <w:sz w:val="32"/>
          <w:szCs w:val="32"/>
        </w:rPr>
        <w:t>杭州市射击射箭运动中心</w:t>
      </w:r>
    </w:p>
    <w:p>
      <w:pPr>
        <w:autoSpaceDE w:val="0"/>
        <w:autoSpaceDN w:val="0"/>
        <w:adjustRightInd w:val="0"/>
        <w:snapToGrid w:val="0"/>
        <w:spacing w:line="360" w:lineRule="auto"/>
        <w:jc w:val="center"/>
        <w:textAlignment w:val="bottom"/>
        <w:rPr>
          <w:rFonts w:ascii="宋体"/>
          <w:b/>
          <w:bCs/>
          <w:color w:val="auto"/>
          <w:sz w:val="32"/>
          <w:szCs w:val="32"/>
        </w:rPr>
      </w:pPr>
      <w:r>
        <w:rPr>
          <w:rFonts w:hint="eastAsia" w:ascii="宋体" w:hAnsi="宋体" w:cs="宋体"/>
          <w:b/>
          <w:bCs/>
          <w:color w:val="auto"/>
          <w:sz w:val="32"/>
          <w:szCs w:val="32"/>
        </w:rPr>
        <w:t>浙江联通工程咨询有限公司</w:t>
      </w:r>
    </w:p>
    <w:p>
      <w:pPr>
        <w:autoSpaceDE w:val="0"/>
        <w:autoSpaceDN w:val="0"/>
        <w:adjustRightInd w:val="0"/>
        <w:snapToGrid w:val="0"/>
        <w:spacing w:line="360" w:lineRule="auto"/>
        <w:jc w:val="center"/>
        <w:textAlignment w:val="bottom"/>
        <w:rPr>
          <w:rFonts w:ascii="宋体"/>
          <w:b/>
          <w:bCs/>
          <w:color w:val="auto"/>
          <w:sz w:val="32"/>
          <w:szCs w:val="32"/>
        </w:rPr>
      </w:pPr>
      <w:r>
        <w:rPr>
          <w:rFonts w:ascii="宋体" w:hAnsi="宋体" w:cs="宋体"/>
          <w:b/>
          <w:bCs/>
          <w:color w:val="auto"/>
          <w:sz w:val="32"/>
          <w:szCs w:val="32"/>
        </w:rPr>
        <w:t>2020</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月</w:t>
      </w:r>
    </w:p>
    <w:p>
      <w:pPr>
        <w:spacing w:line="360" w:lineRule="auto"/>
        <w:jc w:val="center"/>
        <w:rPr>
          <w:rFonts w:ascii="宋体"/>
          <w:b/>
          <w:bCs/>
          <w:color w:val="auto"/>
          <w:sz w:val="36"/>
          <w:szCs w:val="36"/>
        </w:rPr>
      </w:pPr>
      <w:r>
        <w:rPr>
          <w:rFonts w:ascii="宋体"/>
          <w:color w:val="auto"/>
          <w:sz w:val="44"/>
          <w:szCs w:val="44"/>
        </w:rPr>
        <w:br w:type="page"/>
      </w:r>
      <w:bookmarkStart w:id="0" w:name="_Toc351898253"/>
      <w:bookmarkStart w:id="1" w:name="_Toc351723006"/>
      <w:bookmarkStart w:id="2" w:name="_Toc351729465"/>
      <w:bookmarkStart w:id="3" w:name="_Toc351898254"/>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bookmarkEnd w:id="0"/>
      <w:bookmarkEnd w:id="1"/>
      <w:bookmarkEnd w:id="2"/>
    </w:p>
    <w:p>
      <w:pPr>
        <w:rPr>
          <w:color w:val="auto"/>
        </w:rPr>
      </w:pPr>
    </w:p>
    <w:p>
      <w:pPr>
        <w:rPr>
          <w:color w:val="auto"/>
        </w:rPr>
      </w:pPr>
    </w:p>
    <w:p>
      <w:pPr>
        <w:pStyle w:val="11"/>
        <w:tabs>
          <w:tab w:val="right" w:leader="dot" w:pos="9060"/>
        </w:tabs>
        <w:spacing w:line="360" w:lineRule="auto"/>
        <w:rPr>
          <w:rFonts w:ascii="宋体"/>
          <w:color w:val="auto"/>
          <w:sz w:val="24"/>
          <w:szCs w:val="24"/>
        </w:rPr>
      </w:pPr>
      <w:r>
        <w:rPr>
          <w:rFonts w:ascii="宋体" w:hAnsi="宋体" w:cs="宋体"/>
          <w:color w:val="auto"/>
          <w:sz w:val="24"/>
          <w:szCs w:val="24"/>
        </w:rPr>
        <w:fldChar w:fldCharType="begin"/>
      </w:r>
      <w:r>
        <w:rPr>
          <w:rFonts w:ascii="宋体" w:hAnsi="宋体" w:cs="宋体"/>
          <w:color w:val="auto"/>
          <w:sz w:val="24"/>
          <w:szCs w:val="24"/>
        </w:rPr>
        <w:instrText xml:space="preserve"> TOC \o "1-2" \h \z \u </w:instrText>
      </w:r>
      <w:r>
        <w:rPr>
          <w:rFonts w:ascii="宋体" w:hAnsi="宋体" w:cs="宋体"/>
          <w:color w:val="auto"/>
          <w:sz w:val="24"/>
          <w:szCs w:val="24"/>
        </w:rPr>
        <w:fldChar w:fldCharType="separate"/>
      </w:r>
      <w:r>
        <w:rPr>
          <w:color w:val="auto"/>
        </w:rPr>
        <w:fldChar w:fldCharType="begin"/>
      </w:r>
      <w:r>
        <w:rPr>
          <w:color w:val="auto"/>
        </w:rPr>
        <w:instrText xml:space="preserve"> HYPERLINK \l "_Toc394001370" </w:instrText>
      </w:r>
      <w:r>
        <w:rPr>
          <w:color w:val="auto"/>
        </w:rPr>
        <w:fldChar w:fldCharType="separate"/>
      </w:r>
      <w:r>
        <w:rPr>
          <w:rStyle w:val="18"/>
          <w:rFonts w:hint="eastAsia" w:ascii="宋体" w:hAnsi="宋体" w:cs="宋体"/>
          <w:color w:val="auto"/>
          <w:sz w:val="24"/>
          <w:szCs w:val="24"/>
        </w:rPr>
        <w:t>第一部分招标公告</w:t>
      </w:r>
      <w:r>
        <w:rPr>
          <w:rFonts w:ascii="宋体"/>
          <w:color w:val="auto"/>
          <w:sz w:val="24"/>
          <w:szCs w:val="24"/>
        </w:rPr>
        <w:tab/>
      </w:r>
      <w:r>
        <w:rPr>
          <w:rFonts w:ascii="宋体" w:hAnsi="宋体" w:cs="宋体"/>
          <w:color w:val="auto"/>
          <w:sz w:val="24"/>
          <w:szCs w:val="24"/>
        </w:rPr>
        <w:t>3</w:t>
      </w:r>
      <w:r>
        <w:rPr>
          <w:rFonts w:ascii="宋体" w:hAnsi="宋体" w:cs="宋体"/>
          <w:color w:val="auto"/>
          <w:sz w:val="24"/>
          <w:szCs w:val="24"/>
        </w:rPr>
        <w:fldChar w:fldCharType="end"/>
      </w:r>
    </w:p>
    <w:p>
      <w:pPr>
        <w:pStyle w:val="11"/>
        <w:tabs>
          <w:tab w:val="right" w:leader="dot" w:pos="9060"/>
        </w:tabs>
        <w:spacing w:line="360" w:lineRule="auto"/>
        <w:rPr>
          <w:rFonts w:ascii="宋体"/>
          <w:color w:val="auto"/>
          <w:sz w:val="24"/>
          <w:szCs w:val="24"/>
        </w:rPr>
      </w:pPr>
      <w:r>
        <w:rPr>
          <w:color w:val="auto"/>
        </w:rPr>
        <w:fldChar w:fldCharType="begin"/>
      </w:r>
      <w:r>
        <w:rPr>
          <w:color w:val="auto"/>
        </w:rPr>
        <w:instrText xml:space="preserve"> HYPERLINK \l "_Toc394001371" </w:instrText>
      </w:r>
      <w:r>
        <w:rPr>
          <w:color w:val="auto"/>
        </w:rPr>
        <w:fldChar w:fldCharType="separate"/>
      </w:r>
      <w:r>
        <w:rPr>
          <w:rStyle w:val="18"/>
          <w:rFonts w:hint="eastAsia" w:ascii="宋体" w:hAnsi="宋体" w:cs="宋体"/>
          <w:color w:val="auto"/>
          <w:sz w:val="24"/>
          <w:szCs w:val="24"/>
        </w:rPr>
        <w:t>第二部分编制和提交投标文件须知</w:t>
      </w:r>
      <w:r>
        <w:rPr>
          <w:rFonts w:ascii="宋体"/>
          <w:color w:val="auto"/>
          <w:sz w:val="24"/>
          <w:szCs w:val="24"/>
        </w:rPr>
        <w:tab/>
      </w:r>
      <w:r>
        <w:rPr>
          <w:rFonts w:hint="eastAsia" w:ascii="宋体" w:hAnsi="宋体" w:cs="宋体"/>
          <w:color w:val="auto"/>
          <w:sz w:val="24"/>
          <w:szCs w:val="24"/>
          <w:lang w:val="en-US" w:eastAsia="zh-CN"/>
        </w:rPr>
        <w:t>7</w:t>
      </w:r>
      <w:r>
        <w:rPr>
          <w:rFonts w:ascii="宋体" w:hAnsi="宋体" w:cs="宋体"/>
          <w:color w:val="auto"/>
          <w:sz w:val="24"/>
          <w:szCs w:val="24"/>
        </w:rPr>
        <w:fldChar w:fldCharType="end"/>
      </w:r>
    </w:p>
    <w:p>
      <w:pPr>
        <w:pStyle w:val="12"/>
        <w:tabs>
          <w:tab w:val="right" w:leader="dot" w:pos="9060"/>
        </w:tabs>
        <w:spacing w:line="360" w:lineRule="auto"/>
        <w:ind w:left="31680"/>
        <w:rPr>
          <w:rFonts w:ascii="宋体"/>
          <w:color w:val="auto"/>
          <w:sz w:val="24"/>
          <w:szCs w:val="24"/>
        </w:rPr>
      </w:pPr>
      <w:r>
        <w:rPr>
          <w:color w:val="auto"/>
        </w:rPr>
        <w:fldChar w:fldCharType="begin"/>
      </w:r>
      <w:r>
        <w:rPr>
          <w:color w:val="auto"/>
        </w:rPr>
        <w:instrText xml:space="preserve"> HYPERLINK \l "_Toc394001372" </w:instrText>
      </w:r>
      <w:r>
        <w:rPr>
          <w:color w:val="auto"/>
        </w:rPr>
        <w:fldChar w:fldCharType="separate"/>
      </w:r>
      <w:r>
        <w:rPr>
          <w:rStyle w:val="18"/>
          <w:rFonts w:hint="eastAsia" w:ascii="宋体" w:hAnsi="宋体" w:cs="宋体"/>
          <w:color w:val="auto"/>
          <w:sz w:val="24"/>
          <w:szCs w:val="24"/>
        </w:rPr>
        <w:t>前附表</w:t>
      </w:r>
      <w:r>
        <w:rPr>
          <w:rFonts w:ascii="宋体"/>
          <w:color w:val="auto"/>
          <w:sz w:val="24"/>
          <w:szCs w:val="24"/>
        </w:rPr>
        <w:tab/>
      </w:r>
      <w:r>
        <w:rPr>
          <w:rFonts w:hint="eastAsia" w:ascii="宋体" w:hAnsi="宋体" w:cs="宋体"/>
          <w:color w:val="auto"/>
          <w:sz w:val="24"/>
          <w:szCs w:val="24"/>
          <w:lang w:val="en-US" w:eastAsia="zh-CN"/>
        </w:rPr>
        <w:t>7</w:t>
      </w:r>
      <w:r>
        <w:rPr>
          <w:rFonts w:ascii="宋体" w:hAnsi="宋体" w:cs="宋体"/>
          <w:color w:val="auto"/>
          <w:sz w:val="24"/>
          <w:szCs w:val="24"/>
        </w:rPr>
        <w:fldChar w:fldCharType="end"/>
      </w:r>
    </w:p>
    <w:p>
      <w:pPr>
        <w:pStyle w:val="12"/>
        <w:tabs>
          <w:tab w:val="right" w:leader="dot" w:pos="9060"/>
        </w:tabs>
        <w:spacing w:line="360" w:lineRule="auto"/>
        <w:ind w:left="31680"/>
        <w:rPr>
          <w:rFonts w:hint="eastAsia" w:ascii="宋体" w:eastAsia="宋体"/>
          <w:color w:val="auto"/>
          <w:sz w:val="24"/>
          <w:szCs w:val="24"/>
          <w:lang w:val="en-US" w:eastAsia="zh-CN"/>
        </w:rPr>
      </w:pPr>
      <w:r>
        <w:rPr>
          <w:color w:val="auto"/>
        </w:rPr>
        <w:fldChar w:fldCharType="begin"/>
      </w:r>
      <w:r>
        <w:rPr>
          <w:color w:val="auto"/>
        </w:rPr>
        <w:instrText xml:space="preserve"> HYPERLINK \l "_Toc394001373" </w:instrText>
      </w:r>
      <w:r>
        <w:rPr>
          <w:color w:val="auto"/>
        </w:rPr>
        <w:fldChar w:fldCharType="separate"/>
      </w:r>
      <w:r>
        <w:rPr>
          <w:rStyle w:val="18"/>
          <w:rFonts w:hint="eastAsia" w:ascii="宋体" w:hAnsi="宋体" w:cs="宋体"/>
          <w:color w:val="auto"/>
          <w:sz w:val="24"/>
          <w:szCs w:val="24"/>
        </w:rPr>
        <w:t>一、总则</w:t>
      </w:r>
      <w:r>
        <w:rPr>
          <w:rFonts w:ascii="宋体"/>
          <w:color w:val="auto"/>
          <w:sz w:val="24"/>
          <w:szCs w:val="24"/>
        </w:rPr>
        <w:tab/>
      </w:r>
      <w:r>
        <w:rPr>
          <w:rFonts w:hint="eastAsia" w:ascii="宋体" w:hAnsi="宋体" w:cs="宋体"/>
          <w:color w:val="auto"/>
          <w:sz w:val="24"/>
          <w:szCs w:val="24"/>
          <w:lang w:val="en-US" w:eastAsia="zh-CN"/>
        </w:rPr>
        <w:t>1</w:t>
      </w:r>
      <w:r>
        <w:rPr>
          <w:rFonts w:ascii="宋体" w:hAnsi="宋体" w:cs="宋体"/>
          <w:color w:val="auto"/>
          <w:sz w:val="24"/>
          <w:szCs w:val="24"/>
        </w:rPr>
        <w:fldChar w:fldCharType="end"/>
      </w:r>
      <w:r>
        <w:rPr>
          <w:rFonts w:hint="eastAsia" w:ascii="宋体" w:hAnsi="宋体" w:cs="宋体"/>
          <w:color w:val="auto"/>
          <w:sz w:val="24"/>
          <w:szCs w:val="24"/>
          <w:lang w:val="en-US" w:eastAsia="zh-CN"/>
        </w:rPr>
        <w:t>1</w:t>
      </w:r>
    </w:p>
    <w:p>
      <w:pPr>
        <w:pStyle w:val="12"/>
        <w:tabs>
          <w:tab w:val="right" w:leader="dot" w:pos="9060"/>
        </w:tabs>
        <w:spacing w:line="360" w:lineRule="auto"/>
        <w:ind w:left="31680"/>
        <w:rPr>
          <w:rFonts w:hint="eastAsia" w:ascii="宋体" w:eastAsia="宋体"/>
          <w:color w:val="auto"/>
          <w:sz w:val="24"/>
          <w:szCs w:val="24"/>
          <w:lang w:val="en-US" w:eastAsia="zh-CN"/>
        </w:rPr>
      </w:pPr>
      <w:r>
        <w:rPr>
          <w:color w:val="auto"/>
        </w:rPr>
        <w:fldChar w:fldCharType="begin"/>
      </w:r>
      <w:r>
        <w:rPr>
          <w:color w:val="auto"/>
        </w:rPr>
        <w:instrText xml:space="preserve"> HYPERLINK \l "_Toc394001374" </w:instrText>
      </w:r>
      <w:r>
        <w:rPr>
          <w:color w:val="auto"/>
        </w:rPr>
        <w:fldChar w:fldCharType="separate"/>
      </w:r>
      <w:r>
        <w:rPr>
          <w:rStyle w:val="18"/>
          <w:rFonts w:hint="eastAsia" w:ascii="宋体" w:hAnsi="宋体" w:cs="宋体"/>
          <w:color w:val="auto"/>
          <w:sz w:val="24"/>
          <w:szCs w:val="24"/>
        </w:rPr>
        <w:t>二、招标文件</w:t>
      </w:r>
      <w:r>
        <w:rPr>
          <w:rFonts w:ascii="宋体"/>
          <w:color w:val="auto"/>
          <w:sz w:val="24"/>
          <w:szCs w:val="24"/>
        </w:rPr>
        <w:tab/>
      </w:r>
      <w:r>
        <w:rPr>
          <w:rFonts w:hint="eastAsia" w:ascii="宋体" w:hAnsi="宋体" w:cs="宋体"/>
          <w:color w:val="auto"/>
          <w:sz w:val="24"/>
          <w:szCs w:val="24"/>
          <w:lang w:val="en-US" w:eastAsia="zh-CN"/>
        </w:rPr>
        <w:t>1</w:t>
      </w:r>
      <w:r>
        <w:rPr>
          <w:rFonts w:ascii="宋体" w:hAnsi="宋体" w:cs="宋体"/>
          <w:color w:val="auto"/>
          <w:sz w:val="24"/>
          <w:szCs w:val="24"/>
        </w:rPr>
        <w:fldChar w:fldCharType="end"/>
      </w:r>
      <w:r>
        <w:rPr>
          <w:rFonts w:hint="eastAsia" w:ascii="宋体" w:hAnsi="宋体" w:cs="宋体"/>
          <w:color w:val="auto"/>
          <w:sz w:val="24"/>
          <w:szCs w:val="24"/>
          <w:lang w:val="en-US" w:eastAsia="zh-CN"/>
        </w:rPr>
        <w:t>1</w:t>
      </w:r>
    </w:p>
    <w:p>
      <w:pPr>
        <w:pStyle w:val="12"/>
        <w:tabs>
          <w:tab w:val="right" w:leader="dot" w:pos="9060"/>
        </w:tabs>
        <w:spacing w:line="360" w:lineRule="auto"/>
        <w:ind w:left="31680"/>
        <w:rPr>
          <w:rFonts w:hint="eastAsia" w:ascii="宋体" w:eastAsia="宋体"/>
          <w:color w:val="auto"/>
          <w:sz w:val="24"/>
          <w:szCs w:val="24"/>
          <w:lang w:eastAsia="zh-CN"/>
        </w:rPr>
      </w:pPr>
      <w:r>
        <w:rPr>
          <w:color w:val="auto"/>
        </w:rPr>
        <w:fldChar w:fldCharType="begin"/>
      </w:r>
      <w:r>
        <w:rPr>
          <w:color w:val="auto"/>
        </w:rPr>
        <w:instrText xml:space="preserve"> HYPERLINK \l "_Toc394001375" </w:instrText>
      </w:r>
      <w:r>
        <w:rPr>
          <w:color w:val="auto"/>
        </w:rPr>
        <w:fldChar w:fldCharType="separate"/>
      </w:r>
      <w:r>
        <w:rPr>
          <w:rStyle w:val="18"/>
          <w:rFonts w:hint="eastAsia" w:ascii="宋体" w:hAnsi="宋体" w:cs="宋体"/>
          <w:color w:val="auto"/>
          <w:sz w:val="24"/>
          <w:szCs w:val="24"/>
        </w:rPr>
        <w:t>三、投标文件的编制</w:t>
      </w:r>
      <w:r>
        <w:rPr>
          <w:rFonts w:ascii="宋体"/>
          <w:color w:val="auto"/>
          <w:sz w:val="24"/>
          <w:szCs w:val="24"/>
        </w:rPr>
        <w:tab/>
      </w:r>
      <w:r>
        <w:rPr>
          <w:rFonts w:ascii="宋体" w:hAnsi="宋体" w:cs="宋体"/>
          <w:color w:val="auto"/>
          <w:sz w:val="24"/>
          <w:szCs w:val="24"/>
        </w:rPr>
        <w:t>1</w:t>
      </w:r>
      <w:r>
        <w:rPr>
          <w:rFonts w:ascii="宋体" w:hAnsi="宋体" w:cs="宋体"/>
          <w:color w:val="auto"/>
          <w:sz w:val="24"/>
          <w:szCs w:val="24"/>
        </w:rPr>
        <w:fldChar w:fldCharType="end"/>
      </w:r>
      <w:r>
        <w:rPr>
          <w:rFonts w:hint="eastAsia" w:ascii="宋体" w:cs="宋体"/>
          <w:color w:val="auto"/>
          <w:sz w:val="24"/>
          <w:szCs w:val="24"/>
          <w:lang w:val="en-US" w:eastAsia="zh-CN"/>
        </w:rPr>
        <w:t>3</w:t>
      </w:r>
    </w:p>
    <w:p>
      <w:pPr>
        <w:pStyle w:val="12"/>
        <w:tabs>
          <w:tab w:val="right" w:leader="dot" w:pos="9060"/>
        </w:tabs>
        <w:spacing w:line="360" w:lineRule="auto"/>
        <w:ind w:left="31680"/>
        <w:rPr>
          <w:rFonts w:hint="eastAsia" w:ascii="宋体" w:eastAsia="宋体"/>
          <w:color w:val="auto"/>
          <w:sz w:val="24"/>
          <w:szCs w:val="24"/>
          <w:lang w:eastAsia="zh-CN"/>
        </w:rPr>
      </w:pPr>
      <w:r>
        <w:rPr>
          <w:color w:val="auto"/>
        </w:rPr>
        <w:fldChar w:fldCharType="begin"/>
      </w:r>
      <w:r>
        <w:rPr>
          <w:color w:val="auto"/>
        </w:rPr>
        <w:instrText xml:space="preserve"> HYPERLINK \l "_Toc394001376" </w:instrText>
      </w:r>
      <w:r>
        <w:rPr>
          <w:color w:val="auto"/>
        </w:rPr>
        <w:fldChar w:fldCharType="separate"/>
      </w:r>
      <w:r>
        <w:rPr>
          <w:rStyle w:val="18"/>
          <w:rFonts w:hint="eastAsia" w:ascii="宋体" w:hAnsi="宋体" w:cs="宋体"/>
          <w:color w:val="auto"/>
          <w:sz w:val="24"/>
          <w:szCs w:val="24"/>
        </w:rPr>
        <w:t>四、投标文件的递交</w:t>
      </w:r>
      <w:r>
        <w:rPr>
          <w:rFonts w:ascii="宋体"/>
          <w:color w:val="auto"/>
          <w:sz w:val="24"/>
          <w:szCs w:val="24"/>
        </w:rPr>
        <w:tab/>
      </w:r>
      <w:r>
        <w:rPr>
          <w:rFonts w:ascii="宋体" w:hAnsi="宋体" w:cs="宋体"/>
          <w:color w:val="auto"/>
          <w:sz w:val="24"/>
          <w:szCs w:val="24"/>
        </w:rPr>
        <w:t>1</w:t>
      </w:r>
      <w:r>
        <w:rPr>
          <w:rFonts w:ascii="宋体" w:hAnsi="宋体" w:cs="宋体"/>
          <w:color w:val="auto"/>
          <w:sz w:val="24"/>
          <w:szCs w:val="24"/>
        </w:rPr>
        <w:fldChar w:fldCharType="end"/>
      </w:r>
      <w:r>
        <w:rPr>
          <w:rFonts w:hint="eastAsia" w:ascii="宋体" w:hAnsi="宋体" w:cs="宋体"/>
          <w:color w:val="auto"/>
          <w:sz w:val="24"/>
          <w:szCs w:val="24"/>
          <w:lang w:val="en-US" w:eastAsia="zh-CN"/>
        </w:rPr>
        <w:t>5</w:t>
      </w:r>
    </w:p>
    <w:p>
      <w:pPr>
        <w:pStyle w:val="12"/>
        <w:tabs>
          <w:tab w:val="right" w:leader="dot" w:pos="9060"/>
        </w:tabs>
        <w:spacing w:line="360" w:lineRule="auto"/>
        <w:ind w:left="31680"/>
        <w:rPr>
          <w:rFonts w:hint="eastAsia" w:ascii="宋体" w:eastAsia="宋体"/>
          <w:color w:val="auto"/>
          <w:sz w:val="24"/>
          <w:szCs w:val="24"/>
          <w:lang w:eastAsia="zh-CN"/>
        </w:rPr>
      </w:pPr>
      <w:r>
        <w:rPr>
          <w:color w:val="auto"/>
        </w:rPr>
        <w:fldChar w:fldCharType="begin"/>
      </w:r>
      <w:r>
        <w:rPr>
          <w:color w:val="auto"/>
        </w:rPr>
        <w:instrText xml:space="preserve"> HYPERLINK \l "_Toc394001377" </w:instrText>
      </w:r>
      <w:r>
        <w:rPr>
          <w:color w:val="auto"/>
        </w:rPr>
        <w:fldChar w:fldCharType="separate"/>
      </w:r>
      <w:r>
        <w:rPr>
          <w:rStyle w:val="18"/>
          <w:rFonts w:hint="eastAsia" w:ascii="宋体" w:hAnsi="宋体" w:cs="宋体"/>
          <w:color w:val="auto"/>
          <w:sz w:val="24"/>
          <w:szCs w:val="24"/>
        </w:rPr>
        <w:t>五、开标</w:t>
      </w:r>
      <w:r>
        <w:rPr>
          <w:rFonts w:ascii="宋体"/>
          <w:color w:val="auto"/>
          <w:sz w:val="24"/>
          <w:szCs w:val="24"/>
        </w:rPr>
        <w:tab/>
      </w:r>
      <w:r>
        <w:rPr>
          <w:rFonts w:ascii="宋体" w:hAnsi="宋体" w:cs="宋体"/>
          <w:color w:val="auto"/>
          <w:sz w:val="24"/>
          <w:szCs w:val="24"/>
        </w:rPr>
        <w:t>1</w:t>
      </w:r>
      <w:r>
        <w:rPr>
          <w:rFonts w:ascii="宋体" w:hAnsi="宋体" w:cs="宋体"/>
          <w:color w:val="auto"/>
          <w:sz w:val="24"/>
          <w:szCs w:val="24"/>
        </w:rPr>
        <w:fldChar w:fldCharType="end"/>
      </w:r>
      <w:r>
        <w:rPr>
          <w:rFonts w:hint="eastAsia" w:ascii="宋体" w:hAnsi="宋体" w:cs="宋体"/>
          <w:color w:val="auto"/>
          <w:sz w:val="24"/>
          <w:szCs w:val="24"/>
          <w:lang w:val="en-US" w:eastAsia="zh-CN"/>
        </w:rPr>
        <w:t>6</w:t>
      </w:r>
    </w:p>
    <w:p>
      <w:pPr>
        <w:pStyle w:val="12"/>
        <w:tabs>
          <w:tab w:val="right" w:leader="dot" w:pos="9060"/>
        </w:tabs>
        <w:spacing w:line="360" w:lineRule="auto"/>
        <w:ind w:left="31680"/>
        <w:rPr>
          <w:rFonts w:hint="eastAsia" w:ascii="宋体" w:eastAsia="宋体"/>
          <w:color w:val="auto"/>
          <w:sz w:val="24"/>
          <w:szCs w:val="24"/>
          <w:lang w:eastAsia="zh-CN"/>
        </w:rPr>
      </w:pPr>
      <w:r>
        <w:rPr>
          <w:color w:val="auto"/>
        </w:rPr>
        <w:fldChar w:fldCharType="begin"/>
      </w:r>
      <w:r>
        <w:rPr>
          <w:color w:val="auto"/>
        </w:rPr>
        <w:instrText xml:space="preserve"> HYPERLINK \l "_Toc394001378" </w:instrText>
      </w:r>
      <w:r>
        <w:rPr>
          <w:color w:val="auto"/>
        </w:rPr>
        <w:fldChar w:fldCharType="separate"/>
      </w:r>
      <w:r>
        <w:rPr>
          <w:rStyle w:val="18"/>
          <w:rFonts w:hint="eastAsia" w:ascii="宋体" w:hAnsi="宋体" w:cs="宋体"/>
          <w:color w:val="auto"/>
          <w:sz w:val="24"/>
          <w:szCs w:val="24"/>
        </w:rPr>
        <w:t>六、评标</w:t>
      </w:r>
      <w:r>
        <w:rPr>
          <w:rFonts w:ascii="宋体"/>
          <w:color w:val="auto"/>
          <w:sz w:val="24"/>
          <w:szCs w:val="24"/>
        </w:rPr>
        <w:tab/>
      </w:r>
      <w:r>
        <w:rPr>
          <w:rFonts w:ascii="宋体" w:hAnsi="宋体" w:cs="宋体"/>
          <w:color w:val="auto"/>
          <w:sz w:val="24"/>
          <w:szCs w:val="24"/>
        </w:rPr>
        <w:t>1</w:t>
      </w:r>
      <w:r>
        <w:rPr>
          <w:rFonts w:ascii="宋体" w:hAnsi="宋体" w:cs="宋体"/>
          <w:color w:val="auto"/>
          <w:sz w:val="24"/>
          <w:szCs w:val="24"/>
        </w:rPr>
        <w:fldChar w:fldCharType="end"/>
      </w:r>
      <w:r>
        <w:rPr>
          <w:rFonts w:hint="eastAsia" w:ascii="宋体" w:hAnsi="宋体" w:cs="宋体"/>
          <w:color w:val="auto"/>
          <w:sz w:val="24"/>
          <w:szCs w:val="24"/>
          <w:lang w:val="en-US" w:eastAsia="zh-CN"/>
        </w:rPr>
        <w:t>7</w:t>
      </w:r>
    </w:p>
    <w:p>
      <w:pPr>
        <w:pStyle w:val="12"/>
        <w:tabs>
          <w:tab w:val="right" w:leader="dot" w:pos="9060"/>
        </w:tabs>
        <w:spacing w:line="360" w:lineRule="auto"/>
        <w:ind w:left="31680"/>
        <w:rPr>
          <w:rFonts w:hint="eastAsia" w:ascii="宋体" w:eastAsia="宋体"/>
          <w:color w:val="auto"/>
          <w:sz w:val="24"/>
          <w:szCs w:val="24"/>
          <w:lang w:eastAsia="zh-CN"/>
        </w:rPr>
      </w:pPr>
      <w:r>
        <w:rPr>
          <w:color w:val="auto"/>
        </w:rPr>
        <w:fldChar w:fldCharType="begin"/>
      </w:r>
      <w:r>
        <w:rPr>
          <w:color w:val="auto"/>
        </w:rPr>
        <w:instrText xml:space="preserve"> HYPERLINK \l "_Toc394001379" </w:instrText>
      </w:r>
      <w:r>
        <w:rPr>
          <w:color w:val="auto"/>
        </w:rPr>
        <w:fldChar w:fldCharType="separate"/>
      </w:r>
      <w:r>
        <w:rPr>
          <w:rStyle w:val="18"/>
          <w:rFonts w:hint="eastAsia" w:ascii="宋体" w:hAnsi="宋体" w:cs="宋体"/>
          <w:color w:val="auto"/>
          <w:sz w:val="24"/>
          <w:szCs w:val="24"/>
        </w:rPr>
        <w:t>七、定标</w:t>
      </w:r>
      <w:r>
        <w:rPr>
          <w:rFonts w:ascii="宋体"/>
          <w:color w:val="auto"/>
          <w:sz w:val="24"/>
          <w:szCs w:val="24"/>
        </w:rPr>
        <w:tab/>
      </w:r>
      <w:r>
        <w:rPr>
          <w:rFonts w:hint="eastAsia" w:ascii="宋体" w:hAnsi="宋体" w:cs="宋体"/>
          <w:color w:val="auto"/>
          <w:sz w:val="24"/>
          <w:szCs w:val="24"/>
          <w:lang w:val="en-US" w:eastAsia="zh-CN"/>
        </w:rPr>
        <w:t>2</w:t>
      </w:r>
      <w:r>
        <w:rPr>
          <w:rFonts w:ascii="宋体" w:hAnsi="宋体" w:cs="宋体"/>
          <w:color w:val="auto"/>
          <w:sz w:val="24"/>
          <w:szCs w:val="24"/>
        </w:rPr>
        <w:fldChar w:fldCharType="end"/>
      </w:r>
      <w:r>
        <w:rPr>
          <w:rFonts w:hint="eastAsia" w:ascii="宋体" w:hAnsi="宋体" w:cs="宋体"/>
          <w:color w:val="auto"/>
          <w:sz w:val="24"/>
          <w:szCs w:val="24"/>
          <w:lang w:val="en-US" w:eastAsia="zh-CN"/>
        </w:rPr>
        <w:t>3</w:t>
      </w:r>
    </w:p>
    <w:p>
      <w:pPr>
        <w:pStyle w:val="12"/>
        <w:tabs>
          <w:tab w:val="right" w:leader="dot" w:pos="9060"/>
        </w:tabs>
        <w:spacing w:line="360" w:lineRule="auto"/>
        <w:ind w:left="31680"/>
        <w:rPr>
          <w:rFonts w:hint="eastAsia" w:ascii="宋体" w:eastAsia="宋体"/>
          <w:color w:val="auto"/>
          <w:sz w:val="24"/>
          <w:szCs w:val="24"/>
          <w:lang w:eastAsia="zh-CN"/>
        </w:rPr>
      </w:pPr>
      <w:r>
        <w:rPr>
          <w:color w:val="auto"/>
        </w:rPr>
        <w:fldChar w:fldCharType="begin"/>
      </w:r>
      <w:r>
        <w:rPr>
          <w:color w:val="auto"/>
        </w:rPr>
        <w:instrText xml:space="preserve"> HYPERLINK \l "_Toc394001380" </w:instrText>
      </w:r>
      <w:r>
        <w:rPr>
          <w:color w:val="auto"/>
        </w:rPr>
        <w:fldChar w:fldCharType="separate"/>
      </w:r>
      <w:r>
        <w:rPr>
          <w:rStyle w:val="18"/>
          <w:rFonts w:hint="eastAsia" w:ascii="宋体" w:hAnsi="宋体" w:cs="宋体"/>
          <w:color w:val="auto"/>
          <w:sz w:val="24"/>
          <w:szCs w:val="24"/>
        </w:rPr>
        <w:t>八、合同签订及其他</w:t>
      </w:r>
      <w:r>
        <w:rPr>
          <w:rFonts w:ascii="宋体"/>
          <w:color w:val="auto"/>
          <w:sz w:val="24"/>
          <w:szCs w:val="24"/>
        </w:rPr>
        <w:tab/>
      </w:r>
      <w:r>
        <w:rPr>
          <w:rFonts w:hint="eastAsia" w:ascii="宋体" w:hAnsi="宋体" w:cs="宋体"/>
          <w:color w:val="auto"/>
          <w:sz w:val="24"/>
          <w:szCs w:val="24"/>
          <w:lang w:val="en-US" w:eastAsia="zh-CN"/>
        </w:rPr>
        <w:t>2</w:t>
      </w:r>
      <w:r>
        <w:rPr>
          <w:rFonts w:ascii="宋体" w:hAnsi="宋体" w:cs="宋体"/>
          <w:color w:val="auto"/>
          <w:sz w:val="24"/>
          <w:szCs w:val="24"/>
        </w:rPr>
        <w:fldChar w:fldCharType="end"/>
      </w:r>
      <w:r>
        <w:rPr>
          <w:rFonts w:hint="eastAsia" w:ascii="宋体" w:hAnsi="宋体" w:cs="宋体"/>
          <w:color w:val="auto"/>
          <w:sz w:val="24"/>
          <w:szCs w:val="24"/>
          <w:lang w:val="en-US" w:eastAsia="zh-CN"/>
        </w:rPr>
        <w:t>3</w:t>
      </w:r>
    </w:p>
    <w:p>
      <w:pPr>
        <w:pStyle w:val="11"/>
        <w:tabs>
          <w:tab w:val="right" w:leader="dot" w:pos="9060"/>
        </w:tabs>
        <w:spacing w:line="360" w:lineRule="auto"/>
        <w:rPr>
          <w:rFonts w:hint="eastAsia" w:ascii="宋体" w:eastAsia="宋体"/>
          <w:color w:val="auto"/>
          <w:sz w:val="24"/>
          <w:szCs w:val="24"/>
          <w:lang w:eastAsia="zh-CN"/>
        </w:rPr>
      </w:pPr>
      <w:r>
        <w:rPr>
          <w:color w:val="auto"/>
        </w:rPr>
        <w:fldChar w:fldCharType="begin"/>
      </w:r>
      <w:r>
        <w:rPr>
          <w:color w:val="auto"/>
        </w:rPr>
        <w:instrText xml:space="preserve"> HYPERLINK \l "_Toc394001381" </w:instrText>
      </w:r>
      <w:r>
        <w:rPr>
          <w:color w:val="auto"/>
        </w:rPr>
        <w:fldChar w:fldCharType="separate"/>
      </w:r>
      <w:r>
        <w:rPr>
          <w:rStyle w:val="18"/>
          <w:rFonts w:hint="eastAsia" w:ascii="宋体" w:hAnsi="宋体" w:cs="宋体"/>
          <w:color w:val="auto"/>
          <w:sz w:val="24"/>
          <w:szCs w:val="24"/>
        </w:rPr>
        <w:t>第三部分项目技术规范和服务要求</w:t>
      </w:r>
      <w:r>
        <w:rPr>
          <w:rFonts w:ascii="宋体"/>
          <w:color w:val="auto"/>
          <w:sz w:val="24"/>
          <w:szCs w:val="24"/>
        </w:rPr>
        <w:tab/>
      </w:r>
      <w:r>
        <w:rPr>
          <w:rFonts w:hint="eastAsia" w:ascii="宋体" w:hAnsi="宋体" w:cs="宋体"/>
          <w:color w:val="auto"/>
          <w:sz w:val="24"/>
          <w:szCs w:val="24"/>
          <w:lang w:val="en-US" w:eastAsia="zh-CN"/>
        </w:rPr>
        <w:t>2</w:t>
      </w:r>
      <w:r>
        <w:rPr>
          <w:rFonts w:ascii="宋体" w:hAnsi="宋体" w:cs="宋体"/>
          <w:color w:val="auto"/>
          <w:sz w:val="24"/>
          <w:szCs w:val="24"/>
        </w:rPr>
        <w:fldChar w:fldCharType="end"/>
      </w:r>
      <w:r>
        <w:rPr>
          <w:rFonts w:hint="eastAsia" w:ascii="宋体" w:hAnsi="宋体" w:cs="宋体"/>
          <w:color w:val="auto"/>
          <w:sz w:val="24"/>
          <w:szCs w:val="24"/>
          <w:lang w:val="en-US" w:eastAsia="zh-CN"/>
        </w:rPr>
        <w:t>7</w:t>
      </w:r>
    </w:p>
    <w:p>
      <w:pPr>
        <w:pStyle w:val="11"/>
        <w:tabs>
          <w:tab w:val="right" w:leader="dot" w:pos="9060"/>
        </w:tabs>
        <w:spacing w:line="360" w:lineRule="auto"/>
        <w:rPr>
          <w:rFonts w:hint="eastAsia" w:ascii="宋体" w:eastAsia="宋体"/>
          <w:color w:val="auto"/>
          <w:sz w:val="24"/>
          <w:szCs w:val="24"/>
          <w:lang w:eastAsia="zh-CN"/>
        </w:rPr>
      </w:pPr>
      <w:r>
        <w:rPr>
          <w:color w:val="auto"/>
        </w:rPr>
        <w:fldChar w:fldCharType="begin"/>
      </w:r>
      <w:r>
        <w:rPr>
          <w:color w:val="auto"/>
        </w:rPr>
        <w:instrText xml:space="preserve"> HYPERLINK \l "_Toc394001382" </w:instrText>
      </w:r>
      <w:r>
        <w:rPr>
          <w:color w:val="auto"/>
        </w:rPr>
        <w:fldChar w:fldCharType="separate"/>
      </w:r>
      <w:r>
        <w:rPr>
          <w:rStyle w:val="18"/>
          <w:rFonts w:hint="eastAsia" w:ascii="宋体" w:hAnsi="宋体" w:cs="宋体"/>
          <w:color w:val="auto"/>
          <w:sz w:val="24"/>
          <w:szCs w:val="24"/>
        </w:rPr>
        <w:t>第四部分招标合同的主要条款</w:t>
      </w:r>
      <w:r>
        <w:rPr>
          <w:rFonts w:ascii="宋体"/>
          <w:color w:val="auto"/>
          <w:sz w:val="24"/>
          <w:szCs w:val="24"/>
        </w:rPr>
        <w:tab/>
      </w:r>
      <w:r>
        <w:rPr>
          <w:rFonts w:hint="eastAsia" w:ascii="宋体" w:hAnsi="宋体" w:cs="宋体"/>
          <w:color w:val="auto"/>
          <w:sz w:val="24"/>
          <w:szCs w:val="24"/>
          <w:lang w:val="en-US" w:eastAsia="zh-CN"/>
        </w:rPr>
        <w:t>3</w:t>
      </w:r>
      <w:r>
        <w:rPr>
          <w:rFonts w:ascii="宋体" w:hAnsi="宋体" w:cs="宋体"/>
          <w:color w:val="auto"/>
          <w:sz w:val="24"/>
          <w:szCs w:val="24"/>
        </w:rPr>
        <w:fldChar w:fldCharType="end"/>
      </w:r>
      <w:r>
        <w:rPr>
          <w:rFonts w:hint="eastAsia" w:ascii="宋体" w:hAnsi="宋体" w:cs="宋体"/>
          <w:color w:val="auto"/>
          <w:sz w:val="24"/>
          <w:szCs w:val="24"/>
          <w:lang w:val="en-US" w:eastAsia="zh-CN"/>
        </w:rPr>
        <w:t>3</w:t>
      </w:r>
    </w:p>
    <w:p>
      <w:pPr>
        <w:pStyle w:val="11"/>
        <w:tabs>
          <w:tab w:val="right" w:leader="dot" w:pos="9060"/>
        </w:tabs>
        <w:spacing w:line="360" w:lineRule="auto"/>
        <w:rPr>
          <w:rFonts w:hint="eastAsia" w:ascii="宋体" w:eastAsia="宋体"/>
          <w:color w:val="auto"/>
          <w:sz w:val="24"/>
          <w:szCs w:val="24"/>
          <w:lang w:eastAsia="zh-CN"/>
        </w:rPr>
      </w:pPr>
      <w:r>
        <w:rPr>
          <w:color w:val="auto"/>
        </w:rPr>
        <w:fldChar w:fldCharType="begin"/>
      </w:r>
      <w:r>
        <w:rPr>
          <w:color w:val="auto"/>
        </w:rPr>
        <w:instrText xml:space="preserve"> HYPERLINK \l "_Toc394001383" </w:instrText>
      </w:r>
      <w:r>
        <w:rPr>
          <w:color w:val="auto"/>
        </w:rPr>
        <w:fldChar w:fldCharType="separate"/>
      </w:r>
      <w:r>
        <w:rPr>
          <w:rStyle w:val="18"/>
          <w:rFonts w:hint="eastAsia" w:ascii="宋体" w:hAnsi="宋体" w:cs="宋体"/>
          <w:color w:val="auto"/>
          <w:sz w:val="24"/>
          <w:szCs w:val="24"/>
        </w:rPr>
        <w:t>第五部分应提交的有关格式范例</w:t>
      </w:r>
      <w:r>
        <w:rPr>
          <w:rFonts w:ascii="宋体"/>
          <w:color w:val="auto"/>
          <w:sz w:val="24"/>
          <w:szCs w:val="24"/>
        </w:rPr>
        <w:tab/>
      </w:r>
      <w:r>
        <w:rPr>
          <w:rFonts w:hint="eastAsia" w:ascii="宋体" w:hAnsi="宋体" w:cs="宋体"/>
          <w:color w:val="auto"/>
          <w:sz w:val="24"/>
          <w:szCs w:val="24"/>
          <w:lang w:val="en-US" w:eastAsia="zh-CN"/>
        </w:rPr>
        <w:t>4</w:t>
      </w:r>
      <w:r>
        <w:rPr>
          <w:rFonts w:ascii="宋体" w:hAnsi="宋体" w:cs="宋体"/>
          <w:color w:val="auto"/>
          <w:sz w:val="24"/>
          <w:szCs w:val="24"/>
        </w:rPr>
        <w:fldChar w:fldCharType="end"/>
      </w:r>
      <w:r>
        <w:rPr>
          <w:rFonts w:hint="eastAsia" w:ascii="宋体" w:hAnsi="宋体" w:cs="宋体"/>
          <w:color w:val="auto"/>
          <w:sz w:val="24"/>
          <w:szCs w:val="24"/>
          <w:lang w:val="en-US" w:eastAsia="zh-CN"/>
        </w:rPr>
        <w:t>2</w:t>
      </w:r>
    </w:p>
    <w:p>
      <w:pPr>
        <w:pStyle w:val="12"/>
        <w:tabs>
          <w:tab w:val="right" w:leader="dot" w:pos="9060"/>
        </w:tabs>
        <w:spacing w:line="360" w:lineRule="auto"/>
        <w:ind w:left="31680"/>
        <w:rPr>
          <w:rFonts w:ascii="宋体"/>
          <w:color w:val="auto"/>
          <w:sz w:val="24"/>
          <w:szCs w:val="24"/>
        </w:rPr>
      </w:pPr>
      <w:r>
        <w:rPr>
          <w:color w:val="auto"/>
        </w:rPr>
        <w:fldChar w:fldCharType="begin"/>
      </w:r>
      <w:r>
        <w:rPr>
          <w:color w:val="auto"/>
        </w:rPr>
        <w:instrText xml:space="preserve"> HYPERLINK \l "_Toc394001384" </w:instrText>
      </w:r>
      <w:r>
        <w:rPr>
          <w:color w:val="auto"/>
        </w:rPr>
        <w:fldChar w:fldCharType="separate"/>
      </w:r>
      <w:r>
        <w:rPr>
          <w:rStyle w:val="18"/>
          <w:rFonts w:hint="eastAsia" w:ascii="宋体" w:hAnsi="宋体" w:cs="宋体"/>
          <w:color w:val="auto"/>
          <w:kern w:val="0"/>
          <w:sz w:val="24"/>
          <w:szCs w:val="24"/>
        </w:rPr>
        <w:t>报价文件</w:t>
      </w:r>
      <w:r>
        <w:rPr>
          <w:rFonts w:ascii="宋体"/>
          <w:color w:val="auto"/>
          <w:sz w:val="24"/>
          <w:szCs w:val="24"/>
        </w:rPr>
        <w:tab/>
      </w:r>
      <w:r>
        <w:rPr>
          <w:rFonts w:ascii="宋体" w:hAnsi="宋体" w:cs="宋体"/>
          <w:color w:val="auto"/>
          <w:sz w:val="24"/>
          <w:szCs w:val="24"/>
        </w:rPr>
        <w:fldChar w:fldCharType="begin"/>
      </w:r>
      <w:r>
        <w:rPr>
          <w:rFonts w:ascii="宋体" w:hAnsi="宋体" w:cs="宋体"/>
          <w:color w:val="auto"/>
          <w:sz w:val="24"/>
          <w:szCs w:val="24"/>
        </w:rPr>
        <w:instrText xml:space="preserve"> PAGEREF _Toc394001384 \h </w:instrText>
      </w:r>
      <w:r>
        <w:rPr>
          <w:rFonts w:ascii="宋体" w:hAnsi="宋体" w:cs="宋体"/>
          <w:color w:val="auto"/>
          <w:sz w:val="24"/>
          <w:szCs w:val="24"/>
        </w:rPr>
        <w:fldChar w:fldCharType="separate"/>
      </w:r>
      <w:r>
        <w:rPr>
          <w:rFonts w:hint="eastAsia" w:ascii="宋体" w:hAnsi="宋体" w:cs="宋体"/>
          <w:color w:val="auto"/>
          <w:sz w:val="24"/>
          <w:szCs w:val="24"/>
          <w:lang w:val="en-US" w:eastAsia="zh-CN"/>
        </w:rPr>
        <w:t>48</w:t>
      </w:r>
      <w:r>
        <w:rPr>
          <w:rFonts w:ascii="宋体" w:hAnsi="宋体" w:cs="宋体"/>
          <w:color w:val="auto"/>
          <w:sz w:val="24"/>
          <w:szCs w:val="24"/>
        </w:rPr>
        <w:fldChar w:fldCharType="end"/>
      </w:r>
      <w:r>
        <w:rPr>
          <w:rFonts w:ascii="宋体" w:hAnsi="宋体" w:cs="宋体"/>
          <w:color w:val="auto"/>
          <w:sz w:val="24"/>
          <w:szCs w:val="24"/>
        </w:rPr>
        <w:fldChar w:fldCharType="end"/>
      </w:r>
    </w:p>
    <w:p>
      <w:pPr>
        <w:pStyle w:val="12"/>
        <w:tabs>
          <w:tab w:val="right" w:leader="dot" w:pos="9060"/>
        </w:tabs>
        <w:spacing w:line="360" w:lineRule="auto"/>
        <w:ind w:left="31680"/>
        <w:rPr>
          <w:rFonts w:hint="eastAsia" w:ascii="宋体" w:hAnsi="宋体" w:cs="宋体"/>
          <w:color w:val="auto"/>
          <w:sz w:val="24"/>
          <w:szCs w:val="24"/>
          <w:lang w:val="en-US" w:eastAsia="zh-CN"/>
        </w:rPr>
      </w:pPr>
      <w:r>
        <w:rPr>
          <w:color w:val="auto"/>
        </w:rPr>
        <w:fldChar w:fldCharType="begin"/>
      </w:r>
      <w:r>
        <w:rPr>
          <w:color w:val="auto"/>
        </w:rPr>
        <w:instrText xml:space="preserve"> HYPERLINK \l "_Toc394001385" </w:instrText>
      </w:r>
      <w:r>
        <w:rPr>
          <w:color w:val="auto"/>
        </w:rPr>
        <w:fldChar w:fldCharType="separate"/>
      </w:r>
      <w:r>
        <w:rPr>
          <w:rStyle w:val="18"/>
          <w:rFonts w:hint="eastAsia" w:ascii="宋体" w:hAnsi="宋体" w:cs="宋体"/>
          <w:color w:val="auto"/>
          <w:sz w:val="24"/>
          <w:szCs w:val="24"/>
        </w:rPr>
        <w:t>商务技术</w:t>
      </w:r>
      <w:r>
        <w:rPr>
          <w:rStyle w:val="18"/>
          <w:rFonts w:hint="eastAsia" w:ascii="宋体" w:hAnsi="宋体" w:cs="宋体"/>
          <w:color w:val="auto"/>
          <w:kern w:val="0"/>
          <w:sz w:val="24"/>
          <w:szCs w:val="24"/>
        </w:rPr>
        <w:t>文件</w:t>
      </w:r>
      <w:r>
        <w:rPr>
          <w:rFonts w:ascii="宋体"/>
          <w:color w:val="auto"/>
          <w:sz w:val="24"/>
          <w:szCs w:val="24"/>
        </w:rPr>
        <w:tab/>
      </w:r>
      <w:r>
        <w:rPr>
          <w:rFonts w:hint="eastAsia" w:ascii="宋体" w:hAnsi="宋体" w:cs="宋体"/>
          <w:color w:val="auto"/>
          <w:sz w:val="24"/>
          <w:szCs w:val="24"/>
          <w:lang w:val="en-US" w:eastAsia="zh-CN"/>
        </w:rPr>
        <w:t>5</w:t>
      </w:r>
      <w:r>
        <w:rPr>
          <w:rFonts w:ascii="宋体" w:hAnsi="宋体" w:cs="宋体"/>
          <w:color w:val="auto"/>
          <w:sz w:val="24"/>
          <w:szCs w:val="24"/>
        </w:rPr>
        <w:fldChar w:fldCharType="end"/>
      </w:r>
      <w:r>
        <w:rPr>
          <w:rFonts w:hint="eastAsia" w:ascii="宋体" w:hAnsi="宋体" w:cs="宋体"/>
          <w:color w:val="auto"/>
          <w:sz w:val="24"/>
          <w:szCs w:val="24"/>
          <w:lang w:val="en-US" w:eastAsia="zh-CN"/>
        </w:rPr>
        <w:t>1</w:t>
      </w:r>
    </w:p>
    <w:p>
      <w:pPr>
        <w:pStyle w:val="12"/>
        <w:tabs>
          <w:tab w:val="right" w:leader="dot" w:pos="9060"/>
        </w:tabs>
        <w:spacing w:line="360" w:lineRule="auto"/>
        <w:ind w:left="31680"/>
        <w:rPr>
          <w:rFonts w:hint="eastAsia" w:ascii="宋体" w:eastAsia="宋体"/>
          <w:color w:val="auto"/>
          <w:sz w:val="24"/>
          <w:szCs w:val="24"/>
          <w:lang w:eastAsia="zh-CN"/>
        </w:rPr>
      </w:pPr>
      <w:r>
        <w:rPr>
          <w:rStyle w:val="18"/>
          <w:rFonts w:hint="eastAsia" w:ascii="宋体" w:hAnsi="宋体" w:cs="宋体"/>
          <w:color w:val="auto"/>
          <w:kern w:val="0"/>
          <w:sz w:val="24"/>
          <w:szCs w:val="24"/>
        </w:rPr>
        <w:t>资格</w:t>
      </w:r>
      <w:r>
        <w:rPr>
          <w:color w:val="auto"/>
        </w:rPr>
        <w:fldChar w:fldCharType="begin"/>
      </w:r>
      <w:r>
        <w:rPr>
          <w:color w:val="auto"/>
        </w:rPr>
        <w:instrText xml:space="preserve"> HYPERLINK \l "_Toc394001386" </w:instrText>
      </w:r>
      <w:r>
        <w:rPr>
          <w:color w:val="auto"/>
        </w:rPr>
        <w:fldChar w:fldCharType="separate"/>
      </w:r>
      <w:bookmarkStart w:id="4" w:name="_Hlt395532345"/>
      <w:bookmarkStart w:id="5" w:name="_Hlt395686506"/>
      <w:bookmarkStart w:id="6" w:name="_Hlt395686507"/>
      <w:bookmarkStart w:id="7" w:name="_Hlt395532344"/>
      <w:r>
        <w:rPr>
          <w:rStyle w:val="18"/>
          <w:rFonts w:hint="eastAsia" w:ascii="宋体" w:hAnsi="宋体" w:cs="宋体"/>
          <w:color w:val="auto"/>
          <w:sz w:val="24"/>
          <w:szCs w:val="24"/>
        </w:rPr>
        <w:t>文</w:t>
      </w:r>
      <w:bookmarkEnd w:id="4"/>
      <w:bookmarkEnd w:id="5"/>
      <w:bookmarkEnd w:id="6"/>
      <w:bookmarkEnd w:id="7"/>
      <w:r>
        <w:rPr>
          <w:rStyle w:val="18"/>
          <w:rFonts w:hint="eastAsia" w:ascii="宋体" w:hAnsi="宋体" w:cs="宋体"/>
          <w:color w:val="auto"/>
          <w:sz w:val="24"/>
          <w:szCs w:val="24"/>
        </w:rPr>
        <w:t>件</w:t>
      </w:r>
      <w:r>
        <w:rPr>
          <w:rFonts w:ascii="宋体"/>
          <w:color w:val="auto"/>
          <w:sz w:val="24"/>
          <w:szCs w:val="24"/>
        </w:rPr>
        <w:tab/>
      </w:r>
      <w:r>
        <w:rPr>
          <w:rFonts w:hint="eastAsia" w:ascii="宋体" w:hAnsi="宋体" w:cs="宋体"/>
          <w:color w:val="auto"/>
          <w:sz w:val="24"/>
          <w:szCs w:val="24"/>
          <w:lang w:val="en-US" w:eastAsia="zh-CN"/>
        </w:rPr>
        <w:t>5</w:t>
      </w:r>
      <w:r>
        <w:rPr>
          <w:rFonts w:ascii="宋体" w:hAnsi="宋体" w:cs="宋体"/>
          <w:color w:val="auto"/>
          <w:sz w:val="24"/>
          <w:szCs w:val="24"/>
        </w:rPr>
        <w:fldChar w:fldCharType="end"/>
      </w:r>
      <w:r>
        <w:rPr>
          <w:rFonts w:hint="eastAsia" w:ascii="宋体" w:hAnsi="宋体" w:cs="宋体"/>
          <w:color w:val="auto"/>
          <w:sz w:val="24"/>
          <w:szCs w:val="24"/>
          <w:lang w:val="en-US" w:eastAsia="zh-CN"/>
        </w:rPr>
        <w:t>8</w:t>
      </w:r>
    </w:p>
    <w:p>
      <w:pPr>
        <w:spacing w:line="360" w:lineRule="auto"/>
        <w:rPr>
          <w:rFonts w:ascii="宋体"/>
          <w:color w:val="auto"/>
          <w:sz w:val="24"/>
          <w:szCs w:val="24"/>
        </w:rPr>
        <w:sectPr>
          <w:headerReference r:id="rId3" w:type="default"/>
          <w:footerReference r:id="rId4" w:type="default"/>
          <w:pgSz w:w="11906" w:h="16838"/>
          <w:pgMar w:top="1418" w:right="1418" w:bottom="1418" w:left="1418" w:header="567" w:footer="567" w:gutter="0"/>
          <w:cols w:space="720" w:num="1"/>
          <w:docGrid w:linePitch="312" w:charSpace="0"/>
        </w:sectPr>
      </w:pPr>
      <w:r>
        <w:rPr>
          <w:rFonts w:ascii="宋体" w:hAnsi="宋体" w:cs="宋体"/>
          <w:color w:val="auto"/>
          <w:sz w:val="24"/>
          <w:szCs w:val="24"/>
        </w:rPr>
        <w:fldChar w:fldCharType="end"/>
      </w:r>
    </w:p>
    <w:p>
      <w:pPr>
        <w:spacing w:line="360" w:lineRule="auto"/>
        <w:jc w:val="center"/>
        <w:outlineLvl w:val="0"/>
        <w:rPr>
          <w:rFonts w:ascii="宋体"/>
          <w:b/>
          <w:bCs/>
          <w:color w:val="auto"/>
          <w:sz w:val="36"/>
          <w:szCs w:val="36"/>
        </w:rPr>
      </w:pPr>
      <w:bookmarkStart w:id="8" w:name="_Toc394001370"/>
      <w:r>
        <w:rPr>
          <w:rFonts w:hint="eastAsia" w:ascii="宋体" w:hAnsi="宋体" w:cs="宋体"/>
          <w:b/>
          <w:bCs/>
          <w:color w:val="auto"/>
          <w:sz w:val="36"/>
          <w:szCs w:val="36"/>
        </w:rPr>
        <w:t>第一部分</w:t>
      </w:r>
      <w:r>
        <w:rPr>
          <w:rFonts w:ascii="宋体" w:hAnsi="宋体" w:cs="宋体"/>
          <w:b/>
          <w:bCs/>
          <w:color w:val="auto"/>
          <w:sz w:val="36"/>
          <w:szCs w:val="36"/>
        </w:rPr>
        <w:t xml:space="preserve">  </w:t>
      </w:r>
      <w:r>
        <w:rPr>
          <w:rFonts w:hint="eastAsia" w:ascii="宋体" w:hAnsi="宋体" w:cs="宋体"/>
          <w:b/>
          <w:bCs/>
          <w:color w:val="auto"/>
          <w:sz w:val="36"/>
          <w:szCs w:val="36"/>
        </w:rPr>
        <w:t>招标公告</w:t>
      </w:r>
      <w:bookmarkEnd w:id="3"/>
      <w:bookmarkEnd w:id="8"/>
    </w:p>
    <w:p>
      <w:pPr>
        <w:pStyle w:val="8"/>
        <w:adjustRightInd w:val="0"/>
        <w:snapToGrid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等有关规定，浙江联通工程咨询有限公司受杭州市射击射箭运动中心委托，就其2020年枪弹库智能管理系统升级改造项目进行招标（线上电子招投标），欢迎国内合格的供应商前来参加。</w:t>
      </w:r>
    </w:p>
    <w:p>
      <w:pPr>
        <w:pStyle w:val="8"/>
        <w:adjustRightInd w:val="0"/>
        <w:snapToGrid w:val="0"/>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一、项目编号：</w:t>
      </w:r>
      <w:r>
        <w:rPr>
          <w:rFonts w:hint="eastAsia" w:ascii="宋体" w:hAnsi="宋体" w:eastAsia="宋体" w:cs="宋体"/>
          <w:color w:val="auto"/>
          <w:sz w:val="24"/>
          <w:szCs w:val="24"/>
        </w:rPr>
        <w:t>ZJLT-2020-03-053-01</w:t>
      </w:r>
    </w:p>
    <w:p>
      <w:pPr>
        <w:pStyle w:val="8"/>
        <w:adjustRightInd w:val="0"/>
        <w:snapToGrid w:val="0"/>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2020年枪弹库智能管理系统升级改造项目</w:t>
      </w:r>
    </w:p>
    <w:p>
      <w:pPr>
        <w:pStyle w:val="8"/>
        <w:adjustRightInd w:val="0"/>
        <w:snapToGrid w:val="0"/>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三、招标方式：</w:t>
      </w:r>
      <w:r>
        <w:rPr>
          <w:rFonts w:hint="eastAsia" w:ascii="宋体" w:hAnsi="宋体" w:eastAsia="宋体" w:cs="宋体"/>
          <w:color w:val="auto"/>
          <w:sz w:val="24"/>
          <w:szCs w:val="24"/>
        </w:rPr>
        <w:t>公开招标</w:t>
      </w:r>
    </w:p>
    <w:p>
      <w:pPr>
        <w:pStyle w:val="27"/>
        <w:spacing w:before="0"/>
        <w:ind w:firstLine="31680"/>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四、招标项目概况（内容、用途、数量、简要技术要求等）</w:t>
      </w:r>
      <w:r>
        <w:rPr>
          <w:rFonts w:hint="eastAsia" w:ascii="宋体" w:hAnsi="宋体" w:eastAsia="宋体" w:cs="宋体"/>
          <w:color w:val="auto"/>
          <w:sz w:val="24"/>
          <w:szCs w:val="24"/>
        </w:rPr>
        <w:t>：</w:t>
      </w:r>
    </w:p>
    <w:tbl>
      <w:tblPr>
        <w:tblStyle w:val="14"/>
        <w:tblW w:w="4998" w:type="pct"/>
        <w:tblInd w:w="2"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3"/>
        <w:gridCol w:w="455"/>
        <w:gridCol w:w="455"/>
        <w:gridCol w:w="1235"/>
        <w:gridCol w:w="5170"/>
        <w:gridCol w:w="685"/>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268" w:type="pct"/>
            <w:tcBorders>
              <w:top w:val="single" w:color="333333" w:sz="6" w:space="0"/>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序号</w:t>
            </w:r>
          </w:p>
        </w:tc>
        <w:tc>
          <w:tcPr>
            <w:tcW w:w="269" w:type="pct"/>
            <w:tcBorders>
              <w:top w:val="single" w:color="333333" w:sz="6" w:space="0"/>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招标数量</w:t>
            </w:r>
          </w:p>
        </w:tc>
        <w:tc>
          <w:tcPr>
            <w:tcW w:w="269" w:type="pct"/>
            <w:tcBorders>
              <w:top w:val="single" w:color="333333" w:sz="6" w:space="0"/>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单位</w:t>
            </w:r>
          </w:p>
        </w:tc>
        <w:tc>
          <w:tcPr>
            <w:tcW w:w="730" w:type="pct"/>
            <w:tcBorders>
              <w:top w:val="single" w:color="333333" w:sz="6" w:space="0"/>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预算总金额(万元)</w:t>
            </w:r>
          </w:p>
        </w:tc>
        <w:tc>
          <w:tcPr>
            <w:tcW w:w="3057" w:type="pct"/>
            <w:tcBorders>
              <w:top w:val="single" w:color="333333" w:sz="6" w:space="0"/>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简要技术要求、用途</w:t>
            </w:r>
          </w:p>
        </w:tc>
        <w:tc>
          <w:tcPr>
            <w:tcW w:w="405" w:type="pct"/>
            <w:tcBorders>
              <w:top w:val="single" w:color="333333" w:sz="6" w:space="0"/>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招标内容备注</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4" w:hRule="atLeast"/>
        </w:trPr>
        <w:tc>
          <w:tcPr>
            <w:tcW w:w="268" w:type="pct"/>
            <w:tcBorders>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269" w:type="pct"/>
            <w:tcBorders>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269" w:type="pct"/>
            <w:tcBorders>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w:t>
            </w:r>
          </w:p>
        </w:tc>
        <w:tc>
          <w:tcPr>
            <w:tcW w:w="730" w:type="pct"/>
            <w:tcBorders>
              <w:bottom w:val="single" w:color="333333" w:sz="6" w:space="0"/>
              <w:right w:val="single" w:color="333333" w:sz="6" w:space="0"/>
            </w:tcBorders>
            <w:shd w:val="clear" w:color="auto" w:fill="FFFFFF"/>
            <w:tcMar>
              <w:left w:w="75" w:type="dxa"/>
              <w:right w:w="75" w:type="dxa"/>
            </w:tcMar>
            <w:vAlign w:val="center"/>
          </w:tcPr>
          <w:p>
            <w:pPr>
              <w:widowControl/>
              <w:spacing w:line="360" w:lineRule="auto"/>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59.31</w:t>
            </w:r>
          </w:p>
        </w:tc>
        <w:tc>
          <w:tcPr>
            <w:tcW w:w="3057" w:type="pct"/>
            <w:tcBorders>
              <w:bottom w:val="single" w:color="333333" w:sz="6" w:space="0"/>
              <w:right w:val="single" w:color="333333" w:sz="6" w:space="0"/>
            </w:tcBorders>
            <w:shd w:val="clear" w:color="auto" w:fill="FFFFFF"/>
            <w:tcMar>
              <w:left w:w="75" w:type="dxa"/>
              <w:right w:w="75" w:type="dxa"/>
            </w:tcMar>
            <w:vAlign w:val="center"/>
          </w:tcPr>
          <w:p>
            <w:pPr>
              <w:spacing w:line="360" w:lineRule="auto"/>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对杭州市射击射箭运动中心现有枪弹库进行改造，合同签订之日起45天内完成所有货物的交付与安装。升级主要由枪弹库柜安全管理系、监控系统、报警系统、门禁管理系统、网络系统、温湿度控制系统、UPS配电系统、综合配线系统这8项构成，详见招标文件第三章内容。</w:t>
            </w:r>
          </w:p>
        </w:tc>
        <w:tc>
          <w:tcPr>
            <w:tcW w:w="405" w:type="pct"/>
            <w:tcBorders>
              <w:bottom w:val="single" w:color="333333" w:sz="6" w:space="0"/>
              <w:right w:val="single" w:color="333333" w:sz="6" w:space="0"/>
            </w:tcBorders>
            <w:shd w:val="clear" w:color="auto" w:fill="FFFFFF"/>
            <w:tcMar>
              <w:left w:w="75" w:type="dxa"/>
              <w:right w:w="75" w:type="dxa"/>
            </w:tcMar>
            <w:vAlign w:val="center"/>
          </w:tcPr>
          <w:p>
            <w:pPr>
              <w:spacing w:line="360" w:lineRule="auto"/>
              <w:jc w:val="left"/>
              <w:rPr>
                <w:rFonts w:hint="eastAsia" w:ascii="宋体" w:hAnsi="宋体" w:eastAsia="宋体" w:cs="宋体"/>
                <w:color w:val="auto"/>
                <w:sz w:val="24"/>
                <w:szCs w:val="24"/>
              </w:rPr>
            </w:pPr>
          </w:p>
        </w:tc>
      </w:tr>
    </w:tbl>
    <w:p>
      <w:pPr>
        <w:tabs>
          <w:tab w:val="left" w:pos="1605"/>
        </w:tabs>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五、合格的投标人应具备以下资格要求：</w:t>
      </w:r>
    </w:p>
    <w:p>
      <w:pPr>
        <w:pStyle w:val="13"/>
        <w:shd w:val="clear" w:color="auto" w:fill="FFFFFF"/>
        <w:spacing w:beforeAutospacing="0" w:afterAutospacing="0" w:line="360" w:lineRule="auto"/>
        <w:ind w:firstLine="720" w:firstLineChars="3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1、基本资格条件：</w:t>
      </w:r>
    </w:p>
    <w:p>
      <w:pPr>
        <w:pStyle w:val="13"/>
        <w:shd w:val="clear" w:color="auto" w:fill="FFFFFF"/>
        <w:spacing w:beforeAutospacing="0" w:afterAutospacing="0"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（1）符合《中华人民共和国政府采购法》第二十二条的规定；</w:t>
      </w:r>
      <w:r>
        <w:rPr>
          <w:rFonts w:hint="eastAsia" w:ascii="宋体" w:hAnsi="宋体" w:eastAsia="宋体" w:cs="宋体"/>
          <w:color w:val="auto"/>
          <w:sz w:val="24"/>
          <w:szCs w:val="24"/>
          <w:shd w:val="clear" w:color="auto" w:fill="FFFFFF"/>
        </w:rPr>
        <w:br w:type="textWrapping"/>
      </w:r>
      <w:r>
        <w:rPr>
          <w:rFonts w:hint="eastAsia" w:ascii="宋体" w:hAnsi="宋体" w:eastAsia="宋体" w:cs="宋体"/>
          <w:color w:val="auto"/>
          <w:sz w:val="24"/>
          <w:szCs w:val="24"/>
          <w:shd w:val="clear" w:color="auto" w:fill="FFFFFF"/>
        </w:rPr>
        <w:t xml:space="preserve">      1）具有独立承担民事责任的能力；</w:t>
      </w:r>
    </w:p>
    <w:p>
      <w:pPr>
        <w:pStyle w:val="13"/>
        <w:shd w:val="clear" w:color="auto" w:fill="FFFFFF"/>
        <w:spacing w:beforeAutospacing="0" w:afterAutospacing="0" w:line="360" w:lineRule="auto"/>
        <w:ind w:firstLine="720" w:firstLineChars="3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2）具有良好的商业信誉和健全的财务会计制度；</w:t>
      </w:r>
    </w:p>
    <w:p>
      <w:pPr>
        <w:pStyle w:val="13"/>
        <w:shd w:val="clear" w:color="auto" w:fill="FFFFFF"/>
        <w:spacing w:beforeAutospacing="0" w:afterAutospacing="0" w:line="360" w:lineRule="auto"/>
        <w:ind w:firstLine="720" w:firstLineChars="3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3）具有履行合同所必需的场地、设备和专业技术能力；</w:t>
      </w:r>
    </w:p>
    <w:p>
      <w:pPr>
        <w:pStyle w:val="13"/>
        <w:shd w:val="clear" w:color="auto" w:fill="FFFFFF"/>
        <w:spacing w:beforeAutospacing="0" w:afterAutospacing="0" w:line="360" w:lineRule="auto"/>
        <w:ind w:firstLine="720" w:firstLineChars="3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4）有依法缴纳税收和社会保障资金的良好记录；</w:t>
      </w:r>
    </w:p>
    <w:p>
      <w:pPr>
        <w:pStyle w:val="13"/>
        <w:shd w:val="clear" w:color="auto" w:fill="FFFFFF"/>
        <w:spacing w:beforeAutospacing="0" w:afterAutospacing="0" w:line="360" w:lineRule="auto"/>
        <w:ind w:firstLine="720" w:firstLineChars="3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5）参加政府采购活动前三年内，在经营活动中没有重大违法记录。</w:t>
      </w:r>
    </w:p>
    <w:p>
      <w:pPr>
        <w:pStyle w:val="13"/>
        <w:shd w:val="clear" w:color="auto" w:fill="FFFFFF"/>
        <w:spacing w:beforeAutospacing="0" w:afterAutospacing="0"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（2）投标人未被列入失信被执行人名单、重大税收违法案件当事人名单、政府招标严重违法失信行为记录名单，信用信息以信用中国网站；（www.creditchina.gov.cn）、中国政府招标网（www.ccgp.gov.cn）公布为准；</w:t>
      </w:r>
    </w:p>
    <w:p>
      <w:pPr>
        <w:pStyle w:val="13"/>
        <w:shd w:val="clear" w:color="auto" w:fill="FFFFFF"/>
        <w:spacing w:beforeAutospacing="0" w:afterAutospacing="0"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（3）单位负责人为同一人或者存在直接控股、管理关系的不同供应商，不得参加同一标项投标或者未划分标项的同一招标项目； </w:t>
      </w:r>
    </w:p>
    <w:p>
      <w:pPr>
        <w:keepNext w:val="0"/>
        <w:keepLines w:val="0"/>
        <w:pageBreakBefore w:val="0"/>
        <w:widowControl w:val="0"/>
        <w:kinsoku/>
        <w:wordWrap/>
        <w:overflowPunct/>
        <w:topLinePunct w:val="0"/>
        <w:bidi w:val="0"/>
        <w:snapToGrid/>
        <w:spacing w:line="360" w:lineRule="atLeas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zh-CN" w:eastAsia="zh-CN" w:bidi="ar-SA"/>
        </w:rPr>
        <w:t>公益一类事业单位不属于政府购买服务的承接主体，不得参与承接购买服务；</w:t>
      </w:r>
    </w:p>
    <w:p>
      <w:pPr>
        <w:pStyle w:val="13"/>
        <w:shd w:val="clear" w:color="auto" w:fill="FFFFFF"/>
        <w:spacing w:beforeAutospacing="0" w:afterAutospacing="0"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2、特定资格条件： 无</w:t>
      </w:r>
    </w:p>
    <w:p>
      <w:pPr>
        <w:pStyle w:val="13"/>
        <w:shd w:val="clear" w:color="auto" w:fill="FFFFFF"/>
        <w:spacing w:beforeAutospacing="0" w:afterAutospacing="0" w:line="360" w:lineRule="auto"/>
        <w:ind w:firstLine="480" w:firstLineChars="200"/>
        <w:rPr>
          <w:rFonts w:hint="eastAsia" w:ascii="宋体" w:hAnsi="宋体" w:eastAsia="宋体" w:cs="宋体"/>
          <w:b/>
          <w:bCs/>
          <w:color w:val="auto"/>
          <w:kern w:val="2"/>
          <w:sz w:val="24"/>
          <w:szCs w:val="24"/>
          <w:lang w:val="zh-CN"/>
        </w:rPr>
      </w:pPr>
      <w:r>
        <w:rPr>
          <w:rFonts w:hint="eastAsia" w:ascii="宋体" w:hAnsi="宋体" w:eastAsia="宋体" w:cs="宋体"/>
          <w:color w:val="auto"/>
          <w:sz w:val="24"/>
          <w:szCs w:val="24"/>
          <w:shd w:val="clear" w:color="auto" w:fill="FFFFFF"/>
        </w:rPr>
        <w:t>3、本项目不接受联合体投标。</w:t>
      </w:r>
    </w:p>
    <w:p>
      <w:pPr>
        <w:pStyle w:val="13"/>
        <w:spacing w:before="150" w:beforeAutospacing="0" w:afterAutospacing="0" w:line="360" w:lineRule="auto"/>
        <w:ind w:firstLine="241" w:firstLineChars="100"/>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zh-CN"/>
        </w:rPr>
        <w:t>六、</w:t>
      </w:r>
      <w:r>
        <w:rPr>
          <w:rFonts w:hint="eastAsia" w:ascii="宋体" w:hAnsi="宋体" w:eastAsia="宋体" w:cs="宋体"/>
          <w:b/>
          <w:bCs/>
          <w:color w:val="auto"/>
          <w:kern w:val="2"/>
          <w:sz w:val="24"/>
          <w:szCs w:val="24"/>
        </w:rPr>
        <w:t>供应商报名时间及地点等：</w:t>
      </w:r>
    </w:p>
    <w:p>
      <w:pPr>
        <w:pStyle w:val="13"/>
        <w:spacing w:beforeAutospacing="0" w:afterAutospacing="0" w:line="360" w:lineRule="auto"/>
        <w:ind w:firstLine="42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地点：政采云平台（http://zfcg.czt.zj.gov.cn）</w:t>
      </w:r>
    </w:p>
    <w:p>
      <w:pPr>
        <w:pStyle w:val="13"/>
        <w:spacing w:beforeAutospacing="0" w:afterAutospacing="0" w:line="360" w:lineRule="auto"/>
        <w:ind w:firstLine="42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方式：本项目实行网上报名，不接受现场报名。供应商登录浙江政府采购网进行报名。《供应商网上报名操作指南》位置：“首页-办事指南-省采中心-网上报名”     （http://www.zjzfcg.gov.cn/bs_other/2018-03-30/12002.html?_=2018-03-30  11:40:47）；</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 xml:space="preserve">   网上报名需提交的文件资料:</w:t>
      </w:r>
    </w:p>
    <w:p>
      <w:pPr>
        <w:pStyle w:val="13"/>
        <w:spacing w:beforeAutospacing="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有效的营业执照复印件、法定代表人委托书或介绍信、授权代表身份证复印件和报名登记表（以上资料均需加盖公章，并经政采云系统上传）；</w:t>
      </w:r>
    </w:p>
    <w:p>
      <w:pPr>
        <w:pStyle w:val="13"/>
        <w:spacing w:beforeAutospacing="0" w:afterAutospacing="0" w:line="360" w:lineRule="auto"/>
        <w:ind w:firstLine="42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招标文件售价：0元</w:t>
      </w:r>
    </w:p>
    <w:p>
      <w:pPr>
        <w:pStyle w:val="13"/>
        <w:spacing w:beforeAutospacing="0" w:afterAutospacing="0" w:line="360" w:lineRule="auto"/>
        <w:ind w:left="239" w:leftChars="114"/>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七、投标截止时间：2020年 </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 xml:space="preserve">月 </w:t>
      </w:r>
      <w:r>
        <w:rPr>
          <w:rFonts w:hint="eastAsia" w:ascii="宋体" w:hAnsi="宋体" w:cs="宋体"/>
          <w:b/>
          <w:bCs/>
          <w:color w:val="auto"/>
          <w:sz w:val="24"/>
          <w:szCs w:val="24"/>
          <w:lang w:val="en-US" w:eastAsia="zh-CN"/>
        </w:rPr>
        <w:t>28</w:t>
      </w:r>
      <w:r>
        <w:rPr>
          <w:rFonts w:hint="eastAsia" w:ascii="宋体" w:hAnsi="宋体" w:eastAsia="宋体" w:cs="宋体"/>
          <w:b/>
          <w:bCs/>
          <w:color w:val="auto"/>
          <w:sz w:val="24"/>
          <w:szCs w:val="24"/>
        </w:rPr>
        <w:t>日 14时00分；</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 xml:space="preserve">八、开标时间：2020年 </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 xml:space="preserve">月 </w:t>
      </w:r>
      <w:r>
        <w:rPr>
          <w:rFonts w:hint="eastAsia" w:ascii="宋体" w:hAnsi="宋体" w:cs="宋体"/>
          <w:b/>
          <w:bCs/>
          <w:color w:val="auto"/>
          <w:sz w:val="24"/>
          <w:szCs w:val="24"/>
          <w:lang w:val="en-US" w:eastAsia="zh-CN"/>
        </w:rPr>
        <w:t>28</w:t>
      </w:r>
      <w:r>
        <w:rPr>
          <w:rFonts w:hint="eastAsia" w:ascii="宋体" w:hAnsi="宋体" w:eastAsia="宋体" w:cs="宋体"/>
          <w:b/>
          <w:bCs/>
          <w:color w:val="auto"/>
          <w:sz w:val="24"/>
          <w:szCs w:val="24"/>
        </w:rPr>
        <w:t>日 14时00分；</w:t>
      </w:r>
    </w:p>
    <w:p>
      <w:pPr>
        <w:pStyle w:val="13"/>
        <w:spacing w:beforeAutospacing="0" w:afterAutospacing="0" w:line="360" w:lineRule="auto"/>
        <w:ind w:firstLine="241" w:firstLineChars="100"/>
        <w:rPr>
          <w:rFonts w:hint="eastAsia" w:ascii="宋体" w:hAnsi="宋体" w:eastAsia="宋体" w:cs="宋体"/>
          <w:color w:val="auto"/>
          <w:kern w:val="2"/>
          <w:sz w:val="24"/>
          <w:szCs w:val="24"/>
        </w:rPr>
      </w:pPr>
      <w:r>
        <w:rPr>
          <w:rFonts w:hint="eastAsia" w:ascii="宋体" w:hAnsi="宋体" w:eastAsia="宋体" w:cs="宋体"/>
          <w:b/>
          <w:bCs/>
          <w:color w:val="auto"/>
          <w:sz w:val="24"/>
          <w:szCs w:val="24"/>
        </w:rPr>
        <w:t>九、开标地点：</w:t>
      </w:r>
      <w:r>
        <w:rPr>
          <w:rFonts w:hint="eastAsia" w:ascii="宋体" w:hAnsi="宋体" w:eastAsia="宋体" w:cs="宋体"/>
          <w:b/>
          <w:bCs/>
          <w:color w:val="auto"/>
          <w:sz w:val="24"/>
          <w:szCs w:val="24"/>
          <w:lang w:val="zh-CN"/>
        </w:rPr>
        <w:t>浙江联通工</w:t>
      </w:r>
      <w:r>
        <w:rPr>
          <w:rFonts w:hint="eastAsia" w:ascii="宋体" w:hAnsi="宋体" w:eastAsia="宋体" w:cs="宋体"/>
          <w:b/>
          <w:bCs/>
          <w:color w:val="auto"/>
          <w:kern w:val="2"/>
          <w:sz w:val="24"/>
          <w:szCs w:val="24"/>
          <w:lang w:val="zh-CN"/>
        </w:rPr>
        <w:t>程咨询有限公司（杭州市下城区绍兴路168号和平大厦</w:t>
      </w:r>
      <w:r>
        <w:rPr>
          <w:rFonts w:hint="eastAsia" w:ascii="宋体" w:hAnsi="宋体" w:eastAsia="宋体" w:cs="宋体"/>
          <w:b/>
          <w:bCs/>
          <w:color w:val="auto"/>
          <w:kern w:val="2"/>
          <w:sz w:val="24"/>
          <w:szCs w:val="24"/>
        </w:rPr>
        <w:t>8楼818室</w:t>
      </w:r>
      <w:r>
        <w:rPr>
          <w:rFonts w:hint="eastAsia" w:ascii="宋体" w:hAnsi="宋体" w:eastAsia="宋体" w:cs="宋体"/>
          <w:b/>
          <w:bCs/>
          <w:color w:val="auto"/>
          <w:kern w:val="2"/>
          <w:sz w:val="24"/>
          <w:szCs w:val="24"/>
          <w:lang w:val="zh-CN"/>
        </w:rPr>
        <w:t>）。</w:t>
      </w:r>
      <w:r>
        <w:rPr>
          <w:rFonts w:hint="eastAsia" w:ascii="宋体" w:hAnsi="宋体" w:eastAsia="宋体" w:cs="宋体"/>
          <w:b/>
          <w:bCs/>
          <w:color w:val="auto"/>
          <w:kern w:val="2"/>
          <w:sz w:val="24"/>
          <w:szCs w:val="24"/>
          <w:lang w:val="zh-CN"/>
        </w:rPr>
        <w:br w:type="textWrapping"/>
      </w:r>
      <w:r>
        <w:rPr>
          <w:rFonts w:hint="eastAsia" w:ascii="宋体" w:hAnsi="宋体" w:eastAsia="宋体" w:cs="宋体"/>
          <w:b/>
          <w:bCs/>
          <w:color w:val="auto"/>
          <w:kern w:val="2"/>
          <w:sz w:val="24"/>
          <w:szCs w:val="24"/>
        </w:rPr>
        <w:t xml:space="preserve">  </w:t>
      </w:r>
      <w:r>
        <w:rPr>
          <w:rFonts w:hint="eastAsia" w:ascii="宋体" w:hAnsi="宋体" w:eastAsia="宋体" w:cs="宋体"/>
          <w:b/>
          <w:bCs/>
          <w:color w:val="auto"/>
          <w:kern w:val="2"/>
          <w:sz w:val="24"/>
          <w:szCs w:val="24"/>
          <w:lang w:val="zh-CN"/>
        </w:rPr>
        <w:t>十、投标保证金：本项目不需要交纳投标保证金。</w:t>
      </w:r>
    </w:p>
    <w:p>
      <w:pPr>
        <w:pStyle w:val="4"/>
        <w:spacing w:line="360"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十一、投标说明:</w:t>
      </w:r>
    </w:p>
    <w:p>
      <w:pPr>
        <w:pStyle w:val="4"/>
        <w:spacing w:line="360" w:lineRule="auto"/>
        <w:ind w:firstLine="434" w:firstLineChars="181"/>
        <w:rPr>
          <w:rFonts w:hint="eastAsia" w:ascii="宋体" w:hAnsi="宋体" w:eastAsia="宋体" w:cs="宋体"/>
          <w:color w:val="auto"/>
          <w:sz w:val="24"/>
          <w:szCs w:val="24"/>
        </w:rPr>
      </w:pPr>
      <w:r>
        <w:rPr>
          <w:rFonts w:hint="eastAsia" w:ascii="宋体" w:hAnsi="宋体" w:eastAsia="宋体" w:cs="宋体"/>
          <w:color w:val="auto"/>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4"/>
        <w:spacing w:line="360" w:lineRule="auto"/>
        <w:ind w:firstLine="434" w:firstLineChars="181"/>
        <w:rPr>
          <w:rFonts w:hint="eastAsia" w:ascii="宋体" w:hAnsi="宋体" w:eastAsia="宋体" w:cs="宋体"/>
          <w:color w:val="auto"/>
          <w:sz w:val="24"/>
          <w:szCs w:val="24"/>
        </w:rPr>
      </w:pPr>
      <w:r>
        <w:rPr>
          <w:rFonts w:hint="eastAsia" w:ascii="宋体" w:hAnsi="宋体" w:eastAsia="宋体" w:cs="宋体"/>
          <w:color w:val="auto"/>
          <w:sz w:val="24"/>
          <w:szCs w:val="24"/>
        </w:rPr>
        <w:t>（2）投标人应在开标前完成CA数字证书办理。（办理流程详见http://www.zjzfcg.gov.cn/bidClientTemplate/2019-05-27/12945.html）。</w:t>
      </w:r>
    </w:p>
    <w:p>
      <w:pPr>
        <w:pStyle w:val="4"/>
        <w:spacing w:line="360" w:lineRule="auto"/>
        <w:ind w:firstLine="434" w:firstLineChars="181"/>
        <w:rPr>
          <w:rFonts w:hint="eastAsia" w:ascii="宋体" w:hAnsi="宋体" w:eastAsia="宋体" w:cs="宋体"/>
          <w:color w:val="auto"/>
          <w:sz w:val="24"/>
          <w:szCs w:val="24"/>
        </w:rPr>
      </w:pPr>
      <w:r>
        <w:rPr>
          <w:rFonts w:hint="eastAsia" w:ascii="宋体" w:hAnsi="宋体" w:eastAsia="宋体" w:cs="宋体"/>
          <w:color w:val="auto"/>
          <w:sz w:val="24"/>
          <w:szCs w:val="24"/>
        </w:rPr>
        <w:t>（3）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pStyle w:val="13"/>
        <w:spacing w:beforeAutospacing="0" w:afterAutospacing="0" w:line="360" w:lineRule="auto"/>
        <w:ind w:firstLine="42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rPr>
        <w:t>（4）</w:t>
      </w:r>
      <w:r>
        <w:rPr>
          <w:rFonts w:hint="eastAsia" w:ascii="宋体" w:hAnsi="宋体" w:eastAsia="宋体" w:cs="宋体"/>
          <w:color w:val="auto"/>
          <w:kern w:val="2"/>
          <w:sz w:val="24"/>
          <w:szCs w:val="24"/>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13"/>
        <w:spacing w:beforeAutospacing="0" w:afterAutospacing="0" w:line="360" w:lineRule="auto"/>
        <w:ind w:firstLine="42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rPr>
        <w:t>5</w:t>
      </w:r>
      <w:r>
        <w:rPr>
          <w:rFonts w:hint="eastAsia" w:ascii="宋体" w:hAnsi="宋体" w:eastAsia="宋体" w:cs="宋体"/>
          <w:color w:val="auto"/>
          <w:kern w:val="2"/>
          <w:sz w:val="24"/>
          <w:szCs w:val="24"/>
          <w:lang w:val="zh-CN"/>
        </w:rPr>
        <w:t>）投标人应当在投标截止时间前将以介质存储的数据电文形式的备份投标文件密封送交到浙江联通工程咨询有限公司（杭州市下城区绍兴路168号和平大厦8楼818室），逾期送达或未密封将被拒收。</w:t>
      </w:r>
    </w:p>
    <w:p>
      <w:pPr>
        <w:pStyle w:val="4"/>
        <w:spacing w:line="360" w:lineRule="auto"/>
        <w:ind w:left="525" w:leftChars="228" w:hanging="46" w:hangingChars="19"/>
        <w:rPr>
          <w:rFonts w:hint="eastAsia" w:ascii="宋体" w:hAnsi="宋体" w:eastAsia="宋体" w:cs="宋体"/>
          <w:color w:val="auto"/>
          <w:kern w:val="0"/>
          <w:sz w:val="24"/>
          <w:szCs w:val="24"/>
        </w:rPr>
      </w:pPr>
      <w:r>
        <w:rPr>
          <w:rFonts w:hint="eastAsia" w:ascii="宋体" w:hAnsi="宋体" w:eastAsia="宋体" w:cs="宋体"/>
          <w:b/>
          <w:bCs/>
          <w:color w:val="auto"/>
          <w:sz w:val="24"/>
          <w:szCs w:val="24"/>
        </w:rPr>
        <w:t>十二、</w:t>
      </w:r>
      <w:r>
        <w:rPr>
          <w:rFonts w:hint="eastAsia" w:ascii="宋体" w:hAnsi="宋体" w:eastAsia="宋体" w:cs="宋体"/>
          <w:b/>
          <w:bCs/>
          <w:color w:val="auto"/>
          <w:kern w:val="0"/>
          <w:sz w:val="24"/>
          <w:szCs w:val="24"/>
        </w:rPr>
        <w:t>其他事项：</w:t>
      </w:r>
      <w:r>
        <w:rPr>
          <w:rFonts w:hint="eastAsia" w:ascii="宋体" w:hAnsi="宋体" w:eastAsia="宋体" w:cs="宋体"/>
          <w:b/>
          <w:bCs/>
          <w:color w:val="auto"/>
          <w:kern w:val="0"/>
          <w:sz w:val="24"/>
          <w:szCs w:val="24"/>
        </w:rPr>
        <w:br w:type="textWrapping"/>
      </w:r>
      <w:r>
        <w:rPr>
          <w:rFonts w:hint="eastAsia" w:ascii="宋体" w:hAnsi="宋体" w:eastAsia="宋体" w:cs="宋体"/>
          <w:color w:val="auto"/>
          <w:kern w:val="0"/>
          <w:sz w:val="24"/>
          <w:szCs w:val="24"/>
        </w:rPr>
        <w:t>1、本项目公告期限：5个工作日。</w:t>
      </w:r>
    </w:p>
    <w:p>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2、投标人</w:t>
      </w:r>
      <w:r>
        <w:rPr>
          <w:rFonts w:hint="eastAsia" w:ascii="宋体" w:hAnsi="宋体" w:eastAsia="宋体" w:cs="宋体"/>
          <w:color w:val="auto"/>
          <w:sz w:val="24"/>
          <w:szCs w:val="24"/>
        </w:rPr>
        <w:t>如认为招标公告信息使自身的合法权益受到损害的，应于自招标公告发布之日起七个工作日内以书面形式向招标人或招标代理机构提出质疑；</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3、潜在投标人可在浙江政府招标网http://www.zjzfcg.gov.cn进行免费注册，具体详见浙江政府招标网供应商注册要求；</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4、投标人认为招标文件、招标过程和中标、成交结果使自己的权益受到损害的，可以在知道或者应知其权益受到损害之日起七个工作日内，以书面形式向</w:t>
      </w:r>
      <w:r>
        <w:rPr>
          <w:rFonts w:hint="eastAsia" w:ascii="宋体" w:hAnsi="宋体" w:eastAsia="宋体" w:cs="宋体"/>
          <w:color w:val="auto"/>
          <w:sz w:val="24"/>
          <w:szCs w:val="24"/>
        </w:rPr>
        <w:t>招标人或招标代理机构</w:t>
      </w:r>
      <w:r>
        <w:rPr>
          <w:rFonts w:hint="eastAsia" w:ascii="宋体" w:hAnsi="宋体" w:eastAsia="宋体" w:cs="宋体"/>
          <w:color w:val="auto"/>
          <w:kern w:val="0"/>
          <w:sz w:val="24"/>
          <w:szCs w:val="24"/>
        </w:rPr>
        <w:t>提出质疑。（对招标文件提出质疑的，质疑期限为供应商获得招标文件之日或者招标文件公告期限届满之日起计算。招标文件公告期限届满之日后获得的，应当自招标文件公告期限届满之日起计算，且应当在采购响应截止时间之前提出。）</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5、书面质疑受理地点：杭州市下城区绍兴路168号和平大厦8楼819室；联系人：刘中秀；联系电话：0571-58565391。</w:t>
      </w:r>
    </w:p>
    <w:p>
      <w:pPr>
        <w:widowControl/>
        <w:spacing w:line="360" w:lineRule="auto"/>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十三、联系方式</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1、招标人</w:t>
      </w:r>
    </w:p>
    <w:p>
      <w:pPr>
        <w:pStyle w:val="13"/>
        <w:shd w:val="clear" w:color="auto" w:fill="FFFFFF"/>
        <w:spacing w:beforeAutospacing="0" w:afterAutospacing="0"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招标人名称：</w:t>
      </w:r>
      <w:r>
        <w:rPr>
          <w:rFonts w:hint="eastAsia" w:ascii="宋体" w:hAnsi="宋体" w:eastAsia="宋体" w:cs="宋体"/>
          <w:color w:val="auto"/>
          <w:sz w:val="24"/>
          <w:szCs w:val="24"/>
        </w:rPr>
        <w:t>杭州市射击射箭运动中心</w:t>
      </w:r>
    </w:p>
    <w:p>
      <w:pPr>
        <w:pStyle w:val="13"/>
        <w:shd w:val="clear" w:color="auto" w:fill="FFFFFF"/>
        <w:spacing w:beforeAutospacing="0" w:afterAutospacing="0"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地址：</w:t>
      </w:r>
      <w:r>
        <w:rPr>
          <w:rFonts w:hint="eastAsia" w:ascii="宋体" w:hAnsi="宋体" w:eastAsia="宋体" w:cs="宋体"/>
          <w:color w:val="auto"/>
          <w:sz w:val="24"/>
          <w:szCs w:val="24"/>
        </w:rPr>
        <w:t xml:space="preserve">西溪路858号 </w:t>
      </w:r>
    </w:p>
    <w:p>
      <w:pPr>
        <w:pStyle w:val="13"/>
        <w:shd w:val="clear" w:color="auto" w:fill="FFFFFF"/>
        <w:spacing w:beforeAutospacing="0" w:afterAutospacing="0" w:line="400" w:lineRule="exact"/>
        <w:ind w:firstLine="42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联系人：</w:t>
      </w:r>
      <w:r>
        <w:rPr>
          <w:rFonts w:hint="eastAsia" w:ascii="宋体" w:hAnsi="宋体" w:cs="宋体"/>
          <w:color w:val="auto"/>
          <w:sz w:val="24"/>
          <w:szCs w:val="24"/>
          <w:shd w:val="clear" w:color="auto" w:fill="FFFFFF"/>
          <w:lang w:eastAsia="zh-CN"/>
        </w:rPr>
        <w:t>杨志铖</w:t>
      </w:r>
    </w:p>
    <w:p>
      <w:pPr>
        <w:pStyle w:val="13"/>
        <w:shd w:val="clear" w:color="auto" w:fill="FFFFFF"/>
        <w:spacing w:beforeAutospacing="0" w:afterAutospacing="0" w:line="400" w:lineRule="exact"/>
        <w:ind w:firstLine="420"/>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联系电话：</w:t>
      </w:r>
      <w:r>
        <w:rPr>
          <w:rFonts w:hint="eastAsia" w:ascii="宋体" w:hAnsi="宋体" w:cs="宋体"/>
          <w:i w:val="0"/>
          <w:caps w:val="0"/>
          <w:color w:val="auto"/>
          <w:spacing w:val="0"/>
          <w:sz w:val="24"/>
          <w:szCs w:val="24"/>
          <w:shd w:val="clear" w:fill="FFFFFF"/>
          <w:lang w:val="en-US" w:eastAsia="zh-CN"/>
        </w:rPr>
        <w:t>1596888961</w:t>
      </w:r>
    </w:p>
    <w:p>
      <w:pPr>
        <w:pStyle w:val="13"/>
        <w:shd w:val="clear" w:color="auto" w:fill="FFFFFF"/>
        <w:spacing w:beforeAutospacing="0" w:afterAutospacing="0" w:line="400" w:lineRule="exact"/>
        <w:ind w:firstLine="42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质疑接收人：</w:t>
      </w:r>
      <w:r>
        <w:rPr>
          <w:rFonts w:hint="eastAsia" w:ascii="宋体" w:hAnsi="宋体" w:cs="宋体"/>
          <w:color w:val="auto"/>
          <w:sz w:val="24"/>
          <w:szCs w:val="24"/>
          <w:shd w:val="clear" w:color="auto" w:fill="FFFFFF"/>
          <w:lang w:eastAsia="zh-CN"/>
        </w:rPr>
        <w:t>杨工</w:t>
      </w:r>
    </w:p>
    <w:p>
      <w:pPr>
        <w:pStyle w:val="13"/>
        <w:shd w:val="clear" w:color="auto" w:fill="FFFFFF"/>
        <w:spacing w:beforeAutospacing="0" w:afterAutospacing="0" w:line="400" w:lineRule="exact"/>
        <w:ind w:firstLine="420"/>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FFFFFF"/>
        </w:rPr>
        <w:t>联系电话：</w:t>
      </w:r>
      <w:r>
        <w:rPr>
          <w:rFonts w:hint="eastAsia" w:ascii="宋体" w:hAnsi="宋体" w:eastAsia="宋体" w:cs="宋体"/>
          <w:i w:val="0"/>
          <w:caps w:val="0"/>
          <w:color w:val="auto"/>
          <w:spacing w:val="0"/>
          <w:sz w:val="24"/>
          <w:szCs w:val="24"/>
          <w:shd w:val="clear" w:fill="FFFFFF"/>
        </w:rPr>
        <w:t>87173229</w:t>
      </w:r>
      <w:r>
        <w:rPr>
          <w:rFonts w:hint="eastAsia" w:ascii="宋体" w:hAnsi="宋体" w:eastAsia="宋体" w:cs="宋体"/>
          <w:color w:val="auto"/>
          <w:kern w:val="0"/>
          <w:sz w:val="24"/>
          <w:szCs w:val="24"/>
        </w:rPr>
        <w:t>2</w:t>
      </w:r>
    </w:p>
    <w:p>
      <w:pPr>
        <w:pStyle w:val="13"/>
        <w:shd w:val="clear" w:color="auto" w:fill="FFFFFF"/>
        <w:spacing w:beforeAutospacing="0" w:afterAutospacing="0" w:line="400" w:lineRule="exact"/>
        <w:ind w:firstLine="42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招标代理机构</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招标代理机构名称：浙江联通工程咨询有限公司</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地址：杭州市下城区绍兴路168号和平大厦819室</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联系人：李俊</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联系电话：0571-85865391</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传真：0571-85865255</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3、同级政府招标监督管理部门</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同级政府招标监督管理部门：杭州市财政局</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地址：杭州市中河中路152号杭州市财税大楼</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投诉受理人：吕先生</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联系电话：0571-87715261</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传真：057187233325</w:t>
      </w:r>
    </w:p>
    <w:p>
      <w:pPr>
        <w:widowControl/>
        <w:spacing w:line="360" w:lineRule="auto"/>
        <w:ind w:firstLine="480" w:firstLineChars="200"/>
        <w:jc w:val="left"/>
        <w:rPr>
          <w:rFonts w:hint="eastAsia" w:ascii="宋体" w:hAnsi="宋体" w:eastAsia="宋体" w:cs="宋体"/>
          <w:color w:val="auto"/>
          <w:kern w:val="0"/>
          <w:sz w:val="24"/>
          <w:szCs w:val="24"/>
        </w:rPr>
      </w:pPr>
    </w:p>
    <w:p>
      <w:pPr>
        <w:pStyle w:val="6"/>
        <w:spacing w:after="0" w:line="360" w:lineRule="auto"/>
        <w:ind w:firstLine="4680" w:firstLineChars="195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杭州市射击射箭运动中心</w:t>
      </w:r>
    </w:p>
    <w:p>
      <w:pPr>
        <w:pStyle w:val="6"/>
        <w:spacing w:after="0" w:line="360" w:lineRule="auto"/>
        <w:ind w:firstLine="4680" w:firstLineChars="195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浙江联通工程咨询有限公司</w:t>
      </w:r>
    </w:p>
    <w:p>
      <w:pPr>
        <w:wordWrap w:val="0"/>
        <w:spacing w:line="360" w:lineRule="auto"/>
        <w:ind w:firstLine="5400" w:firstLineChars="2250"/>
        <w:jc w:val="right"/>
        <w:rPr>
          <w:rFonts w:ascii="宋体"/>
          <w:color w:val="auto"/>
          <w:sz w:val="24"/>
          <w:szCs w:val="24"/>
        </w:rPr>
      </w:pPr>
      <w:r>
        <w:rPr>
          <w:rFonts w:ascii="宋体" w:hAnsi="宋体" w:cs="宋体"/>
          <w:color w:val="auto"/>
          <w:kern w:val="0"/>
          <w:sz w:val="24"/>
          <w:szCs w:val="24"/>
        </w:rPr>
        <w:t>2020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5</w:t>
      </w:r>
      <w:bookmarkStart w:id="107" w:name="_GoBack"/>
      <w:bookmarkEnd w:id="107"/>
      <w:r>
        <w:rPr>
          <w:rFonts w:hint="eastAsia" w:ascii="宋体" w:hAnsi="宋体" w:cs="宋体"/>
          <w:color w:val="auto"/>
          <w:kern w:val="0"/>
          <w:sz w:val="24"/>
          <w:szCs w:val="24"/>
        </w:rPr>
        <w:t>月</w:t>
      </w:r>
    </w:p>
    <w:p>
      <w:pPr>
        <w:spacing w:line="360" w:lineRule="auto"/>
        <w:jc w:val="center"/>
        <w:outlineLvl w:val="0"/>
        <w:rPr>
          <w:rFonts w:ascii="宋体"/>
          <w:b/>
          <w:bCs/>
          <w:color w:val="auto"/>
          <w:sz w:val="36"/>
          <w:szCs w:val="36"/>
        </w:rPr>
      </w:pPr>
      <w:r>
        <w:rPr>
          <w:rFonts w:ascii="宋体"/>
          <w:b/>
          <w:bCs/>
          <w:color w:val="auto"/>
          <w:sz w:val="32"/>
          <w:szCs w:val="32"/>
        </w:rPr>
        <w:br w:type="page"/>
      </w:r>
      <w:bookmarkStart w:id="9" w:name="_Toc351898255"/>
      <w:bookmarkStart w:id="10" w:name="_Toc394001371"/>
      <w:r>
        <w:rPr>
          <w:rFonts w:hint="eastAsia" w:ascii="宋体" w:hAnsi="宋体" w:cs="宋体"/>
          <w:b/>
          <w:bCs/>
          <w:color w:val="auto"/>
          <w:sz w:val="36"/>
          <w:szCs w:val="36"/>
        </w:rPr>
        <w:t>第二部分</w:t>
      </w:r>
      <w:r>
        <w:rPr>
          <w:rFonts w:ascii="宋体" w:hAnsi="宋体" w:cs="宋体"/>
          <w:b/>
          <w:bCs/>
          <w:color w:val="auto"/>
          <w:sz w:val="36"/>
          <w:szCs w:val="36"/>
        </w:rPr>
        <w:t xml:space="preserve">  </w:t>
      </w:r>
      <w:bookmarkEnd w:id="9"/>
      <w:r>
        <w:rPr>
          <w:rFonts w:hint="eastAsia" w:ascii="宋体" w:hAnsi="宋体" w:cs="宋体"/>
          <w:b/>
          <w:bCs/>
          <w:color w:val="auto"/>
          <w:sz w:val="36"/>
          <w:szCs w:val="36"/>
        </w:rPr>
        <w:t>编制和提交投标文件须知</w:t>
      </w:r>
      <w:bookmarkEnd w:id="10"/>
    </w:p>
    <w:p>
      <w:pPr>
        <w:pStyle w:val="8"/>
        <w:spacing w:line="360" w:lineRule="auto"/>
        <w:jc w:val="center"/>
        <w:outlineLvl w:val="1"/>
        <w:rPr>
          <w:rFonts w:hAnsi="宋体" w:cs="Calibri"/>
          <w:b/>
          <w:bCs/>
          <w:color w:val="auto"/>
          <w:sz w:val="32"/>
          <w:szCs w:val="32"/>
        </w:rPr>
      </w:pPr>
      <w:bookmarkStart w:id="11" w:name="_Toc394001372"/>
      <w:r>
        <w:rPr>
          <w:rFonts w:hint="eastAsia" w:hAnsi="宋体"/>
          <w:b/>
          <w:bCs/>
          <w:color w:val="auto"/>
          <w:sz w:val="32"/>
          <w:szCs w:val="32"/>
        </w:rPr>
        <w:t>前</w:t>
      </w:r>
      <w:r>
        <w:rPr>
          <w:rFonts w:hAnsi="宋体"/>
          <w:b/>
          <w:bCs/>
          <w:color w:val="auto"/>
          <w:sz w:val="32"/>
          <w:szCs w:val="32"/>
        </w:rPr>
        <w:t xml:space="preserve"> </w:t>
      </w:r>
      <w:r>
        <w:rPr>
          <w:rFonts w:hint="eastAsia" w:hAnsi="宋体"/>
          <w:b/>
          <w:bCs/>
          <w:color w:val="auto"/>
          <w:sz w:val="32"/>
          <w:szCs w:val="32"/>
        </w:rPr>
        <w:t>附</w:t>
      </w:r>
      <w:r>
        <w:rPr>
          <w:rFonts w:hAnsi="宋体"/>
          <w:b/>
          <w:bCs/>
          <w:color w:val="auto"/>
          <w:sz w:val="32"/>
          <w:szCs w:val="32"/>
        </w:rPr>
        <w:t xml:space="preserve"> </w:t>
      </w:r>
      <w:r>
        <w:rPr>
          <w:rFonts w:hint="eastAsia" w:hAnsi="宋体"/>
          <w:b/>
          <w:bCs/>
          <w:color w:val="auto"/>
          <w:sz w:val="32"/>
          <w:szCs w:val="32"/>
        </w:rPr>
        <w:t>表</w:t>
      </w:r>
      <w:bookmarkEnd w:id="11"/>
    </w:p>
    <w:tbl>
      <w:tblPr>
        <w:tblStyle w:val="14"/>
        <w:tblW w:w="4998" w:type="pct"/>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75"/>
        <w:gridCol w:w="1023"/>
        <w:gridCol w:w="6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44" w:type="pct"/>
            <w:tcBorders>
              <w:top w:val="single" w:color="000000" w:sz="8"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color w:val="auto"/>
                <w:sz w:val="24"/>
                <w:szCs w:val="24"/>
              </w:rPr>
            </w:pPr>
            <w:r>
              <w:rPr>
                <w:rFonts w:hint="eastAsia" w:ascii="宋体" w:hAnsi="宋体" w:cs="宋体"/>
                <w:color w:val="auto"/>
                <w:sz w:val="24"/>
                <w:szCs w:val="24"/>
              </w:rPr>
              <w:t>条款</w:t>
            </w:r>
          </w:p>
        </w:tc>
        <w:tc>
          <w:tcPr>
            <w:tcW w:w="4655" w:type="pct"/>
            <w:gridSpan w:val="2"/>
            <w:tcBorders>
              <w:top w:val="single" w:color="000000" w:sz="8" w:space="0"/>
              <w:left w:val="single" w:color="000000" w:sz="2" w:space="0"/>
              <w:bottom w:val="single" w:color="000000" w:sz="2" w:space="0"/>
              <w:right w:val="single" w:color="000000" w:sz="8" w:space="0"/>
            </w:tcBorders>
            <w:vAlign w:val="center"/>
          </w:tcPr>
          <w:p>
            <w:pPr>
              <w:adjustRightInd w:val="0"/>
              <w:snapToGrid w:val="0"/>
              <w:spacing w:line="360" w:lineRule="auto"/>
              <w:jc w:val="center"/>
              <w:rPr>
                <w:rFonts w:ascii="宋体"/>
                <w:b/>
                <w:bCs/>
                <w:color w:val="auto"/>
                <w:sz w:val="24"/>
                <w:szCs w:val="24"/>
              </w:rPr>
            </w:pPr>
            <w:r>
              <w:rPr>
                <w:rFonts w:hint="eastAsia" w:ascii="宋体" w:hAnsi="宋体" w:cs="宋体"/>
                <w:b/>
                <w:bCs/>
                <w:color w:val="auto"/>
                <w:sz w:val="24"/>
                <w:szCs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1</w:t>
            </w:r>
          </w:p>
        </w:tc>
        <w:tc>
          <w:tcPr>
            <w:tcW w:w="4655" w:type="pct"/>
            <w:gridSpan w:val="2"/>
            <w:tcBorders>
              <w:top w:val="single" w:color="000000" w:sz="2" w:space="0"/>
              <w:left w:val="single" w:color="000000" w:sz="2" w:space="0"/>
              <w:bottom w:val="single" w:color="000000" w:sz="2" w:space="0"/>
              <w:right w:val="single" w:color="000000" w:sz="8" w:space="0"/>
            </w:tcBorders>
          </w:tcPr>
          <w:p>
            <w:pPr>
              <w:adjustRightInd w:val="0"/>
              <w:snapToGrid w:val="0"/>
              <w:spacing w:line="360" w:lineRule="auto"/>
              <w:jc w:val="center"/>
              <w:rPr>
                <w:rFonts w:ascii="宋体"/>
                <w:b/>
                <w:bCs/>
                <w:color w:val="auto"/>
                <w:sz w:val="24"/>
                <w:szCs w:val="24"/>
              </w:rPr>
            </w:pPr>
            <w:r>
              <w:rPr>
                <w:rFonts w:hint="eastAsia" w:ascii="宋体" w:hAnsi="宋体" w:cs="宋体"/>
                <w:b/>
                <w:bCs/>
                <w:color w:val="auto"/>
                <w:sz w:val="24"/>
                <w:szCs w:val="24"/>
              </w:rPr>
              <w:t>项目说明</w:t>
            </w:r>
          </w:p>
          <w:p>
            <w:pPr>
              <w:spacing w:line="360" w:lineRule="auto"/>
              <w:rPr>
                <w:rFonts w:ascii="宋体"/>
                <w:color w:val="auto"/>
                <w:sz w:val="24"/>
                <w:szCs w:val="24"/>
                <w:lang w:val="en-GB"/>
              </w:rPr>
            </w:pPr>
            <w:r>
              <w:rPr>
                <w:rFonts w:hint="eastAsia" w:ascii="宋体" w:hAnsi="宋体" w:cs="宋体"/>
                <w:b/>
                <w:bCs/>
                <w:color w:val="auto"/>
                <w:sz w:val="24"/>
                <w:szCs w:val="24"/>
              </w:rPr>
              <w:t>一、</w:t>
            </w:r>
            <w:r>
              <w:rPr>
                <w:rFonts w:hint="eastAsia" w:ascii="宋体" w:hAnsi="宋体" w:cs="宋体"/>
                <w:b/>
                <w:bCs/>
                <w:color w:val="auto"/>
                <w:sz w:val="24"/>
                <w:szCs w:val="24"/>
                <w:lang w:val="zh-CN"/>
              </w:rPr>
              <w:t>项目名称：</w:t>
            </w:r>
            <w:r>
              <w:rPr>
                <w:rFonts w:ascii="宋体" w:hAnsi="宋体" w:cs="宋体"/>
                <w:color w:val="auto"/>
                <w:sz w:val="24"/>
                <w:szCs w:val="24"/>
                <w:lang w:val="en-GB"/>
              </w:rPr>
              <w:t>2020</w:t>
            </w:r>
            <w:r>
              <w:rPr>
                <w:rFonts w:hint="eastAsia" w:ascii="宋体" w:hAnsi="宋体" w:cs="宋体"/>
                <w:color w:val="auto"/>
                <w:sz w:val="24"/>
                <w:szCs w:val="24"/>
                <w:lang w:val="en-GB"/>
              </w:rPr>
              <w:t>年枪弹库智能管理系统升级改造项目</w:t>
            </w:r>
          </w:p>
          <w:p>
            <w:pPr>
              <w:pStyle w:val="8"/>
              <w:spacing w:line="360" w:lineRule="auto"/>
              <w:outlineLvl w:val="1"/>
              <w:rPr>
                <w:rFonts w:hAnsi="宋体" w:cs="Calibri"/>
                <w:color w:val="auto"/>
                <w:kern w:val="2"/>
                <w:sz w:val="24"/>
                <w:szCs w:val="24"/>
                <w:lang w:val="zh-CN"/>
              </w:rPr>
            </w:pPr>
            <w:r>
              <w:rPr>
                <w:rFonts w:hint="eastAsia" w:hAnsi="宋体"/>
                <w:b/>
                <w:bCs/>
                <w:color w:val="auto"/>
                <w:kern w:val="2"/>
                <w:sz w:val="24"/>
                <w:szCs w:val="24"/>
              </w:rPr>
              <w:t>二、主要要求</w:t>
            </w:r>
            <w:r>
              <w:rPr>
                <w:rFonts w:hint="eastAsia" w:hAnsi="宋体"/>
                <w:b/>
                <w:bCs/>
                <w:color w:val="auto"/>
                <w:kern w:val="2"/>
                <w:sz w:val="24"/>
                <w:szCs w:val="24"/>
                <w:lang w:val="zh-CN"/>
              </w:rPr>
              <w:t>：</w:t>
            </w:r>
            <w:r>
              <w:rPr>
                <w:rFonts w:hint="eastAsia" w:hAnsi="宋体"/>
                <w:color w:val="auto"/>
                <w:kern w:val="2"/>
                <w:sz w:val="24"/>
                <w:szCs w:val="24"/>
              </w:rPr>
              <w:t>详见第三部分</w:t>
            </w:r>
            <w:r>
              <w:rPr>
                <w:rFonts w:hAnsi="宋体"/>
                <w:color w:val="auto"/>
                <w:kern w:val="2"/>
                <w:sz w:val="24"/>
                <w:szCs w:val="24"/>
              </w:rPr>
              <w:t>——</w:t>
            </w:r>
            <w:r>
              <w:rPr>
                <w:rFonts w:hint="eastAsia" w:hAnsi="宋体"/>
                <w:color w:val="auto"/>
                <w:kern w:val="2"/>
                <w:sz w:val="24"/>
                <w:szCs w:val="24"/>
              </w:rPr>
              <w:t>项目技术规范和服务要求。</w:t>
            </w:r>
          </w:p>
          <w:p>
            <w:pPr>
              <w:adjustRightInd w:val="0"/>
              <w:snapToGrid w:val="0"/>
              <w:spacing w:line="360" w:lineRule="auto"/>
              <w:rPr>
                <w:rFonts w:ascii="宋体"/>
                <w:color w:val="auto"/>
                <w:sz w:val="24"/>
                <w:szCs w:val="24"/>
              </w:rPr>
            </w:pPr>
            <w:r>
              <w:rPr>
                <w:rFonts w:hint="eastAsia" w:ascii="宋体" w:hAnsi="宋体" w:cs="宋体"/>
                <w:b/>
                <w:bCs/>
                <w:color w:val="auto"/>
                <w:kern w:val="0"/>
                <w:sz w:val="24"/>
                <w:szCs w:val="24"/>
                <w:lang w:val="zh-CN"/>
              </w:rPr>
              <w:t>三、</w:t>
            </w:r>
            <w:r>
              <w:rPr>
                <w:rFonts w:hint="eastAsia" w:ascii="宋体" w:hAnsi="宋体" w:cs="宋体"/>
                <w:b/>
                <w:bCs/>
                <w:color w:val="auto"/>
                <w:sz w:val="24"/>
                <w:szCs w:val="24"/>
                <w:lang w:val="zh-CN"/>
              </w:rPr>
              <w:t>项目预算：人民币</w:t>
            </w:r>
            <w:r>
              <w:rPr>
                <w:rFonts w:ascii="宋体" w:hAnsi="宋体" w:cs="宋体"/>
                <w:b/>
                <w:bCs/>
                <w:color w:val="auto"/>
                <w:sz w:val="24"/>
                <w:szCs w:val="24"/>
              </w:rPr>
              <w:t>59.31</w:t>
            </w:r>
            <w:r>
              <w:rPr>
                <w:rFonts w:hint="eastAsia" w:ascii="宋体" w:hAnsi="宋体" w:cs="宋体"/>
                <w:b/>
                <w:bCs/>
                <w:color w:val="auto"/>
                <w:sz w:val="24"/>
                <w:szCs w:val="24"/>
                <w:lang w:val="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2</w:t>
            </w:r>
          </w:p>
        </w:tc>
        <w:tc>
          <w:tcPr>
            <w:tcW w:w="612" w:type="pct"/>
            <w:tcBorders>
              <w:top w:val="single" w:color="000000" w:sz="2" w:space="0"/>
              <w:left w:val="single" w:color="000000" w:sz="2" w:space="0"/>
              <w:bottom w:val="single" w:color="000000" w:sz="2" w:space="0"/>
              <w:right w:val="single" w:color="auto" w:sz="4" w:space="0"/>
            </w:tcBorders>
            <w:vAlign w:val="center"/>
          </w:tcPr>
          <w:p>
            <w:pPr>
              <w:adjustRightInd w:val="0"/>
              <w:snapToGrid w:val="0"/>
              <w:spacing w:line="360" w:lineRule="auto"/>
              <w:rPr>
                <w:rFonts w:ascii="宋体"/>
                <w:b/>
                <w:bCs/>
                <w:color w:val="auto"/>
                <w:sz w:val="24"/>
                <w:szCs w:val="24"/>
              </w:rPr>
            </w:pPr>
            <w:r>
              <w:rPr>
                <w:rFonts w:hint="eastAsia" w:ascii="宋体" w:hAnsi="宋体" w:cs="宋体"/>
                <w:b/>
                <w:bCs/>
                <w:color w:val="auto"/>
                <w:sz w:val="24"/>
                <w:szCs w:val="24"/>
              </w:rPr>
              <w:t>合同名称</w:t>
            </w:r>
          </w:p>
        </w:tc>
        <w:tc>
          <w:tcPr>
            <w:tcW w:w="4043" w:type="pct"/>
            <w:tcBorders>
              <w:top w:val="single" w:color="000000" w:sz="2" w:space="0"/>
              <w:left w:val="single" w:color="auto" w:sz="4"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rPr>
            </w:pPr>
            <w:r>
              <w:rPr>
                <w:rFonts w:hint="eastAsia" w:ascii="宋体" w:hAnsi="宋体" w:cs="宋体"/>
                <w:color w:val="auto"/>
                <w:sz w:val="24"/>
                <w:szCs w:val="24"/>
              </w:rPr>
              <w:t>《</w:t>
            </w:r>
            <w:r>
              <w:rPr>
                <w:rFonts w:ascii="宋体" w:hAnsi="宋体" w:cs="宋体"/>
                <w:color w:val="auto"/>
                <w:sz w:val="24"/>
                <w:szCs w:val="24"/>
              </w:rPr>
              <w:t>2020</w:t>
            </w:r>
            <w:r>
              <w:rPr>
                <w:rFonts w:hint="eastAsia" w:ascii="宋体" w:hAnsi="宋体" w:cs="宋体"/>
                <w:color w:val="auto"/>
                <w:sz w:val="24"/>
                <w:szCs w:val="24"/>
              </w:rPr>
              <w:t>年枪弹库智能管理系统升级改造项目合同》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3</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color w:val="auto"/>
                <w:sz w:val="24"/>
                <w:szCs w:val="24"/>
              </w:rPr>
            </w:pPr>
            <w:r>
              <w:rPr>
                <w:rFonts w:hint="eastAsia" w:ascii="宋体" w:hAnsi="宋体" w:cs="宋体"/>
                <w:b/>
                <w:bCs/>
                <w:color w:val="auto"/>
                <w:sz w:val="24"/>
                <w:szCs w:val="24"/>
                <w:lang w:val="zh-CN"/>
              </w:rPr>
              <w:t>投标</w:t>
            </w:r>
            <w:r>
              <w:rPr>
                <w:rFonts w:hint="eastAsia" w:ascii="宋体" w:hAnsi="宋体" w:cs="宋体"/>
                <w:b/>
                <w:bCs/>
                <w:color w:val="auto"/>
                <w:sz w:val="24"/>
                <w:szCs w:val="24"/>
              </w:rPr>
              <w:t>有效期：</w:t>
            </w:r>
            <w:r>
              <w:rPr>
                <w:rFonts w:hint="eastAsia" w:ascii="宋体" w:hAnsi="宋体" w:cs="宋体"/>
                <w:color w:val="auto"/>
                <w:sz w:val="24"/>
                <w:szCs w:val="24"/>
              </w:rPr>
              <w:t>自投标截止日起</w:t>
            </w:r>
            <w:r>
              <w:rPr>
                <w:rFonts w:ascii="宋体" w:hAnsi="宋体" w:cs="宋体"/>
                <w:color w:val="auto"/>
                <w:sz w:val="24"/>
                <w:szCs w:val="24"/>
              </w:rPr>
              <w:t>90</w:t>
            </w:r>
            <w:r>
              <w:rPr>
                <w:rFonts w:hint="eastAsia" w:ascii="宋体" w:hAnsi="宋体" w:cs="宋体"/>
                <w:color w:val="auto"/>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4</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lang w:val="zh-CN"/>
              </w:rPr>
            </w:pPr>
            <w:r>
              <w:rPr>
                <w:rFonts w:hint="eastAsia" w:ascii="宋体" w:hAnsi="宋体" w:cs="宋体"/>
                <w:b/>
                <w:bCs/>
                <w:color w:val="auto"/>
                <w:sz w:val="24"/>
                <w:szCs w:val="24"/>
                <w:lang w:val="zh-CN"/>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5</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lang w:val="zh-CN"/>
              </w:rPr>
            </w:pPr>
            <w:r>
              <w:rPr>
                <w:rFonts w:hint="eastAsia" w:ascii="宋体" w:hAnsi="宋体" w:cs="宋体"/>
                <w:b/>
                <w:bCs/>
                <w:color w:val="auto"/>
                <w:sz w:val="24"/>
                <w:szCs w:val="24"/>
              </w:rPr>
              <w:t>投标文件的组成：</w:t>
            </w:r>
            <w:r>
              <w:rPr>
                <w:rFonts w:hint="eastAsia" w:ascii="宋体" w:hAnsi="宋体" w:cs="宋体"/>
                <w:color w:val="auto"/>
                <w:sz w:val="24"/>
                <w:szCs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6</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rPr>
            </w:pPr>
            <w:r>
              <w:rPr>
                <w:rFonts w:hint="eastAsia" w:ascii="宋体" w:hAnsi="宋体" w:cs="宋体"/>
                <w:b/>
                <w:bCs/>
                <w:color w:val="auto"/>
                <w:sz w:val="24"/>
                <w:szCs w:val="24"/>
              </w:rPr>
              <w:t>投标文件的编制：</w:t>
            </w:r>
            <w:r>
              <w:rPr>
                <w:rFonts w:hint="eastAsia" w:ascii="宋体" w:hAnsi="宋体" w:cs="宋体"/>
                <w:color w:val="auto"/>
                <w:sz w:val="24"/>
                <w:szCs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7</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rPr>
            </w:pPr>
            <w:r>
              <w:rPr>
                <w:rFonts w:hint="eastAsia" w:ascii="宋体" w:hAnsi="宋体" w:cs="宋体"/>
                <w:b/>
                <w:bCs/>
                <w:color w:val="auto"/>
                <w:sz w:val="24"/>
                <w:szCs w:val="24"/>
              </w:rPr>
              <w:t>投标文件的签章：</w:t>
            </w:r>
            <w:r>
              <w:rPr>
                <w:rFonts w:hint="eastAsia" w:ascii="宋体" w:hAnsi="宋体" w:cs="宋体"/>
                <w:color w:val="auto"/>
                <w:sz w:val="24"/>
                <w:szCs w:val="24"/>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8</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color w:val="auto"/>
                <w:sz w:val="24"/>
                <w:szCs w:val="24"/>
              </w:rPr>
            </w:pPr>
            <w:r>
              <w:rPr>
                <w:rFonts w:hint="eastAsia" w:ascii="宋体" w:hAnsi="宋体" w:cs="宋体"/>
                <w:b/>
                <w:bCs/>
                <w:color w:val="auto"/>
                <w:sz w:val="24"/>
                <w:szCs w:val="24"/>
              </w:rPr>
              <w:t>投标文件的形式：</w:t>
            </w:r>
            <w:r>
              <w:rPr>
                <w:rFonts w:hint="eastAsia" w:ascii="宋体" w:hAnsi="宋体" w:cs="宋体"/>
                <w:color w:val="auto"/>
                <w:sz w:val="24"/>
                <w:szCs w:val="24"/>
              </w:rPr>
              <w:t>电子投标文件（包括“电子加密投标文件”和“备份投标文件”，在投标文件编制完成后同时生成）；</w:t>
            </w:r>
          </w:p>
          <w:p>
            <w:pPr>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）“电子加密投标文件”是指通过“政采云电子交易客户端”完成投标文件编制后生成并加密的数据电文形式的投标文件。</w:t>
            </w:r>
          </w:p>
          <w:p>
            <w:pPr>
              <w:adjustRightInd w:val="0"/>
              <w:snapToGrid w:val="0"/>
              <w:spacing w:line="360" w:lineRule="auto"/>
              <w:rPr>
                <w:rFonts w:ascii="宋体"/>
                <w:b/>
                <w:bCs/>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）“备份投标文件”是指与“电子加密投标文件”同时生成的数据电文形式的电子文件（备份投标文件），其他方式编制的备份投标文件视为无效备份投标文件。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9</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rPr>
            </w:pPr>
            <w:r>
              <w:rPr>
                <w:rFonts w:hint="eastAsia" w:ascii="宋体" w:hAnsi="宋体" w:cs="宋体"/>
                <w:b/>
                <w:bCs/>
                <w:color w:val="auto"/>
                <w:sz w:val="24"/>
                <w:szCs w:val="24"/>
              </w:rPr>
              <w:t>投标文件份数：</w:t>
            </w:r>
          </w:p>
          <w:p>
            <w:pPr>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）“电子加密投标文件”：在线上传递交、一份。</w:t>
            </w:r>
          </w:p>
          <w:p>
            <w:pPr>
              <w:numPr>
                <w:ilvl w:val="0"/>
                <w:numId w:val="1"/>
              </w:numPr>
              <w:spacing w:line="360" w:lineRule="auto"/>
              <w:rPr>
                <w:rFonts w:ascii="宋体"/>
                <w:color w:val="auto"/>
                <w:sz w:val="24"/>
                <w:szCs w:val="24"/>
              </w:rPr>
            </w:pPr>
            <w:r>
              <w:rPr>
                <w:rFonts w:hint="eastAsia" w:ascii="宋体" w:hAnsi="宋体" w:cs="宋体"/>
                <w:color w:val="auto"/>
                <w:sz w:val="24"/>
                <w:szCs w:val="24"/>
              </w:rPr>
              <w:t>“备份投标文件”：密封包装后（邮寄形式）投标截止时间前递交、一份（邮寄地址：杭州市下城区绍兴路</w:t>
            </w:r>
            <w:r>
              <w:rPr>
                <w:rFonts w:ascii="宋体" w:hAnsi="宋体" w:cs="宋体"/>
                <w:color w:val="auto"/>
                <w:sz w:val="24"/>
                <w:szCs w:val="24"/>
              </w:rPr>
              <w:t>168</w:t>
            </w:r>
            <w:r>
              <w:rPr>
                <w:rFonts w:hint="eastAsia" w:ascii="宋体" w:hAnsi="宋体" w:cs="宋体"/>
                <w:color w:val="auto"/>
                <w:sz w:val="24"/>
                <w:szCs w:val="24"/>
              </w:rPr>
              <w:t>号和平大厦</w:t>
            </w:r>
            <w:r>
              <w:rPr>
                <w:rFonts w:ascii="宋体" w:hAnsi="宋体" w:cs="宋体"/>
                <w:color w:val="auto"/>
                <w:sz w:val="24"/>
                <w:szCs w:val="24"/>
              </w:rPr>
              <w:t>8</w:t>
            </w:r>
            <w:r>
              <w:rPr>
                <w:rFonts w:hint="eastAsia" w:ascii="宋体" w:hAnsi="宋体" w:cs="宋体"/>
                <w:color w:val="auto"/>
                <w:sz w:val="24"/>
                <w:szCs w:val="24"/>
              </w:rPr>
              <w:t>楼</w:t>
            </w:r>
            <w:r>
              <w:rPr>
                <w:rFonts w:ascii="宋体" w:hAnsi="宋体" w:cs="宋体"/>
                <w:color w:val="auto"/>
                <w:sz w:val="24"/>
                <w:szCs w:val="24"/>
              </w:rPr>
              <w:t>819</w:t>
            </w:r>
            <w:r>
              <w:rPr>
                <w:rFonts w:hint="eastAsia" w:ascii="宋体" w:hAnsi="宋体" w:cs="宋体"/>
                <w:color w:val="auto"/>
                <w:sz w:val="24"/>
                <w:szCs w:val="24"/>
              </w:rPr>
              <w:t>李俊收</w:t>
            </w:r>
            <w:r>
              <w:rPr>
                <w:rFonts w:ascii="宋体" w:hAnsi="宋体" w:cs="宋体"/>
                <w:color w:val="auto"/>
                <w:sz w:val="24"/>
                <w:szCs w:val="24"/>
              </w:rPr>
              <w:t xml:space="preserve"> </w:t>
            </w:r>
            <w:r>
              <w:rPr>
                <w:rFonts w:hint="eastAsia" w:ascii="宋体" w:hAnsi="宋体" w:cs="宋体"/>
                <w:color w:val="auto"/>
                <w:sz w:val="24"/>
                <w:szCs w:val="24"/>
              </w:rPr>
              <w:t>电话：</w:t>
            </w:r>
            <w:r>
              <w:rPr>
                <w:rFonts w:ascii="宋体" w:hAnsi="宋体" w:cs="宋体"/>
                <w:color w:val="auto"/>
                <w:sz w:val="24"/>
                <w:szCs w:val="24"/>
              </w:rPr>
              <w:t>13857124879</w:t>
            </w:r>
            <w:r>
              <w:rPr>
                <w:rFonts w:hint="eastAsia" w:ascii="宋体" w:hAnsi="宋体" w:cs="宋体"/>
                <w:color w:val="auto"/>
                <w:sz w:val="24"/>
                <w:szCs w:val="24"/>
              </w:rPr>
              <w:t>；注：不接收到付件）。</w:t>
            </w:r>
          </w:p>
          <w:p>
            <w:pPr>
              <w:adjustRightInd w:val="0"/>
              <w:snapToGrid w:val="0"/>
              <w:spacing w:line="360" w:lineRule="auto"/>
              <w:rPr>
                <w:rFonts w:ascii="宋体"/>
                <w:color w:val="auto"/>
                <w:sz w:val="24"/>
                <w:szCs w:val="24"/>
              </w:rPr>
            </w:pPr>
            <w:r>
              <w:rPr>
                <w:rFonts w:hint="eastAsia" w:ascii="宋体" w:hAnsi="宋体" w:cs="宋体"/>
                <w:b/>
                <w:bCs/>
                <w:color w:val="auto"/>
                <w:sz w:val="24"/>
                <w:szCs w:val="24"/>
              </w:rPr>
              <w:t>备注：中标人有义务在得知开标结果后制作纸质投标文件交由招标代理机构存档，纸质文件要求按下文要求编制，资格文件三份；报价文件三份</w:t>
            </w:r>
            <w:r>
              <w:rPr>
                <w:rFonts w:hint="eastAsia" w:ascii="宋体" w:hAnsi="宋体" w:cs="宋体"/>
                <w:b/>
                <w:bCs/>
                <w:color w:val="auto"/>
                <w:sz w:val="24"/>
                <w:szCs w:val="24"/>
              </w:rPr>
              <w:t>；商务技术文件三份。纸质文件需与线上文件保持内容一致。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10</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rPr>
            </w:pPr>
            <w:r>
              <w:rPr>
                <w:rFonts w:hint="eastAsia" w:ascii="宋体" w:hAnsi="宋体" w:cs="宋体"/>
                <w:b/>
                <w:bCs/>
                <w:color w:val="auto"/>
                <w:sz w:val="24"/>
                <w:szCs w:val="24"/>
              </w:rPr>
              <w:t>投标文件的上传和递交：</w:t>
            </w:r>
          </w:p>
          <w:p>
            <w:pPr>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）“电子加密投标文件”的上传、递交：</w:t>
            </w:r>
          </w:p>
          <w:p>
            <w:pPr>
              <w:adjustRightInd w:val="0"/>
              <w:snapToGrid w:val="0"/>
              <w:spacing w:line="360" w:lineRule="auto"/>
              <w:rPr>
                <w:rFonts w:ascii="宋体"/>
                <w:color w:val="auto"/>
                <w:sz w:val="24"/>
                <w:szCs w:val="24"/>
              </w:rPr>
            </w:pPr>
            <w:r>
              <w:rPr>
                <w:rFonts w:ascii="宋体" w:hAnsi="宋体" w:cs="宋体"/>
                <w:color w:val="auto"/>
                <w:sz w:val="24"/>
                <w:szCs w:val="24"/>
              </w:rPr>
              <w:t>a.</w:t>
            </w:r>
            <w:r>
              <w:rPr>
                <w:rFonts w:hint="eastAsia" w:ascii="宋体" w:hAnsi="宋体" w:cs="宋体"/>
                <w:color w:val="auto"/>
                <w:sz w:val="24"/>
                <w:szCs w:val="24"/>
              </w:rPr>
              <w:t>投标人应在投标截止时间前将“电子加密投标文件”成功上传递交至“政府采购云平台”，否则投标无效。</w:t>
            </w:r>
          </w:p>
          <w:p>
            <w:pPr>
              <w:adjustRightInd w:val="0"/>
              <w:snapToGrid w:val="0"/>
              <w:spacing w:line="360" w:lineRule="auto"/>
              <w:rPr>
                <w:rFonts w:ascii="宋体"/>
                <w:color w:val="auto"/>
                <w:sz w:val="24"/>
                <w:szCs w:val="24"/>
              </w:rPr>
            </w:pPr>
            <w:r>
              <w:rPr>
                <w:rFonts w:ascii="宋体" w:hAnsi="宋体" w:cs="宋体"/>
                <w:color w:val="auto"/>
                <w:sz w:val="24"/>
                <w:szCs w:val="24"/>
              </w:rPr>
              <w:t>b.</w:t>
            </w:r>
            <w:r>
              <w:rPr>
                <w:rFonts w:hint="eastAsia" w:ascii="宋体" w:hAnsi="宋体" w:cs="宋体"/>
                <w:color w:val="auto"/>
                <w:sz w:val="24"/>
                <w:szCs w:val="24"/>
              </w:rPr>
              <w:t>“电子加密投标文件”成功上传递交后，供应商可自行打印投标文件接收回执。</w:t>
            </w:r>
          </w:p>
          <w:p>
            <w:pPr>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）“备份投标文件”的密封包装、递交：</w:t>
            </w:r>
          </w:p>
          <w:p>
            <w:pPr>
              <w:adjustRightInd w:val="0"/>
              <w:snapToGrid w:val="0"/>
              <w:spacing w:line="360" w:lineRule="auto"/>
              <w:rPr>
                <w:rFonts w:ascii="宋体"/>
                <w:color w:val="auto"/>
                <w:sz w:val="24"/>
                <w:szCs w:val="24"/>
              </w:rPr>
            </w:pPr>
            <w:r>
              <w:rPr>
                <w:rFonts w:ascii="宋体" w:hAnsi="宋体" w:cs="宋体"/>
                <w:color w:val="auto"/>
                <w:sz w:val="24"/>
                <w:szCs w:val="24"/>
              </w:rPr>
              <w:t>a.</w:t>
            </w:r>
            <w:r>
              <w:rPr>
                <w:rFonts w:hint="eastAsia" w:ascii="宋体" w:hAnsi="宋体" w:cs="宋体"/>
                <w:color w:val="auto"/>
                <w:sz w:val="24"/>
                <w:szCs w:val="24"/>
              </w:rPr>
              <w:t>投标人在“政府采购云平台”完成“电子加密投标文件”的上传递交后，还可以（邮寄形式）在投标截止时间前递交以介质（</w:t>
            </w:r>
            <w:r>
              <w:rPr>
                <w:rFonts w:ascii="宋体" w:hAnsi="宋体" w:cs="宋体"/>
                <w:color w:val="auto"/>
                <w:sz w:val="24"/>
                <w:szCs w:val="24"/>
              </w:rPr>
              <w:t>U</w:t>
            </w:r>
            <w:r>
              <w:rPr>
                <w:rFonts w:hint="eastAsia" w:ascii="宋体" w:hAnsi="宋体" w:cs="宋体"/>
                <w:color w:val="auto"/>
                <w:sz w:val="24"/>
                <w:szCs w:val="24"/>
              </w:rPr>
              <w:t>盘）存储的</w:t>
            </w:r>
            <w:r>
              <w:rPr>
                <w:rFonts w:ascii="宋体" w:hAnsi="宋体" w:cs="宋体"/>
                <w:color w:val="auto"/>
                <w:sz w:val="24"/>
                <w:szCs w:val="24"/>
              </w:rPr>
              <w:t xml:space="preserve"> </w:t>
            </w:r>
            <w:r>
              <w:rPr>
                <w:rFonts w:hint="eastAsia" w:ascii="宋体" w:hAnsi="宋体" w:cs="宋体"/>
                <w:color w:val="auto"/>
                <w:sz w:val="24"/>
                <w:szCs w:val="24"/>
              </w:rPr>
              <w:t>“备份投标文件”（一份）；</w:t>
            </w:r>
          </w:p>
          <w:p>
            <w:pPr>
              <w:adjustRightInd w:val="0"/>
              <w:snapToGrid w:val="0"/>
              <w:spacing w:line="360" w:lineRule="auto"/>
              <w:rPr>
                <w:rFonts w:ascii="宋体"/>
                <w:color w:val="auto"/>
                <w:sz w:val="24"/>
                <w:szCs w:val="24"/>
              </w:rPr>
            </w:pPr>
            <w:r>
              <w:rPr>
                <w:rFonts w:ascii="宋体" w:hAnsi="宋体" w:cs="宋体"/>
                <w:color w:val="auto"/>
                <w:sz w:val="24"/>
                <w:szCs w:val="24"/>
              </w:rPr>
              <w:t>b.</w:t>
            </w:r>
            <w:r>
              <w:rPr>
                <w:rFonts w:hint="eastAsia" w:ascii="宋体" w:hAnsi="宋体" w:cs="宋体"/>
                <w:color w:val="auto"/>
                <w:sz w:val="24"/>
                <w:szCs w:val="24"/>
              </w:rPr>
              <w:t>“备份投标文件”应当密封包装，并在包装上标注投标项目名称、投标单位名称并加盖公章。没有密封包装或者逾期邮寄送达至投标地点的“备份投标文件”将不予接收；</w:t>
            </w:r>
          </w:p>
          <w:p>
            <w:pPr>
              <w:adjustRightInd w:val="0"/>
              <w:snapToGrid w:val="0"/>
              <w:spacing w:line="360" w:lineRule="auto"/>
              <w:rPr>
                <w:rFonts w:ascii="宋体"/>
                <w:color w:val="auto"/>
                <w:sz w:val="24"/>
                <w:szCs w:val="24"/>
              </w:rPr>
            </w:pPr>
            <w:r>
              <w:rPr>
                <w:rFonts w:ascii="宋体" w:hAnsi="宋体" w:cs="宋体"/>
                <w:color w:val="auto"/>
                <w:sz w:val="24"/>
                <w:szCs w:val="24"/>
              </w:rPr>
              <w:t>c.</w:t>
            </w:r>
            <w:r>
              <w:rPr>
                <w:rFonts w:hint="eastAsia" w:ascii="宋体" w:hAnsi="宋体" w:cs="宋体"/>
                <w:color w:val="auto"/>
                <w:sz w:val="24"/>
                <w:szCs w:val="24"/>
              </w:rPr>
              <w:t>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11</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sz w:val="24"/>
                <w:szCs w:val="24"/>
              </w:rPr>
            </w:pPr>
            <w:r>
              <w:rPr>
                <w:rFonts w:hint="eastAsia" w:ascii="宋体" w:hAnsi="宋体" w:cs="宋体"/>
                <w:b/>
                <w:bCs/>
                <w:color w:val="auto"/>
                <w:sz w:val="24"/>
                <w:szCs w:val="24"/>
              </w:rPr>
              <w:t>电子加密投标文件的解密和异常情况处理：</w:t>
            </w:r>
          </w:p>
          <w:p>
            <w:pPr>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）开标后，招标代理机构将向各投标人发出“电子加密投标文件”的解密通知，各投标人代表应当在接到解密通知后</w:t>
            </w:r>
            <w:r>
              <w:rPr>
                <w:rFonts w:ascii="宋体" w:hAnsi="宋体" w:cs="宋体"/>
                <w:color w:val="auto"/>
                <w:sz w:val="24"/>
                <w:szCs w:val="24"/>
              </w:rPr>
              <w:t>30</w:t>
            </w:r>
            <w:r>
              <w:rPr>
                <w:rFonts w:hint="eastAsia" w:ascii="宋体" w:hAnsi="宋体" w:cs="宋体"/>
                <w:color w:val="auto"/>
                <w:sz w:val="24"/>
                <w:szCs w:val="24"/>
              </w:rPr>
              <w:t>分钟内自行完成“电子加密投标文件”的在线解密。</w:t>
            </w:r>
          </w:p>
          <w:p>
            <w:pPr>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通过“政府采购云平台”成功上传递交的“电子加密投标文件”无法按时解密（投标人已进行解密操作但未完成解密），投标人如按规定递交了“备份投标文件”的，以“备份投标文件”为依据（由招标代理机构按“政府采购云平台”操作规范将“备份投标文件”上传至“政府采购云平台”，上传成功后，“电子加密投标文件”自动失效），否则视为投标文件撤回。</w:t>
            </w:r>
          </w:p>
          <w:p>
            <w:pPr>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12</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b/>
                <w:bCs/>
                <w:color w:val="auto"/>
                <w:sz w:val="24"/>
                <w:szCs w:val="24"/>
              </w:rPr>
              <w:t>投标截止时间：</w:t>
            </w:r>
            <w:r>
              <w:rPr>
                <w:rFonts w:ascii="宋体" w:hAnsi="宋体" w:cs="宋体"/>
                <w:b/>
                <w:bCs/>
                <w:color w:val="auto"/>
                <w:sz w:val="24"/>
                <w:szCs w:val="24"/>
              </w:rPr>
              <w:t xml:space="preserve"> </w:t>
            </w:r>
            <w:r>
              <w:rPr>
                <w:rFonts w:hint="eastAsia" w:ascii="宋体" w:hAnsi="宋体" w:cs="宋体"/>
                <w:b/>
                <w:bCs/>
                <w:color w:val="auto"/>
                <w:sz w:val="24"/>
                <w:szCs w:val="24"/>
              </w:rPr>
              <w:t>同公告中开标时间</w:t>
            </w:r>
            <w:r>
              <w:rPr>
                <w:rFonts w:hint="eastAsia" w:ascii="宋体" w:hAnsi="宋体" w:cs="宋体"/>
                <w:color w:val="auto"/>
                <w:sz w:val="24"/>
                <w:szCs w:val="24"/>
              </w:rPr>
              <w:t>。</w:t>
            </w:r>
            <w:r>
              <w:rPr>
                <w:rFonts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13</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pStyle w:val="8"/>
              <w:adjustRightInd w:val="0"/>
              <w:snapToGrid w:val="0"/>
              <w:spacing w:line="360" w:lineRule="auto"/>
              <w:rPr>
                <w:rFonts w:hAnsi="宋体" w:cs="Calibri"/>
                <w:color w:val="auto"/>
                <w:kern w:val="2"/>
                <w:sz w:val="24"/>
                <w:szCs w:val="24"/>
              </w:rPr>
            </w:pPr>
            <w:r>
              <w:rPr>
                <w:rFonts w:hint="eastAsia" w:hAnsi="宋体"/>
                <w:b/>
                <w:bCs/>
                <w:color w:val="auto"/>
                <w:kern w:val="2"/>
                <w:sz w:val="24"/>
                <w:szCs w:val="24"/>
              </w:rPr>
              <w:t>投标文件递交至单位：</w:t>
            </w:r>
            <w:r>
              <w:rPr>
                <w:rFonts w:hint="eastAsia" w:hAnsi="宋体"/>
                <w:color w:val="auto"/>
                <w:kern w:val="2"/>
                <w:sz w:val="24"/>
                <w:szCs w:val="24"/>
                <w:lang w:val="zh-CN"/>
              </w:rPr>
              <w:t>浙江联通工程咨询有限公司</w:t>
            </w:r>
            <w:r>
              <w:rPr>
                <w:rFonts w:hint="eastAsia" w:hAnsi="宋体"/>
                <w:color w:val="auto"/>
                <w:kern w:val="2"/>
                <w:sz w:val="24"/>
                <w:szCs w:val="24"/>
              </w:rPr>
              <w:t>；</w:t>
            </w:r>
          </w:p>
          <w:p>
            <w:pPr>
              <w:adjustRightInd w:val="0"/>
              <w:snapToGrid w:val="0"/>
              <w:spacing w:line="360" w:lineRule="auto"/>
              <w:rPr>
                <w:rFonts w:ascii="宋体"/>
                <w:color w:val="auto"/>
                <w:sz w:val="24"/>
                <w:szCs w:val="24"/>
              </w:rPr>
            </w:pPr>
            <w:r>
              <w:rPr>
                <w:rFonts w:hint="eastAsia" w:ascii="宋体" w:hAnsi="宋体" w:cs="宋体"/>
                <w:b/>
                <w:bCs/>
                <w:color w:val="auto"/>
                <w:sz w:val="24"/>
                <w:szCs w:val="24"/>
              </w:rPr>
              <w:t>投标文件递交至地点：</w:t>
            </w:r>
            <w:r>
              <w:rPr>
                <w:rFonts w:hint="eastAsia" w:ascii="宋体" w:hAnsi="宋体" w:cs="宋体"/>
                <w:color w:val="auto"/>
                <w:sz w:val="24"/>
                <w:szCs w:val="24"/>
                <w:lang w:val="zh-CN"/>
              </w:rPr>
              <w:t>杭州市下城区绍兴路</w:t>
            </w:r>
            <w:r>
              <w:rPr>
                <w:rFonts w:ascii="宋体" w:hAnsi="宋体" w:cs="宋体"/>
                <w:color w:val="auto"/>
                <w:sz w:val="24"/>
                <w:szCs w:val="24"/>
                <w:lang w:val="zh-CN"/>
              </w:rPr>
              <w:t>168</w:t>
            </w:r>
            <w:r>
              <w:rPr>
                <w:rFonts w:hint="eastAsia" w:ascii="宋体" w:hAnsi="宋体" w:cs="宋体"/>
                <w:color w:val="auto"/>
                <w:sz w:val="24"/>
                <w:szCs w:val="24"/>
                <w:lang w:val="zh-CN"/>
              </w:rPr>
              <w:t>号和平大厦</w:t>
            </w:r>
            <w:r>
              <w:rPr>
                <w:rFonts w:ascii="宋体" w:hAnsi="宋体" w:cs="宋体"/>
                <w:color w:val="auto"/>
                <w:sz w:val="24"/>
                <w:szCs w:val="24"/>
              </w:rPr>
              <w:t>818</w:t>
            </w:r>
            <w:r>
              <w:rPr>
                <w:rFonts w:hint="eastAsia" w:ascii="宋体" w:hAnsi="宋体" w:cs="宋体"/>
                <w:color w:val="auto"/>
                <w:sz w:val="24"/>
                <w:szCs w:val="24"/>
                <w:lang w:val="zh-CN"/>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14</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pStyle w:val="4"/>
              <w:spacing w:line="360" w:lineRule="auto"/>
              <w:ind w:firstLine="0" w:firstLineChars="0"/>
              <w:rPr>
                <w:rFonts w:ascii="宋体"/>
                <w:color w:val="auto"/>
                <w:sz w:val="24"/>
                <w:szCs w:val="24"/>
              </w:rPr>
            </w:pPr>
            <w:r>
              <w:rPr>
                <w:rFonts w:hint="eastAsia" w:ascii="宋体" w:hAnsi="宋体" w:cs="宋体"/>
                <w:b/>
                <w:bCs/>
                <w:color w:val="auto"/>
                <w:kern w:val="10"/>
                <w:sz w:val="24"/>
                <w:szCs w:val="24"/>
              </w:rPr>
              <w:t>开标时间和地点</w:t>
            </w:r>
            <w:r>
              <w:rPr>
                <w:rFonts w:hint="eastAsia" w:ascii="宋体" w:hAnsi="宋体" w:cs="宋体"/>
                <w:b/>
                <w:bCs/>
                <w:color w:val="auto"/>
                <w:sz w:val="24"/>
                <w:szCs w:val="24"/>
              </w:rPr>
              <w:t>：同投标截止时间和地点。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kern w:val="0"/>
                <w:sz w:val="24"/>
                <w:szCs w:val="24"/>
              </w:rPr>
            </w:pPr>
            <w:r>
              <w:rPr>
                <w:rFonts w:ascii="宋体" w:hAnsi="宋体" w:cs="宋体"/>
                <w:color w:val="auto"/>
                <w:kern w:val="0"/>
                <w:sz w:val="24"/>
                <w:szCs w:val="24"/>
              </w:rPr>
              <w:t>15</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color w:val="auto"/>
                <w:sz w:val="24"/>
                <w:szCs w:val="24"/>
                <w:lang w:val="zh-CN"/>
              </w:rPr>
            </w:pPr>
            <w:r>
              <w:rPr>
                <w:rFonts w:hint="eastAsia" w:ascii="宋体" w:hAnsi="宋体" w:cs="宋体"/>
                <w:b/>
                <w:bCs/>
                <w:color w:val="auto"/>
                <w:sz w:val="24"/>
                <w:szCs w:val="24"/>
              </w:rPr>
              <w:t>招标代理服务费：</w:t>
            </w:r>
            <w:r>
              <w:rPr>
                <w:rFonts w:hint="eastAsia" w:ascii="宋体" w:hAnsi="宋体" w:cs="宋体"/>
                <w:color w:val="auto"/>
                <w:sz w:val="24"/>
                <w:szCs w:val="24"/>
                <w:lang w:val="zh-CN"/>
              </w:rPr>
              <w:t>招标代理</w:t>
            </w:r>
            <w:r>
              <w:rPr>
                <w:rFonts w:hint="eastAsia" w:ascii="宋体" w:hAnsi="宋体" w:cs="宋体"/>
                <w:color w:val="auto"/>
                <w:sz w:val="24"/>
                <w:szCs w:val="24"/>
              </w:rPr>
              <w:t>服务</w:t>
            </w:r>
            <w:r>
              <w:rPr>
                <w:rFonts w:hint="eastAsia" w:ascii="宋体" w:hAnsi="宋体" w:cs="宋体"/>
                <w:color w:val="auto"/>
                <w:sz w:val="24"/>
                <w:szCs w:val="24"/>
                <w:lang w:val="zh-CN"/>
              </w:rPr>
              <w:t>费由</w:t>
            </w:r>
            <w:r>
              <w:rPr>
                <w:rFonts w:hint="eastAsia" w:ascii="宋体" w:hAnsi="宋体" w:cs="宋体"/>
                <w:color w:val="auto"/>
                <w:sz w:val="24"/>
                <w:szCs w:val="24"/>
              </w:rPr>
              <w:t>中标</w:t>
            </w:r>
            <w:r>
              <w:rPr>
                <w:rFonts w:hint="eastAsia" w:ascii="宋体" w:hAnsi="宋体" w:cs="宋体"/>
                <w:color w:val="auto"/>
                <w:sz w:val="24"/>
                <w:szCs w:val="24"/>
                <w:lang w:val="zh-CN"/>
              </w:rPr>
              <w:t>人支付。</w:t>
            </w:r>
          </w:p>
          <w:p>
            <w:pPr>
              <w:adjustRightInd w:val="0"/>
              <w:snapToGrid w:val="0"/>
              <w:spacing w:line="360" w:lineRule="auto"/>
              <w:rPr>
                <w:rFonts w:ascii="宋体"/>
                <w:color w:val="auto"/>
                <w:sz w:val="24"/>
                <w:szCs w:val="24"/>
                <w:lang w:val="zh-CN"/>
              </w:rPr>
            </w:pPr>
            <w:r>
              <w:rPr>
                <w:rFonts w:hint="eastAsia" w:ascii="宋体" w:hAnsi="宋体" w:cs="宋体"/>
                <w:color w:val="auto"/>
                <w:sz w:val="24"/>
                <w:szCs w:val="24"/>
                <w:lang w:val="zh-CN"/>
              </w:rPr>
              <w:t>计费标准：参照计价格</w:t>
            </w:r>
            <w:r>
              <w:rPr>
                <w:rFonts w:ascii="宋体" w:hAnsi="宋体" w:cs="宋体"/>
                <w:color w:val="auto"/>
                <w:sz w:val="24"/>
                <w:szCs w:val="24"/>
                <w:lang w:val="zh-CN"/>
              </w:rPr>
              <w:t>[2002]1980</w:t>
            </w:r>
            <w:r>
              <w:rPr>
                <w:rFonts w:hint="eastAsia" w:ascii="宋体" w:hAnsi="宋体" w:cs="宋体"/>
                <w:color w:val="auto"/>
                <w:sz w:val="24"/>
                <w:szCs w:val="24"/>
                <w:lang w:val="zh-CN"/>
              </w:rPr>
              <w:t>号文件标准下浮</w:t>
            </w:r>
            <w:r>
              <w:rPr>
                <w:rFonts w:ascii="宋体" w:hAnsi="宋体" w:cs="宋体"/>
                <w:color w:val="auto"/>
                <w:sz w:val="24"/>
                <w:szCs w:val="24"/>
              </w:rPr>
              <w:t>20%</w:t>
            </w:r>
            <w:r>
              <w:rPr>
                <w:rFonts w:hint="eastAsia" w:ascii="宋体" w:hAnsi="宋体" w:cs="宋体"/>
                <w:color w:val="auto"/>
                <w:sz w:val="24"/>
                <w:szCs w:val="24"/>
              </w:rPr>
              <w:t>计算</w:t>
            </w:r>
            <w:r>
              <w:rPr>
                <w:rFonts w:hint="eastAsia" w:ascii="宋体" w:hAnsi="宋体" w:cs="宋体"/>
                <w:color w:val="auto"/>
                <w:sz w:val="24"/>
                <w:szCs w:val="24"/>
                <w:lang w:val="zh-CN"/>
              </w:rPr>
              <w:t>，最低不少于</w:t>
            </w:r>
            <w:r>
              <w:rPr>
                <w:rFonts w:ascii="宋体" w:hAnsi="宋体" w:cs="宋体"/>
                <w:color w:val="auto"/>
                <w:sz w:val="24"/>
                <w:szCs w:val="24"/>
              </w:rPr>
              <w:t>5000</w:t>
            </w:r>
            <w:r>
              <w:rPr>
                <w:rFonts w:hint="eastAsia" w:ascii="宋体" w:hAnsi="宋体" w:cs="宋体"/>
                <w:color w:val="auto"/>
                <w:sz w:val="24"/>
                <w:szCs w:val="24"/>
                <w:lang w:val="zh-CN"/>
              </w:rPr>
              <w:t>元。</w:t>
            </w:r>
          </w:p>
          <w:p>
            <w:pPr>
              <w:adjustRightInd w:val="0"/>
              <w:snapToGrid w:val="0"/>
              <w:spacing w:line="360" w:lineRule="auto"/>
              <w:rPr>
                <w:rFonts w:ascii="宋体"/>
                <w:b/>
                <w:bCs/>
                <w:color w:val="auto"/>
                <w:sz w:val="24"/>
                <w:szCs w:val="24"/>
                <w:lang w:val="zh-CN"/>
              </w:rPr>
            </w:pPr>
            <w:r>
              <w:rPr>
                <w:rFonts w:hint="eastAsia" w:ascii="宋体" w:hAnsi="宋体" w:cs="宋体"/>
                <w:color w:val="auto"/>
                <w:sz w:val="24"/>
                <w:szCs w:val="24"/>
                <w:lang w:val="zh-CN"/>
              </w:rPr>
              <w:t>结算方式及时间为：在领取</w:t>
            </w:r>
            <w:r>
              <w:rPr>
                <w:rFonts w:hint="eastAsia" w:ascii="宋体" w:hAnsi="宋体" w:cs="宋体"/>
                <w:color w:val="auto"/>
                <w:sz w:val="24"/>
                <w:szCs w:val="24"/>
              </w:rPr>
              <w:t>中标</w:t>
            </w:r>
            <w:r>
              <w:rPr>
                <w:rFonts w:hint="eastAsia" w:ascii="宋体" w:hAnsi="宋体" w:cs="宋体"/>
                <w:color w:val="auto"/>
                <w:sz w:val="24"/>
                <w:szCs w:val="24"/>
                <w:lang w:val="zh-CN"/>
              </w:rPr>
              <w:t>通知书时由</w:t>
            </w:r>
            <w:r>
              <w:rPr>
                <w:rFonts w:hint="eastAsia" w:ascii="宋体" w:hAnsi="宋体" w:cs="宋体"/>
                <w:color w:val="auto"/>
                <w:sz w:val="24"/>
                <w:szCs w:val="24"/>
              </w:rPr>
              <w:t>中标</w:t>
            </w:r>
            <w:r>
              <w:rPr>
                <w:rFonts w:hint="eastAsia" w:ascii="宋体" w:hAnsi="宋体" w:cs="宋体"/>
                <w:color w:val="auto"/>
                <w:sz w:val="24"/>
                <w:szCs w:val="24"/>
                <w:lang w:val="zh-CN"/>
              </w:rPr>
              <w:t>人一次性向招标代理机构付清。</w:t>
            </w:r>
            <w:r>
              <w:rPr>
                <w:rFonts w:ascii="宋体"/>
                <w:color w:val="auto"/>
                <w:sz w:val="24"/>
                <w:szCs w:val="24"/>
                <w:lang w:val="zh-CN"/>
              </w:rPr>
              <w:br w:type="textWrapping"/>
            </w:r>
            <w:r>
              <w:rPr>
                <w:rFonts w:hint="eastAsia" w:ascii="宋体" w:hAnsi="宋体" w:cs="宋体"/>
                <w:b/>
                <w:bCs/>
                <w:color w:val="auto"/>
                <w:sz w:val="24"/>
                <w:szCs w:val="24"/>
                <w:lang w:val="zh-CN"/>
              </w:rPr>
              <w:t>招标代理服务费交付方式：支票</w:t>
            </w:r>
            <w:r>
              <w:rPr>
                <w:rFonts w:ascii="宋体" w:hAnsi="宋体" w:cs="宋体"/>
                <w:b/>
                <w:bCs/>
                <w:color w:val="auto"/>
                <w:sz w:val="24"/>
                <w:szCs w:val="24"/>
                <w:lang w:val="zh-CN"/>
              </w:rPr>
              <w:t>/</w:t>
            </w:r>
            <w:r>
              <w:rPr>
                <w:rFonts w:hint="eastAsia" w:ascii="宋体" w:hAnsi="宋体" w:cs="宋体"/>
                <w:b/>
                <w:bCs/>
                <w:color w:val="auto"/>
                <w:sz w:val="24"/>
                <w:szCs w:val="24"/>
                <w:lang w:val="zh-CN"/>
              </w:rPr>
              <w:t>网银</w:t>
            </w:r>
            <w:r>
              <w:rPr>
                <w:rFonts w:ascii="宋体" w:hAnsi="宋体" w:cs="宋体"/>
                <w:b/>
                <w:bCs/>
                <w:color w:val="auto"/>
                <w:sz w:val="24"/>
                <w:szCs w:val="24"/>
                <w:lang w:val="zh-CN"/>
              </w:rPr>
              <w:t>/</w:t>
            </w:r>
            <w:r>
              <w:rPr>
                <w:rFonts w:hint="eastAsia" w:ascii="宋体" w:hAnsi="宋体" w:cs="宋体"/>
                <w:b/>
                <w:bCs/>
                <w:color w:val="auto"/>
                <w:sz w:val="24"/>
                <w:szCs w:val="24"/>
                <w:lang w:val="zh-CN"/>
              </w:rPr>
              <w:t>电汇形式缴纳</w:t>
            </w:r>
          </w:p>
          <w:p>
            <w:pPr>
              <w:adjustRightInd w:val="0"/>
              <w:snapToGrid w:val="0"/>
              <w:spacing w:line="360" w:lineRule="auto"/>
              <w:rPr>
                <w:rFonts w:ascii="宋体"/>
                <w:b/>
                <w:bCs/>
                <w:color w:val="auto"/>
                <w:sz w:val="24"/>
                <w:szCs w:val="24"/>
                <w:lang w:val="zh-CN"/>
              </w:rPr>
            </w:pPr>
            <w:r>
              <w:rPr>
                <w:rFonts w:hint="eastAsia" w:ascii="宋体" w:hAnsi="宋体" w:cs="宋体"/>
                <w:b/>
                <w:bCs/>
                <w:color w:val="auto"/>
                <w:sz w:val="24"/>
                <w:szCs w:val="24"/>
                <w:lang w:val="zh-CN"/>
              </w:rPr>
              <w:t>收款人（全称）：浙江联通工程咨询有限公司</w:t>
            </w:r>
          </w:p>
          <w:p>
            <w:pPr>
              <w:adjustRightInd w:val="0"/>
              <w:snapToGrid w:val="0"/>
              <w:spacing w:line="360" w:lineRule="auto"/>
              <w:rPr>
                <w:rFonts w:ascii="宋体"/>
                <w:b/>
                <w:bCs/>
                <w:color w:val="auto"/>
                <w:sz w:val="24"/>
                <w:szCs w:val="24"/>
                <w:lang w:val="zh-CN"/>
              </w:rPr>
            </w:pPr>
            <w:r>
              <w:rPr>
                <w:rFonts w:hint="eastAsia" w:ascii="宋体" w:hAnsi="宋体" w:cs="宋体"/>
                <w:b/>
                <w:bCs/>
                <w:color w:val="auto"/>
                <w:sz w:val="24"/>
                <w:szCs w:val="24"/>
                <w:lang w:val="zh-CN"/>
              </w:rPr>
              <w:t>开户银行：平安银行杭州城北支行</w:t>
            </w:r>
          </w:p>
          <w:p>
            <w:pPr>
              <w:adjustRightInd w:val="0"/>
              <w:snapToGrid w:val="0"/>
              <w:spacing w:line="360" w:lineRule="auto"/>
              <w:rPr>
                <w:rFonts w:ascii="宋体"/>
                <w:b/>
                <w:bCs/>
                <w:color w:val="auto"/>
                <w:sz w:val="24"/>
                <w:szCs w:val="24"/>
              </w:rPr>
            </w:pPr>
            <w:r>
              <w:rPr>
                <w:rFonts w:hint="eastAsia" w:ascii="宋体" w:hAnsi="宋体" w:cs="宋体"/>
                <w:b/>
                <w:bCs/>
                <w:color w:val="auto"/>
                <w:sz w:val="24"/>
                <w:szCs w:val="24"/>
                <w:lang w:val="zh-CN"/>
              </w:rPr>
              <w:t>帐号：</w:t>
            </w:r>
            <w:r>
              <w:rPr>
                <w:rFonts w:ascii="宋体" w:hAnsi="宋体" w:cs="宋体"/>
                <w:b/>
                <w:bCs/>
                <w:color w:val="auto"/>
                <w:sz w:val="24"/>
                <w:szCs w:val="24"/>
                <w:lang w:val="zh-CN"/>
              </w:rPr>
              <w:t>11014750707006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kern w:val="0"/>
                <w:sz w:val="24"/>
                <w:szCs w:val="24"/>
              </w:rPr>
            </w:pPr>
            <w:r>
              <w:rPr>
                <w:rFonts w:ascii="宋体" w:hAnsi="宋体" w:cs="宋体"/>
                <w:color w:val="auto"/>
                <w:kern w:val="0"/>
                <w:sz w:val="24"/>
                <w:szCs w:val="24"/>
              </w:rPr>
              <w:t>16</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color w:val="auto"/>
                <w:sz w:val="24"/>
                <w:szCs w:val="24"/>
                <w:lang w:val="zh-CN"/>
              </w:rPr>
            </w:pPr>
            <w:r>
              <w:rPr>
                <w:rFonts w:hint="eastAsia" w:ascii="宋体" w:hAnsi="宋体" w:cs="宋体"/>
                <w:color w:val="auto"/>
                <w:sz w:val="24"/>
                <w:szCs w:val="24"/>
                <w:lang w:val="zh-CN"/>
              </w:rPr>
              <w:t>根据《关于在政府招标活动中查询及使用信用记录有关问题的通知》财库</w:t>
            </w:r>
            <w:r>
              <w:rPr>
                <w:rFonts w:ascii="宋体" w:hAnsi="宋体" w:cs="宋体"/>
                <w:color w:val="auto"/>
                <w:sz w:val="24"/>
                <w:szCs w:val="24"/>
                <w:lang w:val="zh-CN"/>
              </w:rPr>
              <w:t>[2016]125</w:t>
            </w:r>
            <w:r>
              <w:rPr>
                <w:rFonts w:hint="eastAsia" w:ascii="宋体" w:hAnsi="宋体" w:cs="宋体"/>
                <w:color w:val="auto"/>
                <w:sz w:val="24"/>
                <w:szCs w:val="24"/>
                <w:lang w:val="zh-CN"/>
              </w:rPr>
              <w:t>号的规定：</w:t>
            </w:r>
          </w:p>
          <w:p>
            <w:pPr>
              <w:adjustRightInd w:val="0"/>
              <w:snapToGrid w:val="0"/>
              <w:spacing w:line="360" w:lineRule="auto"/>
              <w:rPr>
                <w:rFonts w:asci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招标人或招标代理机构将对本项目供应商的信用信息进行查询。对列入失信被执行人、重大税收违法案件当事人名单、政府招标严重违法失信行为记录名单及其他不符合《中华人民共和国政府采购法》第二十二条规定条件的供应商，将拒绝其参与本次政府招标活动。</w:t>
            </w:r>
          </w:p>
          <w:p>
            <w:pPr>
              <w:adjustRightInd w:val="0"/>
              <w:snapToGrid w:val="0"/>
              <w:spacing w:line="360" w:lineRule="auto"/>
              <w:rPr>
                <w:rFonts w:ascii="宋体"/>
                <w:color w:val="auto"/>
                <w:sz w:val="24"/>
                <w:szCs w:val="24"/>
                <w:lang w:val="zh-CN"/>
              </w:rPr>
            </w:pPr>
            <w:r>
              <w:rPr>
                <w:rFonts w:ascii="宋体" w:hAnsi="宋体" w:cs="宋体"/>
                <w:color w:val="auto"/>
                <w:sz w:val="24"/>
                <w:szCs w:val="24"/>
                <w:lang w:val="zh-CN"/>
              </w:rPr>
              <w:t>2</w:t>
            </w:r>
            <w:r>
              <w:rPr>
                <w:rFonts w:hint="eastAsia" w:ascii="宋体" w:hAnsi="宋体" w:cs="宋体"/>
                <w:color w:val="auto"/>
                <w:sz w:val="24"/>
                <w:szCs w:val="24"/>
                <w:lang w:val="zh-CN"/>
              </w:rPr>
              <w:t>）查询渠道为信用中国网站（</w:t>
            </w:r>
            <w:r>
              <w:rPr>
                <w:rFonts w:ascii="宋体" w:hAnsi="宋体" w:cs="宋体"/>
                <w:color w:val="auto"/>
                <w:sz w:val="24"/>
                <w:szCs w:val="24"/>
                <w:lang w:val="zh-CN"/>
              </w:rPr>
              <w:t>www.creditchina.gov.cn</w:t>
            </w:r>
            <w:r>
              <w:rPr>
                <w:rFonts w:hint="eastAsia" w:ascii="宋体" w:hAnsi="宋体" w:cs="宋体"/>
                <w:color w:val="auto"/>
                <w:sz w:val="24"/>
                <w:szCs w:val="24"/>
                <w:lang w:val="zh-CN"/>
              </w:rPr>
              <w:t>）、中国政府招标网（</w:t>
            </w:r>
            <w:r>
              <w:rPr>
                <w:rFonts w:ascii="宋体" w:hAnsi="宋体" w:cs="宋体"/>
                <w:color w:val="auto"/>
                <w:sz w:val="24"/>
                <w:szCs w:val="24"/>
                <w:lang w:val="zh-CN"/>
              </w:rPr>
              <w:t>www.ccgp.gov.cn</w:t>
            </w:r>
            <w:r>
              <w:rPr>
                <w:rFonts w:hint="eastAsia" w:ascii="宋体" w:hAnsi="宋体" w:cs="宋体"/>
                <w:color w:val="auto"/>
                <w:sz w:val="24"/>
                <w:szCs w:val="24"/>
                <w:lang w:val="zh-CN"/>
              </w:rPr>
              <w:t>）。</w:t>
            </w:r>
          </w:p>
          <w:p>
            <w:pPr>
              <w:adjustRightInd w:val="0"/>
              <w:snapToGrid w:val="0"/>
              <w:spacing w:line="360" w:lineRule="auto"/>
              <w:rPr>
                <w:rFonts w:ascii="宋体"/>
                <w:color w:val="auto"/>
                <w:sz w:val="24"/>
                <w:szCs w:val="24"/>
                <w:lang w:val="zh-CN"/>
              </w:rPr>
            </w:pPr>
            <w:r>
              <w:rPr>
                <w:rFonts w:ascii="宋体" w:hAnsi="宋体" w:cs="宋体"/>
                <w:color w:val="auto"/>
                <w:sz w:val="24"/>
                <w:szCs w:val="24"/>
                <w:lang w:val="zh-CN"/>
              </w:rPr>
              <w:t>3</w:t>
            </w:r>
            <w:r>
              <w:rPr>
                <w:rFonts w:hint="eastAsia" w:ascii="宋体" w:hAnsi="宋体" w:cs="宋体"/>
                <w:color w:val="auto"/>
                <w:sz w:val="24"/>
                <w:szCs w:val="24"/>
                <w:lang w:val="zh-CN"/>
              </w:rPr>
              <w:t>）信用信息截止时点为投标文件递交截止日。</w:t>
            </w:r>
          </w:p>
          <w:p>
            <w:pPr>
              <w:adjustRightInd w:val="0"/>
              <w:snapToGrid w:val="0"/>
              <w:spacing w:line="360" w:lineRule="auto"/>
              <w:rPr>
                <w:rFonts w:ascii="宋体"/>
                <w:color w:val="auto"/>
                <w:sz w:val="24"/>
                <w:szCs w:val="24"/>
                <w:lang w:val="zh-CN"/>
              </w:rPr>
            </w:pPr>
            <w:r>
              <w:rPr>
                <w:rFonts w:ascii="宋体" w:hAnsi="宋体" w:cs="宋体"/>
                <w:color w:val="auto"/>
                <w:sz w:val="24"/>
                <w:szCs w:val="24"/>
                <w:lang w:val="zh-CN"/>
              </w:rPr>
              <w:t>4</w:t>
            </w:r>
            <w:r>
              <w:rPr>
                <w:rFonts w:hint="eastAsia" w:ascii="宋体" w:hAnsi="宋体" w:cs="宋体"/>
                <w:color w:val="auto"/>
                <w:sz w:val="24"/>
                <w:szCs w:val="24"/>
                <w:lang w:val="zh-CN"/>
              </w:rPr>
              <w:t>）信用信息查询记录和证据以网页截图等方式留存。</w:t>
            </w:r>
          </w:p>
          <w:p>
            <w:pPr>
              <w:adjustRightInd w:val="0"/>
              <w:snapToGrid w:val="0"/>
              <w:spacing w:line="360" w:lineRule="auto"/>
              <w:rPr>
                <w:rFonts w:ascii="宋体"/>
                <w:b/>
                <w:bCs/>
                <w:color w:val="auto"/>
                <w:sz w:val="24"/>
                <w:szCs w:val="24"/>
              </w:rPr>
            </w:pPr>
            <w:r>
              <w:rPr>
                <w:rFonts w:ascii="宋体" w:hAnsi="宋体" w:cs="宋体"/>
                <w:color w:val="auto"/>
                <w:sz w:val="24"/>
                <w:szCs w:val="24"/>
                <w:lang w:val="zh-CN"/>
              </w:rPr>
              <w:t>5</w:t>
            </w:r>
            <w:r>
              <w:rPr>
                <w:rFonts w:hint="eastAsia" w:ascii="宋体" w:hAnsi="宋体" w:cs="宋体"/>
                <w:color w:val="auto"/>
                <w:sz w:val="24"/>
                <w:szCs w:val="24"/>
                <w:lang w:val="zh-CN"/>
              </w:rPr>
              <w:t>）投标截止日当日网站显示的信用信息将作为资格审查的依据。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kern w:val="0"/>
                <w:sz w:val="24"/>
                <w:szCs w:val="24"/>
              </w:rPr>
            </w:pPr>
            <w:r>
              <w:rPr>
                <w:rFonts w:ascii="宋体" w:hAnsi="宋体" w:cs="宋体"/>
                <w:color w:val="auto"/>
                <w:kern w:val="0"/>
                <w:sz w:val="24"/>
                <w:szCs w:val="24"/>
              </w:rPr>
              <w:t>17</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color w:val="auto"/>
                <w:sz w:val="24"/>
                <w:szCs w:val="24"/>
              </w:rPr>
            </w:pPr>
            <w:r>
              <w:rPr>
                <w:rFonts w:hint="eastAsia" w:ascii="宋体" w:hAnsi="宋体" w:cs="宋体"/>
                <w:color w:val="auto"/>
                <w:sz w:val="24"/>
                <w:szCs w:val="24"/>
              </w:rPr>
              <w:t>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杭州市政府采购支持中小企业信用融资管理办法》，或登陆杭州市政府采购网（</w:t>
            </w:r>
            <w:r>
              <w:rPr>
                <w:rFonts w:ascii="宋体" w:hAnsi="宋体" w:cs="宋体"/>
                <w:color w:val="auto"/>
                <w:sz w:val="24"/>
                <w:szCs w:val="24"/>
              </w:rPr>
              <w:t>http://cg.hzft.gov.cn</w:t>
            </w:r>
            <w:r>
              <w:rPr>
                <w:rFonts w:hint="eastAsia" w:ascii="宋体" w:hAnsi="宋体" w:cs="宋体"/>
                <w:color w:val="auto"/>
                <w:sz w:val="24"/>
                <w:szCs w:val="24"/>
              </w:rPr>
              <w:t>）“中小企业信用融资”专栏，查看信用融资政策文件及各相关银行服务方案。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 w:hRule="atLeast"/>
        </w:trPr>
        <w:tc>
          <w:tcPr>
            <w:tcW w:w="344" w:type="pct"/>
            <w:tcBorders>
              <w:top w:val="single" w:color="000000" w:sz="2"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宋体" w:hAnsi="宋体" w:cs="宋体"/>
                <w:color w:val="auto"/>
                <w:sz w:val="24"/>
                <w:szCs w:val="24"/>
              </w:rPr>
            </w:pPr>
            <w:r>
              <w:rPr>
                <w:rFonts w:ascii="宋体" w:hAnsi="宋体" w:cs="宋体"/>
                <w:color w:val="auto"/>
                <w:sz w:val="24"/>
                <w:szCs w:val="24"/>
              </w:rPr>
              <w:t>18</w:t>
            </w:r>
          </w:p>
        </w:tc>
        <w:tc>
          <w:tcPr>
            <w:tcW w:w="4655" w:type="pct"/>
            <w:gridSpan w:val="2"/>
            <w:tcBorders>
              <w:top w:val="single" w:color="000000" w:sz="2" w:space="0"/>
              <w:left w:val="single" w:color="000000" w:sz="2" w:space="0"/>
              <w:bottom w:val="single" w:color="auto" w:sz="4" w:space="0"/>
              <w:right w:val="single" w:color="000000" w:sz="8" w:space="0"/>
            </w:tcBorders>
            <w:vAlign w:val="center"/>
          </w:tcPr>
          <w:p>
            <w:pPr>
              <w:adjustRightInd w:val="0"/>
              <w:snapToGrid w:val="0"/>
              <w:spacing w:line="360" w:lineRule="auto"/>
              <w:rPr>
                <w:rFonts w:ascii="宋体"/>
                <w:b/>
                <w:bCs/>
                <w:color w:val="auto"/>
                <w:kern w:val="0"/>
                <w:sz w:val="24"/>
                <w:szCs w:val="24"/>
                <w:lang w:val="zh-CN"/>
              </w:rPr>
            </w:pPr>
            <w:r>
              <w:rPr>
                <w:rFonts w:hint="eastAsia" w:ascii="宋体" w:hAnsi="宋体" w:cs="宋体"/>
                <w:b/>
                <w:bCs/>
                <w:color w:val="auto"/>
                <w:kern w:val="10"/>
                <w:sz w:val="24"/>
                <w:szCs w:val="24"/>
              </w:rPr>
              <w:t>注：</w:t>
            </w:r>
            <w:r>
              <w:rPr>
                <w:rFonts w:hint="eastAsia" w:ascii="宋体" w:hAnsi="宋体" w:cs="宋体"/>
                <w:color w:val="auto"/>
                <w:kern w:val="10"/>
                <w:sz w:val="24"/>
                <w:szCs w:val="24"/>
              </w:rPr>
              <w:t>根据浙江省财政厅文件浙财采监</w:t>
            </w:r>
            <w:r>
              <w:rPr>
                <w:rFonts w:ascii="宋体" w:hAnsi="宋体" w:cs="宋体"/>
                <w:color w:val="auto"/>
                <w:kern w:val="10"/>
                <w:sz w:val="24"/>
                <w:szCs w:val="24"/>
              </w:rPr>
              <w:t>[2016]13</w:t>
            </w:r>
            <w:r>
              <w:rPr>
                <w:rFonts w:hint="eastAsia" w:ascii="宋体" w:hAnsi="宋体" w:cs="宋体"/>
                <w:color w:val="auto"/>
                <w:kern w:val="10"/>
                <w:sz w:val="24"/>
                <w:szCs w:val="24"/>
              </w:rPr>
              <w:t>号文件《关于印发浙江省政府招标活动现场组织管理办法的通知》要求，本项目按浙江省政府招标活动现场组织管理办法实施。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rPr>
        <w:tc>
          <w:tcPr>
            <w:tcW w:w="344"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宋体" w:hAnsi="宋体" w:cs="宋体"/>
                <w:color w:val="auto"/>
                <w:kern w:val="0"/>
                <w:sz w:val="24"/>
                <w:szCs w:val="24"/>
              </w:rPr>
            </w:pPr>
            <w:r>
              <w:rPr>
                <w:rFonts w:ascii="宋体" w:hAnsi="宋体" w:cs="宋体"/>
                <w:color w:val="auto"/>
                <w:kern w:val="0"/>
                <w:sz w:val="24"/>
                <w:szCs w:val="24"/>
              </w:rPr>
              <w:t>19</w:t>
            </w:r>
          </w:p>
        </w:tc>
        <w:tc>
          <w:tcPr>
            <w:tcW w:w="4655"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宋体"/>
                <w:b/>
                <w:bCs/>
                <w:color w:val="auto"/>
                <w:kern w:val="10"/>
                <w:sz w:val="24"/>
                <w:szCs w:val="24"/>
              </w:rPr>
            </w:pPr>
            <w:r>
              <w:rPr>
                <w:rFonts w:hint="eastAsia" w:ascii="宋体" w:hAnsi="宋体" w:cs="宋体"/>
                <w:b/>
                <w:bCs/>
                <w:color w:val="auto"/>
                <w:kern w:val="10"/>
                <w:sz w:val="24"/>
                <w:szCs w:val="24"/>
              </w:rPr>
              <w:t>本项目资格审查采用资格后审方式。</w:t>
            </w:r>
          </w:p>
        </w:tc>
      </w:tr>
    </w:tbl>
    <w:p>
      <w:pPr>
        <w:pStyle w:val="8"/>
        <w:spacing w:line="360" w:lineRule="auto"/>
        <w:jc w:val="center"/>
        <w:outlineLvl w:val="1"/>
        <w:rPr>
          <w:rFonts w:hAnsi="宋体" w:cs="Calibri"/>
          <w:b/>
          <w:bCs/>
          <w:color w:val="auto"/>
          <w:sz w:val="32"/>
          <w:szCs w:val="32"/>
        </w:rPr>
      </w:pPr>
      <w:r>
        <w:rPr>
          <w:rFonts w:hAnsi="宋体" w:cs="Calibri"/>
          <w:color w:val="auto"/>
          <w:sz w:val="32"/>
          <w:szCs w:val="32"/>
        </w:rPr>
        <w:br w:type="page"/>
      </w:r>
      <w:bookmarkStart w:id="12" w:name="_Toc394001373"/>
      <w:bookmarkStart w:id="13" w:name="_Toc351898256"/>
      <w:r>
        <w:rPr>
          <w:rFonts w:hint="eastAsia" w:hAnsi="宋体"/>
          <w:b/>
          <w:bCs/>
          <w:color w:val="auto"/>
          <w:sz w:val="32"/>
          <w:szCs w:val="32"/>
        </w:rPr>
        <w:t>一、总</w:t>
      </w:r>
      <w:r>
        <w:rPr>
          <w:rFonts w:hAnsi="宋体"/>
          <w:b/>
          <w:bCs/>
          <w:color w:val="auto"/>
          <w:sz w:val="32"/>
          <w:szCs w:val="32"/>
        </w:rPr>
        <w:t xml:space="preserve">  </w:t>
      </w:r>
      <w:r>
        <w:rPr>
          <w:rFonts w:hint="eastAsia" w:hAnsi="宋体"/>
          <w:b/>
          <w:bCs/>
          <w:color w:val="auto"/>
          <w:sz w:val="32"/>
          <w:szCs w:val="32"/>
        </w:rPr>
        <w:t>则</w:t>
      </w:r>
      <w:bookmarkEnd w:id="12"/>
      <w:bookmarkEnd w:id="13"/>
    </w:p>
    <w:p>
      <w:pPr>
        <w:pStyle w:val="8"/>
        <w:adjustRightInd w:val="0"/>
        <w:snapToGrid w:val="0"/>
        <w:spacing w:line="360" w:lineRule="auto"/>
        <w:rPr>
          <w:rFonts w:hAnsi="宋体" w:cs="Calibri"/>
          <w:b/>
          <w:bCs/>
          <w:color w:val="auto"/>
          <w:sz w:val="24"/>
          <w:szCs w:val="24"/>
        </w:rPr>
      </w:pPr>
      <w:bookmarkStart w:id="14" w:name="_Toc91899872"/>
      <w:bookmarkStart w:id="15" w:name="_Hlt74730208"/>
      <w:bookmarkStart w:id="16" w:name="_Hlt74730112"/>
      <w:r>
        <w:rPr>
          <w:rFonts w:hAnsi="宋体"/>
          <w:b/>
          <w:bCs/>
          <w:color w:val="auto"/>
          <w:sz w:val="24"/>
          <w:szCs w:val="24"/>
        </w:rPr>
        <w:t>1</w:t>
      </w:r>
      <w:r>
        <w:rPr>
          <w:rFonts w:hint="eastAsia" w:hAnsi="宋体"/>
          <w:b/>
          <w:bCs/>
          <w:color w:val="auto"/>
          <w:sz w:val="24"/>
          <w:szCs w:val="24"/>
          <w:lang w:val="zh-CN"/>
        </w:rPr>
        <w:t>、</w:t>
      </w:r>
      <w:r>
        <w:rPr>
          <w:rFonts w:hint="eastAsia" w:hAnsi="宋体"/>
          <w:b/>
          <w:bCs/>
          <w:color w:val="auto"/>
          <w:sz w:val="24"/>
          <w:szCs w:val="24"/>
        </w:rPr>
        <w:t>项目说明</w:t>
      </w:r>
      <w:bookmarkEnd w:id="14"/>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1.1 </w:t>
      </w:r>
      <w:r>
        <w:rPr>
          <w:rFonts w:hint="eastAsia" w:ascii="宋体" w:hAnsi="宋体" w:cs="宋体"/>
          <w:color w:val="auto"/>
          <w:sz w:val="24"/>
          <w:szCs w:val="24"/>
        </w:rPr>
        <w:t>项目说明见投标须知前附表</w:t>
      </w:r>
      <w:r>
        <w:rPr>
          <w:rFonts w:ascii="宋体" w:hAnsi="宋体" w:cs="宋体"/>
          <w:color w:val="auto"/>
          <w:sz w:val="24"/>
          <w:szCs w:val="24"/>
        </w:rPr>
        <w:t>(</w:t>
      </w:r>
      <w:r>
        <w:rPr>
          <w:rFonts w:hint="eastAsia" w:ascii="宋体" w:hAnsi="宋体" w:cs="宋体"/>
          <w:color w:val="auto"/>
          <w:sz w:val="24"/>
          <w:szCs w:val="24"/>
        </w:rPr>
        <w:t>以下称“前附表”</w:t>
      </w:r>
      <w:r>
        <w:rPr>
          <w:rFonts w:ascii="宋体" w:hAnsi="宋体" w:cs="宋体"/>
          <w:color w:val="auto"/>
          <w:sz w:val="24"/>
          <w:szCs w:val="24"/>
        </w:rPr>
        <w:t xml:space="preserve">) </w:t>
      </w:r>
      <w:r>
        <w:rPr>
          <w:rFonts w:hint="eastAsia" w:ascii="宋体" w:hAnsi="宋体" w:cs="宋体"/>
          <w:color w:val="auto"/>
          <w:sz w:val="24"/>
          <w:szCs w:val="24"/>
        </w:rPr>
        <w:t>所述。</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1.2 </w:t>
      </w:r>
      <w:r>
        <w:rPr>
          <w:rFonts w:hint="eastAsia" w:ascii="宋体" w:hAnsi="宋体" w:cs="宋体"/>
          <w:color w:val="auto"/>
          <w:sz w:val="24"/>
          <w:szCs w:val="24"/>
        </w:rPr>
        <w:t>杭州市射击射箭运动中心为本项目的招标人</w:t>
      </w:r>
      <w:r>
        <w:rPr>
          <w:rFonts w:ascii="宋体" w:hAnsi="宋体" w:cs="宋体"/>
          <w:color w:val="auto"/>
          <w:sz w:val="24"/>
          <w:szCs w:val="24"/>
        </w:rPr>
        <w:t>(</w:t>
      </w:r>
      <w:r>
        <w:rPr>
          <w:rFonts w:hint="eastAsia" w:ascii="宋体" w:hAnsi="宋体" w:cs="宋体"/>
          <w:color w:val="auto"/>
          <w:sz w:val="24"/>
          <w:szCs w:val="24"/>
        </w:rPr>
        <w:t>合同中的甲方</w:t>
      </w:r>
      <w:r>
        <w:rPr>
          <w:rFonts w:ascii="宋体" w:hAnsi="宋体" w:cs="宋体"/>
          <w:color w:val="auto"/>
          <w:sz w:val="24"/>
          <w:szCs w:val="24"/>
        </w:rPr>
        <w:t>)</w:t>
      </w:r>
      <w:r>
        <w:rPr>
          <w:rFonts w:hint="eastAsia" w:ascii="宋体" w:hAnsi="宋体" w:cs="宋体"/>
          <w:color w:val="auto"/>
          <w:sz w:val="24"/>
          <w:szCs w:val="24"/>
        </w:rPr>
        <w:t>，浙江联通工程咨询有限公司为招标代理机构，自愿参加本次项目投标的公司为投标人，经评审产生并经批准的投标人为预中标人，经公示无异议，并签订合同后的中标人为供应商</w:t>
      </w:r>
      <w:r>
        <w:rPr>
          <w:rFonts w:ascii="宋体" w:hAnsi="宋体" w:cs="宋体"/>
          <w:color w:val="auto"/>
          <w:sz w:val="24"/>
          <w:szCs w:val="24"/>
        </w:rPr>
        <w:t>(</w:t>
      </w:r>
      <w:r>
        <w:rPr>
          <w:rFonts w:hint="eastAsia" w:ascii="宋体" w:hAnsi="宋体" w:cs="宋体"/>
          <w:color w:val="auto"/>
          <w:sz w:val="24"/>
          <w:szCs w:val="24"/>
        </w:rPr>
        <w:t>合同中的乙方</w:t>
      </w:r>
      <w:r>
        <w:rPr>
          <w:rFonts w:ascii="宋体" w:hAnsi="宋体" w:cs="宋体"/>
          <w:color w:val="auto"/>
          <w:sz w:val="24"/>
          <w:szCs w:val="24"/>
        </w:rPr>
        <w:t>)</w:t>
      </w:r>
      <w:r>
        <w:rPr>
          <w:rFonts w:hint="eastAsia" w:ascii="宋体" w:hAnsi="宋体" w:cs="宋体"/>
          <w:color w:val="auto"/>
          <w:sz w:val="24"/>
          <w:szCs w:val="24"/>
        </w:rPr>
        <w:t>。</w:t>
      </w:r>
    </w:p>
    <w:p>
      <w:pPr>
        <w:tabs>
          <w:tab w:val="left" w:pos="3780"/>
        </w:tabs>
        <w:spacing w:line="360" w:lineRule="auto"/>
        <w:ind w:firstLine="480" w:firstLineChars="200"/>
        <w:rPr>
          <w:rFonts w:ascii="宋体"/>
          <w:color w:val="auto"/>
          <w:sz w:val="24"/>
          <w:szCs w:val="24"/>
        </w:rPr>
      </w:pPr>
      <w:r>
        <w:rPr>
          <w:rFonts w:ascii="宋体" w:hAnsi="宋体" w:cs="宋体"/>
          <w:color w:val="auto"/>
          <w:sz w:val="24"/>
          <w:szCs w:val="24"/>
        </w:rPr>
        <w:t xml:space="preserve">1.3 </w:t>
      </w:r>
      <w:r>
        <w:rPr>
          <w:rFonts w:hint="eastAsia" w:ascii="宋体" w:hAnsi="宋体" w:cs="宋体"/>
          <w:color w:val="auto"/>
          <w:sz w:val="24"/>
          <w:szCs w:val="24"/>
        </w:rPr>
        <w:t>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auto"/>
          <w:kern w:val="0"/>
          <w:sz w:val="24"/>
          <w:szCs w:val="24"/>
          <w:lang w:val="zh-CN"/>
        </w:rPr>
        <w:t>供应商</w:t>
      </w:r>
      <w:r>
        <w:rPr>
          <w:rFonts w:hint="eastAsia" w:ascii="宋体" w:hAnsi="宋体" w:cs="宋体"/>
          <w:color w:val="auto"/>
          <w:sz w:val="24"/>
          <w:szCs w:val="24"/>
        </w:rPr>
        <w:t>应承担相应后果，</w:t>
      </w:r>
      <w:r>
        <w:rPr>
          <w:rFonts w:hint="eastAsia" w:ascii="宋体" w:hAnsi="宋体" w:cs="宋体"/>
          <w:color w:val="auto"/>
          <w:kern w:val="0"/>
          <w:sz w:val="24"/>
          <w:szCs w:val="24"/>
          <w:lang w:val="zh-CN"/>
        </w:rPr>
        <w:t>并负责赔偿。</w:t>
      </w:r>
      <w:r>
        <w:rPr>
          <w:rFonts w:hint="eastAsia" w:ascii="宋体" w:hAnsi="宋体" w:cs="宋体"/>
          <w:color w:val="auto"/>
          <w:sz w:val="24"/>
          <w:szCs w:val="24"/>
        </w:rPr>
        <w:t>供应商为执行本项目合同而提供的技术资料等归招标人所有。</w:t>
      </w:r>
    </w:p>
    <w:p>
      <w:pPr>
        <w:pStyle w:val="8"/>
        <w:adjustRightInd w:val="0"/>
        <w:snapToGrid w:val="0"/>
        <w:spacing w:line="360" w:lineRule="auto"/>
        <w:rPr>
          <w:rFonts w:hAnsi="宋体" w:cs="Calibri"/>
          <w:b/>
          <w:bCs/>
          <w:color w:val="auto"/>
          <w:sz w:val="24"/>
          <w:szCs w:val="24"/>
        </w:rPr>
      </w:pPr>
      <w:bookmarkStart w:id="17" w:name="_Toc91899873"/>
      <w:r>
        <w:rPr>
          <w:rFonts w:hAnsi="宋体"/>
          <w:b/>
          <w:bCs/>
          <w:color w:val="auto"/>
          <w:sz w:val="24"/>
          <w:szCs w:val="24"/>
        </w:rPr>
        <w:t>2</w:t>
      </w:r>
      <w:r>
        <w:rPr>
          <w:rFonts w:hint="eastAsia" w:hAnsi="宋体"/>
          <w:b/>
          <w:bCs/>
          <w:color w:val="auto"/>
          <w:sz w:val="24"/>
          <w:szCs w:val="24"/>
          <w:lang w:val="zh-CN"/>
        </w:rPr>
        <w:t>、</w:t>
      </w:r>
      <w:r>
        <w:rPr>
          <w:rFonts w:hint="eastAsia" w:hAnsi="宋体"/>
          <w:b/>
          <w:bCs/>
          <w:color w:val="auto"/>
          <w:sz w:val="24"/>
          <w:szCs w:val="24"/>
        </w:rPr>
        <w:t>招标</w:t>
      </w:r>
      <w:bookmarkEnd w:id="17"/>
      <w:r>
        <w:rPr>
          <w:rFonts w:hint="eastAsia" w:hAnsi="宋体"/>
          <w:b/>
          <w:bCs/>
          <w:color w:val="auto"/>
          <w:sz w:val="24"/>
          <w:szCs w:val="24"/>
        </w:rPr>
        <w:t>方式</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公开招标。</w:t>
      </w:r>
      <w:bookmarkEnd w:id="15"/>
      <w:bookmarkEnd w:id="16"/>
      <w:bookmarkStart w:id="18" w:name="_Hlt74388212"/>
      <w:bookmarkEnd w:id="18"/>
      <w:bookmarkStart w:id="19" w:name="_Hlt68516771"/>
      <w:bookmarkEnd w:id="19"/>
    </w:p>
    <w:p>
      <w:pPr>
        <w:adjustRightInd w:val="0"/>
        <w:snapToGrid w:val="0"/>
        <w:spacing w:line="360" w:lineRule="auto"/>
        <w:rPr>
          <w:rFonts w:ascii="宋体"/>
          <w:b/>
          <w:bCs/>
          <w:color w:val="auto"/>
          <w:sz w:val="24"/>
          <w:szCs w:val="24"/>
        </w:rPr>
      </w:pPr>
      <w:bookmarkStart w:id="20" w:name="_Hlt74730301"/>
      <w:bookmarkStart w:id="21" w:name="_Toc91899876"/>
      <w:r>
        <w:rPr>
          <w:rFonts w:ascii="宋体" w:hAnsi="宋体" w:cs="宋体"/>
          <w:b/>
          <w:bCs/>
          <w:color w:val="auto"/>
          <w:sz w:val="24"/>
          <w:szCs w:val="24"/>
        </w:rPr>
        <w:t>3</w:t>
      </w:r>
      <w:bookmarkEnd w:id="20"/>
      <w:bookmarkEnd w:id="21"/>
      <w:bookmarkStart w:id="22" w:name="_Toc91899877"/>
      <w:bookmarkStart w:id="23" w:name="_Hlt74730303"/>
      <w:r>
        <w:rPr>
          <w:rFonts w:hint="eastAsia" w:ascii="宋体" w:hAnsi="宋体" w:cs="宋体"/>
          <w:b/>
          <w:bCs/>
          <w:color w:val="auto"/>
          <w:kern w:val="0"/>
          <w:sz w:val="24"/>
          <w:szCs w:val="24"/>
          <w:lang w:val="zh-CN"/>
        </w:rPr>
        <w:t>、定义</w:t>
      </w:r>
    </w:p>
    <w:p>
      <w:pPr>
        <w:adjustRightInd w:val="0"/>
        <w:snapToGrid w:val="0"/>
        <w:spacing w:line="360" w:lineRule="auto"/>
        <w:ind w:firstLine="352" w:firstLineChars="147"/>
        <w:rPr>
          <w:rFonts w:ascii="宋体"/>
          <w:color w:val="auto"/>
          <w:kern w:val="0"/>
          <w:sz w:val="24"/>
          <w:szCs w:val="24"/>
        </w:rPr>
      </w:pPr>
      <w:r>
        <w:rPr>
          <w:rFonts w:ascii="宋体" w:hAnsi="宋体" w:cs="宋体"/>
          <w:color w:val="auto"/>
          <w:sz w:val="24"/>
          <w:szCs w:val="24"/>
        </w:rPr>
        <w:t xml:space="preserve">3.1 </w:t>
      </w:r>
      <w:r>
        <w:rPr>
          <w:rFonts w:hint="eastAsia" w:ascii="宋体" w:hAnsi="宋体" w:cs="宋体"/>
          <w:color w:val="auto"/>
          <w:kern w:val="0"/>
          <w:sz w:val="24"/>
          <w:szCs w:val="24"/>
          <w:lang w:val="zh-CN"/>
        </w:rPr>
        <w:t>合格的投标人应具备的资格要求，见招标文件第一部分“招标公告”。</w:t>
      </w:r>
    </w:p>
    <w:p>
      <w:pPr>
        <w:shd w:val="clear" w:color="auto" w:fill="FFFFFF"/>
        <w:adjustRightInd w:val="0"/>
        <w:snapToGrid w:val="0"/>
        <w:spacing w:line="360" w:lineRule="auto"/>
        <w:ind w:firstLine="240" w:firstLineChars="100"/>
        <w:rPr>
          <w:rFonts w:ascii="宋体"/>
          <w:color w:val="auto"/>
          <w:kern w:val="0"/>
          <w:sz w:val="24"/>
          <w:szCs w:val="24"/>
        </w:rPr>
      </w:pPr>
      <w:r>
        <w:rPr>
          <w:rFonts w:ascii="宋体" w:hAnsi="宋体" w:cs="宋体"/>
          <w:color w:val="auto"/>
          <w:sz w:val="24"/>
          <w:szCs w:val="24"/>
        </w:rPr>
        <w:t xml:space="preserve">3.2 </w:t>
      </w:r>
      <w:r>
        <w:rPr>
          <w:rFonts w:hint="eastAsia" w:ascii="宋体" w:hAnsi="宋体" w:cs="宋体"/>
          <w:b/>
          <w:bCs/>
          <w:color w:val="auto"/>
          <w:sz w:val="24"/>
          <w:szCs w:val="24"/>
        </w:rPr>
        <w:t>服务</w:t>
      </w:r>
      <w:r>
        <w:rPr>
          <w:rFonts w:ascii="宋体" w:hAnsi="宋体" w:cs="宋体"/>
          <w:b/>
          <w:bCs/>
          <w:color w:val="auto"/>
          <w:sz w:val="24"/>
          <w:szCs w:val="24"/>
        </w:rPr>
        <w:t xml:space="preserve"> </w:t>
      </w:r>
      <w:r>
        <w:rPr>
          <w:rFonts w:hint="eastAsia" w:ascii="宋体" w:hAnsi="宋体" w:cs="宋体"/>
          <w:color w:val="auto"/>
          <w:kern w:val="0"/>
          <w:sz w:val="24"/>
          <w:szCs w:val="24"/>
          <w:lang w:val="zh-CN"/>
        </w:rPr>
        <w:t>系</w:t>
      </w:r>
      <w:r>
        <w:rPr>
          <w:rFonts w:hint="eastAsia" w:ascii="宋体" w:hAnsi="宋体" w:cs="宋体"/>
          <w:color w:val="auto"/>
          <w:sz w:val="24"/>
          <w:szCs w:val="24"/>
        </w:rPr>
        <w:t>根据本合同规定中标人必须承担有关的服务和合同中规定中标人应承担的义务，以及合同中未规定，但依法有利于合同履行原则，应当由中标人承担的其它义务。</w:t>
      </w:r>
    </w:p>
    <w:p>
      <w:pPr>
        <w:pStyle w:val="8"/>
        <w:adjustRightInd w:val="0"/>
        <w:snapToGrid w:val="0"/>
        <w:spacing w:line="360" w:lineRule="auto"/>
        <w:rPr>
          <w:rFonts w:hAnsi="宋体" w:cs="Calibri"/>
          <w:b/>
          <w:bCs/>
          <w:color w:val="auto"/>
          <w:sz w:val="24"/>
          <w:szCs w:val="24"/>
        </w:rPr>
      </w:pPr>
      <w:r>
        <w:rPr>
          <w:rFonts w:hAnsi="宋体"/>
          <w:b/>
          <w:bCs/>
          <w:color w:val="auto"/>
          <w:sz w:val="24"/>
          <w:szCs w:val="24"/>
        </w:rPr>
        <w:t>4</w:t>
      </w:r>
      <w:r>
        <w:rPr>
          <w:rFonts w:hint="eastAsia" w:hAnsi="宋体"/>
          <w:b/>
          <w:bCs/>
          <w:color w:val="auto"/>
          <w:sz w:val="24"/>
          <w:szCs w:val="24"/>
          <w:lang w:val="zh-CN"/>
        </w:rPr>
        <w:t>、</w:t>
      </w:r>
      <w:r>
        <w:rPr>
          <w:rFonts w:hint="eastAsia" w:hAnsi="宋体"/>
          <w:b/>
          <w:bCs/>
          <w:color w:val="auto"/>
          <w:sz w:val="24"/>
          <w:szCs w:val="24"/>
        </w:rPr>
        <w:t>投标费用</w:t>
      </w:r>
      <w:bookmarkEnd w:id="22"/>
    </w:p>
    <w:bookmarkEnd w:id="23"/>
    <w:p>
      <w:pPr>
        <w:adjustRightInd w:val="0"/>
        <w:snapToGrid w:val="0"/>
        <w:spacing w:line="360" w:lineRule="auto"/>
        <w:ind w:firstLine="523" w:firstLineChars="218"/>
        <w:rPr>
          <w:rFonts w:hAnsi="宋体"/>
          <w:b/>
          <w:bCs/>
          <w:color w:val="auto"/>
          <w:sz w:val="24"/>
          <w:szCs w:val="24"/>
        </w:rPr>
      </w:pPr>
      <w:r>
        <w:rPr>
          <w:rFonts w:hint="eastAsia" w:ascii="宋体" w:hAnsi="宋体" w:cs="宋体"/>
          <w:color w:val="auto"/>
          <w:sz w:val="24"/>
          <w:szCs w:val="24"/>
        </w:rPr>
        <w:t>投标人需自行承担涉及投标的一切费用</w:t>
      </w:r>
      <w:r>
        <w:rPr>
          <w:rFonts w:hint="eastAsia" w:ascii="宋体" w:hAnsi="宋体" w:cs="宋体"/>
          <w:color w:val="auto"/>
          <w:sz w:val="24"/>
          <w:szCs w:val="24"/>
          <w:lang w:val="zh-CN"/>
        </w:rPr>
        <w:t>。</w:t>
      </w:r>
      <w:bookmarkStart w:id="24" w:name="_Hlt75236290"/>
      <w:bookmarkEnd w:id="24"/>
      <w:bookmarkStart w:id="25" w:name="_Hlt74729768"/>
      <w:bookmarkEnd w:id="25"/>
      <w:bookmarkStart w:id="26" w:name="_Hlt68057669"/>
      <w:bookmarkEnd w:id="26"/>
      <w:bookmarkStart w:id="27" w:name="_Hlt74707468"/>
      <w:bookmarkEnd w:id="27"/>
      <w:bookmarkStart w:id="28" w:name="_Hlt68072990"/>
      <w:bookmarkEnd w:id="28"/>
    </w:p>
    <w:p>
      <w:pPr>
        <w:pStyle w:val="8"/>
        <w:spacing w:line="360" w:lineRule="auto"/>
        <w:jc w:val="center"/>
        <w:outlineLvl w:val="1"/>
        <w:rPr>
          <w:rFonts w:hAnsi="宋体" w:cs="Calibri"/>
          <w:b/>
          <w:bCs/>
          <w:color w:val="auto"/>
          <w:sz w:val="32"/>
          <w:szCs w:val="32"/>
        </w:rPr>
      </w:pPr>
      <w:bookmarkStart w:id="29" w:name="_Toc351898257"/>
      <w:bookmarkStart w:id="30" w:name="_Toc394001374"/>
      <w:r>
        <w:rPr>
          <w:rFonts w:hint="eastAsia" w:hAnsi="宋体"/>
          <w:b/>
          <w:bCs/>
          <w:color w:val="auto"/>
          <w:sz w:val="32"/>
          <w:szCs w:val="32"/>
        </w:rPr>
        <w:t>二、招标文件</w:t>
      </w:r>
      <w:bookmarkEnd w:id="29"/>
      <w:bookmarkEnd w:id="30"/>
    </w:p>
    <w:p>
      <w:pPr>
        <w:pStyle w:val="8"/>
        <w:spacing w:line="360" w:lineRule="auto"/>
        <w:rPr>
          <w:rFonts w:hAnsi="宋体" w:cs="Calibri"/>
          <w:b/>
          <w:bCs/>
          <w:color w:val="auto"/>
          <w:sz w:val="24"/>
          <w:szCs w:val="24"/>
        </w:rPr>
      </w:pPr>
      <w:r>
        <w:rPr>
          <w:rFonts w:hAnsi="宋体"/>
          <w:b/>
          <w:bCs/>
          <w:color w:val="auto"/>
          <w:sz w:val="24"/>
          <w:szCs w:val="24"/>
        </w:rPr>
        <w:t>1</w:t>
      </w:r>
      <w:r>
        <w:rPr>
          <w:rFonts w:hint="eastAsia" w:hAnsi="宋体"/>
          <w:b/>
          <w:bCs/>
          <w:color w:val="auto"/>
          <w:sz w:val="24"/>
          <w:szCs w:val="24"/>
        </w:rPr>
        <w:t>、招标文件的组成</w:t>
      </w:r>
    </w:p>
    <w:p>
      <w:pPr>
        <w:pStyle w:val="8"/>
        <w:spacing w:line="360" w:lineRule="auto"/>
        <w:ind w:firstLine="480" w:firstLineChars="200"/>
        <w:rPr>
          <w:rFonts w:hAnsi="宋体" w:cs="Calibri"/>
          <w:color w:val="auto"/>
          <w:sz w:val="24"/>
          <w:szCs w:val="24"/>
        </w:rPr>
      </w:pPr>
      <w:r>
        <w:rPr>
          <w:rFonts w:hAnsi="宋体"/>
          <w:color w:val="auto"/>
          <w:sz w:val="24"/>
          <w:szCs w:val="24"/>
        </w:rPr>
        <w:t>1.1</w:t>
      </w:r>
      <w:r>
        <w:rPr>
          <w:rFonts w:hint="eastAsia" w:hAnsi="宋体"/>
          <w:color w:val="auto"/>
          <w:sz w:val="24"/>
          <w:szCs w:val="24"/>
        </w:rPr>
        <w:t>招标文件包括下列文件及附件：</w:t>
      </w:r>
    </w:p>
    <w:p>
      <w:pPr>
        <w:spacing w:line="360" w:lineRule="auto"/>
        <w:ind w:firstLine="960" w:firstLineChars="4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招标公告；</w:t>
      </w:r>
    </w:p>
    <w:p>
      <w:pPr>
        <w:spacing w:line="360" w:lineRule="auto"/>
        <w:ind w:firstLine="960" w:firstLineChars="400"/>
        <w:rPr>
          <w:rFonts w:ascii="宋体"/>
          <w:color w:val="auto"/>
          <w:sz w:val="24"/>
          <w:szCs w:val="24"/>
        </w:rPr>
      </w:pPr>
      <w:r>
        <w:rPr>
          <w:rFonts w:hint="eastAsia" w:ascii="宋体" w:hAnsi="宋体" w:cs="宋体"/>
          <w:color w:val="auto"/>
          <w:sz w:val="24"/>
          <w:szCs w:val="24"/>
        </w:rPr>
        <w:t>第二部分</w:t>
      </w:r>
      <w:r>
        <w:rPr>
          <w:rFonts w:ascii="宋体" w:hAnsi="宋体" w:cs="宋体"/>
          <w:color w:val="auto"/>
          <w:sz w:val="24"/>
          <w:szCs w:val="24"/>
        </w:rPr>
        <w:t xml:space="preserve"> </w:t>
      </w:r>
      <w:r>
        <w:rPr>
          <w:rFonts w:hint="eastAsia" w:ascii="宋体" w:hAnsi="宋体" w:cs="宋体"/>
          <w:color w:val="auto"/>
          <w:sz w:val="24"/>
          <w:szCs w:val="24"/>
        </w:rPr>
        <w:t>编制和提交投标文件须知；</w:t>
      </w:r>
    </w:p>
    <w:p>
      <w:pPr>
        <w:spacing w:line="360" w:lineRule="auto"/>
        <w:ind w:firstLine="960" w:firstLineChars="400"/>
        <w:rPr>
          <w:rFonts w:ascii="宋体"/>
          <w:color w:val="auto"/>
          <w:sz w:val="24"/>
          <w:szCs w:val="24"/>
        </w:rPr>
      </w:pPr>
      <w:r>
        <w:rPr>
          <w:rFonts w:hint="eastAsia" w:ascii="宋体" w:hAnsi="宋体" w:cs="宋体"/>
          <w:color w:val="auto"/>
          <w:sz w:val="24"/>
          <w:szCs w:val="24"/>
        </w:rPr>
        <w:t>第三部分</w:t>
      </w:r>
      <w:r>
        <w:rPr>
          <w:rFonts w:ascii="宋体" w:hAnsi="宋体" w:cs="宋体"/>
          <w:color w:val="auto"/>
          <w:sz w:val="24"/>
          <w:szCs w:val="24"/>
        </w:rPr>
        <w:t xml:space="preserve"> </w:t>
      </w:r>
      <w:r>
        <w:rPr>
          <w:rFonts w:hint="eastAsia" w:ascii="宋体" w:hAnsi="宋体" w:cs="宋体"/>
          <w:color w:val="auto"/>
          <w:sz w:val="24"/>
          <w:szCs w:val="24"/>
        </w:rPr>
        <w:t>项目技术规范和服务要求；</w:t>
      </w:r>
    </w:p>
    <w:p>
      <w:pPr>
        <w:spacing w:line="360" w:lineRule="auto"/>
        <w:ind w:firstLine="960" w:firstLineChars="400"/>
        <w:rPr>
          <w:rFonts w:ascii="宋体"/>
          <w:color w:val="auto"/>
          <w:sz w:val="24"/>
          <w:szCs w:val="24"/>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rPr>
        <w:t>招标合同的一般和特殊条款；</w:t>
      </w:r>
      <w:r>
        <w:rPr>
          <w:rFonts w:ascii="宋体" w:hAnsi="宋体" w:cs="宋体"/>
          <w:color w:val="auto"/>
          <w:sz w:val="24"/>
          <w:szCs w:val="24"/>
        </w:rPr>
        <w:t xml:space="preserve"> </w:t>
      </w:r>
    </w:p>
    <w:p>
      <w:pPr>
        <w:spacing w:line="360" w:lineRule="auto"/>
        <w:ind w:firstLine="960" w:firstLineChars="4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应提交的有关格式范例。</w:t>
      </w:r>
    </w:p>
    <w:p>
      <w:pPr>
        <w:spacing w:line="360" w:lineRule="auto"/>
        <w:ind w:firstLine="480" w:firstLineChars="200"/>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投标人应认真审阅招标文件中所有的内容，包括编制和提交投标文件须知、项目技术规范和服务要求、招标合同的主要条款、应提交的有关格式范例等。如果投标人编制的投标文件没有从实质上响应招标文件的要求，其投标文件将可能会被评审委员会认定无效。</w:t>
      </w:r>
    </w:p>
    <w:p>
      <w:pPr>
        <w:pStyle w:val="8"/>
        <w:spacing w:line="360" w:lineRule="auto"/>
        <w:rPr>
          <w:rFonts w:hAnsi="宋体" w:cs="Calibri"/>
          <w:color w:val="auto"/>
          <w:sz w:val="24"/>
          <w:szCs w:val="24"/>
        </w:rPr>
      </w:pPr>
      <w:r>
        <w:rPr>
          <w:rFonts w:hAnsi="宋体"/>
          <w:b/>
          <w:bCs/>
          <w:color w:val="auto"/>
          <w:sz w:val="24"/>
          <w:szCs w:val="24"/>
        </w:rPr>
        <w:t>2</w:t>
      </w:r>
      <w:r>
        <w:rPr>
          <w:rFonts w:hint="eastAsia" w:hAnsi="宋体"/>
          <w:b/>
          <w:bCs/>
          <w:color w:val="auto"/>
          <w:sz w:val="24"/>
          <w:szCs w:val="24"/>
        </w:rPr>
        <w:t>、招标文件的澄清</w:t>
      </w:r>
    </w:p>
    <w:p>
      <w:pPr>
        <w:pStyle w:val="27"/>
        <w:adjustRightInd w:val="0"/>
        <w:snapToGrid w:val="0"/>
        <w:spacing w:before="0"/>
        <w:ind w:left="120" w:leftChars="57" w:firstLine="31680"/>
        <w:rPr>
          <w:rFonts w:ascii="宋体"/>
          <w:color w:val="auto"/>
        </w:rPr>
      </w:pPr>
      <w:r>
        <w:rPr>
          <w:rFonts w:ascii="宋体" w:hAnsi="宋体" w:cs="宋体"/>
          <w:color w:val="auto"/>
        </w:rPr>
        <w:t xml:space="preserve">2.1 </w:t>
      </w:r>
      <w:r>
        <w:rPr>
          <w:rFonts w:hint="eastAsia" w:ascii="宋体" w:hAnsi="宋体" w:cs="宋体"/>
          <w:color w:val="auto"/>
        </w:rPr>
        <w:t>已获取招标文件的潜在投标人，若有问题需要澄清，应于开标前三个工作日前以书面形式送达招标代理机构</w:t>
      </w:r>
      <w:r>
        <w:rPr>
          <w:rFonts w:ascii="宋体" w:hAnsi="宋体" w:cs="宋体"/>
          <w:color w:val="auto"/>
        </w:rPr>
        <w:t>(</w:t>
      </w:r>
      <w:r>
        <w:rPr>
          <w:rFonts w:hint="eastAsia" w:ascii="宋体" w:hAnsi="宋体" w:cs="宋体"/>
          <w:color w:val="auto"/>
        </w:rPr>
        <w:t>浙江联通工程咨询有限公司</w:t>
      </w:r>
      <w:r>
        <w:rPr>
          <w:rFonts w:ascii="宋体" w:hAnsi="宋体" w:cs="宋体"/>
          <w:color w:val="auto"/>
        </w:rPr>
        <w:t>)</w:t>
      </w:r>
      <w:r>
        <w:rPr>
          <w:rFonts w:hint="eastAsia" w:ascii="宋体" w:hAnsi="宋体" w:cs="宋体"/>
          <w:color w:val="auto"/>
        </w:rPr>
        <w:t>，招标人与招标代理机构研究后，对认为有必要回答的问题，将以书面解答形式通知所有招标文件收受人。</w:t>
      </w:r>
    </w:p>
    <w:p>
      <w:pPr>
        <w:pStyle w:val="27"/>
        <w:adjustRightInd w:val="0"/>
        <w:snapToGrid w:val="0"/>
        <w:spacing w:before="0"/>
        <w:ind w:firstLine="600" w:firstLineChars="250"/>
        <w:rPr>
          <w:rFonts w:ascii="宋体"/>
          <w:color w:val="auto"/>
        </w:rPr>
      </w:pPr>
      <w:r>
        <w:rPr>
          <w:rFonts w:ascii="宋体" w:hAnsi="宋体" w:cs="宋体"/>
          <w:color w:val="auto"/>
        </w:rPr>
        <w:t xml:space="preserve">2.2 </w:t>
      </w:r>
      <w:r>
        <w:rPr>
          <w:rFonts w:hint="eastAsia" w:ascii="宋体" w:hAnsi="宋体" w:cs="宋体"/>
          <w:color w:val="auto"/>
        </w:rPr>
        <w:t>不论招标代理机构向投标人发送的资料文件，还是投标人提出的问题，均采用书面形式，任何口头提问及答复一律无效。</w:t>
      </w:r>
    </w:p>
    <w:p>
      <w:pPr>
        <w:tabs>
          <w:tab w:val="left" w:pos="3780"/>
        </w:tabs>
        <w:spacing w:line="360" w:lineRule="auto"/>
        <w:ind w:firstLine="600" w:firstLineChars="250"/>
        <w:rPr>
          <w:rFonts w:ascii="宋体"/>
          <w:color w:val="auto"/>
          <w:sz w:val="24"/>
          <w:szCs w:val="24"/>
        </w:rPr>
      </w:pPr>
      <w:r>
        <w:rPr>
          <w:rFonts w:ascii="宋体" w:hAnsi="宋体" w:cs="宋体"/>
          <w:color w:val="auto"/>
          <w:sz w:val="24"/>
          <w:szCs w:val="24"/>
        </w:rPr>
        <w:t xml:space="preserve">2.3 </w:t>
      </w:r>
      <w:r>
        <w:rPr>
          <w:rFonts w:hint="eastAsia" w:ascii="宋体" w:hAnsi="宋体" w:cs="宋体"/>
          <w:color w:val="auto"/>
          <w:sz w:val="24"/>
          <w:szCs w:val="24"/>
        </w:rPr>
        <w:t>投标人一旦参与本次招标活动，即被视为接受了本招标文件的所有内容，如有任何异议，均已在答疑截止时间前提出。</w:t>
      </w:r>
    </w:p>
    <w:p>
      <w:pPr>
        <w:widowControl/>
        <w:adjustRightInd w:val="0"/>
        <w:snapToGrid w:val="0"/>
        <w:spacing w:beforeLines="10" w:line="360" w:lineRule="auto"/>
        <w:ind w:firstLine="487" w:firstLineChars="202"/>
        <w:jc w:val="left"/>
        <w:textAlignment w:val="bottom"/>
        <w:rPr>
          <w:rFonts w:ascii="宋体"/>
          <w:b/>
          <w:bCs/>
          <w:color w:val="auto"/>
          <w:kern w:val="0"/>
          <w:sz w:val="24"/>
          <w:szCs w:val="24"/>
        </w:rPr>
      </w:pPr>
      <w:r>
        <w:rPr>
          <w:rFonts w:hint="eastAsia" w:ascii="宋体" w:hAnsi="宋体" w:cs="宋体"/>
          <w:b/>
          <w:bCs/>
          <w:color w:val="auto"/>
          <w:kern w:val="0"/>
          <w:sz w:val="24"/>
          <w:szCs w:val="24"/>
        </w:rPr>
        <w:t>如发现招标文件及其评标办法中存在含糊不清、相互矛盾、多种含义以及歧视性不公正条款或违法违规等内容时，请在规定的询疑截止时间前同时向招标人、招标代理机构书面反映，逾期不得再对招标文件的条款提出质疑。</w:t>
      </w:r>
    </w:p>
    <w:p>
      <w:pPr>
        <w:shd w:val="clear" w:color="auto" w:fill="FFFFFF"/>
        <w:tabs>
          <w:tab w:val="left" w:pos="3780"/>
        </w:tabs>
        <w:spacing w:line="360" w:lineRule="auto"/>
        <w:ind w:firstLine="480" w:firstLineChars="200"/>
        <w:rPr>
          <w:rFonts w:ascii="宋体"/>
          <w:color w:val="auto"/>
          <w:sz w:val="24"/>
          <w:szCs w:val="24"/>
        </w:rPr>
      </w:pPr>
      <w:r>
        <w:rPr>
          <w:rFonts w:hint="eastAsia" w:ascii="宋体" w:hAnsi="宋体" w:cs="宋体"/>
          <w:color w:val="auto"/>
          <w:sz w:val="24"/>
          <w:szCs w:val="24"/>
        </w:rPr>
        <w:t>招标文件发售截止时间之后潜在供应商仍然可以获取招标文件，但该供应商如对招标文件有疑问应在招标文件规定的询疑截止时间前提出，逾期提出的，招标组织机构可以不予受理、答复。</w:t>
      </w:r>
    </w:p>
    <w:p>
      <w:pPr>
        <w:pStyle w:val="8"/>
        <w:spacing w:line="360" w:lineRule="auto"/>
        <w:rPr>
          <w:rFonts w:hAnsi="宋体" w:cs="Calibri"/>
          <w:b/>
          <w:bCs/>
          <w:color w:val="auto"/>
          <w:sz w:val="24"/>
          <w:szCs w:val="24"/>
        </w:rPr>
      </w:pPr>
      <w:r>
        <w:rPr>
          <w:rFonts w:hAnsi="宋体"/>
          <w:b/>
          <w:bCs/>
          <w:color w:val="auto"/>
          <w:sz w:val="24"/>
          <w:szCs w:val="24"/>
        </w:rPr>
        <w:t>3</w:t>
      </w:r>
      <w:r>
        <w:rPr>
          <w:rFonts w:hint="eastAsia" w:hAnsi="宋体"/>
          <w:b/>
          <w:bCs/>
          <w:color w:val="auto"/>
          <w:sz w:val="24"/>
          <w:szCs w:val="24"/>
        </w:rPr>
        <w:t>、招标文件的修改</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3.1 </w:t>
      </w:r>
      <w:r>
        <w:rPr>
          <w:rFonts w:hint="eastAsia" w:ascii="宋体" w:hAnsi="宋体" w:cs="宋体"/>
          <w:color w:val="auto"/>
          <w:sz w:val="24"/>
          <w:szCs w:val="24"/>
        </w:rPr>
        <w:t>从招标文件发出至投标截止时间三日前，招标代理机构可能会以补充通知的方式修改招标文件。补充通知作为招标文件的组成部分，以书面形式同时发给所有招标文件的收受人。</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3.2 </w:t>
      </w:r>
      <w:r>
        <w:rPr>
          <w:rFonts w:hint="eastAsia" w:ascii="宋体" w:hAnsi="宋体" w:cs="宋体"/>
          <w:color w:val="auto"/>
          <w:sz w:val="24"/>
          <w:szCs w:val="24"/>
        </w:rPr>
        <w:t>若有必要，招标代理机构将酌情延长递交投标文件的截止日期。</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3.3</w:t>
      </w:r>
      <w:r>
        <w:rPr>
          <w:rFonts w:hint="eastAsia" w:ascii="宋体" w:hAnsi="宋体" w:cs="宋体"/>
          <w:color w:val="auto"/>
          <w:sz w:val="24"/>
          <w:szCs w:val="24"/>
        </w:rPr>
        <w:t>中小企业（含中型、小型、微型）指符合中小企业划分标准（工信部联企业</w:t>
      </w:r>
      <w:r>
        <w:rPr>
          <w:rFonts w:ascii="宋体" w:hAnsi="宋体" w:cs="宋体"/>
          <w:color w:val="auto"/>
          <w:sz w:val="24"/>
          <w:szCs w:val="24"/>
        </w:rPr>
        <w:t>[2011]300</w:t>
      </w:r>
      <w:r>
        <w:rPr>
          <w:rFonts w:hint="eastAsia" w:ascii="宋体" w:hAnsi="宋体" w:cs="宋体"/>
          <w:color w:val="auto"/>
          <w:sz w:val="24"/>
          <w:szCs w:val="24"/>
        </w:rPr>
        <w:t>号），在本项目政府招标活动中提供本企业提供的服务，或者提供其他中小企业提供的服务的企业。小型、微型企业提供中型企业提供的服务的，视同为中型企业。</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s="宋体"/>
          <w:color w:val="auto"/>
          <w:sz w:val="24"/>
          <w:szCs w:val="24"/>
        </w:rPr>
        <w:t>(</w:t>
      </w:r>
      <w:r>
        <w:rPr>
          <w:rFonts w:hint="eastAsia" w:ascii="宋体" w:hAnsi="宋体" w:cs="宋体"/>
          <w:color w:val="auto"/>
          <w:sz w:val="24"/>
          <w:szCs w:val="24"/>
        </w:rPr>
        <w:t>设区的市</w:t>
      </w:r>
      <w:r>
        <w:rPr>
          <w:rFonts w:ascii="宋体" w:hAnsi="宋体" w:cs="宋体"/>
          <w:color w:val="auto"/>
          <w:sz w:val="24"/>
          <w:szCs w:val="24"/>
        </w:rPr>
        <w:t>)</w:t>
      </w:r>
      <w:r>
        <w:rPr>
          <w:rFonts w:hint="eastAsia" w:ascii="宋体" w:hAnsi="宋体" w:cs="宋体"/>
          <w:color w:val="auto"/>
          <w:sz w:val="24"/>
          <w:szCs w:val="24"/>
        </w:rPr>
        <w:t>监狱、强制隔离戒毒所、戒毒康复所，以及新疆生产建设兵团监狱管理局、戒毒管理局的企业。监狱企业参加政府招标活动时，应当提供由省级以上监狱管理局、戒毒管理局</w:t>
      </w:r>
      <w:r>
        <w:rPr>
          <w:rFonts w:ascii="宋体" w:hAnsi="宋体" w:cs="宋体"/>
          <w:color w:val="auto"/>
          <w:sz w:val="24"/>
          <w:szCs w:val="24"/>
        </w:rPr>
        <w:t>(</w:t>
      </w:r>
      <w:r>
        <w:rPr>
          <w:rFonts w:hint="eastAsia" w:ascii="宋体" w:hAnsi="宋体" w:cs="宋体"/>
          <w:color w:val="auto"/>
          <w:sz w:val="24"/>
          <w:szCs w:val="24"/>
        </w:rPr>
        <w:t>含新疆生产建设兵团</w:t>
      </w:r>
      <w:r>
        <w:rPr>
          <w:rFonts w:ascii="宋体" w:hAnsi="宋体" w:cs="宋体"/>
          <w:color w:val="auto"/>
          <w:sz w:val="24"/>
          <w:szCs w:val="24"/>
        </w:rPr>
        <w:t>)</w:t>
      </w:r>
      <w:r>
        <w:rPr>
          <w:rFonts w:hint="eastAsia" w:ascii="宋体" w:hAnsi="宋体" w:cs="宋体"/>
          <w:color w:val="auto"/>
          <w:sz w:val="24"/>
          <w:szCs w:val="24"/>
        </w:rPr>
        <w:t>出具的属于监狱企业的证明文件。</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残疾人福利性单位：符合《财政部</w:t>
      </w:r>
      <w:r>
        <w:rPr>
          <w:rFonts w:ascii="宋体" w:hAnsi="宋体" w:cs="宋体"/>
          <w:color w:val="auto"/>
          <w:sz w:val="24"/>
          <w:szCs w:val="24"/>
        </w:rPr>
        <w:t xml:space="preserve"> </w:t>
      </w:r>
      <w:r>
        <w:rPr>
          <w:rFonts w:hint="eastAsia" w:ascii="宋体" w:hAnsi="宋体" w:cs="宋体"/>
          <w:color w:val="auto"/>
          <w:sz w:val="24"/>
          <w:szCs w:val="24"/>
        </w:rPr>
        <w:t>民政部</w:t>
      </w:r>
      <w:r>
        <w:rPr>
          <w:rFonts w:ascii="宋体" w:hAnsi="宋体" w:cs="宋体"/>
          <w:color w:val="auto"/>
          <w:sz w:val="24"/>
          <w:szCs w:val="24"/>
        </w:rPr>
        <w:t xml:space="preserve"> </w:t>
      </w:r>
      <w:r>
        <w:rPr>
          <w:rFonts w:hint="eastAsia" w:ascii="宋体" w:hAnsi="宋体" w:cs="宋体"/>
          <w:color w:val="auto"/>
          <w:sz w:val="24"/>
          <w:szCs w:val="24"/>
        </w:rPr>
        <w:t>中国残疾人联合会关于促进残疾人就业政府招标政策的通知》（财库（</w:t>
      </w:r>
      <w:r>
        <w:rPr>
          <w:rFonts w:ascii="宋体" w:hAnsi="宋体" w:cs="宋体"/>
          <w:color w:val="auto"/>
          <w:sz w:val="24"/>
          <w:szCs w:val="24"/>
        </w:rPr>
        <w:t>2018</w:t>
      </w:r>
      <w:r>
        <w:rPr>
          <w:rFonts w:hint="eastAsia" w:ascii="宋体" w:hAnsi="宋体" w:cs="宋体"/>
          <w:color w:val="auto"/>
          <w:sz w:val="24"/>
          <w:szCs w:val="24"/>
        </w:rPr>
        <w:t>）</w:t>
      </w:r>
      <w:r>
        <w:rPr>
          <w:rFonts w:ascii="宋体" w:hAnsi="宋体" w:cs="宋体"/>
          <w:color w:val="auto"/>
          <w:sz w:val="24"/>
          <w:szCs w:val="24"/>
        </w:rPr>
        <w:t>141</w:t>
      </w:r>
      <w:r>
        <w:rPr>
          <w:rFonts w:hint="eastAsia" w:ascii="宋体" w:hAnsi="宋体" w:cs="宋体"/>
          <w:color w:val="auto"/>
          <w:sz w:val="24"/>
          <w:szCs w:val="24"/>
        </w:rPr>
        <w:t>号）的规定单位。</w:t>
      </w:r>
    </w:p>
    <w:p>
      <w:pPr>
        <w:spacing w:line="360" w:lineRule="auto"/>
        <w:rPr>
          <w:rFonts w:ascii="宋体"/>
          <w:color w:val="auto"/>
          <w:sz w:val="24"/>
          <w:szCs w:val="24"/>
        </w:rPr>
      </w:pPr>
    </w:p>
    <w:p>
      <w:pPr>
        <w:spacing w:line="360" w:lineRule="auto"/>
        <w:jc w:val="center"/>
        <w:outlineLvl w:val="1"/>
        <w:rPr>
          <w:rFonts w:ascii="宋体"/>
          <w:b/>
          <w:bCs/>
          <w:color w:val="auto"/>
          <w:sz w:val="32"/>
          <w:szCs w:val="32"/>
        </w:rPr>
      </w:pPr>
      <w:bookmarkStart w:id="31" w:name="_Toc394001375"/>
      <w:bookmarkStart w:id="32" w:name="_Toc351898258"/>
      <w:r>
        <w:rPr>
          <w:rFonts w:hint="eastAsia" w:ascii="宋体" w:hAnsi="宋体" w:cs="宋体"/>
          <w:b/>
          <w:bCs/>
          <w:color w:val="auto"/>
          <w:sz w:val="32"/>
          <w:szCs w:val="32"/>
        </w:rPr>
        <w:t>三、投标文件的编制</w:t>
      </w:r>
      <w:bookmarkEnd w:id="31"/>
      <w:bookmarkEnd w:id="32"/>
    </w:p>
    <w:p>
      <w:pPr>
        <w:spacing w:line="360" w:lineRule="auto"/>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、投标文件的语言</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投标人提交的投标文件，以及投标人与招标有关投标的所有来往电函应使用中文，投标人可以提交用其它语言印制的资料，但必须译成中文，在有差异和矛盾时以中文为准。</w:t>
      </w:r>
    </w:p>
    <w:p>
      <w:pPr>
        <w:spacing w:line="360" w:lineRule="auto"/>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、投标文件</w:t>
      </w:r>
      <w:bookmarkStart w:id="33" w:name="投标资格文件"/>
      <w:bookmarkEnd w:id="33"/>
      <w:r>
        <w:rPr>
          <w:rFonts w:hint="eastAsia" w:ascii="宋体" w:hAnsi="宋体" w:cs="宋体"/>
          <w:b/>
          <w:bCs/>
          <w:color w:val="auto"/>
          <w:sz w:val="24"/>
          <w:szCs w:val="24"/>
        </w:rPr>
        <w:t>的组成</w:t>
      </w:r>
    </w:p>
    <w:p>
      <w:pPr>
        <w:adjustRightInd w:val="0"/>
        <w:snapToGrid w:val="0"/>
        <w:spacing w:line="360" w:lineRule="auto"/>
        <w:ind w:firstLine="480" w:firstLineChars="200"/>
        <w:rPr>
          <w:rFonts w:ascii="宋体"/>
          <w:color w:val="auto"/>
          <w:sz w:val="24"/>
          <w:szCs w:val="24"/>
        </w:rPr>
      </w:pPr>
      <w:bookmarkStart w:id="34" w:name="_Toc91899887"/>
      <w:r>
        <w:rPr>
          <w:rFonts w:hint="eastAsia" w:ascii="宋体" w:hAnsi="宋体" w:cs="宋体"/>
          <w:color w:val="auto"/>
          <w:sz w:val="24"/>
          <w:szCs w:val="24"/>
        </w:rPr>
        <w:t>投标文件应当包括以下主要内容：</w:t>
      </w:r>
    </w:p>
    <w:p>
      <w:pPr>
        <w:adjustRightInd w:val="0"/>
        <w:snapToGrid w:val="0"/>
        <w:spacing w:line="360" w:lineRule="auto"/>
        <w:ind w:firstLine="482" w:firstLineChars="200"/>
        <w:rPr>
          <w:rFonts w:ascii="宋体"/>
          <w:b/>
          <w:bCs/>
          <w:color w:val="auto"/>
          <w:kern w:val="0"/>
          <w:sz w:val="24"/>
          <w:szCs w:val="24"/>
          <w:lang w:val="zh-CN"/>
        </w:rPr>
      </w:pPr>
      <w:r>
        <w:rPr>
          <w:rFonts w:hint="eastAsia" w:ascii="宋体" w:hAnsi="宋体" w:cs="宋体"/>
          <w:b/>
          <w:bCs/>
          <w:color w:val="auto"/>
          <w:kern w:val="0"/>
          <w:sz w:val="24"/>
          <w:szCs w:val="24"/>
          <w:lang w:val="zh-CN"/>
        </w:rPr>
        <w:t>资格文件、报价文件、商务技术文件。</w:t>
      </w:r>
    </w:p>
    <w:p>
      <w:pPr>
        <w:adjustRightInd w:val="0"/>
        <w:snapToGrid w:val="0"/>
        <w:spacing w:line="360" w:lineRule="auto"/>
        <w:ind w:firstLine="480" w:firstLineChars="200"/>
        <w:rPr>
          <w:rFonts w:ascii="宋体"/>
          <w:color w:val="auto"/>
          <w:sz w:val="24"/>
          <w:szCs w:val="24"/>
          <w:u w:val="single"/>
        </w:rPr>
      </w:pPr>
      <w:r>
        <w:rPr>
          <w:rFonts w:ascii="宋体" w:hAnsi="宋体" w:cs="宋体"/>
          <w:color w:val="auto"/>
          <w:kern w:val="0"/>
          <w:sz w:val="24"/>
          <w:szCs w:val="24"/>
        </w:rPr>
        <w:t>2</w:t>
      </w:r>
      <w:r>
        <w:rPr>
          <w:rFonts w:ascii="宋体" w:hAnsi="宋体" w:cs="宋体"/>
          <w:color w:val="auto"/>
          <w:kern w:val="0"/>
          <w:sz w:val="24"/>
          <w:szCs w:val="24"/>
          <w:lang w:val="zh-CN"/>
        </w:rPr>
        <w:t xml:space="preserve">.1  </w:t>
      </w:r>
      <w:r>
        <w:rPr>
          <w:rFonts w:hint="eastAsia" w:ascii="宋体" w:hAnsi="宋体" w:cs="宋体"/>
          <w:color w:val="auto"/>
          <w:kern w:val="0"/>
          <w:sz w:val="24"/>
          <w:szCs w:val="24"/>
          <w:lang w:val="zh-CN"/>
        </w:rPr>
        <w:t>投标人的</w:t>
      </w:r>
      <w:r>
        <w:rPr>
          <w:rFonts w:hint="eastAsia" w:ascii="宋体" w:hAnsi="宋体" w:cs="宋体"/>
          <w:b/>
          <w:bCs/>
          <w:color w:val="auto"/>
          <w:kern w:val="0"/>
          <w:sz w:val="24"/>
          <w:szCs w:val="24"/>
          <w:lang w:val="zh-CN"/>
        </w:rPr>
        <w:t>资格文件</w:t>
      </w:r>
      <w:r>
        <w:rPr>
          <w:rFonts w:hint="eastAsia" w:ascii="宋体" w:hAnsi="宋体" w:cs="宋体"/>
          <w:color w:val="auto"/>
          <w:sz w:val="24"/>
          <w:szCs w:val="24"/>
        </w:rPr>
        <w:t>至少应包括以下内容：</w:t>
      </w:r>
      <w:r>
        <w:rPr>
          <w:rFonts w:ascii="宋体" w:hAnsi="宋体" w:cs="宋体"/>
          <w:color w:val="auto"/>
          <w:sz w:val="24"/>
          <w:szCs w:val="24"/>
        </w:rPr>
        <w:t xml:space="preserve"> </w:t>
      </w:r>
    </w:p>
    <w:p>
      <w:pPr>
        <w:adjustRightInd w:val="0"/>
        <w:snapToGrid w:val="0"/>
        <w:spacing w:line="360" w:lineRule="auto"/>
        <w:ind w:left="105" w:leftChars="50" w:firstLine="480" w:firstLineChars="200"/>
        <w:rPr>
          <w:rFonts w:ascii="宋体"/>
          <w:color w:val="auto"/>
          <w:sz w:val="24"/>
          <w:szCs w:val="24"/>
        </w:rPr>
      </w:pPr>
      <w:r>
        <w:rPr>
          <w:rFonts w:ascii="宋体" w:hAnsi="宋体" w:cs="宋体"/>
          <w:color w:val="auto"/>
          <w:sz w:val="24"/>
          <w:szCs w:val="24"/>
        </w:rPr>
        <w:t>2.1.1</w:t>
      </w:r>
      <w:r>
        <w:rPr>
          <w:rFonts w:hint="eastAsia" w:ascii="宋体" w:hAnsi="宋体" w:cs="宋体"/>
          <w:color w:val="auto"/>
          <w:sz w:val="24"/>
          <w:szCs w:val="24"/>
        </w:rPr>
        <w:t>、基本资格条件审查材料：</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【即证明其符合《中华人民共和国政府采购法》规定的投标人基本条件的有关资格证明文件。】</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包括：</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）营业执照</w:t>
      </w:r>
      <w:r>
        <w:rPr>
          <w:rFonts w:ascii="宋体" w:hAnsi="宋体" w:cs="宋体"/>
          <w:color w:val="auto"/>
          <w:sz w:val="24"/>
          <w:szCs w:val="24"/>
        </w:rPr>
        <w:t>(</w:t>
      </w:r>
      <w:r>
        <w:rPr>
          <w:rFonts w:hint="eastAsia" w:ascii="宋体" w:hAnsi="宋体" w:cs="宋体"/>
          <w:color w:val="auto"/>
          <w:sz w:val="24"/>
          <w:szCs w:val="24"/>
        </w:rPr>
        <w:t>或事业法人登记证书或其它工商等登记证明材料；自然人参与政府招标，提供身份证</w:t>
      </w:r>
      <w:r>
        <w:rPr>
          <w:rFonts w:ascii="宋体" w:hAnsi="宋体" w:cs="宋体"/>
          <w:color w:val="auto"/>
          <w:sz w:val="24"/>
          <w:szCs w:val="24"/>
        </w:rPr>
        <w:t>)</w:t>
      </w:r>
      <w:r>
        <w:rPr>
          <w:rFonts w:hint="eastAsia" w:ascii="宋体" w:hAnsi="宋体" w:cs="宋体"/>
          <w:color w:val="auto"/>
          <w:sz w:val="24"/>
          <w:szCs w:val="24"/>
        </w:rPr>
        <w:t>复印件、税务登记证</w:t>
      </w:r>
      <w:r>
        <w:rPr>
          <w:rFonts w:ascii="宋体" w:hAnsi="宋体" w:cs="宋体"/>
          <w:color w:val="auto"/>
          <w:sz w:val="24"/>
          <w:szCs w:val="24"/>
        </w:rPr>
        <w:t>(</w:t>
      </w:r>
      <w:r>
        <w:rPr>
          <w:rFonts w:hint="eastAsia" w:ascii="宋体" w:hAnsi="宋体" w:cs="宋体"/>
          <w:color w:val="auto"/>
          <w:sz w:val="24"/>
          <w:szCs w:val="24"/>
        </w:rPr>
        <w:t>或其它缴纳证明材料</w:t>
      </w:r>
      <w:r>
        <w:rPr>
          <w:rFonts w:ascii="宋体" w:hAnsi="宋体" w:cs="宋体"/>
          <w:color w:val="auto"/>
          <w:sz w:val="24"/>
          <w:szCs w:val="24"/>
        </w:rPr>
        <w:t>)</w:t>
      </w:r>
      <w:r>
        <w:rPr>
          <w:rFonts w:hint="eastAsia" w:ascii="宋体" w:hAnsi="宋体" w:cs="宋体"/>
          <w:color w:val="auto"/>
          <w:sz w:val="24"/>
          <w:szCs w:val="24"/>
        </w:rPr>
        <w:t>复印件、社保登记证（或其它缴纳证明材料）复印件；实施“五证合一、一照一码”登记制度改革的，只需提供改革后取得的营业执照复印件。</w:t>
      </w:r>
      <w:r>
        <w:rPr>
          <w:rFonts w:ascii="宋体" w:hAnsi="宋体" w:cs="宋体"/>
          <w:color w:val="auto"/>
          <w:sz w:val="24"/>
          <w:szCs w:val="24"/>
        </w:rPr>
        <w:t xml:space="preserve"> </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招标活动，由单位负责人签署相关文件材料；</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ascii="宋体" w:hAnsi="宋体" w:cs="宋体"/>
          <w:color w:val="auto"/>
          <w:sz w:val="24"/>
          <w:szCs w:val="24"/>
        </w:rPr>
        <w:t>2018</w:t>
      </w:r>
      <w:r>
        <w:rPr>
          <w:rFonts w:hint="eastAsia" w:ascii="宋体" w:hAnsi="宋体" w:cs="宋体"/>
          <w:color w:val="auto"/>
          <w:sz w:val="24"/>
          <w:szCs w:val="24"/>
        </w:rPr>
        <w:t>年度的资产负债表等财务报表资料文件</w:t>
      </w:r>
      <w:r>
        <w:rPr>
          <w:rFonts w:ascii="宋体" w:hAnsi="宋体" w:cs="宋体"/>
          <w:color w:val="auto"/>
          <w:sz w:val="24"/>
          <w:szCs w:val="24"/>
        </w:rPr>
        <w:t>(</w:t>
      </w:r>
      <w:r>
        <w:rPr>
          <w:rFonts w:hint="eastAsia" w:ascii="宋体" w:hAnsi="宋体" w:cs="宋体"/>
          <w:color w:val="auto"/>
          <w:sz w:val="24"/>
          <w:szCs w:val="24"/>
        </w:rPr>
        <w:t>新成立的公司，必须提供情况说明</w:t>
      </w:r>
      <w:r>
        <w:rPr>
          <w:rFonts w:ascii="宋体" w:hAnsi="宋体" w:cs="宋体"/>
          <w:color w:val="auto"/>
          <w:sz w:val="24"/>
          <w:szCs w:val="24"/>
        </w:rPr>
        <w:t>)</w:t>
      </w:r>
      <w:r>
        <w:rPr>
          <w:rFonts w:hint="eastAsia" w:ascii="宋体" w:hAnsi="宋体" w:cs="宋体"/>
          <w:color w:val="auto"/>
          <w:sz w:val="24"/>
          <w:szCs w:val="24"/>
        </w:rPr>
        <w:t>；</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）具有履行合同所必需的专业（服务技术）能力的承诺函；</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）参加政府招标活动前</w:t>
      </w:r>
      <w:r>
        <w:rPr>
          <w:rFonts w:ascii="宋体" w:hAnsi="宋体" w:cs="宋体"/>
          <w:color w:val="auto"/>
          <w:sz w:val="24"/>
          <w:szCs w:val="24"/>
        </w:rPr>
        <w:t>3</w:t>
      </w:r>
      <w:r>
        <w:rPr>
          <w:rFonts w:hint="eastAsia" w:ascii="宋体" w:hAnsi="宋体" w:cs="宋体"/>
          <w:color w:val="auto"/>
          <w:sz w:val="24"/>
          <w:szCs w:val="24"/>
        </w:rPr>
        <w:t>年内在经营活动中没有重大违法记录的声明函；</w:t>
      </w:r>
    </w:p>
    <w:p>
      <w:pPr>
        <w:adjustRightInd w:val="0"/>
        <w:snapToGrid w:val="0"/>
        <w:spacing w:line="360" w:lineRule="auto"/>
        <w:ind w:left="105" w:leftChars="50" w:firstLine="480" w:firstLineChars="200"/>
        <w:rPr>
          <w:rFonts w:ascii="宋体"/>
          <w:color w:val="auto"/>
          <w:sz w:val="24"/>
          <w:szCs w:val="24"/>
        </w:rPr>
      </w:pPr>
      <w:r>
        <w:rPr>
          <w:rFonts w:ascii="宋体" w:hAnsi="宋体" w:cs="宋体"/>
          <w:color w:val="auto"/>
          <w:sz w:val="24"/>
          <w:szCs w:val="24"/>
        </w:rPr>
        <w:t>2.1.2</w:t>
      </w:r>
      <w:r>
        <w:rPr>
          <w:rFonts w:hint="eastAsia" w:ascii="宋体" w:hAnsi="宋体" w:cs="宋体"/>
          <w:color w:val="auto"/>
          <w:sz w:val="24"/>
          <w:szCs w:val="24"/>
        </w:rPr>
        <w:t>、特定资格条件审查材料：</w:t>
      </w:r>
    </w:p>
    <w:p>
      <w:pPr>
        <w:adjustRightInd w:val="0"/>
        <w:snapToGrid w:val="0"/>
        <w:spacing w:line="360" w:lineRule="auto"/>
        <w:ind w:left="105" w:leftChars="50" w:firstLine="480" w:firstLineChars="200"/>
        <w:rPr>
          <w:rFonts w:ascii="宋体"/>
          <w:color w:val="auto"/>
          <w:sz w:val="24"/>
          <w:szCs w:val="24"/>
        </w:rPr>
      </w:pPr>
      <w:r>
        <w:rPr>
          <w:rFonts w:hint="eastAsia" w:ascii="宋体" w:hAnsi="宋体" w:cs="宋体"/>
          <w:color w:val="auto"/>
          <w:sz w:val="24"/>
          <w:szCs w:val="24"/>
        </w:rPr>
        <w:t>【即证明其符合特定资格条件（如果项目要求）的有关资格证明文件。】</w:t>
      </w:r>
    </w:p>
    <w:p>
      <w:pPr>
        <w:adjustRightInd w:val="0"/>
        <w:snapToGrid w:val="0"/>
        <w:spacing w:line="360" w:lineRule="auto"/>
        <w:ind w:firstLine="720" w:firstLineChars="300"/>
        <w:jc w:val="left"/>
        <w:rPr>
          <w:rFonts w:ascii="宋体"/>
          <w:color w:val="auto"/>
          <w:sz w:val="24"/>
          <w:szCs w:val="24"/>
        </w:rPr>
      </w:pPr>
      <w:r>
        <w:rPr>
          <w:rFonts w:hint="eastAsia" w:ascii="宋体" w:hAnsi="宋体" w:cs="宋体"/>
          <w:color w:val="auto"/>
          <w:sz w:val="24"/>
          <w:szCs w:val="24"/>
        </w:rPr>
        <w:t>上述基本资格条件审查材料、特定资格条件审查材料有一项不提供的，视为资格审查不通过。</w:t>
      </w:r>
    </w:p>
    <w:p>
      <w:pPr>
        <w:shd w:val="clear" w:color="auto" w:fill="FFFFFF"/>
        <w:adjustRightInd w:val="0"/>
        <w:snapToGrid w:val="0"/>
        <w:spacing w:line="360" w:lineRule="auto"/>
        <w:ind w:firstLine="480" w:firstLineChars="200"/>
        <w:rPr>
          <w:rFonts w:ascii="宋体"/>
          <w:color w:val="auto"/>
          <w:sz w:val="24"/>
          <w:szCs w:val="24"/>
          <w:u w:val="single"/>
          <w:lang w:val="zh-CN"/>
        </w:rPr>
      </w:pPr>
      <w:r>
        <w:rPr>
          <w:rFonts w:ascii="宋体" w:hAnsi="宋体" w:cs="宋体"/>
          <w:color w:val="auto"/>
          <w:kern w:val="0"/>
          <w:sz w:val="24"/>
          <w:szCs w:val="24"/>
        </w:rPr>
        <w:t>2</w:t>
      </w:r>
      <w:r>
        <w:rPr>
          <w:rFonts w:ascii="宋体" w:hAnsi="宋体" w:cs="宋体"/>
          <w:color w:val="auto"/>
          <w:kern w:val="0"/>
          <w:sz w:val="24"/>
          <w:szCs w:val="24"/>
          <w:lang w:val="zh-CN"/>
        </w:rPr>
        <w:t xml:space="preserve">.2  </w:t>
      </w:r>
      <w:r>
        <w:rPr>
          <w:rFonts w:hint="eastAsia" w:ascii="宋体" w:hAnsi="宋体" w:cs="宋体"/>
          <w:color w:val="auto"/>
          <w:sz w:val="24"/>
          <w:szCs w:val="24"/>
        </w:rPr>
        <w:t>投标人的</w:t>
      </w:r>
      <w:r>
        <w:rPr>
          <w:rFonts w:hint="eastAsia" w:ascii="宋体" w:hAnsi="宋体" w:cs="宋体"/>
          <w:b/>
          <w:bCs/>
          <w:color w:val="auto"/>
          <w:sz w:val="24"/>
          <w:szCs w:val="24"/>
        </w:rPr>
        <w:t>报价文件</w:t>
      </w:r>
      <w:r>
        <w:rPr>
          <w:rFonts w:hint="eastAsia" w:ascii="宋体" w:hAnsi="宋体" w:cs="宋体"/>
          <w:color w:val="auto"/>
          <w:sz w:val="24"/>
          <w:szCs w:val="24"/>
        </w:rPr>
        <w:t>至少应包括以下内容（均需加盖公章）：</w:t>
      </w:r>
    </w:p>
    <w:p>
      <w:pPr>
        <w:shd w:val="clear" w:color="auto" w:fill="FFFFFF"/>
        <w:adjustRightInd w:val="0"/>
        <w:snapToGrid w:val="0"/>
        <w:spacing w:line="360" w:lineRule="auto"/>
        <w:ind w:firstLine="480" w:firstLineChars="200"/>
        <w:rPr>
          <w:rFonts w:ascii="宋体"/>
          <w:color w:val="auto"/>
          <w:sz w:val="24"/>
          <w:szCs w:val="24"/>
        </w:rPr>
      </w:pPr>
      <w:bookmarkStart w:id="35" w:name="_Toc500208478"/>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投标响应函</w:t>
      </w:r>
      <w:r>
        <w:rPr>
          <w:rFonts w:hint="eastAsia" w:ascii="宋体" w:hAnsi="宋体" w:cs="宋体"/>
          <w:color w:val="auto"/>
          <w:sz w:val="24"/>
          <w:szCs w:val="24"/>
        </w:rPr>
        <w:t>；</w:t>
      </w:r>
    </w:p>
    <w:p>
      <w:pPr>
        <w:shd w:val="clear" w:color="auto" w:fill="FFFFFF"/>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）开标一览表；</w:t>
      </w:r>
    </w:p>
    <w:p>
      <w:pPr>
        <w:shd w:val="clear" w:color="auto" w:fill="FFFFFF"/>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）报价明细清单；</w:t>
      </w:r>
    </w:p>
    <w:p>
      <w:pPr>
        <w:pStyle w:val="8"/>
        <w:adjustRightInd w:val="0"/>
        <w:snapToGrid w:val="0"/>
        <w:spacing w:line="360" w:lineRule="auto"/>
        <w:ind w:firstLine="480" w:firstLineChars="200"/>
        <w:rPr>
          <w:rFonts w:hAnsi="宋体" w:cs="Calibri"/>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）其他文件（中小企业声明函（或监狱企业声明函）及其相关的充分的证明材料）。</w:t>
      </w:r>
    </w:p>
    <w:p>
      <w:pPr>
        <w:shd w:val="clear" w:color="auto" w:fill="FFFFFF"/>
        <w:adjustRightInd w:val="0"/>
        <w:snapToGrid w:val="0"/>
        <w:spacing w:line="360" w:lineRule="auto"/>
        <w:ind w:firstLine="480" w:firstLineChars="200"/>
        <w:rPr>
          <w:rFonts w:ascii="宋体"/>
          <w:color w:val="auto"/>
          <w:kern w:val="0"/>
          <w:sz w:val="24"/>
          <w:szCs w:val="24"/>
          <w:lang w:val="zh-CN"/>
        </w:rPr>
      </w:pPr>
      <w:r>
        <w:rPr>
          <w:rFonts w:ascii="宋体" w:hAnsi="宋体" w:cs="宋体"/>
          <w:color w:val="auto"/>
          <w:kern w:val="0"/>
          <w:sz w:val="24"/>
          <w:szCs w:val="24"/>
        </w:rPr>
        <w:t>2</w:t>
      </w:r>
      <w:r>
        <w:rPr>
          <w:rFonts w:ascii="宋体" w:hAnsi="宋体" w:cs="宋体"/>
          <w:color w:val="auto"/>
          <w:kern w:val="0"/>
          <w:sz w:val="24"/>
          <w:szCs w:val="24"/>
          <w:lang w:val="zh-CN"/>
        </w:rPr>
        <w:t xml:space="preserve">.3 </w:t>
      </w:r>
      <w:r>
        <w:rPr>
          <w:rFonts w:hint="eastAsia" w:ascii="宋体" w:hAnsi="宋体" w:cs="宋体"/>
          <w:color w:val="auto"/>
          <w:kern w:val="0"/>
          <w:sz w:val="24"/>
          <w:szCs w:val="24"/>
          <w:lang w:val="zh-CN"/>
        </w:rPr>
        <w:t>投标人的</w:t>
      </w:r>
      <w:r>
        <w:rPr>
          <w:rFonts w:hint="eastAsia" w:ascii="宋体" w:hAnsi="宋体" w:cs="宋体"/>
          <w:b/>
          <w:bCs/>
          <w:color w:val="auto"/>
          <w:kern w:val="0"/>
          <w:sz w:val="24"/>
          <w:szCs w:val="24"/>
        </w:rPr>
        <w:t>商务</w:t>
      </w:r>
      <w:r>
        <w:rPr>
          <w:rFonts w:hint="eastAsia" w:ascii="宋体" w:hAnsi="宋体" w:cs="宋体"/>
          <w:b/>
          <w:bCs/>
          <w:color w:val="auto"/>
          <w:kern w:val="0"/>
          <w:sz w:val="24"/>
          <w:szCs w:val="24"/>
          <w:lang w:val="zh-CN"/>
        </w:rPr>
        <w:t>技术文件</w:t>
      </w:r>
      <w:r>
        <w:rPr>
          <w:rFonts w:hint="eastAsia" w:ascii="宋体" w:hAnsi="宋体" w:cs="宋体"/>
          <w:color w:val="auto"/>
          <w:sz w:val="24"/>
          <w:szCs w:val="24"/>
        </w:rPr>
        <w:t>至少应包括以下内容</w:t>
      </w:r>
      <w:r>
        <w:rPr>
          <w:rFonts w:hint="eastAsia" w:ascii="宋体" w:hAnsi="宋体" w:cs="宋体"/>
          <w:color w:val="auto"/>
          <w:kern w:val="0"/>
          <w:sz w:val="24"/>
          <w:szCs w:val="24"/>
          <w:lang w:val="zh-CN"/>
        </w:rPr>
        <w:t>：</w:t>
      </w:r>
    </w:p>
    <w:bookmarkEnd w:id="35"/>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480" w:firstLineChars="2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）法定代表人授权委托书；</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480" w:firstLineChars="2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）法定代表人及授权委托人的身份证</w:t>
      </w:r>
      <w:r>
        <w:rPr>
          <w:rFonts w:ascii="宋体" w:hAnsi="宋体" w:cs="宋体"/>
          <w:color w:val="auto"/>
          <w:sz w:val="24"/>
          <w:szCs w:val="24"/>
        </w:rPr>
        <w:t>(</w:t>
      </w:r>
      <w:r>
        <w:rPr>
          <w:rFonts w:hint="eastAsia" w:ascii="宋体" w:hAnsi="宋体" w:cs="宋体"/>
          <w:color w:val="auto"/>
          <w:sz w:val="24"/>
          <w:szCs w:val="24"/>
        </w:rPr>
        <w:t>复印件加盖公章</w:t>
      </w:r>
      <w:r>
        <w:rPr>
          <w:rFonts w:ascii="宋体" w:hAnsi="宋体" w:cs="宋体"/>
          <w:color w:val="auto"/>
          <w:sz w:val="24"/>
          <w:szCs w:val="24"/>
        </w:rPr>
        <w:t>)</w:t>
      </w:r>
      <w:r>
        <w:rPr>
          <w:rFonts w:hint="eastAsia" w:ascii="宋体" w:hAnsi="宋体" w:cs="宋体"/>
          <w:color w:val="auto"/>
          <w:sz w:val="24"/>
          <w:szCs w:val="24"/>
        </w:rPr>
        <w:t>；</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480" w:firstLineChars="2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）声明书；</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480" w:firstLineChars="2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sz w:val="24"/>
          <w:szCs w:val="24"/>
          <w:lang w:val="zh-CN"/>
        </w:rPr>
        <w:t>提供</w:t>
      </w:r>
      <w:r>
        <w:rPr>
          <w:rFonts w:ascii="宋体" w:hAnsi="宋体" w:cs="宋体"/>
          <w:color w:val="auto"/>
          <w:sz w:val="24"/>
          <w:szCs w:val="24"/>
          <w:lang w:val="zh-CN"/>
        </w:rPr>
        <w:t>201</w:t>
      </w:r>
      <w:r>
        <w:rPr>
          <w:rFonts w:ascii="宋体" w:hAnsi="宋体" w:cs="宋体"/>
          <w:color w:val="auto"/>
          <w:sz w:val="24"/>
          <w:szCs w:val="24"/>
        </w:rPr>
        <w:t>7</w:t>
      </w:r>
      <w:r>
        <w:rPr>
          <w:rFonts w:hint="eastAsia" w:ascii="宋体" w:hAnsi="宋体" w:cs="宋体"/>
          <w:color w:val="auto"/>
          <w:sz w:val="24"/>
          <w:szCs w:val="24"/>
          <w:lang w:val="zh-CN"/>
        </w:rPr>
        <w:t>年来类似项目成功案例合同复印件（需提供合同复印件并加盖公章）</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480" w:firstLineChars="2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）针对本项目的理解及技术解决方案；</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480" w:firstLineChars="2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）针对本项目的具体实施方案；</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480" w:firstLineChars="2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）技术思路、工作部署及项目进度安排；如中标，招标人有权根据实际情况调整项目进度安排；</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left="178" w:leftChars="85" w:right="-61" w:firstLine="240" w:firstLineChars="1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）针对本项目所投入的人员配置（提供项目负责人及其它实施人员相应的证书或其他的证明材料复印件加盖公章）；</w:t>
      </w:r>
      <w:r>
        <w:rPr>
          <w:rFonts w:ascii="宋体" w:hAnsi="宋体" w:cs="宋体"/>
          <w:color w:val="auto"/>
          <w:sz w:val="24"/>
          <w:szCs w:val="24"/>
        </w:rPr>
        <w:t xml:space="preserve"> </w:t>
      </w:r>
      <w:r>
        <w:rPr>
          <w:rFonts w:ascii="宋体" w:hAnsi="宋体" w:cs="宋体"/>
          <w:color w:val="auto"/>
          <w:sz w:val="24"/>
          <w:szCs w:val="24"/>
        </w:rPr>
        <w:br w:type="textWrapping"/>
      </w:r>
      <w:r>
        <w:rPr>
          <w:rFonts w:ascii="宋体" w:hAnsi="宋体" w:cs="宋体"/>
          <w:color w:val="auto"/>
          <w:sz w:val="24"/>
          <w:szCs w:val="24"/>
        </w:rPr>
        <w:t xml:space="preserve">  </w:t>
      </w:r>
      <w:r>
        <w:rPr>
          <w:rFonts w:hint="eastAsia" w:ascii="宋体" w:hAnsi="宋体" w:cs="宋体"/>
          <w:color w:val="auto"/>
          <w:sz w:val="24"/>
          <w:szCs w:val="24"/>
        </w:rPr>
        <w:t>（</w:t>
      </w:r>
      <w:r>
        <w:rPr>
          <w:rFonts w:ascii="宋体" w:hAnsi="宋体" w:cs="宋体"/>
          <w:color w:val="auto"/>
          <w:sz w:val="24"/>
          <w:szCs w:val="24"/>
        </w:rPr>
        <w:t>9</w:t>
      </w:r>
      <w:r>
        <w:rPr>
          <w:rFonts w:hint="eastAsia" w:ascii="宋体" w:hAnsi="宋体" w:cs="宋体"/>
          <w:color w:val="auto"/>
          <w:sz w:val="24"/>
          <w:szCs w:val="24"/>
        </w:rPr>
        <w:t>）培训计划；</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left="178" w:leftChars="85" w:right="-61" w:firstLine="240" w:firstLineChars="1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10</w:t>
      </w:r>
      <w:r>
        <w:rPr>
          <w:rFonts w:hint="eastAsia" w:ascii="宋体" w:hAnsi="宋体" w:cs="宋体"/>
          <w:color w:val="auto"/>
          <w:sz w:val="24"/>
          <w:szCs w:val="24"/>
        </w:rPr>
        <w:t>）售后服务方案；</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left="418" w:leftChars="199" w:right="-61"/>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）针对本项目的合理化建议和改进措施；</w:t>
      </w:r>
      <w:r>
        <w:rPr>
          <w:rFonts w:ascii="宋体"/>
          <w:color w:val="auto"/>
          <w:sz w:val="24"/>
          <w:szCs w:val="24"/>
        </w:rPr>
        <w:br w:type="textWrapping"/>
      </w:r>
      <w:r>
        <w:rPr>
          <w:rFonts w:hint="eastAsia" w:ascii="宋体" w:hAnsi="宋体" w:cs="宋体"/>
          <w:color w:val="auto"/>
          <w:sz w:val="24"/>
          <w:szCs w:val="24"/>
        </w:rPr>
        <w:t>（</w:t>
      </w:r>
      <w:r>
        <w:rPr>
          <w:rFonts w:ascii="宋体" w:hAnsi="宋体" w:cs="宋体"/>
          <w:color w:val="auto"/>
          <w:sz w:val="24"/>
          <w:szCs w:val="24"/>
        </w:rPr>
        <w:t>12</w:t>
      </w:r>
      <w:r>
        <w:rPr>
          <w:rFonts w:hint="eastAsia" w:ascii="宋体" w:hAnsi="宋体" w:cs="宋体"/>
          <w:color w:val="auto"/>
          <w:sz w:val="24"/>
          <w:szCs w:val="24"/>
        </w:rPr>
        <w:t>）优惠条件及承诺；</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left="178" w:leftChars="85" w:right="-61" w:firstLine="240" w:firstLineChars="1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13</w:t>
      </w:r>
      <w:r>
        <w:rPr>
          <w:rFonts w:hint="eastAsia" w:ascii="宋体" w:hAnsi="宋体" w:cs="宋体"/>
          <w:color w:val="auto"/>
          <w:sz w:val="24"/>
          <w:szCs w:val="24"/>
        </w:rPr>
        <w:t>）商务技术偏离表；</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left="178" w:leftChars="85" w:right="-61" w:firstLine="240" w:firstLineChars="100"/>
        <w:jc w:val="left"/>
        <w:outlineLvl w:val="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14</w:t>
      </w:r>
      <w:r>
        <w:rPr>
          <w:rFonts w:hint="eastAsia" w:ascii="宋体" w:hAnsi="宋体" w:cs="宋体"/>
          <w:color w:val="auto"/>
          <w:sz w:val="24"/>
          <w:szCs w:val="24"/>
        </w:rPr>
        <w:t>）其他商务技术文件或说明。</w:t>
      </w:r>
    </w:p>
    <w:p>
      <w:pPr>
        <w:shd w:val="clear" w:color="auto" w:fill="FFFFFF"/>
        <w:adjustRightInd w:val="0"/>
        <w:snapToGrid w:val="0"/>
        <w:spacing w:line="360" w:lineRule="auto"/>
        <w:rPr>
          <w:rFonts w:ascii="宋体"/>
          <w:b/>
          <w:bCs/>
          <w:color w:val="auto"/>
          <w:kern w:val="0"/>
          <w:sz w:val="24"/>
          <w:szCs w:val="24"/>
          <w:u w:val="single"/>
          <w:shd w:val="pct10" w:color="auto" w:fill="FFFFFF"/>
        </w:rPr>
      </w:pPr>
      <w:r>
        <w:rPr>
          <w:rFonts w:hint="eastAsia" w:ascii="宋体" w:hAnsi="宋体" w:cs="宋体"/>
          <w:b/>
          <w:bCs/>
          <w:color w:val="auto"/>
          <w:sz w:val="24"/>
          <w:szCs w:val="24"/>
          <w:lang w:val="zh-CN"/>
        </w:rPr>
        <w:t>说明：已办理“五证合一”证书的单位只需提供“五证合一”后的营业执照即可。</w:t>
      </w:r>
    </w:p>
    <w:p>
      <w:pPr>
        <w:shd w:val="clear" w:color="auto" w:fill="FFFFFF"/>
        <w:adjustRightInd w:val="0"/>
        <w:snapToGrid w:val="0"/>
        <w:spacing w:line="360" w:lineRule="auto"/>
        <w:ind w:firstLine="482" w:firstLineChars="200"/>
        <w:rPr>
          <w:rFonts w:ascii="宋体"/>
          <w:b/>
          <w:bCs/>
          <w:color w:val="auto"/>
          <w:sz w:val="24"/>
          <w:szCs w:val="24"/>
        </w:rPr>
      </w:pPr>
      <w:r>
        <w:rPr>
          <w:rFonts w:hint="eastAsia" w:ascii="宋体" w:hAnsi="宋体" w:cs="宋体"/>
          <w:b/>
          <w:bCs/>
          <w:color w:val="auto"/>
          <w:sz w:val="24"/>
          <w:szCs w:val="24"/>
          <w:lang w:val="zh-CN"/>
        </w:rPr>
        <w:t>投标人的</w:t>
      </w:r>
      <w:r>
        <w:rPr>
          <w:rFonts w:hint="eastAsia" w:ascii="宋体" w:hAnsi="宋体" w:cs="宋体"/>
          <w:b/>
          <w:bCs/>
          <w:color w:val="auto"/>
          <w:sz w:val="24"/>
          <w:szCs w:val="24"/>
        </w:rPr>
        <w:t>投标文件必须按照招标文件要求制作。</w:t>
      </w:r>
    </w:p>
    <w:p>
      <w:pPr>
        <w:shd w:val="clear" w:color="auto" w:fill="FFFFFF"/>
        <w:adjustRightInd w:val="0"/>
        <w:snapToGrid w:val="0"/>
        <w:spacing w:line="360" w:lineRule="auto"/>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kern w:val="0"/>
          <w:sz w:val="24"/>
          <w:szCs w:val="24"/>
          <w:lang w:val="zh-CN"/>
        </w:rPr>
        <w:t>、</w:t>
      </w:r>
      <w:r>
        <w:rPr>
          <w:rFonts w:hint="eastAsia" w:ascii="宋体" w:hAnsi="宋体" w:cs="宋体"/>
          <w:b/>
          <w:bCs/>
          <w:color w:val="auto"/>
          <w:sz w:val="24"/>
          <w:szCs w:val="24"/>
        </w:rPr>
        <w:t>投标有效期</w:t>
      </w:r>
    </w:p>
    <w:p>
      <w:pPr>
        <w:shd w:val="clear" w:color="auto" w:fill="FFFFFF"/>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3.1  </w:t>
      </w:r>
      <w:r>
        <w:rPr>
          <w:rFonts w:hint="eastAsia" w:ascii="宋体" w:hAnsi="宋体" w:cs="宋体"/>
          <w:color w:val="auto"/>
          <w:sz w:val="24"/>
          <w:szCs w:val="24"/>
        </w:rPr>
        <w:t>投标文件合格投递后，自投标截止日期起，至前附表第</w:t>
      </w:r>
      <w:r>
        <w:rPr>
          <w:rFonts w:ascii="宋体" w:hAnsi="宋体" w:cs="宋体"/>
          <w:color w:val="auto"/>
          <w:sz w:val="24"/>
          <w:szCs w:val="24"/>
        </w:rPr>
        <w:t>3</w:t>
      </w:r>
      <w:r>
        <w:rPr>
          <w:rFonts w:hint="eastAsia" w:ascii="宋体" w:hAnsi="宋体" w:cs="宋体"/>
          <w:color w:val="auto"/>
          <w:sz w:val="24"/>
          <w:szCs w:val="24"/>
        </w:rPr>
        <w:t>项所列的日期内有效。</w:t>
      </w:r>
    </w:p>
    <w:p>
      <w:pPr>
        <w:shd w:val="clear" w:color="auto" w:fill="FFFFFF"/>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 xml:space="preserve">3.2  </w:t>
      </w:r>
      <w:r>
        <w:rPr>
          <w:rFonts w:hint="eastAsia" w:ascii="宋体" w:hAnsi="宋体" w:cs="宋体"/>
          <w:color w:val="auto"/>
          <w:sz w:val="24"/>
          <w:szCs w:val="24"/>
        </w:rPr>
        <w:t>在原定投标有效期之前，如果出现特殊情况，招标代理机构可以以书面形式通知投标人延长投标有效期。</w:t>
      </w:r>
    </w:p>
    <w:p>
      <w:pPr>
        <w:shd w:val="clear" w:color="auto" w:fill="FFFFFF"/>
        <w:adjustRightInd w:val="0"/>
        <w:snapToGrid w:val="0"/>
        <w:spacing w:line="360" w:lineRule="auto"/>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kern w:val="0"/>
          <w:sz w:val="24"/>
          <w:szCs w:val="24"/>
          <w:lang w:val="zh-CN"/>
        </w:rPr>
        <w:t>、</w:t>
      </w:r>
      <w:r>
        <w:rPr>
          <w:rFonts w:hint="eastAsia" w:ascii="宋体" w:hAnsi="宋体" w:cs="宋体"/>
          <w:b/>
          <w:bCs/>
          <w:color w:val="auto"/>
          <w:sz w:val="24"/>
          <w:szCs w:val="24"/>
        </w:rPr>
        <w:t>投标文件的编制和签署</w:t>
      </w:r>
    </w:p>
    <w:bookmarkEnd w:id="34"/>
    <w:p>
      <w:pPr>
        <w:shd w:val="clear" w:color="auto" w:fill="FFFFFF"/>
        <w:spacing w:line="360" w:lineRule="auto"/>
        <w:ind w:firstLine="480" w:firstLineChars="200"/>
        <w:rPr>
          <w:rFonts w:ascii="宋体"/>
          <w:b/>
          <w:bCs/>
          <w:color w:val="auto"/>
          <w:sz w:val="24"/>
          <w:szCs w:val="24"/>
        </w:rPr>
      </w:pPr>
      <w:bookmarkStart w:id="36" w:name="_Hlt68072998"/>
      <w:bookmarkEnd w:id="36"/>
      <w:bookmarkStart w:id="37" w:name="_Hlt68403820"/>
      <w:bookmarkEnd w:id="37"/>
      <w:bookmarkStart w:id="38" w:name="_Hlt68073093"/>
      <w:bookmarkEnd w:id="38"/>
      <w:r>
        <w:rPr>
          <w:rFonts w:hint="eastAsia" w:ascii="宋体" w:hAnsi="宋体" w:cs="宋体"/>
          <w:color w:val="auto"/>
          <w:sz w:val="24"/>
          <w:szCs w:val="24"/>
        </w:rPr>
        <w:t>投标文件按照招标文件第五部分应提交的有关格式范例要求进行签署、盖章。</w:t>
      </w:r>
      <w:r>
        <w:rPr>
          <w:rFonts w:hint="eastAsia" w:ascii="宋体" w:hAnsi="宋体" w:cs="宋体"/>
          <w:b/>
          <w:bCs/>
          <w:color w:val="auto"/>
          <w:sz w:val="24"/>
          <w:szCs w:val="24"/>
        </w:rPr>
        <w:t>投标人的投标文件未按照招标文件要求签署、盖章的，其投标无效；其中电子投标文件中所须加盖公章部分均采用</w:t>
      </w:r>
      <w:r>
        <w:rPr>
          <w:rFonts w:ascii="宋体" w:hAnsi="宋体" w:cs="宋体"/>
          <w:b/>
          <w:bCs/>
          <w:color w:val="auto"/>
          <w:sz w:val="24"/>
          <w:szCs w:val="24"/>
        </w:rPr>
        <w:t>CA</w:t>
      </w:r>
      <w:r>
        <w:rPr>
          <w:rFonts w:hint="eastAsia" w:ascii="宋体" w:hAnsi="宋体" w:cs="宋体"/>
          <w:b/>
          <w:bCs/>
          <w:color w:val="auto"/>
          <w:sz w:val="24"/>
          <w:szCs w:val="24"/>
        </w:rPr>
        <w:t>签章，并根据“政采云供应商项目采购</w:t>
      </w:r>
      <w:r>
        <w:rPr>
          <w:rFonts w:ascii="宋体" w:cs="宋体"/>
          <w:b/>
          <w:bCs/>
          <w:color w:val="auto"/>
          <w:sz w:val="24"/>
          <w:szCs w:val="24"/>
        </w:rPr>
        <w:t>-</w:t>
      </w:r>
      <w:r>
        <w:rPr>
          <w:rFonts w:hint="eastAsia" w:ascii="宋体" w:hAnsi="宋体" w:cs="宋体"/>
          <w:b/>
          <w:bCs/>
          <w:color w:val="auto"/>
          <w:sz w:val="24"/>
          <w:szCs w:val="24"/>
        </w:rPr>
        <w:t>电子招投标操作指南”及本招标文件规定的格式和顺序编制电子投标文件并进行关联定位。</w:t>
      </w:r>
      <w:r>
        <w:rPr>
          <w:rFonts w:ascii="宋体"/>
          <w:b/>
          <w:bCs/>
          <w:color w:val="auto"/>
          <w:sz w:val="24"/>
          <w:szCs w:val="24"/>
        </w:rPr>
        <w:t> </w:t>
      </w:r>
    </w:p>
    <w:p>
      <w:pPr>
        <w:spacing w:line="360" w:lineRule="auto"/>
        <w:rPr>
          <w:color w:val="auto"/>
        </w:rPr>
      </w:pPr>
    </w:p>
    <w:p>
      <w:pPr>
        <w:adjustRightInd w:val="0"/>
        <w:snapToGrid w:val="0"/>
        <w:spacing w:line="360" w:lineRule="auto"/>
        <w:jc w:val="center"/>
        <w:outlineLvl w:val="1"/>
        <w:rPr>
          <w:rFonts w:ascii="宋体"/>
          <w:b/>
          <w:bCs/>
          <w:color w:val="auto"/>
          <w:sz w:val="24"/>
          <w:szCs w:val="24"/>
        </w:rPr>
      </w:pPr>
      <w:bookmarkStart w:id="39" w:name="_Toc361155992"/>
      <w:r>
        <w:rPr>
          <w:rFonts w:hint="eastAsia" w:ascii="宋体" w:hAnsi="宋体" w:cs="宋体"/>
          <w:b/>
          <w:bCs/>
          <w:color w:val="auto"/>
          <w:sz w:val="32"/>
          <w:szCs w:val="32"/>
        </w:rPr>
        <w:t>四、投标文件的递交</w:t>
      </w:r>
      <w:bookmarkEnd w:id="39"/>
    </w:p>
    <w:p>
      <w:pPr>
        <w:pStyle w:val="3"/>
        <w:tabs>
          <w:tab w:val="left" w:pos="720"/>
        </w:tabs>
        <w:spacing w:before="0" w:after="0"/>
        <w:ind w:left="720" w:hanging="72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、投标文件的上传和递交</w:t>
      </w:r>
    </w:p>
    <w:p>
      <w:pPr>
        <w:spacing w:line="360" w:lineRule="auto"/>
        <w:ind w:firstLine="426" w:firstLineChars="177"/>
        <w:rPr>
          <w:rFonts w:ascii="宋体"/>
          <w:b/>
          <w:bCs/>
          <w:color w:val="auto"/>
          <w:sz w:val="24"/>
          <w:szCs w:val="24"/>
        </w:rPr>
      </w:pPr>
      <w:r>
        <w:rPr>
          <w:rFonts w:ascii="宋体" w:hAnsi="宋体" w:cs="宋体"/>
          <w:b/>
          <w:bCs/>
          <w:color w:val="auto"/>
          <w:kern w:val="0"/>
          <w:sz w:val="24"/>
          <w:szCs w:val="24"/>
        </w:rPr>
        <w:t>1.1</w:t>
      </w:r>
      <w:r>
        <w:rPr>
          <w:rFonts w:hint="eastAsia" w:ascii="宋体" w:hAnsi="宋体" w:cs="宋体"/>
          <w:b/>
          <w:bCs/>
          <w:color w:val="auto"/>
          <w:kern w:val="0"/>
          <w:sz w:val="24"/>
          <w:szCs w:val="24"/>
        </w:rPr>
        <w:t>“投标文件”的上传、递交：</w:t>
      </w:r>
      <w:r>
        <w:rPr>
          <w:rFonts w:hint="eastAsia" w:ascii="宋体" w:hAnsi="宋体" w:cs="宋体"/>
          <w:b/>
          <w:bCs/>
          <w:color w:val="auto"/>
          <w:sz w:val="24"/>
          <w:szCs w:val="24"/>
        </w:rPr>
        <w:t>见《前附表》。</w:t>
      </w:r>
    </w:p>
    <w:p>
      <w:pPr>
        <w:pStyle w:val="3"/>
        <w:tabs>
          <w:tab w:val="left" w:pos="720"/>
        </w:tabs>
        <w:spacing w:before="0" w:after="0"/>
        <w:ind w:left="720" w:hanging="72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、“电子加密投标文件”解密和异常情况处理</w:t>
      </w:r>
    </w:p>
    <w:p>
      <w:pPr>
        <w:spacing w:line="360" w:lineRule="auto"/>
        <w:ind w:firstLine="426" w:firstLineChars="177"/>
        <w:rPr>
          <w:rFonts w:ascii="宋体"/>
          <w:color w:val="auto"/>
          <w:sz w:val="24"/>
          <w:szCs w:val="24"/>
        </w:rPr>
      </w:pPr>
      <w:r>
        <w:rPr>
          <w:rFonts w:ascii="宋体" w:hAnsi="宋体" w:cs="宋体"/>
          <w:b/>
          <w:bCs/>
          <w:color w:val="auto"/>
          <w:kern w:val="0"/>
          <w:sz w:val="24"/>
          <w:szCs w:val="24"/>
        </w:rPr>
        <w:t>2.1</w:t>
      </w:r>
      <w:r>
        <w:rPr>
          <w:rFonts w:hint="eastAsia" w:ascii="宋体" w:hAnsi="宋体" w:cs="宋体"/>
          <w:b/>
          <w:bCs/>
          <w:color w:val="auto"/>
          <w:kern w:val="0"/>
          <w:sz w:val="24"/>
          <w:szCs w:val="24"/>
        </w:rPr>
        <w:t>“电子加密投标文件”解密：</w:t>
      </w:r>
      <w:r>
        <w:rPr>
          <w:rFonts w:hint="eastAsia" w:ascii="宋体" w:hAnsi="宋体" w:cs="宋体"/>
          <w:b/>
          <w:bCs/>
          <w:color w:val="auto"/>
          <w:sz w:val="24"/>
          <w:szCs w:val="24"/>
        </w:rPr>
        <w:t>见《前附表》。</w:t>
      </w:r>
    </w:p>
    <w:p>
      <w:pPr>
        <w:pStyle w:val="3"/>
        <w:tabs>
          <w:tab w:val="left" w:pos="720"/>
        </w:tabs>
        <w:spacing w:before="0" w:after="0"/>
        <w:ind w:left="720" w:hanging="72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、投标文件的补充、修改或撤回</w:t>
      </w:r>
    </w:p>
    <w:p>
      <w:pPr>
        <w:spacing w:line="360" w:lineRule="auto"/>
        <w:ind w:firstLine="426" w:firstLineChars="177"/>
        <w:rPr>
          <w:rFonts w:ascii="宋体"/>
          <w:b/>
          <w:bCs/>
          <w:color w:val="auto"/>
          <w:kern w:val="0"/>
          <w:sz w:val="24"/>
          <w:szCs w:val="24"/>
        </w:rPr>
      </w:pPr>
      <w:r>
        <w:rPr>
          <w:rFonts w:ascii="宋体" w:hAnsi="宋体" w:cs="宋体"/>
          <w:b/>
          <w:bCs/>
          <w:color w:val="auto"/>
          <w:kern w:val="0"/>
          <w:sz w:val="24"/>
          <w:szCs w:val="24"/>
        </w:rPr>
        <w:t>3.1</w:t>
      </w:r>
      <w:r>
        <w:rPr>
          <w:rFonts w:hint="eastAsia" w:ascii="宋体" w:hAnsi="宋体" w:cs="宋体"/>
          <w:b/>
          <w:bCs/>
          <w:color w:val="auto"/>
          <w:kern w:val="0"/>
          <w:sz w:val="24"/>
          <w:szCs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ascii="宋体"/>
          <w:b/>
          <w:bCs/>
          <w:color w:val="auto"/>
          <w:kern w:val="0"/>
          <w:sz w:val="24"/>
          <w:szCs w:val="24"/>
        </w:rPr>
      </w:pPr>
      <w:r>
        <w:rPr>
          <w:rFonts w:ascii="宋体" w:hAnsi="宋体" w:cs="宋体"/>
          <w:b/>
          <w:bCs/>
          <w:color w:val="auto"/>
          <w:kern w:val="0"/>
          <w:sz w:val="24"/>
          <w:szCs w:val="24"/>
        </w:rPr>
        <w:t>3.2</w:t>
      </w:r>
      <w:r>
        <w:rPr>
          <w:rFonts w:hint="eastAsia" w:ascii="宋体" w:hAnsi="宋体" w:cs="宋体"/>
          <w:b/>
          <w:bCs/>
          <w:color w:val="auto"/>
          <w:kern w:val="0"/>
          <w:sz w:val="24"/>
          <w:szCs w:val="24"/>
        </w:rPr>
        <w:t>投标截止时间后，投标人不得撤回、修改《投标文件》。</w:t>
      </w:r>
    </w:p>
    <w:p>
      <w:pPr>
        <w:pStyle w:val="3"/>
        <w:tabs>
          <w:tab w:val="left" w:pos="720"/>
        </w:tabs>
        <w:spacing w:before="0" w:after="0"/>
        <w:ind w:left="720" w:hanging="72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、投标文件的备选方案</w:t>
      </w:r>
    </w:p>
    <w:p>
      <w:pPr>
        <w:spacing w:line="360" w:lineRule="auto"/>
        <w:ind w:firstLine="426" w:firstLineChars="177"/>
        <w:rPr>
          <w:rFonts w:ascii="宋体"/>
          <w:color w:val="auto"/>
          <w:sz w:val="24"/>
          <w:szCs w:val="24"/>
        </w:rPr>
      </w:pPr>
      <w:r>
        <w:rPr>
          <w:rFonts w:ascii="宋体" w:hAnsi="宋体" w:cs="宋体"/>
          <w:b/>
          <w:bCs/>
          <w:color w:val="auto"/>
          <w:sz w:val="24"/>
          <w:szCs w:val="24"/>
        </w:rPr>
        <w:t>4.1</w:t>
      </w:r>
      <w:r>
        <w:rPr>
          <w:rFonts w:hint="eastAsia" w:ascii="宋体" w:hAnsi="宋体" w:cs="宋体"/>
          <w:b/>
          <w:bCs/>
          <w:color w:val="auto"/>
          <w:sz w:val="24"/>
          <w:szCs w:val="24"/>
        </w:rPr>
        <w:t>投标人不得递交任何的</w:t>
      </w:r>
      <w:r>
        <w:rPr>
          <w:rFonts w:hint="eastAsia" w:ascii="宋体" w:hAnsi="宋体" w:cs="宋体"/>
          <w:b/>
          <w:bCs/>
          <w:color w:val="auto"/>
          <w:kern w:val="0"/>
          <w:sz w:val="24"/>
          <w:szCs w:val="24"/>
        </w:rPr>
        <w:t>投标备选（替代）方案</w:t>
      </w:r>
      <w:r>
        <w:rPr>
          <w:rFonts w:hint="eastAsia" w:ascii="宋体" w:hAnsi="宋体" w:cs="宋体"/>
          <w:b/>
          <w:bCs/>
          <w:color w:val="auto"/>
          <w:sz w:val="24"/>
          <w:szCs w:val="24"/>
        </w:rPr>
        <w:t>，否则其投标文件将作无效标处理。与“电子加密投标文件”同时生成的“备份投标文件”不是投标备选（替代）方案。</w:t>
      </w:r>
    </w:p>
    <w:p>
      <w:pPr>
        <w:pStyle w:val="27"/>
        <w:adjustRightInd w:val="0"/>
        <w:snapToGrid w:val="0"/>
        <w:spacing w:before="0"/>
        <w:ind w:firstLine="0" w:firstLineChars="0"/>
        <w:rPr>
          <w:rFonts w:ascii="宋体"/>
          <w:color w:val="auto"/>
        </w:rPr>
      </w:pPr>
    </w:p>
    <w:p>
      <w:pPr>
        <w:adjustRightInd w:val="0"/>
        <w:snapToGrid w:val="0"/>
        <w:spacing w:line="360" w:lineRule="auto"/>
        <w:jc w:val="center"/>
        <w:outlineLvl w:val="1"/>
        <w:rPr>
          <w:rFonts w:ascii="宋体"/>
          <w:b/>
          <w:bCs/>
          <w:color w:val="auto"/>
          <w:sz w:val="32"/>
          <w:szCs w:val="32"/>
        </w:rPr>
      </w:pPr>
      <w:bookmarkStart w:id="40" w:name="_Toc361155993"/>
      <w:bookmarkStart w:id="41" w:name="_Toc361155994"/>
      <w:r>
        <w:rPr>
          <w:rFonts w:hint="eastAsia" w:ascii="宋体" w:hAnsi="宋体" w:cs="宋体"/>
          <w:b/>
          <w:bCs/>
          <w:color w:val="auto"/>
          <w:sz w:val="32"/>
          <w:szCs w:val="32"/>
        </w:rPr>
        <w:t>五、开</w:t>
      </w:r>
      <w:r>
        <w:rPr>
          <w:rFonts w:ascii="宋体" w:hAnsi="宋体" w:cs="宋体"/>
          <w:b/>
          <w:bCs/>
          <w:color w:val="auto"/>
          <w:sz w:val="32"/>
          <w:szCs w:val="32"/>
        </w:rPr>
        <w:t xml:space="preserve"> </w:t>
      </w:r>
      <w:r>
        <w:rPr>
          <w:rFonts w:hint="eastAsia" w:ascii="宋体" w:hAnsi="宋体" w:cs="宋体"/>
          <w:b/>
          <w:bCs/>
          <w:color w:val="auto"/>
          <w:sz w:val="32"/>
          <w:szCs w:val="32"/>
        </w:rPr>
        <w:t>标</w:t>
      </w:r>
      <w:bookmarkEnd w:id="40"/>
    </w:p>
    <w:p>
      <w:pPr>
        <w:spacing w:line="360" w:lineRule="auto"/>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w:t>
      </w:r>
      <w:r>
        <w:rPr>
          <w:rFonts w:ascii="宋体" w:hAnsi="宋体" w:cs="宋体"/>
          <w:b/>
          <w:bCs/>
          <w:color w:val="auto"/>
          <w:sz w:val="24"/>
          <w:szCs w:val="24"/>
        </w:rPr>
        <w:t xml:space="preserve"> </w:t>
      </w:r>
      <w:r>
        <w:rPr>
          <w:rFonts w:hint="eastAsia" w:ascii="宋体" w:hAnsi="宋体" w:cs="宋体"/>
          <w:b/>
          <w:bCs/>
          <w:color w:val="auto"/>
          <w:sz w:val="24"/>
          <w:szCs w:val="24"/>
        </w:rPr>
        <w:t>开标</w:t>
      </w:r>
    </w:p>
    <w:p>
      <w:pPr>
        <w:pStyle w:val="8"/>
        <w:snapToGrid w:val="0"/>
        <w:spacing w:line="360" w:lineRule="auto"/>
        <w:ind w:firstLine="480" w:firstLineChars="200"/>
        <w:rPr>
          <w:rFonts w:hAnsi="宋体" w:cs="Calibri"/>
          <w:color w:val="auto"/>
          <w:sz w:val="24"/>
          <w:szCs w:val="24"/>
        </w:rPr>
      </w:pPr>
      <w:r>
        <w:rPr>
          <w:rFonts w:hAnsi="宋体"/>
          <w:color w:val="auto"/>
          <w:sz w:val="24"/>
          <w:szCs w:val="24"/>
        </w:rPr>
        <w:t>1.1</w:t>
      </w:r>
      <w:r>
        <w:rPr>
          <w:rFonts w:hint="eastAsia" w:hAnsi="宋体"/>
          <w:color w:val="auto"/>
          <w:sz w:val="24"/>
          <w:szCs w:val="24"/>
        </w:rPr>
        <w:t>开标在招标文件确定的时间、地点进行。</w:t>
      </w:r>
    </w:p>
    <w:p>
      <w:pPr>
        <w:pStyle w:val="8"/>
        <w:snapToGrid w:val="0"/>
        <w:spacing w:line="360" w:lineRule="auto"/>
        <w:ind w:firstLine="480" w:firstLineChars="200"/>
        <w:rPr>
          <w:rFonts w:hAnsi="宋体" w:cs="Calibri"/>
          <w:color w:val="auto"/>
          <w:sz w:val="24"/>
          <w:szCs w:val="24"/>
        </w:rPr>
      </w:pPr>
      <w:r>
        <w:rPr>
          <w:rFonts w:hAnsi="宋体"/>
          <w:color w:val="auto"/>
          <w:sz w:val="24"/>
          <w:szCs w:val="24"/>
        </w:rPr>
        <w:t xml:space="preserve">1.2 </w:t>
      </w:r>
      <w:r>
        <w:rPr>
          <w:rFonts w:hint="eastAsia" w:hAnsi="宋体"/>
          <w:color w:val="auto"/>
          <w:sz w:val="24"/>
          <w:szCs w:val="24"/>
        </w:rPr>
        <w:t>开标由招标人或者采购机构主持，邀请投标人参加。评标委员会成员不得参加开标活动。</w:t>
      </w:r>
      <w:r>
        <w:rPr>
          <w:rFonts w:hint="eastAsia" w:hAnsi="宋体"/>
          <w:b/>
          <w:bCs/>
          <w:color w:val="auto"/>
          <w:sz w:val="24"/>
          <w:szCs w:val="24"/>
        </w:rPr>
        <w:t>投标人不足</w:t>
      </w:r>
      <w:r>
        <w:rPr>
          <w:rFonts w:hAnsi="宋体"/>
          <w:b/>
          <w:bCs/>
          <w:color w:val="auto"/>
          <w:sz w:val="24"/>
          <w:szCs w:val="24"/>
        </w:rPr>
        <w:t>3</w:t>
      </w:r>
      <w:r>
        <w:rPr>
          <w:rFonts w:hint="eastAsia" w:hAnsi="宋体"/>
          <w:b/>
          <w:bCs/>
          <w:color w:val="auto"/>
          <w:sz w:val="24"/>
          <w:szCs w:val="24"/>
        </w:rPr>
        <w:t>家的，不得开标。</w:t>
      </w:r>
    </w:p>
    <w:p>
      <w:pPr>
        <w:pStyle w:val="8"/>
        <w:snapToGrid w:val="0"/>
        <w:spacing w:line="360" w:lineRule="auto"/>
        <w:ind w:firstLine="470" w:firstLineChars="196"/>
        <w:rPr>
          <w:rFonts w:hAnsi="宋体" w:cs="Calibri"/>
          <w:color w:val="auto"/>
          <w:sz w:val="24"/>
          <w:szCs w:val="24"/>
        </w:rPr>
      </w:pPr>
      <w:r>
        <w:rPr>
          <w:rFonts w:hAnsi="宋体"/>
          <w:color w:val="auto"/>
          <w:sz w:val="24"/>
          <w:szCs w:val="24"/>
        </w:rPr>
        <w:t>1.3</w:t>
      </w:r>
      <w:r>
        <w:rPr>
          <w:rFonts w:hint="eastAsia" w:hAnsi="宋体"/>
          <w:color w:val="auto"/>
          <w:sz w:val="24"/>
          <w:szCs w:val="24"/>
        </w:rPr>
        <w:t>投标截止时间后，投标人登录政采云平台，用“项目采购</w:t>
      </w:r>
      <w:r>
        <w:rPr>
          <w:rFonts w:hAnsi="宋体"/>
          <w:color w:val="auto"/>
          <w:sz w:val="24"/>
          <w:szCs w:val="24"/>
        </w:rPr>
        <w:t>-</w:t>
      </w:r>
      <w:r>
        <w:rPr>
          <w:rFonts w:hint="eastAsia" w:hAnsi="宋体"/>
          <w:color w:val="auto"/>
          <w:sz w:val="24"/>
          <w:szCs w:val="24"/>
        </w:rPr>
        <w:t>开标评标”功能对电子投标文件进行在线解密。在线解密电子投标文件时间为开标时间起半个小时内。</w:t>
      </w:r>
    </w:p>
    <w:p>
      <w:pPr>
        <w:pStyle w:val="8"/>
        <w:snapToGrid w:val="0"/>
        <w:spacing w:line="360" w:lineRule="auto"/>
        <w:ind w:firstLine="470" w:firstLineChars="196"/>
        <w:rPr>
          <w:rFonts w:hAnsi="宋体" w:cs="Calibri"/>
          <w:color w:val="auto"/>
          <w:sz w:val="24"/>
          <w:szCs w:val="24"/>
        </w:rPr>
      </w:pPr>
      <w:r>
        <w:rPr>
          <w:rFonts w:hint="eastAsia" w:hAnsi="宋体"/>
          <w:color w:val="auto"/>
          <w:sz w:val="24"/>
          <w:szCs w:val="24"/>
        </w:rPr>
        <w:t>若投标人在规定时间内无法解密或解密失败，招标代理机构将开启投标人递交的以介质存储的数据电文形式的备份投标文件，上传至政采云平台项目采购模块，以完成开标，电子投标文件自动失效。</w:t>
      </w:r>
    </w:p>
    <w:p>
      <w:pPr>
        <w:pStyle w:val="8"/>
        <w:snapToGrid w:val="0"/>
        <w:spacing w:line="360" w:lineRule="auto"/>
        <w:ind w:firstLine="470" w:firstLineChars="196"/>
        <w:rPr>
          <w:rFonts w:hAnsi="宋体" w:cs="Calibri"/>
          <w:color w:val="auto"/>
          <w:sz w:val="24"/>
          <w:szCs w:val="24"/>
        </w:rPr>
      </w:pPr>
      <w:r>
        <w:rPr>
          <w:rFonts w:hAnsi="宋体"/>
          <w:color w:val="auto"/>
          <w:sz w:val="24"/>
          <w:szCs w:val="24"/>
        </w:rPr>
        <w:t>1.4</w:t>
      </w:r>
      <w:r>
        <w:rPr>
          <w:rFonts w:hint="eastAsia" w:hAnsi="宋体"/>
          <w:color w:val="auto"/>
          <w:sz w:val="24"/>
          <w:szCs w:val="24"/>
        </w:rPr>
        <w:t>当众拆封，宣读递交投标文件的供应商名单，将其中密封的报价文件现场集中封存保管等候拆封，将拆封后的商务和技术文件由现场工作人员送至指定的评审地点。</w:t>
      </w:r>
    </w:p>
    <w:p>
      <w:pPr>
        <w:pStyle w:val="8"/>
        <w:snapToGrid w:val="0"/>
        <w:spacing w:line="360" w:lineRule="auto"/>
        <w:ind w:firstLine="470" w:firstLineChars="196"/>
        <w:rPr>
          <w:rFonts w:hAnsi="宋体" w:cs="Calibri"/>
          <w:color w:val="auto"/>
          <w:sz w:val="24"/>
          <w:szCs w:val="24"/>
        </w:rPr>
      </w:pPr>
      <w:r>
        <w:rPr>
          <w:rFonts w:hAnsi="宋体"/>
          <w:color w:val="auto"/>
          <w:sz w:val="24"/>
          <w:szCs w:val="24"/>
        </w:rPr>
        <w:t>1.5</w:t>
      </w:r>
      <w:r>
        <w:rPr>
          <w:rFonts w:hint="eastAsia" w:hAnsi="宋体"/>
          <w:color w:val="auto"/>
          <w:sz w:val="24"/>
          <w:szCs w:val="24"/>
        </w:rPr>
        <w:t>商务和技术评审结束后，主持人在开标现场宣告有效供应商的商务和技术得分情况，无效供应商递交的报价文件不再开启。</w:t>
      </w:r>
    </w:p>
    <w:p>
      <w:pPr>
        <w:pStyle w:val="8"/>
        <w:snapToGrid w:val="0"/>
        <w:spacing w:line="360" w:lineRule="auto"/>
        <w:ind w:firstLine="470" w:firstLineChars="196"/>
        <w:rPr>
          <w:rFonts w:hAnsi="宋体" w:cs="Calibri"/>
          <w:color w:val="auto"/>
          <w:sz w:val="24"/>
          <w:szCs w:val="24"/>
        </w:rPr>
      </w:pPr>
      <w:r>
        <w:rPr>
          <w:rFonts w:hAnsi="宋体"/>
          <w:color w:val="auto"/>
          <w:sz w:val="24"/>
          <w:szCs w:val="24"/>
        </w:rPr>
        <w:t>1.6</w:t>
      </w:r>
      <w:r>
        <w:rPr>
          <w:rFonts w:hint="eastAsia" w:hAnsi="宋体"/>
          <w:color w:val="auto"/>
          <w:sz w:val="24"/>
          <w:szCs w:val="24"/>
        </w:rPr>
        <w:t>拆封供应商报价文件，宣读《开标一览表》有关内容，同时当场制作并打印开标记录表，由投标人授权代表在开标记录表上签字确认（不予确认的应说明理由，否则视为无异议）。唱标结束后，现场工作人员将报价文件及开标记录表送至指定评审地点，由评审小组对报价的合理性、准确性等进行审查核实。</w:t>
      </w:r>
    </w:p>
    <w:p>
      <w:pPr>
        <w:pStyle w:val="27"/>
        <w:adjustRightInd w:val="0"/>
        <w:snapToGrid w:val="0"/>
        <w:spacing w:before="0"/>
        <w:ind w:firstLine="31680"/>
        <w:rPr>
          <w:rFonts w:ascii="宋体"/>
          <w:color w:val="auto"/>
          <w:sz w:val="24"/>
          <w:szCs w:val="24"/>
        </w:rPr>
      </w:pPr>
      <w:r>
        <w:rPr>
          <w:rFonts w:ascii="宋体" w:hAnsi="宋体" w:cs="宋体"/>
          <w:color w:val="auto"/>
          <w:sz w:val="24"/>
          <w:szCs w:val="24"/>
        </w:rPr>
        <w:t>1.7</w:t>
      </w:r>
      <w:r>
        <w:rPr>
          <w:rFonts w:hint="eastAsia" w:ascii="宋体" w:hAnsi="宋体" w:cs="宋体"/>
          <w:color w:val="auto"/>
          <w:sz w:val="24"/>
          <w:szCs w:val="24"/>
        </w:rPr>
        <w:t>开标时，投标文件中的投标（开标）一览表内容与投标文件中明细表内容不一致的，以投标（开标）一览表为准。投标文件的大写金额和小写金额不一致的，以大写金额为准；对不同文字文本投标文件的解释发生异议的，以中文文本为准。</w:t>
      </w:r>
    </w:p>
    <w:p>
      <w:pPr>
        <w:pStyle w:val="27"/>
        <w:spacing w:before="0"/>
        <w:ind w:firstLine="31680"/>
        <w:rPr>
          <w:rFonts w:ascii="宋体"/>
          <w:b/>
          <w:bCs/>
          <w:color w:val="auto"/>
          <w:sz w:val="24"/>
          <w:szCs w:val="24"/>
        </w:rPr>
      </w:pPr>
      <w:r>
        <w:rPr>
          <w:rFonts w:ascii="宋体" w:hAnsi="宋体" w:cs="宋体"/>
          <w:color w:val="auto"/>
          <w:sz w:val="24"/>
          <w:szCs w:val="24"/>
        </w:rPr>
        <w:t>1.8</w:t>
      </w:r>
      <w:r>
        <w:rPr>
          <w:rFonts w:hint="eastAsia" w:ascii="宋体" w:hAnsi="宋体" w:cs="宋体"/>
          <w:color w:val="auto"/>
          <w:sz w:val="24"/>
          <w:szCs w:val="24"/>
        </w:rPr>
        <w:t>评审结束后，招标代理机构公布中标候选人名单，及招标人最终确定中标人名单的时间和公告方式等。</w:t>
      </w:r>
    </w:p>
    <w:p>
      <w:pPr>
        <w:adjustRightInd w:val="0"/>
        <w:snapToGrid w:val="0"/>
        <w:spacing w:line="360" w:lineRule="auto"/>
        <w:jc w:val="center"/>
        <w:outlineLvl w:val="1"/>
        <w:rPr>
          <w:rFonts w:ascii="宋体"/>
          <w:b/>
          <w:bCs/>
          <w:color w:val="auto"/>
          <w:sz w:val="24"/>
          <w:szCs w:val="24"/>
        </w:rPr>
      </w:pPr>
      <w:r>
        <w:rPr>
          <w:rFonts w:hint="eastAsia" w:ascii="宋体" w:hAnsi="宋体" w:cs="宋体"/>
          <w:b/>
          <w:bCs/>
          <w:color w:val="auto"/>
          <w:sz w:val="24"/>
          <w:szCs w:val="24"/>
        </w:rPr>
        <w:t>六、评</w:t>
      </w:r>
      <w:r>
        <w:rPr>
          <w:rFonts w:ascii="宋体" w:hAnsi="宋体" w:cs="宋体"/>
          <w:b/>
          <w:bCs/>
          <w:color w:val="auto"/>
          <w:sz w:val="24"/>
          <w:szCs w:val="24"/>
        </w:rPr>
        <w:t xml:space="preserve"> </w:t>
      </w:r>
      <w:r>
        <w:rPr>
          <w:rFonts w:hint="eastAsia" w:ascii="宋体" w:hAnsi="宋体" w:cs="宋体"/>
          <w:b/>
          <w:bCs/>
          <w:color w:val="auto"/>
          <w:sz w:val="24"/>
          <w:szCs w:val="24"/>
        </w:rPr>
        <w:t>标</w:t>
      </w:r>
      <w:bookmarkEnd w:id="41"/>
    </w:p>
    <w:p>
      <w:pPr>
        <w:spacing w:line="360" w:lineRule="auto"/>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、评标组织</w:t>
      </w:r>
    </w:p>
    <w:p>
      <w:pPr>
        <w:spacing w:line="360" w:lineRule="auto"/>
        <w:ind w:firstLine="482"/>
        <w:rPr>
          <w:rFonts w:ascii="宋体"/>
          <w:color w:val="auto"/>
          <w:sz w:val="24"/>
          <w:szCs w:val="24"/>
          <w:lang w:val="zh-CN"/>
        </w:rPr>
      </w:pPr>
      <w:r>
        <w:rPr>
          <w:rFonts w:hint="eastAsia" w:ascii="宋体" w:hAnsi="宋体" w:cs="宋体"/>
          <w:color w:val="auto"/>
          <w:sz w:val="24"/>
          <w:szCs w:val="24"/>
        </w:rPr>
        <w:t>本项目评审小组由</w:t>
      </w:r>
      <w:r>
        <w:rPr>
          <w:rFonts w:ascii="宋体" w:hAnsi="宋体" w:cs="宋体"/>
          <w:color w:val="auto"/>
          <w:sz w:val="24"/>
          <w:szCs w:val="24"/>
        </w:rPr>
        <w:t>5</w:t>
      </w:r>
      <w:r>
        <w:rPr>
          <w:rFonts w:hint="eastAsia" w:ascii="宋体" w:hAnsi="宋体" w:cs="宋体"/>
          <w:color w:val="auto"/>
          <w:sz w:val="24"/>
          <w:szCs w:val="24"/>
        </w:rPr>
        <w:t>人</w:t>
      </w:r>
      <w:r>
        <w:rPr>
          <w:rFonts w:ascii="宋体" w:hAnsi="宋体" w:cs="宋体"/>
          <w:color w:val="auto"/>
          <w:sz w:val="24"/>
          <w:szCs w:val="24"/>
        </w:rPr>
        <w:t>(</w:t>
      </w:r>
      <w:r>
        <w:rPr>
          <w:rFonts w:hint="eastAsia" w:ascii="宋体" w:hAnsi="宋体" w:cs="宋体"/>
          <w:color w:val="auto"/>
          <w:sz w:val="24"/>
          <w:szCs w:val="24"/>
        </w:rPr>
        <w:t>含</w:t>
      </w:r>
      <w:r>
        <w:rPr>
          <w:rFonts w:ascii="宋体" w:hAnsi="宋体" w:cs="宋体"/>
          <w:color w:val="auto"/>
          <w:sz w:val="24"/>
          <w:szCs w:val="24"/>
        </w:rPr>
        <w:t>)</w:t>
      </w:r>
      <w:r>
        <w:rPr>
          <w:rFonts w:hint="eastAsia" w:ascii="宋体" w:hAnsi="宋体" w:cs="宋体"/>
          <w:color w:val="auto"/>
          <w:sz w:val="24"/>
          <w:szCs w:val="24"/>
        </w:rPr>
        <w:t>以上单数的人员组成，负责对投标文件进行审查、质询、评审和比较等。评审小组</w:t>
      </w:r>
      <w:r>
        <w:rPr>
          <w:rFonts w:hint="eastAsia" w:ascii="宋体" w:hAnsi="宋体" w:cs="宋体"/>
          <w:color w:val="auto"/>
          <w:sz w:val="24"/>
          <w:szCs w:val="24"/>
          <w:lang w:val="zh-CN"/>
        </w:rPr>
        <w:t>由政府招标咨询专家和招标人代表组成，其中政府招标咨询专家人数不少于成员总数的三分之二。</w:t>
      </w:r>
    </w:p>
    <w:p>
      <w:pPr>
        <w:spacing w:line="360" w:lineRule="auto"/>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、评标原则</w:t>
      </w:r>
    </w:p>
    <w:p>
      <w:pPr>
        <w:pStyle w:val="8"/>
        <w:adjustRightInd w:val="0"/>
        <w:snapToGrid w:val="0"/>
        <w:spacing w:line="360" w:lineRule="auto"/>
        <w:ind w:firstLine="480" w:firstLineChars="200"/>
        <w:rPr>
          <w:rFonts w:hAnsi="宋体" w:cs="Calibri"/>
          <w:color w:val="auto"/>
          <w:sz w:val="24"/>
          <w:szCs w:val="24"/>
        </w:rPr>
      </w:pPr>
      <w:r>
        <w:rPr>
          <w:rFonts w:hAnsi="宋体"/>
          <w:color w:val="auto"/>
          <w:sz w:val="24"/>
          <w:szCs w:val="24"/>
        </w:rPr>
        <w:t>2.1</w:t>
      </w:r>
      <w:r>
        <w:rPr>
          <w:rFonts w:hint="eastAsia" w:hAnsi="宋体"/>
          <w:color w:val="auto"/>
          <w:sz w:val="24"/>
          <w:szCs w:val="24"/>
        </w:rPr>
        <w:t>竞争优选；</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lang w:val="zh-CN"/>
        </w:rPr>
        <w:t>坚持公开</w:t>
      </w:r>
      <w:r>
        <w:rPr>
          <w:rFonts w:hint="eastAsia" w:ascii="宋体" w:hAnsi="宋体" w:cs="宋体"/>
          <w:color w:val="auto"/>
          <w:sz w:val="24"/>
          <w:szCs w:val="24"/>
        </w:rPr>
        <w:t>、公平、公正、科学合理</w:t>
      </w:r>
      <w:r>
        <w:rPr>
          <w:rFonts w:hint="eastAsia" w:ascii="宋体" w:hAnsi="宋体" w:cs="宋体"/>
          <w:color w:val="auto"/>
          <w:sz w:val="24"/>
          <w:szCs w:val="24"/>
          <w:lang w:val="zh-CN"/>
        </w:rPr>
        <w:t>的原则；</w:t>
      </w:r>
    </w:p>
    <w:p>
      <w:pPr>
        <w:adjustRightInd w:val="0"/>
        <w:snapToGrid w:val="0"/>
        <w:spacing w:line="360" w:lineRule="auto"/>
        <w:ind w:firstLine="480" w:firstLineChars="200"/>
        <w:rPr>
          <w:rFonts w:ascii="宋体"/>
          <w:color w:val="auto"/>
          <w:sz w:val="24"/>
          <w:szCs w:val="24"/>
          <w:lang w:val="zh-CN"/>
        </w:rPr>
      </w:pPr>
      <w:r>
        <w:rPr>
          <w:rFonts w:ascii="宋体" w:hAnsi="宋体" w:cs="宋体"/>
          <w:color w:val="auto"/>
          <w:sz w:val="24"/>
          <w:szCs w:val="24"/>
        </w:rPr>
        <w:t>2.</w:t>
      </w:r>
      <w:r>
        <w:rPr>
          <w:rFonts w:ascii="宋体" w:hAnsi="宋体" w:cs="宋体"/>
          <w:color w:val="auto"/>
          <w:sz w:val="24"/>
          <w:szCs w:val="24"/>
          <w:lang w:val="zh-CN"/>
        </w:rPr>
        <w:t>3</w:t>
      </w:r>
      <w:r>
        <w:rPr>
          <w:rFonts w:hint="eastAsia" w:ascii="宋体" w:hAnsi="宋体" w:cs="宋体"/>
          <w:color w:val="auto"/>
          <w:sz w:val="24"/>
          <w:szCs w:val="24"/>
        </w:rPr>
        <w:t>价格合理，方案、产品先进可行；</w:t>
      </w:r>
    </w:p>
    <w:p>
      <w:pPr>
        <w:adjustRightInd w:val="0"/>
        <w:snapToGrid w:val="0"/>
        <w:spacing w:line="360" w:lineRule="auto"/>
        <w:ind w:firstLine="480" w:firstLineChars="200"/>
        <w:rPr>
          <w:rFonts w:ascii="宋体"/>
          <w:color w:val="auto"/>
          <w:sz w:val="24"/>
          <w:szCs w:val="24"/>
          <w:lang w:val="zh-CN"/>
        </w:rPr>
      </w:pPr>
      <w:r>
        <w:rPr>
          <w:rFonts w:ascii="宋体" w:hAnsi="宋体" w:cs="宋体"/>
          <w:color w:val="auto"/>
          <w:sz w:val="24"/>
          <w:szCs w:val="24"/>
        </w:rPr>
        <w:t>2</w:t>
      </w:r>
      <w:r>
        <w:rPr>
          <w:rFonts w:ascii="宋体" w:hAnsi="宋体" w:cs="宋体"/>
          <w:color w:val="auto"/>
          <w:sz w:val="24"/>
          <w:szCs w:val="24"/>
          <w:lang w:val="zh-CN"/>
        </w:rPr>
        <w:t>.4</w:t>
      </w:r>
      <w:r>
        <w:rPr>
          <w:rFonts w:hint="eastAsia" w:ascii="宋体" w:hAnsi="宋体" w:cs="宋体"/>
          <w:color w:val="auto"/>
          <w:sz w:val="24"/>
          <w:szCs w:val="24"/>
          <w:lang w:val="zh-CN"/>
        </w:rPr>
        <w:t>反对不正当竞争。</w:t>
      </w:r>
    </w:p>
    <w:p>
      <w:pPr>
        <w:adjustRightInd w:val="0"/>
        <w:snapToGrid w:val="0"/>
        <w:spacing w:line="360" w:lineRule="auto"/>
        <w:rPr>
          <w:rFonts w:ascii="宋体"/>
          <w:color w:val="auto"/>
          <w:sz w:val="24"/>
          <w:szCs w:val="24"/>
          <w:lang w:val="zh-CN"/>
        </w:rPr>
      </w:pPr>
      <w:r>
        <w:rPr>
          <w:rFonts w:ascii="宋体" w:hAnsi="宋体" w:cs="宋体"/>
          <w:color w:val="auto"/>
          <w:sz w:val="24"/>
          <w:szCs w:val="24"/>
        </w:rPr>
        <w:t>3</w:t>
      </w:r>
      <w:r>
        <w:rPr>
          <w:rFonts w:hint="eastAsia" w:ascii="宋体" w:hAnsi="宋体" w:cs="宋体"/>
          <w:color w:val="auto"/>
          <w:sz w:val="24"/>
          <w:szCs w:val="24"/>
          <w:lang w:val="zh-CN"/>
        </w:rPr>
        <w:t>、</w:t>
      </w:r>
      <w:r>
        <w:rPr>
          <w:rFonts w:hint="eastAsia" w:ascii="宋体" w:hAnsi="宋体" w:cs="宋体"/>
          <w:b/>
          <w:bCs/>
          <w:color w:val="auto"/>
          <w:sz w:val="24"/>
          <w:szCs w:val="24"/>
        </w:rPr>
        <w:t>投标文件审查</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3.1</w:t>
      </w:r>
      <w:r>
        <w:rPr>
          <w:rFonts w:hint="eastAsia" w:ascii="宋体" w:hAnsi="宋体" w:cs="宋体"/>
          <w:color w:val="auto"/>
          <w:sz w:val="24"/>
          <w:szCs w:val="24"/>
        </w:rPr>
        <w:t>投标文件资格性审查：评审小组依据法律法规和招标文件的规定，对投标文件中的资格证明等进行审查，以确定投标人是否具备投标资格。</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3.2</w:t>
      </w:r>
      <w:r>
        <w:rPr>
          <w:rFonts w:hint="eastAsia" w:ascii="宋体" w:hAnsi="宋体" w:cs="宋体"/>
          <w:color w:val="auto"/>
          <w:sz w:val="24"/>
          <w:szCs w:val="24"/>
        </w:rPr>
        <w:t>投标文件符合性审查：评审小组依据招标文件的规定，从投标文件的有效性、完整性和对招标文件的响应程度进行审查，以确定是否对招标文件的实质性要求作出响应。</w:t>
      </w:r>
    </w:p>
    <w:p>
      <w:pPr>
        <w:pStyle w:val="29"/>
        <w:autoSpaceDE/>
        <w:autoSpaceDN/>
        <w:snapToGrid w:val="0"/>
        <w:spacing w:before="0" w:line="360" w:lineRule="auto"/>
        <w:ind w:left="0" w:firstLine="0"/>
        <w:rPr>
          <w:rFonts w:ascii="宋体"/>
          <w:b/>
          <w:bCs/>
          <w:color w:val="auto"/>
          <w:kern w:val="2"/>
          <w:sz w:val="24"/>
          <w:szCs w:val="24"/>
        </w:rPr>
      </w:pPr>
      <w:r>
        <w:rPr>
          <w:rFonts w:ascii="宋体" w:hAnsi="宋体" w:cs="宋体"/>
          <w:b/>
          <w:bCs/>
          <w:color w:val="auto"/>
          <w:kern w:val="2"/>
          <w:sz w:val="24"/>
          <w:szCs w:val="24"/>
        </w:rPr>
        <w:t>4</w:t>
      </w:r>
      <w:r>
        <w:rPr>
          <w:rFonts w:hint="eastAsia" w:ascii="宋体" w:hAnsi="宋体" w:cs="宋体"/>
          <w:b/>
          <w:bCs/>
          <w:color w:val="auto"/>
          <w:kern w:val="2"/>
          <w:sz w:val="24"/>
          <w:szCs w:val="24"/>
        </w:rPr>
        <w:t>、投标文件有下列情况之一者将视为无效：</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）单位负责人为同一人或者存在直接控股、管理关系的不同供应商参加同一合同项下的政府采购活动的（均无效）；</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）如以联合体形式参加政府采购活动的，联合体协议不符合招标文件规定的联合体协议要求的；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）投标文件未按规定的格式编制的；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）投标文件未按招标文件的澄清、修改的内容编制，又不符合实质性要求的；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）投标文件组成漏项，内容不全或内容字迹模糊辨认不清的；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）投标文件中法定代表人授权书所载内容与本项目内容有异的；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）投标文件未按照招标文件要求签署、盖章的；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9</w:t>
      </w:r>
      <w:r>
        <w:rPr>
          <w:rFonts w:hint="eastAsia" w:ascii="宋体" w:hAnsi="宋体" w:cs="宋体"/>
          <w:color w:val="auto"/>
          <w:sz w:val="24"/>
          <w:szCs w:val="24"/>
        </w:rPr>
        <w:t>）未传输递交电子投标文件的；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10</w:t>
      </w:r>
      <w:r>
        <w:rPr>
          <w:rFonts w:hint="eastAsia" w:ascii="宋体" w:hAnsi="宋体" w:cs="宋体"/>
          <w:color w:val="auto"/>
          <w:sz w:val="24"/>
          <w:szCs w:val="24"/>
        </w:rPr>
        <w:t>）投标文件含有招标人不能接受的附加条件的；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）投标文件中承诺的投标有效期少于招标文件中载明的投标有效期的；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12</w:t>
      </w:r>
      <w:r>
        <w:rPr>
          <w:rFonts w:hint="eastAsia" w:ascii="宋体" w:hAnsi="宋体" w:cs="宋体"/>
          <w:color w:val="auto"/>
          <w:sz w:val="24"/>
          <w:szCs w:val="24"/>
        </w:rPr>
        <w:t>）投标人所投内容不符合采购需求中实质性要求的；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13</w:t>
      </w:r>
      <w:r>
        <w:rPr>
          <w:rFonts w:hint="eastAsia" w:ascii="宋体" w:hAnsi="宋体" w:cs="宋体"/>
          <w:color w:val="auto"/>
          <w:sz w:val="24"/>
          <w:szCs w:val="24"/>
        </w:rPr>
        <w:t>）投标文件出现不是唯一的、有选择性投标报价的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14</w:t>
      </w:r>
      <w:r>
        <w:rPr>
          <w:rFonts w:hint="eastAsia" w:ascii="宋体" w:hAnsi="宋体" w:cs="宋体"/>
          <w:color w:val="auto"/>
          <w:sz w:val="24"/>
          <w:szCs w:val="24"/>
        </w:rPr>
        <w:t>）投标报价高于本项目最高限价的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15</w:t>
      </w:r>
      <w:r>
        <w:rPr>
          <w:rFonts w:hint="eastAsia" w:ascii="宋体" w:hAnsi="宋体" w:cs="宋体"/>
          <w:color w:val="auto"/>
          <w:sz w:val="24"/>
          <w:szCs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auto"/>
          <w:sz w:val="24"/>
          <w:szCs w:val="24"/>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16</w:t>
      </w:r>
      <w:r>
        <w:rPr>
          <w:rFonts w:hint="eastAsia" w:ascii="宋体" w:hAnsi="宋体" w:cs="宋体"/>
          <w:color w:val="auto"/>
          <w:sz w:val="24"/>
          <w:szCs w:val="24"/>
        </w:rPr>
        <w:t>）《开标一览表》填写不完整或字迹不能辨认或有漏项的；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17</w:t>
      </w:r>
      <w:r>
        <w:rPr>
          <w:rFonts w:hint="eastAsia" w:ascii="宋体" w:hAnsi="宋体" w:cs="宋体"/>
          <w:color w:val="auto"/>
          <w:sz w:val="24"/>
          <w:szCs w:val="24"/>
        </w:rPr>
        <w:t>）投标人对根据修正原则修正后的报价不确认的；</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18</w:t>
      </w:r>
      <w:r>
        <w:rPr>
          <w:rFonts w:hint="eastAsia" w:ascii="宋体" w:hAnsi="宋体" w:cs="宋体"/>
          <w:color w:val="auto"/>
          <w:sz w:val="24"/>
          <w:szCs w:val="24"/>
        </w:rPr>
        <w:t>）投标人提供虚假材料投标的（包括但不限于以下情节）；</w:t>
      </w:r>
    </w:p>
    <w:p>
      <w:pPr>
        <w:spacing w:line="360" w:lineRule="auto"/>
        <w:ind w:firstLine="960" w:firstLineChars="400"/>
        <w:rPr>
          <w:rFonts w:ascii="宋体"/>
          <w:color w:val="auto"/>
          <w:sz w:val="24"/>
          <w:szCs w:val="24"/>
        </w:rPr>
      </w:pPr>
      <w:r>
        <w:rPr>
          <w:rFonts w:hint="eastAsia" w:ascii="宋体" w:hAnsi="宋体" w:cs="宋体"/>
          <w:color w:val="auto"/>
          <w:sz w:val="24"/>
          <w:szCs w:val="24"/>
        </w:rPr>
        <w:t>·使用伪造、变造的许可证件；</w:t>
      </w:r>
      <w:r>
        <w:rPr>
          <w:rFonts w:ascii="宋体"/>
          <w:color w:val="auto"/>
          <w:sz w:val="24"/>
          <w:szCs w:val="24"/>
        </w:rPr>
        <w:br w:type="textWrapping"/>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·的财务状况或者业绩；</w:t>
      </w:r>
      <w:r>
        <w:rPr>
          <w:rFonts w:ascii="宋体"/>
          <w:color w:val="auto"/>
          <w:sz w:val="24"/>
          <w:szCs w:val="24"/>
        </w:rPr>
        <w:br w:type="textWrapping"/>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·提供虚假的项目负责人或者主要技术人员简历、劳动关系证明；</w:t>
      </w:r>
      <w:r>
        <w:rPr>
          <w:rFonts w:ascii="宋体"/>
          <w:color w:val="auto"/>
          <w:sz w:val="24"/>
          <w:szCs w:val="24"/>
        </w:rPr>
        <w:br w:type="textWrapping"/>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·提供虚假的信用状况；</w:t>
      </w:r>
      <w:r>
        <w:rPr>
          <w:rFonts w:ascii="宋体"/>
          <w:color w:val="auto"/>
          <w:sz w:val="24"/>
          <w:szCs w:val="24"/>
        </w:rPr>
        <w:br w:type="textWrapping"/>
      </w:r>
      <w:r>
        <w:rPr>
          <w:rFonts w:ascii="宋体"/>
          <w:color w:val="auto"/>
          <w:sz w:val="24"/>
          <w:szCs w:val="24"/>
        </w:rPr>
        <w:t> </w:t>
      </w:r>
      <w:r>
        <w:rPr>
          <w:rFonts w:ascii="宋体" w:hAnsi="宋体" w:cs="宋体"/>
          <w:color w:val="auto"/>
          <w:sz w:val="24"/>
          <w:szCs w:val="24"/>
        </w:rPr>
        <w:t xml:space="preserve">       </w:t>
      </w:r>
      <w:r>
        <w:rPr>
          <w:rFonts w:hint="eastAsia" w:ascii="宋体" w:hAnsi="宋体" w:cs="宋体"/>
          <w:color w:val="auto"/>
          <w:sz w:val="24"/>
          <w:szCs w:val="24"/>
        </w:rPr>
        <w:t>·其他弄虚作假的行为。</w:t>
      </w:r>
      <w:r>
        <w:rPr>
          <w:rFonts w:ascii="宋体"/>
          <w:color w:val="auto"/>
          <w:sz w:val="24"/>
          <w:szCs w:val="24"/>
        </w:rPr>
        <w:br w:type="textWrapping"/>
      </w:r>
      <w:r>
        <w:rPr>
          <w:rFonts w:ascii="宋体" w:hAnsi="宋体" w:cs="宋体"/>
          <w:color w:val="auto"/>
          <w:sz w:val="24"/>
          <w:szCs w:val="24"/>
        </w:rPr>
        <w:t xml:space="preserve">    </w:t>
      </w:r>
      <w:r>
        <w:rPr>
          <w:rFonts w:hint="eastAsia" w:ascii="宋体" w:hAnsi="宋体" w:cs="宋体"/>
          <w:color w:val="auto"/>
          <w:sz w:val="24"/>
          <w:szCs w:val="24"/>
        </w:rPr>
        <w:t>（</w:t>
      </w:r>
      <w:r>
        <w:rPr>
          <w:rFonts w:ascii="宋体" w:hAnsi="宋体" w:cs="宋体"/>
          <w:color w:val="auto"/>
          <w:sz w:val="24"/>
          <w:szCs w:val="24"/>
        </w:rPr>
        <w:t>19</w:t>
      </w:r>
      <w:r>
        <w:rPr>
          <w:rFonts w:hint="eastAsia" w:ascii="宋体" w:hAnsi="宋体" w:cs="宋体"/>
          <w:color w:val="auto"/>
          <w:sz w:val="24"/>
          <w:szCs w:val="24"/>
        </w:rPr>
        <w:t>）投标人有恶意串通、妨碍其他投标人的竞争行为、损害招标人或者其他投标人的合法权益情形的；有下列情形之一的，属于或视为恶意串通，其投标无效：</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20</w:t>
      </w:r>
      <w:r>
        <w:rPr>
          <w:rFonts w:hint="eastAsia" w:ascii="宋体" w:hAnsi="宋体" w:cs="宋体"/>
          <w:color w:val="auto"/>
          <w:sz w:val="24"/>
          <w:szCs w:val="24"/>
        </w:rPr>
        <w:t>）供应商直接或者间接从招标人或者采购机构处获得其他供应商的相关情况并修改其投标文件或者响应文件；</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21</w:t>
      </w:r>
      <w:r>
        <w:rPr>
          <w:rFonts w:hint="eastAsia" w:ascii="宋体" w:hAnsi="宋体" w:cs="宋体"/>
          <w:color w:val="auto"/>
          <w:sz w:val="24"/>
          <w:szCs w:val="24"/>
        </w:rPr>
        <w:t>）供应商按照招标人或者采购机构的授意撤换、修改投标文件或者响应文件；</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22</w:t>
      </w:r>
      <w:r>
        <w:rPr>
          <w:rFonts w:hint="eastAsia" w:ascii="宋体" w:hAnsi="宋体" w:cs="宋体"/>
          <w:color w:val="auto"/>
          <w:sz w:val="24"/>
          <w:szCs w:val="24"/>
        </w:rPr>
        <w:t>）供应商之间协商报价、技术方案等投标文件或者响应文件的实质性内容；</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23</w:t>
      </w:r>
      <w:r>
        <w:rPr>
          <w:rFonts w:hint="eastAsia" w:ascii="宋体" w:hAnsi="宋体" w:cs="宋体"/>
          <w:color w:val="auto"/>
          <w:sz w:val="24"/>
          <w:szCs w:val="24"/>
        </w:rPr>
        <w:t>）属于同一集团、协会、商会等组织成员的供应商按照该组织要求协同参加政府采购活动；</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24</w:t>
      </w:r>
      <w:r>
        <w:rPr>
          <w:rFonts w:hint="eastAsia" w:ascii="宋体" w:hAnsi="宋体" w:cs="宋体"/>
          <w:color w:val="auto"/>
          <w:sz w:val="24"/>
          <w:szCs w:val="24"/>
        </w:rPr>
        <w:t>）供应商之间事先约定由某一特定供应商中标、成交；</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25</w:t>
      </w:r>
      <w:r>
        <w:rPr>
          <w:rFonts w:hint="eastAsia" w:ascii="宋体" w:hAnsi="宋体" w:cs="宋体"/>
          <w:color w:val="auto"/>
          <w:sz w:val="24"/>
          <w:szCs w:val="24"/>
        </w:rPr>
        <w:t>）供应商之间商定部分供应商放弃参加政府采购活动或者放弃中标、成交；</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26</w:t>
      </w:r>
      <w:r>
        <w:rPr>
          <w:rFonts w:hint="eastAsia" w:ascii="宋体" w:hAnsi="宋体" w:cs="宋体"/>
          <w:color w:val="auto"/>
          <w:sz w:val="24"/>
          <w:szCs w:val="24"/>
        </w:rPr>
        <w:t>）供应商与招标人或者采购机构之间、供应商相互之间，为谋求特定供应商中标、成交或者排斥其他供应商的其他串通行为。</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27</w:t>
      </w:r>
      <w:r>
        <w:rPr>
          <w:rFonts w:hint="eastAsia" w:ascii="宋体" w:hAnsi="宋体" w:cs="宋体"/>
          <w:color w:val="auto"/>
          <w:sz w:val="24"/>
          <w:szCs w:val="24"/>
        </w:rPr>
        <w:t>）不同投标人的投标文件由同一单位或者个人编制；</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28</w:t>
      </w:r>
      <w:r>
        <w:rPr>
          <w:rFonts w:hint="eastAsia" w:ascii="宋体" w:hAnsi="宋体" w:cs="宋体"/>
          <w:color w:val="auto"/>
          <w:sz w:val="24"/>
          <w:szCs w:val="24"/>
        </w:rPr>
        <w:t>）不同投标人委托同一单位或者个人办理投标事宜；</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29</w:t>
      </w:r>
      <w:r>
        <w:rPr>
          <w:rFonts w:hint="eastAsia" w:ascii="宋体" w:hAnsi="宋体" w:cs="宋体"/>
          <w:color w:val="auto"/>
          <w:sz w:val="24"/>
          <w:szCs w:val="24"/>
        </w:rPr>
        <w:t>）不同投标人的投标文件载明的项目管理成员或者联系人员为同一人；</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30</w:t>
      </w:r>
      <w:r>
        <w:rPr>
          <w:rFonts w:hint="eastAsia" w:ascii="宋体" w:hAnsi="宋体" w:cs="宋体"/>
          <w:color w:val="auto"/>
          <w:sz w:val="24"/>
          <w:szCs w:val="24"/>
        </w:rPr>
        <w:t>）不同投标人的投标文件异常一致或者投标报价呈规律性差异；</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31</w:t>
      </w:r>
      <w:r>
        <w:rPr>
          <w:rFonts w:hint="eastAsia" w:ascii="宋体" w:hAnsi="宋体" w:cs="宋体"/>
          <w:color w:val="auto"/>
          <w:sz w:val="24"/>
          <w:szCs w:val="24"/>
        </w:rPr>
        <w:t>）不同投标人的投标文件相互混装；</w:t>
      </w:r>
    </w:p>
    <w:p>
      <w:pPr>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32</w:t>
      </w:r>
      <w:r>
        <w:rPr>
          <w:rFonts w:hint="eastAsia" w:ascii="宋体" w:hAnsi="宋体" w:cs="宋体"/>
          <w:color w:val="auto"/>
          <w:sz w:val="24"/>
          <w:szCs w:val="24"/>
        </w:rPr>
        <w:t>）法律、法规、规章（适用本市的）及省级以上规范性文件（适用本市的）规定的其他无效情形。</w:t>
      </w:r>
    </w:p>
    <w:p>
      <w:pPr>
        <w:pStyle w:val="27"/>
        <w:adjustRightInd w:val="0"/>
        <w:snapToGrid w:val="0"/>
        <w:spacing w:before="0"/>
        <w:ind w:firstLine="0" w:firstLineChars="0"/>
        <w:rPr>
          <w:rFonts w:ascii="宋体"/>
          <w:b/>
          <w:bCs/>
          <w:color w:val="auto"/>
        </w:rPr>
      </w:pPr>
      <w:r>
        <w:rPr>
          <w:rFonts w:ascii="宋体" w:hAnsi="宋体" w:cs="宋体"/>
          <w:b/>
          <w:bCs/>
          <w:color w:val="auto"/>
        </w:rPr>
        <w:t>5</w:t>
      </w:r>
      <w:r>
        <w:rPr>
          <w:rFonts w:hint="eastAsia" w:ascii="宋体" w:hAnsi="宋体" w:cs="宋体"/>
          <w:b/>
          <w:bCs/>
          <w:color w:val="auto"/>
        </w:rPr>
        <w:t>、投标文件鉴定</w:t>
      </w:r>
    </w:p>
    <w:p>
      <w:pPr>
        <w:pStyle w:val="27"/>
        <w:adjustRightInd w:val="0"/>
        <w:snapToGrid w:val="0"/>
        <w:spacing w:before="0"/>
        <w:ind w:firstLine="31680"/>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）就本条款而言，实质上响应要求的投标文件，应该与招标文件的规定要求、条件、条款和规范相符，无显著差异或保留。</w:t>
      </w:r>
    </w:p>
    <w:p>
      <w:pPr>
        <w:pStyle w:val="27"/>
        <w:adjustRightInd w:val="0"/>
        <w:snapToGrid w:val="0"/>
        <w:spacing w:before="0"/>
        <w:ind w:firstLine="31680"/>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）如果投标文件实质上不响应招标文件的要求，将被视为无效，并且不允许通过修正或撤消不符合要求的差异或保留，使之成为具有响应性的投标。</w:t>
      </w:r>
    </w:p>
    <w:p>
      <w:pPr>
        <w:adjustRightInd w:val="0"/>
        <w:snapToGrid w:val="0"/>
        <w:spacing w:line="360" w:lineRule="auto"/>
        <w:ind w:firstLine="480" w:firstLineChars="200"/>
        <w:rPr>
          <w:rFonts w:ascii="宋体"/>
          <w:color w:val="auto"/>
          <w:sz w:val="24"/>
          <w:szCs w:val="24"/>
          <w:lang w:val="zh-CN"/>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）本项目采用资格后审制。经开标后递交至评审小组的投标文件，仍需接受相关符合性的检查，并有可能在评标过程中被判断为无效</w:t>
      </w:r>
      <w:r>
        <w:rPr>
          <w:rFonts w:hint="eastAsia" w:ascii="宋体" w:hAnsi="宋体" w:cs="宋体"/>
          <w:color w:val="auto"/>
          <w:sz w:val="24"/>
          <w:szCs w:val="24"/>
          <w:lang w:val="zh-CN"/>
        </w:rPr>
        <w:t>。</w:t>
      </w:r>
    </w:p>
    <w:p>
      <w:pPr>
        <w:adjustRightInd w:val="0"/>
        <w:snapToGrid w:val="0"/>
        <w:spacing w:line="360" w:lineRule="auto"/>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、修正原则</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评审小组</w:t>
      </w:r>
      <w:r>
        <w:rPr>
          <w:rFonts w:hint="eastAsia" w:ascii="宋体" w:hAnsi="宋体" w:cs="宋体"/>
          <w:color w:val="auto"/>
          <w:sz w:val="24"/>
          <w:szCs w:val="24"/>
          <w:lang w:val="zh-CN"/>
        </w:rPr>
        <w:t>对投标文件的商务报价文件进行审核，对发现计算、书写等错误的，按以下原则进行修正：</w:t>
      </w:r>
    </w:p>
    <w:p>
      <w:pPr>
        <w:adjustRightInd w:val="0"/>
        <w:snapToGrid w:val="0"/>
        <w:spacing w:line="360" w:lineRule="auto"/>
        <w:ind w:firstLine="480" w:firstLineChars="200"/>
        <w:rPr>
          <w:rFonts w:ascii="宋体"/>
          <w:color w:val="auto"/>
          <w:sz w:val="24"/>
          <w:szCs w:val="24"/>
          <w:lang w:val="zh-CN"/>
        </w:rPr>
      </w:pPr>
      <w:r>
        <w:rPr>
          <w:rFonts w:hint="eastAsia" w:ascii="宋体" w:hAnsi="宋体" w:cs="宋体"/>
          <w:color w:val="auto"/>
          <w:sz w:val="24"/>
          <w:szCs w:val="24"/>
        </w:rPr>
        <w:t>（一）投标文件中开标一览表（报价表）内容与投标文件中相应内容不一致的，以开标一览表（报价表）为准；</w:t>
      </w:r>
    </w:p>
    <w:p>
      <w:pPr>
        <w:adjustRightInd w:val="0"/>
        <w:snapToGrid w:val="0"/>
        <w:spacing w:line="360" w:lineRule="auto"/>
        <w:ind w:firstLine="480" w:firstLineChars="200"/>
        <w:rPr>
          <w:rFonts w:ascii="宋体"/>
          <w:color w:val="auto"/>
          <w:sz w:val="24"/>
          <w:szCs w:val="24"/>
          <w:lang w:val="zh-CN"/>
        </w:rPr>
      </w:pPr>
      <w:r>
        <w:rPr>
          <w:rFonts w:hint="eastAsia" w:ascii="宋体" w:hAnsi="宋体" w:cs="宋体"/>
          <w:color w:val="auto"/>
          <w:sz w:val="24"/>
          <w:szCs w:val="24"/>
        </w:rPr>
        <w:t>（二）大写金额和小写金额不一致的，以大写金额为准；</w:t>
      </w:r>
    </w:p>
    <w:p>
      <w:pPr>
        <w:adjustRightInd w:val="0"/>
        <w:snapToGrid w:val="0"/>
        <w:spacing w:line="360" w:lineRule="auto"/>
        <w:ind w:firstLine="480" w:firstLineChars="200"/>
        <w:rPr>
          <w:rFonts w:ascii="宋体"/>
          <w:color w:val="auto"/>
          <w:sz w:val="24"/>
          <w:szCs w:val="24"/>
          <w:lang w:val="zh-CN"/>
        </w:rPr>
      </w:pPr>
      <w:r>
        <w:rPr>
          <w:rFonts w:hint="eastAsia" w:ascii="宋体" w:hAnsi="宋体" w:cs="宋体"/>
          <w:color w:val="auto"/>
          <w:sz w:val="24"/>
          <w:szCs w:val="24"/>
        </w:rPr>
        <w:t>（三）单价金额小数点或者百分比有明显错位的，以开标一览表的总价为准，并修改单价；</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（四）总价金额与按单价汇总金额不一致的，以单价金额计算结果为准。</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同时出现两种以上不一致的，按照前款规定的顺序修正。修正后的报价经投标人确认后产生约束力，投标人不确认的，其投标无效。</w:t>
      </w:r>
    </w:p>
    <w:p>
      <w:pPr>
        <w:shd w:val="clear" w:color="auto" w:fill="FFFFFF"/>
        <w:adjustRightInd w:val="0"/>
        <w:snapToGrid w:val="0"/>
        <w:spacing w:line="360" w:lineRule="auto"/>
        <w:rPr>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、评标办法</w:t>
      </w:r>
    </w:p>
    <w:p>
      <w:pPr>
        <w:shd w:val="clear" w:color="auto" w:fill="FFFFFF"/>
        <w:adjustRightInd w:val="0"/>
        <w:snapToGrid w:val="0"/>
        <w:spacing w:line="360" w:lineRule="auto"/>
        <w:ind w:firstLine="482" w:firstLineChars="200"/>
        <w:rPr>
          <w:rFonts w:ascii="宋体"/>
          <w:color w:val="auto"/>
          <w:sz w:val="24"/>
          <w:szCs w:val="24"/>
        </w:rPr>
      </w:pPr>
      <w:r>
        <w:rPr>
          <w:rFonts w:ascii="宋体" w:hAnsi="宋体" w:cs="宋体"/>
          <w:b/>
          <w:bCs/>
          <w:color w:val="auto"/>
          <w:sz w:val="24"/>
          <w:szCs w:val="24"/>
        </w:rPr>
        <w:t>7.1</w:t>
      </w:r>
      <w:r>
        <w:rPr>
          <w:rFonts w:hint="eastAsia" w:ascii="宋体" w:hAnsi="宋体" w:cs="宋体"/>
          <w:b/>
          <w:bCs/>
          <w:color w:val="auto"/>
          <w:sz w:val="24"/>
          <w:szCs w:val="24"/>
        </w:rPr>
        <w:t>本项目采用综合评分法</w:t>
      </w:r>
      <w:r>
        <w:rPr>
          <w:rFonts w:hint="eastAsia" w:ascii="宋体" w:hAnsi="宋体" w:cs="宋体"/>
          <w:color w:val="auto"/>
          <w:sz w:val="24"/>
          <w:szCs w:val="24"/>
        </w:rPr>
        <w:t>，总分为</w:t>
      </w:r>
      <w:r>
        <w:rPr>
          <w:rFonts w:ascii="宋体" w:hAnsi="宋体" w:cs="宋体"/>
          <w:color w:val="auto"/>
          <w:sz w:val="24"/>
          <w:szCs w:val="24"/>
        </w:rPr>
        <w:t>100</w:t>
      </w:r>
      <w:r>
        <w:rPr>
          <w:rFonts w:hint="eastAsia" w:ascii="宋体" w:hAnsi="宋体" w:cs="宋体"/>
          <w:color w:val="auto"/>
          <w:sz w:val="24"/>
          <w:szCs w:val="24"/>
        </w:rPr>
        <w:t>分。评审小组将对实质上响应招标文件的投标人，根据报价、技术、商务情况由各评委独立记名打分。中标候选资格按评标得分由高到低顺序排列，得分相同的，按投标报价由低到高顺序排列；得分且投标报价相同的，按技术得分由高到低顺序排列。排名第一的投标人为第一中标候选人，排名第二的投标人为第二中标候选人……其他投标人中标候选资格依次类推。评分过程中采用四舍五入法，并保留小数</w:t>
      </w:r>
      <w:r>
        <w:rPr>
          <w:rFonts w:ascii="宋体" w:hAnsi="宋体" w:cs="宋体"/>
          <w:color w:val="auto"/>
          <w:sz w:val="24"/>
          <w:szCs w:val="24"/>
        </w:rPr>
        <w:t>2</w:t>
      </w:r>
      <w:r>
        <w:rPr>
          <w:rFonts w:hint="eastAsia" w:ascii="宋体" w:hAnsi="宋体" w:cs="宋体"/>
          <w:color w:val="auto"/>
          <w:sz w:val="24"/>
          <w:szCs w:val="24"/>
        </w:rPr>
        <w:t>位。</w:t>
      </w:r>
    </w:p>
    <w:p>
      <w:pPr>
        <w:spacing w:line="360" w:lineRule="auto"/>
        <w:ind w:firstLine="472" w:firstLineChars="196"/>
        <w:rPr>
          <w:rFonts w:ascii="宋体"/>
          <w:b/>
          <w:bCs/>
          <w:color w:val="auto"/>
          <w:sz w:val="24"/>
          <w:szCs w:val="24"/>
        </w:rPr>
      </w:pPr>
      <w:r>
        <w:rPr>
          <w:rFonts w:ascii="宋体" w:hAnsi="宋体" w:cs="宋体"/>
          <w:b/>
          <w:bCs/>
          <w:color w:val="auto"/>
          <w:sz w:val="24"/>
          <w:szCs w:val="24"/>
        </w:rPr>
        <w:t>7.2</w:t>
      </w:r>
      <w:r>
        <w:rPr>
          <w:rFonts w:hint="eastAsia" w:ascii="宋体" w:hAnsi="宋体" w:cs="宋体"/>
          <w:b/>
          <w:bCs/>
          <w:color w:val="auto"/>
          <w:sz w:val="24"/>
          <w:szCs w:val="24"/>
        </w:rPr>
        <w:t>商务、技术分（</w:t>
      </w:r>
      <w:r>
        <w:rPr>
          <w:rFonts w:ascii="宋体" w:hAnsi="宋体" w:cs="宋体"/>
          <w:b/>
          <w:bCs/>
          <w:color w:val="auto"/>
          <w:sz w:val="24"/>
          <w:szCs w:val="24"/>
        </w:rPr>
        <w:t>70</w:t>
      </w:r>
      <w:r>
        <w:rPr>
          <w:rFonts w:hint="eastAsia" w:ascii="宋体" w:hAnsi="宋体" w:cs="宋体"/>
          <w:b/>
          <w:bCs/>
          <w:color w:val="auto"/>
          <w:sz w:val="24"/>
          <w:szCs w:val="24"/>
        </w:rPr>
        <w:t>分）</w:t>
      </w:r>
    </w:p>
    <w:p>
      <w:pPr>
        <w:spacing w:line="360" w:lineRule="auto"/>
        <w:ind w:firstLine="241" w:firstLineChars="100"/>
        <w:rPr>
          <w:rFonts w:ascii="宋体"/>
          <w:color w:val="auto"/>
          <w:sz w:val="24"/>
          <w:szCs w:val="24"/>
        </w:rPr>
      </w:pPr>
      <w:r>
        <w:rPr>
          <w:rFonts w:hint="eastAsia" w:ascii="宋体" w:hAnsi="宋体" w:cs="宋体"/>
          <w:b/>
          <w:bCs/>
          <w:color w:val="auto"/>
          <w:sz w:val="24"/>
          <w:szCs w:val="24"/>
        </w:rPr>
        <w:t>（</w:t>
      </w:r>
      <w:r>
        <w:rPr>
          <w:rFonts w:ascii="宋体" w:hAnsi="宋体" w:cs="宋体"/>
          <w:b/>
          <w:bCs/>
          <w:color w:val="auto"/>
          <w:sz w:val="24"/>
          <w:szCs w:val="24"/>
        </w:rPr>
        <w:t>1</w:t>
      </w:r>
      <w:r>
        <w:rPr>
          <w:rFonts w:hint="eastAsia" w:ascii="宋体" w:hAnsi="宋体" w:cs="宋体"/>
          <w:b/>
          <w:bCs/>
          <w:color w:val="auto"/>
          <w:sz w:val="24"/>
          <w:szCs w:val="24"/>
        </w:rPr>
        <w:t>）投标人类似项目的成功经验</w:t>
      </w:r>
      <w:r>
        <w:rPr>
          <w:rFonts w:ascii="宋体" w:hAnsi="宋体" w:cs="宋体"/>
          <w:b/>
          <w:bCs/>
          <w:color w:val="auto"/>
          <w:sz w:val="24"/>
          <w:szCs w:val="24"/>
        </w:rPr>
        <w:t>5</w:t>
      </w:r>
      <w:r>
        <w:rPr>
          <w:rFonts w:hint="eastAsia" w:ascii="宋体" w:hAnsi="宋体" w:cs="宋体"/>
          <w:b/>
          <w:bCs/>
          <w:color w:val="auto"/>
          <w:sz w:val="24"/>
          <w:szCs w:val="24"/>
        </w:rPr>
        <w:t>分：</w:t>
      </w:r>
      <w:r>
        <w:rPr>
          <w:rFonts w:ascii="宋体" w:hAnsi="宋体" w:cs="宋体"/>
          <w:color w:val="auto"/>
          <w:sz w:val="24"/>
          <w:szCs w:val="24"/>
        </w:rPr>
        <w:t>2017</w:t>
      </w:r>
      <w:r>
        <w:rPr>
          <w:rFonts w:hint="eastAsia" w:ascii="宋体" w:hAnsi="宋体" w:cs="宋体"/>
          <w:color w:val="auto"/>
          <w:sz w:val="24"/>
          <w:szCs w:val="24"/>
        </w:rPr>
        <w:t>年以来，投标人曾承担过类似项目的每提供一个得</w:t>
      </w:r>
      <w:r>
        <w:rPr>
          <w:rFonts w:hint="eastAsia" w:ascii="宋体" w:hAnsi="宋体" w:cs="宋体"/>
          <w:color w:val="auto"/>
          <w:sz w:val="24"/>
          <w:szCs w:val="24"/>
          <w:lang w:val="en-US" w:eastAsia="zh-CN"/>
        </w:rPr>
        <w:t>0.5</w:t>
      </w:r>
      <w:r>
        <w:rPr>
          <w:rFonts w:hint="eastAsia" w:ascii="宋体" w:hAnsi="宋体" w:cs="宋体"/>
          <w:color w:val="auto"/>
          <w:sz w:val="24"/>
          <w:szCs w:val="24"/>
        </w:rPr>
        <w:t>分，最高得</w:t>
      </w:r>
      <w:r>
        <w:rPr>
          <w:rFonts w:ascii="宋体" w:hAnsi="宋体" w:cs="宋体"/>
          <w:color w:val="auto"/>
          <w:sz w:val="24"/>
          <w:szCs w:val="24"/>
        </w:rPr>
        <w:t>5</w:t>
      </w:r>
      <w:r>
        <w:rPr>
          <w:rFonts w:hint="eastAsia" w:ascii="宋体" w:hAnsi="宋体" w:cs="宋体"/>
          <w:color w:val="auto"/>
          <w:sz w:val="24"/>
          <w:szCs w:val="24"/>
        </w:rPr>
        <w:t>分。（投标人需提供合同复印件）</w:t>
      </w:r>
      <w:r>
        <w:rPr>
          <w:rFonts w:ascii="宋体" w:hAnsi="宋体" w:cs="宋体"/>
          <w:color w:val="auto"/>
          <w:sz w:val="24"/>
          <w:szCs w:val="24"/>
        </w:rPr>
        <w:t xml:space="preserve">  </w:t>
      </w:r>
      <w:r>
        <w:rPr>
          <w:rFonts w:ascii="宋体" w:hAnsi="宋体" w:cs="宋体"/>
          <w:color w:val="auto"/>
          <w:sz w:val="24"/>
          <w:szCs w:val="24"/>
        </w:rPr>
        <w:br w:type="textWrapping"/>
      </w:r>
      <w:r>
        <w:rPr>
          <w:rFonts w:ascii="宋体" w:hAnsi="宋体" w:cs="宋体"/>
          <w:color w:val="auto"/>
          <w:sz w:val="24"/>
          <w:szCs w:val="24"/>
        </w:rPr>
        <w:t xml:space="preserve">  </w:t>
      </w:r>
      <w:r>
        <w:rPr>
          <w:rFonts w:hint="eastAsia" w:ascii="宋体" w:hAnsi="宋体" w:cs="宋体"/>
          <w:b/>
          <w:bCs/>
          <w:color w:val="auto"/>
          <w:sz w:val="24"/>
          <w:szCs w:val="24"/>
        </w:rPr>
        <w:t>（</w:t>
      </w:r>
      <w:r>
        <w:rPr>
          <w:rFonts w:ascii="宋体" w:hAnsi="宋体" w:cs="宋体"/>
          <w:b/>
          <w:bCs/>
          <w:color w:val="auto"/>
          <w:sz w:val="24"/>
          <w:szCs w:val="24"/>
        </w:rPr>
        <w:t>2</w:t>
      </w:r>
      <w:r>
        <w:rPr>
          <w:rFonts w:hint="eastAsia" w:ascii="宋体" w:hAnsi="宋体" w:cs="宋体"/>
          <w:b/>
          <w:bCs/>
          <w:color w:val="auto"/>
          <w:sz w:val="24"/>
          <w:szCs w:val="24"/>
        </w:rPr>
        <w:t>）投标人针对本项目的具体实施方案</w:t>
      </w:r>
      <w:r>
        <w:rPr>
          <w:rFonts w:ascii="宋体" w:hAnsi="宋体" w:cs="宋体"/>
          <w:b/>
          <w:bCs/>
          <w:color w:val="auto"/>
          <w:sz w:val="24"/>
          <w:szCs w:val="24"/>
        </w:rPr>
        <w:t>20</w:t>
      </w:r>
      <w:r>
        <w:rPr>
          <w:rFonts w:hint="eastAsia" w:ascii="宋体" w:hAnsi="宋体" w:cs="宋体"/>
          <w:b/>
          <w:bCs/>
          <w:color w:val="auto"/>
          <w:sz w:val="24"/>
          <w:szCs w:val="24"/>
        </w:rPr>
        <w:t>分：</w:t>
      </w:r>
    </w:p>
    <w:p>
      <w:pPr>
        <w:spacing w:line="360" w:lineRule="auto"/>
        <w:ind w:left="420" w:leftChars="200"/>
        <w:rPr>
          <w:rFonts w:ascii="宋体"/>
          <w:color w:val="auto"/>
          <w:sz w:val="24"/>
          <w:szCs w:val="24"/>
        </w:rPr>
      </w:pPr>
      <w:r>
        <w:rPr>
          <w:rFonts w:hint="eastAsia" w:ascii="宋体" w:hAnsi="宋体" w:cs="宋体"/>
          <w:color w:val="auto"/>
          <w:sz w:val="24"/>
          <w:szCs w:val="24"/>
        </w:rPr>
        <w:t>投标人的供货进度计划是否满足采购进度要求。（</w:t>
      </w:r>
      <w:r>
        <w:rPr>
          <w:rFonts w:ascii="宋体" w:hAnsi="宋体" w:cs="宋体"/>
          <w:color w:val="auto"/>
          <w:sz w:val="24"/>
          <w:szCs w:val="24"/>
        </w:rPr>
        <w:t>5</w:t>
      </w:r>
      <w:r>
        <w:rPr>
          <w:rFonts w:hint="eastAsia" w:ascii="宋体" w:hAnsi="宋体" w:cs="宋体"/>
          <w:color w:val="auto"/>
          <w:sz w:val="24"/>
          <w:szCs w:val="24"/>
        </w:rPr>
        <w:t>分）</w:t>
      </w:r>
    </w:p>
    <w:p>
      <w:pPr>
        <w:spacing w:line="360" w:lineRule="auto"/>
        <w:ind w:firstLine="420"/>
        <w:rPr>
          <w:rFonts w:ascii="宋体"/>
          <w:color w:val="auto"/>
          <w:sz w:val="24"/>
          <w:szCs w:val="24"/>
        </w:rPr>
      </w:pPr>
      <w:r>
        <w:rPr>
          <w:rFonts w:hint="eastAsia" w:ascii="宋体" w:hAnsi="宋体" w:cs="宋体"/>
          <w:color w:val="auto"/>
          <w:sz w:val="24"/>
          <w:szCs w:val="24"/>
        </w:rPr>
        <w:t>投标人提供货物运输、包装、交接方案是否科学，且有利于本项目的顺利进行。（</w:t>
      </w:r>
      <w:r>
        <w:rPr>
          <w:rFonts w:ascii="宋体" w:hAnsi="宋体" w:cs="宋体"/>
          <w:color w:val="auto"/>
          <w:sz w:val="24"/>
          <w:szCs w:val="24"/>
        </w:rPr>
        <w:t>5</w:t>
      </w:r>
      <w:r>
        <w:rPr>
          <w:rFonts w:hint="eastAsia" w:ascii="宋体" w:hAnsi="宋体" w:cs="宋体"/>
          <w:color w:val="auto"/>
          <w:sz w:val="24"/>
          <w:szCs w:val="24"/>
        </w:rPr>
        <w:t>分）</w:t>
      </w:r>
    </w:p>
    <w:p>
      <w:pPr>
        <w:spacing w:line="360" w:lineRule="auto"/>
        <w:ind w:firstLine="435"/>
        <w:rPr>
          <w:rFonts w:ascii="宋体"/>
          <w:color w:val="auto"/>
          <w:sz w:val="24"/>
          <w:szCs w:val="24"/>
        </w:rPr>
      </w:pPr>
      <w:r>
        <w:rPr>
          <w:rFonts w:hint="eastAsia" w:ascii="宋体" w:hAnsi="宋体" w:cs="宋体"/>
          <w:color w:val="auto"/>
          <w:sz w:val="24"/>
          <w:szCs w:val="24"/>
        </w:rPr>
        <w:t>投标人的安装方案是否具有科学、安全性，工作流程是否明确合理，符合相关法律法规及国家行业标准。（</w:t>
      </w:r>
      <w:r>
        <w:rPr>
          <w:rFonts w:ascii="宋体" w:hAnsi="宋体" w:cs="宋体"/>
          <w:color w:val="auto"/>
          <w:sz w:val="24"/>
          <w:szCs w:val="24"/>
        </w:rPr>
        <w:t>5</w:t>
      </w:r>
      <w:r>
        <w:rPr>
          <w:rFonts w:hint="eastAsia" w:ascii="宋体" w:hAnsi="宋体" w:cs="宋体"/>
          <w:color w:val="auto"/>
          <w:sz w:val="24"/>
          <w:szCs w:val="24"/>
        </w:rPr>
        <w:t>分）</w:t>
      </w:r>
    </w:p>
    <w:p>
      <w:pPr>
        <w:spacing w:line="360" w:lineRule="auto"/>
        <w:rPr>
          <w:rFonts w:ascii="宋体"/>
          <w:color w:val="auto"/>
          <w:sz w:val="24"/>
          <w:szCs w:val="24"/>
        </w:rPr>
      </w:pPr>
      <w:r>
        <w:rPr>
          <w:color w:val="auto"/>
          <w:sz w:val="24"/>
          <w:szCs w:val="24"/>
        </w:rPr>
        <w:t xml:space="preserve">    </w:t>
      </w:r>
      <w:r>
        <w:rPr>
          <w:rFonts w:hint="eastAsia" w:ascii="宋体" w:hAnsi="宋体" w:cs="宋体"/>
          <w:color w:val="auto"/>
          <w:sz w:val="24"/>
          <w:szCs w:val="24"/>
        </w:rPr>
        <w:t>投标人是否具有完善的内控管理及保密制度。（</w:t>
      </w:r>
      <w:r>
        <w:rPr>
          <w:rFonts w:ascii="宋体" w:hAnsi="宋体" w:cs="宋体"/>
          <w:color w:val="auto"/>
          <w:sz w:val="24"/>
          <w:szCs w:val="24"/>
        </w:rPr>
        <w:t>5</w:t>
      </w:r>
      <w:r>
        <w:rPr>
          <w:rFonts w:hint="eastAsia" w:ascii="宋体" w:hAnsi="宋体" w:cs="宋体"/>
          <w:color w:val="auto"/>
          <w:sz w:val="24"/>
          <w:szCs w:val="24"/>
        </w:rPr>
        <w:t>分）</w:t>
      </w:r>
    </w:p>
    <w:p>
      <w:pPr>
        <w:numPr>
          <w:ilvl w:val="0"/>
          <w:numId w:val="1"/>
        </w:numPr>
        <w:spacing w:line="360" w:lineRule="auto"/>
        <w:rPr>
          <w:rFonts w:ascii="宋体"/>
          <w:b/>
          <w:bCs/>
          <w:color w:val="auto"/>
          <w:sz w:val="24"/>
          <w:szCs w:val="24"/>
        </w:rPr>
      </w:pPr>
      <w:r>
        <w:rPr>
          <w:rFonts w:hint="eastAsia" w:ascii="宋体" w:hAnsi="宋体" w:cs="宋体"/>
          <w:b/>
          <w:bCs/>
          <w:color w:val="auto"/>
          <w:sz w:val="24"/>
          <w:szCs w:val="24"/>
        </w:rPr>
        <w:t>投标货物情况</w:t>
      </w:r>
      <w:r>
        <w:rPr>
          <w:rFonts w:ascii="宋体" w:hAnsi="宋体" w:cs="宋体"/>
          <w:b/>
          <w:bCs/>
          <w:color w:val="auto"/>
          <w:sz w:val="24"/>
          <w:szCs w:val="24"/>
        </w:rPr>
        <w:t>24</w:t>
      </w:r>
      <w:r>
        <w:rPr>
          <w:rFonts w:hint="eastAsia" w:ascii="宋体" w:hAnsi="宋体" w:cs="宋体"/>
          <w:b/>
          <w:bCs/>
          <w:color w:val="auto"/>
          <w:sz w:val="24"/>
          <w:szCs w:val="24"/>
        </w:rPr>
        <w:t>分：</w:t>
      </w:r>
    </w:p>
    <w:p>
      <w:pPr>
        <w:spacing w:line="360" w:lineRule="auto"/>
        <w:rPr>
          <w:rFonts w:ascii="宋体"/>
          <w:color w:val="auto"/>
          <w:sz w:val="24"/>
          <w:szCs w:val="24"/>
        </w:rPr>
      </w:pPr>
      <w:r>
        <w:rPr>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rPr>
        <w:t>投标设备的技术指标与需求的吻合程度和偏差情况（包括所投标设备的详细配置、主要技术参数、随机软件等），是否能够满足招标文件要求，设备所需安全许可证是否完备、是否体现一定先进性、可靠性、成熟性、易维护性、可扩展性等情况进行综合打分。（</w:t>
      </w:r>
      <w:r>
        <w:rPr>
          <w:rFonts w:ascii="宋体" w:hAnsi="宋体" w:cs="宋体"/>
          <w:color w:val="auto"/>
          <w:sz w:val="24"/>
          <w:szCs w:val="24"/>
        </w:rPr>
        <w:t>8</w:t>
      </w:r>
      <w:r>
        <w:rPr>
          <w:rFonts w:hint="eastAsia" w:ascii="宋体" w:hAnsi="宋体" w:cs="宋体"/>
          <w:color w:val="auto"/>
          <w:sz w:val="24"/>
          <w:szCs w:val="24"/>
        </w:rPr>
        <w:t>分）。</w:t>
      </w:r>
    </w:p>
    <w:p>
      <w:pPr>
        <w:spacing w:line="360" w:lineRule="auto"/>
        <w:ind w:firstLine="450"/>
        <w:rPr>
          <w:rFonts w:ascii="宋体"/>
          <w:color w:val="auto"/>
          <w:sz w:val="24"/>
          <w:szCs w:val="24"/>
        </w:rPr>
      </w:pPr>
      <w:r>
        <w:rPr>
          <w:rFonts w:hint="eastAsia" w:ascii="宋体" w:hAnsi="宋体" w:cs="宋体"/>
          <w:color w:val="auto"/>
          <w:sz w:val="24"/>
          <w:szCs w:val="24"/>
        </w:rPr>
        <w:t>投标设备是否具有根据招标人频繁存取枪支的使用特点，具备通过扫描识别枪支、子弹等智能化方式自动形成数字化台账的功能。且台账可通过账号管理设置权限，实现在其他终端查看。</w:t>
      </w:r>
      <w:r>
        <w:rPr>
          <w:rFonts w:ascii="宋体" w:hAnsi="宋体" w:cs="宋体"/>
          <w:color w:val="auto"/>
          <w:sz w:val="24"/>
          <w:szCs w:val="24"/>
        </w:rPr>
        <w:t>(8</w:t>
      </w:r>
      <w:r>
        <w:rPr>
          <w:rFonts w:hint="eastAsia" w:ascii="宋体" w:hAnsi="宋体" w:cs="宋体"/>
          <w:color w:val="auto"/>
          <w:sz w:val="24"/>
          <w:szCs w:val="24"/>
        </w:rPr>
        <w:t>分）</w:t>
      </w:r>
    </w:p>
    <w:p>
      <w:pPr>
        <w:spacing w:line="360" w:lineRule="auto"/>
        <w:rPr>
          <w:rFonts w:ascii="宋体"/>
          <w:color w:val="auto"/>
          <w:sz w:val="24"/>
          <w:szCs w:val="24"/>
        </w:rPr>
      </w:pPr>
      <w:r>
        <w:rPr>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rPr>
        <w:t>投标人所投产品具有国家安全防范报警系统产品质量监督检验中心</w:t>
      </w:r>
      <w:r>
        <w:rPr>
          <w:rFonts w:ascii="宋体" w:hAnsi="宋体" w:cs="宋体"/>
          <w:color w:val="auto"/>
          <w:sz w:val="24"/>
          <w:szCs w:val="24"/>
        </w:rPr>
        <w:t>/</w:t>
      </w:r>
      <w:r>
        <w:rPr>
          <w:rFonts w:hint="eastAsia" w:ascii="宋体" w:hAnsi="宋体" w:cs="宋体"/>
          <w:color w:val="auto"/>
          <w:sz w:val="24"/>
          <w:szCs w:val="24"/>
        </w:rPr>
        <w:t>公安部安全与警用电子产品质量检测中心出具的国际互认的运动射击枪弹库（柜）业务安全管理系统检测报告的得</w:t>
      </w:r>
      <w:r>
        <w:rPr>
          <w:rFonts w:ascii="宋体" w:hAnsi="宋体" w:cs="宋体"/>
          <w:color w:val="auto"/>
          <w:sz w:val="24"/>
          <w:szCs w:val="24"/>
        </w:rPr>
        <w:t>2</w:t>
      </w:r>
      <w:r>
        <w:rPr>
          <w:rFonts w:hint="eastAsia" w:ascii="宋体" w:hAnsi="宋体" w:cs="宋体"/>
          <w:color w:val="auto"/>
          <w:sz w:val="24"/>
          <w:szCs w:val="24"/>
        </w:rPr>
        <w:t>分。（</w:t>
      </w:r>
      <w:r>
        <w:rPr>
          <w:rFonts w:ascii="宋体" w:hAnsi="宋体" w:cs="宋体"/>
          <w:color w:val="auto"/>
          <w:sz w:val="24"/>
          <w:szCs w:val="24"/>
        </w:rPr>
        <w:t>2</w:t>
      </w:r>
      <w:r>
        <w:rPr>
          <w:rFonts w:hint="eastAsia" w:ascii="宋体" w:hAnsi="宋体" w:cs="宋体"/>
          <w:color w:val="auto"/>
          <w:sz w:val="24"/>
          <w:szCs w:val="24"/>
        </w:rPr>
        <w:t>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投标人所投产品具有国家安全防范报警系统产品质量监督检验中心</w:t>
      </w:r>
      <w:r>
        <w:rPr>
          <w:rFonts w:ascii="宋体" w:hAnsi="宋体" w:cs="宋体"/>
          <w:color w:val="auto"/>
          <w:sz w:val="24"/>
          <w:szCs w:val="24"/>
        </w:rPr>
        <w:t>/</w:t>
      </w:r>
      <w:r>
        <w:rPr>
          <w:rFonts w:hint="eastAsia" w:ascii="宋体" w:hAnsi="宋体" w:cs="宋体"/>
          <w:color w:val="auto"/>
          <w:sz w:val="24"/>
          <w:szCs w:val="24"/>
        </w:rPr>
        <w:t>公安部安全与警用电子产品质量检测中心出具的国际互认的公务、民用枪支弹药库信息智能管理软件产品检测报告的得</w:t>
      </w:r>
      <w:r>
        <w:rPr>
          <w:rFonts w:ascii="宋体" w:hAnsi="宋体" w:cs="宋体"/>
          <w:color w:val="auto"/>
          <w:sz w:val="24"/>
          <w:szCs w:val="24"/>
        </w:rPr>
        <w:t>2</w:t>
      </w:r>
      <w:r>
        <w:rPr>
          <w:rFonts w:hint="eastAsia" w:ascii="宋体" w:hAnsi="宋体" w:cs="宋体"/>
          <w:color w:val="auto"/>
          <w:sz w:val="24"/>
          <w:szCs w:val="24"/>
        </w:rPr>
        <w:t>分。（</w:t>
      </w:r>
      <w:r>
        <w:rPr>
          <w:rFonts w:ascii="宋体" w:hAnsi="宋体" w:cs="宋体"/>
          <w:color w:val="auto"/>
          <w:sz w:val="24"/>
          <w:szCs w:val="24"/>
        </w:rPr>
        <w:t>2</w:t>
      </w:r>
      <w:r>
        <w:rPr>
          <w:rFonts w:hint="eastAsia" w:ascii="宋体" w:hAnsi="宋体" w:cs="宋体"/>
          <w:color w:val="auto"/>
          <w:sz w:val="24"/>
          <w:szCs w:val="24"/>
        </w:rPr>
        <w:t>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投标人所投产品具有国家安全防范报警系统产品质量监督检验中心</w:t>
      </w:r>
      <w:r>
        <w:rPr>
          <w:rFonts w:ascii="宋体" w:hAnsi="宋体" w:cs="宋体"/>
          <w:color w:val="auto"/>
          <w:sz w:val="24"/>
          <w:szCs w:val="24"/>
        </w:rPr>
        <w:t>/</w:t>
      </w:r>
      <w:r>
        <w:rPr>
          <w:rFonts w:hint="eastAsia" w:ascii="宋体" w:hAnsi="宋体" w:cs="宋体"/>
          <w:color w:val="auto"/>
          <w:sz w:val="24"/>
          <w:szCs w:val="24"/>
        </w:rPr>
        <w:t>公安部安全与警用电子产品质量检测中心出具的国际互认的标准枪弹库内用射击运动子弹智能管理柜检测报告得</w:t>
      </w:r>
      <w:r>
        <w:rPr>
          <w:rFonts w:ascii="宋体" w:hAnsi="宋体" w:cs="宋体"/>
          <w:color w:val="auto"/>
          <w:sz w:val="24"/>
          <w:szCs w:val="24"/>
        </w:rPr>
        <w:t>2</w:t>
      </w:r>
      <w:r>
        <w:rPr>
          <w:rFonts w:hint="eastAsia" w:ascii="宋体" w:hAnsi="宋体" w:cs="宋体"/>
          <w:color w:val="auto"/>
          <w:sz w:val="24"/>
          <w:szCs w:val="24"/>
        </w:rPr>
        <w:t>分。（</w:t>
      </w:r>
      <w:r>
        <w:rPr>
          <w:rFonts w:ascii="宋体" w:hAnsi="宋体" w:cs="宋体"/>
          <w:color w:val="auto"/>
          <w:sz w:val="24"/>
          <w:szCs w:val="24"/>
        </w:rPr>
        <w:t>2</w:t>
      </w:r>
      <w:r>
        <w:rPr>
          <w:rFonts w:hint="eastAsia" w:ascii="宋体" w:hAnsi="宋体" w:cs="宋体"/>
          <w:color w:val="auto"/>
          <w:sz w:val="24"/>
          <w:szCs w:val="24"/>
        </w:rPr>
        <w:t>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投标人所投产品具有国家安全防范报警系统产品质量监督检验中心</w:t>
      </w:r>
      <w:r>
        <w:rPr>
          <w:rFonts w:ascii="宋体" w:hAnsi="宋体" w:cs="宋体"/>
          <w:color w:val="auto"/>
          <w:sz w:val="24"/>
          <w:szCs w:val="24"/>
        </w:rPr>
        <w:t>/</w:t>
      </w:r>
      <w:r>
        <w:rPr>
          <w:rFonts w:hint="eastAsia" w:ascii="宋体" w:hAnsi="宋体" w:cs="宋体"/>
          <w:color w:val="auto"/>
          <w:sz w:val="24"/>
          <w:szCs w:val="24"/>
        </w:rPr>
        <w:t>公安部安全与警用电子产品质量检测中心出具的国际互认的标准枪弹库内用射击运动枪支智能管理柜检测报告得</w:t>
      </w:r>
      <w:r>
        <w:rPr>
          <w:rFonts w:ascii="宋体" w:hAnsi="宋体" w:cs="宋体"/>
          <w:color w:val="auto"/>
          <w:sz w:val="24"/>
          <w:szCs w:val="24"/>
        </w:rPr>
        <w:t>2</w:t>
      </w:r>
      <w:r>
        <w:rPr>
          <w:rFonts w:hint="eastAsia" w:ascii="宋体" w:hAnsi="宋体" w:cs="宋体"/>
          <w:color w:val="auto"/>
          <w:sz w:val="24"/>
          <w:szCs w:val="24"/>
        </w:rPr>
        <w:t>分（</w:t>
      </w:r>
      <w:r>
        <w:rPr>
          <w:rFonts w:ascii="宋体" w:hAnsi="宋体" w:cs="宋体"/>
          <w:color w:val="auto"/>
          <w:sz w:val="24"/>
          <w:szCs w:val="24"/>
        </w:rPr>
        <w:t>2</w:t>
      </w:r>
      <w:r>
        <w:rPr>
          <w:rFonts w:hint="eastAsia" w:ascii="宋体" w:hAnsi="宋体" w:cs="宋体"/>
          <w:color w:val="auto"/>
          <w:sz w:val="24"/>
          <w:szCs w:val="24"/>
        </w:rPr>
        <w:t>分）</w:t>
      </w:r>
    </w:p>
    <w:p>
      <w:pPr>
        <w:spacing w:line="360" w:lineRule="auto"/>
        <w:ind w:firstLine="241" w:firstLineChars="100"/>
        <w:rPr>
          <w:rFonts w:ascii="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w:t>
      </w:r>
      <w:r>
        <w:rPr>
          <w:rFonts w:hint="eastAsia" w:ascii="宋体" w:hAnsi="宋体" w:cs="宋体"/>
          <w:b/>
          <w:bCs/>
          <w:color w:val="auto"/>
          <w:sz w:val="24"/>
          <w:szCs w:val="24"/>
        </w:rPr>
        <w:t>售后服务方案</w:t>
      </w:r>
      <w:r>
        <w:rPr>
          <w:rFonts w:ascii="宋体" w:hAnsi="宋体" w:cs="宋体"/>
          <w:b/>
          <w:bCs/>
          <w:color w:val="auto"/>
          <w:sz w:val="24"/>
          <w:szCs w:val="24"/>
        </w:rPr>
        <w:t>5</w:t>
      </w:r>
      <w:r>
        <w:rPr>
          <w:rFonts w:hint="eastAsia" w:ascii="宋体" w:hAnsi="宋体" w:cs="宋体"/>
          <w:b/>
          <w:bCs/>
          <w:color w:val="auto"/>
          <w:sz w:val="24"/>
          <w:szCs w:val="24"/>
        </w:rPr>
        <w:t>分</w:t>
      </w:r>
    </w:p>
    <w:p>
      <w:pPr>
        <w:spacing w:line="360" w:lineRule="auto"/>
        <w:ind w:firstLine="465"/>
        <w:rPr>
          <w:rFonts w:ascii="宋体"/>
          <w:color w:val="auto"/>
          <w:sz w:val="24"/>
          <w:szCs w:val="24"/>
        </w:rPr>
      </w:pPr>
      <w:r>
        <w:rPr>
          <w:rFonts w:hint="eastAsia" w:ascii="宋体" w:hAnsi="宋体" w:cs="宋体"/>
          <w:color w:val="auto"/>
          <w:sz w:val="24"/>
          <w:szCs w:val="24"/>
        </w:rPr>
        <w:t>投标人提供的货物质保期是否有利于本项目的开展，响应措施是否科学有效，备品备件是否充足。（</w:t>
      </w:r>
      <w:r>
        <w:rPr>
          <w:rFonts w:ascii="宋体" w:hAnsi="宋体" w:cs="宋体"/>
          <w:color w:val="auto"/>
          <w:sz w:val="24"/>
          <w:szCs w:val="24"/>
        </w:rPr>
        <w:t>5</w:t>
      </w:r>
      <w:r>
        <w:rPr>
          <w:rFonts w:hint="eastAsia" w:ascii="宋体" w:hAnsi="宋体" w:cs="宋体"/>
          <w:color w:val="auto"/>
          <w:sz w:val="24"/>
          <w:szCs w:val="24"/>
        </w:rPr>
        <w:t>分）</w:t>
      </w:r>
    </w:p>
    <w:p>
      <w:pPr>
        <w:numPr>
          <w:numId w:val="0"/>
        </w:numPr>
        <w:spacing w:line="360" w:lineRule="auto"/>
        <w:rPr>
          <w:rFonts w:ascii="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5</w:t>
      </w:r>
      <w:r>
        <w:rPr>
          <w:rFonts w:hint="eastAsia" w:ascii="宋体" w:hAnsi="宋体" w:cs="宋体"/>
          <w:b/>
          <w:bCs/>
          <w:color w:val="auto"/>
          <w:sz w:val="24"/>
          <w:szCs w:val="24"/>
          <w:lang w:eastAsia="zh-CN"/>
        </w:rPr>
        <w:t>）</w:t>
      </w:r>
      <w:r>
        <w:rPr>
          <w:rFonts w:hint="eastAsia" w:ascii="宋体" w:hAnsi="宋体" w:cs="宋体"/>
          <w:b/>
          <w:bCs/>
          <w:color w:val="auto"/>
          <w:sz w:val="24"/>
          <w:szCs w:val="24"/>
        </w:rPr>
        <w:t>项目小组成员</w:t>
      </w:r>
      <w:r>
        <w:rPr>
          <w:rFonts w:ascii="宋体" w:hAnsi="宋体" w:cs="宋体"/>
          <w:b/>
          <w:bCs/>
          <w:color w:val="auto"/>
          <w:sz w:val="24"/>
          <w:szCs w:val="24"/>
        </w:rPr>
        <w:t>5</w:t>
      </w:r>
      <w:r>
        <w:rPr>
          <w:rFonts w:hint="eastAsia" w:ascii="宋体" w:hAnsi="宋体" w:cs="宋体"/>
          <w:b/>
          <w:bCs/>
          <w:color w:val="auto"/>
          <w:sz w:val="24"/>
          <w:szCs w:val="24"/>
        </w:rPr>
        <w:t>分</w:t>
      </w:r>
    </w:p>
    <w:p>
      <w:pPr>
        <w:spacing w:line="360" w:lineRule="auto"/>
        <w:rPr>
          <w:color w:val="auto"/>
          <w:sz w:val="24"/>
          <w:szCs w:val="24"/>
        </w:rPr>
      </w:pPr>
      <w:r>
        <w:rPr>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rPr>
        <w:t>投标人拟定的项目小组成员是否数量、专业、职能满足本项目供货、售后、安装各项工作的需求。（</w:t>
      </w:r>
      <w:r>
        <w:rPr>
          <w:rFonts w:ascii="宋体" w:hAnsi="宋体" w:cs="宋体"/>
          <w:color w:val="auto"/>
          <w:sz w:val="24"/>
          <w:szCs w:val="24"/>
        </w:rPr>
        <w:t>5</w:t>
      </w:r>
      <w:r>
        <w:rPr>
          <w:rFonts w:hint="eastAsia" w:ascii="宋体" w:hAnsi="宋体" w:cs="宋体"/>
          <w:color w:val="auto"/>
          <w:sz w:val="24"/>
          <w:szCs w:val="24"/>
        </w:rPr>
        <w:t>分）</w:t>
      </w:r>
    </w:p>
    <w:p>
      <w:pPr>
        <w:numPr>
          <w:numId w:val="0"/>
        </w:numPr>
        <w:spacing w:line="360" w:lineRule="auto"/>
        <w:rPr>
          <w:rFonts w:ascii="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6</w:t>
      </w:r>
      <w:r>
        <w:rPr>
          <w:rFonts w:hint="eastAsia" w:ascii="宋体" w:hAnsi="宋体" w:cs="宋体"/>
          <w:b/>
          <w:bCs/>
          <w:color w:val="auto"/>
          <w:sz w:val="24"/>
          <w:szCs w:val="24"/>
          <w:lang w:eastAsia="zh-CN"/>
        </w:rPr>
        <w:t>）</w:t>
      </w:r>
      <w:r>
        <w:rPr>
          <w:rFonts w:hint="eastAsia" w:ascii="宋体" w:hAnsi="宋体" w:cs="宋体"/>
          <w:b/>
          <w:bCs/>
          <w:color w:val="auto"/>
          <w:sz w:val="24"/>
          <w:szCs w:val="24"/>
        </w:rPr>
        <w:t>培训计划</w:t>
      </w:r>
      <w:r>
        <w:rPr>
          <w:rFonts w:ascii="宋体" w:hAnsi="宋体" w:cs="宋体"/>
          <w:b/>
          <w:bCs/>
          <w:color w:val="auto"/>
          <w:sz w:val="24"/>
          <w:szCs w:val="24"/>
        </w:rPr>
        <w:t>3</w:t>
      </w:r>
      <w:r>
        <w:rPr>
          <w:rFonts w:hint="eastAsia" w:ascii="宋体" w:hAnsi="宋体" w:cs="宋体"/>
          <w:b/>
          <w:bCs/>
          <w:color w:val="auto"/>
          <w:sz w:val="24"/>
          <w:szCs w:val="24"/>
        </w:rPr>
        <w:t>分：</w:t>
      </w:r>
      <w:r>
        <w:rPr>
          <w:rFonts w:hint="eastAsia" w:ascii="宋体" w:hAnsi="宋体" w:cs="宋体"/>
          <w:color w:val="auto"/>
          <w:sz w:val="24"/>
          <w:szCs w:val="24"/>
        </w:rPr>
        <w:t>投标人是否针对所投产品的使用、管理方式向招标人提供了科学的培训计划，并提供了配套的文字培训手册或视频演示材料；（</w:t>
      </w:r>
      <w:r>
        <w:rPr>
          <w:rFonts w:ascii="宋体" w:hAnsi="宋体" w:cs="宋体"/>
          <w:color w:val="auto"/>
          <w:sz w:val="24"/>
          <w:szCs w:val="24"/>
        </w:rPr>
        <w:t>3</w:t>
      </w:r>
      <w:r>
        <w:rPr>
          <w:rFonts w:hint="eastAsia" w:ascii="宋体" w:hAnsi="宋体" w:cs="宋体"/>
          <w:color w:val="auto"/>
          <w:sz w:val="24"/>
          <w:szCs w:val="24"/>
        </w:rPr>
        <w:t>分）</w:t>
      </w:r>
    </w:p>
    <w:p>
      <w:pPr>
        <w:numPr>
          <w:numId w:val="0"/>
        </w:numPr>
        <w:spacing w:line="360" w:lineRule="auto"/>
        <w:rPr>
          <w:rFonts w:ascii="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7</w:t>
      </w:r>
      <w:r>
        <w:rPr>
          <w:rFonts w:hint="eastAsia" w:ascii="宋体" w:hAnsi="宋体" w:cs="宋体"/>
          <w:b/>
          <w:bCs/>
          <w:color w:val="auto"/>
          <w:sz w:val="24"/>
          <w:szCs w:val="24"/>
          <w:lang w:eastAsia="zh-CN"/>
        </w:rPr>
        <w:t>）</w:t>
      </w:r>
      <w:r>
        <w:rPr>
          <w:rFonts w:hint="eastAsia" w:ascii="宋体" w:hAnsi="宋体" w:cs="宋体"/>
          <w:b/>
          <w:bCs/>
          <w:color w:val="auto"/>
          <w:sz w:val="24"/>
          <w:szCs w:val="24"/>
        </w:rPr>
        <w:t>投标人软件资质</w:t>
      </w:r>
      <w:r>
        <w:rPr>
          <w:rFonts w:ascii="宋体" w:hAnsi="宋体" w:cs="宋体"/>
          <w:b/>
          <w:bCs/>
          <w:color w:val="auto"/>
          <w:sz w:val="24"/>
          <w:szCs w:val="24"/>
        </w:rPr>
        <w:t>3</w:t>
      </w:r>
      <w:r>
        <w:rPr>
          <w:rFonts w:hint="eastAsia" w:ascii="宋体" w:hAnsi="宋体" w:cs="宋体"/>
          <w:b/>
          <w:bCs/>
          <w:color w:val="auto"/>
          <w:sz w:val="24"/>
          <w:szCs w:val="24"/>
        </w:rPr>
        <w:t>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投标人具有本次所投软件枪支借还管理软件或子弹领取管理软件著作权的，每个得</w:t>
      </w:r>
      <w:r>
        <w:rPr>
          <w:rFonts w:ascii="宋体" w:hAnsi="宋体" w:cs="宋体"/>
          <w:color w:val="auto"/>
          <w:sz w:val="24"/>
          <w:szCs w:val="24"/>
        </w:rPr>
        <w:t>1</w:t>
      </w:r>
      <w:r>
        <w:rPr>
          <w:rFonts w:hint="eastAsia" w:ascii="宋体" w:hAnsi="宋体" w:cs="宋体"/>
          <w:color w:val="auto"/>
          <w:sz w:val="24"/>
          <w:szCs w:val="24"/>
        </w:rPr>
        <w:t>分，最高得</w:t>
      </w:r>
      <w:r>
        <w:rPr>
          <w:rFonts w:ascii="宋体" w:hAnsi="宋体" w:cs="宋体"/>
          <w:color w:val="auto"/>
          <w:sz w:val="24"/>
          <w:szCs w:val="24"/>
        </w:rPr>
        <w:t>2</w:t>
      </w:r>
      <w:r>
        <w:rPr>
          <w:rFonts w:hint="eastAsia" w:ascii="宋体" w:hAnsi="宋体" w:cs="宋体"/>
          <w:color w:val="auto"/>
          <w:sz w:val="24"/>
          <w:szCs w:val="24"/>
        </w:rPr>
        <w:t>分（需提供相应著作权证书复印件并加盖公章）。（</w:t>
      </w:r>
      <w:r>
        <w:rPr>
          <w:rFonts w:ascii="宋体" w:hAnsi="宋体" w:cs="宋体"/>
          <w:color w:val="auto"/>
          <w:sz w:val="24"/>
          <w:szCs w:val="24"/>
        </w:rPr>
        <w:t>2</w:t>
      </w:r>
      <w:r>
        <w:rPr>
          <w:rFonts w:hint="eastAsia" w:ascii="宋体" w:hAnsi="宋体" w:cs="宋体"/>
          <w:color w:val="auto"/>
          <w:sz w:val="24"/>
          <w:szCs w:val="24"/>
        </w:rPr>
        <w:t>分）</w:t>
      </w:r>
    </w:p>
    <w:p>
      <w:pPr>
        <w:spacing w:line="360" w:lineRule="auto"/>
        <w:ind w:firstLine="480" w:firstLineChars="200"/>
        <w:rPr>
          <w:rFonts w:ascii="宋体"/>
          <w:color w:val="auto"/>
          <w:sz w:val="24"/>
          <w:szCs w:val="24"/>
        </w:rPr>
      </w:pPr>
      <w:r>
        <w:rPr>
          <w:rFonts w:hint="eastAsia" w:ascii="宋体" w:hAnsi="宋体" w:cs="宋体"/>
          <w:color w:val="auto"/>
          <w:sz w:val="24"/>
          <w:szCs w:val="24"/>
        </w:rPr>
        <w:t>投标人具有本次所投软件枪弹库信息网络软件著作权的，得</w:t>
      </w:r>
      <w:r>
        <w:rPr>
          <w:rFonts w:ascii="宋体" w:hAnsi="宋体" w:cs="宋体"/>
          <w:color w:val="auto"/>
          <w:sz w:val="24"/>
          <w:szCs w:val="24"/>
        </w:rPr>
        <w:t>1</w:t>
      </w:r>
      <w:r>
        <w:rPr>
          <w:rFonts w:hint="eastAsia" w:ascii="宋体" w:hAnsi="宋体" w:cs="宋体"/>
          <w:color w:val="auto"/>
          <w:sz w:val="24"/>
          <w:szCs w:val="24"/>
        </w:rPr>
        <w:t>分（需提供相应著作权证书复印件并加盖公章）。（</w:t>
      </w:r>
      <w:r>
        <w:rPr>
          <w:rFonts w:ascii="宋体" w:hAnsi="宋体" w:cs="宋体"/>
          <w:color w:val="auto"/>
          <w:sz w:val="24"/>
          <w:szCs w:val="24"/>
        </w:rPr>
        <w:t>1</w:t>
      </w:r>
      <w:r>
        <w:rPr>
          <w:rFonts w:hint="eastAsia" w:ascii="宋体" w:hAnsi="宋体" w:cs="宋体"/>
          <w:color w:val="auto"/>
          <w:sz w:val="24"/>
          <w:szCs w:val="24"/>
        </w:rPr>
        <w:t>分）</w:t>
      </w:r>
    </w:p>
    <w:p>
      <w:pPr>
        <w:spacing w:line="360" w:lineRule="auto"/>
        <w:ind w:firstLine="241" w:firstLineChars="100"/>
        <w:rPr>
          <w:rFonts w:hint="eastAsia" w:ascii="宋体" w:eastAsia="宋体"/>
          <w:color w:val="auto"/>
          <w:sz w:val="24"/>
          <w:szCs w:val="24"/>
          <w:lang w:eastAsia="zh-CN"/>
        </w:rPr>
      </w:pPr>
      <w:r>
        <w:rPr>
          <w:rFonts w:hint="eastAsia" w:ascii="宋体" w:hAnsi="宋体" w:cs="宋体"/>
          <w:b/>
          <w:bCs/>
          <w:color w:val="auto"/>
          <w:sz w:val="24"/>
          <w:szCs w:val="24"/>
        </w:rPr>
        <w:t>（</w:t>
      </w:r>
      <w:r>
        <w:rPr>
          <w:rFonts w:ascii="宋体" w:hAnsi="宋体" w:cs="宋体"/>
          <w:b/>
          <w:bCs/>
          <w:color w:val="auto"/>
          <w:sz w:val="24"/>
          <w:szCs w:val="24"/>
        </w:rPr>
        <w:t>8</w:t>
      </w:r>
      <w:r>
        <w:rPr>
          <w:rFonts w:hint="eastAsia" w:ascii="宋体" w:hAnsi="宋体" w:cs="宋体"/>
          <w:b/>
          <w:bCs/>
          <w:color w:val="auto"/>
          <w:sz w:val="24"/>
          <w:szCs w:val="24"/>
        </w:rPr>
        <w:t>）优惠和承诺情况</w:t>
      </w:r>
      <w:r>
        <w:rPr>
          <w:rFonts w:ascii="宋体" w:hAnsi="宋体" w:cs="宋体"/>
          <w:b/>
          <w:bCs/>
          <w:color w:val="auto"/>
          <w:sz w:val="24"/>
          <w:szCs w:val="24"/>
        </w:rPr>
        <w:t>2</w:t>
      </w:r>
      <w:r>
        <w:rPr>
          <w:rFonts w:hint="eastAsia" w:ascii="宋体" w:hAnsi="宋体" w:cs="宋体"/>
          <w:b/>
          <w:bCs/>
          <w:color w:val="auto"/>
          <w:sz w:val="24"/>
          <w:szCs w:val="24"/>
        </w:rPr>
        <w:t>分：</w:t>
      </w:r>
      <w:r>
        <w:rPr>
          <w:rFonts w:hint="eastAsia" w:ascii="宋体" w:hAnsi="宋体" w:cs="宋体"/>
          <w:color w:val="auto"/>
          <w:sz w:val="24"/>
          <w:szCs w:val="24"/>
        </w:rPr>
        <w:t>投标人提出的优惠条件和承诺情况，及其可实现程度等；</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w:t>
      </w:r>
    </w:p>
    <w:p>
      <w:pPr>
        <w:pStyle w:val="33"/>
        <w:spacing w:line="360" w:lineRule="auto"/>
        <w:ind w:firstLine="241" w:firstLineChars="100"/>
        <w:rPr>
          <w:rFonts w:hint="eastAsia" w:hAnsi="宋体" w:eastAsia="宋体" w:cs="Calibri"/>
          <w:color w:val="auto"/>
          <w:lang w:eastAsia="zh-CN"/>
        </w:rPr>
      </w:pPr>
      <w:r>
        <w:rPr>
          <w:rFonts w:hint="eastAsia" w:hAnsi="宋体"/>
          <w:b/>
          <w:bCs/>
          <w:color w:val="auto"/>
        </w:rPr>
        <w:t>（</w:t>
      </w:r>
      <w:r>
        <w:rPr>
          <w:rFonts w:hAnsi="宋体"/>
          <w:b/>
          <w:bCs/>
          <w:color w:val="auto"/>
        </w:rPr>
        <w:t>9</w:t>
      </w:r>
      <w:r>
        <w:rPr>
          <w:rFonts w:hint="eastAsia" w:hAnsi="宋体"/>
          <w:b/>
          <w:bCs/>
          <w:color w:val="auto"/>
        </w:rPr>
        <w:t>）投标文件的制作情况</w:t>
      </w:r>
      <w:r>
        <w:rPr>
          <w:rFonts w:hAnsi="宋体"/>
          <w:b/>
          <w:bCs/>
          <w:color w:val="auto"/>
        </w:rPr>
        <w:t xml:space="preserve"> 3</w:t>
      </w:r>
      <w:r>
        <w:rPr>
          <w:rFonts w:hint="eastAsia" w:hAnsi="宋体"/>
          <w:b/>
          <w:bCs/>
          <w:color w:val="auto"/>
        </w:rPr>
        <w:t>分：</w:t>
      </w:r>
      <w:r>
        <w:rPr>
          <w:rFonts w:hint="eastAsia" w:hAnsi="宋体"/>
          <w:color w:val="auto"/>
        </w:rPr>
        <w:t>投标文件编制完整、格式规范、内容齐全、表述准确、条理清晰，内容无前后矛盾，符合招标文件要求。</w:t>
      </w:r>
      <w:r>
        <w:rPr>
          <w:rFonts w:hint="eastAsia" w:hAnsi="宋体"/>
          <w:color w:val="auto"/>
          <w:lang w:eastAsia="zh-CN"/>
        </w:rPr>
        <w:t>（</w:t>
      </w:r>
      <w:r>
        <w:rPr>
          <w:rFonts w:hint="eastAsia" w:hAnsi="宋体"/>
          <w:color w:val="auto"/>
          <w:lang w:val="en-US" w:eastAsia="zh-CN"/>
        </w:rPr>
        <w:t>3分</w:t>
      </w:r>
      <w:r>
        <w:rPr>
          <w:rFonts w:hint="eastAsia" w:hAnsi="宋体"/>
          <w:color w:val="auto"/>
          <w:lang w:eastAsia="zh-CN"/>
        </w:rPr>
        <w:t>）</w:t>
      </w:r>
    </w:p>
    <w:p>
      <w:pPr>
        <w:shd w:val="clear" w:color="auto" w:fill="FFFFFF"/>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7.3</w:t>
      </w:r>
      <w:r>
        <w:rPr>
          <w:rFonts w:hint="eastAsia" w:ascii="宋体" w:hAnsi="宋体" w:cs="宋体"/>
          <w:color w:val="auto"/>
          <w:sz w:val="24"/>
          <w:szCs w:val="24"/>
        </w:rPr>
        <w:t>技术分</w:t>
      </w:r>
      <w:r>
        <w:rPr>
          <w:rFonts w:ascii="宋体" w:hAnsi="宋体" w:cs="宋体"/>
          <w:color w:val="auto"/>
          <w:sz w:val="24"/>
          <w:szCs w:val="24"/>
        </w:rPr>
        <w:t>+</w:t>
      </w:r>
      <w:r>
        <w:rPr>
          <w:rFonts w:hint="eastAsia" w:ascii="宋体" w:hAnsi="宋体" w:cs="宋体"/>
          <w:color w:val="auto"/>
          <w:sz w:val="24"/>
          <w:szCs w:val="24"/>
        </w:rPr>
        <w:t>商务分</w:t>
      </w:r>
      <w:r>
        <w:rPr>
          <w:rFonts w:ascii="宋体" w:hAnsi="宋体" w:cs="宋体"/>
          <w:color w:val="auto"/>
          <w:sz w:val="24"/>
          <w:szCs w:val="24"/>
        </w:rPr>
        <w:t>=</w:t>
      </w:r>
      <w:r>
        <w:rPr>
          <w:rFonts w:hint="eastAsia" w:ascii="宋体" w:hAnsi="宋体" w:cs="宋体"/>
          <w:color w:val="auto"/>
          <w:sz w:val="24"/>
          <w:szCs w:val="24"/>
        </w:rPr>
        <w:t>（评审小组所有成员评分合计数）</w:t>
      </w:r>
      <w:r>
        <w:rPr>
          <w:rFonts w:ascii="宋体" w:hAnsi="宋体" w:cs="宋体"/>
          <w:color w:val="auto"/>
          <w:sz w:val="24"/>
          <w:szCs w:val="24"/>
        </w:rPr>
        <w:t>/</w:t>
      </w:r>
      <w:r>
        <w:rPr>
          <w:rFonts w:hint="eastAsia" w:ascii="宋体" w:hAnsi="宋体" w:cs="宋体"/>
          <w:color w:val="auto"/>
          <w:sz w:val="24"/>
          <w:szCs w:val="24"/>
        </w:rPr>
        <w:t>（评审小组组成人员数）</w:t>
      </w:r>
    </w:p>
    <w:p>
      <w:pPr>
        <w:shd w:val="clear" w:color="auto" w:fill="FFFFFF"/>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7.4</w:t>
      </w:r>
      <w:r>
        <w:rPr>
          <w:rFonts w:hint="eastAsia" w:ascii="宋体" w:hAnsi="宋体" w:cs="宋体"/>
          <w:color w:val="auto"/>
          <w:sz w:val="24"/>
          <w:szCs w:val="24"/>
        </w:rPr>
        <w:t>价格分</w:t>
      </w:r>
      <w:r>
        <w:rPr>
          <w:rFonts w:hint="eastAsia" w:ascii="宋体" w:hAnsi="宋体" w:cs="宋体"/>
          <w:b/>
          <w:bCs/>
          <w:color w:val="auto"/>
          <w:kern w:val="0"/>
          <w:sz w:val="24"/>
          <w:szCs w:val="24"/>
        </w:rPr>
        <w:t>（</w:t>
      </w:r>
      <w:r>
        <w:rPr>
          <w:rFonts w:ascii="宋体" w:hAnsi="宋体" w:cs="宋体"/>
          <w:b/>
          <w:bCs/>
          <w:color w:val="auto"/>
          <w:kern w:val="0"/>
          <w:sz w:val="24"/>
          <w:szCs w:val="24"/>
        </w:rPr>
        <w:t>30</w:t>
      </w:r>
      <w:r>
        <w:rPr>
          <w:rFonts w:hint="eastAsia" w:ascii="宋体" w:hAnsi="宋体" w:cs="宋体"/>
          <w:b/>
          <w:bCs/>
          <w:color w:val="auto"/>
          <w:kern w:val="0"/>
          <w:sz w:val="24"/>
          <w:szCs w:val="24"/>
        </w:rPr>
        <w:t>分）</w:t>
      </w:r>
      <w:r>
        <w:rPr>
          <w:rFonts w:hint="eastAsia" w:ascii="宋体" w:hAnsi="宋体" w:cs="宋体"/>
          <w:color w:val="auto"/>
          <w:sz w:val="24"/>
          <w:szCs w:val="24"/>
        </w:rPr>
        <w:t>采用低价优先法计算，即满足招标文件要求且投标价格最低的投标报价为评标基准价，其他投标人的价格分按照下列公式计算：其价格分为</w:t>
      </w:r>
      <w:r>
        <w:rPr>
          <w:rFonts w:ascii="宋体" w:hAnsi="宋体" w:cs="宋体"/>
          <w:color w:val="auto"/>
          <w:sz w:val="24"/>
          <w:szCs w:val="24"/>
        </w:rPr>
        <w:t>30</w:t>
      </w:r>
      <w:r>
        <w:rPr>
          <w:rFonts w:hint="eastAsia" w:ascii="宋体" w:hAnsi="宋体" w:cs="宋体"/>
          <w:color w:val="auto"/>
          <w:sz w:val="24"/>
          <w:szCs w:val="24"/>
        </w:rPr>
        <w:t>分。其他投标人的价格分统一按照下列公式计算：投标报价得分＝</w:t>
      </w:r>
      <w:r>
        <w:rPr>
          <w:rFonts w:ascii="宋体" w:hAnsi="宋体" w:cs="宋体"/>
          <w:color w:val="auto"/>
          <w:sz w:val="24"/>
          <w:szCs w:val="24"/>
        </w:rPr>
        <w:t>(</w:t>
      </w:r>
      <w:r>
        <w:rPr>
          <w:rFonts w:hint="eastAsia" w:ascii="宋体" w:hAnsi="宋体" w:cs="宋体"/>
          <w:color w:val="auto"/>
          <w:sz w:val="24"/>
          <w:szCs w:val="24"/>
        </w:rPr>
        <w:t>评标基准价</w:t>
      </w:r>
      <w:r>
        <w:rPr>
          <w:rFonts w:ascii="宋体" w:hAnsi="宋体" w:cs="宋体"/>
          <w:color w:val="auto"/>
          <w:sz w:val="24"/>
          <w:szCs w:val="24"/>
        </w:rPr>
        <w:t>/</w:t>
      </w:r>
      <w:r>
        <w:rPr>
          <w:rFonts w:hint="eastAsia" w:ascii="宋体" w:hAnsi="宋体" w:cs="宋体"/>
          <w:color w:val="auto"/>
          <w:sz w:val="24"/>
          <w:szCs w:val="24"/>
        </w:rPr>
        <w:t>每家投标人的单人投标报价</w:t>
      </w:r>
      <w:r>
        <w:rPr>
          <w:rFonts w:ascii="宋体" w:hAns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30(</w:t>
      </w:r>
      <w:r>
        <w:rPr>
          <w:rFonts w:hint="eastAsia" w:ascii="宋体" w:hAnsi="宋体" w:cs="宋体"/>
          <w:color w:val="auto"/>
          <w:sz w:val="24"/>
          <w:szCs w:val="24"/>
        </w:rPr>
        <w:t>精确到小数点后二位，由招标代理机构当场统一计算</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7.5</w:t>
      </w:r>
      <w:r>
        <w:rPr>
          <w:rFonts w:hint="eastAsia" w:ascii="宋体" w:hAnsi="宋体" w:cs="宋体"/>
          <w:color w:val="auto"/>
          <w:sz w:val="24"/>
          <w:szCs w:val="24"/>
        </w:rPr>
        <w:t>投标人评标综合得分</w:t>
      </w:r>
      <w:r>
        <w:rPr>
          <w:rFonts w:ascii="宋体" w:hAnsi="宋体" w:cs="宋体"/>
          <w:color w:val="auto"/>
          <w:sz w:val="24"/>
          <w:szCs w:val="24"/>
        </w:rPr>
        <w:t>=</w:t>
      </w:r>
      <w:r>
        <w:rPr>
          <w:rFonts w:hint="eastAsia" w:ascii="宋体" w:hAnsi="宋体" w:cs="宋体"/>
          <w:color w:val="auto"/>
          <w:sz w:val="24"/>
          <w:szCs w:val="24"/>
        </w:rPr>
        <w:t>价格分</w:t>
      </w:r>
      <w:r>
        <w:rPr>
          <w:rFonts w:ascii="宋体" w:hAnsi="宋体" w:cs="宋体"/>
          <w:color w:val="auto"/>
          <w:sz w:val="24"/>
          <w:szCs w:val="24"/>
        </w:rPr>
        <w:t>+</w:t>
      </w:r>
      <w:r>
        <w:rPr>
          <w:rFonts w:hint="eastAsia" w:ascii="宋体" w:hAnsi="宋体" w:cs="宋体"/>
          <w:color w:val="auto"/>
          <w:sz w:val="24"/>
          <w:szCs w:val="24"/>
        </w:rPr>
        <w:t>技术分</w:t>
      </w:r>
      <w:r>
        <w:rPr>
          <w:rFonts w:ascii="宋体" w:hAnsi="宋体" w:cs="宋体"/>
          <w:color w:val="auto"/>
          <w:sz w:val="24"/>
          <w:szCs w:val="24"/>
        </w:rPr>
        <w:t>+</w:t>
      </w:r>
      <w:r>
        <w:rPr>
          <w:rFonts w:hint="eastAsia" w:ascii="宋体" w:hAnsi="宋体" w:cs="宋体"/>
          <w:color w:val="auto"/>
          <w:sz w:val="24"/>
          <w:szCs w:val="24"/>
        </w:rPr>
        <w:t>商务分</w:t>
      </w:r>
    </w:p>
    <w:p>
      <w:pPr>
        <w:adjustRightInd w:val="0"/>
        <w:snapToGrid w:val="0"/>
        <w:spacing w:line="360" w:lineRule="auto"/>
        <w:ind w:firstLine="482" w:firstLineChars="200"/>
        <w:rPr>
          <w:rFonts w:ascii="宋体"/>
          <w:b/>
          <w:bCs/>
          <w:color w:val="auto"/>
          <w:sz w:val="24"/>
          <w:szCs w:val="24"/>
        </w:rPr>
      </w:pPr>
      <w:r>
        <w:rPr>
          <w:rFonts w:ascii="宋体" w:hAnsi="宋体" w:cs="宋体"/>
          <w:b/>
          <w:bCs/>
          <w:color w:val="auto"/>
          <w:sz w:val="24"/>
          <w:szCs w:val="24"/>
        </w:rPr>
        <w:t>7.6</w:t>
      </w:r>
      <w:r>
        <w:rPr>
          <w:rFonts w:hint="eastAsia" w:ascii="宋体" w:hAnsi="宋体" w:cs="宋体"/>
          <w:b/>
          <w:bCs/>
          <w:color w:val="auto"/>
          <w:sz w:val="24"/>
          <w:szCs w:val="24"/>
        </w:rPr>
        <w:t>报价是中标的一个重要因素，但最低报价不是中标的唯一依据。</w:t>
      </w:r>
    </w:p>
    <w:p>
      <w:pPr>
        <w:pStyle w:val="27"/>
        <w:adjustRightInd w:val="0"/>
        <w:snapToGrid w:val="0"/>
        <w:spacing w:before="0"/>
        <w:ind w:firstLine="31680"/>
        <w:rPr>
          <w:rFonts w:ascii="宋体"/>
          <w:color w:val="auto"/>
        </w:rPr>
      </w:pPr>
      <w:r>
        <w:rPr>
          <w:rFonts w:hint="eastAsia" w:ascii="宋体" w:hAnsi="宋体" w:cs="宋体"/>
          <w:color w:val="auto"/>
        </w:rPr>
        <w:t>注：根据浙江省财政厅、浙江省中小企业局转发财政部、工业和信息化部关于印发《政府采购促进中小企业发展暂行办法》的通知（浙财采监</w:t>
      </w:r>
      <w:r>
        <w:rPr>
          <w:rFonts w:ascii="宋体" w:hAnsi="宋体" w:cs="宋体"/>
          <w:color w:val="auto"/>
        </w:rPr>
        <w:t xml:space="preserve">[2012]11 </w:t>
      </w:r>
      <w:r>
        <w:rPr>
          <w:rFonts w:hint="eastAsia" w:ascii="宋体" w:hAnsi="宋体" w:cs="宋体"/>
          <w:color w:val="auto"/>
        </w:rPr>
        <w:t>号），对小型或微型企业</w:t>
      </w:r>
      <w:r>
        <w:rPr>
          <w:rFonts w:ascii="宋体" w:hAnsi="宋体" w:cs="宋体"/>
          <w:color w:val="auto"/>
        </w:rPr>
        <w:t xml:space="preserve"> </w:t>
      </w:r>
      <w:r>
        <w:rPr>
          <w:rFonts w:hint="eastAsia" w:ascii="宋体" w:hAnsi="宋体" w:cs="宋体"/>
          <w:color w:val="auto"/>
        </w:rPr>
        <w:t>的投标报价给予</w:t>
      </w:r>
      <w:r>
        <w:rPr>
          <w:rFonts w:ascii="宋体" w:hAnsi="宋体" w:cs="宋体"/>
          <w:color w:val="auto"/>
        </w:rPr>
        <w:t xml:space="preserve"> 6%</w:t>
      </w:r>
      <w:r>
        <w:rPr>
          <w:rFonts w:hint="eastAsia" w:ascii="宋体" w:hAnsi="宋体" w:cs="宋体"/>
          <w:color w:val="auto"/>
        </w:rPr>
        <w:t>的扣除，并用扣除后的价格计算价格评分。同时符合以下所有要求的投标人被认定为小型、微型企业：</w:t>
      </w:r>
      <w:r>
        <w:rPr>
          <w:rFonts w:ascii="宋体" w:hAnsi="宋体" w:cs="宋体"/>
          <w:color w:val="auto"/>
        </w:rPr>
        <w:t xml:space="preserve"> </w:t>
      </w:r>
    </w:p>
    <w:p>
      <w:pPr>
        <w:pStyle w:val="27"/>
        <w:adjustRightInd w:val="0"/>
        <w:snapToGrid w:val="0"/>
        <w:spacing w:before="0"/>
        <w:ind w:firstLine="31680"/>
        <w:rPr>
          <w:rFonts w:ascii="宋体"/>
          <w:color w:val="auto"/>
        </w:rPr>
      </w:pPr>
      <w:r>
        <w:rPr>
          <w:rFonts w:ascii="宋体" w:hAnsi="宋体" w:cs="宋体"/>
          <w:color w:val="auto"/>
        </w:rPr>
        <w:t>1.</w:t>
      </w:r>
      <w:r>
        <w:rPr>
          <w:rFonts w:hint="eastAsia" w:ascii="宋体" w:hAnsi="宋体" w:cs="宋体"/>
          <w:color w:val="auto"/>
        </w:rPr>
        <w:t>投标人按照《关于印发中小企业划型标准规定的通知》（工信部联企业〔</w:t>
      </w:r>
      <w:r>
        <w:rPr>
          <w:rFonts w:ascii="宋体" w:hAnsi="宋体" w:cs="宋体"/>
          <w:color w:val="auto"/>
        </w:rPr>
        <w:t>2011</w:t>
      </w:r>
      <w:r>
        <w:rPr>
          <w:rFonts w:hint="eastAsia" w:ascii="宋体" w:hAnsi="宋体" w:cs="宋体"/>
          <w:color w:val="auto"/>
        </w:rPr>
        <w:t>〕</w:t>
      </w:r>
      <w:r>
        <w:rPr>
          <w:rFonts w:ascii="宋体" w:hAnsi="宋体" w:cs="宋体"/>
          <w:color w:val="auto"/>
        </w:rPr>
        <w:t xml:space="preserve">300 </w:t>
      </w:r>
      <w:r>
        <w:rPr>
          <w:rFonts w:hint="eastAsia" w:ascii="宋体" w:hAnsi="宋体" w:cs="宋体"/>
          <w:color w:val="auto"/>
        </w:rPr>
        <w:t>号）的所属行业规定为小型、微型企业【注：按《关于印发中小企业划型标准规定的通知》规定提供《中小企业声明函》】；</w:t>
      </w:r>
    </w:p>
    <w:p>
      <w:pPr>
        <w:pStyle w:val="27"/>
        <w:adjustRightInd w:val="0"/>
        <w:snapToGrid w:val="0"/>
        <w:spacing w:before="0"/>
        <w:ind w:firstLine="31680"/>
        <w:rPr>
          <w:rFonts w:ascii="宋体"/>
          <w:color w:val="auto"/>
        </w:rPr>
      </w:pPr>
      <w:r>
        <w:rPr>
          <w:rFonts w:ascii="宋体" w:hAnsi="宋体" w:cs="宋体"/>
          <w:color w:val="auto"/>
        </w:rPr>
        <w:t>2.</w:t>
      </w:r>
      <w:r>
        <w:rPr>
          <w:rFonts w:hint="eastAsia" w:ascii="宋体" w:hAnsi="宋体" w:cs="宋体"/>
          <w:color w:val="auto"/>
        </w:rPr>
        <w:t>投标人所投标项内产品均为小型、微型企业提供的服务【注：按《关于印发中小企业划型标准规定的通知》中“工业行业”规定提供制造商出具的《中小企业声明函》】。</w:t>
      </w:r>
      <w:r>
        <w:rPr>
          <w:rFonts w:ascii="宋体" w:hAnsi="宋体" w:cs="宋体"/>
          <w:color w:val="auto"/>
        </w:rPr>
        <w:t xml:space="preserve"> </w:t>
      </w:r>
    </w:p>
    <w:p>
      <w:pPr>
        <w:pStyle w:val="27"/>
        <w:adjustRightInd w:val="0"/>
        <w:snapToGrid w:val="0"/>
        <w:spacing w:before="0"/>
        <w:ind w:firstLine="31680"/>
        <w:rPr>
          <w:rFonts w:ascii="宋体"/>
          <w:color w:val="auto"/>
        </w:rPr>
      </w:pPr>
      <w:r>
        <w:rPr>
          <w:rFonts w:ascii="宋体" w:hAnsi="宋体" w:cs="宋体"/>
          <w:color w:val="auto"/>
        </w:rPr>
        <w:t>3.</w:t>
      </w:r>
      <w:r>
        <w:rPr>
          <w:rFonts w:hint="eastAsia" w:ascii="宋体" w:hAnsi="宋体" w:cs="宋体"/>
          <w:color w:val="auto"/>
        </w:rPr>
        <w:t>联合体参加投标的，联合协议中约定，小型、微型企业的协议合同金额占到联合体协议合同总金额</w:t>
      </w:r>
      <w:r>
        <w:rPr>
          <w:rFonts w:ascii="宋体" w:hAnsi="宋体" w:cs="宋体"/>
          <w:color w:val="auto"/>
        </w:rPr>
        <w:t xml:space="preserve"> 30%</w:t>
      </w:r>
      <w:r>
        <w:rPr>
          <w:rFonts w:hint="eastAsia" w:ascii="宋体" w:hAnsi="宋体" w:cs="宋体"/>
          <w:color w:val="auto"/>
        </w:rPr>
        <w:t>以上的，投标报价给予</w:t>
      </w:r>
      <w:r>
        <w:rPr>
          <w:rFonts w:ascii="宋体" w:hAnsi="宋体" w:cs="宋体"/>
          <w:color w:val="auto"/>
        </w:rPr>
        <w:t xml:space="preserve"> 2% </w:t>
      </w:r>
      <w:r>
        <w:rPr>
          <w:rFonts w:hint="eastAsia" w:ascii="宋体" w:hAnsi="宋体" w:cs="宋体"/>
          <w:color w:val="auto"/>
        </w:rPr>
        <w:t>的扣除，并用扣除后的价格计算价格评分；如联合体各方均为小型、微型企业的，提供本企业生产的产品或提供其他小型、微型企业的产品的，投标报价给予</w:t>
      </w:r>
      <w:r>
        <w:rPr>
          <w:rFonts w:ascii="宋体" w:hAnsi="宋体" w:cs="宋体"/>
          <w:color w:val="auto"/>
        </w:rPr>
        <w:t xml:space="preserve"> 6% </w:t>
      </w:r>
      <w:r>
        <w:rPr>
          <w:rFonts w:hint="eastAsia" w:ascii="宋体" w:hAnsi="宋体" w:cs="宋体"/>
          <w:color w:val="auto"/>
        </w:rPr>
        <w:t>的扣除，并用扣除后的价格计算价格评分。组成联合体的大中型企业和其他自然人、法人或者其他组织，与小型、微型企业之间不得存在投资关系，否则不予价格扣除。</w:t>
      </w:r>
      <w:r>
        <w:rPr>
          <w:rFonts w:ascii="宋体" w:hAnsi="宋体" w:cs="宋体"/>
          <w:color w:val="auto"/>
        </w:rPr>
        <w:t xml:space="preserve"> </w:t>
      </w:r>
    </w:p>
    <w:p>
      <w:pPr>
        <w:pStyle w:val="27"/>
        <w:adjustRightInd w:val="0"/>
        <w:snapToGrid w:val="0"/>
        <w:spacing w:before="0"/>
        <w:ind w:firstLine="0" w:firstLineChars="0"/>
        <w:rPr>
          <w:rFonts w:ascii="宋体"/>
          <w:color w:val="auto"/>
        </w:rPr>
      </w:pPr>
      <w:r>
        <w:rPr>
          <w:rFonts w:hint="eastAsia" w:ascii="宋体" w:hAnsi="宋体" w:cs="宋体"/>
          <w:color w:val="auto"/>
        </w:rPr>
        <w:t>监狱企业视同小微企业，参加本项目投标的，享受小微企业同等的价格扣除。【注：提供《监狱企业声明函》】。</w:t>
      </w:r>
      <w:r>
        <w:rPr>
          <w:rFonts w:ascii="宋体" w:hAnsi="宋体" w:cs="宋体"/>
          <w:color w:val="auto"/>
        </w:rPr>
        <w:t xml:space="preserve"> </w:t>
      </w:r>
    </w:p>
    <w:p>
      <w:pPr>
        <w:pStyle w:val="27"/>
        <w:adjustRightInd w:val="0"/>
        <w:snapToGrid w:val="0"/>
        <w:spacing w:before="0"/>
        <w:ind w:firstLine="31680"/>
        <w:rPr>
          <w:rFonts w:ascii="宋体"/>
          <w:color w:val="auto"/>
        </w:rPr>
      </w:pPr>
      <w:r>
        <w:rPr>
          <w:rFonts w:ascii="宋体" w:hAnsi="宋体" w:cs="宋体"/>
          <w:color w:val="auto"/>
        </w:rPr>
        <w:t>4.</w:t>
      </w:r>
      <w:r>
        <w:rPr>
          <w:rFonts w:hint="eastAsia" w:ascii="宋体" w:hAnsi="宋体" w:cs="宋体"/>
          <w:color w:val="auto"/>
        </w:rPr>
        <w:t>残疾人福利性单位参加投标【提供《残疾人福利性单位声明函》】，视为小型、微型企业，享受小微企业政策扶持。</w:t>
      </w:r>
    </w:p>
    <w:p>
      <w:pPr>
        <w:pStyle w:val="27"/>
        <w:adjustRightInd w:val="0"/>
        <w:snapToGrid w:val="0"/>
        <w:spacing w:before="0"/>
        <w:ind w:firstLine="241" w:firstLineChars="100"/>
        <w:rPr>
          <w:rFonts w:ascii="宋体"/>
          <w:b/>
          <w:bCs/>
          <w:color w:val="auto"/>
        </w:rPr>
      </w:pPr>
      <w:r>
        <w:rPr>
          <w:rFonts w:ascii="宋体" w:hAnsi="宋体" w:cs="宋体"/>
          <w:b/>
          <w:bCs/>
          <w:color w:val="auto"/>
        </w:rPr>
        <w:t>8</w:t>
      </w:r>
      <w:r>
        <w:rPr>
          <w:rFonts w:hint="eastAsia" w:ascii="宋体" w:hAnsi="宋体" w:cs="宋体"/>
          <w:b/>
          <w:bCs/>
          <w:color w:val="auto"/>
          <w:lang w:val="zh-CN"/>
        </w:rPr>
        <w:t>、</w:t>
      </w:r>
      <w:r>
        <w:rPr>
          <w:rFonts w:hint="eastAsia" w:ascii="宋体" w:hAnsi="宋体" w:cs="宋体"/>
          <w:b/>
          <w:bCs/>
          <w:color w:val="auto"/>
        </w:rPr>
        <w:t>评标内容的保密</w:t>
      </w:r>
    </w:p>
    <w:p>
      <w:pPr>
        <w:pStyle w:val="27"/>
        <w:adjustRightInd w:val="0"/>
        <w:snapToGrid w:val="0"/>
        <w:spacing w:before="0"/>
        <w:ind w:firstLine="3168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）公开开标后，直到宣布中标人止，凡属于审查、澄清、评价和比较投标的所有资料，都不应向投标人或与评标无关的其他人泄露。</w:t>
      </w:r>
    </w:p>
    <w:p>
      <w:pPr>
        <w:pStyle w:val="27"/>
        <w:adjustRightInd w:val="0"/>
        <w:snapToGrid w:val="0"/>
        <w:spacing w:before="0"/>
        <w:ind w:firstLine="3168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）在投标文件的审查、澄清、评价和比较以及确定中标人过程中，投标人对招标人、招标代理机构和评审小组施加影响的任何行为，都将导致取消资格。</w:t>
      </w:r>
    </w:p>
    <w:p>
      <w:pPr>
        <w:pStyle w:val="27"/>
        <w:adjustRightInd w:val="0"/>
        <w:snapToGrid w:val="0"/>
        <w:spacing w:before="0"/>
        <w:ind w:firstLine="241" w:firstLineChars="100"/>
        <w:rPr>
          <w:rFonts w:ascii="宋体"/>
          <w:b/>
          <w:bCs/>
          <w:color w:val="auto"/>
        </w:rPr>
      </w:pPr>
      <w:r>
        <w:rPr>
          <w:rFonts w:ascii="宋体" w:hAnsi="宋体" w:cs="宋体"/>
          <w:b/>
          <w:bCs/>
          <w:color w:val="auto"/>
        </w:rPr>
        <w:t>9</w:t>
      </w:r>
      <w:r>
        <w:rPr>
          <w:rFonts w:hint="eastAsia" w:ascii="宋体" w:hAnsi="宋体" w:cs="宋体"/>
          <w:b/>
          <w:bCs/>
          <w:color w:val="auto"/>
          <w:lang w:val="zh-CN"/>
        </w:rPr>
        <w:t>、</w:t>
      </w:r>
      <w:r>
        <w:rPr>
          <w:rFonts w:hint="eastAsia" w:ascii="宋体" w:hAnsi="宋体" w:cs="宋体"/>
          <w:b/>
          <w:bCs/>
          <w:color w:val="auto"/>
        </w:rPr>
        <w:t>投标文件的澄清</w:t>
      </w:r>
    </w:p>
    <w:p>
      <w:pPr>
        <w:pStyle w:val="27"/>
        <w:adjustRightInd w:val="0"/>
        <w:snapToGrid w:val="0"/>
        <w:spacing w:before="0"/>
        <w:ind w:firstLine="31680"/>
        <w:rPr>
          <w:rFonts w:ascii="宋体"/>
          <w:color w:val="auto"/>
        </w:rPr>
      </w:pPr>
      <w:r>
        <w:rPr>
          <w:rFonts w:hint="eastAsia" w:ascii="宋体" w:hAnsi="宋体" w:cs="宋体"/>
          <w:color w:val="auto"/>
        </w:rPr>
        <w:t>为了有助于投标文件的审查、评价和比较，评审小组可以个别地要求投标人澄清其投标文件。有关澄清的要求和答复，应以书面形式进行。</w:t>
      </w:r>
    </w:p>
    <w:p>
      <w:pPr>
        <w:pStyle w:val="7"/>
        <w:adjustRightInd w:val="0"/>
        <w:snapToGrid w:val="0"/>
        <w:ind w:firstLine="241" w:firstLineChars="1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、废标</w:t>
      </w:r>
    </w:p>
    <w:p>
      <w:pPr>
        <w:pStyle w:val="7"/>
        <w:adjustRightInd w:val="0"/>
        <w:snapToGrid w:val="0"/>
        <w:ind w:firstLine="316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在招标中，出现下列情形之一的，应予废标：</w:t>
      </w:r>
    </w:p>
    <w:p>
      <w:pPr>
        <w:pStyle w:val="7"/>
        <w:adjustRightInd w:val="0"/>
        <w:snapToGrid w:val="0"/>
        <w:ind w:firstLine="316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(1)符合条件的供应商或者对招标文件作实质响应的供应商不足3家的；</w:t>
      </w:r>
    </w:p>
    <w:p>
      <w:pPr>
        <w:pStyle w:val="7"/>
        <w:adjustRightInd w:val="0"/>
        <w:snapToGrid w:val="0"/>
        <w:ind w:firstLine="316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(2)出现</w:t>
      </w:r>
      <w:r>
        <w:rPr>
          <w:rFonts w:hint="eastAsia" w:ascii="宋体" w:hAnsi="宋体" w:eastAsia="宋体" w:cs="宋体"/>
          <w:b/>
          <w:bCs/>
          <w:color w:val="auto"/>
          <w:sz w:val="24"/>
          <w:szCs w:val="24"/>
        </w:rPr>
        <w:t>影响</w:t>
      </w:r>
      <w:r>
        <w:rPr>
          <w:rFonts w:hint="eastAsia" w:ascii="宋体" w:hAnsi="宋体" w:eastAsia="宋体" w:cs="宋体"/>
          <w:b/>
          <w:bCs/>
          <w:color w:val="auto"/>
          <w:sz w:val="24"/>
          <w:szCs w:val="24"/>
          <w:lang w:val="zh-CN"/>
        </w:rPr>
        <w:t>招标公正的违法、违规行为的；</w:t>
      </w:r>
    </w:p>
    <w:p>
      <w:pPr>
        <w:pStyle w:val="7"/>
        <w:adjustRightInd w:val="0"/>
        <w:snapToGrid w:val="0"/>
        <w:ind w:firstLine="316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(3)报价超过预算金额（预算金额：</w:t>
      </w:r>
      <w:r>
        <w:rPr>
          <w:rFonts w:hint="eastAsia" w:ascii="宋体" w:hAnsi="宋体" w:eastAsia="宋体" w:cs="宋体"/>
          <w:b/>
          <w:bCs/>
          <w:color w:val="auto"/>
          <w:sz w:val="24"/>
          <w:szCs w:val="24"/>
        </w:rPr>
        <w:t>59.31万元</w:t>
      </w:r>
      <w:r>
        <w:rPr>
          <w:rFonts w:hint="eastAsia" w:ascii="宋体" w:hAnsi="宋体" w:eastAsia="宋体" w:cs="宋体"/>
          <w:b/>
          <w:bCs/>
          <w:color w:val="auto"/>
          <w:sz w:val="24"/>
          <w:szCs w:val="24"/>
          <w:lang w:val="zh-CN"/>
        </w:rPr>
        <w:t>）</w:t>
      </w:r>
    </w:p>
    <w:p>
      <w:pPr>
        <w:pStyle w:val="7"/>
        <w:adjustRightInd w:val="0"/>
        <w:snapToGrid w:val="0"/>
        <w:ind w:firstLine="316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(4)因重大变故，招标任务取消的。</w:t>
      </w:r>
    </w:p>
    <w:p>
      <w:pPr>
        <w:pStyle w:val="27"/>
        <w:spacing w:before="0"/>
        <w:ind w:firstLine="31680"/>
        <w:rPr>
          <w:rFonts w:ascii="宋体"/>
          <w:color w:val="auto"/>
        </w:rPr>
      </w:pPr>
    </w:p>
    <w:p>
      <w:pPr>
        <w:spacing w:line="360" w:lineRule="auto"/>
        <w:jc w:val="center"/>
        <w:outlineLvl w:val="1"/>
        <w:rPr>
          <w:rFonts w:ascii="宋体"/>
          <w:b/>
          <w:bCs/>
          <w:color w:val="auto"/>
          <w:sz w:val="32"/>
          <w:szCs w:val="32"/>
        </w:rPr>
      </w:pPr>
      <w:bookmarkStart w:id="42" w:name="_Toc361155995"/>
      <w:r>
        <w:rPr>
          <w:rFonts w:hint="eastAsia" w:ascii="宋体" w:hAnsi="宋体" w:cs="宋体"/>
          <w:b/>
          <w:bCs/>
          <w:color w:val="auto"/>
          <w:sz w:val="32"/>
          <w:szCs w:val="32"/>
        </w:rPr>
        <w:t>七、定</w:t>
      </w:r>
      <w:r>
        <w:rPr>
          <w:rFonts w:ascii="宋体" w:hAnsi="宋体" w:cs="宋体"/>
          <w:b/>
          <w:bCs/>
          <w:color w:val="auto"/>
          <w:sz w:val="32"/>
          <w:szCs w:val="32"/>
        </w:rPr>
        <w:t xml:space="preserve"> </w:t>
      </w:r>
      <w:r>
        <w:rPr>
          <w:rFonts w:hint="eastAsia" w:ascii="宋体" w:hAnsi="宋体" w:cs="宋体"/>
          <w:b/>
          <w:bCs/>
          <w:color w:val="auto"/>
          <w:sz w:val="32"/>
          <w:szCs w:val="32"/>
        </w:rPr>
        <w:t>标</w:t>
      </w:r>
      <w:bookmarkEnd w:id="42"/>
    </w:p>
    <w:p>
      <w:pPr>
        <w:adjustRightInd w:val="0"/>
        <w:snapToGrid w:val="0"/>
        <w:spacing w:line="360" w:lineRule="auto"/>
        <w:ind w:firstLine="482" w:firstLineChars="200"/>
        <w:rPr>
          <w:rFonts w:ascii="宋体"/>
          <w:color w:val="auto"/>
          <w:sz w:val="24"/>
          <w:szCs w:val="24"/>
        </w:rPr>
      </w:pPr>
      <w:r>
        <w:rPr>
          <w:rFonts w:ascii="宋体" w:hAnsi="宋体" w:cs="宋体"/>
          <w:b/>
          <w:bCs/>
          <w:color w:val="auto"/>
          <w:sz w:val="24"/>
          <w:szCs w:val="24"/>
        </w:rPr>
        <w:t>1</w:t>
      </w:r>
      <w:r>
        <w:rPr>
          <w:rFonts w:hint="eastAsia" w:ascii="宋体" w:hAnsi="宋体" w:cs="宋体"/>
          <w:color w:val="auto"/>
          <w:sz w:val="24"/>
          <w:szCs w:val="24"/>
        </w:rPr>
        <w:t>、评审小组将根据招标文件和有关规定，履行评标工作职责，以评标办法为标准，全面衡量各投标人对招标文件的响应情况。对实质上响应招标文件的投标人，以打分的方法，排出推荐中标的投标人的先后顺序，并按顺序提出授标建议。评标结果报经招标人同意，最终确定中标人。</w:t>
      </w:r>
    </w:p>
    <w:p>
      <w:pPr>
        <w:adjustRightInd w:val="0"/>
        <w:snapToGrid w:val="0"/>
        <w:spacing w:line="360" w:lineRule="auto"/>
        <w:ind w:firstLine="472" w:firstLineChars="196"/>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w:t>
      </w:r>
      <w:r>
        <w:rPr>
          <w:rFonts w:hint="eastAsia" w:ascii="宋体" w:hAnsi="宋体" w:cs="宋体"/>
          <w:color w:val="auto"/>
          <w:sz w:val="24"/>
          <w:szCs w:val="24"/>
        </w:rPr>
        <w:t>招标人应当根据评审小组推荐的顺序确定中标人，不得在评审小组推荐的中标候选人以外确定中标人。</w:t>
      </w:r>
    </w:p>
    <w:p>
      <w:pPr>
        <w:spacing w:line="360" w:lineRule="auto"/>
        <w:ind w:firstLine="482" w:firstLineChars="200"/>
        <w:rPr>
          <w:rFonts w:ascii="宋体"/>
          <w:color w:val="auto"/>
          <w:sz w:val="24"/>
          <w:szCs w:val="24"/>
        </w:rPr>
      </w:pPr>
      <w:r>
        <w:rPr>
          <w:rFonts w:ascii="宋体" w:hAnsi="宋体" w:cs="宋体"/>
          <w:b/>
          <w:bCs/>
          <w:color w:val="auto"/>
          <w:sz w:val="24"/>
          <w:szCs w:val="24"/>
        </w:rPr>
        <w:t>3</w:t>
      </w:r>
      <w:r>
        <w:rPr>
          <w:rFonts w:hint="eastAsia" w:ascii="宋体" w:hAnsi="宋体" w:cs="宋体"/>
          <w:color w:val="auto"/>
          <w:sz w:val="24"/>
          <w:szCs w:val="24"/>
        </w:rPr>
        <w:t>、政府采购法规、文件中另有规定的，按照相关规定执行。</w:t>
      </w:r>
    </w:p>
    <w:p>
      <w:pPr>
        <w:spacing w:line="360" w:lineRule="auto"/>
        <w:jc w:val="center"/>
        <w:outlineLvl w:val="1"/>
        <w:rPr>
          <w:rFonts w:ascii="宋体"/>
          <w:b/>
          <w:bCs/>
          <w:color w:val="auto"/>
          <w:sz w:val="32"/>
          <w:szCs w:val="32"/>
        </w:rPr>
      </w:pPr>
      <w:bookmarkStart w:id="43" w:name="_Toc351898263"/>
      <w:bookmarkStart w:id="44" w:name="_Toc394001380"/>
      <w:r>
        <w:rPr>
          <w:rFonts w:hint="eastAsia" w:ascii="宋体" w:hAnsi="宋体" w:cs="宋体"/>
          <w:b/>
          <w:bCs/>
          <w:color w:val="auto"/>
          <w:sz w:val="32"/>
          <w:szCs w:val="32"/>
        </w:rPr>
        <w:t>八、合同签订及其他</w:t>
      </w:r>
      <w:bookmarkEnd w:id="43"/>
      <w:bookmarkEnd w:id="44"/>
    </w:p>
    <w:p>
      <w:pPr>
        <w:adjustRightInd w:val="0"/>
        <w:snapToGrid w:val="0"/>
        <w:spacing w:line="360" w:lineRule="auto"/>
        <w:ind w:firstLine="482" w:firstLineChars="200"/>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kern w:val="0"/>
          <w:sz w:val="24"/>
          <w:szCs w:val="24"/>
          <w:lang w:val="zh-CN"/>
        </w:rPr>
        <w:t>、</w:t>
      </w:r>
      <w:r>
        <w:rPr>
          <w:rFonts w:hint="eastAsia" w:ascii="宋体" w:hAnsi="宋体" w:cs="宋体"/>
          <w:b/>
          <w:bCs/>
          <w:color w:val="auto"/>
          <w:sz w:val="24"/>
          <w:szCs w:val="24"/>
        </w:rPr>
        <w:t>中标通知书</w:t>
      </w:r>
    </w:p>
    <w:p>
      <w:pPr>
        <w:pStyle w:val="27"/>
        <w:adjustRightInd w:val="0"/>
        <w:snapToGrid w:val="0"/>
        <w:spacing w:before="0"/>
        <w:ind w:firstLine="31680"/>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）确定中标人后，招标代理机构将在发布招标公告的网站上公布评标结果。</w:t>
      </w:r>
    </w:p>
    <w:p>
      <w:pPr>
        <w:pStyle w:val="27"/>
        <w:adjustRightInd w:val="0"/>
        <w:snapToGrid w:val="0"/>
        <w:spacing w:before="0"/>
        <w:ind w:firstLine="31680"/>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）投标人全部接受合同条件并签订合同后，中标通知书亦成为合同的组成部分。</w:t>
      </w:r>
    </w:p>
    <w:p>
      <w:pPr>
        <w:pStyle w:val="27"/>
        <w:tabs>
          <w:tab w:val="left" w:pos="0"/>
        </w:tabs>
        <w:spacing w:before="0"/>
        <w:ind w:firstLine="31680"/>
        <w:rPr>
          <w:rFonts w:asci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如中标人拒绝承担中标的项目，或提出招标人不能接受的条件，致使合同无法签订，招标人将取消其中标资格，并根据评审小组推荐的中标候选人先后顺序，将下一顺序的中标候选人作为预中标人进行公示，或由招标人组织评审小组复议后提出重新组织招标等建议。</w:t>
      </w:r>
    </w:p>
    <w:p>
      <w:pPr>
        <w:pStyle w:val="8"/>
        <w:spacing w:line="360" w:lineRule="auto"/>
        <w:ind w:firstLine="540"/>
        <w:rPr>
          <w:rFonts w:hAnsi="宋体" w:cs="Calibri"/>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）如签订合同并生效后，中标人无故拒绝或延期，除按照合同条款处罚外，列入不良行为记录一次，并给予通报。</w:t>
      </w:r>
    </w:p>
    <w:p>
      <w:pPr>
        <w:pStyle w:val="27"/>
        <w:spacing w:before="0"/>
        <w:ind w:firstLine="241" w:firstLineChars="100"/>
        <w:rPr>
          <w:rFonts w:ascii="宋体"/>
          <w:b/>
          <w:bCs/>
          <w:color w:val="auto"/>
        </w:rPr>
      </w:pPr>
      <w:r>
        <w:rPr>
          <w:rFonts w:ascii="宋体" w:hAnsi="宋体" w:cs="宋体"/>
          <w:b/>
          <w:bCs/>
          <w:color w:val="auto"/>
        </w:rPr>
        <w:t>2</w:t>
      </w:r>
      <w:r>
        <w:rPr>
          <w:rFonts w:hint="eastAsia" w:ascii="宋体" w:hAnsi="宋体" w:cs="宋体"/>
          <w:b/>
          <w:bCs/>
          <w:color w:val="auto"/>
        </w:rPr>
        <w:t>、合同的签订</w:t>
      </w:r>
    </w:p>
    <w:p>
      <w:pPr>
        <w:pStyle w:val="27"/>
        <w:spacing w:before="0"/>
        <w:ind w:firstLine="31680"/>
        <w:rPr>
          <w:rFonts w:ascii="宋体"/>
          <w:color w:val="auto"/>
        </w:rPr>
      </w:pPr>
      <w:r>
        <w:rPr>
          <w:rFonts w:hint="eastAsia" w:ascii="宋体" w:hAnsi="宋体" w:cs="宋体"/>
          <w:color w:val="auto"/>
        </w:rPr>
        <w:t>中标人按规定的时间、地点，由法定代表人或授权代表与招标人签订合同。</w:t>
      </w:r>
    </w:p>
    <w:p>
      <w:pPr>
        <w:pStyle w:val="8"/>
        <w:spacing w:line="360" w:lineRule="auto"/>
        <w:ind w:left="239" w:leftChars="114"/>
        <w:outlineLvl w:val="1"/>
        <w:rPr>
          <w:rFonts w:hAnsi="宋体" w:cs="Calibri"/>
          <w:b/>
          <w:bCs/>
          <w:color w:val="auto"/>
          <w:sz w:val="24"/>
          <w:szCs w:val="24"/>
        </w:rPr>
      </w:pPr>
      <w:r>
        <w:rPr>
          <w:rFonts w:hAnsi="宋体"/>
          <w:b/>
          <w:bCs/>
          <w:color w:val="auto"/>
          <w:kern w:val="2"/>
          <w:sz w:val="24"/>
          <w:szCs w:val="24"/>
        </w:rPr>
        <w:t>3</w:t>
      </w:r>
      <w:r>
        <w:rPr>
          <w:rFonts w:hint="eastAsia" w:hAnsi="宋体"/>
          <w:b/>
          <w:bCs/>
          <w:color w:val="auto"/>
          <w:kern w:val="2"/>
          <w:sz w:val="24"/>
          <w:szCs w:val="24"/>
        </w:rPr>
        <w:t>、中标人不得转包、分包或变更工作内容。</w:t>
      </w:r>
      <w:r>
        <w:rPr>
          <w:rFonts w:hAnsi="宋体" w:cs="Calibri"/>
          <w:b/>
          <w:bCs/>
          <w:color w:val="auto"/>
          <w:kern w:val="2"/>
          <w:sz w:val="24"/>
          <w:szCs w:val="24"/>
        </w:rPr>
        <w:br w:type="textWrapping"/>
      </w:r>
      <w:r>
        <w:rPr>
          <w:rFonts w:hAnsi="宋体"/>
          <w:b/>
          <w:bCs/>
          <w:color w:val="auto"/>
          <w:sz w:val="24"/>
          <w:szCs w:val="24"/>
        </w:rPr>
        <w:t>4</w:t>
      </w:r>
      <w:r>
        <w:rPr>
          <w:rFonts w:hint="eastAsia" w:hAnsi="宋体"/>
          <w:b/>
          <w:bCs/>
          <w:color w:val="auto"/>
          <w:sz w:val="24"/>
          <w:szCs w:val="24"/>
          <w:lang w:val="zh-CN"/>
        </w:rPr>
        <w:t>、</w:t>
      </w:r>
      <w:r>
        <w:rPr>
          <w:rFonts w:hint="eastAsia" w:hAnsi="宋体"/>
          <w:b/>
          <w:bCs/>
          <w:color w:val="auto"/>
          <w:kern w:val="2"/>
          <w:sz w:val="24"/>
          <w:szCs w:val="24"/>
        </w:rPr>
        <w:t>履约保证金和</w:t>
      </w:r>
      <w:r>
        <w:rPr>
          <w:rFonts w:hint="eastAsia" w:hAnsi="宋体"/>
          <w:b/>
          <w:bCs/>
          <w:color w:val="auto"/>
          <w:kern w:val="2"/>
          <w:sz w:val="24"/>
          <w:szCs w:val="24"/>
          <w:lang w:val="zh-CN"/>
        </w:rPr>
        <w:t>付款方式</w:t>
      </w:r>
      <w:r>
        <w:rPr>
          <w:rFonts w:hAnsi="宋体" w:cs="Calibri"/>
          <w:b/>
          <w:bCs/>
          <w:color w:val="auto"/>
          <w:lang w:val="zh-CN"/>
        </w:rPr>
        <w:br w:type="textWrapping"/>
      </w:r>
      <w:r>
        <w:rPr>
          <w:rFonts w:hAnsi="宋体"/>
          <w:color w:val="auto"/>
          <w:kern w:val="2"/>
          <w:sz w:val="24"/>
          <w:szCs w:val="24"/>
        </w:rPr>
        <w:t xml:space="preserve">   </w:t>
      </w:r>
      <w:r>
        <w:rPr>
          <w:rFonts w:hint="eastAsia" w:hAnsi="宋体"/>
          <w:color w:val="auto"/>
          <w:kern w:val="2"/>
          <w:sz w:val="24"/>
          <w:szCs w:val="24"/>
        </w:rPr>
        <w:t>详见第四部分合同主要条款</w:t>
      </w:r>
    </w:p>
    <w:p>
      <w:pPr>
        <w:pStyle w:val="8"/>
        <w:adjustRightInd w:val="0"/>
        <w:snapToGrid w:val="0"/>
        <w:spacing w:line="360" w:lineRule="auto"/>
        <w:ind w:firstLine="241" w:firstLineChars="100"/>
        <w:rPr>
          <w:rFonts w:hAnsi="宋体" w:cs="Calibri"/>
          <w:b/>
          <w:bCs/>
          <w:color w:val="auto"/>
          <w:sz w:val="24"/>
          <w:szCs w:val="24"/>
        </w:rPr>
      </w:pPr>
      <w:r>
        <w:rPr>
          <w:rFonts w:hAnsi="宋体"/>
          <w:b/>
          <w:bCs/>
          <w:color w:val="auto"/>
          <w:sz w:val="24"/>
          <w:szCs w:val="24"/>
        </w:rPr>
        <w:t>5</w:t>
      </w:r>
      <w:r>
        <w:rPr>
          <w:rFonts w:hint="eastAsia" w:hAnsi="宋体"/>
          <w:b/>
          <w:bCs/>
          <w:color w:val="auto"/>
          <w:sz w:val="24"/>
          <w:szCs w:val="24"/>
          <w:lang w:val="zh-CN"/>
        </w:rPr>
        <w:t>、</w:t>
      </w:r>
      <w:r>
        <w:rPr>
          <w:rFonts w:hint="eastAsia" w:hAnsi="宋体"/>
          <w:b/>
          <w:bCs/>
          <w:color w:val="auto"/>
          <w:sz w:val="24"/>
          <w:szCs w:val="24"/>
        </w:rPr>
        <w:t>售后服务考核</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rPr>
        <w:t>政府招标监管部门</w:t>
      </w:r>
      <w:r>
        <w:rPr>
          <w:rFonts w:hint="eastAsia" w:ascii="宋体" w:hAnsi="宋体" w:cs="宋体"/>
          <w:color w:val="auto"/>
          <w:kern w:val="0"/>
          <w:sz w:val="24"/>
          <w:szCs w:val="24"/>
          <w:lang w:val="zh-CN"/>
        </w:rPr>
        <w:t>将按照《政府招标货物和服务招标投标管理办法》（财政部第</w:t>
      </w:r>
      <w:r>
        <w:rPr>
          <w:rFonts w:ascii="宋体" w:hAnsi="宋体" w:cs="宋体"/>
          <w:color w:val="auto"/>
          <w:kern w:val="0"/>
          <w:sz w:val="24"/>
          <w:szCs w:val="24"/>
        </w:rPr>
        <w:t>87</w:t>
      </w:r>
      <w:r>
        <w:rPr>
          <w:rFonts w:hint="eastAsia" w:ascii="宋体" w:hAnsi="宋体" w:cs="宋体"/>
          <w:color w:val="auto"/>
          <w:kern w:val="0"/>
          <w:sz w:val="24"/>
          <w:szCs w:val="24"/>
        </w:rPr>
        <w:t>号</w:t>
      </w:r>
      <w:r>
        <w:rPr>
          <w:rFonts w:hint="eastAsia" w:ascii="宋体" w:hAnsi="宋体" w:cs="宋体"/>
          <w:color w:val="auto"/>
          <w:kern w:val="0"/>
          <w:sz w:val="24"/>
          <w:szCs w:val="24"/>
          <w:lang w:val="zh-CN"/>
        </w:rPr>
        <w:t>部长令）和《杭州市政府招标供应商合同履行和售后服务考核暂行办法》（杭政采办</w:t>
      </w:r>
      <w:r>
        <w:rPr>
          <w:rFonts w:ascii="宋体" w:hAnsi="宋体" w:cs="宋体"/>
          <w:color w:val="auto"/>
          <w:kern w:val="0"/>
          <w:sz w:val="24"/>
          <w:szCs w:val="24"/>
          <w:lang w:val="zh-CN"/>
        </w:rPr>
        <w:t>[2004]4</w:t>
      </w:r>
      <w:r>
        <w:rPr>
          <w:rFonts w:hint="eastAsia" w:ascii="宋体" w:hAnsi="宋体" w:cs="宋体"/>
          <w:color w:val="auto"/>
          <w:kern w:val="0"/>
          <w:sz w:val="24"/>
          <w:szCs w:val="24"/>
          <w:lang w:val="zh-CN"/>
        </w:rPr>
        <w:t>号），对供应商进行合同的履约等方面的考核，发现弄虚作假，偷工减料，以次充好，达不到国家、行业有关标准和技术文件规定的，一经查实终止合同，并提请有关监督管理部门给予相应处罚。</w:t>
      </w:r>
    </w:p>
    <w:p>
      <w:pPr>
        <w:pStyle w:val="8"/>
        <w:adjustRightInd w:val="0"/>
        <w:snapToGrid w:val="0"/>
        <w:spacing w:line="360" w:lineRule="auto"/>
        <w:ind w:firstLine="241" w:firstLineChars="100"/>
        <w:rPr>
          <w:rFonts w:hAnsi="宋体" w:cs="Calibri"/>
          <w:b/>
          <w:bCs/>
          <w:color w:val="auto"/>
          <w:sz w:val="24"/>
          <w:szCs w:val="24"/>
        </w:rPr>
      </w:pPr>
      <w:r>
        <w:rPr>
          <w:rFonts w:hAnsi="宋体"/>
          <w:b/>
          <w:bCs/>
          <w:color w:val="auto"/>
          <w:sz w:val="24"/>
          <w:szCs w:val="24"/>
        </w:rPr>
        <w:t>6</w:t>
      </w:r>
      <w:r>
        <w:rPr>
          <w:rFonts w:hint="eastAsia" w:hAnsi="宋体"/>
          <w:b/>
          <w:bCs/>
          <w:color w:val="auto"/>
          <w:sz w:val="24"/>
          <w:szCs w:val="24"/>
          <w:lang w:val="zh-CN"/>
        </w:rPr>
        <w:t>、</w:t>
      </w:r>
      <w:r>
        <w:rPr>
          <w:rFonts w:hint="eastAsia" w:hAnsi="宋体"/>
          <w:b/>
          <w:bCs/>
          <w:color w:val="auto"/>
          <w:sz w:val="24"/>
          <w:szCs w:val="24"/>
        </w:rPr>
        <w:t>招标方式改变</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在符合资格的投标人不足规定数量或投标人提供的货物及其报价、售后服务承诺等不能满足招标人要求，以及招标过程中出现其他不正常情况时，经批准，招标代理机构将根据《政府招标货物和服务招标投标管理办法》</w:t>
      </w:r>
      <w:r>
        <w:rPr>
          <w:rFonts w:ascii="宋体" w:hAnsi="宋体" w:cs="宋体"/>
          <w:color w:val="auto"/>
          <w:kern w:val="0"/>
          <w:sz w:val="24"/>
          <w:szCs w:val="24"/>
          <w:lang w:val="zh-CN"/>
        </w:rPr>
        <w:t>(</w:t>
      </w:r>
      <w:r>
        <w:rPr>
          <w:rFonts w:hint="eastAsia" w:ascii="宋体" w:hAnsi="宋体" w:cs="宋体"/>
          <w:color w:val="auto"/>
          <w:kern w:val="0"/>
          <w:sz w:val="24"/>
          <w:szCs w:val="24"/>
          <w:lang w:val="zh-CN"/>
        </w:rPr>
        <w:t>财政部第</w:t>
      </w:r>
      <w:r>
        <w:rPr>
          <w:rFonts w:ascii="宋体" w:hAnsi="宋体" w:cs="宋体"/>
          <w:color w:val="auto"/>
          <w:kern w:val="0"/>
          <w:sz w:val="24"/>
          <w:szCs w:val="24"/>
        </w:rPr>
        <w:t>87</w:t>
      </w:r>
      <w:r>
        <w:rPr>
          <w:rFonts w:hint="eastAsia" w:ascii="宋体" w:hAnsi="宋体" w:cs="宋体"/>
          <w:color w:val="auto"/>
          <w:kern w:val="0"/>
          <w:sz w:val="24"/>
          <w:szCs w:val="24"/>
          <w:lang w:val="zh-CN"/>
        </w:rPr>
        <w:t>号令</w:t>
      </w:r>
      <w:r>
        <w:rPr>
          <w:rFonts w:ascii="宋体" w:hAnsi="宋体" w:cs="宋体"/>
          <w:color w:val="auto"/>
          <w:kern w:val="0"/>
          <w:sz w:val="24"/>
          <w:szCs w:val="24"/>
          <w:lang w:val="zh-CN"/>
        </w:rPr>
        <w:t>)</w:t>
      </w:r>
      <w:r>
        <w:rPr>
          <w:rFonts w:hint="eastAsia" w:ascii="宋体" w:hAnsi="宋体" w:cs="宋体"/>
          <w:color w:val="auto"/>
          <w:kern w:val="0"/>
          <w:sz w:val="24"/>
          <w:szCs w:val="24"/>
          <w:lang w:val="zh-CN"/>
        </w:rPr>
        <w:t>第四十三条之规定，重新选择合适的方式进行招标。</w:t>
      </w:r>
    </w:p>
    <w:p>
      <w:pPr>
        <w:pStyle w:val="8"/>
        <w:adjustRightInd w:val="0"/>
        <w:snapToGrid w:val="0"/>
        <w:spacing w:line="360" w:lineRule="auto"/>
        <w:ind w:firstLine="241" w:firstLineChars="100"/>
        <w:rPr>
          <w:rFonts w:hAnsi="宋体" w:cs="Calibri"/>
          <w:b/>
          <w:bCs/>
          <w:color w:val="auto"/>
          <w:sz w:val="24"/>
          <w:szCs w:val="24"/>
        </w:rPr>
      </w:pPr>
      <w:r>
        <w:rPr>
          <w:rFonts w:hAnsi="宋体"/>
          <w:b/>
          <w:bCs/>
          <w:color w:val="auto"/>
          <w:sz w:val="24"/>
          <w:szCs w:val="24"/>
        </w:rPr>
        <w:t>7</w:t>
      </w:r>
      <w:r>
        <w:rPr>
          <w:rFonts w:hint="eastAsia" w:hAnsi="宋体"/>
          <w:b/>
          <w:bCs/>
          <w:color w:val="auto"/>
          <w:sz w:val="24"/>
          <w:szCs w:val="24"/>
        </w:rPr>
        <w:t>、质疑与投诉</w:t>
      </w:r>
    </w:p>
    <w:p>
      <w:pPr>
        <w:adjustRightInd w:val="0"/>
        <w:snapToGrid w:val="0"/>
        <w:spacing w:line="360" w:lineRule="auto"/>
        <w:ind w:firstLine="482"/>
        <w:rPr>
          <w:rFonts w:ascii="宋体"/>
          <w:color w:val="auto"/>
          <w:kern w:val="0"/>
          <w:sz w:val="24"/>
          <w:szCs w:val="24"/>
          <w:lang w:val="zh-CN"/>
        </w:rPr>
      </w:pPr>
      <w:r>
        <w:rPr>
          <w:rFonts w:ascii="宋体" w:hAnsi="宋体" w:cs="宋体"/>
          <w:color w:val="auto"/>
          <w:kern w:val="0"/>
          <w:sz w:val="24"/>
          <w:szCs w:val="24"/>
        </w:rPr>
        <w:t>7</w:t>
      </w:r>
      <w:r>
        <w:rPr>
          <w:rFonts w:ascii="宋体" w:hAnsi="宋体" w:cs="宋体"/>
          <w:color w:val="auto"/>
          <w:kern w:val="0"/>
          <w:sz w:val="24"/>
          <w:szCs w:val="24"/>
          <w:lang w:val="zh-CN"/>
        </w:rPr>
        <w:t>.1</w:t>
      </w:r>
      <w:r>
        <w:rPr>
          <w:rFonts w:hint="eastAsia" w:ascii="宋体" w:hAnsi="宋体" w:cs="宋体"/>
          <w:color w:val="auto"/>
          <w:kern w:val="0"/>
          <w:sz w:val="24"/>
          <w:szCs w:val="24"/>
          <w:lang w:val="zh-CN"/>
        </w:rPr>
        <w:t>投标人认为招标文件、招标过程和中标、中标结果使自己的权益受到损害的，可以在知道或者应知其权益受到损害之日起</w:t>
      </w:r>
      <w:r>
        <w:rPr>
          <w:rFonts w:ascii="宋体" w:hAnsi="宋体" w:cs="宋体"/>
          <w:color w:val="auto"/>
          <w:kern w:val="0"/>
          <w:sz w:val="24"/>
          <w:szCs w:val="24"/>
          <w:lang w:val="zh-CN"/>
        </w:rPr>
        <w:t>7</w:t>
      </w:r>
      <w:r>
        <w:rPr>
          <w:rFonts w:hint="eastAsia" w:ascii="宋体" w:hAnsi="宋体" w:cs="宋体"/>
          <w:color w:val="auto"/>
          <w:kern w:val="0"/>
          <w:sz w:val="24"/>
          <w:szCs w:val="24"/>
          <w:lang w:val="zh-CN"/>
        </w:rPr>
        <w:t>个工作日内，以书面形式向招标人、招标代理机构提出质疑。</w:t>
      </w:r>
    </w:p>
    <w:p>
      <w:pPr>
        <w:adjustRightInd w:val="0"/>
        <w:snapToGrid w:val="0"/>
        <w:spacing w:line="360" w:lineRule="auto"/>
        <w:ind w:firstLine="480" w:firstLineChars="200"/>
        <w:rPr>
          <w:rFonts w:ascii="宋体"/>
          <w:color w:val="auto"/>
          <w:kern w:val="0"/>
          <w:sz w:val="24"/>
          <w:szCs w:val="24"/>
          <w:lang w:val="zh-CN"/>
        </w:rPr>
      </w:pPr>
      <w:r>
        <w:rPr>
          <w:rFonts w:hint="eastAsia" w:ascii="宋体" w:hAnsi="宋体" w:cs="宋体"/>
          <w:color w:val="auto"/>
          <w:kern w:val="0"/>
          <w:sz w:val="24"/>
          <w:szCs w:val="24"/>
          <w:lang w:val="zh-CN"/>
        </w:rPr>
        <w:t>（</w:t>
      </w:r>
      <w:r>
        <w:rPr>
          <w:rFonts w:ascii="宋体" w:hAnsi="宋体" w:cs="宋体"/>
          <w:color w:val="auto"/>
          <w:kern w:val="0"/>
          <w:sz w:val="24"/>
          <w:szCs w:val="24"/>
          <w:lang w:val="zh-CN"/>
        </w:rPr>
        <w:t>1</w:t>
      </w:r>
      <w:r>
        <w:rPr>
          <w:rFonts w:hint="eastAsia" w:ascii="宋体" w:hAnsi="宋体" w:cs="宋体"/>
          <w:color w:val="auto"/>
          <w:kern w:val="0"/>
          <w:sz w:val="24"/>
          <w:szCs w:val="24"/>
          <w:lang w:val="zh-CN"/>
        </w:rPr>
        <w:t>）对可以质疑的招标文件提出质疑的，为收到招标文件之日或者招标文件公告期限届满之日；</w:t>
      </w:r>
      <w:r>
        <w:rPr>
          <w:rFonts w:ascii="宋体" w:hAnsi="宋体" w:cs="宋体"/>
          <w:color w:val="auto"/>
          <w:kern w:val="0"/>
          <w:sz w:val="24"/>
          <w:szCs w:val="24"/>
          <w:lang w:val="zh-CN"/>
        </w:rPr>
        <w:t>(</w:t>
      </w:r>
      <w:r>
        <w:rPr>
          <w:rFonts w:hint="eastAsia" w:ascii="宋体" w:hAnsi="宋体" w:cs="宋体"/>
          <w:color w:val="auto"/>
          <w:kern w:val="0"/>
          <w:sz w:val="24"/>
          <w:szCs w:val="24"/>
          <w:lang w:val="zh-CN"/>
        </w:rPr>
        <w:t>对招标文件提出质疑的，质疑期限自供应商获得招标文件之日起计算</w:t>
      </w:r>
      <w:r>
        <w:rPr>
          <w:rFonts w:ascii="宋体" w:cs="宋体"/>
          <w:color w:val="auto"/>
          <w:kern w:val="0"/>
          <w:sz w:val="24"/>
          <w:szCs w:val="24"/>
          <w:lang w:val="zh-CN"/>
        </w:rPr>
        <w:t>,</w:t>
      </w:r>
      <w:r>
        <w:rPr>
          <w:rFonts w:hint="eastAsia" w:ascii="宋体" w:hAnsi="宋体" w:cs="宋体"/>
          <w:color w:val="auto"/>
          <w:kern w:val="0"/>
          <w:sz w:val="24"/>
          <w:szCs w:val="24"/>
          <w:lang w:val="zh-CN"/>
        </w:rPr>
        <w:t>但招标文件在发售或报名截止日后获得的，应当自截止之日起计算）</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w:t>
      </w:r>
      <w:r>
        <w:rPr>
          <w:rFonts w:ascii="宋体" w:hAnsi="宋体" w:cs="宋体"/>
          <w:color w:val="auto"/>
          <w:kern w:val="0"/>
          <w:sz w:val="24"/>
          <w:szCs w:val="24"/>
          <w:lang w:val="zh-CN"/>
        </w:rPr>
        <w:t>2</w:t>
      </w:r>
      <w:r>
        <w:rPr>
          <w:rFonts w:hint="eastAsia" w:ascii="宋体" w:hAnsi="宋体" w:cs="宋体"/>
          <w:color w:val="auto"/>
          <w:kern w:val="0"/>
          <w:sz w:val="24"/>
          <w:szCs w:val="24"/>
          <w:lang w:val="zh-CN"/>
        </w:rPr>
        <w:t>）对采购过程提出质疑的，为各采购程序环节结束之日；</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w:t>
      </w:r>
      <w:r>
        <w:rPr>
          <w:rFonts w:ascii="宋体" w:hAnsi="宋体" w:cs="宋体"/>
          <w:color w:val="auto"/>
          <w:kern w:val="0"/>
          <w:sz w:val="24"/>
          <w:szCs w:val="24"/>
          <w:lang w:val="zh-CN"/>
        </w:rPr>
        <w:t>3</w:t>
      </w:r>
      <w:r>
        <w:rPr>
          <w:rFonts w:hint="eastAsia" w:ascii="宋体" w:hAnsi="宋体" w:cs="宋体"/>
          <w:color w:val="auto"/>
          <w:kern w:val="0"/>
          <w:sz w:val="24"/>
          <w:szCs w:val="24"/>
          <w:lang w:val="zh-CN"/>
        </w:rPr>
        <w:t>）对成交结果提出质疑的，为成交结果公告期限届满之日。</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w:t>
      </w:r>
      <w:r>
        <w:rPr>
          <w:rFonts w:ascii="宋体" w:hAnsi="宋体" w:cs="宋体"/>
          <w:color w:val="auto"/>
          <w:kern w:val="0"/>
          <w:sz w:val="24"/>
          <w:szCs w:val="24"/>
          <w:lang w:val="zh-CN"/>
        </w:rPr>
        <w:t>4</w:t>
      </w:r>
      <w:r>
        <w:rPr>
          <w:rFonts w:hint="eastAsia" w:ascii="宋体" w:hAnsi="宋体" w:cs="宋体"/>
          <w:color w:val="auto"/>
          <w:kern w:val="0"/>
          <w:sz w:val="24"/>
          <w:szCs w:val="24"/>
          <w:lang w:val="zh-CN"/>
        </w:rPr>
        <w:t>）投标人提出质疑应当提交质疑函和必要的证明材料一式三份。质疑函应当包括下列内容：</w:t>
      </w:r>
    </w:p>
    <w:p>
      <w:pPr>
        <w:adjustRightInd w:val="0"/>
        <w:snapToGrid w:val="0"/>
        <w:spacing w:line="360" w:lineRule="auto"/>
        <w:ind w:firstLine="789" w:firstLineChars="329"/>
        <w:rPr>
          <w:rFonts w:ascii="宋体"/>
          <w:color w:val="auto"/>
          <w:kern w:val="0"/>
          <w:sz w:val="24"/>
          <w:szCs w:val="24"/>
          <w:lang w:val="zh-CN"/>
        </w:rPr>
      </w:pPr>
      <w:r>
        <w:rPr>
          <w:rFonts w:hint="eastAsia" w:ascii="宋体" w:hAnsi="宋体" w:cs="宋体"/>
          <w:color w:val="auto"/>
          <w:kern w:val="0"/>
          <w:sz w:val="24"/>
          <w:szCs w:val="24"/>
          <w:lang w:val="zh-CN"/>
        </w:rPr>
        <w:t>①投标人的姓名或者名称、地址、邮编、联系人及联系电话；</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　②质疑项目的名称、编号；</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　③具体、明确的质疑事项和与质疑事项相关的请求；</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　④事实依据；</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　⑤必要的法律依据；</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　⑥提出质疑的日期。</w:t>
      </w:r>
    </w:p>
    <w:p>
      <w:pPr>
        <w:adjustRightInd w:val="0"/>
        <w:snapToGrid w:val="0"/>
        <w:spacing w:line="360" w:lineRule="auto"/>
        <w:ind w:firstLine="482"/>
        <w:rPr>
          <w:rFonts w:ascii="宋体"/>
          <w:color w:val="auto"/>
          <w:kern w:val="0"/>
          <w:sz w:val="24"/>
          <w:szCs w:val="24"/>
          <w:lang w:val="zh-CN"/>
        </w:rPr>
      </w:pPr>
      <w:r>
        <w:rPr>
          <w:rFonts w:hint="eastAsia" w:ascii="宋体" w:hAnsi="宋体" w:cs="宋体"/>
          <w:color w:val="auto"/>
          <w:kern w:val="0"/>
          <w:sz w:val="24"/>
          <w:szCs w:val="24"/>
          <w:lang w:val="zh-CN"/>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82"/>
        <w:rPr>
          <w:rFonts w:ascii="宋体"/>
          <w:color w:val="auto"/>
          <w:kern w:val="0"/>
          <w:sz w:val="24"/>
          <w:szCs w:val="24"/>
          <w:lang w:val="zh-CN"/>
        </w:rPr>
      </w:pPr>
      <w:r>
        <w:rPr>
          <w:rFonts w:ascii="宋体" w:hAnsi="宋体" w:cs="宋体"/>
          <w:color w:val="auto"/>
          <w:kern w:val="0"/>
          <w:sz w:val="24"/>
          <w:szCs w:val="24"/>
        </w:rPr>
        <w:t>7</w:t>
      </w:r>
      <w:r>
        <w:rPr>
          <w:rFonts w:ascii="宋体" w:hAnsi="宋体" w:cs="宋体"/>
          <w:color w:val="auto"/>
          <w:kern w:val="0"/>
          <w:sz w:val="24"/>
          <w:szCs w:val="24"/>
          <w:lang w:val="zh-CN"/>
        </w:rPr>
        <w:t>.2 </w:t>
      </w:r>
      <w:r>
        <w:rPr>
          <w:rFonts w:hint="eastAsia" w:ascii="宋体" w:hAnsi="宋体" w:cs="宋体"/>
          <w:color w:val="auto"/>
          <w:kern w:val="0"/>
          <w:sz w:val="24"/>
          <w:szCs w:val="24"/>
          <w:lang w:val="zh-CN"/>
        </w:rPr>
        <w:t>招标人或者招标代理机构应当在</w:t>
      </w:r>
      <w:r>
        <w:rPr>
          <w:rFonts w:ascii="宋体" w:hAnsi="宋体" w:cs="宋体"/>
          <w:color w:val="auto"/>
          <w:kern w:val="0"/>
          <w:sz w:val="24"/>
          <w:szCs w:val="24"/>
          <w:lang w:val="zh-CN"/>
        </w:rPr>
        <w:t>7</w:t>
      </w:r>
      <w:r>
        <w:rPr>
          <w:rFonts w:hint="eastAsia" w:ascii="宋体" w:hAnsi="宋体" w:cs="宋体"/>
          <w:color w:val="auto"/>
          <w:kern w:val="0"/>
          <w:sz w:val="24"/>
          <w:szCs w:val="24"/>
          <w:lang w:val="zh-CN"/>
        </w:rPr>
        <w:t>个工作日内对投标人依法提出的询问作出答复。投标人提出的询问或者质疑超出招标人对招标代理机构委托授权范围的，招标代理机构应当告知投标人向招标人提出。政府采购评审专家应当配合招标人或者招标代理机构答复投标人的询问和质疑。</w:t>
      </w:r>
    </w:p>
    <w:p>
      <w:pPr>
        <w:adjustRightInd w:val="0"/>
        <w:snapToGrid w:val="0"/>
        <w:spacing w:line="360" w:lineRule="auto"/>
        <w:ind w:firstLine="482"/>
        <w:rPr>
          <w:rFonts w:ascii="宋体"/>
          <w:b/>
          <w:bCs/>
          <w:color w:val="auto"/>
          <w:sz w:val="24"/>
          <w:szCs w:val="24"/>
          <w:lang w:val="zh-CN"/>
        </w:rPr>
      </w:pPr>
      <w:r>
        <w:rPr>
          <w:rFonts w:ascii="宋体" w:hAnsi="宋体" w:cs="宋体"/>
          <w:color w:val="auto"/>
          <w:kern w:val="0"/>
          <w:sz w:val="24"/>
          <w:szCs w:val="24"/>
        </w:rPr>
        <w:t>7</w:t>
      </w:r>
      <w:r>
        <w:rPr>
          <w:rFonts w:ascii="宋体" w:hAnsi="宋体" w:cs="宋体"/>
          <w:color w:val="auto"/>
          <w:kern w:val="0"/>
          <w:sz w:val="24"/>
          <w:szCs w:val="24"/>
          <w:lang w:val="zh-CN"/>
        </w:rPr>
        <w:t>.3</w:t>
      </w:r>
      <w:r>
        <w:rPr>
          <w:rFonts w:hint="eastAsia" w:ascii="宋体" w:hAnsi="宋体" w:cs="宋体"/>
          <w:color w:val="auto"/>
          <w:kern w:val="0"/>
          <w:sz w:val="24"/>
          <w:szCs w:val="24"/>
          <w:lang w:val="zh-CN"/>
        </w:rPr>
        <w:t>质疑投标人对招标人、招标代理机构的答复不满意或者招标人、招标代理机构未在规定时间内作出答复的，可以在答复期满后</w:t>
      </w:r>
      <w:r>
        <w:rPr>
          <w:rFonts w:ascii="宋体" w:hAnsi="宋体" w:cs="宋体"/>
          <w:color w:val="auto"/>
          <w:kern w:val="0"/>
          <w:sz w:val="24"/>
          <w:szCs w:val="24"/>
          <w:lang w:val="zh-CN"/>
        </w:rPr>
        <w:t>15</w:t>
      </w:r>
      <w:r>
        <w:rPr>
          <w:rFonts w:hint="eastAsia" w:ascii="宋体" w:hAnsi="宋体" w:cs="宋体"/>
          <w:color w:val="auto"/>
          <w:kern w:val="0"/>
          <w:sz w:val="24"/>
          <w:szCs w:val="24"/>
          <w:lang w:val="zh-CN"/>
        </w:rPr>
        <w:t>个工作日内向同级政府采购监管部门投诉。</w:t>
      </w:r>
      <w:r>
        <w:rPr>
          <w:rFonts w:ascii="宋体"/>
          <w:color w:val="auto"/>
          <w:kern w:val="0"/>
          <w:lang w:val="zh-CN"/>
        </w:rPr>
        <w:br w:type="textWrapping"/>
      </w:r>
      <w:r>
        <w:rPr>
          <w:rFonts w:ascii="宋体" w:hAnsi="宋体" w:cs="宋体"/>
          <w:color w:val="auto"/>
          <w:kern w:val="0"/>
        </w:rPr>
        <w:t xml:space="preserve"> </w:t>
      </w:r>
      <w:r>
        <w:rPr>
          <w:rFonts w:ascii="宋体" w:hAnsi="宋体" w:cs="宋体"/>
          <w:b/>
          <w:bCs/>
          <w:color w:val="auto"/>
          <w:sz w:val="24"/>
          <w:szCs w:val="24"/>
        </w:rPr>
        <w:t>8</w:t>
      </w:r>
      <w:r>
        <w:rPr>
          <w:rFonts w:ascii="宋体" w:cs="宋体"/>
          <w:b/>
          <w:bCs/>
          <w:color w:val="auto"/>
          <w:sz w:val="24"/>
          <w:szCs w:val="24"/>
          <w:lang w:val="zh-CN"/>
        </w:rPr>
        <w:t>.</w:t>
      </w:r>
      <w:r>
        <w:rPr>
          <w:rFonts w:hint="eastAsia" w:ascii="宋体" w:hAnsi="宋体" w:cs="宋体"/>
          <w:b/>
          <w:bCs/>
          <w:color w:val="auto"/>
          <w:sz w:val="24"/>
          <w:szCs w:val="24"/>
          <w:lang w:val="zh-CN"/>
        </w:rPr>
        <w:t>验收</w:t>
      </w:r>
    </w:p>
    <w:p>
      <w:pPr>
        <w:adjustRightInd w:val="0"/>
        <w:snapToGrid w:val="0"/>
        <w:spacing w:line="360" w:lineRule="auto"/>
        <w:ind w:firstLine="482"/>
        <w:rPr>
          <w:rFonts w:ascii="宋体"/>
          <w:color w:val="auto"/>
          <w:kern w:val="0"/>
          <w:sz w:val="24"/>
          <w:szCs w:val="24"/>
          <w:lang w:val="zh-CN"/>
        </w:rPr>
      </w:pPr>
      <w:r>
        <w:rPr>
          <w:rFonts w:ascii="宋体" w:hAnsi="宋体" w:cs="宋体"/>
          <w:color w:val="auto"/>
          <w:kern w:val="0"/>
          <w:sz w:val="24"/>
          <w:szCs w:val="24"/>
        </w:rPr>
        <w:t>8</w:t>
      </w:r>
      <w:r>
        <w:rPr>
          <w:rFonts w:ascii="宋体" w:hAnsi="宋体" w:cs="宋体"/>
          <w:color w:val="auto"/>
          <w:kern w:val="0"/>
          <w:sz w:val="24"/>
          <w:szCs w:val="24"/>
          <w:lang w:val="zh-CN"/>
        </w:rPr>
        <w:t>.1</w:t>
      </w:r>
      <w:r>
        <w:rPr>
          <w:rFonts w:hint="eastAsia" w:ascii="宋体" w:hAnsi="宋体" w:cs="宋体"/>
          <w:color w:val="auto"/>
          <w:kern w:val="0"/>
          <w:sz w:val="24"/>
          <w:szCs w:val="24"/>
          <w:lang w:val="zh-CN"/>
        </w:rPr>
        <w:t>招标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spacing w:line="360" w:lineRule="auto"/>
        <w:ind w:firstLine="482"/>
        <w:rPr>
          <w:rFonts w:ascii="宋体"/>
          <w:color w:val="auto"/>
          <w:kern w:val="0"/>
          <w:sz w:val="24"/>
          <w:szCs w:val="24"/>
          <w:lang w:val="zh-CN"/>
        </w:rPr>
      </w:pPr>
      <w:r>
        <w:rPr>
          <w:rFonts w:ascii="宋体" w:hAnsi="宋体" w:cs="宋体"/>
          <w:color w:val="auto"/>
          <w:kern w:val="0"/>
          <w:sz w:val="24"/>
          <w:szCs w:val="24"/>
        </w:rPr>
        <w:t>8</w:t>
      </w:r>
      <w:r>
        <w:rPr>
          <w:rFonts w:ascii="宋体" w:hAnsi="宋体" w:cs="宋体"/>
          <w:color w:val="auto"/>
          <w:kern w:val="0"/>
          <w:sz w:val="24"/>
          <w:szCs w:val="24"/>
          <w:lang w:val="zh-CN"/>
        </w:rPr>
        <w:t>.2</w:t>
      </w:r>
      <w:r>
        <w:rPr>
          <w:rFonts w:hint="eastAsia" w:ascii="宋体" w:hAnsi="宋体" w:cs="宋体"/>
          <w:color w:val="auto"/>
          <w:kern w:val="0"/>
          <w:sz w:val="24"/>
          <w:szCs w:val="24"/>
          <w:lang w:val="zh-CN"/>
        </w:rPr>
        <w:t>招标人可以邀请参加本项目的其他投标人或者第三方机构参与验收。参与验收的投标人或者第三方机构的意见作为验收书的参考资料一并存档。</w:t>
      </w:r>
    </w:p>
    <w:p>
      <w:pPr>
        <w:adjustRightInd w:val="0"/>
        <w:snapToGrid w:val="0"/>
        <w:spacing w:line="360" w:lineRule="auto"/>
        <w:ind w:firstLine="482"/>
        <w:rPr>
          <w:rFonts w:ascii="宋体"/>
          <w:color w:val="auto"/>
          <w:kern w:val="0"/>
          <w:sz w:val="24"/>
          <w:szCs w:val="24"/>
          <w:lang w:val="zh-CN"/>
        </w:rPr>
      </w:pPr>
      <w:r>
        <w:rPr>
          <w:rFonts w:ascii="宋体" w:hAnsi="宋体" w:cs="宋体"/>
          <w:color w:val="auto"/>
          <w:kern w:val="0"/>
          <w:sz w:val="24"/>
          <w:szCs w:val="24"/>
        </w:rPr>
        <w:t>8</w:t>
      </w:r>
      <w:r>
        <w:rPr>
          <w:rFonts w:ascii="宋体" w:hAnsi="宋体" w:cs="宋体"/>
          <w:color w:val="auto"/>
          <w:kern w:val="0"/>
          <w:sz w:val="24"/>
          <w:szCs w:val="24"/>
          <w:lang w:val="zh-CN"/>
        </w:rPr>
        <w:t>.3</w:t>
      </w:r>
      <w:r>
        <w:rPr>
          <w:rFonts w:hint="eastAsia" w:ascii="宋体" w:hAnsi="宋体" w:cs="宋体"/>
          <w:color w:val="auto"/>
          <w:kern w:val="0"/>
          <w:sz w:val="24"/>
          <w:szCs w:val="24"/>
          <w:lang w:val="zh-CN"/>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r>
        <w:rPr>
          <w:rFonts w:ascii="宋体" w:hAnsi="宋体" w:cs="宋体"/>
          <w:color w:val="auto"/>
          <w:kern w:val="0"/>
          <w:sz w:val="24"/>
          <w:szCs w:val="24"/>
          <w:lang w:val="zh-CN"/>
        </w:rPr>
        <w:t xml:space="preserve"> </w:t>
      </w:r>
    </w:p>
    <w:p>
      <w:pPr>
        <w:adjustRightInd w:val="0"/>
        <w:snapToGrid w:val="0"/>
        <w:spacing w:line="360" w:lineRule="auto"/>
        <w:ind w:firstLine="482"/>
        <w:rPr>
          <w:rFonts w:ascii="宋体"/>
          <w:color w:val="auto"/>
          <w:kern w:val="0"/>
          <w:sz w:val="24"/>
          <w:szCs w:val="24"/>
          <w:lang w:val="zh-CN"/>
        </w:rPr>
      </w:pPr>
      <w:r>
        <w:rPr>
          <w:rFonts w:ascii="宋体" w:hAnsi="宋体" w:cs="宋体"/>
          <w:color w:val="auto"/>
          <w:kern w:val="0"/>
          <w:sz w:val="24"/>
          <w:szCs w:val="24"/>
        </w:rPr>
        <w:t>8</w:t>
      </w:r>
      <w:r>
        <w:rPr>
          <w:rFonts w:ascii="宋体" w:hAnsi="宋体" w:cs="宋体"/>
          <w:color w:val="auto"/>
          <w:kern w:val="0"/>
          <w:sz w:val="24"/>
          <w:szCs w:val="24"/>
          <w:lang w:val="zh-CN"/>
        </w:rPr>
        <w:t>.4</w:t>
      </w:r>
      <w:r>
        <w:rPr>
          <w:rFonts w:hint="eastAsia" w:ascii="宋体" w:hAnsi="宋体" w:cs="宋体"/>
          <w:color w:val="auto"/>
          <w:kern w:val="0"/>
          <w:sz w:val="24"/>
          <w:szCs w:val="24"/>
          <w:lang w:val="zh-CN"/>
        </w:rPr>
        <w:t>按照《杭州市政府采购履约验收暂行办法》杭财采监〔</w:t>
      </w:r>
      <w:r>
        <w:rPr>
          <w:rFonts w:ascii="宋体" w:hAnsi="宋体" w:cs="宋体"/>
          <w:color w:val="auto"/>
          <w:kern w:val="0"/>
          <w:sz w:val="24"/>
          <w:szCs w:val="24"/>
          <w:lang w:val="zh-CN"/>
        </w:rPr>
        <w:t>2019</w:t>
      </w:r>
      <w:r>
        <w:rPr>
          <w:rFonts w:hint="eastAsia" w:ascii="宋体" w:hAnsi="宋体" w:cs="宋体"/>
          <w:color w:val="auto"/>
          <w:kern w:val="0"/>
          <w:sz w:val="24"/>
          <w:szCs w:val="24"/>
          <w:lang w:val="zh-CN"/>
        </w:rPr>
        <w:t>〕</w:t>
      </w:r>
      <w:r>
        <w:rPr>
          <w:rFonts w:ascii="宋体" w:hAnsi="宋体" w:cs="宋体"/>
          <w:color w:val="auto"/>
          <w:kern w:val="0"/>
          <w:sz w:val="24"/>
          <w:szCs w:val="24"/>
          <w:lang w:val="zh-CN"/>
        </w:rPr>
        <w:t>10</w:t>
      </w:r>
      <w:r>
        <w:rPr>
          <w:rFonts w:hint="eastAsia" w:ascii="宋体" w:hAnsi="宋体" w:cs="宋体"/>
          <w:color w:val="auto"/>
          <w:kern w:val="0"/>
          <w:sz w:val="24"/>
          <w:szCs w:val="24"/>
          <w:lang w:val="zh-CN"/>
        </w:rPr>
        <w:t>号规定，履约验收产生的费用，属于首次验收过程中产生的，由招标人承担；如不合格，后续验收费用由中标人支付。</w:t>
      </w:r>
    </w:p>
    <w:p>
      <w:pPr>
        <w:adjustRightInd w:val="0"/>
        <w:snapToGrid w:val="0"/>
        <w:spacing w:line="360" w:lineRule="auto"/>
        <w:ind w:firstLine="482"/>
        <w:rPr>
          <w:rFonts w:ascii="宋体"/>
          <w:color w:val="auto"/>
          <w:kern w:val="0"/>
          <w:sz w:val="24"/>
          <w:szCs w:val="24"/>
          <w:lang w:val="zh-CN"/>
        </w:rPr>
      </w:pPr>
      <w:r>
        <w:rPr>
          <w:rFonts w:ascii="宋体" w:hAnsi="宋体" w:cs="宋体"/>
          <w:color w:val="auto"/>
          <w:kern w:val="0"/>
          <w:sz w:val="24"/>
          <w:szCs w:val="24"/>
        </w:rPr>
        <w:t>8</w:t>
      </w:r>
      <w:r>
        <w:rPr>
          <w:rFonts w:ascii="宋体" w:hAnsi="宋体" w:cs="宋体"/>
          <w:color w:val="auto"/>
          <w:kern w:val="0"/>
          <w:sz w:val="24"/>
          <w:szCs w:val="24"/>
          <w:lang w:val="zh-CN"/>
        </w:rPr>
        <w:t>.5</w:t>
      </w:r>
      <w:r>
        <w:rPr>
          <w:rFonts w:hint="eastAsia" w:ascii="宋体" w:hAnsi="宋体" w:cs="宋体"/>
          <w:color w:val="auto"/>
          <w:kern w:val="0"/>
          <w:sz w:val="24"/>
          <w:szCs w:val="24"/>
          <w:lang w:val="zh-CN"/>
        </w:rPr>
        <w:t>验收合格的项目，招标人将根据采购合同的约定及时向供应商支付采购资金、退还履约保证金。验收不合格的项目，招标人将依法及时处理。采购合同的履行、违约责任和解决争议的方式等适用《中华人民共和国合同法》。供应商在履约过程中有政府采购法律法规规定的违法违规情形的，招标人应当及时报告本级财政部门。</w:t>
      </w:r>
    </w:p>
    <w:p>
      <w:pPr>
        <w:adjustRightInd w:val="0"/>
        <w:snapToGrid w:val="0"/>
        <w:spacing w:line="360" w:lineRule="auto"/>
        <w:ind w:firstLine="482"/>
        <w:rPr>
          <w:rFonts w:ascii="宋体"/>
          <w:b/>
          <w:bCs/>
          <w:color w:val="auto"/>
          <w:sz w:val="24"/>
          <w:szCs w:val="24"/>
        </w:rPr>
      </w:pPr>
      <w:r>
        <w:rPr>
          <w:rFonts w:ascii="宋体" w:hAnsi="宋体" w:cs="宋体"/>
          <w:b/>
          <w:bCs/>
          <w:color w:val="auto"/>
          <w:kern w:val="0"/>
          <w:sz w:val="24"/>
          <w:szCs w:val="24"/>
        </w:rPr>
        <w:t>9</w:t>
      </w:r>
      <w:r>
        <w:rPr>
          <w:rFonts w:hint="eastAsia" w:ascii="宋体" w:hAnsi="宋体" w:cs="宋体"/>
          <w:b/>
          <w:bCs/>
          <w:color w:val="auto"/>
          <w:kern w:val="0"/>
          <w:sz w:val="24"/>
          <w:szCs w:val="24"/>
          <w:lang w:val="zh-CN"/>
        </w:rPr>
        <w:t>、</w:t>
      </w:r>
      <w:r>
        <w:rPr>
          <w:rFonts w:hint="eastAsia" w:ascii="宋体" w:hAnsi="宋体" w:cs="宋体"/>
          <w:b/>
          <w:bCs/>
          <w:color w:val="auto"/>
          <w:sz w:val="24"/>
          <w:szCs w:val="24"/>
        </w:rPr>
        <w:t>解释权</w:t>
      </w:r>
    </w:p>
    <w:p>
      <w:pPr>
        <w:adjustRightInd w:val="0"/>
        <w:snapToGrid w:val="0"/>
        <w:spacing w:line="360" w:lineRule="auto"/>
        <w:ind w:firstLine="480" w:firstLineChars="200"/>
        <w:rPr>
          <w:rFonts w:hAnsi="宋体"/>
          <w:b/>
          <w:bCs/>
          <w:color w:val="auto"/>
          <w:sz w:val="24"/>
          <w:szCs w:val="24"/>
        </w:rPr>
      </w:pPr>
      <w:r>
        <w:rPr>
          <w:rFonts w:hint="eastAsia" w:ascii="宋体" w:hAnsi="宋体" w:cs="宋体"/>
          <w:color w:val="auto"/>
          <w:sz w:val="24"/>
          <w:szCs w:val="24"/>
        </w:rPr>
        <w:t>凡涉及本次招标文件的解释权均属于杭州市射击射箭运动中心和浙江联通工程咨询有限公司。</w:t>
      </w:r>
      <w:bookmarkStart w:id="45" w:name="_Toc37243119"/>
      <w:bookmarkStart w:id="46" w:name="_Toc233618985"/>
      <w:bookmarkStart w:id="47" w:name="_Toc354996705"/>
      <w:bookmarkStart w:id="48" w:name="_Toc35401305"/>
      <w:bookmarkStart w:id="49" w:name="_Toc445387591"/>
      <w:bookmarkStart w:id="50" w:name="_Toc361217432"/>
      <w:bookmarkStart w:id="51" w:name="_Toc91899916"/>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ind w:firstLine="1446" w:firstLineChars="400"/>
        <w:outlineLvl w:val="1"/>
        <w:rPr>
          <w:rFonts w:hAnsi="宋体" w:cs="Calibri"/>
          <w:b/>
          <w:bCs/>
          <w:color w:val="auto"/>
          <w:sz w:val="36"/>
          <w:szCs w:val="36"/>
        </w:rPr>
      </w:pPr>
    </w:p>
    <w:p>
      <w:pPr>
        <w:pStyle w:val="8"/>
        <w:spacing w:line="360" w:lineRule="auto"/>
        <w:outlineLvl w:val="1"/>
        <w:rPr>
          <w:rFonts w:hAnsi="宋体" w:cs="Calibri"/>
          <w:b/>
          <w:bCs/>
          <w:color w:val="auto"/>
          <w:sz w:val="36"/>
          <w:szCs w:val="36"/>
        </w:rPr>
      </w:pPr>
    </w:p>
    <w:p>
      <w:pPr>
        <w:pStyle w:val="8"/>
        <w:spacing w:line="360" w:lineRule="auto"/>
        <w:ind w:firstLine="1446" w:firstLineChars="400"/>
        <w:outlineLvl w:val="1"/>
        <w:rPr>
          <w:rFonts w:hAnsi="宋体"/>
          <w:b/>
          <w:bCs/>
          <w:color w:val="auto"/>
          <w:sz w:val="36"/>
          <w:szCs w:val="36"/>
        </w:rPr>
      </w:pPr>
      <w:r>
        <w:rPr>
          <w:rFonts w:hint="eastAsia" w:hAnsi="宋体"/>
          <w:b/>
          <w:bCs/>
          <w:color w:val="auto"/>
          <w:sz w:val="36"/>
          <w:szCs w:val="36"/>
        </w:rPr>
        <w:t>第三部分</w:t>
      </w:r>
      <w:r>
        <w:rPr>
          <w:rFonts w:hAnsi="宋体"/>
          <w:b/>
          <w:bCs/>
          <w:color w:val="auto"/>
          <w:sz w:val="36"/>
          <w:szCs w:val="36"/>
        </w:rPr>
        <w:t xml:space="preserve"> </w:t>
      </w:r>
      <w:r>
        <w:rPr>
          <w:rFonts w:hint="eastAsia" w:hAnsi="宋体"/>
          <w:b/>
          <w:bCs/>
          <w:color w:val="auto"/>
          <w:sz w:val="36"/>
          <w:szCs w:val="36"/>
        </w:rPr>
        <w:t>项目技术规范和服务要求</w:t>
      </w:r>
      <w:r>
        <w:rPr>
          <w:rFonts w:hAnsi="宋体"/>
          <w:b/>
          <w:bCs/>
          <w:color w:val="auto"/>
          <w:sz w:val="36"/>
          <w:szCs w:val="36"/>
        </w:rPr>
        <w:t xml:space="preserve"> </w:t>
      </w:r>
    </w:p>
    <w:p>
      <w:pPr>
        <w:spacing w:line="336"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一、项目情况及实现目标</w:t>
      </w:r>
    </w:p>
    <w:p>
      <w:pPr>
        <w:adjustRightInd w:val="0"/>
        <w:spacing w:before="60" w:after="60" w:line="360" w:lineRule="auto"/>
        <w:ind w:firstLine="52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本项目位于杭州市西湖区西溪路858号杭州市射击射箭运动中心内。预算费用为59.31万元。升级主要由</w:t>
      </w:r>
      <w:r>
        <w:rPr>
          <w:rFonts w:hint="eastAsia" w:ascii="宋体" w:hAnsi="宋体" w:eastAsia="宋体" w:cs="宋体"/>
          <w:color w:val="auto"/>
          <w:sz w:val="24"/>
          <w:szCs w:val="24"/>
        </w:rPr>
        <w:t>枪弹库柜安全管理系、监控系统、报警系统、门禁管理系统、网络系统、温湿度控制系统、UPS配电系统、综合配线系统这8项构成。</w:t>
      </w:r>
    </w:p>
    <w:p>
      <w:pPr>
        <w:adjustRightInd w:val="0"/>
        <w:spacing w:before="60" w:after="60" w:line="360" w:lineRule="auto"/>
        <w:ind w:firstLine="52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中心枪支弹药库目前按二级风险等级修建，随着枪支（弹药）数量的增加和公安部门对枪支（弹药）管理的重视，提出枪弹库改造按一级风险等级进行提升。</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二、整体标准</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pacing w:val="10"/>
          <w:sz w:val="24"/>
          <w:szCs w:val="24"/>
        </w:rPr>
        <w:t>弹库房</w:t>
      </w:r>
      <w:r>
        <w:rPr>
          <w:rFonts w:hint="eastAsia" w:ascii="宋体" w:hAnsi="宋体" w:eastAsia="宋体" w:cs="宋体"/>
          <w:color w:val="auto"/>
          <w:sz w:val="24"/>
          <w:szCs w:val="24"/>
        </w:rPr>
        <w:t>必须符合中华人民共和国公共安全行业标准GA1016-2012《枪支（弹药）库室风险等级划分与安全防范要求》一级风险等级对应的防护能力一级标准</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由属地（区级及）以上公安部门根据枪支（弹药）库室风险等级标准进行验收。</w:t>
      </w:r>
    </w:p>
    <w:p>
      <w:pPr>
        <w:spacing w:line="336"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三、交付时间</w:t>
      </w:r>
    </w:p>
    <w:p>
      <w:pPr>
        <w:spacing w:line="336"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中标人需在合同签订之日起45天内完成所有货物交付与安装。</w:t>
      </w:r>
    </w:p>
    <w:p>
      <w:pPr>
        <w:numPr>
          <w:ilvl w:val="0"/>
          <w:numId w:val="2"/>
        </w:numPr>
        <w:spacing w:line="336"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货物具体数量及参数</w:t>
      </w:r>
    </w:p>
    <w:tbl>
      <w:tblPr>
        <w:tblStyle w:val="14"/>
        <w:tblW w:w="8316" w:type="dxa"/>
        <w:tblInd w:w="2" w:type="dxa"/>
        <w:tblLayout w:type="fixed"/>
        <w:tblCellMar>
          <w:top w:w="0" w:type="dxa"/>
          <w:left w:w="0" w:type="dxa"/>
          <w:bottom w:w="0" w:type="dxa"/>
          <w:right w:w="0" w:type="dxa"/>
        </w:tblCellMar>
      </w:tblPr>
      <w:tblGrid>
        <w:gridCol w:w="433"/>
        <w:gridCol w:w="1080"/>
        <w:gridCol w:w="5408"/>
        <w:gridCol w:w="705"/>
        <w:gridCol w:w="690"/>
      </w:tblGrid>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设备名称</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型号规格</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单位</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数量</w:t>
            </w:r>
          </w:p>
        </w:tc>
      </w:tr>
      <w:tr>
        <w:tblPrEx>
          <w:tblCellMar>
            <w:top w:w="0" w:type="dxa"/>
            <w:left w:w="0" w:type="dxa"/>
            <w:bottom w:w="0" w:type="dxa"/>
            <w:right w:w="0" w:type="dxa"/>
          </w:tblCellMar>
        </w:tblPrEx>
        <w:trPr>
          <w:trHeight w:val="96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智能枪柜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4"/>
                <w:rFonts w:hint="eastAsia" w:ascii="宋体" w:hAnsi="宋体" w:eastAsia="宋体" w:cs="宋体"/>
                <w:color w:val="auto"/>
                <w:sz w:val="24"/>
                <w:szCs w:val="24"/>
              </w:rPr>
              <w:br w:type="textWrapping"/>
            </w:r>
            <w:r>
              <w:rPr>
                <w:rStyle w:val="34"/>
                <w:rFonts w:hint="eastAsia" w:ascii="宋体" w:hAnsi="宋体" w:eastAsia="宋体" w:cs="宋体"/>
                <w:color w:val="auto"/>
                <w:sz w:val="24"/>
                <w:szCs w:val="24"/>
              </w:rPr>
              <w:t>柜外形尺寸为2000(H)×1400(L)×600(D)；厚度2.0mm冷轧板；使用浅灰色烤漆；柜体内部安装可以拆卸隔板，支持调整隔板位置，柜体采用全折边设计，专用布线隐藏在枪柜内，与外部连线采用模块式设计；带电子锁及备用钥匙开门功能，是专为射击运动量身定制的，适合存放长枪和手枪。</w:t>
            </w:r>
            <w:r>
              <w:rPr>
                <w:rStyle w:val="35"/>
                <w:rFonts w:hint="eastAsia" w:ascii="宋体" w:hAnsi="宋体" w:eastAsia="宋体" w:cs="宋体"/>
                <w:color w:val="auto"/>
                <w:sz w:val="24"/>
                <w:szCs w:val="24"/>
              </w:rPr>
              <w:t>需满足与原系统功能进行对接，稳定运行</w:t>
            </w:r>
            <w:r>
              <w:rPr>
                <w:rStyle w:val="34"/>
                <w:rFonts w:hint="eastAsia" w:ascii="宋体" w:hAnsi="宋体" w:eastAsia="宋体" w:cs="宋体"/>
                <w:color w:val="auto"/>
                <w:sz w:val="24"/>
                <w:szCs w:val="24"/>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w:t>
            </w:r>
          </w:p>
        </w:tc>
      </w:tr>
      <w:tr>
        <w:tblPrEx>
          <w:tblCellMar>
            <w:top w:w="0" w:type="dxa"/>
            <w:left w:w="0" w:type="dxa"/>
            <w:bottom w:w="0" w:type="dxa"/>
            <w:right w:w="0" w:type="dxa"/>
          </w:tblCellMar>
        </w:tblPrEx>
        <w:trPr>
          <w:trHeight w:val="162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智能弹柜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4"/>
                <w:rFonts w:hint="eastAsia" w:ascii="宋体" w:hAnsi="宋体" w:eastAsia="宋体" w:cs="宋体"/>
                <w:color w:val="auto"/>
                <w:sz w:val="24"/>
                <w:szCs w:val="24"/>
              </w:rPr>
              <w:br w:type="textWrapping"/>
            </w:r>
            <w:r>
              <w:rPr>
                <w:rStyle w:val="34"/>
                <w:rFonts w:hint="eastAsia" w:ascii="宋体" w:hAnsi="宋体" w:eastAsia="宋体" w:cs="宋体"/>
                <w:color w:val="auto"/>
                <w:sz w:val="24"/>
                <w:szCs w:val="24"/>
              </w:rPr>
              <w:t>柜外形尺寸为2000(H)×1400(L)×600(D)；厚度2.0mm冷轧板；使用浅灰色烤漆；柜体内部安装可以拆卸隔板，支持调整隔板位置，柜体采用全折边设计，专用布线隐藏在枪柜内，与外部连线采用模块式设计；带电子锁及备用钥匙开门功能，是专为射击运动量身定制的，适合存放子弹。</w:t>
            </w:r>
            <w:r>
              <w:rPr>
                <w:rStyle w:val="35"/>
                <w:rFonts w:hint="eastAsia" w:ascii="宋体" w:hAnsi="宋体" w:eastAsia="宋体" w:cs="宋体"/>
                <w:color w:val="auto"/>
                <w:sz w:val="24"/>
                <w:szCs w:val="24"/>
              </w:rPr>
              <w:t>需满足与原系统进行功能对接并稳定运行</w:t>
            </w:r>
            <w:r>
              <w:rPr>
                <w:rStyle w:val="34"/>
                <w:rFonts w:hint="eastAsia" w:ascii="宋体" w:hAnsi="宋体" w:eastAsia="宋体" w:cs="宋体"/>
                <w:color w:val="auto"/>
                <w:sz w:val="24"/>
                <w:szCs w:val="24"/>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r>
      <w:tr>
        <w:tblPrEx>
          <w:tblCellMar>
            <w:top w:w="0" w:type="dxa"/>
            <w:left w:w="0" w:type="dxa"/>
            <w:bottom w:w="0" w:type="dxa"/>
            <w:right w:w="0" w:type="dxa"/>
          </w:tblCellMar>
        </w:tblPrEx>
        <w:trPr>
          <w:trHeight w:val="162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智能弹柜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4"/>
                <w:rFonts w:hint="eastAsia" w:ascii="宋体" w:hAnsi="宋体" w:eastAsia="宋体" w:cs="宋体"/>
                <w:color w:val="auto"/>
                <w:sz w:val="24"/>
                <w:szCs w:val="24"/>
              </w:rPr>
              <w:br w:type="textWrapping"/>
            </w:r>
            <w:r>
              <w:rPr>
                <w:rStyle w:val="34"/>
                <w:rFonts w:hint="eastAsia" w:ascii="宋体" w:hAnsi="宋体" w:eastAsia="宋体" w:cs="宋体"/>
                <w:color w:val="auto"/>
                <w:sz w:val="24"/>
                <w:szCs w:val="24"/>
              </w:rPr>
              <w:t>柜外形尺寸为2000(H)×1000(L)×600(D)；厚度2.0mm冷轧板；使用浅灰色烤漆；柜体内部安装可以拆卸隔板，支持调整隔板位置，柜体采用全折边设计，专用布线隐藏在枪柜内，与外部连线采用模块式设计；带电子锁及备用钥匙开门功能，是专为射击运动量身定制的，适合存放子弹。</w:t>
            </w:r>
            <w:r>
              <w:rPr>
                <w:rStyle w:val="35"/>
                <w:rFonts w:hint="eastAsia" w:ascii="宋体" w:hAnsi="宋体" w:eastAsia="宋体" w:cs="宋体"/>
                <w:color w:val="auto"/>
                <w:sz w:val="24"/>
                <w:szCs w:val="24"/>
              </w:rPr>
              <w:t>需满足与原系统进行功能对接并稳定运行</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189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智能控制柜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4"/>
                <w:rFonts w:hint="eastAsia" w:ascii="宋体" w:hAnsi="宋体" w:eastAsia="宋体" w:cs="宋体"/>
                <w:color w:val="auto"/>
                <w:sz w:val="24"/>
                <w:szCs w:val="24"/>
              </w:rPr>
              <w:br w:type="textWrapping"/>
            </w:r>
            <w:r>
              <w:rPr>
                <w:rStyle w:val="34"/>
                <w:rFonts w:hint="eastAsia" w:ascii="宋体" w:hAnsi="宋体" w:eastAsia="宋体" w:cs="宋体"/>
                <w:color w:val="auto"/>
                <w:sz w:val="24"/>
                <w:szCs w:val="24"/>
              </w:rPr>
              <w:t>柜外形尺寸为2000(H)×400(L)×500(D)；厚度2.0mm冷轧板；使用浅灰色烤漆；柜体采用全折边设计，专用布线隐藏在柜内，与外部枪弹柜连线采用模块式设计，带嵌入模块式读卡器，7寸液晶屏，带人脸识别功能，可脱机独立工作；集成中央控制电路板；柜锁控制模块、独立电锁控制组件等。可与枪弹管理软件通过网络协议通讯，可存取运动员权限，可查柜门状态等功能。是专为射击运动量身定制的。</w:t>
            </w:r>
            <w:r>
              <w:rPr>
                <w:rStyle w:val="35"/>
                <w:rFonts w:hint="eastAsia" w:ascii="宋体" w:hAnsi="宋体" w:eastAsia="宋体" w:cs="宋体"/>
                <w:color w:val="auto"/>
                <w:sz w:val="24"/>
                <w:szCs w:val="24"/>
              </w:rPr>
              <w:t>需满足与原系统功能进行对接并稳定运行</w:t>
            </w:r>
            <w:r>
              <w:rPr>
                <w:rStyle w:val="34"/>
                <w:rFonts w:hint="eastAsia" w:ascii="宋体" w:hAnsi="宋体" w:eastAsia="宋体" w:cs="宋体"/>
                <w:color w:val="auto"/>
                <w:sz w:val="24"/>
                <w:szCs w:val="24"/>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81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系统对接</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4"/>
                <w:rFonts w:hint="eastAsia" w:ascii="宋体" w:hAnsi="宋体" w:eastAsia="宋体" w:cs="宋体"/>
                <w:color w:val="auto"/>
                <w:sz w:val="24"/>
                <w:szCs w:val="24"/>
              </w:rPr>
              <w:t>新增枪弹柜与现有枪弹管理系统对接，统一管理，</w:t>
            </w:r>
            <w:r>
              <w:rPr>
                <w:rStyle w:val="35"/>
                <w:rFonts w:hint="eastAsia" w:ascii="宋体" w:hAnsi="宋体" w:eastAsia="宋体" w:cs="宋体"/>
                <w:color w:val="auto"/>
                <w:sz w:val="24"/>
                <w:szCs w:val="24"/>
              </w:rPr>
              <w:t>存储数据巡查时间需达到3个月或3个月以上，</w:t>
            </w:r>
            <w:r>
              <w:rPr>
                <w:rStyle w:val="34"/>
                <w:rFonts w:hint="eastAsia" w:ascii="宋体" w:hAnsi="宋体" w:eastAsia="宋体" w:cs="宋体"/>
                <w:color w:val="auto"/>
                <w:sz w:val="24"/>
                <w:szCs w:val="24"/>
              </w:rPr>
              <w:t>满足与110联动报警功能，</w:t>
            </w:r>
            <w:r>
              <w:rPr>
                <w:rStyle w:val="35"/>
                <w:rFonts w:hint="eastAsia" w:ascii="宋体" w:hAnsi="宋体" w:eastAsia="宋体" w:cs="宋体"/>
                <w:color w:val="auto"/>
                <w:sz w:val="24"/>
                <w:szCs w:val="24"/>
              </w:rPr>
              <w:t>保证其全部功能并稳定运行。存储数据巡查时间需达到3个月或3个月以上</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次</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114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人脸识别机</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人脸识别机，完成独立人脸读头功能，专用双摄像头人脸； 200人标配（lic控制:100到400人）可调拥有网口、韦根输入、输出、两进两出共计四口I/O、1个RS232、1个SD卡插槽，1个USB接口，支持TCP/IP联网方式。支持二次开发，提供SDK开发包，支持与枪弹管理系统对接。</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81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除湿机</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智能电脑控制除湿机，输入电压/频率: 220v/50HZ,除霜形式：自动化霜；制冷剂/注入量：R134a/200g；最大输入功率 450w，水箱容积3.5L，除湿面积25-40平方米，</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UPS电池</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额定电压12V,容量100AH/UPS不间断电源专用电池 </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电箱</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8回路壁挂明装电箱，配置空开</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108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红外数字网络摄像机</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4"/>
                <w:rFonts w:hint="eastAsia" w:ascii="宋体" w:hAnsi="宋体" w:eastAsia="宋体" w:cs="宋体"/>
                <w:color w:val="auto"/>
                <w:sz w:val="24"/>
                <w:szCs w:val="24"/>
              </w:rPr>
              <w:t>网络高清摄像机，分辨率可达</w:t>
            </w:r>
            <w:r>
              <w:rPr>
                <w:rStyle w:val="35"/>
                <w:rFonts w:hint="eastAsia" w:ascii="宋体" w:hAnsi="宋体" w:eastAsia="宋体" w:cs="宋体"/>
                <w:color w:val="auto"/>
                <w:sz w:val="24"/>
                <w:szCs w:val="24"/>
              </w:rPr>
              <w:t>300万或以上</w:t>
            </w:r>
            <w:r>
              <w:rPr>
                <w:rStyle w:val="34"/>
                <w:rFonts w:hint="eastAsia" w:ascii="宋体" w:hAnsi="宋体" w:eastAsia="宋体" w:cs="宋体"/>
                <w:color w:val="auto"/>
                <w:sz w:val="24"/>
                <w:szCs w:val="24"/>
              </w:rPr>
              <w:t>像素（1920×1080），采用高效红外灯,使用寿命长,照射距离可达20-30米，采用ROI、SVC等视频压缩技术,压缩比高,支持数字宽动态,支持ICR红外滤片式自动切换,实现真正的日夜监控，支持smartIR，防止夜间红外过曝，支持双码流，支持强光抑制。</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14</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摄像机支架</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坚固耐用，金属材质</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14</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开关电源</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输入AC 220V;输出DC12V</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录像硬盘</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硬盘容量： 4TB；接口类型：SATA；转速： 5900转/分；缓存： 64MB</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视频服务器</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双路机架式服务器，CPU:主频2.1GHZ (8核)；内存32GB DDR4；硬盘TB SATA×2，带SAS_HBA，带DVD，网口1GbE×4；冗电电源：高效能550W铂金1+1 冗余电源，</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视频客户端</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6"/>
                <w:rFonts w:hint="eastAsia" w:ascii="宋体" w:hAnsi="宋体" w:eastAsia="宋体" w:cs="宋体"/>
                <w:color w:val="auto"/>
                <w:sz w:val="24"/>
                <w:szCs w:val="24"/>
              </w:rPr>
              <w:t>台式机电脑，CPU:主频3GHZ(四核）， 内存:8GB DDR4，硬盘容量 500G, DVD光驱,2GB独立显卡，配鼠标键盘，配24寸液晶显示器。</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5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桌面音响</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2.0声道音箱，扬声器驱动器2.5寸，频率范围100HZ-20KHZ，音箱材质木质，支持即插即用，3.5mm音频接口，兼容手机、平板、电脑等，</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144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视频矩阵</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高清视频矩阵，支持Linux操作系统，运行稳定可靠；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输出接口：支持12路HDMI和6路BNC输出，HDMI（可以转DVI-D）；输出分辨率最高支持4K（3840*2160@30HZ）；支持H.265、H.264、MPEG4、MJPEG等主流的编码格式；支持PS、RTP、TS、ES等主流的封装格式；支持G.722、G.711A、G.726、G.711U、MPEG2-L2、AAC音频格式的解码；支持12路1200W，或24路800W，或36路500W，或60路300W，或96路1080P及以下分辨率同时实时解码；支持1/4/6/8/9/12/16/25/36画面分割</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网络接口：2个RJ45 10M/100M/1000Mbps自适应管理网口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2个RJ45 10M/100M/1000Mbps自适应以太网接口；16个RJ45 10M/100M自适应以太网接口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音频接口：支持12路音频输出，1路对讲输入，1路对讲输出；串行接口：一个标准232接口（RJ45）、一个标准485接口；报警接口：8路报警输入，8路报警输出</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199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专用液晶监视器</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6"/>
                <w:rFonts w:hint="eastAsia" w:ascii="宋体" w:hAnsi="宋体" w:eastAsia="宋体" w:cs="宋体"/>
                <w:color w:val="auto"/>
                <w:sz w:val="24"/>
                <w:szCs w:val="24"/>
              </w:rPr>
              <w:t>专用液晶监视器，工业级LCD液晶显示单元，尺寸：55英寸；分辨率支持1920x1080及以上；视角：178°(水平)/ 178°(垂直)；响应时间：8ms以上，对比度：4000:1；亮度：500cd/㎡以上；物理拼缝：3.5mm；支持以下输入接口:VGA×1，DVI×1，BNC×1，YPbPr×1，HDMI×1,USB×1；支持以下输出接口:VGA×1，DVI×1，BNC×2；支持控制接口:RJ45 for RS-232（输入×1，输出×2）；功耗：≤134W；电源支持：AC 100-240 V；寿命：≥60000 小时；工作温度和湿度0℃--50℃：10%--90%（无凝露）；</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r>
      <w:tr>
        <w:tblPrEx>
          <w:tblCellMar>
            <w:top w:w="0" w:type="dxa"/>
            <w:left w:w="0" w:type="dxa"/>
            <w:bottom w:w="0" w:type="dxa"/>
            <w:right w:w="0" w:type="dxa"/>
          </w:tblCellMar>
        </w:tblPrEx>
        <w:trPr>
          <w:trHeight w:val="5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19</w:t>
            </w:r>
          </w:p>
        </w:tc>
        <w:tc>
          <w:tcPr>
            <w:tcW w:w="108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电视墙支架</w:t>
            </w:r>
          </w:p>
        </w:tc>
        <w:tc>
          <w:tcPr>
            <w:tcW w:w="540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根据现场定做电视墙支架，与4块专用液晶监视器配套，2*2排列，含HDMI线，支架可固定在墙面。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定制监控操作台</w:t>
            </w:r>
          </w:p>
        </w:tc>
        <w:tc>
          <w:tcPr>
            <w:tcW w:w="5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定制监控操作台(按照实际面积比例定制）</w:t>
            </w:r>
          </w:p>
        </w:tc>
        <w:tc>
          <w:tcPr>
            <w:tcW w:w="70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54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21</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入侵报警系统</w:t>
            </w:r>
          </w:p>
        </w:tc>
        <w:tc>
          <w:tcPr>
            <w:tcW w:w="54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枪弹库内声光报警系统安装，含电源、报警主机、红外探测器、震动探测器、烟感探测器、有线门磁、声光报警器、报警键盘等。</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171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安防综合管理平台</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对枪弹库的视频监控系统、入侵报警系统、可视对讲系统进行数据采集与处理、整合，通过大屏显示各子系统平台模块，有报警时弹出画面与相关信息，方便工作人员处理。支持视频行为分析报警：越界侦测,场景变更侦测,区域入侵侦测,移动侦测,徘徊侦测,人员聚集侦测、物品遗留/拿取侦测等行为分析功能;支持入侵报警系统与视频监控系统联动，支持电子地图功能，支持可视对讲门口机画面录像等功能。</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可视对讲系统</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支持门铃，支持可视对讲，支持RFID卡片及密码授权进入，配备ccd彩色摄像头，彩色LCD显示屏，室内机屏幕大小不低于7寸，支持SDK二次对接开发，支持与门禁联动控制，支持远程开锁功能。</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114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人脸门禁机</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人脸识别机，完成独立人脸读取功能，专用双摄像头人脸； 200人标配（lic控制:100到400人）可调拥有网口、韦根输入、输出、两进两出共计四口I/O、1个RS232、1个SD卡插槽，1个USB接口，支持TCP/IP联网方式。支持二次开发，提供SDK开发包，支持与枪弹管理系统对接。</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门禁控制箱</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门禁控制箱，含12v开关电源。</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门禁电锁</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磁力锁；额定电压 DC12V/24V输入</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出门按钮</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6"/>
                <w:rFonts w:hint="eastAsia" w:ascii="宋体" w:hAnsi="宋体" w:eastAsia="宋体" w:cs="宋体"/>
                <w:color w:val="auto"/>
                <w:sz w:val="24"/>
                <w:szCs w:val="24"/>
              </w:rPr>
              <w:t>86标准，常开型出门按钮</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r>
      <w:tr>
        <w:tblPrEx>
          <w:tblCellMar>
            <w:top w:w="0" w:type="dxa"/>
            <w:left w:w="0" w:type="dxa"/>
            <w:bottom w:w="0" w:type="dxa"/>
            <w:right w:w="0" w:type="dxa"/>
          </w:tblCellMar>
        </w:tblPrEx>
        <w:trPr>
          <w:trHeight w:val="142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落地机柜</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6"/>
                <w:rFonts w:hint="eastAsia" w:ascii="宋体" w:hAnsi="宋体" w:eastAsia="宋体" w:cs="宋体"/>
                <w:color w:val="auto"/>
                <w:sz w:val="24"/>
                <w:szCs w:val="24"/>
              </w:rPr>
              <w:t>42U标准网络机柜，符合ANSI/EIA RS-310-D、IEC297-2、DIN41491; PART1、DIN41494; PART7、GB/T3047.2- 92标准;兼容ETSI标准. 规格：600*900*2000mm；承载:静载800KG.防护等级:IP20 ；主要材料:SPCC优质冷扎钢板制作；厚度：方孔条不小于2.0mm，框架和前门边条不小于1.5mm，其它不小于0.8mm.表面处理:脱脂、酸洗、磷化、静电喷塑.颜色：黑色</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44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交换机</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工作组级,二层,有网管功能, 支持存储转发，背板带宽不小于56Gbps，千兆铜缆端口数目不少于24口 ，支持传输速率  10M/100M/1000Mbps  ；光纤接口不少于2个千兆SFP，支持LED指示器显示端口连接/活动,端口速率,电源等。须支持网络标准  IEEE 802.3, 802.3u, 802.3ab,IEEE 802.3x,802.1Q,802.1p ，支持VLAN功能 支持全双工，有以下认证标准</w:t>
            </w:r>
            <w:r>
              <w:rPr>
                <w:rFonts w:hint="eastAsia" w:ascii="宋体" w:hAnsi="宋体" w:eastAsia="宋体" w:cs="宋体"/>
                <w:color w:val="auto"/>
                <w:sz w:val="24"/>
                <w:szCs w:val="24"/>
              </w:rPr>
              <w:t>CSAInternational/CE,FCC,VCCI</w:t>
            </w:r>
          </w:p>
          <w:p>
            <w:pPr>
              <w:widowControl/>
              <w:jc w:val="left"/>
              <w:textAlignment w:val="center"/>
              <w:rPr>
                <w:rFonts w:hint="eastAsia" w:ascii="宋体" w:hAnsi="宋体" w:eastAsia="宋体" w:cs="宋体"/>
                <w:color w:val="auto"/>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超五类网络跳线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1米超五类非屏蔽网络跳线，24AWG(0.50mm）以上实芯铜导体；完全满足T568A和T568B信道标准；使用FEP(聚烯经）绝缘，Flamarresto阻燃护套;通过ISO9001,UL,3P,ETL认证,国内信息产业部等第三方认证。</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24</w:t>
            </w:r>
          </w:p>
        </w:tc>
      </w:tr>
      <w:tr>
        <w:tblPrEx>
          <w:tblCellMar>
            <w:top w:w="0" w:type="dxa"/>
            <w:left w:w="0" w:type="dxa"/>
            <w:bottom w:w="0" w:type="dxa"/>
            <w:right w:w="0" w:type="dxa"/>
          </w:tblCellMar>
        </w:tblPrEx>
        <w:trPr>
          <w:trHeight w:val="158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超五类网络跳线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3米超五类非屏蔽网络跳线， 24AWG(0.50mm）以上实芯铜导体；完全满足T568A和T568B信道标准；使用FEP(聚烯经）绝缘，Flamarresto阻燃护套;通过ISO9001,UL,3P,ETL认证,国内信息产业部等第三方认证。</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r>
      <w:tr>
        <w:tblPrEx>
          <w:tblCellMar>
            <w:top w:w="0" w:type="dxa"/>
            <w:left w:w="0" w:type="dxa"/>
            <w:bottom w:w="0" w:type="dxa"/>
            <w:right w:w="0" w:type="dxa"/>
          </w:tblCellMar>
        </w:tblPrEx>
        <w:trPr>
          <w:trHeight w:val="5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网络水晶头</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加厚镀金芯片 | 全新环保PC料，使用三叉芯片，触点与线芯接触更充分。100个/盒</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盒</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网络面板模块</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网络信息点面板，模块支持超五类，金针需能承受最少插拨750次。绝缘电阻：最少500×106欧姆. 符合ANSI/TIA/EIA 568-B.2 超5类标准。塑料部分需符合ABS UL 94V-0标准。</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配线架</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Style w:val="36"/>
                <w:rFonts w:hint="eastAsia" w:ascii="宋体" w:hAnsi="宋体" w:eastAsia="宋体" w:cs="宋体"/>
                <w:color w:val="auto"/>
                <w:sz w:val="24"/>
                <w:szCs w:val="24"/>
              </w:rPr>
              <w:t>超五类模块 ，支持至少24口 ，模块化机柜式网络配线架，24位超五类网络模块，金针需能承受最少插拨750次。符合ANSI/TIA/EIA 568-B.2 超5类标准。配线架保证使用不少于20年。</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理线架</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与配线架相配24位理线架</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r>
      <w:tr>
        <w:tblPrEx>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网线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UTP Cat 5.0e，超五类网线，24AWG(0.50mm）以上实芯铜导体。使用FEP(聚烯经）绝缘，Flamarresto阻燃护套，通过ISO9001,UL,3P,ETL认证,国内信息产业部等第三方认证,，符合TIA/EIA 568-B.2 超5类标准。保证能通过90米以上的永久链路超5类标准测试。</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箱（300米/箱）</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2芯电源线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国标RVV2*1.0</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500</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2芯电源线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国标RVV2*1.5</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100</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3芯电源线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国标RVV3*2.5</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200</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6芯信号线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国标RVV6*0.5</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300</w:t>
            </w:r>
          </w:p>
        </w:tc>
      </w:tr>
    </w:tbl>
    <w:p>
      <w:pPr>
        <w:spacing w:line="360" w:lineRule="atLeast"/>
        <w:ind w:firstLine="482" w:firstLineChars="200"/>
        <w:rPr>
          <w:rFonts w:ascii="宋体"/>
          <w:b/>
          <w:bCs/>
          <w:snapToGrid w:val="0"/>
          <w:color w:val="auto"/>
          <w:kern w:val="0"/>
          <w:sz w:val="24"/>
          <w:szCs w:val="24"/>
        </w:rPr>
      </w:pPr>
      <w:r>
        <w:rPr>
          <w:rFonts w:hint="eastAsia" w:ascii="宋体" w:hAnsi="宋体" w:cs="宋体"/>
          <w:b/>
          <w:bCs/>
          <w:snapToGrid w:val="0"/>
          <w:color w:val="auto"/>
          <w:kern w:val="0"/>
          <w:sz w:val="24"/>
          <w:szCs w:val="24"/>
        </w:rPr>
        <w:t>上表中所有内容为本项目核心件，提供相同品牌核心件（所有核心件品牌均相同）且通过资格审查、符合性审查的不同投标人参加同一合同项下投标的，按一家投标人计算，评审后得分最高的同品牌投标人获得中标人推荐资格，其他同品牌投标人不作为中标候选人。</w:t>
      </w:r>
    </w:p>
    <w:p>
      <w:pPr>
        <w:pStyle w:val="8"/>
        <w:rPr>
          <w:rFonts w:cs="Calibri"/>
          <w:color w:val="auto"/>
          <w:sz w:val="24"/>
          <w:szCs w:val="24"/>
        </w:rPr>
      </w:pPr>
    </w:p>
    <w:p>
      <w:pPr>
        <w:pStyle w:val="8"/>
        <w:numPr>
          <w:ilvl w:val="0"/>
          <w:numId w:val="2"/>
        </w:numPr>
        <w:rPr>
          <w:rFonts w:cs="Calibri"/>
          <w:b/>
          <w:bCs/>
          <w:color w:val="auto"/>
          <w:sz w:val="24"/>
          <w:szCs w:val="24"/>
        </w:rPr>
      </w:pPr>
      <w:r>
        <w:rPr>
          <w:rFonts w:hint="eastAsia"/>
          <w:b/>
          <w:bCs/>
          <w:color w:val="auto"/>
          <w:sz w:val="24"/>
          <w:szCs w:val="24"/>
        </w:rPr>
        <w:t>质保要求</w:t>
      </w:r>
    </w:p>
    <w:p>
      <w:pPr>
        <w:pStyle w:val="8"/>
        <w:rPr>
          <w:rFonts w:hAnsi="宋体" w:cs="Calibri"/>
          <w:color w:val="auto"/>
          <w:sz w:val="24"/>
          <w:szCs w:val="24"/>
        </w:rPr>
      </w:pPr>
      <w:r>
        <w:rPr>
          <w:color w:val="auto"/>
          <w:sz w:val="24"/>
          <w:szCs w:val="24"/>
        </w:rPr>
        <w:t xml:space="preserve">     </w:t>
      </w:r>
      <w:r>
        <w:rPr>
          <w:rFonts w:hAnsi="宋体"/>
          <w:color w:val="auto"/>
          <w:sz w:val="24"/>
          <w:szCs w:val="24"/>
        </w:rPr>
        <w:t xml:space="preserve"> </w:t>
      </w:r>
      <w:r>
        <w:rPr>
          <w:rFonts w:hint="eastAsia" w:hAnsi="宋体"/>
          <w:color w:val="auto"/>
          <w:sz w:val="24"/>
          <w:szCs w:val="24"/>
        </w:rPr>
        <w:t>自验收合格之日起</w:t>
      </w:r>
      <w:r>
        <w:rPr>
          <w:rFonts w:hAnsi="宋体"/>
          <w:color w:val="auto"/>
          <w:sz w:val="24"/>
          <w:szCs w:val="24"/>
        </w:rPr>
        <w:t>12</w:t>
      </w:r>
      <w:r>
        <w:rPr>
          <w:rFonts w:hint="eastAsia" w:hAnsi="宋体"/>
          <w:color w:val="auto"/>
          <w:sz w:val="24"/>
          <w:szCs w:val="24"/>
        </w:rPr>
        <w:t>个月。</w:t>
      </w:r>
    </w:p>
    <w:p>
      <w:pPr>
        <w:pStyle w:val="8"/>
        <w:numPr>
          <w:ilvl w:val="0"/>
          <w:numId w:val="2"/>
        </w:numPr>
        <w:rPr>
          <w:rFonts w:cs="Calibri"/>
          <w:b/>
          <w:bCs/>
          <w:color w:val="auto"/>
          <w:sz w:val="24"/>
          <w:szCs w:val="24"/>
        </w:rPr>
      </w:pPr>
      <w:r>
        <w:rPr>
          <w:rFonts w:hint="eastAsia"/>
          <w:b/>
          <w:bCs/>
          <w:color w:val="auto"/>
          <w:sz w:val="24"/>
          <w:szCs w:val="24"/>
        </w:rPr>
        <w:t>收货和安装</w:t>
      </w:r>
    </w:p>
    <w:p>
      <w:pPr>
        <w:pStyle w:val="8"/>
        <w:ind w:firstLine="480" w:firstLineChars="200"/>
        <w:rPr>
          <w:rFonts w:cs="Calibri"/>
          <w:color w:val="auto"/>
          <w:sz w:val="24"/>
          <w:szCs w:val="24"/>
        </w:rPr>
      </w:pPr>
      <w:r>
        <w:rPr>
          <w:rFonts w:hint="eastAsia" w:hAnsi="宋体"/>
          <w:color w:val="auto"/>
          <w:sz w:val="24"/>
          <w:szCs w:val="24"/>
        </w:rPr>
        <w:t>中标人进行发货与安装，需提前至少提前</w:t>
      </w:r>
      <w:r>
        <w:rPr>
          <w:rFonts w:hAnsi="宋体"/>
          <w:color w:val="auto"/>
          <w:sz w:val="24"/>
          <w:szCs w:val="24"/>
        </w:rPr>
        <w:t>72</w:t>
      </w:r>
      <w:r>
        <w:rPr>
          <w:rFonts w:hint="eastAsia" w:hAnsi="宋体"/>
          <w:color w:val="auto"/>
          <w:sz w:val="24"/>
          <w:szCs w:val="24"/>
        </w:rPr>
        <w:t>小时通知招标人，并在招标人同意后进行。</w:t>
      </w:r>
      <w:bookmarkEnd w:id="45"/>
      <w:bookmarkEnd w:id="46"/>
      <w:bookmarkEnd w:id="47"/>
      <w:bookmarkEnd w:id="48"/>
      <w:bookmarkEnd w:id="49"/>
      <w:bookmarkEnd w:id="50"/>
      <w:bookmarkEnd w:id="51"/>
    </w:p>
    <w:p>
      <w:pPr>
        <w:pageBreakBefore/>
        <w:shd w:val="clear" w:color="auto" w:fill="FFFFFF"/>
        <w:adjustRightInd w:val="0"/>
        <w:snapToGrid w:val="0"/>
        <w:spacing w:line="360" w:lineRule="auto"/>
        <w:jc w:val="center"/>
        <w:outlineLvl w:val="0"/>
        <w:rPr>
          <w:rFonts w:ascii="宋体"/>
          <w:b/>
          <w:bCs/>
          <w:color w:val="auto"/>
          <w:sz w:val="32"/>
          <w:szCs w:val="32"/>
        </w:rPr>
      </w:pPr>
      <w:r>
        <w:rPr>
          <w:rFonts w:hint="eastAsia" w:ascii="宋体" w:hAnsi="宋体" w:cs="宋体"/>
          <w:b/>
          <w:bCs/>
          <w:color w:val="auto"/>
          <w:sz w:val="32"/>
          <w:szCs w:val="32"/>
        </w:rPr>
        <w:t>第四部分</w:t>
      </w:r>
      <w:r>
        <w:rPr>
          <w:rFonts w:ascii="宋体" w:hAnsi="宋体" w:cs="宋体"/>
          <w:b/>
          <w:bCs/>
          <w:color w:val="auto"/>
          <w:sz w:val="32"/>
          <w:szCs w:val="32"/>
        </w:rPr>
        <w:t xml:space="preserve">  </w:t>
      </w:r>
      <w:r>
        <w:rPr>
          <w:rFonts w:hint="eastAsia" w:ascii="宋体" w:hAnsi="宋体" w:cs="宋体"/>
          <w:b/>
          <w:bCs/>
          <w:color w:val="auto"/>
          <w:sz w:val="32"/>
          <w:szCs w:val="32"/>
        </w:rPr>
        <w:t>合同主要条款</w:t>
      </w:r>
    </w:p>
    <w:p>
      <w:pPr>
        <w:widowControl/>
        <w:spacing w:line="360" w:lineRule="auto"/>
        <w:ind w:firstLine="542" w:firstLineChars="150"/>
        <w:jc w:val="center"/>
        <w:rPr>
          <w:rFonts w:ascii="宋体"/>
          <w:b/>
          <w:bCs/>
          <w:color w:val="auto"/>
          <w:sz w:val="36"/>
          <w:szCs w:val="36"/>
        </w:rPr>
      </w:pPr>
      <w:bookmarkStart w:id="52" w:name="_Toc26609_WPSOffice_Level1"/>
      <w:bookmarkStart w:id="53" w:name="_Toc24716_WPSOffice_Level1"/>
      <w:bookmarkStart w:id="54" w:name="_Toc361155999"/>
      <w:r>
        <w:rPr>
          <w:rFonts w:ascii="宋体" w:hAnsi="宋体" w:cs="宋体"/>
          <w:b/>
          <w:bCs/>
          <w:color w:val="auto"/>
          <w:sz w:val="36"/>
          <w:szCs w:val="36"/>
        </w:rPr>
        <w:t>2020</w:t>
      </w:r>
      <w:r>
        <w:rPr>
          <w:rFonts w:hint="eastAsia" w:ascii="宋体" w:hAnsi="宋体" w:cs="宋体"/>
          <w:b/>
          <w:bCs/>
          <w:color w:val="auto"/>
          <w:sz w:val="36"/>
          <w:szCs w:val="36"/>
        </w:rPr>
        <w:t>年枪弹库智能管理系统升级改造项目</w:t>
      </w:r>
    </w:p>
    <w:p>
      <w:pPr>
        <w:widowControl/>
        <w:spacing w:line="360" w:lineRule="auto"/>
        <w:ind w:firstLine="542" w:firstLineChars="150"/>
        <w:jc w:val="center"/>
        <w:rPr>
          <w:rFonts w:ascii="宋体"/>
          <w:b/>
          <w:bCs/>
          <w:color w:val="auto"/>
          <w:sz w:val="36"/>
          <w:szCs w:val="36"/>
        </w:rPr>
      </w:pPr>
      <w:r>
        <w:rPr>
          <w:rFonts w:hint="eastAsia" w:ascii="宋体" w:hAnsi="宋体" w:cs="宋体"/>
          <w:b/>
          <w:bCs/>
          <w:color w:val="auto"/>
          <w:sz w:val="36"/>
          <w:szCs w:val="36"/>
        </w:rPr>
        <w:t>采购合同</w:t>
      </w:r>
      <w:bookmarkEnd w:id="52"/>
      <w:bookmarkEnd w:id="53"/>
    </w:p>
    <w:p>
      <w:pPr>
        <w:adjustRightInd w:val="0"/>
        <w:snapToGrid w:val="0"/>
        <w:spacing w:beforeLines="50" w:line="320" w:lineRule="exact"/>
        <w:rPr>
          <w:rFonts w:ascii="宋体"/>
          <w:color w:val="auto"/>
          <w:sz w:val="24"/>
          <w:szCs w:val="24"/>
        </w:rPr>
      </w:pPr>
      <w:r>
        <w:rPr>
          <w:rFonts w:hint="eastAsia" w:ascii="宋体" w:hAnsi="宋体" w:cs="宋体"/>
          <w:color w:val="auto"/>
          <w:sz w:val="24"/>
          <w:szCs w:val="24"/>
        </w:rPr>
        <w:t>浙江省政府采购合同指引（货物）</w:t>
      </w:r>
    </w:p>
    <w:p>
      <w:pPr>
        <w:pStyle w:val="8"/>
        <w:adjustRightInd w:val="0"/>
        <w:snapToGrid w:val="0"/>
        <w:spacing w:beforeLines="50" w:line="320" w:lineRule="exact"/>
        <w:rPr>
          <w:rFonts w:hAnsi="宋体" w:cs="Calibri"/>
          <w:color w:val="auto"/>
          <w:sz w:val="24"/>
          <w:szCs w:val="24"/>
        </w:rPr>
      </w:pPr>
      <w:r>
        <w:rPr>
          <w:rFonts w:hint="eastAsia" w:hAnsi="宋体"/>
          <w:color w:val="auto"/>
          <w:sz w:val="24"/>
          <w:szCs w:val="24"/>
        </w:rPr>
        <w:t>项目名称：</w:t>
      </w:r>
      <w:r>
        <w:rPr>
          <w:rFonts w:hAnsi="宋体"/>
          <w:color w:val="auto"/>
          <w:sz w:val="24"/>
          <w:szCs w:val="24"/>
        </w:rPr>
        <w:t xml:space="preserve">                                       </w:t>
      </w:r>
      <w:r>
        <w:rPr>
          <w:rFonts w:hint="eastAsia" w:hAnsi="宋体"/>
          <w:color w:val="auto"/>
          <w:sz w:val="24"/>
          <w:szCs w:val="24"/>
        </w:rPr>
        <w:t>项目编号：</w:t>
      </w:r>
    </w:p>
    <w:p>
      <w:pPr>
        <w:pStyle w:val="8"/>
        <w:adjustRightInd w:val="0"/>
        <w:snapToGrid w:val="0"/>
        <w:spacing w:beforeLines="50" w:line="320" w:lineRule="exact"/>
        <w:rPr>
          <w:rFonts w:hAnsi="宋体" w:cs="Calibri"/>
          <w:color w:val="auto"/>
          <w:sz w:val="24"/>
          <w:szCs w:val="24"/>
        </w:rPr>
      </w:pPr>
      <w:r>
        <w:rPr>
          <w:rFonts w:hint="eastAsia" w:hAnsi="宋体"/>
          <w:color w:val="auto"/>
          <w:sz w:val="24"/>
          <w:szCs w:val="24"/>
        </w:rPr>
        <w:t>甲方：（买方）</w:t>
      </w:r>
    </w:p>
    <w:p>
      <w:pPr>
        <w:pStyle w:val="8"/>
        <w:adjustRightInd w:val="0"/>
        <w:snapToGrid w:val="0"/>
        <w:spacing w:beforeLines="50" w:line="320" w:lineRule="exact"/>
        <w:rPr>
          <w:rFonts w:hAnsi="宋体" w:cs="Calibri"/>
          <w:color w:val="auto"/>
          <w:sz w:val="24"/>
          <w:szCs w:val="24"/>
        </w:rPr>
      </w:pPr>
      <w:r>
        <w:rPr>
          <w:rFonts w:hint="eastAsia" w:hAnsi="宋体"/>
          <w:color w:val="auto"/>
          <w:sz w:val="24"/>
          <w:szCs w:val="24"/>
        </w:rPr>
        <w:t>乙方：（卖方）</w:t>
      </w:r>
    </w:p>
    <w:p>
      <w:pPr>
        <w:pStyle w:val="8"/>
        <w:adjustRightInd w:val="0"/>
        <w:snapToGrid w:val="0"/>
        <w:spacing w:beforeLines="50" w:line="320" w:lineRule="exact"/>
        <w:ind w:firstLine="454"/>
        <w:rPr>
          <w:rFonts w:hAnsi="宋体" w:cs="Calibri"/>
          <w:b/>
          <w:bCs/>
          <w:color w:val="auto"/>
          <w:sz w:val="24"/>
          <w:szCs w:val="24"/>
        </w:rPr>
      </w:pPr>
      <w:r>
        <w:rPr>
          <w:rFonts w:hAnsi="宋体"/>
          <w:b/>
          <w:bCs/>
          <w:color w:val="auto"/>
          <w:sz w:val="24"/>
          <w:szCs w:val="24"/>
        </w:rPr>
        <w:t xml:space="preserve">   </w:t>
      </w:r>
      <w:r>
        <w:rPr>
          <w:rFonts w:hint="eastAsia" w:hAnsi="宋体"/>
          <w:color w:val="auto"/>
          <w:sz w:val="24"/>
          <w:szCs w:val="24"/>
        </w:rPr>
        <w:t>甲、乙双方根据</w:t>
      </w:r>
      <w:r>
        <w:rPr>
          <w:rFonts w:hAnsi="宋体"/>
          <w:color w:val="auto"/>
          <w:sz w:val="24"/>
          <w:szCs w:val="24"/>
        </w:rPr>
        <w:t>2020</w:t>
      </w:r>
      <w:r>
        <w:rPr>
          <w:rFonts w:hint="eastAsia" w:hAnsi="宋体"/>
          <w:color w:val="auto"/>
          <w:sz w:val="24"/>
          <w:szCs w:val="24"/>
        </w:rPr>
        <w:t>年枪弹库智能管理系统升级改造项目公开招标的结果，签署本合同。</w:t>
      </w:r>
    </w:p>
    <w:p>
      <w:pPr>
        <w:pStyle w:val="8"/>
        <w:adjustRightInd w:val="0"/>
        <w:snapToGrid w:val="0"/>
        <w:spacing w:beforeLines="50" w:line="320" w:lineRule="exact"/>
        <w:ind w:firstLine="454"/>
        <w:rPr>
          <w:rFonts w:hAnsi="宋体" w:cs="Calibri"/>
          <w:color w:val="auto"/>
          <w:sz w:val="24"/>
          <w:szCs w:val="24"/>
        </w:rPr>
      </w:pPr>
      <w:bookmarkStart w:id="55" w:name="_Toc24630_WPSOffice_Level1"/>
      <w:bookmarkStart w:id="56" w:name="_Toc19077_WPSOffice_Level1"/>
      <w:r>
        <w:rPr>
          <w:rFonts w:hint="eastAsia" w:hAnsi="宋体"/>
          <w:b/>
          <w:bCs/>
          <w:color w:val="auto"/>
          <w:sz w:val="24"/>
          <w:szCs w:val="24"/>
        </w:rPr>
        <w:t>一、货物内容</w:t>
      </w:r>
      <w:bookmarkEnd w:id="55"/>
      <w:bookmarkEnd w:id="56"/>
    </w:p>
    <w:tbl>
      <w:tblPr>
        <w:tblStyle w:val="14"/>
        <w:tblW w:w="8316" w:type="dxa"/>
        <w:tblInd w:w="2" w:type="dxa"/>
        <w:tblLayout w:type="fixed"/>
        <w:tblCellMar>
          <w:top w:w="0" w:type="dxa"/>
          <w:left w:w="0" w:type="dxa"/>
          <w:bottom w:w="0" w:type="dxa"/>
          <w:right w:w="0" w:type="dxa"/>
        </w:tblCellMar>
      </w:tblPr>
      <w:tblGrid>
        <w:gridCol w:w="433"/>
        <w:gridCol w:w="1080"/>
        <w:gridCol w:w="5408"/>
        <w:gridCol w:w="705"/>
        <w:gridCol w:w="690"/>
      </w:tblGrid>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
                <w:bCs/>
                <w:color w:val="auto"/>
                <w:sz w:val="24"/>
                <w:szCs w:val="24"/>
              </w:rPr>
            </w:pPr>
            <w:r>
              <w:rPr>
                <w:rFonts w:hint="eastAsia" w:ascii="宋体" w:hAnsi="宋体" w:cs="宋体"/>
                <w:b/>
                <w:bCs/>
                <w:color w:val="auto"/>
                <w:kern w:val="0"/>
                <w:sz w:val="24"/>
                <w:szCs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
                <w:bCs/>
                <w:color w:val="auto"/>
                <w:sz w:val="24"/>
                <w:szCs w:val="24"/>
              </w:rPr>
            </w:pPr>
            <w:r>
              <w:rPr>
                <w:rFonts w:hint="eastAsia" w:ascii="宋体" w:hAnsi="宋体" w:cs="宋体"/>
                <w:b/>
                <w:bCs/>
                <w:color w:val="auto"/>
                <w:kern w:val="0"/>
                <w:sz w:val="24"/>
                <w:szCs w:val="24"/>
              </w:rPr>
              <w:t>设备名称</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
                <w:bCs/>
                <w:color w:val="auto"/>
                <w:sz w:val="24"/>
                <w:szCs w:val="24"/>
              </w:rPr>
            </w:pPr>
            <w:r>
              <w:rPr>
                <w:rFonts w:hint="eastAsia" w:ascii="宋体" w:hAnsi="宋体" w:cs="宋体"/>
                <w:b/>
                <w:bCs/>
                <w:color w:val="auto"/>
                <w:kern w:val="0"/>
                <w:sz w:val="24"/>
                <w:szCs w:val="24"/>
              </w:rPr>
              <w:t>型号规格</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
                <w:bCs/>
                <w:color w:val="auto"/>
                <w:sz w:val="24"/>
                <w:szCs w:val="24"/>
              </w:rPr>
            </w:pPr>
            <w:r>
              <w:rPr>
                <w:rFonts w:hint="eastAsia" w:ascii="宋体" w:hAnsi="宋体" w:cs="宋体"/>
                <w:b/>
                <w:bCs/>
                <w:color w:val="auto"/>
                <w:kern w:val="0"/>
                <w:sz w:val="24"/>
                <w:szCs w:val="24"/>
              </w:rPr>
              <w:t>单位</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b/>
                <w:bCs/>
                <w:color w:val="auto"/>
                <w:sz w:val="24"/>
                <w:szCs w:val="24"/>
              </w:rPr>
            </w:pPr>
            <w:r>
              <w:rPr>
                <w:rFonts w:hint="eastAsia" w:ascii="宋体" w:hAnsi="宋体" w:cs="宋体"/>
                <w:b/>
                <w:bCs/>
                <w:color w:val="auto"/>
                <w:kern w:val="0"/>
                <w:sz w:val="24"/>
                <w:szCs w:val="24"/>
              </w:rPr>
              <w:t>数量</w:t>
            </w:r>
          </w:p>
        </w:tc>
      </w:tr>
      <w:tr>
        <w:tblPrEx>
          <w:tblCellMar>
            <w:top w:w="0" w:type="dxa"/>
            <w:left w:w="0" w:type="dxa"/>
            <w:bottom w:w="0" w:type="dxa"/>
            <w:right w:w="0" w:type="dxa"/>
          </w:tblCellMar>
        </w:tblPrEx>
        <w:trPr>
          <w:trHeight w:val="96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智能枪柜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Style w:val="34"/>
                <w:rFonts w:hAnsi="Calibri" w:cs="Calibri"/>
                <w:color w:val="auto"/>
                <w:sz w:val="24"/>
                <w:szCs w:val="24"/>
              </w:rPr>
              <w:br w:type="textWrapping"/>
            </w:r>
            <w:r>
              <w:rPr>
                <w:rStyle w:val="34"/>
                <w:rFonts w:hint="eastAsia"/>
                <w:color w:val="auto"/>
                <w:sz w:val="24"/>
                <w:szCs w:val="24"/>
              </w:rPr>
              <w:t>柜外形尺寸为</w:t>
            </w:r>
            <w:r>
              <w:rPr>
                <w:rStyle w:val="34"/>
                <w:color w:val="auto"/>
                <w:sz w:val="24"/>
                <w:szCs w:val="24"/>
              </w:rPr>
              <w:t>2000(H)</w:t>
            </w:r>
            <w:r>
              <w:rPr>
                <w:rStyle w:val="34"/>
                <w:rFonts w:hint="eastAsia"/>
                <w:color w:val="auto"/>
                <w:sz w:val="24"/>
                <w:szCs w:val="24"/>
              </w:rPr>
              <w:t>×</w:t>
            </w:r>
            <w:r>
              <w:rPr>
                <w:rStyle w:val="34"/>
                <w:color w:val="auto"/>
                <w:sz w:val="24"/>
                <w:szCs w:val="24"/>
              </w:rPr>
              <w:t>1400(L)</w:t>
            </w:r>
            <w:r>
              <w:rPr>
                <w:rStyle w:val="34"/>
                <w:rFonts w:hint="eastAsia"/>
                <w:color w:val="auto"/>
                <w:sz w:val="24"/>
                <w:szCs w:val="24"/>
              </w:rPr>
              <w:t>×</w:t>
            </w:r>
            <w:r>
              <w:rPr>
                <w:rStyle w:val="34"/>
                <w:color w:val="auto"/>
                <w:sz w:val="24"/>
                <w:szCs w:val="24"/>
              </w:rPr>
              <w:t>600(D)</w:t>
            </w:r>
            <w:r>
              <w:rPr>
                <w:rStyle w:val="34"/>
                <w:rFonts w:hint="eastAsia"/>
                <w:color w:val="auto"/>
                <w:sz w:val="24"/>
                <w:szCs w:val="24"/>
              </w:rPr>
              <w:t>；厚度</w:t>
            </w:r>
            <w:r>
              <w:rPr>
                <w:rStyle w:val="34"/>
                <w:color w:val="auto"/>
                <w:sz w:val="24"/>
                <w:szCs w:val="24"/>
              </w:rPr>
              <w:t>2.0mm</w:t>
            </w:r>
            <w:r>
              <w:rPr>
                <w:rStyle w:val="34"/>
                <w:rFonts w:hint="eastAsia"/>
                <w:color w:val="auto"/>
                <w:sz w:val="24"/>
                <w:szCs w:val="24"/>
              </w:rPr>
              <w:t>冷轧板；使用浅灰色烤漆；柜体内部安装可以拆卸隔板，支持调整隔板位置，柜体采用全折边设计，专用布线隐藏在枪柜内，与外部连线采用模块式设计；带电子锁及备用钥匙开门功能，是专为射击运动量身定制的，适合存放长枪和手枪。</w:t>
            </w:r>
            <w:r>
              <w:rPr>
                <w:rStyle w:val="35"/>
                <w:rFonts w:hint="eastAsia"/>
                <w:color w:val="auto"/>
                <w:sz w:val="24"/>
                <w:szCs w:val="24"/>
              </w:rPr>
              <w:t>需满足与原系统功能进行对接，稳定运行</w:t>
            </w:r>
            <w:r>
              <w:rPr>
                <w:rStyle w:val="34"/>
                <w:rFonts w:hint="eastAsia"/>
                <w:color w:val="auto"/>
                <w:sz w:val="24"/>
                <w:szCs w:val="24"/>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r>
      <w:tr>
        <w:tblPrEx>
          <w:tblCellMar>
            <w:top w:w="0" w:type="dxa"/>
            <w:left w:w="0" w:type="dxa"/>
            <w:bottom w:w="0" w:type="dxa"/>
            <w:right w:w="0" w:type="dxa"/>
          </w:tblCellMar>
        </w:tblPrEx>
        <w:trPr>
          <w:trHeight w:val="162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智能弹柜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Style w:val="34"/>
                <w:rFonts w:hAnsi="Calibri" w:cs="Calibri"/>
                <w:color w:val="auto"/>
                <w:sz w:val="24"/>
                <w:szCs w:val="24"/>
              </w:rPr>
              <w:br w:type="textWrapping"/>
            </w:r>
            <w:r>
              <w:rPr>
                <w:rStyle w:val="34"/>
                <w:rFonts w:hint="eastAsia"/>
                <w:color w:val="auto"/>
                <w:sz w:val="24"/>
                <w:szCs w:val="24"/>
              </w:rPr>
              <w:t>柜外形尺寸为</w:t>
            </w:r>
            <w:r>
              <w:rPr>
                <w:rStyle w:val="34"/>
                <w:color w:val="auto"/>
                <w:sz w:val="24"/>
                <w:szCs w:val="24"/>
              </w:rPr>
              <w:t>2000(H)</w:t>
            </w:r>
            <w:r>
              <w:rPr>
                <w:rStyle w:val="34"/>
                <w:rFonts w:hint="eastAsia"/>
                <w:color w:val="auto"/>
                <w:sz w:val="24"/>
                <w:szCs w:val="24"/>
              </w:rPr>
              <w:t>×</w:t>
            </w:r>
            <w:r>
              <w:rPr>
                <w:rStyle w:val="34"/>
                <w:color w:val="auto"/>
                <w:sz w:val="24"/>
                <w:szCs w:val="24"/>
              </w:rPr>
              <w:t>1400(L)</w:t>
            </w:r>
            <w:r>
              <w:rPr>
                <w:rStyle w:val="34"/>
                <w:rFonts w:hint="eastAsia"/>
                <w:color w:val="auto"/>
                <w:sz w:val="24"/>
                <w:szCs w:val="24"/>
              </w:rPr>
              <w:t>×</w:t>
            </w:r>
            <w:r>
              <w:rPr>
                <w:rStyle w:val="34"/>
                <w:color w:val="auto"/>
                <w:sz w:val="24"/>
                <w:szCs w:val="24"/>
              </w:rPr>
              <w:t>600(D)</w:t>
            </w:r>
            <w:r>
              <w:rPr>
                <w:rStyle w:val="34"/>
                <w:rFonts w:hint="eastAsia"/>
                <w:color w:val="auto"/>
                <w:sz w:val="24"/>
                <w:szCs w:val="24"/>
              </w:rPr>
              <w:t>；厚度</w:t>
            </w:r>
            <w:r>
              <w:rPr>
                <w:rStyle w:val="34"/>
                <w:color w:val="auto"/>
                <w:sz w:val="24"/>
                <w:szCs w:val="24"/>
              </w:rPr>
              <w:t>2.0mm</w:t>
            </w:r>
            <w:r>
              <w:rPr>
                <w:rStyle w:val="34"/>
                <w:rFonts w:hint="eastAsia"/>
                <w:color w:val="auto"/>
                <w:sz w:val="24"/>
                <w:szCs w:val="24"/>
              </w:rPr>
              <w:t>冷轧板；使用浅灰色烤漆；柜体内部安装可以拆卸隔板，支持调整隔板位置，柜体采用全折边设计，专用布线隐藏在枪柜内，与外部连线采用模块式设计；带电子锁及备用钥匙开门功能，是专为射击运动量身定制的，适合存放子弹。</w:t>
            </w:r>
            <w:r>
              <w:rPr>
                <w:rStyle w:val="35"/>
                <w:rFonts w:hint="eastAsia"/>
                <w:color w:val="auto"/>
                <w:sz w:val="24"/>
                <w:szCs w:val="24"/>
              </w:rPr>
              <w:t>需满足与原系统进行功能对接并稳定运行</w:t>
            </w:r>
            <w:r>
              <w:rPr>
                <w:rStyle w:val="34"/>
                <w:rFonts w:hint="eastAsia"/>
                <w:color w:val="auto"/>
                <w:sz w:val="24"/>
                <w:szCs w:val="24"/>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r>
      <w:tr>
        <w:tblPrEx>
          <w:tblCellMar>
            <w:top w:w="0" w:type="dxa"/>
            <w:left w:w="0" w:type="dxa"/>
            <w:bottom w:w="0" w:type="dxa"/>
            <w:right w:w="0" w:type="dxa"/>
          </w:tblCellMar>
        </w:tblPrEx>
        <w:trPr>
          <w:trHeight w:val="162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智能弹柜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Style w:val="34"/>
                <w:rFonts w:hAnsi="Calibri" w:cs="Calibri"/>
                <w:color w:val="auto"/>
                <w:sz w:val="24"/>
                <w:szCs w:val="24"/>
              </w:rPr>
              <w:br w:type="textWrapping"/>
            </w:r>
            <w:r>
              <w:rPr>
                <w:rStyle w:val="34"/>
                <w:rFonts w:hint="eastAsia"/>
                <w:color w:val="auto"/>
                <w:sz w:val="24"/>
                <w:szCs w:val="24"/>
              </w:rPr>
              <w:t>柜外形尺寸为</w:t>
            </w:r>
            <w:r>
              <w:rPr>
                <w:rStyle w:val="34"/>
                <w:color w:val="auto"/>
                <w:sz w:val="24"/>
                <w:szCs w:val="24"/>
              </w:rPr>
              <w:t>2000(H)</w:t>
            </w:r>
            <w:r>
              <w:rPr>
                <w:rStyle w:val="34"/>
                <w:rFonts w:hint="eastAsia"/>
                <w:color w:val="auto"/>
                <w:sz w:val="24"/>
                <w:szCs w:val="24"/>
              </w:rPr>
              <w:t>×</w:t>
            </w:r>
            <w:r>
              <w:rPr>
                <w:rStyle w:val="34"/>
                <w:color w:val="auto"/>
                <w:sz w:val="24"/>
                <w:szCs w:val="24"/>
              </w:rPr>
              <w:t>1000(L)</w:t>
            </w:r>
            <w:r>
              <w:rPr>
                <w:rStyle w:val="34"/>
                <w:rFonts w:hint="eastAsia"/>
                <w:color w:val="auto"/>
                <w:sz w:val="24"/>
                <w:szCs w:val="24"/>
              </w:rPr>
              <w:t>×</w:t>
            </w:r>
            <w:r>
              <w:rPr>
                <w:rStyle w:val="34"/>
                <w:color w:val="auto"/>
                <w:sz w:val="24"/>
                <w:szCs w:val="24"/>
              </w:rPr>
              <w:t>600(D)</w:t>
            </w:r>
            <w:r>
              <w:rPr>
                <w:rStyle w:val="34"/>
                <w:rFonts w:hint="eastAsia"/>
                <w:color w:val="auto"/>
                <w:sz w:val="24"/>
                <w:szCs w:val="24"/>
              </w:rPr>
              <w:t>；厚度</w:t>
            </w:r>
            <w:r>
              <w:rPr>
                <w:rStyle w:val="34"/>
                <w:color w:val="auto"/>
                <w:sz w:val="24"/>
                <w:szCs w:val="24"/>
              </w:rPr>
              <w:t>2.0mm</w:t>
            </w:r>
            <w:r>
              <w:rPr>
                <w:rStyle w:val="34"/>
                <w:rFonts w:hint="eastAsia"/>
                <w:color w:val="auto"/>
                <w:sz w:val="24"/>
                <w:szCs w:val="24"/>
              </w:rPr>
              <w:t>冷轧板；使用浅灰色烤漆；柜体内部安装可以拆卸隔板，支持调整隔板位置，柜体采用全折边设计，专用布线隐藏在枪柜内，与外部连线采用模块式设计；带电子锁及备用钥匙开门功能，是专为射击运动量身定制的，适合存放子弹。</w:t>
            </w:r>
            <w:r>
              <w:rPr>
                <w:rStyle w:val="35"/>
                <w:rFonts w:hint="eastAsia"/>
                <w:color w:val="auto"/>
                <w:sz w:val="24"/>
                <w:szCs w:val="24"/>
              </w:rPr>
              <w:t>需满足与原系统进行功能对接并稳定运行</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189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智能控制柜</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Style w:val="34"/>
                <w:rFonts w:hAnsi="Calibri" w:cs="Calibri"/>
                <w:color w:val="auto"/>
                <w:sz w:val="24"/>
                <w:szCs w:val="24"/>
              </w:rPr>
              <w:br w:type="textWrapping"/>
            </w:r>
            <w:r>
              <w:rPr>
                <w:rStyle w:val="34"/>
                <w:rFonts w:hint="eastAsia"/>
                <w:color w:val="auto"/>
                <w:sz w:val="24"/>
                <w:szCs w:val="24"/>
              </w:rPr>
              <w:t>柜外形尺寸为</w:t>
            </w:r>
            <w:r>
              <w:rPr>
                <w:rStyle w:val="34"/>
                <w:color w:val="auto"/>
                <w:sz w:val="24"/>
                <w:szCs w:val="24"/>
              </w:rPr>
              <w:t>2000(H)</w:t>
            </w:r>
            <w:r>
              <w:rPr>
                <w:rStyle w:val="34"/>
                <w:rFonts w:hint="eastAsia"/>
                <w:color w:val="auto"/>
                <w:sz w:val="24"/>
                <w:szCs w:val="24"/>
              </w:rPr>
              <w:t>×</w:t>
            </w:r>
            <w:r>
              <w:rPr>
                <w:rStyle w:val="34"/>
                <w:color w:val="auto"/>
                <w:sz w:val="24"/>
                <w:szCs w:val="24"/>
              </w:rPr>
              <w:t>400(L)</w:t>
            </w:r>
            <w:r>
              <w:rPr>
                <w:rStyle w:val="34"/>
                <w:rFonts w:hint="eastAsia"/>
                <w:color w:val="auto"/>
                <w:sz w:val="24"/>
                <w:szCs w:val="24"/>
              </w:rPr>
              <w:t>×</w:t>
            </w:r>
            <w:r>
              <w:rPr>
                <w:rStyle w:val="34"/>
                <w:color w:val="auto"/>
                <w:sz w:val="24"/>
                <w:szCs w:val="24"/>
              </w:rPr>
              <w:t>500(D)</w:t>
            </w:r>
            <w:r>
              <w:rPr>
                <w:rStyle w:val="34"/>
                <w:rFonts w:hint="eastAsia"/>
                <w:color w:val="auto"/>
                <w:sz w:val="24"/>
                <w:szCs w:val="24"/>
              </w:rPr>
              <w:t>；厚度</w:t>
            </w:r>
            <w:r>
              <w:rPr>
                <w:rStyle w:val="34"/>
                <w:color w:val="auto"/>
                <w:sz w:val="24"/>
                <w:szCs w:val="24"/>
              </w:rPr>
              <w:t>2.0mm</w:t>
            </w:r>
            <w:r>
              <w:rPr>
                <w:rStyle w:val="34"/>
                <w:rFonts w:hint="eastAsia"/>
                <w:color w:val="auto"/>
                <w:sz w:val="24"/>
                <w:szCs w:val="24"/>
              </w:rPr>
              <w:t>冷轧板；使用浅灰色烤漆；柜体采用全折边设计，专用布线隐藏在柜内，与外部枪弹柜连线采用模块式设计，带嵌入模块式读卡器，</w:t>
            </w:r>
            <w:r>
              <w:rPr>
                <w:rStyle w:val="34"/>
                <w:color w:val="auto"/>
                <w:sz w:val="24"/>
                <w:szCs w:val="24"/>
              </w:rPr>
              <w:t>7</w:t>
            </w:r>
            <w:r>
              <w:rPr>
                <w:rStyle w:val="34"/>
                <w:rFonts w:hint="eastAsia"/>
                <w:color w:val="auto"/>
                <w:sz w:val="24"/>
                <w:szCs w:val="24"/>
              </w:rPr>
              <w:t>寸液晶屏，带人脸识别功能，可脱机独立工作；集成中央控制电路板；柜锁控制模块、独立电锁控制组件等。可与枪弹管理软件通过网络协议通讯，可存取运动员权限，可查柜门状态等功能。是专为射击运动量身定制的。</w:t>
            </w:r>
            <w:r>
              <w:rPr>
                <w:rStyle w:val="35"/>
                <w:rFonts w:hint="eastAsia"/>
                <w:color w:val="auto"/>
                <w:sz w:val="24"/>
                <w:szCs w:val="24"/>
              </w:rPr>
              <w:t>需满足与原系统功能进行对接并稳定运行</w:t>
            </w:r>
            <w:r>
              <w:rPr>
                <w:rStyle w:val="34"/>
                <w:rFonts w:hint="eastAsia"/>
                <w:color w:val="auto"/>
                <w:sz w:val="24"/>
                <w:szCs w:val="24"/>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81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系统对接</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Style w:val="34"/>
                <w:rFonts w:hint="eastAsia"/>
                <w:color w:val="auto"/>
                <w:sz w:val="24"/>
                <w:szCs w:val="24"/>
              </w:rPr>
              <w:t>新增枪弹柜与现有枪弹管理系统对接，统一管理，</w:t>
            </w:r>
            <w:r>
              <w:rPr>
                <w:rStyle w:val="35"/>
                <w:rFonts w:hint="eastAsia"/>
                <w:color w:val="auto"/>
                <w:sz w:val="24"/>
                <w:szCs w:val="24"/>
              </w:rPr>
              <w:t>存储数据巡查时间需达到</w:t>
            </w:r>
            <w:r>
              <w:rPr>
                <w:rStyle w:val="35"/>
                <w:color w:val="auto"/>
                <w:sz w:val="24"/>
                <w:szCs w:val="24"/>
              </w:rPr>
              <w:t>3</w:t>
            </w:r>
            <w:r>
              <w:rPr>
                <w:rStyle w:val="35"/>
                <w:rFonts w:hint="eastAsia"/>
                <w:color w:val="auto"/>
                <w:sz w:val="24"/>
                <w:szCs w:val="24"/>
              </w:rPr>
              <w:t>个月或</w:t>
            </w:r>
            <w:r>
              <w:rPr>
                <w:rStyle w:val="35"/>
                <w:color w:val="auto"/>
                <w:sz w:val="24"/>
                <w:szCs w:val="24"/>
              </w:rPr>
              <w:t>3</w:t>
            </w:r>
            <w:r>
              <w:rPr>
                <w:rStyle w:val="35"/>
                <w:rFonts w:hint="eastAsia"/>
                <w:color w:val="auto"/>
                <w:sz w:val="24"/>
                <w:szCs w:val="24"/>
              </w:rPr>
              <w:t>个月以上，</w:t>
            </w:r>
            <w:r>
              <w:rPr>
                <w:rStyle w:val="34"/>
                <w:rFonts w:hint="eastAsia"/>
                <w:color w:val="auto"/>
                <w:sz w:val="24"/>
                <w:szCs w:val="24"/>
              </w:rPr>
              <w:t>满足与</w:t>
            </w:r>
            <w:r>
              <w:rPr>
                <w:rStyle w:val="34"/>
                <w:color w:val="auto"/>
                <w:sz w:val="24"/>
                <w:szCs w:val="24"/>
              </w:rPr>
              <w:t>110</w:t>
            </w:r>
            <w:r>
              <w:rPr>
                <w:rStyle w:val="34"/>
                <w:rFonts w:hint="eastAsia"/>
                <w:color w:val="auto"/>
                <w:sz w:val="24"/>
                <w:szCs w:val="24"/>
              </w:rPr>
              <w:t>联动报警功能，</w:t>
            </w:r>
            <w:r>
              <w:rPr>
                <w:rStyle w:val="35"/>
                <w:rFonts w:hint="eastAsia"/>
                <w:color w:val="auto"/>
                <w:sz w:val="24"/>
                <w:szCs w:val="24"/>
              </w:rPr>
              <w:t>保证其全部功能并稳定运行。存储数据巡查时间需达到</w:t>
            </w:r>
            <w:r>
              <w:rPr>
                <w:rStyle w:val="35"/>
                <w:color w:val="auto"/>
                <w:sz w:val="24"/>
                <w:szCs w:val="24"/>
              </w:rPr>
              <w:t>3</w:t>
            </w:r>
            <w:r>
              <w:rPr>
                <w:rStyle w:val="35"/>
                <w:rFonts w:hint="eastAsia"/>
                <w:color w:val="auto"/>
                <w:sz w:val="24"/>
                <w:szCs w:val="24"/>
              </w:rPr>
              <w:t>个月或</w:t>
            </w:r>
            <w:r>
              <w:rPr>
                <w:rStyle w:val="35"/>
                <w:color w:val="auto"/>
                <w:sz w:val="24"/>
                <w:szCs w:val="24"/>
              </w:rPr>
              <w:t>3</w:t>
            </w:r>
            <w:r>
              <w:rPr>
                <w:rStyle w:val="35"/>
                <w:rFonts w:hint="eastAsia"/>
                <w:color w:val="auto"/>
                <w:sz w:val="24"/>
                <w:szCs w:val="24"/>
              </w:rPr>
              <w:t>个月以上</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次</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114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人脸识别机</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人脸识别机，完成独立人脸读取功能，专用双摄像头人脸；</w:t>
            </w:r>
            <w:r>
              <w:rPr>
                <w:rFonts w:ascii="宋体" w:hAnsi="宋体" w:cs="宋体"/>
                <w:color w:val="auto"/>
                <w:kern w:val="0"/>
                <w:sz w:val="24"/>
                <w:szCs w:val="24"/>
              </w:rPr>
              <w:t xml:space="preserve"> 200</w:t>
            </w:r>
            <w:r>
              <w:rPr>
                <w:rFonts w:hint="eastAsia" w:ascii="宋体" w:hAnsi="宋体" w:cs="宋体"/>
                <w:color w:val="auto"/>
                <w:kern w:val="0"/>
                <w:sz w:val="24"/>
                <w:szCs w:val="24"/>
              </w:rPr>
              <w:t>人标配（</w:t>
            </w:r>
            <w:r>
              <w:rPr>
                <w:rFonts w:ascii="宋体" w:hAnsi="宋体" w:cs="宋体"/>
                <w:color w:val="auto"/>
                <w:kern w:val="0"/>
                <w:sz w:val="24"/>
                <w:szCs w:val="24"/>
              </w:rPr>
              <w:t>lic</w:t>
            </w:r>
            <w:r>
              <w:rPr>
                <w:rFonts w:hint="eastAsia" w:ascii="宋体" w:hAnsi="宋体" w:cs="宋体"/>
                <w:color w:val="auto"/>
                <w:kern w:val="0"/>
                <w:sz w:val="24"/>
                <w:szCs w:val="24"/>
              </w:rPr>
              <w:t>控制</w:t>
            </w:r>
            <w:r>
              <w:rPr>
                <w:rFonts w:ascii="宋体" w:hAnsi="宋体" w:cs="宋体"/>
                <w:color w:val="auto"/>
                <w:kern w:val="0"/>
                <w:sz w:val="24"/>
                <w:szCs w:val="24"/>
              </w:rPr>
              <w:t>:100</w:t>
            </w:r>
            <w:r>
              <w:rPr>
                <w:rFonts w:hint="eastAsia" w:ascii="宋体" w:hAnsi="宋体" w:cs="宋体"/>
                <w:color w:val="auto"/>
                <w:kern w:val="0"/>
                <w:sz w:val="24"/>
                <w:szCs w:val="24"/>
              </w:rPr>
              <w:t>到</w:t>
            </w:r>
            <w:r>
              <w:rPr>
                <w:rFonts w:ascii="宋体" w:hAnsi="宋体" w:cs="宋体"/>
                <w:color w:val="auto"/>
                <w:kern w:val="0"/>
                <w:sz w:val="24"/>
                <w:szCs w:val="24"/>
              </w:rPr>
              <w:t>400</w:t>
            </w:r>
            <w:r>
              <w:rPr>
                <w:rFonts w:hint="eastAsia" w:ascii="宋体" w:hAnsi="宋体" w:cs="宋体"/>
                <w:color w:val="auto"/>
                <w:kern w:val="0"/>
                <w:sz w:val="24"/>
                <w:szCs w:val="24"/>
              </w:rPr>
              <w:t>人）可调拥有网口、韦根输入、输出、两进两出共计四口</w:t>
            </w:r>
            <w:r>
              <w:rPr>
                <w:rFonts w:ascii="宋体" w:hAnsi="宋体" w:cs="宋体"/>
                <w:color w:val="auto"/>
                <w:kern w:val="0"/>
                <w:sz w:val="24"/>
                <w:szCs w:val="24"/>
              </w:rPr>
              <w:t>I/O</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RS232</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SD</w:t>
            </w:r>
            <w:r>
              <w:rPr>
                <w:rFonts w:hint="eastAsia" w:ascii="宋体" w:hAnsi="宋体" w:cs="宋体"/>
                <w:color w:val="auto"/>
                <w:kern w:val="0"/>
                <w:sz w:val="24"/>
                <w:szCs w:val="24"/>
              </w:rPr>
              <w:t>卡插槽，</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TCP/IP</w:t>
            </w:r>
            <w:r>
              <w:rPr>
                <w:rFonts w:hint="eastAsia" w:ascii="宋体" w:hAnsi="宋体" w:cs="宋体"/>
                <w:color w:val="auto"/>
                <w:kern w:val="0"/>
                <w:sz w:val="24"/>
                <w:szCs w:val="24"/>
              </w:rPr>
              <w:t>联网方式。支持二次开发，提供</w:t>
            </w:r>
            <w:r>
              <w:rPr>
                <w:rFonts w:ascii="宋体" w:hAnsi="宋体" w:cs="宋体"/>
                <w:color w:val="auto"/>
                <w:kern w:val="0"/>
                <w:sz w:val="24"/>
                <w:szCs w:val="24"/>
              </w:rPr>
              <w:t>SDK</w:t>
            </w:r>
            <w:r>
              <w:rPr>
                <w:rFonts w:hint="eastAsia" w:ascii="宋体" w:hAnsi="宋体" w:cs="宋体"/>
                <w:color w:val="auto"/>
                <w:kern w:val="0"/>
                <w:sz w:val="24"/>
                <w:szCs w:val="24"/>
              </w:rPr>
              <w:t>开发包，支持与枪弹管理系统对接。</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81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除湿机</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智能电脑控制除湿机，输入电压</w:t>
            </w:r>
            <w:r>
              <w:rPr>
                <w:rFonts w:ascii="宋体" w:hAnsi="宋体" w:cs="宋体"/>
                <w:color w:val="auto"/>
                <w:kern w:val="0"/>
                <w:sz w:val="24"/>
                <w:szCs w:val="24"/>
              </w:rPr>
              <w:t>/</w:t>
            </w:r>
            <w:r>
              <w:rPr>
                <w:rFonts w:hint="eastAsia" w:ascii="宋体" w:hAnsi="宋体" w:cs="宋体"/>
                <w:color w:val="auto"/>
                <w:kern w:val="0"/>
                <w:sz w:val="24"/>
                <w:szCs w:val="24"/>
              </w:rPr>
              <w:t>频率</w:t>
            </w:r>
            <w:r>
              <w:rPr>
                <w:rFonts w:ascii="宋体" w:hAnsi="宋体" w:cs="宋体"/>
                <w:color w:val="auto"/>
                <w:kern w:val="0"/>
                <w:sz w:val="24"/>
                <w:szCs w:val="24"/>
              </w:rPr>
              <w:t>: 220v/50HZ,</w:t>
            </w:r>
            <w:r>
              <w:rPr>
                <w:rFonts w:hint="eastAsia" w:ascii="宋体" w:hAnsi="宋体" w:cs="宋体"/>
                <w:color w:val="auto"/>
                <w:kern w:val="0"/>
                <w:sz w:val="24"/>
                <w:szCs w:val="24"/>
              </w:rPr>
              <w:t>除霜形式：自动化霜；制冷剂</w:t>
            </w:r>
            <w:r>
              <w:rPr>
                <w:rFonts w:ascii="宋体" w:hAnsi="宋体" w:cs="宋体"/>
                <w:color w:val="auto"/>
                <w:kern w:val="0"/>
                <w:sz w:val="24"/>
                <w:szCs w:val="24"/>
              </w:rPr>
              <w:t>/</w:t>
            </w:r>
            <w:r>
              <w:rPr>
                <w:rFonts w:hint="eastAsia" w:ascii="宋体" w:hAnsi="宋体" w:cs="宋体"/>
                <w:color w:val="auto"/>
                <w:kern w:val="0"/>
                <w:sz w:val="24"/>
                <w:szCs w:val="24"/>
              </w:rPr>
              <w:t>注入量：</w:t>
            </w:r>
            <w:r>
              <w:rPr>
                <w:rFonts w:ascii="宋体" w:hAnsi="宋体" w:cs="宋体"/>
                <w:color w:val="auto"/>
                <w:kern w:val="0"/>
                <w:sz w:val="24"/>
                <w:szCs w:val="24"/>
              </w:rPr>
              <w:t>R134a/200g</w:t>
            </w:r>
            <w:r>
              <w:rPr>
                <w:rFonts w:hint="eastAsia" w:ascii="宋体" w:hAnsi="宋体" w:cs="宋体"/>
                <w:color w:val="auto"/>
                <w:kern w:val="0"/>
                <w:sz w:val="24"/>
                <w:szCs w:val="24"/>
              </w:rPr>
              <w:t>；最大输入功率</w:t>
            </w:r>
            <w:r>
              <w:rPr>
                <w:rFonts w:ascii="宋体" w:hAnsi="宋体" w:cs="宋体"/>
                <w:color w:val="auto"/>
                <w:kern w:val="0"/>
                <w:sz w:val="24"/>
                <w:szCs w:val="24"/>
              </w:rPr>
              <w:t xml:space="preserve"> 450w</w:t>
            </w:r>
            <w:r>
              <w:rPr>
                <w:rFonts w:hint="eastAsia" w:ascii="宋体" w:hAnsi="宋体" w:cs="宋体"/>
                <w:color w:val="auto"/>
                <w:kern w:val="0"/>
                <w:sz w:val="24"/>
                <w:szCs w:val="24"/>
              </w:rPr>
              <w:t>，水箱容积</w:t>
            </w:r>
            <w:r>
              <w:rPr>
                <w:rFonts w:ascii="宋体" w:hAnsi="宋体" w:cs="宋体"/>
                <w:color w:val="auto"/>
                <w:kern w:val="0"/>
                <w:sz w:val="24"/>
                <w:szCs w:val="24"/>
              </w:rPr>
              <w:t>3.5L</w:t>
            </w:r>
            <w:r>
              <w:rPr>
                <w:rFonts w:hint="eastAsia" w:ascii="宋体" w:hAnsi="宋体" w:cs="宋体"/>
                <w:color w:val="auto"/>
                <w:kern w:val="0"/>
                <w:sz w:val="24"/>
                <w:szCs w:val="24"/>
              </w:rPr>
              <w:t>，除湿面积</w:t>
            </w:r>
            <w:r>
              <w:rPr>
                <w:rFonts w:ascii="宋体" w:hAnsi="宋体" w:cs="宋体"/>
                <w:color w:val="auto"/>
                <w:kern w:val="0"/>
                <w:sz w:val="24"/>
                <w:szCs w:val="24"/>
              </w:rPr>
              <w:t>25-40</w:t>
            </w:r>
            <w:r>
              <w:rPr>
                <w:rFonts w:hint="eastAsia" w:ascii="宋体" w:hAnsi="宋体" w:cs="宋体"/>
                <w:color w:val="auto"/>
                <w:kern w:val="0"/>
                <w:sz w:val="24"/>
                <w:szCs w:val="24"/>
              </w:rPr>
              <w:t>平方米，</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UPS</w:t>
            </w:r>
            <w:r>
              <w:rPr>
                <w:rFonts w:hint="eastAsia" w:ascii="宋体" w:hAnsi="宋体" w:cs="宋体"/>
                <w:color w:val="auto"/>
                <w:kern w:val="0"/>
                <w:sz w:val="24"/>
                <w:szCs w:val="24"/>
              </w:rPr>
              <w:t>电池</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额定电压</w:t>
            </w:r>
            <w:r>
              <w:rPr>
                <w:rFonts w:ascii="宋体" w:hAnsi="宋体" w:cs="宋体"/>
                <w:color w:val="auto"/>
                <w:kern w:val="0"/>
                <w:sz w:val="24"/>
                <w:szCs w:val="24"/>
              </w:rPr>
              <w:t>12V,</w:t>
            </w:r>
            <w:r>
              <w:rPr>
                <w:rFonts w:hint="eastAsia" w:ascii="宋体" w:hAnsi="宋体" w:cs="宋体"/>
                <w:color w:val="auto"/>
                <w:kern w:val="0"/>
                <w:sz w:val="24"/>
                <w:szCs w:val="24"/>
              </w:rPr>
              <w:t>容量</w:t>
            </w:r>
            <w:r>
              <w:rPr>
                <w:rFonts w:ascii="宋体" w:hAnsi="宋体" w:cs="宋体"/>
                <w:color w:val="auto"/>
                <w:kern w:val="0"/>
                <w:sz w:val="24"/>
                <w:szCs w:val="24"/>
              </w:rPr>
              <w:t>100AH/UPS</w:t>
            </w:r>
            <w:r>
              <w:rPr>
                <w:rFonts w:hint="eastAsia" w:ascii="宋体" w:hAnsi="宋体" w:cs="宋体"/>
                <w:color w:val="auto"/>
                <w:kern w:val="0"/>
                <w:sz w:val="24"/>
                <w:szCs w:val="24"/>
              </w:rPr>
              <w:t>不间断电源专用电池</w:t>
            </w:r>
            <w:r>
              <w:rPr>
                <w:rFonts w:ascii="宋体" w:hAnsi="宋体" w:cs="宋体"/>
                <w:color w:val="auto"/>
                <w:kern w:val="0"/>
                <w:sz w:val="24"/>
                <w:szCs w:val="24"/>
              </w:rPr>
              <w:t xml:space="preserve"> </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16</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电箱</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8</w:t>
            </w:r>
            <w:r>
              <w:rPr>
                <w:rFonts w:hint="eastAsia" w:ascii="宋体" w:hAnsi="宋体" w:cs="宋体"/>
                <w:color w:val="auto"/>
                <w:kern w:val="0"/>
                <w:sz w:val="24"/>
                <w:szCs w:val="24"/>
              </w:rPr>
              <w:t>回路壁挂明装电箱，配置空开</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108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红外数字网络摄像机</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Style w:val="34"/>
                <w:rFonts w:hint="eastAsia"/>
                <w:color w:val="auto"/>
                <w:sz w:val="24"/>
                <w:szCs w:val="24"/>
              </w:rPr>
              <w:t>网络高清摄像机，分辨率可达</w:t>
            </w:r>
            <w:r>
              <w:rPr>
                <w:rStyle w:val="35"/>
                <w:color w:val="auto"/>
                <w:sz w:val="24"/>
                <w:szCs w:val="24"/>
              </w:rPr>
              <w:t>300</w:t>
            </w:r>
            <w:r>
              <w:rPr>
                <w:rStyle w:val="35"/>
                <w:rFonts w:hint="eastAsia"/>
                <w:color w:val="auto"/>
                <w:sz w:val="24"/>
                <w:szCs w:val="24"/>
              </w:rPr>
              <w:t>万或以上</w:t>
            </w:r>
            <w:r>
              <w:rPr>
                <w:rStyle w:val="34"/>
                <w:rFonts w:hint="eastAsia"/>
                <w:color w:val="auto"/>
                <w:sz w:val="24"/>
                <w:szCs w:val="24"/>
              </w:rPr>
              <w:t>像素（</w:t>
            </w:r>
            <w:r>
              <w:rPr>
                <w:rStyle w:val="34"/>
                <w:color w:val="auto"/>
                <w:sz w:val="24"/>
                <w:szCs w:val="24"/>
              </w:rPr>
              <w:t>1920</w:t>
            </w:r>
            <w:r>
              <w:rPr>
                <w:rStyle w:val="34"/>
                <w:rFonts w:hint="eastAsia"/>
                <w:color w:val="auto"/>
                <w:sz w:val="24"/>
                <w:szCs w:val="24"/>
              </w:rPr>
              <w:t>×</w:t>
            </w:r>
            <w:r>
              <w:rPr>
                <w:rStyle w:val="34"/>
                <w:color w:val="auto"/>
                <w:sz w:val="24"/>
                <w:szCs w:val="24"/>
              </w:rPr>
              <w:t>1080</w:t>
            </w:r>
            <w:r>
              <w:rPr>
                <w:rStyle w:val="34"/>
                <w:rFonts w:hint="eastAsia"/>
                <w:color w:val="auto"/>
                <w:sz w:val="24"/>
                <w:szCs w:val="24"/>
              </w:rPr>
              <w:t>），采用高效红外灯</w:t>
            </w:r>
            <w:r>
              <w:rPr>
                <w:rStyle w:val="34"/>
                <w:rFonts w:hAnsi="Calibri"/>
                <w:color w:val="auto"/>
                <w:sz w:val="24"/>
                <w:szCs w:val="24"/>
              </w:rPr>
              <w:t>,</w:t>
            </w:r>
            <w:r>
              <w:rPr>
                <w:rStyle w:val="34"/>
                <w:rFonts w:hint="eastAsia"/>
                <w:color w:val="auto"/>
                <w:sz w:val="24"/>
                <w:szCs w:val="24"/>
              </w:rPr>
              <w:t>使用寿命长</w:t>
            </w:r>
            <w:r>
              <w:rPr>
                <w:rStyle w:val="34"/>
                <w:rFonts w:hAnsi="Calibri"/>
                <w:color w:val="auto"/>
                <w:sz w:val="24"/>
                <w:szCs w:val="24"/>
              </w:rPr>
              <w:t>,</w:t>
            </w:r>
            <w:r>
              <w:rPr>
                <w:rStyle w:val="34"/>
                <w:rFonts w:hint="eastAsia"/>
                <w:color w:val="auto"/>
                <w:sz w:val="24"/>
                <w:szCs w:val="24"/>
              </w:rPr>
              <w:t>照射距离可达</w:t>
            </w:r>
            <w:r>
              <w:rPr>
                <w:rStyle w:val="34"/>
                <w:color w:val="auto"/>
                <w:sz w:val="24"/>
                <w:szCs w:val="24"/>
              </w:rPr>
              <w:t>20-30</w:t>
            </w:r>
            <w:r>
              <w:rPr>
                <w:rStyle w:val="34"/>
                <w:rFonts w:hint="eastAsia"/>
                <w:color w:val="auto"/>
                <w:sz w:val="24"/>
                <w:szCs w:val="24"/>
              </w:rPr>
              <w:t>米，采用</w:t>
            </w:r>
            <w:r>
              <w:rPr>
                <w:rStyle w:val="34"/>
                <w:color w:val="auto"/>
                <w:sz w:val="24"/>
                <w:szCs w:val="24"/>
              </w:rPr>
              <w:t>ROI</w:t>
            </w:r>
            <w:r>
              <w:rPr>
                <w:rStyle w:val="34"/>
                <w:rFonts w:hint="eastAsia"/>
                <w:color w:val="auto"/>
                <w:sz w:val="24"/>
                <w:szCs w:val="24"/>
              </w:rPr>
              <w:t>、</w:t>
            </w:r>
            <w:r>
              <w:rPr>
                <w:rStyle w:val="34"/>
                <w:color w:val="auto"/>
                <w:sz w:val="24"/>
                <w:szCs w:val="24"/>
              </w:rPr>
              <w:t>SVC</w:t>
            </w:r>
            <w:r>
              <w:rPr>
                <w:rStyle w:val="34"/>
                <w:rFonts w:hint="eastAsia"/>
                <w:color w:val="auto"/>
                <w:sz w:val="24"/>
                <w:szCs w:val="24"/>
              </w:rPr>
              <w:t>等视频压缩技术</w:t>
            </w:r>
            <w:r>
              <w:rPr>
                <w:rStyle w:val="34"/>
                <w:rFonts w:hAnsi="Calibri"/>
                <w:color w:val="auto"/>
                <w:sz w:val="24"/>
                <w:szCs w:val="24"/>
              </w:rPr>
              <w:t>,</w:t>
            </w:r>
            <w:r>
              <w:rPr>
                <w:rStyle w:val="34"/>
                <w:rFonts w:hint="eastAsia"/>
                <w:color w:val="auto"/>
                <w:sz w:val="24"/>
                <w:szCs w:val="24"/>
              </w:rPr>
              <w:t>压缩比高</w:t>
            </w:r>
            <w:r>
              <w:rPr>
                <w:rStyle w:val="34"/>
                <w:rFonts w:hAnsi="Calibri"/>
                <w:color w:val="auto"/>
                <w:sz w:val="24"/>
                <w:szCs w:val="24"/>
              </w:rPr>
              <w:t>,</w:t>
            </w:r>
            <w:r>
              <w:rPr>
                <w:rStyle w:val="34"/>
                <w:rFonts w:hint="eastAsia"/>
                <w:color w:val="auto"/>
                <w:sz w:val="24"/>
                <w:szCs w:val="24"/>
              </w:rPr>
              <w:t>支持数字宽动态</w:t>
            </w:r>
            <w:r>
              <w:rPr>
                <w:rStyle w:val="34"/>
                <w:rFonts w:hAnsi="Calibri"/>
                <w:color w:val="auto"/>
                <w:sz w:val="24"/>
                <w:szCs w:val="24"/>
              </w:rPr>
              <w:t>,</w:t>
            </w:r>
            <w:r>
              <w:rPr>
                <w:rStyle w:val="34"/>
                <w:rFonts w:hint="eastAsia"/>
                <w:color w:val="auto"/>
                <w:sz w:val="24"/>
                <w:szCs w:val="24"/>
              </w:rPr>
              <w:t>支持</w:t>
            </w:r>
            <w:r>
              <w:rPr>
                <w:rStyle w:val="34"/>
                <w:color w:val="auto"/>
                <w:sz w:val="24"/>
                <w:szCs w:val="24"/>
              </w:rPr>
              <w:t>ICR</w:t>
            </w:r>
            <w:r>
              <w:rPr>
                <w:rStyle w:val="34"/>
                <w:rFonts w:hint="eastAsia"/>
                <w:color w:val="auto"/>
                <w:sz w:val="24"/>
                <w:szCs w:val="24"/>
              </w:rPr>
              <w:t>红外滤片式自动切换</w:t>
            </w:r>
            <w:r>
              <w:rPr>
                <w:rStyle w:val="34"/>
                <w:rFonts w:hAnsi="Calibri"/>
                <w:color w:val="auto"/>
                <w:sz w:val="24"/>
                <w:szCs w:val="24"/>
              </w:rPr>
              <w:t>,</w:t>
            </w:r>
            <w:r>
              <w:rPr>
                <w:rStyle w:val="34"/>
                <w:rFonts w:hint="eastAsia"/>
                <w:color w:val="auto"/>
                <w:sz w:val="24"/>
                <w:szCs w:val="24"/>
              </w:rPr>
              <w:t>实现真正的日夜监控，支持</w:t>
            </w:r>
            <w:r>
              <w:rPr>
                <w:rStyle w:val="34"/>
                <w:color w:val="auto"/>
                <w:sz w:val="24"/>
                <w:szCs w:val="24"/>
              </w:rPr>
              <w:t>smartIR</w:t>
            </w:r>
            <w:r>
              <w:rPr>
                <w:rStyle w:val="34"/>
                <w:rFonts w:hint="eastAsia"/>
                <w:color w:val="auto"/>
                <w:sz w:val="24"/>
                <w:szCs w:val="24"/>
              </w:rPr>
              <w:t>，防止夜间红外过曝，支持双码流，支持强光抑制。</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14</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摄像机支架</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坚固耐用，金属材质</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14</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开关电源</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输入</w:t>
            </w:r>
            <w:r>
              <w:rPr>
                <w:rFonts w:ascii="宋体" w:hAnsi="宋体" w:cs="宋体"/>
                <w:color w:val="auto"/>
                <w:kern w:val="0"/>
                <w:sz w:val="24"/>
                <w:szCs w:val="24"/>
              </w:rPr>
              <w:t>AC 220V;</w:t>
            </w:r>
            <w:r>
              <w:rPr>
                <w:rFonts w:hint="eastAsia" w:ascii="宋体" w:hAnsi="宋体" w:cs="宋体"/>
                <w:color w:val="auto"/>
                <w:kern w:val="0"/>
                <w:sz w:val="24"/>
                <w:szCs w:val="24"/>
              </w:rPr>
              <w:t>输出</w:t>
            </w:r>
            <w:r>
              <w:rPr>
                <w:rFonts w:ascii="宋体" w:hAnsi="宋体" w:cs="宋体"/>
                <w:color w:val="auto"/>
                <w:kern w:val="0"/>
                <w:sz w:val="24"/>
                <w:szCs w:val="24"/>
              </w:rPr>
              <w:t>DC12V</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录像硬盘</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硬盘容量：</w:t>
            </w:r>
            <w:r>
              <w:rPr>
                <w:rFonts w:ascii="宋体" w:hAnsi="宋体" w:cs="宋体"/>
                <w:color w:val="auto"/>
                <w:kern w:val="0"/>
                <w:sz w:val="24"/>
                <w:szCs w:val="24"/>
              </w:rPr>
              <w:t xml:space="preserve"> 4TB</w:t>
            </w:r>
            <w:r>
              <w:rPr>
                <w:rFonts w:hint="eastAsia" w:ascii="宋体" w:hAnsi="宋体" w:cs="宋体"/>
                <w:color w:val="auto"/>
                <w:kern w:val="0"/>
                <w:sz w:val="24"/>
                <w:szCs w:val="24"/>
              </w:rPr>
              <w:t>；接口类型：</w:t>
            </w:r>
            <w:r>
              <w:rPr>
                <w:rFonts w:ascii="宋体" w:hAnsi="宋体" w:cs="宋体"/>
                <w:color w:val="auto"/>
                <w:kern w:val="0"/>
                <w:sz w:val="24"/>
                <w:szCs w:val="24"/>
              </w:rPr>
              <w:t>SATA</w:t>
            </w:r>
            <w:r>
              <w:rPr>
                <w:rFonts w:hint="eastAsia" w:ascii="宋体" w:hAnsi="宋体" w:cs="宋体"/>
                <w:color w:val="auto"/>
                <w:kern w:val="0"/>
                <w:sz w:val="24"/>
                <w:szCs w:val="24"/>
              </w:rPr>
              <w:t>；转速：</w:t>
            </w:r>
            <w:r>
              <w:rPr>
                <w:rFonts w:ascii="宋体" w:hAnsi="宋体" w:cs="宋体"/>
                <w:color w:val="auto"/>
                <w:kern w:val="0"/>
                <w:sz w:val="24"/>
                <w:szCs w:val="24"/>
              </w:rPr>
              <w:t xml:space="preserve"> 5900</w:t>
            </w:r>
            <w:r>
              <w:rPr>
                <w:rFonts w:hint="eastAsia" w:ascii="宋体" w:hAnsi="宋体" w:cs="宋体"/>
                <w:color w:val="auto"/>
                <w:kern w:val="0"/>
                <w:sz w:val="24"/>
                <w:szCs w:val="24"/>
              </w:rPr>
              <w:t>转</w:t>
            </w:r>
            <w:r>
              <w:rPr>
                <w:rFonts w:ascii="宋体" w:hAnsi="宋体" w:cs="宋体"/>
                <w:color w:val="auto"/>
                <w:kern w:val="0"/>
                <w:sz w:val="24"/>
                <w:szCs w:val="24"/>
              </w:rPr>
              <w:t>/</w:t>
            </w:r>
            <w:r>
              <w:rPr>
                <w:rFonts w:hint="eastAsia" w:ascii="宋体" w:hAnsi="宋体" w:cs="宋体"/>
                <w:color w:val="auto"/>
                <w:kern w:val="0"/>
                <w:sz w:val="24"/>
                <w:szCs w:val="24"/>
              </w:rPr>
              <w:t>分；缓存：</w:t>
            </w:r>
            <w:r>
              <w:rPr>
                <w:rFonts w:ascii="宋体" w:hAnsi="宋体" w:cs="宋体"/>
                <w:color w:val="auto"/>
                <w:kern w:val="0"/>
                <w:sz w:val="24"/>
                <w:szCs w:val="24"/>
              </w:rPr>
              <w:t xml:space="preserve"> 64MB</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视频服务器</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双路机架式服务器，</w:t>
            </w:r>
            <w:r>
              <w:rPr>
                <w:rFonts w:ascii="宋体" w:hAnsi="宋体" w:cs="宋体"/>
                <w:color w:val="auto"/>
                <w:kern w:val="0"/>
                <w:sz w:val="24"/>
                <w:szCs w:val="24"/>
              </w:rPr>
              <w:t>CPU:</w:t>
            </w:r>
            <w:r>
              <w:rPr>
                <w:rFonts w:hint="eastAsia" w:ascii="宋体" w:hAnsi="宋体" w:cs="宋体"/>
                <w:color w:val="auto"/>
                <w:kern w:val="0"/>
                <w:sz w:val="24"/>
                <w:szCs w:val="24"/>
              </w:rPr>
              <w:t>主频</w:t>
            </w:r>
            <w:r>
              <w:rPr>
                <w:rFonts w:ascii="宋体" w:hAnsi="宋体" w:cs="宋体"/>
                <w:color w:val="auto"/>
                <w:kern w:val="0"/>
                <w:sz w:val="24"/>
                <w:szCs w:val="24"/>
              </w:rPr>
              <w:t>2.1GHZ (8</w:t>
            </w:r>
            <w:r>
              <w:rPr>
                <w:rFonts w:hint="eastAsia" w:ascii="宋体" w:hAnsi="宋体" w:cs="宋体"/>
                <w:color w:val="auto"/>
                <w:kern w:val="0"/>
                <w:sz w:val="24"/>
                <w:szCs w:val="24"/>
              </w:rPr>
              <w:t>核</w:t>
            </w:r>
            <w:r>
              <w:rPr>
                <w:rFonts w:ascii="宋体" w:hAnsi="宋体" w:cs="宋体"/>
                <w:color w:val="auto"/>
                <w:kern w:val="0"/>
                <w:sz w:val="24"/>
                <w:szCs w:val="24"/>
              </w:rPr>
              <w:t>)</w:t>
            </w:r>
            <w:r>
              <w:rPr>
                <w:rFonts w:hint="eastAsia" w:ascii="宋体" w:hAnsi="宋体" w:cs="宋体"/>
                <w:color w:val="auto"/>
                <w:kern w:val="0"/>
                <w:sz w:val="24"/>
                <w:szCs w:val="24"/>
              </w:rPr>
              <w:t>；内存</w:t>
            </w:r>
            <w:r>
              <w:rPr>
                <w:rFonts w:ascii="宋体" w:hAnsi="宋体" w:cs="宋体"/>
                <w:color w:val="auto"/>
                <w:kern w:val="0"/>
                <w:sz w:val="24"/>
                <w:szCs w:val="24"/>
              </w:rPr>
              <w:t>32GB DDR4</w:t>
            </w:r>
            <w:r>
              <w:rPr>
                <w:rFonts w:hint="eastAsia" w:ascii="宋体" w:hAnsi="宋体" w:cs="宋体"/>
                <w:color w:val="auto"/>
                <w:kern w:val="0"/>
                <w:sz w:val="24"/>
                <w:szCs w:val="24"/>
              </w:rPr>
              <w:t>；硬盘</w:t>
            </w:r>
            <w:r>
              <w:rPr>
                <w:rFonts w:ascii="宋体" w:hAnsi="宋体" w:cs="宋体"/>
                <w:color w:val="auto"/>
                <w:kern w:val="0"/>
                <w:sz w:val="24"/>
                <w:szCs w:val="24"/>
              </w:rPr>
              <w:t>TB SATA</w:t>
            </w: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，带</w:t>
            </w:r>
            <w:r>
              <w:rPr>
                <w:rFonts w:ascii="宋体" w:hAnsi="宋体" w:cs="宋体"/>
                <w:color w:val="auto"/>
                <w:kern w:val="0"/>
                <w:sz w:val="24"/>
                <w:szCs w:val="24"/>
              </w:rPr>
              <w:t>SAS_HBA</w:t>
            </w:r>
            <w:r>
              <w:rPr>
                <w:rFonts w:hint="eastAsia" w:ascii="宋体" w:hAnsi="宋体" w:cs="宋体"/>
                <w:color w:val="auto"/>
                <w:kern w:val="0"/>
                <w:sz w:val="24"/>
                <w:szCs w:val="24"/>
              </w:rPr>
              <w:t>，带</w:t>
            </w:r>
            <w:r>
              <w:rPr>
                <w:rFonts w:ascii="宋体" w:hAnsi="宋体" w:cs="宋体"/>
                <w:color w:val="auto"/>
                <w:kern w:val="0"/>
                <w:sz w:val="24"/>
                <w:szCs w:val="24"/>
              </w:rPr>
              <w:t>DVD</w:t>
            </w:r>
            <w:r>
              <w:rPr>
                <w:rFonts w:hint="eastAsia" w:ascii="宋体" w:hAnsi="宋体" w:cs="宋体"/>
                <w:color w:val="auto"/>
                <w:kern w:val="0"/>
                <w:sz w:val="24"/>
                <w:szCs w:val="24"/>
              </w:rPr>
              <w:t>，网口</w:t>
            </w:r>
            <w:r>
              <w:rPr>
                <w:rFonts w:ascii="宋体" w:hAnsi="宋体" w:cs="宋体"/>
                <w:color w:val="auto"/>
                <w:kern w:val="0"/>
                <w:sz w:val="24"/>
                <w:szCs w:val="24"/>
              </w:rPr>
              <w:t>1GbE</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；冗电电源：高效能</w:t>
            </w:r>
            <w:r>
              <w:rPr>
                <w:rFonts w:ascii="宋体" w:hAnsi="宋体" w:cs="宋体"/>
                <w:color w:val="auto"/>
                <w:kern w:val="0"/>
                <w:sz w:val="24"/>
                <w:szCs w:val="24"/>
              </w:rPr>
              <w:t>550W</w:t>
            </w:r>
            <w:r>
              <w:rPr>
                <w:rFonts w:hint="eastAsia" w:ascii="宋体" w:hAnsi="宋体" w:cs="宋体"/>
                <w:color w:val="auto"/>
                <w:kern w:val="0"/>
                <w:sz w:val="24"/>
                <w:szCs w:val="24"/>
              </w:rPr>
              <w:t>铂金</w:t>
            </w:r>
            <w:r>
              <w:rPr>
                <w:rFonts w:ascii="宋体" w:hAnsi="宋体" w:cs="宋体"/>
                <w:color w:val="auto"/>
                <w:kern w:val="0"/>
                <w:sz w:val="24"/>
                <w:szCs w:val="24"/>
              </w:rPr>
              <w:t xml:space="preserve">1+1 </w:t>
            </w:r>
            <w:r>
              <w:rPr>
                <w:rFonts w:hint="eastAsia" w:ascii="宋体" w:hAnsi="宋体" w:cs="宋体"/>
                <w:color w:val="auto"/>
                <w:kern w:val="0"/>
                <w:sz w:val="24"/>
                <w:szCs w:val="24"/>
              </w:rPr>
              <w:t>冗余电源，</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54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视频客户端</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Style w:val="36"/>
                <w:rFonts w:hint="eastAsia"/>
                <w:color w:val="auto"/>
              </w:rPr>
              <w:t>台式机电脑，</w:t>
            </w:r>
            <w:r>
              <w:rPr>
                <w:rStyle w:val="36"/>
                <w:color w:val="auto"/>
              </w:rPr>
              <w:t>CPU:</w:t>
            </w:r>
            <w:r>
              <w:rPr>
                <w:rStyle w:val="36"/>
                <w:rFonts w:hint="eastAsia"/>
                <w:color w:val="auto"/>
              </w:rPr>
              <w:t>主频</w:t>
            </w:r>
            <w:r>
              <w:rPr>
                <w:rStyle w:val="36"/>
                <w:color w:val="auto"/>
              </w:rPr>
              <w:t>3GHZ(</w:t>
            </w:r>
            <w:r>
              <w:rPr>
                <w:rStyle w:val="36"/>
                <w:rFonts w:hint="eastAsia"/>
                <w:color w:val="auto"/>
              </w:rPr>
              <w:t>四核），</w:t>
            </w:r>
            <w:r>
              <w:rPr>
                <w:rStyle w:val="36"/>
                <w:color w:val="auto"/>
              </w:rPr>
              <w:t xml:space="preserve"> </w:t>
            </w:r>
            <w:r>
              <w:rPr>
                <w:rStyle w:val="36"/>
                <w:rFonts w:hint="eastAsia"/>
                <w:color w:val="auto"/>
              </w:rPr>
              <w:t>内存</w:t>
            </w:r>
            <w:r>
              <w:rPr>
                <w:rStyle w:val="36"/>
                <w:color w:val="auto"/>
              </w:rPr>
              <w:t>:8GB DDR4</w:t>
            </w:r>
            <w:r>
              <w:rPr>
                <w:rStyle w:val="36"/>
                <w:rFonts w:hint="eastAsia"/>
                <w:color w:val="auto"/>
              </w:rPr>
              <w:t>，硬盘容量</w:t>
            </w:r>
            <w:r>
              <w:rPr>
                <w:rStyle w:val="36"/>
                <w:color w:val="auto"/>
              </w:rPr>
              <w:t xml:space="preserve"> 500G, DVD</w:t>
            </w:r>
            <w:r>
              <w:rPr>
                <w:rStyle w:val="36"/>
                <w:rFonts w:hint="eastAsia"/>
                <w:color w:val="auto"/>
              </w:rPr>
              <w:t>光驱</w:t>
            </w:r>
            <w:r>
              <w:rPr>
                <w:rStyle w:val="36"/>
                <w:color w:val="auto"/>
              </w:rPr>
              <w:t>,2GB</w:t>
            </w:r>
            <w:r>
              <w:rPr>
                <w:rStyle w:val="36"/>
                <w:rFonts w:hint="eastAsia"/>
                <w:color w:val="auto"/>
              </w:rPr>
              <w:t>独立显卡，配鼠标键盘，配</w:t>
            </w:r>
            <w:r>
              <w:rPr>
                <w:rStyle w:val="36"/>
                <w:color w:val="auto"/>
              </w:rPr>
              <w:t>24</w:t>
            </w:r>
            <w:r>
              <w:rPr>
                <w:rStyle w:val="36"/>
                <w:rFonts w:hint="eastAsia"/>
                <w:color w:val="auto"/>
              </w:rPr>
              <w:t>寸液晶显示器。</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5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桌面音响</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2.0</w:t>
            </w:r>
            <w:r>
              <w:rPr>
                <w:rFonts w:hint="eastAsia" w:ascii="宋体" w:hAnsi="宋体" w:cs="宋体"/>
                <w:color w:val="auto"/>
                <w:kern w:val="0"/>
                <w:sz w:val="24"/>
                <w:szCs w:val="24"/>
              </w:rPr>
              <w:t>声道音箱，扬声器驱动器</w:t>
            </w:r>
            <w:r>
              <w:rPr>
                <w:rFonts w:ascii="宋体" w:hAnsi="宋体" w:cs="宋体"/>
                <w:color w:val="auto"/>
                <w:kern w:val="0"/>
                <w:sz w:val="24"/>
                <w:szCs w:val="24"/>
              </w:rPr>
              <w:t>2.5</w:t>
            </w:r>
            <w:r>
              <w:rPr>
                <w:rFonts w:hint="eastAsia" w:ascii="宋体" w:hAnsi="宋体" w:cs="宋体"/>
                <w:color w:val="auto"/>
                <w:kern w:val="0"/>
                <w:sz w:val="24"/>
                <w:szCs w:val="24"/>
              </w:rPr>
              <w:t>寸，频率范围</w:t>
            </w:r>
            <w:r>
              <w:rPr>
                <w:rFonts w:ascii="宋体" w:hAnsi="宋体" w:cs="宋体"/>
                <w:color w:val="auto"/>
                <w:kern w:val="0"/>
                <w:sz w:val="24"/>
                <w:szCs w:val="24"/>
              </w:rPr>
              <w:t>100HZ-20KHZ</w:t>
            </w:r>
            <w:r>
              <w:rPr>
                <w:rFonts w:hint="eastAsia" w:ascii="宋体" w:hAnsi="宋体" w:cs="宋体"/>
                <w:color w:val="auto"/>
                <w:kern w:val="0"/>
                <w:sz w:val="24"/>
                <w:szCs w:val="24"/>
              </w:rPr>
              <w:t>，音箱材质木质，支持即插即用，</w:t>
            </w:r>
            <w:r>
              <w:rPr>
                <w:rFonts w:ascii="宋体" w:hAnsi="宋体" w:cs="宋体"/>
                <w:color w:val="auto"/>
                <w:kern w:val="0"/>
                <w:sz w:val="24"/>
                <w:szCs w:val="24"/>
              </w:rPr>
              <w:t>3.5mm</w:t>
            </w:r>
            <w:r>
              <w:rPr>
                <w:rFonts w:hint="eastAsia" w:ascii="宋体" w:hAnsi="宋体" w:cs="宋体"/>
                <w:color w:val="auto"/>
                <w:kern w:val="0"/>
                <w:sz w:val="24"/>
                <w:szCs w:val="24"/>
              </w:rPr>
              <w:t>音频接口，兼容手机、平板、电脑等，</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370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视频矩阵</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高清视频矩阵，支持</w:t>
            </w:r>
            <w:r>
              <w:rPr>
                <w:rFonts w:ascii="宋体" w:hAnsi="宋体" w:cs="宋体"/>
                <w:color w:val="auto"/>
                <w:kern w:val="0"/>
                <w:sz w:val="24"/>
                <w:szCs w:val="24"/>
              </w:rPr>
              <w:t>Linux</w:t>
            </w:r>
            <w:r>
              <w:rPr>
                <w:rFonts w:hint="eastAsia" w:ascii="宋体" w:hAnsi="宋体" w:cs="宋体"/>
                <w:color w:val="auto"/>
                <w:kern w:val="0"/>
                <w:sz w:val="24"/>
                <w:szCs w:val="24"/>
              </w:rPr>
              <w:t>操作系统，运行稳定可靠；</w:t>
            </w:r>
            <w:r>
              <w:rPr>
                <w:rFonts w:ascii="宋体"/>
                <w:color w:val="auto"/>
                <w:kern w:val="0"/>
                <w:sz w:val="24"/>
                <w:szCs w:val="24"/>
              </w:rPr>
              <w:br w:type="textWrapping"/>
            </w:r>
            <w:r>
              <w:rPr>
                <w:rFonts w:hint="eastAsia" w:ascii="宋体" w:hAnsi="宋体" w:cs="宋体"/>
                <w:color w:val="auto"/>
                <w:kern w:val="0"/>
                <w:sz w:val="24"/>
                <w:szCs w:val="24"/>
              </w:rPr>
              <w:t>输出接口：支持</w:t>
            </w:r>
            <w:r>
              <w:rPr>
                <w:rFonts w:ascii="宋体" w:hAnsi="宋体" w:cs="宋体"/>
                <w:color w:val="auto"/>
                <w:kern w:val="0"/>
                <w:sz w:val="24"/>
                <w:szCs w:val="24"/>
              </w:rPr>
              <w:t>12</w:t>
            </w:r>
            <w:r>
              <w:rPr>
                <w:rFonts w:hint="eastAsia" w:ascii="宋体" w:hAnsi="宋体" w:cs="宋体"/>
                <w:color w:val="auto"/>
                <w:kern w:val="0"/>
                <w:sz w:val="24"/>
                <w:szCs w:val="24"/>
              </w:rPr>
              <w:t>路</w:t>
            </w:r>
            <w:r>
              <w:rPr>
                <w:rFonts w:ascii="宋体" w:hAnsi="宋体" w:cs="宋体"/>
                <w:color w:val="auto"/>
                <w:kern w:val="0"/>
                <w:sz w:val="24"/>
                <w:szCs w:val="24"/>
              </w:rPr>
              <w:t>HDMI</w:t>
            </w:r>
            <w:r>
              <w:rPr>
                <w:rFonts w:hint="eastAsia" w:ascii="宋体" w:hAnsi="宋体" w:cs="宋体"/>
                <w:color w:val="auto"/>
                <w:kern w:val="0"/>
                <w:sz w:val="24"/>
                <w:szCs w:val="24"/>
              </w:rPr>
              <w:t>和</w:t>
            </w:r>
            <w:r>
              <w:rPr>
                <w:rFonts w:ascii="宋体" w:hAnsi="宋体" w:cs="宋体"/>
                <w:color w:val="auto"/>
                <w:kern w:val="0"/>
                <w:sz w:val="24"/>
                <w:szCs w:val="24"/>
              </w:rPr>
              <w:t>6</w:t>
            </w:r>
            <w:r>
              <w:rPr>
                <w:rFonts w:hint="eastAsia" w:ascii="宋体" w:hAnsi="宋体" w:cs="宋体"/>
                <w:color w:val="auto"/>
                <w:kern w:val="0"/>
                <w:sz w:val="24"/>
                <w:szCs w:val="24"/>
              </w:rPr>
              <w:t>路</w:t>
            </w:r>
            <w:r>
              <w:rPr>
                <w:rFonts w:ascii="宋体" w:hAnsi="宋体" w:cs="宋体"/>
                <w:color w:val="auto"/>
                <w:kern w:val="0"/>
                <w:sz w:val="24"/>
                <w:szCs w:val="24"/>
              </w:rPr>
              <w:t>BNC</w:t>
            </w:r>
            <w:r>
              <w:rPr>
                <w:rFonts w:hint="eastAsia" w:ascii="宋体" w:hAnsi="宋体" w:cs="宋体"/>
                <w:color w:val="auto"/>
                <w:kern w:val="0"/>
                <w:sz w:val="24"/>
                <w:szCs w:val="24"/>
              </w:rPr>
              <w:t>输出，</w:t>
            </w:r>
            <w:r>
              <w:rPr>
                <w:rFonts w:ascii="宋体" w:hAnsi="宋体" w:cs="宋体"/>
                <w:color w:val="auto"/>
                <w:kern w:val="0"/>
                <w:sz w:val="24"/>
                <w:szCs w:val="24"/>
              </w:rPr>
              <w:t>HDMI</w:t>
            </w:r>
            <w:r>
              <w:rPr>
                <w:rFonts w:hint="eastAsia" w:ascii="宋体" w:hAnsi="宋体" w:cs="宋体"/>
                <w:color w:val="auto"/>
                <w:kern w:val="0"/>
                <w:sz w:val="24"/>
                <w:szCs w:val="24"/>
              </w:rPr>
              <w:t>（可以转</w:t>
            </w:r>
            <w:r>
              <w:rPr>
                <w:rFonts w:ascii="宋体" w:hAnsi="宋体" w:cs="宋体"/>
                <w:color w:val="auto"/>
                <w:kern w:val="0"/>
                <w:sz w:val="24"/>
                <w:szCs w:val="24"/>
              </w:rPr>
              <w:t>DVI-D</w:t>
            </w:r>
            <w:r>
              <w:rPr>
                <w:rFonts w:hint="eastAsia" w:ascii="宋体" w:hAnsi="宋体" w:cs="宋体"/>
                <w:color w:val="auto"/>
                <w:kern w:val="0"/>
                <w:sz w:val="24"/>
                <w:szCs w:val="24"/>
              </w:rPr>
              <w:t>）；输出分辨率最高支持</w:t>
            </w:r>
            <w:r>
              <w:rPr>
                <w:rFonts w:ascii="宋体" w:hAnsi="宋体" w:cs="宋体"/>
                <w:color w:val="auto"/>
                <w:kern w:val="0"/>
                <w:sz w:val="24"/>
                <w:szCs w:val="24"/>
              </w:rPr>
              <w:t>4K</w:t>
            </w:r>
            <w:r>
              <w:rPr>
                <w:rFonts w:hint="eastAsia" w:ascii="宋体" w:hAnsi="宋体" w:cs="宋体"/>
                <w:color w:val="auto"/>
                <w:kern w:val="0"/>
                <w:sz w:val="24"/>
                <w:szCs w:val="24"/>
              </w:rPr>
              <w:t>（</w:t>
            </w:r>
            <w:r>
              <w:rPr>
                <w:rFonts w:ascii="宋体" w:hAnsi="宋体" w:cs="宋体"/>
                <w:color w:val="auto"/>
                <w:kern w:val="0"/>
                <w:sz w:val="24"/>
                <w:szCs w:val="24"/>
              </w:rPr>
              <w:t>3840*2160@30HZ</w:t>
            </w:r>
            <w:r>
              <w:rPr>
                <w:rFonts w:hint="eastAsia" w:ascii="宋体" w:hAnsi="宋体" w:cs="宋体"/>
                <w:color w:val="auto"/>
                <w:kern w:val="0"/>
                <w:sz w:val="24"/>
                <w:szCs w:val="24"/>
              </w:rPr>
              <w:t>）；支持</w:t>
            </w:r>
            <w:r>
              <w:rPr>
                <w:rFonts w:ascii="宋体" w:hAnsi="宋体" w:cs="宋体"/>
                <w:color w:val="auto"/>
                <w:kern w:val="0"/>
                <w:sz w:val="24"/>
                <w:szCs w:val="24"/>
              </w:rPr>
              <w:t>H.265</w:t>
            </w:r>
            <w:r>
              <w:rPr>
                <w:rFonts w:hint="eastAsia" w:ascii="宋体" w:hAnsi="宋体" w:cs="宋体"/>
                <w:color w:val="auto"/>
                <w:kern w:val="0"/>
                <w:sz w:val="24"/>
                <w:szCs w:val="24"/>
              </w:rPr>
              <w:t>、</w:t>
            </w:r>
            <w:r>
              <w:rPr>
                <w:rFonts w:ascii="宋体" w:hAnsi="宋体" w:cs="宋体"/>
                <w:color w:val="auto"/>
                <w:kern w:val="0"/>
                <w:sz w:val="24"/>
                <w:szCs w:val="24"/>
              </w:rPr>
              <w:t>H.264</w:t>
            </w:r>
            <w:r>
              <w:rPr>
                <w:rFonts w:hint="eastAsia" w:ascii="宋体" w:hAnsi="宋体" w:cs="宋体"/>
                <w:color w:val="auto"/>
                <w:kern w:val="0"/>
                <w:sz w:val="24"/>
                <w:szCs w:val="24"/>
              </w:rPr>
              <w:t>、</w:t>
            </w:r>
            <w:r>
              <w:rPr>
                <w:rFonts w:ascii="宋体" w:hAnsi="宋体" w:cs="宋体"/>
                <w:color w:val="auto"/>
                <w:kern w:val="0"/>
                <w:sz w:val="24"/>
                <w:szCs w:val="24"/>
              </w:rPr>
              <w:t>MPEG4</w:t>
            </w:r>
            <w:r>
              <w:rPr>
                <w:rFonts w:hint="eastAsia" w:ascii="宋体" w:hAnsi="宋体" w:cs="宋体"/>
                <w:color w:val="auto"/>
                <w:kern w:val="0"/>
                <w:sz w:val="24"/>
                <w:szCs w:val="24"/>
              </w:rPr>
              <w:t>、</w:t>
            </w:r>
            <w:r>
              <w:rPr>
                <w:rFonts w:ascii="宋体" w:hAnsi="宋体" w:cs="宋体"/>
                <w:color w:val="auto"/>
                <w:kern w:val="0"/>
                <w:sz w:val="24"/>
                <w:szCs w:val="24"/>
              </w:rPr>
              <w:t>MJPEG</w:t>
            </w:r>
            <w:r>
              <w:rPr>
                <w:rFonts w:hint="eastAsia" w:ascii="宋体" w:hAnsi="宋体" w:cs="宋体"/>
                <w:color w:val="auto"/>
                <w:kern w:val="0"/>
                <w:sz w:val="24"/>
                <w:szCs w:val="24"/>
              </w:rPr>
              <w:t>等主流的编码格式；支持</w:t>
            </w:r>
            <w:r>
              <w:rPr>
                <w:rFonts w:ascii="宋体" w:hAnsi="宋体" w:cs="宋体"/>
                <w:color w:val="auto"/>
                <w:kern w:val="0"/>
                <w:sz w:val="24"/>
                <w:szCs w:val="24"/>
              </w:rPr>
              <w:t>PS</w:t>
            </w:r>
            <w:r>
              <w:rPr>
                <w:rFonts w:hint="eastAsia" w:ascii="宋体" w:hAnsi="宋体" w:cs="宋体"/>
                <w:color w:val="auto"/>
                <w:kern w:val="0"/>
                <w:sz w:val="24"/>
                <w:szCs w:val="24"/>
              </w:rPr>
              <w:t>、</w:t>
            </w:r>
            <w:r>
              <w:rPr>
                <w:rFonts w:ascii="宋体" w:hAnsi="宋体" w:cs="宋体"/>
                <w:color w:val="auto"/>
                <w:kern w:val="0"/>
                <w:sz w:val="24"/>
                <w:szCs w:val="24"/>
              </w:rPr>
              <w:t>RTP</w:t>
            </w:r>
            <w:r>
              <w:rPr>
                <w:rFonts w:hint="eastAsia" w:ascii="宋体" w:hAnsi="宋体" w:cs="宋体"/>
                <w:color w:val="auto"/>
                <w:kern w:val="0"/>
                <w:sz w:val="24"/>
                <w:szCs w:val="24"/>
              </w:rPr>
              <w:t>、</w:t>
            </w:r>
            <w:r>
              <w:rPr>
                <w:rFonts w:ascii="宋体" w:hAnsi="宋体" w:cs="宋体"/>
                <w:color w:val="auto"/>
                <w:kern w:val="0"/>
                <w:sz w:val="24"/>
                <w:szCs w:val="24"/>
              </w:rPr>
              <w:t>TS</w:t>
            </w:r>
            <w:r>
              <w:rPr>
                <w:rFonts w:hint="eastAsia" w:ascii="宋体" w:hAnsi="宋体" w:cs="宋体"/>
                <w:color w:val="auto"/>
                <w:kern w:val="0"/>
                <w:sz w:val="24"/>
                <w:szCs w:val="24"/>
              </w:rPr>
              <w:t>、</w:t>
            </w:r>
            <w:r>
              <w:rPr>
                <w:rFonts w:ascii="宋体" w:hAnsi="宋体" w:cs="宋体"/>
                <w:color w:val="auto"/>
                <w:kern w:val="0"/>
                <w:sz w:val="24"/>
                <w:szCs w:val="24"/>
              </w:rPr>
              <w:t>ES</w:t>
            </w:r>
            <w:r>
              <w:rPr>
                <w:rFonts w:hint="eastAsia" w:ascii="宋体" w:hAnsi="宋体" w:cs="宋体"/>
                <w:color w:val="auto"/>
                <w:kern w:val="0"/>
                <w:sz w:val="24"/>
                <w:szCs w:val="24"/>
              </w:rPr>
              <w:t>等主流的封装格式；支持</w:t>
            </w:r>
            <w:r>
              <w:rPr>
                <w:rFonts w:ascii="宋体" w:hAnsi="宋体" w:cs="宋体"/>
                <w:color w:val="auto"/>
                <w:kern w:val="0"/>
                <w:sz w:val="24"/>
                <w:szCs w:val="24"/>
              </w:rPr>
              <w:t>G.722</w:t>
            </w:r>
            <w:r>
              <w:rPr>
                <w:rFonts w:hint="eastAsia" w:ascii="宋体" w:hAnsi="宋体" w:cs="宋体"/>
                <w:color w:val="auto"/>
                <w:kern w:val="0"/>
                <w:sz w:val="24"/>
                <w:szCs w:val="24"/>
              </w:rPr>
              <w:t>、</w:t>
            </w:r>
            <w:r>
              <w:rPr>
                <w:rFonts w:ascii="宋体" w:hAnsi="宋体" w:cs="宋体"/>
                <w:color w:val="auto"/>
                <w:kern w:val="0"/>
                <w:sz w:val="24"/>
                <w:szCs w:val="24"/>
              </w:rPr>
              <w:t>G.711A</w:t>
            </w:r>
            <w:r>
              <w:rPr>
                <w:rFonts w:hint="eastAsia" w:ascii="宋体" w:hAnsi="宋体" w:cs="宋体"/>
                <w:color w:val="auto"/>
                <w:kern w:val="0"/>
                <w:sz w:val="24"/>
                <w:szCs w:val="24"/>
              </w:rPr>
              <w:t>、</w:t>
            </w:r>
            <w:r>
              <w:rPr>
                <w:rFonts w:ascii="宋体" w:hAnsi="宋体" w:cs="宋体"/>
                <w:color w:val="auto"/>
                <w:kern w:val="0"/>
                <w:sz w:val="24"/>
                <w:szCs w:val="24"/>
              </w:rPr>
              <w:t>G.726</w:t>
            </w:r>
            <w:r>
              <w:rPr>
                <w:rFonts w:hint="eastAsia" w:ascii="宋体" w:hAnsi="宋体" w:cs="宋体"/>
                <w:color w:val="auto"/>
                <w:kern w:val="0"/>
                <w:sz w:val="24"/>
                <w:szCs w:val="24"/>
              </w:rPr>
              <w:t>、</w:t>
            </w:r>
            <w:r>
              <w:rPr>
                <w:rFonts w:ascii="宋体" w:hAnsi="宋体" w:cs="宋体"/>
                <w:color w:val="auto"/>
                <w:kern w:val="0"/>
                <w:sz w:val="24"/>
                <w:szCs w:val="24"/>
              </w:rPr>
              <w:t>G.711U</w:t>
            </w:r>
            <w:r>
              <w:rPr>
                <w:rFonts w:hint="eastAsia" w:ascii="宋体" w:hAnsi="宋体" w:cs="宋体"/>
                <w:color w:val="auto"/>
                <w:kern w:val="0"/>
                <w:sz w:val="24"/>
                <w:szCs w:val="24"/>
              </w:rPr>
              <w:t>、</w:t>
            </w:r>
            <w:r>
              <w:rPr>
                <w:rFonts w:ascii="宋体" w:hAnsi="宋体" w:cs="宋体"/>
                <w:color w:val="auto"/>
                <w:kern w:val="0"/>
                <w:sz w:val="24"/>
                <w:szCs w:val="24"/>
              </w:rPr>
              <w:t>MPEG2-L2</w:t>
            </w:r>
            <w:r>
              <w:rPr>
                <w:rFonts w:hint="eastAsia" w:ascii="宋体" w:hAnsi="宋体" w:cs="宋体"/>
                <w:color w:val="auto"/>
                <w:kern w:val="0"/>
                <w:sz w:val="24"/>
                <w:szCs w:val="24"/>
              </w:rPr>
              <w:t>、</w:t>
            </w:r>
            <w:r>
              <w:rPr>
                <w:rFonts w:ascii="宋体" w:hAnsi="宋体" w:cs="宋体"/>
                <w:color w:val="auto"/>
                <w:kern w:val="0"/>
                <w:sz w:val="24"/>
                <w:szCs w:val="24"/>
              </w:rPr>
              <w:t>AAC</w:t>
            </w:r>
            <w:r>
              <w:rPr>
                <w:rFonts w:hint="eastAsia" w:ascii="宋体" w:hAnsi="宋体" w:cs="宋体"/>
                <w:color w:val="auto"/>
                <w:kern w:val="0"/>
                <w:sz w:val="24"/>
                <w:szCs w:val="24"/>
              </w:rPr>
              <w:t>音频格式的解码；支持</w:t>
            </w:r>
            <w:r>
              <w:rPr>
                <w:rFonts w:ascii="宋体" w:hAnsi="宋体" w:cs="宋体"/>
                <w:color w:val="auto"/>
                <w:kern w:val="0"/>
                <w:sz w:val="24"/>
                <w:szCs w:val="24"/>
              </w:rPr>
              <w:t>12</w:t>
            </w:r>
            <w:r>
              <w:rPr>
                <w:rFonts w:hint="eastAsia" w:ascii="宋体" w:hAnsi="宋体" w:cs="宋体"/>
                <w:color w:val="auto"/>
                <w:kern w:val="0"/>
                <w:sz w:val="24"/>
                <w:szCs w:val="24"/>
              </w:rPr>
              <w:t>路</w:t>
            </w:r>
            <w:r>
              <w:rPr>
                <w:rFonts w:ascii="宋体" w:hAnsi="宋体" w:cs="宋体"/>
                <w:color w:val="auto"/>
                <w:kern w:val="0"/>
                <w:sz w:val="24"/>
                <w:szCs w:val="24"/>
              </w:rPr>
              <w:t>1200W</w:t>
            </w:r>
            <w:r>
              <w:rPr>
                <w:rFonts w:hint="eastAsia" w:ascii="宋体" w:hAnsi="宋体" w:cs="宋体"/>
                <w:color w:val="auto"/>
                <w:kern w:val="0"/>
                <w:sz w:val="24"/>
                <w:szCs w:val="24"/>
              </w:rPr>
              <w:t>，或</w:t>
            </w:r>
            <w:r>
              <w:rPr>
                <w:rFonts w:ascii="宋体" w:hAnsi="宋体" w:cs="宋体"/>
                <w:color w:val="auto"/>
                <w:kern w:val="0"/>
                <w:sz w:val="24"/>
                <w:szCs w:val="24"/>
              </w:rPr>
              <w:t>24</w:t>
            </w:r>
            <w:r>
              <w:rPr>
                <w:rFonts w:hint="eastAsia" w:ascii="宋体" w:hAnsi="宋体" w:cs="宋体"/>
                <w:color w:val="auto"/>
                <w:kern w:val="0"/>
                <w:sz w:val="24"/>
                <w:szCs w:val="24"/>
              </w:rPr>
              <w:t>路</w:t>
            </w:r>
            <w:r>
              <w:rPr>
                <w:rFonts w:ascii="宋体" w:hAnsi="宋体" w:cs="宋体"/>
                <w:color w:val="auto"/>
                <w:kern w:val="0"/>
                <w:sz w:val="24"/>
                <w:szCs w:val="24"/>
              </w:rPr>
              <w:t>800W</w:t>
            </w:r>
            <w:r>
              <w:rPr>
                <w:rFonts w:hint="eastAsia" w:ascii="宋体" w:hAnsi="宋体" w:cs="宋体"/>
                <w:color w:val="auto"/>
                <w:kern w:val="0"/>
                <w:sz w:val="24"/>
                <w:szCs w:val="24"/>
              </w:rPr>
              <w:t>，或</w:t>
            </w:r>
            <w:r>
              <w:rPr>
                <w:rFonts w:ascii="宋体" w:hAnsi="宋体" w:cs="宋体"/>
                <w:color w:val="auto"/>
                <w:kern w:val="0"/>
                <w:sz w:val="24"/>
                <w:szCs w:val="24"/>
              </w:rPr>
              <w:t>36</w:t>
            </w:r>
            <w:r>
              <w:rPr>
                <w:rFonts w:hint="eastAsia" w:ascii="宋体" w:hAnsi="宋体" w:cs="宋体"/>
                <w:color w:val="auto"/>
                <w:kern w:val="0"/>
                <w:sz w:val="24"/>
                <w:szCs w:val="24"/>
              </w:rPr>
              <w:t>路</w:t>
            </w:r>
            <w:r>
              <w:rPr>
                <w:rFonts w:ascii="宋体" w:hAnsi="宋体" w:cs="宋体"/>
                <w:color w:val="auto"/>
                <w:kern w:val="0"/>
                <w:sz w:val="24"/>
                <w:szCs w:val="24"/>
              </w:rPr>
              <w:t>500W</w:t>
            </w:r>
            <w:r>
              <w:rPr>
                <w:rFonts w:hint="eastAsia" w:ascii="宋体" w:hAnsi="宋体" w:cs="宋体"/>
                <w:color w:val="auto"/>
                <w:kern w:val="0"/>
                <w:sz w:val="24"/>
                <w:szCs w:val="24"/>
              </w:rPr>
              <w:t>，或</w:t>
            </w:r>
            <w:r>
              <w:rPr>
                <w:rFonts w:ascii="宋体" w:hAnsi="宋体" w:cs="宋体"/>
                <w:color w:val="auto"/>
                <w:kern w:val="0"/>
                <w:sz w:val="24"/>
                <w:szCs w:val="24"/>
              </w:rPr>
              <w:t>60</w:t>
            </w:r>
            <w:r>
              <w:rPr>
                <w:rFonts w:hint="eastAsia" w:ascii="宋体" w:hAnsi="宋体" w:cs="宋体"/>
                <w:color w:val="auto"/>
                <w:kern w:val="0"/>
                <w:sz w:val="24"/>
                <w:szCs w:val="24"/>
              </w:rPr>
              <w:t>路</w:t>
            </w:r>
            <w:r>
              <w:rPr>
                <w:rFonts w:ascii="宋体" w:hAnsi="宋体" w:cs="宋体"/>
                <w:color w:val="auto"/>
                <w:kern w:val="0"/>
                <w:sz w:val="24"/>
                <w:szCs w:val="24"/>
              </w:rPr>
              <w:t>300W</w:t>
            </w:r>
            <w:r>
              <w:rPr>
                <w:rFonts w:hint="eastAsia" w:ascii="宋体" w:hAnsi="宋体" w:cs="宋体"/>
                <w:color w:val="auto"/>
                <w:kern w:val="0"/>
                <w:sz w:val="24"/>
                <w:szCs w:val="24"/>
              </w:rPr>
              <w:t>，或</w:t>
            </w:r>
            <w:r>
              <w:rPr>
                <w:rFonts w:ascii="宋体" w:hAnsi="宋体" w:cs="宋体"/>
                <w:color w:val="auto"/>
                <w:kern w:val="0"/>
                <w:sz w:val="24"/>
                <w:szCs w:val="24"/>
              </w:rPr>
              <w:t>96</w:t>
            </w:r>
            <w:r>
              <w:rPr>
                <w:rFonts w:hint="eastAsia" w:ascii="宋体" w:hAnsi="宋体" w:cs="宋体"/>
                <w:color w:val="auto"/>
                <w:kern w:val="0"/>
                <w:sz w:val="24"/>
                <w:szCs w:val="24"/>
              </w:rPr>
              <w:t>路</w:t>
            </w:r>
            <w:r>
              <w:rPr>
                <w:rFonts w:ascii="宋体" w:hAnsi="宋体" w:cs="宋体"/>
                <w:color w:val="auto"/>
                <w:kern w:val="0"/>
                <w:sz w:val="24"/>
                <w:szCs w:val="24"/>
              </w:rPr>
              <w:t>1080P</w:t>
            </w:r>
            <w:r>
              <w:rPr>
                <w:rFonts w:hint="eastAsia" w:ascii="宋体" w:hAnsi="宋体" w:cs="宋体"/>
                <w:color w:val="auto"/>
                <w:kern w:val="0"/>
                <w:sz w:val="24"/>
                <w:szCs w:val="24"/>
              </w:rPr>
              <w:t>及以下分辨率同时实时解码；支持</w:t>
            </w:r>
            <w:r>
              <w:rPr>
                <w:rFonts w:ascii="宋体" w:hAnsi="宋体" w:cs="宋体"/>
                <w:color w:val="auto"/>
                <w:kern w:val="0"/>
                <w:sz w:val="24"/>
                <w:szCs w:val="24"/>
              </w:rPr>
              <w:t>1/4/6/8/9/12/16/25/36</w:t>
            </w:r>
            <w:r>
              <w:rPr>
                <w:rFonts w:hint="eastAsia" w:ascii="宋体" w:hAnsi="宋体" w:cs="宋体"/>
                <w:color w:val="auto"/>
                <w:kern w:val="0"/>
                <w:sz w:val="24"/>
                <w:szCs w:val="24"/>
              </w:rPr>
              <w:t>画面分割</w:t>
            </w:r>
            <w:r>
              <w:rPr>
                <w:rFonts w:ascii="宋体"/>
                <w:color w:val="auto"/>
                <w:kern w:val="0"/>
                <w:sz w:val="24"/>
                <w:szCs w:val="24"/>
              </w:rPr>
              <w:br w:type="textWrapping"/>
            </w:r>
            <w:r>
              <w:rPr>
                <w:rFonts w:hint="eastAsia" w:ascii="宋体" w:hAnsi="宋体" w:cs="宋体"/>
                <w:color w:val="auto"/>
                <w:kern w:val="0"/>
                <w:sz w:val="24"/>
                <w:szCs w:val="24"/>
              </w:rPr>
              <w:t>网络接口：</w:t>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RJ45 10M/100M/1000Mbps</w:t>
            </w:r>
            <w:r>
              <w:rPr>
                <w:rFonts w:hint="eastAsia" w:ascii="宋体" w:hAnsi="宋体" w:cs="宋体"/>
                <w:color w:val="auto"/>
                <w:kern w:val="0"/>
                <w:sz w:val="24"/>
                <w:szCs w:val="24"/>
              </w:rPr>
              <w:t>自适应管理网口</w:t>
            </w:r>
            <w:r>
              <w:rPr>
                <w:rFonts w:ascii="宋体"/>
                <w:color w:val="auto"/>
                <w:kern w:val="0"/>
                <w:sz w:val="24"/>
                <w:szCs w:val="24"/>
              </w:rPr>
              <w:br w:type="textWrapping"/>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RJ45 10M/100M/1000Mbps</w:t>
            </w:r>
            <w:r>
              <w:rPr>
                <w:rFonts w:hint="eastAsia" w:ascii="宋体" w:hAnsi="宋体" w:cs="宋体"/>
                <w:color w:val="auto"/>
                <w:kern w:val="0"/>
                <w:sz w:val="24"/>
                <w:szCs w:val="24"/>
              </w:rPr>
              <w:t>自适应以太网接口；</w:t>
            </w:r>
            <w:r>
              <w:rPr>
                <w:rFonts w:ascii="宋体" w:hAnsi="宋体" w:cs="宋体"/>
                <w:color w:val="auto"/>
                <w:kern w:val="0"/>
                <w:sz w:val="24"/>
                <w:szCs w:val="24"/>
              </w:rPr>
              <w:t>16</w:t>
            </w:r>
            <w:r>
              <w:rPr>
                <w:rFonts w:hint="eastAsia" w:ascii="宋体" w:hAnsi="宋体" w:cs="宋体"/>
                <w:color w:val="auto"/>
                <w:kern w:val="0"/>
                <w:sz w:val="24"/>
                <w:szCs w:val="24"/>
              </w:rPr>
              <w:t>个</w:t>
            </w:r>
            <w:r>
              <w:rPr>
                <w:rFonts w:ascii="宋体" w:hAnsi="宋体" w:cs="宋体"/>
                <w:color w:val="auto"/>
                <w:kern w:val="0"/>
                <w:sz w:val="24"/>
                <w:szCs w:val="24"/>
              </w:rPr>
              <w:t>RJ45 10M/100M</w:t>
            </w:r>
            <w:r>
              <w:rPr>
                <w:rFonts w:hint="eastAsia" w:ascii="宋体" w:hAnsi="宋体" w:cs="宋体"/>
                <w:color w:val="auto"/>
                <w:kern w:val="0"/>
                <w:sz w:val="24"/>
                <w:szCs w:val="24"/>
              </w:rPr>
              <w:t>自适应以太网接口</w:t>
            </w:r>
            <w:r>
              <w:rPr>
                <w:rFonts w:ascii="宋体"/>
                <w:color w:val="auto"/>
                <w:kern w:val="0"/>
                <w:sz w:val="24"/>
                <w:szCs w:val="24"/>
              </w:rPr>
              <w:br w:type="textWrapping"/>
            </w:r>
            <w:r>
              <w:rPr>
                <w:rFonts w:hint="eastAsia" w:ascii="宋体" w:hAnsi="宋体" w:cs="宋体"/>
                <w:color w:val="auto"/>
                <w:kern w:val="0"/>
                <w:sz w:val="24"/>
                <w:szCs w:val="24"/>
              </w:rPr>
              <w:t>音频接口：支持</w:t>
            </w:r>
            <w:r>
              <w:rPr>
                <w:rFonts w:ascii="宋体" w:hAnsi="宋体" w:cs="宋体"/>
                <w:color w:val="auto"/>
                <w:kern w:val="0"/>
                <w:sz w:val="24"/>
                <w:szCs w:val="24"/>
              </w:rPr>
              <w:t>12</w:t>
            </w:r>
            <w:r>
              <w:rPr>
                <w:rFonts w:hint="eastAsia" w:ascii="宋体" w:hAnsi="宋体" w:cs="宋体"/>
                <w:color w:val="auto"/>
                <w:kern w:val="0"/>
                <w:sz w:val="24"/>
                <w:szCs w:val="24"/>
              </w:rPr>
              <w:t>路音频输出，</w:t>
            </w:r>
            <w:r>
              <w:rPr>
                <w:rFonts w:ascii="宋体" w:hAnsi="宋体" w:cs="宋体"/>
                <w:color w:val="auto"/>
                <w:kern w:val="0"/>
                <w:sz w:val="24"/>
                <w:szCs w:val="24"/>
              </w:rPr>
              <w:t>1</w:t>
            </w:r>
            <w:r>
              <w:rPr>
                <w:rFonts w:hint="eastAsia" w:ascii="宋体" w:hAnsi="宋体" w:cs="宋体"/>
                <w:color w:val="auto"/>
                <w:kern w:val="0"/>
                <w:sz w:val="24"/>
                <w:szCs w:val="24"/>
              </w:rPr>
              <w:t>路对讲输入，</w:t>
            </w:r>
            <w:r>
              <w:rPr>
                <w:rFonts w:ascii="宋体" w:hAnsi="宋体" w:cs="宋体"/>
                <w:color w:val="auto"/>
                <w:kern w:val="0"/>
                <w:sz w:val="24"/>
                <w:szCs w:val="24"/>
              </w:rPr>
              <w:t>1</w:t>
            </w:r>
            <w:r>
              <w:rPr>
                <w:rFonts w:hint="eastAsia" w:ascii="宋体" w:hAnsi="宋体" w:cs="宋体"/>
                <w:color w:val="auto"/>
                <w:kern w:val="0"/>
                <w:sz w:val="24"/>
                <w:szCs w:val="24"/>
              </w:rPr>
              <w:t>路对讲输出；串行接口：一个标准</w:t>
            </w:r>
            <w:r>
              <w:rPr>
                <w:rFonts w:ascii="宋体" w:hAnsi="宋体" w:cs="宋体"/>
                <w:color w:val="auto"/>
                <w:kern w:val="0"/>
                <w:sz w:val="24"/>
                <w:szCs w:val="24"/>
              </w:rPr>
              <w:t>232</w:t>
            </w:r>
            <w:r>
              <w:rPr>
                <w:rFonts w:hint="eastAsia" w:ascii="宋体" w:hAnsi="宋体" w:cs="宋体"/>
                <w:color w:val="auto"/>
                <w:kern w:val="0"/>
                <w:sz w:val="24"/>
                <w:szCs w:val="24"/>
              </w:rPr>
              <w:t>接口（</w:t>
            </w:r>
            <w:r>
              <w:rPr>
                <w:rFonts w:ascii="宋体" w:hAnsi="宋体" w:cs="宋体"/>
                <w:color w:val="auto"/>
                <w:kern w:val="0"/>
                <w:sz w:val="24"/>
                <w:szCs w:val="24"/>
              </w:rPr>
              <w:t>RJ45</w:t>
            </w:r>
            <w:r>
              <w:rPr>
                <w:rFonts w:hint="eastAsia" w:ascii="宋体" w:hAnsi="宋体" w:cs="宋体"/>
                <w:color w:val="auto"/>
                <w:kern w:val="0"/>
                <w:sz w:val="24"/>
                <w:szCs w:val="24"/>
              </w:rPr>
              <w:t>）、一个标准</w:t>
            </w:r>
            <w:r>
              <w:rPr>
                <w:rFonts w:ascii="宋体" w:hAnsi="宋体" w:cs="宋体"/>
                <w:color w:val="auto"/>
                <w:kern w:val="0"/>
                <w:sz w:val="24"/>
                <w:szCs w:val="24"/>
              </w:rPr>
              <w:t>485</w:t>
            </w:r>
            <w:r>
              <w:rPr>
                <w:rFonts w:hint="eastAsia" w:ascii="宋体" w:hAnsi="宋体" w:cs="宋体"/>
                <w:color w:val="auto"/>
                <w:kern w:val="0"/>
                <w:sz w:val="24"/>
                <w:szCs w:val="24"/>
              </w:rPr>
              <w:t>接口；报警接口：</w:t>
            </w:r>
            <w:r>
              <w:rPr>
                <w:rFonts w:ascii="宋体" w:hAnsi="宋体" w:cs="宋体"/>
                <w:color w:val="auto"/>
                <w:kern w:val="0"/>
                <w:sz w:val="24"/>
                <w:szCs w:val="24"/>
              </w:rPr>
              <w:t>8</w:t>
            </w:r>
            <w:r>
              <w:rPr>
                <w:rFonts w:hint="eastAsia" w:ascii="宋体" w:hAnsi="宋体" w:cs="宋体"/>
                <w:color w:val="auto"/>
                <w:kern w:val="0"/>
                <w:sz w:val="24"/>
                <w:szCs w:val="24"/>
              </w:rPr>
              <w:t>路报警输入，</w:t>
            </w:r>
            <w:r>
              <w:rPr>
                <w:rFonts w:ascii="宋体" w:hAnsi="宋体" w:cs="宋体"/>
                <w:color w:val="auto"/>
                <w:kern w:val="0"/>
                <w:sz w:val="24"/>
                <w:szCs w:val="24"/>
              </w:rPr>
              <w:t>8</w:t>
            </w:r>
            <w:r>
              <w:rPr>
                <w:rFonts w:hint="eastAsia" w:ascii="宋体" w:hAnsi="宋体" w:cs="宋体"/>
                <w:color w:val="auto"/>
                <w:kern w:val="0"/>
                <w:sz w:val="24"/>
                <w:szCs w:val="24"/>
              </w:rPr>
              <w:t>路报警输出</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199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专用液晶监视器</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Style w:val="36"/>
                <w:rFonts w:hint="eastAsia"/>
                <w:color w:val="auto"/>
              </w:rPr>
              <w:t>专用液晶监视器，工业级</w:t>
            </w:r>
            <w:r>
              <w:rPr>
                <w:rStyle w:val="36"/>
                <w:color w:val="auto"/>
              </w:rPr>
              <w:t>LCD</w:t>
            </w:r>
            <w:r>
              <w:rPr>
                <w:rStyle w:val="36"/>
                <w:rFonts w:hint="eastAsia"/>
                <w:color w:val="auto"/>
              </w:rPr>
              <w:t>液晶显示单元，尺寸：</w:t>
            </w:r>
            <w:r>
              <w:rPr>
                <w:rStyle w:val="36"/>
                <w:color w:val="auto"/>
              </w:rPr>
              <w:t>55</w:t>
            </w:r>
            <w:r>
              <w:rPr>
                <w:rStyle w:val="36"/>
                <w:rFonts w:hint="eastAsia"/>
                <w:color w:val="auto"/>
              </w:rPr>
              <w:t>英寸；分辨率支持</w:t>
            </w:r>
            <w:r>
              <w:rPr>
                <w:rStyle w:val="36"/>
                <w:color w:val="auto"/>
              </w:rPr>
              <w:t>1920x1080</w:t>
            </w:r>
            <w:r>
              <w:rPr>
                <w:rStyle w:val="36"/>
                <w:rFonts w:hint="eastAsia"/>
                <w:color w:val="auto"/>
              </w:rPr>
              <w:t>及以上；视角：</w:t>
            </w:r>
            <w:r>
              <w:rPr>
                <w:rStyle w:val="36"/>
                <w:color w:val="auto"/>
              </w:rPr>
              <w:t>178</w:t>
            </w:r>
            <w:r>
              <w:rPr>
                <w:rStyle w:val="36"/>
                <w:rFonts w:hint="eastAsia"/>
                <w:color w:val="auto"/>
              </w:rPr>
              <w:t>°</w:t>
            </w:r>
            <w:r>
              <w:rPr>
                <w:rStyle w:val="36"/>
                <w:color w:val="auto"/>
              </w:rPr>
              <w:t>(</w:t>
            </w:r>
            <w:r>
              <w:rPr>
                <w:rStyle w:val="36"/>
                <w:rFonts w:hint="eastAsia"/>
                <w:color w:val="auto"/>
              </w:rPr>
              <w:t>水平</w:t>
            </w:r>
            <w:r>
              <w:rPr>
                <w:rStyle w:val="36"/>
                <w:color w:val="auto"/>
              </w:rPr>
              <w:t>)/ 178</w:t>
            </w:r>
            <w:r>
              <w:rPr>
                <w:rStyle w:val="36"/>
                <w:rFonts w:hint="eastAsia"/>
                <w:color w:val="auto"/>
              </w:rPr>
              <w:t>°</w:t>
            </w:r>
            <w:r>
              <w:rPr>
                <w:rStyle w:val="36"/>
                <w:color w:val="auto"/>
              </w:rPr>
              <w:t>(</w:t>
            </w:r>
            <w:r>
              <w:rPr>
                <w:rStyle w:val="36"/>
                <w:rFonts w:hint="eastAsia"/>
                <w:color w:val="auto"/>
              </w:rPr>
              <w:t>垂直</w:t>
            </w:r>
            <w:r>
              <w:rPr>
                <w:rStyle w:val="36"/>
                <w:color w:val="auto"/>
              </w:rPr>
              <w:t>)</w:t>
            </w:r>
            <w:r>
              <w:rPr>
                <w:rStyle w:val="36"/>
                <w:rFonts w:hint="eastAsia"/>
                <w:color w:val="auto"/>
              </w:rPr>
              <w:t>；响应时间：</w:t>
            </w:r>
            <w:r>
              <w:rPr>
                <w:rStyle w:val="36"/>
                <w:color w:val="auto"/>
              </w:rPr>
              <w:t>8ms</w:t>
            </w:r>
            <w:r>
              <w:rPr>
                <w:rStyle w:val="36"/>
                <w:rFonts w:hint="eastAsia"/>
                <w:color w:val="auto"/>
              </w:rPr>
              <w:t>以上，对比度：</w:t>
            </w:r>
            <w:r>
              <w:rPr>
                <w:rStyle w:val="36"/>
                <w:color w:val="auto"/>
              </w:rPr>
              <w:t>4000:1</w:t>
            </w:r>
            <w:r>
              <w:rPr>
                <w:rStyle w:val="36"/>
                <w:rFonts w:hint="eastAsia"/>
                <w:color w:val="auto"/>
              </w:rPr>
              <w:t>；亮度：</w:t>
            </w:r>
            <w:r>
              <w:rPr>
                <w:rStyle w:val="36"/>
                <w:color w:val="auto"/>
              </w:rPr>
              <w:t>500cd/</w:t>
            </w:r>
            <w:r>
              <w:rPr>
                <w:rStyle w:val="36"/>
                <w:rFonts w:hint="eastAsia"/>
                <w:color w:val="auto"/>
              </w:rPr>
              <w:t>㎡以上；物理拼缝：</w:t>
            </w:r>
            <w:r>
              <w:rPr>
                <w:rStyle w:val="36"/>
                <w:color w:val="auto"/>
              </w:rPr>
              <w:t>3.5mm</w:t>
            </w:r>
            <w:r>
              <w:rPr>
                <w:rStyle w:val="36"/>
                <w:rFonts w:hint="eastAsia"/>
                <w:color w:val="auto"/>
              </w:rPr>
              <w:t>；支持以下输入接口</w:t>
            </w:r>
            <w:r>
              <w:rPr>
                <w:rStyle w:val="36"/>
                <w:color w:val="auto"/>
              </w:rPr>
              <w:t>:VGA</w:t>
            </w:r>
            <w:r>
              <w:rPr>
                <w:rStyle w:val="36"/>
                <w:rFonts w:hint="eastAsia"/>
                <w:color w:val="auto"/>
              </w:rPr>
              <w:t>×</w:t>
            </w:r>
            <w:r>
              <w:rPr>
                <w:rStyle w:val="36"/>
                <w:color w:val="auto"/>
              </w:rPr>
              <w:t>1</w:t>
            </w:r>
            <w:r>
              <w:rPr>
                <w:rStyle w:val="36"/>
                <w:rFonts w:hint="eastAsia"/>
                <w:color w:val="auto"/>
              </w:rPr>
              <w:t>，</w:t>
            </w:r>
            <w:r>
              <w:rPr>
                <w:rStyle w:val="36"/>
                <w:color w:val="auto"/>
              </w:rPr>
              <w:t>DVI</w:t>
            </w:r>
            <w:r>
              <w:rPr>
                <w:rStyle w:val="36"/>
                <w:rFonts w:hint="eastAsia"/>
                <w:color w:val="auto"/>
              </w:rPr>
              <w:t>×</w:t>
            </w:r>
            <w:r>
              <w:rPr>
                <w:rStyle w:val="36"/>
                <w:color w:val="auto"/>
              </w:rPr>
              <w:t>1</w:t>
            </w:r>
            <w:r>
              <w:rPr>
                <w:rStyle w:val="36"/>
                <w:rFonts w:hint="eastAsia"/>
                <w:color w:val="auto"/>
              </w:rPr>
              <w:t>，</w:t>
            </w:r>
            <w:r>
              <w:rPr>
                <w:rStyle w:val="36"/>
                <w:color w:val="auto"/>
              </w:rPr>
              <w:t>BNC</w:t>
            </w:r>
            <w:r>
              <w:rPr>
                <w:rStyle w:val="36"/>
                <w:rFonts w:hint="eastAsia"/>
                <w:color w:val="auto"/>
              </w:rPr>
              <w:t>×</w:t>
            </w:r>
            <w:r>
              <w:rPr>
                <w:rStyle w:val="36"/>
                <w:color w:val="auto"/>
              </w:rPr>
              <w:t>1</w:t>
            </w:r>
            <w:r>
              <w:rPr>
                <w:rStyle w:val="36"/>
                <w:rFonts w:hint="eastAsia"/>
                <w:color w:val="auto"/>
              </w:rPr>
              <w:t>，</w:t>
            </w:r>
            <w:r>
              <w:rPr>
                <w:rStyle w:val="36"/>
                <w:color w:val="auto"/>
              </w:rPr>
              <w:t>YPbPr</w:t>
            </w:r>
            <w:r>
              <w:rPr>
                <w:rStyle w:val="36"/>
                <w:rFonts w:hint="eastAsia"/>
                <w:color w:val="auto"/>
              </w:rPr>
              <w:t>×</w:t>
            </w:r>
            <w:r>
              <w:rPr>
                <w:rStyle w:val="36"/>
                <w:color w:val="auto"/>
              </w:rPr>
              <w:t>1</w:t>
            </w:r>
            <w:r>
              <w:rPr>
                <w:rStyle w:val="36"/>
                <w:rFonts w:hint="eastAsia"/>
                <w:color w:val="auto"/>
              </w:rPr>
              <w:t>，</w:t>
            </w:r>
            <w:r>
              <w:rPr>
                <w:rStyle w:val="36"/>
                <w:color w:val="auto"/>
              </w:rPr>
              <w:t>HDMI</w:t>
            </w:r>
            <w:r>
              <w:rPr>
                <w:rStyle w:val="36"/>
                <w:rFonts w:hint="eastAsia"/>
                <w:color w:val="auto"/>
              </w:rPr>
              <w:t>×</w:t>
            </w:r>
            <w:r>
              <w:rPr>
                <w:rStyle w:val="36"/>
                <w:color w:val="auto"/>
              </w:rPr>
              <w:t>1,USB</w:t>
            </w:r>
            <w:r>
              <w:rPr>
                <w:rStyle w:val="36"/>
                <w:rFonts w:hint="eastAsia"/>
                <w:color w:val="auto"/>
              </w:rPr>
              <w:t>×</w:t>
            </w:r>
            <w:r>
              <w:rPr>
                <w:rStyle w:val="36"/>
                <w:color w:val="auto"/>
              </w:rPr>
              <w:t>1</w:t>
            </w:r>
            <w:r>
              <w:rPr>
                <w:rStyle w:val="36"/>
                <w:rFonts w:hint="eastAsia"/>
                <w:color w:val="auto"/>
              </w:rPr>
              <w:t>；支持以下输出接口</w:t>
            </w:r>
            <w:r>
              <w:rPr>
                <w:rStyle w:val="36"/>
                <w:color w:val="auto"/>
              </w:rPr>
              <w:t>:VGA</w:t>
            </w:r>
            <w:r>
              <w:rPr>
                <w:rStyle w:val="36"/>
                <w:rFonts w:hint="eastAsia"/>
                <w:color w:val="auto"/>
              </w:rPr>
              <w:t>×</w:t>
            </w:r>
            <w:r>
              <w:rPr>
                <w:rStyle w:val="36"/>
                <w:color w:val="auto"/>
              </w:rPr>
              <w:t>1</w:t>
            </w:r>
            <w:r>
              <w:rPr>
                <w:rStyle w:val="36"/>
                <w:rFonts w:hint="eastAsia"/>
                <w:color w:val="auto"/>
              </w:rPr>
              <w:t>，</w:t>
            </w:r>
            <w:r>
              <w:rPr>
                <w:rStyle w:val="36"/>
                <w:color w:val="auto"/>
              </w:rPr>
              <w:t>DVI</w:t>
            </w:r>
            <w:r>
              <w:rPr>
                <w:rStyle w:val="36"/>
                <w:rFonts w:hint="eastAsia"/>
                <w:color w:val="auto"/>
              </w:rPr>
              <w:t>×</w:t>
            </w:r>
            <w:r>
              <w:rPr>
                <w:rStyle w:val="36"/>
                <w:color w:val="auto"/>
              </w:rPr>
              <w:t>1</w:t>
            </w:r>
            <w:r>
              <w:rPr>
                <w:rStyle w:val="36"/>
                <w:rFonts w:hint="eastAsia"/>
                <w:color w:val="auto"/>
              </w:rPr>
              <w:t>，</w:t>
            </w:r>
            <w:r>
              <w:rPr>
                <w:rStyle w:val="36"/>
                <w:color w:val="auto"/>
              </w:rPr>
              <w:t>BNC</w:t>
            </w:r>
            <w:r>
              <w:rPr>
                <w:rStyle w:val="36"/>
                <w:rFonts w:hint="eastAsia"/>
                <w:color w:val="auto"/>
              </w:rPr>
              <w:t>×</w:t>
            </w:r>
            <w:r>
              <w:rPr>
                <w:rStyle w:val="36"/>
                <w:color w:val="auto"/>
              </w:rPr>
              <w:t>2</w:t>
            </w:r>
            <w:r>
              <w:rPr>
                <w:rStyle w:val="36"/>
                <w:rFonts w:hint="eastAsia"/>
                <w:color w:val="auto"/>
              </w:rPr>
              <w:t>；支持控制接口</w:t>
            </w:r>
            <w:r>
              <w:rPr>
                <w:rStyle w:val="36"/>
                <w:color w:val="auto"/>
              </w:rPr>
              <w:t>:RJ45 for RS-232</w:t>
            </w:r>
            <w:r>
              <w:rPr>
                <w:rStyle w:val="36"/>
                <w:rFonts w:hint="eastAsia"/>
                <w:color w:val="auto"/>
              </w:rPr>
              <w:t>（输入×</w:t>
            </w:r>
            <w:r>
              <w:rPr>
                <w:rStyle w:val="36"/>
                <w:color w:val="auto"/>
              </w:rPr>
              <w:t>1</w:t>
            </w:r>
            <w:r>
              <w:rPr>
                <w:rStyle w:val="36"/>
                <w:rFonts w:hint="eastAsia"/>
                <w:color w:val="auto"/>
              </w:rPr>
              <w:t>，输出×</w:t>
            </w:r>
            <w:r>
              <w:rPr>
                <w:rStyle w:val="36"/>
                <w:color w:val="auto"/>
              </w:rPr>
              <w:t>2</w:t>
            </w:r>
            <w:r>
              <w:rPr>
                <w:rStyle w:val="36"/>
                <w:rFonts w:hint="eastAsia"/>
                <w:color w:val="auto"/>
              </w:rPr>
              <w:t>）；功耗：≤</w:t>
            </w:r>
            <w:r>
              <w:rPr>
                <w:rStyle w:val="36"/>
                <w:color w:val="auto"/>
              </w:rPr>
              <w:t>134W</w:t>
            </w:r>
            <w:r>
              <w:rPr>
                <w:rStyle w:val="36"/>
                <w:rFonts w:hint="eastAsia"/>
                <w:color w:val="auto"/>
              </w:rPr>
              <w:t>；电源支持：</w:t>
            </w:r>
            <w:r>
              <w:rPr>
                <w:rStyle w:val="36"/>
                <w:color w:val="auto"/>
              </w:rPr>
              <w:t>AC 100-240 V</w:t>
            </w:r>
            <w:r>
              <w:rPr>
                <w:rStyle w:val="36"/>
                <w:rFonts w:hint="eastAsia"/>
                <w:color w:val="auto"/>
              </w:rPr>
              <w:t>；寿命：≥</w:t>
            </w:r>
            <w:r>
              <w:rPr>
                <w:rStyle w:val="36"/>
                <w:color w:val="auto"/>
              </w:rPr>
              <w:t xml:space="preserve">60000 </w:t>
            </w:r>
            <w:r>
              <w:rPr>
                <w:rStyle w:val="36"/>
                <w:rFonts w:hint="eastAsia"/>
                <w:color w:val="auto"/>
              </w:rPr>
              <w:t>小时；工作温度和湿度</w:t>
            </w:r>
            <w:r>
              <w:rPr>
                <w:rStyle w:val="36"/>
                <w:rFonts w:hAnsi="Calibri"/>
                <w:color w:val="auto"/>
              </w:rPr>
              <w:t>0</w:t>
            </w:r>
            <w:r>
              <w:rPr>
                <w:rStyle w:val="36"/>
                <w:rFonts w:hint="eastAsia"/>
                <w:color w:val="auto"/>
              </w:rPr>
              <w:t>℃</w:t>
            </w:r>
            <w:r>
              <w:rPr>
                <w:rStyle w:val="36"/>
                <w:color w:val="auto"/>
              </w:rPr>
              <w:t>--50</w:t>
            </w:r>
            <w:r>
              <w:rPr>
                <w:rStyle w:val="36"/>
                <w:rFonts w:hint="eastAsia"/>
                <w:color w:val="auto"/>
              </w:rPr>
              <w:t>℃：</w:t>
            </w:r>
            <w:r>
              <w:rPr>
                <w:rStyle w:val="36"/>
                <w:color w:val="auto"/>
              </w:rPr>
              <w:t>10%--90%</w:t>
            </w:r>
            <w:r>
              <w:rPr>
                <w:rStyle w:val="36"/>
                <w:rFonts w:hint="eastAsia"/>
                <w:color w:val="auto"/>
              </w:rPr>
              <w:t>（无凝露）；</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w:t>
            </w:r>
          </w:p>
        </w:tc>
      </w:tr>
      <w:tr>
        <w:tblPrEx>
          <w:tblCellMar>
            <w:top w:w="0" w:type="dxa"/>
            <w:left w:w="0" w:type="dxa"/>
            <w:bottom w:w="0" w:type="dxa"/>
            <w:right w:w="0" w:type="dxa"/>
          </w:tblCellMar>
        </w:tblPrEx>
        <w:trPr>
          <w:trHeight w:val="5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电视墙支架</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根据现场定做电视墙支架，与</w:t>
            </w:r>
            <w:r>
              <w:rPr>
                <w:rFonts w:ascii="宋体" w:hAnsi="宋体" w:cs="宋体"/>
                <w:color w:val="auto"/>
                <w:kern w:val="0"/>
                <w:sz w:val="24"/>
                <w:szCs w:val="24"/>
              </w:rPr>
              <w:t>4</w:t>
            </w:r>
            <w:r>
              <w:rPr>
                <w:rFonts w:hint="eastAsia" w:ascii="宋体" w:hAnsi="宋体" w:cs="宋体"/>
                <w:color w:val="auto"/>
                <w:kern w:val="0"/>
                <w:sz w:val="24"/>
                <w:szCs w:val="24"/>
              </w:rPr>
              <w:t>块专用液晶监视器配套，</w:t>
            </w:r>
            <w:r>
              <w:rPr>
                <w:rFonts w:ascii="宋体" w:hAnsi="宋体" w:cs="宋体"/>
                <w:color w:val="auto"/>
                <w:kern w:val="0"/>
                <w:sz w:val="24"/>
                <w:szCs w:val="24"/>
              </w:rPr>
              <w:t>2*2</w:t>
            </w:r>
            <w:r>
              <w:rPr>
                <w:rFonts w:hint="eastAsia" w:ascii="宋体" w:hAnsi="宋体" w:cs="宋体"/>
                <w:color w:val="auto"/>
                <w:kern w:val="0"/>
                <w:sz w:val="24"/>
                <w:szCs w:val="24"/>
              </w:rPr>
              <w:t>排列，含</w:t>
            </w:r>
            <w:r>
              <w:rPr>
                <w:rFonts w:ascii="宋体" w:hAnsi="宋体" w:cs="宋体"/>
                <w:color w:val="auto"/>
                <w:kern w:val="0"/>
                <w:sz w:val="24"/>
                <w:szCs w:val="24"/>
              </w:rPr>
              <w:t>HDMI</w:t>
            </w:r>
            <w:r>
              <w:rPr>
                <w:rFonts w:hint="eastAsia" w:ascii="宋体" w:hAnsi="宋体" w:cs="宋体"/>
                <w:color w:val="auto"/>
                <w:kern w:val="0"/>
                <w:sz w:val="24"/>
                <w:szCs w:val="24"/>
              </w:rPr>
              <w:t>线，支架可固定在墙面。</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20</w:t>
            </w:r>
          </w:p>
        </w:tc>
        <w:tc>
          <w:tcPr>
            <w:tcW w:w="108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定制监控操作台</w:t>
            </w:r>
          </w:p>
        </w:tc>
        <w:tc>
          <w:tcPr>
            <w:tcW w:w="5408" w:type="dxa"/>
            <w:tcBorders>
              <w:top w:val="single" w:color="000000" w:sz="4" w:space="0"/>
              <w:left w:val="nil"/>
              <w:bottom w:val="single" w:color="000000" w:sz="4" w:space="0"/>
              <w:right w:val="nil"/>
            </w:tcBorders>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定制监控操作台</w:t>
            </w:r>
            <w:r>
              <w:rPr>
                <w:rFonts w:ascii="宋体" w:hAnsi="宋体" w:cs="宋体"/>
                <w:color w:val="auto"/>
                <w:kern w:val="0"/>
                <w:sz w:val="24"/>
                <w:szCs w:val="24"/>
              </w:rPr>
              <w:t>(</w:t>
            </w:r>
            <w:r>
              <w:rPr>
                <w:rFonts w:hint="eastAsia" w:ascii="宋体" w:hAnsi="宋体" w:cs="宋体"/>
                <w:color w:val="auto"/>
                <w:kern w:val="0"/>
                <w:sz w:val="24"/>
                <w:szCs w:val="24"/>
              </w:rPr>
              <w:t>按照实际面积比例定制）</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54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入侵报警系统</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枪弹库内声光报警系统安装，含电源、报警主机、红外探测器、震动探测器、烟感探测器、有线门磁、声光报警器、报警键盘等。</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171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安防综合管理平台</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对枪弹库的视频监控系统、入侵报警系统、可视对讲系统进行数据采集与处理、整合，通过大屏显示各子系统平台模块，有报警时弹出画面与相关信息，方便工作人员处理。支持视频行为分析报警：越界侦测</w:t>
            </w:r>
            <w:r>
              <w:rPr>
                <w:rFonts w:ascii="宋体" w:cs="宋体"/>
                <w:color w:val="auto"/>
                <w:kern w:val="0"/>
                <w:sz w:val="24"/>
                <w:szCs w:val="24"/>
              </w:rPr>
              <w:t>,</w:t>
            </w:r>
            <w:r>
              <w:rPr>
                <w:rFonts w:hint="eastAsia" w:ascii="宋体" w:hAnsi="宋体" w:cs="宋体"/>
                <w:color w:val="auto"/>
                <w:kern w:val="0"/>
                <w:sz w:val="24"/>
                <w:szCs w:val="24"/>
              </w:rPr>
              <w:t>场景变更侦测</w:t>
            </w:r>
            <w:r>
              <w:rPr>
                <w:rFonts w:ascii="宋体" w:cs="宋体"/>
                <w:color w:val="auto"/>
                <w:kern w:val="0"/>
                <w:sz w:val="24"/>
                <w:szCs w:val="24"/>
              </w:rPr>
              <w:t>,</w:t>
            </w:r>
            <w:r>
              <w:rPr>
                <w:rFonts w:hint="eastAsia" w:ascii="宋体" w:hAnsi="宋体" w:cs="宋体"/>
                <w:color w:val="auto"/>
                <w:kern w:val="0"/>
                <w:sz w:val="24"/>
                <w:szCs w:val="24"/>
              </w:rPr>
              <w:t>区域入侵侦测</w:t>
            </w:r>
            <w:r>
              <w:rPr>
                <w:rFonts w:ascii="宋体" w:cs="宋体"/>
                <w:color w:val="auto"/>
                <w:kern w:val="0"/>
                <w:sz w:val="24"/>
                <w:szCs w:val="24"/>
              </w:rPr>
              <w:t>,</w:t>
            </w:r>
            <w:r>
              <w:rPr>
                <w:rFonts w:hint="eastAsia" w:ascii="宋体" w:hAnsi="宋体" w:cs="宋体"/>
                <w:color w:val="auto"/>
                <w:kern w:val="0"/>
                <w:sz w:val="24"/>
                <w:szCs w:val="24"/>
              </w:rPr>
              <w:t>移动侦测</w:t>
            </w:r>
            <w:r>
              <w:rPr>
                <w:rFonts w:ascii="宋体" w:cs="宋体"/>
                <w:color w:val="auto"/>
                <w:kern w:val="0"/>
                <w:sz w:val="24"/>
                <w:szCs w:val="24"/>
              </w:rPr>
              <w:t>,</w:t>
            </w:r>
            <w:r>
              <w:rPr>
                <w:rFonts w:hint="eastAsia" w:ascii="宋体" w:hAnsi="宋体" w:cs="宋体"/>
                <w:color w:val="auto"/>
                <w:kern w:val="0"/>
                <w:sz w:val="24"/>
                <w:szCs w:val="24"/>
              </w:rPr>
              <w:t>徘徊侦测</w:t>
            </w:r>
            <w:r>
              <w:rPr>
                <w:rFonts w:ascii="宋体" w:cs="宋体"/>
                <w:color w:val="auto"/>
                <w:kern w:val="0"/>
                <w:sz w:val="24"/>
                <w:szCs w:val="24"/>
              </w:rPr>
              <w:t>,</w:t>
            </w:r>
            <w:r>
              <w:rPr>
                <w:rFonts w:hint="eastAsia" w:ascii="宋体" w:hAnsi="宋体" w:cs="宋体"/>
                <w:color w:val="auto"/>
                <w:kern w:val="0"/>
                <w:sz w:val="24"/>
                <w:szCs w:val="24"/>
              </w:rPr>
              <w:t>人员聚集侦测、物品遗留</w:t>
            </w:r>
            <w:r>
              <w:rPr>
                <w:rFonts w:ascii="宋体" w:hAnsi="宋体" w:cs="宋体"/>
                <w:color w:val="auto"/>
                <w:kern w:val="0"/>
                <w:sz w:val="24"/>
                <w:szCs w:val="24"/>
              </w:rPr>
              <w:t>/</w:t>
            </w:r>
            <w:r>
              <w:rPr>
                <w:rFonts w:hint="eastAsia" w:ascii="宋体" w:hAnsi="宋体" w:cs="宋体"/>
                <w:color w:val="auto"/>
                <w:kern w:val="0"/>
                <w:sz w:val="24"/>
                <w:szCs w:val="24"/>
              </w:rPr>
              <w:t>拿取侦测等行为分析功能</w:t>
            </w:r>
            <w:r>
              <w:rPr>
                <w:rFonts w:ascii="宋体" w:hAnsi="宋体" w:cs="宋体"/>
                <w:color w:val="auto"/>
                <w:kern w:val="0"/>
                <w:sz w:val="24"/>
                <w:szCs w:val="24"/>
              </w:rPr>
              <w:t>;</w:t>
            </w:r>
            <w:r>
              <w:rPr>
                <w:rFonts w:hint="eastAsia" w:ascii="宋体" w:hAnsi="宋体" w:cs="宋体"/>
                <w:color w:val="auto"/>
                <w:kern w:val="0"/>
                <w:sz w:val="24"/>
                <w:szCs w:val="24"/>
              </w:rPr>
              <w:t>支持入侵报警系统与视频监控系统联动，支持电子地图功能，支持可视对讲门口机画面录像等功能。</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可视对讲系统</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支持门铃，支持可视对讲，支持</w:t>
            </w:r>
            <w:r>
              <w:rPr>
                <w:rFonts w:ascii="宋体" w:hAnsi="宋体" w:cs="宋体"/>
                <w:color w:val="auto"/>
                <w:kern w:val="0"/>
                <w:sz w:val="24"/>
                <w:szCs w:val="24"/>
              </w:rPr>
              <w:t>RFID</w:t>
            </w:r>
            <w:r>
              <w:rPr>
                <w:rFonts w:hint="eastAsia" w:ascii="宋体" w:hAnsi="宋体" w:cs="宋体"/>
                <w:color w:val="auto"/>
                <w:kern w:val="0"/>
                <w:sz w:val="24"/>
                <w:szCs w:val="24"/>
              </w:rPr>
              <w:t>卡片及密码授权进入，配备</w:t>
            </w:r>
            <w:r>
              <w:rPr>
                <w:rFonts w:ascii="宋体" w:hAnsi="宋体" w:cs="宋体"/>
                <w:color w:val="auto"/>
                <w:kern w:val="0"/>
                <w:sz w:val="24"/>
                <w:szCs w:val="24"/>
              </w:rPr>
              <w:t>ccd</w:t>
            </w:r>
            <w:r>
              <w:rPr>
                <w:rFonts w:hint="eastAsia" w:ascii="宋体" w:hAnsi="宋体" w:cs="宋体"/>
                <w:color w:val="auto"/>
                <w:kern w:val="0"/>
                <w:sz w:val="24"/>
                <w:szCs w:val="24"/>
              </w:rPr>
              <w:t>彩色摄像头，彩色</w:t>
            </w:r>
            <w:r>
              <w:rPr>
                <w:rFonts w:ascii="宋体" w:hAnsi="宋体" w:cs="宋体"/>
                <w:color w:val="auto"/>
                <w:kern w:val="0"/>
                <w:sz w:val="24"/>
                <w:szCs w:val="24"/>
              </w:rPr>
              <w:t>LCD</w:t>
            </w:r>
            <w:r>
              <w:rPr>
                <w:rFonts w:hint="eastAsia" w:ascii="宋体" w:hAnsi="宋体" w:cs="宋体"/>
                <w:color w:val="auto"/>
                <w:kern w:val="0"/>
                <w:sz w:val="24"/>
                <w:szCs w:val="24"/>
              </w:rPr>
              <w:t>显示屏，室内机屏幕大小不低于</w:t>
            </w:r>
            <w:r>
              <w:rPr>
                <w:rFonts w:ascii="宋体" w:hAnsi="宋体" w:cs="宋体"/>
                <w:color w:val="auto"/>
                <w:kern w:val="0"/>
                <w:sz w:val="24"/>
                <w:szCs w:val="24"/>
              </w:rPr>
              <w:t>7</w:t>
            </w:r>
            <w:r>
              <w:rPr>
                <w:rFonts w:hint="eastAsia" w:ascii="宋体" w:hAnsi="宋体" w:cs="宋体"/>
                <w:color w:val="auto"/>
                <w:kern w:val="0"/>
                <w:sz w:val="24"/>
                <w:szCs w:val="24"/>
              </w:rPr>
              <w:t>寸，支持</w:t>
            </w:r>
            <w:r>
              <w:rPr>
                <w:rFonts w:ascii="宋体" w:hAnsi="宋体" w:cs="宋体"/>
                <w:color w:val="auto"/>
                <w:kern w:val="0"/>
                <w:sz w:val="24"/>
                <w:szCs w:val="24"/>
              </w:rPr>
              <w:t>SDK</w:t>
            </w:r>
            <w:r>
              <w:rPr>
                <w:rFonts w:hint="eastAsia" w:ascii="宋体" w:hAnsi="宋体" w:cs="宋体"/>
                <w:color w:val="auto"/>
                <w:kern w:val="0"/>
                <w:sz w:val="24"/>
                <w:szCs w:val="24"/>
              </w:rPr>
              <w:t>二次对接开发，支持与门禁联动控制，支持远程开锁功能。</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114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人脸门禁机</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人脸识别机，完成独立人脸读头功能，专用双摄像头人脸；</w:t>
            </w:r>
            <w:r>
              <w:rPr>
                <w:rFonts w:ascii="宋体" w:hAnsi="宋体" w:cs="宋体"/>
                <w:color w:val="auto"/>
                <w:kern w:val="0"/>
                <w:sz w:val="24"/>
                <w:szCs w:val="24"/>
              </w:rPr>
              <w:t xml:space="preserve"> 200</w:t>
            </w:r>
            <w:r>
              <w:rPr>
                <w:rFonts w:hint="eastAsia" w:ascii="宋体" w:hAnsi="宋体" w:cs="宋体"/>
                <w:color w:val="auto"/>
                <w:kern w:val="0"/>
                <w:sz w:val="24"/>
                <w:szCs w:val="24"/>
              </w:rPr>
              <w:t>人标配（</w:t>
            </w:r>
            <w:r>
              <w:rPr>
                <w:rFonts w:ascii="宋体" w:hAnsi="宋体" w:cs="宋体"/>
                <w:color w:val="auto"/>
                <w:kern w:val="0"/>
                <w:sz w:val="24"/>
                <w:szCs w:val="24"/>
              </w:rPr>
              <w:t>lic</w:t>
            </w:r>
            <w:r>
              <w:rPr>
                <w:rFonts w:hint="eastAsia" w:ascii="宋体" w:hAnsi="宋体" w:cs="宋体"/>
                <w:color w:val="auto"/>
                <w:kern w:val="0"/>
                <w:sz w:val="24"/>
                <w:szCs w:val="24"/>
              </w:rPr>
              <w:t>控制</w:t>
            </w:r>
            <w:r>
              <w:rPr>
                <w:rFonts w:ascii="宋体" w:hAnsi="宋体" w:cs="宋体"/>
                <w:color w:val="auto"/>
                <w:kern w:val="0"/>
                <w:sz w:val="24"/>
                <w:szCs w:val="24"/>
              </w:rPr>
              <w:t>:100</w:t>
            </w:r>
            <w:r>
              <w:rPr>
                <w:rFonts w:hint="eastAsia" w:ascii="宋体" w:hAnsi="宋体" w:cs="宋体"/>
                <w:color w:val="auto"/>
                <w:kern w:val="0"/>
                <w:sz w:val="24"/>
                <w:szCs w:val="24"/>
              </w:rPr>
              <w:t>到</w:t>
            </w:r>
            <w:r>
              <w:rPr>
                <w:rFonts w:ascii="宋体" w:hAnsi="宋体" w:cs="宋体"/>
                <w:color w:val="auto"/>
                <w:kern w:val="0"/>
                <w:sz w:val="24"/>
                <w:szCs w:val="24"/>
              </w:rPr>
              <w:t>400</w:t>
            </w:r>
            <w:r>
              <w:rPr>
                <w:rFonts w:hint="eastAsia" w:ascii="宋体" w:hAnsi="宋体" w:cs="宋体"/>
                <w:color w:val="auto"/>
                <w:kern w:val="0"/>
                <w:sz w:val="24"/>
                <w:szCs w:val="24"/>
              </w:rPr>
              <w:t>人）可调拥有网口、韦根输入、输出、两进两出共计四口</w:t>
            </w:r>
            <w:r>
              <w:rPr>
                <w:rFonts w:ascii="宋体" w:hAnsi="宋体" w:cs="宋体"/>
                <w:color w:val="auto"/>
                <w:kern w:val="0"/>
                <w:sz w:val="24"/>
                <w:szCs w:val="24"/>
              </w:rPr>
              <w:t>I/O</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RS232</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SD</w:t>
            </w:r>
            <w:r>
              <w:rPr>
                <w:rFonts w:hint="eastAsia" w:ascii="宋体" w:hAnsi="宋体" w:cs="宋体"/>
                <w:color w:val="auto"/>
                <w:kern w:val="0"/>
                <w:sz w:val="24"/>
                <w:szCs w:val="24"/>
              </w:rPr>
              <w:t>卡插槽，</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TCP/IP</w:t>
            </w:r>
            <w:r>
              <w:rPr>
                <w:rFonts w:hint="eastAsia" w:ascii="宋体" w:hAnsi="宋体" w:cs="宋体"/>
                <w:color w:val="auto"/>
                <w:kern w:val="0"/>
                <w:sz w:val="24"/>
                <w:szCs w:val="24"/>
              </w:rPr>
              <w:t>联网方式。支持二次开发，提供</w:t>
            </w:r>
            <w:r>
              <w:rPr>
                <w:rFonts w:ascii="宋体" w:hAnsi="宋体" w:cs="宋体"/>
                <w:color w:val="auto"/>
                <w:kern w:val="0"/>
                <w:sz w:val="24"/>
                <w:szCs w:val="24"/>
              </w:rPr>
              <w:t>SDK</w:t>
            </w:r>
            <w:r>
              <w:rPr>
                <w:rFonts w:hint="eastAsia" w:ascii="宋体" w:hAnsi="宋体" w:cs="宋体"/>
                <w:color w:val="auto"/>
                <w:kern w:val="0"/>
                <w:sz w:val="24"/>
                <w:szCs w:val="24"/>
              </w:rPr>
              <w:t>开发包，支持与枪弹管理系统对接。</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门禁控制箱</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门禁控制箱，含</w:t>
            </w:r>
            <w:r>
              <w:rPr>
                <w:rFonts w:ascii="宋体" w:hAnsi="宋体" w:cs="宋体"/>
                <w:color w:val="auto"/>
                <w:kern w:val="0"/>
                <w:sz w:val="24"/>
                <w:szCs w:val="24"/>
              </w:rPr>
              <w:t>12v</w:t>
            </w:r>
            <w:r>
              <w:rPr>
                <w:rFonts w:hint="eastAsia" w:ascii="宋体" w:hAnsi="宋体" w:cs="宋体"/>
                <w:color w:val="auto"/>
                <w:kern w:val="0"/>
                <w:sz w:val="24"/>
                <w:szCs w:val="24"/>
              </w:rPr>
              <w:t>开关电源。</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门禁电锁</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磁力锁；额定电压</w:t>
            </w:r>
            <w:r>
              <w:rPr>
                <w:rFonts w:ascii="宋体" w:hAnsi="宋体" w:cs="宋体"/>
                <w:color w:val="auto"/>
                <w:kern w:val="0"/>
                <w:sz w:val="24"/>
                <w:szCs w:val="24"/>
              </w:rPr>
              <w:t xml:space="preserve"> DC12V/24V</w:t>
            </w:r>
            <w:r>
              <w:rPr>
                <w:rFonts w:hint="eastAsia" w:ascii="宋体" w:hAnsi="宋体" w:cs="宋体"/>
                <w:color w:val="auto"/>
                <w:kern w:val="0"/>
                <w:sz w:val="24"/>
                <w:szCs w:val="24"/>
              </w:rPr>
              <w:t>输入</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出门按钮</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Style w:val="36"/>
                <w:color w:val="auto"/>
              </w:rPr>
              <w:t>86</w:t>
            </w:r>
            <w:r>
              <w:rPr>
                <w:rStyle w:val="36"/>
                <w:rFonts w:hint="eastAsia"/>
                <w:color w:val="auto"/>
              </w:rPr>
              <w:t>标准，常开型出门按钮</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r>
      <w:tr>
        <w:tblPrEx>
          <w:tblCellMar>
            <w:top w:w="0" w:type="dxa"/>
            <w:left w:w="0" w:type="dxa"/>
            <w:bottom w:w="0" w:type="dxa"/>
            <w:right w:w="0" w:type="dxa"/>
          </w:tblCellMar>
        </w:tblPrEx>
        <w:trPr>
          <w:trHeight w:val="142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落地机柜</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Style w:val="36"/>
                <w:color w:val="auto"/>
              </w:rPr>
              <w:t>42U</w:t>
            </w:r>
            <w:r>
              <w:rPr>
                <w:rStyle w:val="36"/>
                <w:rFonts w:hint="eastAsia"/>
                <w:color w:val="auto"/>
              </w:rPr>
              <w:t>标准网络机柜，符合</w:t>
            </w:r>
            <w:r>
              <w:rPr>
                <w:rStyle w:val="36"/>
                <w:color w:val="auto"/>
              </w:rPr>
              <w:t>ANSI/EIA RS-310-D</w:t>
            </w:r>
            <w:r>
              <w:rPr>
                <w:rStyle w:val="36"/>
                <w:rFonts w:hint="eastAsia"/>
                <w:color w:val="auto"/>
              </w:rPr>
              <w:t>、</w:t>
            </w:r>
            <w:r>
              <w:rPr>
                <w:rStyle w:val="36"/>
                <w:color w:val="auto"/>
              </w:rPr>
              <w:t>IEC297-2</w:t>
            </w:r>
            <w:r>
              <w:rPr>
                <w:rStyle w:val="36"/>
                <w:rFonts w:hint="eastAsia"/>
                <w:color w:val="auto"/>
              </w:rPr>
              <w:t>、</w:t>
            </w:r>
            <w:r>
              <w:rPr>
                <w:rStyle w:val="36"/>
                <w:color w:val="auto"/>
              </w:rPr>
              <w:t>DIN41491; PART1</w:t>
            </w:r>
            <w:r>
              <w:rPr>
                <w:rStyle w:val="36"/>
                <w:rFonts w:hint="eastAsia"/>
                <w:color w:val="auto"/>
              </w:rPr>
              <w:t>、</w:t>
            </w:r>
            <w:r>
              <w:rPr>
                <w:rStyle w:val="36"/>
                <w:color w:val="auto"/>
              </w:rPr>
              <w:t>DIN41494; PART7</w:t>
            </w:r>
            <w:r>
              <w:rPr>
                <w:rStyle w:val="36"/>
                <w:rFonts w:hint="eastAsia"/>
                <w:color w:val="auto"/>
              </w:rPr>
              <w:t>、</w:t>
            </w:r>
            <w:r>
              <w:rPr>
                <w:rStyle w:val="36"/>
                <w:color w:val="auto"/>
              </w:rPr>
              <w:t>GB/T3047.2- 92</w:t>
            </w:r>
            <w:r>
              <w:rPr>
                <w:rStyle w:val="36"/>
                <w:rFonts w:hint="eastAsia"/>
                <w:color w:val="auto"/>
              </w:rPr>
              <w:t>标准</w:t>
            </w:r>
            <w:r>
              <w:rPr>
                <w:rStyle w:val="36"/>
                <w:color w:val="auto"/>
              </w:rPr>
              <w:t>;</w:t>
            </w:r>
            <w:r>
              <w:rPr>
                <w:rStyle w:val="36"/>
                <w:rFonts w:hint="eastAsia"/>
                <w:color w:val="auto"/>
              </w:rPr>
              <w:t>兼容</w:t>
            </w:r>
            <w:r>
              <w:rPr>
                <w:rStyle w:val="36"/>
                <w:color w:val="auto"/>
              </w:rPr>
              <w:t>ETSI</w:t>
            </w:r>
            <w:r>
              <w:rPr>
                <w:rStyle w:val="36"/>
                <w:rFonts w:hint="eastAsia"/>
                <w:color w:val="auto"/>
              </w:rPr>
              <w:t>标准</w:t>
            </w:r>
            <w:r>
              <w:rPr>
                <w:rStyle w:val="36"/>
                <w:color w:val="auto"/>
              </w:rPr>
              <w:t xml:space="preserve">. </w:t>
            </w:r>
            <w:r>
              <w:rPr>
                <w:rStyle w:val="36"/>
                <w:rFonts w:hint="eastAsia"/>
                <w:color w:val="auto"/>
              </w:rPr>
              <w:t>规格：</w:t>
            </w:r>
            <w:r>
              <w:rPr>
                <w:rStyle w:val="36"/>
                <w:color w:val="auto"/>
              </w:rPr>
              <w:t>600*900*2000mm</w:t>
            </w:r>
            <w:r>
              <w:rPr>
                <w:rStyle w:val="36"/>
                <w:rFonts w:hint="eastAsia"/>
                <w:color w:val="auto"/>
              </w:rPr>
              <w:t>；承载</w:t>
            </w:r>
            <w:r>
              <w:rPr>
                <w:rStyle w:val="36"/>
                <w:color w:val="auto"/>
              </w:rPr>
              <w:t>:</w:t>
            </w:r>
            <w:r>
              <w:rPr>
                <w:rStyle w:val="36"/>
                <w:rFonts w:hint="eastAsia"/>
                <w:color w:val="auto"/>
              </w:rPr>
              <w:t>静载</w:t>
            </w:r>
            <w:r>
              <w:rPr>
                <w:rStyle w:val="36"/>
                <w:color w:val="auto"/>
              </w:rPr>
              <w:t>800KG.</w:t>
            </w:r>
            <w:r>
              <w:rPr>
                <w:rStyle w:val="36"/>
                <w:rFonts w:hint="eastAsia"/>
                <w:color w:val="auto"/>
              </w:rPr>
              <w:t>防护等级</w:t>
            </w:r>
            <w:r>
              <w:rPr>
                <w:rStyle w:val="36"/>
                <w:color w:val="auto"/>
              </w:rPr>
              <w:t xml:space="preserve">:IP20 </w:t>
            </w:r>
            <w:r>
              <w:rPr>
                <w:rStyle w:val="36"/>
                <w:rFonts w:hint="eastAsia"/>
                <w:color w:val="auto"/>
              </w:rPr>
              <w:t>；主要材料</w:t>
            </w:r>
            <w:r>
              <w:rPr>
                <w:rStyle w:val="36"/>
                <w:color w:val="auto"/>
              </w:rPr>
              <w:t>:SPCC</w:t>
            </w:r>
            <w:r>
              <w:rPr>
                <w:rStyle w:val="36"/>
                <w:rFonts w:hint="eastAsia"/>
                <w:color w:val="auto"/>
              </w:rPr>
              <w:t>优质冷扎钢板制作；厚度：方孔条不小于</w:t>
            </w:r>
            <w:r>
              <w:rPr>
                <w:rStyle w:val="36"/>
                <w:color w:val="auto"/>
              </w:rPr>
              <w:t>2.0mm</w:t>
            </w:r>
            <w:r>
              <w:rPr>
                <w:rStyle w:val="36"/>
                <w:rFonts w:hint="eastAsia"/>
                <w:color w:val="auto"/>
              </w:rPr>
              <w:t>，框架和前门边条不小于</w:t>
            </w:r>
            <w:r>
              <w:rPr>
                <w:rStyle w:val="36"/>
                <w:color w:val="auto"/>
              </w:rPr>
              <w:t>1.5mm</w:t>
            </w:r>
            <w:r>
              <w:rPr>
                <w:rStyle w:val="36"/>
                <w:rFonts w:hint="eastAsia"/>
                <w:color w:val="auto"/>
              </w:rPr>
              <w:t>，其它不小于</w:t>
            </w:r>
            <w:r>
              <w:rPr>
                <w:rStyle w:val="36"/>
                <w:color w:val="auto"/>
              </w:rPr>
              <w:t>0.8mm.</w:t>
            </w:r>
            <w:r>
              <w:rPr>
                <w:rStyle w:val="36"/>
                <w:rFonts w:hint="eastAsia"/>
                <w:color w:val="auto"/>
              </w:rPr>
              <w:t>表面处理</w:t>
            </w:r>
            <w:r>
              <w:rPr>
                <w:rStyle w:val="36"/>
                <w:color w:val="auto"/>
              </w:rPr>
              <w:t>:</w:t>
            </w:r>
            <w:r>
              <w:rPr>
                <w:rStyle w:val="36"/>
                <w:rFonts w:hint="eastAsia"/>
                <w:color w:val="auto"/>
              </w:rPr>
              <w:t>脱脂、酸洗、磷化、静电喷塑</w:t>
            </w:r>
            <w:r>
              <w:rPr>
                <w:rStyle w:val="36"/>
                <w:rFonts w:hAnsi="Calibri"/>
                <w:color w:val="auto"/>
              </w:rPr>
              <w:t>.</w:t>
            </w:r>
            <w:r>
              <w:rPr>
                <w:rStyle w:val="36"/>
                <w:rFonts w:hint="eastAsia"/>
                <w:color w:val="auto"/>
              </w:rPr>
              <w:t>颜色：黑色</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171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交换机</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工作组级</w:t>
            </w:r>
            <w:r>
              <w:rPr>
                <w:rFonts w:ascii="宋体" w:cs="宋体"/>
                <w:color w:val="auto"/>
                <w:kern w:val="0"/>
                <w:sz w:val="24"/>
                <w:szCs w:val="24"/>
              </w:rPr>
              <w:t>,</w:t>
            </w:r>
            <w:r>
              <w:rPr>
                <w:rFonts w:hint="eastAsia" w:ascii="宋体" w:hAnsi="宋体" w:cs="宋体"/>
                <w:color w:val="auto"/>
                <w:kern w:val="0"/>
                <w:sz w:val="24"/>
                <w:szCs w:val="24"/>
              </w:rPr>
              <w:t>二层</w:t>
            </w:r>
            <w:r>
              <w:rPr>
                <w:rFonts w:ascii="宋体" w:cs="宋体"/>
                <w:color w:val="auto"/>
                <w:kern w:val="0"/>
                <w:sz w:val="24"/>
                <w:szCs w:val="24"/>
              </w:rPr>
              <w:t>,</w:t>
            </w:r>
            <w:r>
              <w:rPr>
                <w:rFonts w:hint="eastAsia" w:ascii="宋体" w:hAnsi="宋体" w:cs="宋体"/>
                <w:color w:val="auto"/>
                <w:kern w:val="0"/>
                <w:sz w:val="24"/>
                <w:szCs w:val="24"/>
              </w:rPr>
              <w:t>有网管功能</w:t>
            </w:r>
            <w:r>
              <w:rPr>
                <w:rFonts w:ascii="宋体" w:hAnsi="宋体" w:cs="宋体"/>
                <w:color w:val="auto"/>
                <w:kern w:val="0"/>
                <w:sz w:val="24"/>
                <w:szCs w:val="24"/>
              </w:rPr>
              <w:t xml:space="preserve">, </w:t>
            </w:r>
            <w:r>
              <w:rPr>
                <w:rFonts w:hint="eastAsia" w:ascii="宋体" w:hAnsi="宋体" w:cs="宋体"/>
                <w:color w:val="auto"/>
                <w:kern w:val="0"/>
                <w:sz w:val="24"/>
                <w:szCs w:val="24"/>
              </w:rPr>
              <w:t>支持存储转发，背板带宽不小于</w:t>
            </w:r>
            <w:r>
              <w:rPr>
                <w:rFonts w:ascii="宋体" w:hAnsi="宋体" w:cs="宋体"/>
                <w:color w:val="auto"/>
                <w:kern w:val="0"/>
                <w:sz w:val="24"/>
                <w:szCs w:val="24"/>
              </w:rPr>
              <w:t>56Gbps</w:t>
            </w:r>
            <w:r>
              <w:rPr>
                <w:rFonts w:hint="eastAsia" w:ascii="宋体" w:hAnsi="宋体" w:cs="宋体"/>
                <w:color w:val="auto"/>
                <w:kern w:val="0"/>
                <w:sz w:val="24"/>
                <w:szCs w:val="24"/>
              </w:rPr>
              <w:t>，千兆铜缆端口数目不少于</w:t>
            </w:r>
            <w:r>
              <w:rPr>
                <w:rFonts w:ascii="宋体" w:hAnsi="宋体" w:cs="宋体"/>
                <w:color w:val="auto"/>
                <w:kern w:val="0"/>
                <w:sz w:val="24"/>
                <w:szCs w:val="24"/>
              </w:rPr>
              <w:t>24</w:t>
            </w:r>
            <w:r>
              <w:rPr>
                <w:rFonts w:hint="eastAsia" w:ascii="宋体" w:hAnsi="宋体" w:cs="宋体"/>
                <w:color w:val="auto"/>
                <w:kern w:val="0"/>
                <w:sz w:val="24"/>
                <w:szCs w:val="24"/>
              </w:rPr>
              <w:t>口</w:t>
            </w:r>
            <w:r>
              <w:rPr>
                <w:rFonts w:ascii="宋体" w:hAnsi="宋体" w:cs="宋体"/>
                <w:color w:val="auto"/>
                <w:kern w:val="0"/>
                <w:sz w:val="24"/>
                <w:szCs w:val="24"/>
              </w:rPr>
              <w:t xml:space="preserve"> </w:t>
            </w:r>
            <w:r>
              <w:rPr>
                <w:rFonts w:hint="eastAsia" w:ascii="宋体" w:hAnsi="宋体" w:cs="宋体"/>
                <w:color w:val="auto"/>
                <w:kern w:val="0"/>
                <w:sz w:val="24"/>
                <w:szCs w:val="24"/>
              </w:rPr>
              <w:t>，支持传输速率</w:t>
            </w:r>
            <w:r>
              <w:rPr>
                <w:rFonts w:ascii="宋体" w:hAnsi="宋体" w:cs="宋体"/>
                <w:color w:val="auto"/>
                <w:kern w:val="0"/>
                <w:sz w:val="24"/>
                <w:szCs w:val="24"/>
              </w:rPr>
              <w:t xml:space="preserve">  10M/100M/1000Mbps  </w:t>
            </w:r>
            <w:r>
              <w:rPr>
                <w:rFonts w:hint="eastAsia" w:ascii="宋体" w:hAnsi="宋体" w:cs="宋体"/>
                <w:color w:val="auto"/>
                <w:kern w:val="0"/>
                <w:sz w:val="24"/>
                <w:szCs w:val="24"/>
              </w:rPr>
              <w:t>；光纤接口不少于</w:t>
            </w:r>
            <w:r>
              <w:rPr>
                <w:rFonts w:ascii="宋体" w:hAnsi="宋体" w:cs="宋体"/>
                <w:color w:val="auto"/>
                <w:kern w:val="0"/>
                <w:sz w:val="24"/>
                <w:szCs w:val="24"/>
              </w:rPr>
              <w:t>2</w:t>
            </w:r>
            <w:r>
              <w:rPr>
                <w:rFonts w:hint="eastAsia" w:ascii="宋体" w:hAnsi="宋体" w:cs="宋体"/>
                <w:color w:val="auto"/>
                <w:kern w:val="0"/>
                <w:sz w:val="24"/>
                <w:szCs w:val="24"/>
              </w:rPr>
              <w:t>个千兆</w:t>
            </w:r>
            <w:r>
              <w:rPr>
                <w:rFonts w:ascii="宋体" w:hAnsi="宋体" w:cs="宋体"/>
                <w:color w:val="auto"/>
                <w:kern w:val="0"/>
                <w:sz w:val="24"/>
                <w:szCs w:val="24"/>
              </w:rPr>
              <w:t>SFP</w:t>
            </w:r>
            <w:r>
              <w:rPr>
                <w:rFonts w:hint="eastAsia" w:ascii="宋体" w:hAnsi="宋体" w:cs="宋体"/>
                <w:color w:val="auto"/>
                <w:kern w:val="0"/>
                <w:sz w:val="24"/>
                <w:szCs w:val="24"/>
              </w:rPr>
              <w:t>，支持</w:t>
            </w:r>
            <w:r>
              <w:rPr>
                <w:rFonts w:ascii="宋体" w:hAnsi="宋体" w:cs="宋体"/>
                <w:color w:val="auto"/>
                <w:kern w:val="0"/>
                <w:sz w:val="24"/>
                <w:szCs w:val="24"/>
              </w:rPr>
              <w:t>LED</w:t>
            </w:r>
            <w:r>
              <w:rPr>
                <w:rFonts w:hint="eastAsia" w:ascii="宋体" w:hAnsi="宋体" w:cs="宋体"/>
                <w:color w:val="auto"/>
                <w:kern w:val="0"/>
                <w:sz w:val="24"/>
                <w:szCs w:val="24"/>
              </w:rPr>
              <w:t>指示器显示端口连接</w:t>
            </w:r>
            <w:r>
              <w:rPr>
                <w:rFonts w:ascii="宋体" w:hAnsi="宋体" w:cs="宋体"/>
                <w:color w:val="auto"/>
                <w:kern w:val="0"/>
                <w:sz w:val="24"/>
                <w:szCs w:val="24"/>
              </w:rPr>
              <w:t>/</w:t>
            </w:r>
            <w:r>
              <w:rPr>
                <w:rFonts w:hint="eastAsia" w:ascii="宋体" w:hAnsi="宋体" w:cs="宋体"/>
                <w:color w:val="auto"/>
                <w:kern w:val="0"/>
                <w:sz w:val="24"/>
                <w:szCs w:val="24"/>
              </w:rPr>
              <w:t>活动</w:t>
            </w:r>
            <w:r>
              <w:rPr>
                <w:rFonts w:ascii="宋体" w:cs="宋体"/>
                <w:color w:val="auto"/>
                <w:kern w:val="0"/>
                <w:sz w:val="24"/>
                <w:szCs w:val="24"/>
              </w:rPr>
              <w:t>,</w:t>
            </w:r>
            <w:r>
              <w:rPr>
                <w:rFonts w:hint="eastAsia" w:ascii="宋体" w:hAnsi="宋体" w:cs="宋体"/>
                <w:color w:val="auto"/>
                <w:kern w:val="0"/>
                <w:sz w:val="24"/>
                <w:szCs w:val="24"/>
              </w:rPr>
              <w:t>端口速率</w:t>
            </w:r>
            <w:r>
              <w:rPr>
                <w:rFonts w:ascii="宋体" w:cs="宋体"/>
                <w:color w:val="auto"/>
                <w:kern w:val="0"/>
                <w:sz w:val="24"/>
                <w:szCs w:val="24"/>
              </w:rPr>
              <w:t>,</w:t>
            </w:r>
            <w:r>
              <w:rPr>
                <w:rFonts w:hint="eastAsia" w:ascii="宋体" w:hAnsi="宋体" w:cs="宋体"/>
                <w:color w:val="auto"/>
                <w:kern w:val="0"/>
                <w:sz w:val="24"/>
                <w:szCs w:val="24"/>
              </w:rPr>
              <w:t>电源等。须支持网络标准</w:t>
            </w:r>
            <w:r>
              <w:rPr>
                <w:rFonts w:ascii="宋体" w:hAnsi="宋体" w:cs="宋体"/>
                <w:color w:val="auto"/>
                <w:kern w:val="0"/>
                <w:sz w:val="24"/>
                <w:szCs w:val="24"/>
              </w:rPr>
              <w:t xml:space="preserve">  IEEE 802.3, 802.3u, 802.3ab,IEEE 802.3x,802.1Q,802.1p </w:t>
            </w:r>
            <w:r>
              <w:rPr>
                <w:rFonts w:hint="eastAsia" w:ascii="宋体" w:hAnsi="宋体" w:cs="宋体"/>
                <w:color w:val="auto"/>
                <w:kern w:val="0"/>
                <w:sz w:val="24"/>
                <w:szCs w:val="24"/>
              </w:rPr>
              <w:t>，支持</w:t>
            </w:r>
            <w:r>
              <w:rPr>
                <w:rFonts w:ascii="宋体" w:hAnsi="宋体" w:cs="宋体"/>
                <w:color w:val="auto"/>
                <w:kern w:val="0"/>
                <w:sz w:val="24"/>
                <w:szCs w:val="24"/>
              </w:rPr>
              <w:t>VLAN</w:t>
            </w:r>
            <w:r>
              <w:rPr>
                <w:rFonts w:hint="eastAsia" w:ascii="宋体" w:hAnsi="宋体" w:cs="宋体"/>
                <w:color w:val="auto"/>
                <w:kern w:val="0"/>
                <w:sz w:val="24"/>
                <w:szCs w:val="24"/>
              </w:rPr>
              <w:t>功能</w:t>
            </w:r>
            <w:r>
              <w:rPr>
                <w:rFonts w:ascii="宋体" w:hAnsi="宋体" w:cs="宋体"/>
                <w:color w:val="auto"/>
                <w:kern w:val="0"/>
                <w:sz w:val="24"/>
                <w:szCs w:val="24"/>
              </w:rPr>
              <w:t xml:space="preserve"> </w:t>
            </w:r>
            <w:r>
              <w:rPr>
                <w:rFonts w:hint="eastAsia" w:ascii="宋体" w:hAnsi="宋体" w:cs="宋体"/>
                <w:color w:val="auto"/>
                <w:kern w:val="0"/>
                <w:sz w:val="24"/>
                <w:szCs w:val="24"/>
              </w:rPr>
              <w:t>支持全双工，有以下认证标准</w:t>
            </w:r>
            <w:r>
              <w:rPr>
                <w:rFonts w:ascii="宋体" w:hAnsi="宋体" w:cs="宋体"/>
                <w:color w:val="auto"/>
                <w:kern w:val="0"/>
                <w:sz w:val="24"/>
                <w:szCs w:val="24"/>
              </w:rPr>
              <w:t xml:space="preserve"> </w:t>
            </w:r>
          </w:p>
          <w:p>
            <w:pPr>
              <w:widowControl/>
              <w:jc w:val="left"/>
              <w:textAlignment w:val="center"/>
              <w:rPr>
                <w:rFonts w:ascii="宋体"/>
                <w:color w:val="auto"/>
                <w:sz w:val="24"/>
                <w:szCs w:val="24"/>
              </w:rPr>
            </w:pPr>
            <w:r>
              <w:rPr>
                <w:rFonts w:ascii="宋体" w:hAnsi="宋体" w:cs="宋体"/>
                <w:color w:val="auto"/>
                <w:kern w:val="0"/>
                <w:sz w:val="24"/>
                <w:szCs w:val="24"/>
              </w:rPr>
              <w:t xml:space="preserve"> CSA International/CE,FCC,VCCI</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超五类网络跳线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1</w:t>
            </w:r>
            <w:r>
              <w:rPr>
                <w:rFonts w:hint="eastAsia" w:ascii="宋体" w:hAnsi="宋体" w:cs="宋体"/>
                <w:color w:val="auto"/>
                <w:kern w:val="0"/>
                <w:sz w:val="24"/>
                <w:szCs w:val="24"/>
              </w:rPr>
              <w:t>米超五类非屏蔽网络跳线，</w:t>
            </w:r>
            <w:r>
              <w:rPr>
                <w:rFonts w:ascii="宋体" w:hAnsi="宋体" w:cs="宋体"/>
                <w:color w:val="auto"/>
                <w:kern w:val="0"/>
                <w:sz w:val="24"/>
                <w:szCs w:val="24"/>
              </w:rPr>
              <w:t>24AWG(0.50mm</w:t>
            </w:r>
            <w:r>
              <w:rPr>
                <w:rFonts w:hint="eastAsia" w:ascii="宋体" w:hAnsi="宋体" w:cs="宋体"/>
                <w:color w:val="auto"/>
                <w:kern w:val="0"/>
                <w:sz w:val="24"/>
                <w:szCs w:val="24"/>
              </w:rPr>
              <w:t>）以上实芯铜导体；完全满足</w:t>
            </w:r>
            <w:r>
              <w:rPr>
                <w:rFonts w:ascii="宋体" w:hAnsi="宋体" w:cs="宋体"/>
                <w:color w:val="auto"/>
                <w:kern w:val="0"/>
                <w:sz w:val="24"/>
                <w:szCs w:val="24"/>
              </w:rPr>
              <w:t>T568A</w:t>
            </w:r>
            <w:r>
              <w:rPr>
                <w:rFonts w:hint="eastAsia" w:ascii="宋体" w:hAnsi="宋体" w:cs="宋体"/>
                <w:color w:val="auto"/>
                <w:kern w:val="0"/>
                <w:sz w:val="24"/>
                <w:szCs w:val="24"/>
              </w:rPr>
              <w:t>和</w:t>
            </w:r>
            <w:r>
              <w:rPr>
                <w:rFonts w:ascii="宋体" w:hAnsi="宋体" w:cs="宋体"/>
                <w:color w:val="auto"/>
                <w:kern w:val="0"/>
                <w:sz w:val="24"/>
                <w:szCs w:val="24"/>
              </w:rPr>
              <w:t>T568B</w:t>
            </w:r>
            <w:r>
              <w:rPr>
                <w:rFonts w:hint="eastAsia" w:ascii="宋体" w:hAnsi="宋体" w:cs="宋体"/>
                <w:color w:val="auto"/>
                <w:kern w:val="0"/>
                <w:sz w:val="24"/>
                <w:szCs w:val="24"/>
              </w:rPr>
              <w:t>信道标准；使用</w:t>
            </w:r>
            <w:r>
              <w:rPr>
                <w:rFonts w:ascii="宋体" w:hAnsi="宋体" w:cs="宋体"/>
                <w:color w:val="auto"/>
                <w:kern w:val="0"/>
                <w:sz w:val="24"/>
                <w:szCs w:val="24"/>
              </w:rPr>
              <w:t>FEP(</w:t>
            </w:r>
            <w:r>
              <w:rPr>
                <w:rFonts w:hint="eastAsia" w:ascii="宋体" w:hAnsi="宋体" w:cs="宋体"/>
                <w:color w:val="auto"/>
                <w:kern w:val="0"/>
                <w:sz w:val="24"/>
                <w:szCs w:val="24"/>
              </w:rPr>
              <w:t>聚烯经）绝缘，</w:t>
            </w:r>
            <w:r>
              <w:rPr>
                <w:rFonts w:ascii="宋体" w:hAnsi="宋体" w:cs="宋体"/>
                <w:color w:val="auto"/>
                <w:kern w:val="0"/>
                <w:sz w:val="24"/>
                <w:szCs w:val="24"/>
              </w:rPr>
              <w:t>Flamarresto</w:t>
            </w:r>
            <w:r>
              <w:rPr>
                <w:rFonts w:hint="eastAsia" w:ascii="宋体" w:hAnsi="宋体" w:cs="宋体"/>
                <w:color w:val="auto"/>
                <w:kern w:val="0"/>
                <w:sz w:val="24"/>
                <w:szCs w:val="24"/>
              </w:rPr>
              <w:t>阻燃护套</w:t>
            </w:r>
            <w:r>
              <w:rPr>
                <w:rFonts w:ascii="宋体" w:hAnsi="宋体" w:cs="宋体"/>
                <w:color w:val="auto"/>
                <w:kern w:val="0"/>
                <w:sz w:val="24"/>
                <w:szCs w:val="24"/>
              </w:rPr>
              <w:t>;</w:t>
            </w:r>
            <w:r>
              <w:rPr>
                <w:rFonts w:hint="eastAsia" w:ascii="宋体" w:hAnsi="宋体" w:cs="宋体"/>
                <w:color w:val="auto"/>
                <w:kern w:val="0"/>
                <w:sz w:val="24"/>
                <w:szCs w:val="24"/>
              </w:rPr>
              <w:t>通过</w:t>
            </w:r>
            <w:r>
              <w:rPr>
                <w:rFonts w:ascii="宋体" w:hAnsi="宋体" w:cs="宋体"/>
                <w:color w:val="auto"/>
                <w:kern w:val="0"/>
                <w:sz w:val="24"/>
                <w:szCs w:val="24"/>
              </w:rPr>
              <w:t>ISO9001,UL,3P,ETL</w:t>
            </w:r>
            <w:r>
              <w:rPr>
                <w:rFonts w:hint="eastAsia" w:ascii="宋体" w:hAnsi="宋体" w:cs="宋体"/>
                <w:color w:val="auto"/>
                <w:kern w:val="0"/>
                <w:sz w:val="24"/>
                <w:szCs w:val="24"/>
              </w:rPr>
              <w:t>认证</w:t>
            </w:r>
            <w:r>
              <w:rPr>
                <w:rFonts w:ascii="宋体" w:cs="宋体"/>
                <w:color w:val="auto"/>
                <w:kern w:val="0"/>
                <w:sz w:val="24"/>
                <w:szCs w:val="24"/>
              </w:rPr>
              <w:t>,</w:t>
            </w:r>
            <w:r>
              <w:rPr>
                <w:rFonts w:hint="eastAsia" w:ascii="宋体" w:hAnsi="宋体" w:cs="宋体"/>
                <w:color w:val="auto"/>
                <w:kern w:val="0"/>
                <w:sz w:val="24"/>
                <w:szCs w:val="24"/>
              </w:rPr>
              <w:t>国内信息产业部等第三方认证。</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24</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超五类网络跳线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米超五类非屏蔽网络跳线，</w:t>
            </w:r>
            <w:r>
              <w:rPr>
                <w:rFonts w:ascii="宋体" w:hAnsi="宋体" w:cs="宋体"/>
                <w:color w:val="auto"/>
                <w:kern w:val="0"/>
                <w:sz w:val="24"/>
                <w:szCs w:val="24"/>
              </w:rPr>
              <w:t xml:space="preserve"> 24AWG(0.50mm</w:t>
            </w:r>
            <w:r>
              <w:rPr>
                <w:rFonts w:hint="eastAsia" w:ascii="宋体" w:hAnsi="宋体" w:cs="宋体"/>
                <w:color w:val="auto"/>
                <w:kern w:val="0"/>
                <w:sz w:val="24"/>
                <w:szCs w:val="24"/>
              </w:rPr>
              <w:t>）以上实芯铜导体；完全满足</w:t>
            </w:r>
            <w:r>
              <w:rPr>
                <w:rFonts w:ascii="宋体" w:hAnsi="宋体" w:cs="宋体"/>
                <w:color w:val="auto"/>
                <w:kern w:val="0"/>
                <w:sz w:val="24"/>
                <w:szCs w:val="24"/>
              </w:rPr>
              <w:t>T568A</w:t>
            </w:r>
            <w:r>
              <w:rPr>
                <w:rFonts w:hint="eastAsia" w:ascii="宋体" w:hAnsi="宋体" w:cs="宋体"/>
                <w:color w:val="auto"/>
                <w:kern w:val="0"/>
                <w:sz w:val="24"/>
                <w:szCs w:val="24"/>
              </w:rPr>
              <w:t>和</w:t>
            </w:r>
            <w:r>
              <w:rPr>
                <w:rFonts w:ascii="宋体" w:hAnsi="宋体" w:cs="宋体"/>
                <w:color w:val="auto"/>
                <w:kern w:val="0"/>
                <w:sz w:val="24"/>
                <w:szCs w:val="24"/>
              </w:rPr>
              <w:t>T568B</w:t>
            </w:r>
            <w:r>
              <w:rPr>
                <w:rFonts w:hint="eastAsia" w:ascii="宋体" w:hAnsi="宋体" w:cs="宋体"/>
                <w:color w:val="auto"/>
                <w:kern w:val="0"/>
                <w:sz w:val="24"/>
                <w:szCs w:val="24"/>
              </w:rPr>
              <w:t>信道标准；使用</w:t>
            </w:r>
            <w:r>
              <w:rPr>
                <w:rFonts w:ascii="宋体" w:hAnsi="宋体" w:cs="宋体"/>
                <w:color w:val="auto"/>
                <w:kern w:val="0"/>
                <w:sz w:val="24"/>
                <w:szCs w:val="24"/>
              </w:rPr>
              <w:t>FEP(</w:t>
            </w:r>
            <w:r>
              <w:rPr>
                <w:rFonts w:hint="eastAsia" w:ascii="宋体" w:hAnsi="宋体" w:cs="宋体"/>
                <w:color w:val="auto"/>
                <w:kern w:val="0"/>
                <w:sz w:val="24"/>
                <w:szCs w:val="24"/>
              </w:rPr>
              <w:t>聚烯经）绝缘，</w:t>
            </w:r>
            <w:r>
              <w:rPr>
                <w:rFonts w:ascii="宋体" w:hAnsi="宋体" w:cs="宋体"/>
                <w:color w:val="auto"/>
                <w:kern w:val="0"/>
                <w:sz w:val="24"/>
                <w:szCs w:val="24"/>
              </w:rPr>
              <w:t>Flamarresto</w:t>
            </w:r>
            <w:r>
              <w:rPr>
                <w:rFonts w:hint="eastAsia" w:ascii="宋体" w:hAnsi="宋体" w:cs="宋体"/>
                <w:color w:val="auto"/>
                <w:kern w:val="0"/>
                <w:sz w:val="24"/>
                <w:szCs w:val="24"/>
              </w:rPr>
              <w:t>阻燃护套</w:t>
            </w:r>
            <w:r>
              <w:rPr>
                <w:rFonts w:ascii="宋体" w:hAnsi="宋体" w:cs="宋体"/>
                <w:color w:val="auto"/>
                <w:kern w:val="0"/>
                <w:sz w:val="24"/>
                <w:szCs w:val="24"/>
              </w:rPr>
              <w:t>;</w:t>
            </w:r>
            <w:r>
              <w:rPr>
                <w:rFonts w:hint="eastAsia" w:ascii="宋体" w:hAnsi="宋体" w:cs="宋体"/>
                <w:color w:val="auto"/>
                <w:kern w:val="0"/>
                <w:sz w:val="24"/>
                <w:szCs w:val="24"/>
              </w:rPr>
              <w:t>通过</w:t>
            </w:r>
            <w:r>
              <w:rPr>
                <w:rFonts w:ascii="宋体" w:hAnsi="宋体" w:cs="宋体"/>
                <w:color w:val="auto"/>
                <w:kern w:val="0"/>
                <w:sz w:val="24"/>
                <w:szCs w:val="24"/>
              </w:rPr>
              <w:t>ISO9001,UL,3P,ETL</w:t>
            </w:r>
            <w:r>
              <w:rPr>
                <w:rFonts w:hint="eastAsia" w:ascii="宋体" w:hAnsi="宋体" w:cs="宋体"/>
                <w:color w:val="auto"/>
                <w:kern w:val="0"/>
                <w:sz w:val="24"/>
                <w:szCs w:val="24"/>
              </w:rPr>
              <w:t>认证</w:t>
            </w:r>
            <w:r>
              <w:rPr>
                <w:rFonts w:ascii="宋体" w:cs="宋体"/>
                <w:color w:val="auto"/>
                <w:kern w:val="0"/>
                <w:sz w:val="24"/>
                <w:szCs w:val="24"/>
              </w:rPr>
              <w:t>,</w:t>
            </w:r>
            <w:r>
              <w:rPr>
                <w:rFonts w:hint="eastAsia" w:ascii="宋体" w:hAnsi="宋体" w:cs="宋体"/>
                <w:color w:val="auto"/>
                <w:kern w:val="0"/>
                <w:sz w:val="24"/>
                <w:szCs w:val="24"/>
              </w:rPr>
              <w:t>国内信息产业部等第三方认证。</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r>
      <w:tr>
        <w:tblPrEx>
          <w:tblCellMar>
            <w:top w:w="0" w:type="dxa"/>
            <w:left w:w="0" w:type="dxa"/>
            <w:bottom w:w="0" w:type="dxa"/>
            <w:right w:w="0" w:type="dxa"/>
          </w:tblCellMar>
        </w:tblPrEx>
        <w:trPr>
          <w:trHeight w:val="57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网络水晶头</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加厚镀金芯片</w:t>
            </w:r>
            <w:r>
              <w:rPr>
                <w:rFonts w:ascii="宋体" w:hAnsi="宋体" w:cs="宋体"/>
                <w:color w:val="auto"/>
                <w:kern w:val="0"/>
                <w:sz w:val="24"/>
                <w:szCs w:val="24"/>
              </w:rPr>
              <w:t xml:space="preserve"> | </w:t>
            </w:r>
            <w:r>
              <w:rPr>
                <w:rFonts w:hint="eastAsia" w:ascii="宋体" w:hAnsi="宋体" w:cs="宋体"/>
                <w:color w:val="auto"/>
                <w:kern w:val="0"/>
                <w:sz w:val="24"/>
                <w:szCs w:val="24"/>
              </w:rPr>
              <w:t>全新环保</w:t>
            </w:r>
            <w:r>
              <w:rPr>
                <w:rFonts w:ascii="宋体" w:hAnsi="宋体" w:cs="宋体"/>
                <w:color w:val="auto"/>
                <w:kern w:val="0"/>
                <w:sz w:val="24"/>
                <w:szCs w:val="24"/>
              </w:rPr>
              <w:t>PC</w:t>
            </w:r>
            <w:r>
              <w:rPr>
                <w:rFonts w:hint="eastAsia" w:ascii="宋体" w:hAnsi="宋体" w:cs="宋体"/>
                <w:color w:val="auto"/>
                <w:kern w:val="0"/>
                <w:sz w:val="24"/>
                <w:szCs w:val="24"/>
              </w:rPr>
              <w:t>料，使用三叉芯片，触点与线芯接触更充分。</w:t>
            </w:r>
            <w:r>
              <w:rPr>
                <w:rFonts w:ascii="宋体" w:hAnsi="宋体" w:cs="宋体"/>
                <w:color w:val="auto"/>
                <w:kern w:val="0"/>
                <w:sz w:val="24"/>
                <w:szCs w:val="24"/>
              </w:rPr>
              <w:t>100</w:t>
            </w:r>
            <w:r>
              <w:rPr>
                <w:rFonts w:hint="eastAsia" w:ascii="宋体" w:hAnsi="宋体" w:cs="宋体"/>
                <w:color w:val="auto"/>
                <w:kern w:val="0"/>
                <w:sz w:val="24"/>
                <w:szCs w:val="24"/>
              </w:rPr>
              <w:t>个</w:t>
            </w:r>
            <w:r>
              <w:rPr>
                <w:rFonts w:ascii="宋体" w:hAnsi="宋体" w:cs="宋体"/>
                <w:color w:val="auto"/>
                <w:kern w:val="0"/>
                <w:sz w:val="24"/>
                <w:szCs w:val="24"/>
              </w:rPr>
              <w:t>/</w:t>
            </w:r>
            <w:r>
              <w:rPr>
                <w:rFonts w:hint="eastAsia" w:ascii="宋体" w:hAnsi="宋体" w:cs="宋体"/>
                <w:color w:val="auto"/>
                <w:kern w:val="0"/>
                <w:sz w:val="24"/>
                <w:szCs w:val="24"/>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盒</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网络面板模块</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网络信息点面板，模块支持超五类，金针需能承受最少插拨</w:t>
            </w:r>
            <w:r>
              <w:rPr>
                <w:rFonts w:ascii="宋体" w:hAnsi="宋体" w:cs="宋体"/>
                <w:color w:val="auto"/>
                <w:kern w:val="0"/>
                <w:sz w:val="24"/>
                <w:szCs w:val="24"/>
              </w:rPr>
              <w:t>750</w:t>
            </w:r>
            <w:r>
              <w:rPr>
                <w:rFonts w:hint="eastAsia" w:ascii="宋体" w:hAnsi="宋体" w:cs="宋体"/>
                <w:color w:val="auto"/>
                <w:kern w:val="0"/>
                <w:sz w:val="24"/>
                <w:szCs w:val="24"/>
              </w:rPr>
              <w:t>次。绝缘电阻：最少</w:t>
            </w:r>
            <w:r>
              <w:rPr>
                <w:rFonts w:ascii="宋体" w:hAnsi="宋体" w:cs="宋体"/>
                <w:color w:val="auto"/>
                <w:kern w:val="0"/>
                <w:sz w:val="24"/>
                <w:szCs w:val="24"/>
              </w:rPr>
              <w:t>500</w:t>
            </w:r>
            <w:r>
              <w:rPr>
                <w:rFonts w:hint="eastAsia" w:ascii="宋体" w:hAnsi="宋体" w:cs="宋体"/>
                <w:color w:val="auto"/>
                <w:kern w:val="0"/>
                <w:sz w:val="24"/>
                <w:szCs w:val="24"/>
              </w:rPr>
              <w:t>×</w:t>
            </w:r>
            <w:r>
              <w:rPr>
                <w:rFonts w:ascii="宋体" w:hAnsi="宋体" w:cs="宋体"/>
                <w:color w:val="auto"/>
                <w:kern w:val="0"/>
                <w:sz w:val="24"/>
                <w:szCs w:val="24"/>
              </w:rPr>
              <w:t>106</w:t>
            </w:r>
            <w:r>
              <w:rPr>
                <w:rFonts w:hint="eastAsia" w:ascii="宋体" w:hAnsi="宋体" w:cs="宋体"/>
                <w:color w:val="auto"/>
                <w:kern w:val="0"/>
                <w:sz w:val="24"/>
                <w:szCs w:val="24"/>
              </w:rPr>
              <w:t>欧姆</w:t>
            </w:r>
            <w:r>
              <w:rPr>
                <w:rFonts w:ascii="宋体" w:hAnsi="宋体" w:cs="宋体"/>
                <w:color w:val="auto"/>
                <w:kern w:val="0"/>
                <w:sz w:val="24"/>
                <w:szCs w:val="24"/>
              </w:rPr>
              <w:t xml:space="preserve">. </w:t>
            </w:r>
            <w:r>
              <w:rPr>
                <w:rFonts w:hint="eastAsia" w:ascii="宋体" w:hAnsi="宋体" w:cs="宋体"/>
                <w:color w:val="auto"/>
                <w:kern w:val="0"/>
                <w:sz w:val="24"/>
                <w:szCs w:val="24"/>
              </w:rPr>
              <w:t>符合</w:t>
            </w:r>
            <w:r>
              <w:rPr>
                <w:rFonts w:ascii="宋体" w:hAnsi="宋体" w:cs="宋体"/>
                <w:color w:val="auto"/>
                <w:kern w:val="0"/>
                <w:sz w:val="24"/>
                <w:szCs w:val="24"/>
              </w:rPr>
              <w:t xml:space="preserve">ANSI/TIA/EIA 568-B.2 </w:t>
            </w:r>
            <w:r>
              <w:rPr>
                <w:rFonts w:hint="eastAsia" w:ascii="宋体" w:hAnsi="宋体" w:cs="宋体"/>
                <w:color w:val="auto"/>
                <w:kern w:val="0"/>
                <w:sz w:val="24"/>
                <w:szCs w:val="24"/>
              </w:rPr>
              <w:t>超</w:t>
            </w:r>
            <w:r>
              <w:rPr>
                <w:rFonts w:ascii="宋体" w:hAnsi="宋体" w:cs="宋体"/>
                <w:color w:val="auto"/>
                <w:kern w:val="0"/>
                <w:sz w:val="24"/>
                <w:szCs w:val="24"/>
              </w:rPr>
              <w:t>5</w:t>
            </w:r>
            <w:r>
              <w:rPr>
                <w:rFonts w:hint="eastAsia" w:ascii="宋体" w:hAnsi="宋体" w:cs="宋体"/>
                <w:color w:val="auto"/>
                <w:kern w:val="0"/>
                <w:sz w:val="24"/>
                <w:szCs w:val="24"/>
              </w:rPr>
              <w:t>类标准。塑料部分需符合</w:t>
            </w:r>
            <w:r>
              <w:rPr>
                <w:rFonts w:ascii="宋体" w:hAnsi="宋体" w:cs="宋体"/>
                <w:color w:val="auto"/>
                <w:kern w:val="0"/>
                <w:sz w:val="24"/>
                <w:szCs w:val="24"/>
              </w:rPr>
              <w:t>ABS UL 94V-0</w:t>
            </w:r>
            <w:r>
              <w:rPr>
                <w:rFonts w:hint="eastAsia" w:ascii="宋体" w:hAnsi="宋体" w:cs="宋体"/>
                <w:color w:val="auto"/>
                <w:kern w:val="0"/>
                <w:sz w:val="24"/>
                <w:szCs w:val="24"/>
              </w:rPr>
              <w:t>标准。</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r>
      <w:tr>
        <w:tblPrEx>
          <w:tblCellMar>
            <w:top w:w="0" w:type="dxa"/>
            <w:left w:w="0" w:type="dxa"/>
            <w:bottom w:w="0" w:type="dxa"/>
            <w:right w:w="0" w:type="dxa"/>
          </w:tblCellMar>
        </w:tblPrEx>
        <w:trPr>
          <w:trHeight w:val="85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配线架</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Style w:val="36"/>
                <w:rFonts w:hint="eastAsia"/>
                <w:color w:val="auto"/>
              </w:rPr>
              <w:t>超五类模块</w:t>
            </w:r>
            <w:r>
              <w:rPr>
                <w:rStyle w:val="36"/>
                <w:color w:val="auto"/>
              </w:rPr>
              <w:t xml:space="preserve"> </w:t>
            </w:r>
            <w:r>
              <w:rPr>
                <w:rStyle w:val="36"/>
                <w:rFonts w:hint="eastAsia"/>
                <w:color w:val="auto"/>
              </w:rPr>
              <w:t>，支持至少</w:t>
            </w:r>
            <w:r>
              <w:rPr>
                <w:rStyle w:val="36"/>
                <w:color w:val="auto"/>
              </w:rPr>
              <w:t>24</w:t>
            </w:r>
            <w:r>
              <w:rPr>
                <w:rStyle w:val="36"/>
                <w:rFonts w:hint="eastAsia"/>
                <w:color w:val="auto"/>
              </w:rPr>
              <w:t>口</w:t>
            </w:r>
            <w:r>
              <w:rPr>
                <w:rStyle w:val="36"/>
                <w:color w:val="auto"/>
              </w:rPr>
              <w:t xml:space="preserve"> </w:t>
            </w:r>
            <w:r>
              <w:rPr>
                <w:rStyle w:val="36"/>
                <w:rFonts w:hint="eastAsia"/>
                <w:color w:val="auto"/>
              </w:rPr>
              <w:t>，模块化机柜式网络配线架，</w:t>
            </w:r>
            <w:r>
              <w:rPr>
                <w:rStyle w:val="36"/>
                <w:color w:val="auto"/>
              </w:rPr>
              <w:t>24</w:t>
            </w:r>
            <w:r>
              <w:rPr>
                <w:rStyle w:val="36"/>
                <w:rFonts w:hint="eastAsia"/>
                <w:color w:val="auto"/>
              </w:rPr>
              <w:t>位超五类网络模块，金针需能承受最少插拨</w:t>
            </w:r>
            <w:r>
              <w:rPr>
                <w:rStyle w:val="36"/>
                <w:color w:val="auto"/>
              </w:rPr>
              <w:t>750</w:t>
            </w:r>
            <w:r>
              <w:rPr>
                <w:rStyle w:val="36"/>
                <w:rFonts w:hint="eastAsia"/>
                <w:color w:val="auto"/>
              </w:rPr>
              <w:t>次。符合</w:t>
            </w:r>
            <w:r>
              <w:rPr>
                <w:rStyle w:val="36"/>
                <w:color w:val="auto"/>
              </w:rPr>
              <w:t xml:space="preserve">ANSI/TIA/EIA 568-B.2 </w:t>
            </w:r>
            <w:r>
              <w:rPr>
                <w:rStyle w:val="36"/>
                <w:rFonts w:hint="eastAsia"/>
                <w:color w:val="auto"/>
              </w:rPr>
              <w:t>超</w:t>
            </w:r>
            <w:r>
              <w:rPr>
                <w:rStyle w:val="36"/>
                <w:color w:val="auto"/>
              </w:rPr>
              <w:t>5</w:t>
            </w:r>
            <w:r>
              <w:rPr>
                <w:rStyle w:val="36"/>
                <w:rFonts w:hint="eastAsia"/>
                <w:color w:val="auto"/>
              </w:rPr>
              <w:t>类标准。</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理线架</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与配线架相配</w:t>
            </w:r>
            <w:r>
              <w:rPr>
                <w:rFonts w:ascii="宋体" w:hAnsi="宋体" w:cs="宋体"/>
                <w:color w:val="auto"/>
                <w:kern w:val="0"/>
                <w:sz w:val="24"/>
                <w:szCs w:val="24"/>
              </w:rPr>
              <w:t>24</w:t>
            </w:r>
            <w:r>
              <w:rPr>
                <w:rFonts w:hint="eastAsia" w:ascii="宋体" w:hAnsi="宋体" w:cs="宋体"/>
                <w:color w:val="auto"/>
                <w:kern w:val="0"/>
                <w:sz w:val="24"/>
                <w:szCs w:val="24"/>
              </w:rPr>
              <w:t>位理线架</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网线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UTP Cat 5.0e</w:t>
            </w:r>
            <w:r>
              <w:rPr>
                <w:rFonts w:hint="eastAsia" w:ascii="宋体" w:hAnsi="宋体" w:cs="宋体"/>
                <w:color w:val="auto"/>
                <w:kern w:val="0"/>
                <w:sz w:val="24"/>
                <w:szCs w:val="24"/>
              </w:rPr>
              <w:t>，超五类网线，</w:t>
            </w:r>
            <w:r>
              <w:rPr>
                <w:rFonts w:ascii="宋体" w:hAnsi="宋体" w:cs="宋体"/>
                <w:color w:val="auto"/>
                <w:kern w:val="0"/>
                <w:sz w:val="24"/>
                <w:szCs w:val="24"/>
              </w:rPr>
              <w:t>24AWG(0.50mm</w:t>
            </w:r>
            <w:r>
              <w:rPr>
                <w:rFonts w:hint="eastAsia" w:ascii="宋体" w:hAnsi="宋体" w:cs="宋体"/>
                <w:color w:val="auto"/>
                <w:kern w:val="0"/>
                <w:sz w:val="24"/>
                <w:szCs w:val="24"/>
              </w:rPr>
              <w:t>）以上实芯铜导体。使用</w:t>
            </w:r>
            <w:r>
              <w:rPr>
                <w:rFonts w:ascii="宋体" w:hAnsi="宋体" w:cs="宋体"/>
                <w:color w:val="auto"/>
                <w:kern w:val="0"/>
                <w:sz w:val="24"/>
                <w:szCs w:val="24"/>
              </w:rPr>
              <w:t>FEP(</w:t>
            </w:r>
            <w:r>
              <w:rPr>
                <w:rFonts w:hint="eastAsia" w:ascii="宋体" w:hAnsi="宋体" w:cs="宋体"/>
                <w:color w:val="auto"/>
                <w:kern w:val="0"/>
                <w:sz w:val="24"/>
                <w:szCs w:val="24"/>
              </w:rPr>
              <w:t>聚烯经）绝缘，</w:t>
            </w:r>
            <w:r>
              <w:rPr>
                <w:rFonts w:ascii="宋体" w:hAnsi="宋体" w:cs="宋体"/>
                <w:color w:val="auto"/>
                <w:kern w:val="0"/>
                <w:sz w:val="24"/>
                <w:szCs w:val="24"/>
              </w:rPr>
              <w:t>Flamarresto</w:t>
            </w:r>
            <w:r>
              <w:rPr>
                <w:rFonts w:hint="eastAsia" w:ascii="宋体" w:hAnsi="宋体" w:cs="宋体"/>
                <w:color w:val="auto"/>
                <w:kern w:val="0"/>
                <w:sz w:val="24"/>
                <w:szCs w:val="24"/>
              </w:rPr>
              <w:t>阻燃护套，通过</w:t>
            </w:r>
            <w:r>
              <w:rPr>
                <w:rFonts w:ascii="宋体" w:hAnsi="宋体" w:cs="宋体"/>
                <w:color w:val="auto"/>
                <w:kern w:val="0"/>
                <w:sz w:val="24"/>
                <w:szCs w:val="24"/>
              </w:rPr>
              <w:t>ISO9001,UL,3P,ETL</w:t>
            </w:r>
            <w:r>
              <w:rPr>
                <w:rFonts w:hint="eastAsia" w:ascii="宋体" w:hAnsi="宋体" w:cs="宋体"/>
                <w:color w:val="auto"/>
                <w:kern w:val="0"/>
                <w:sz w:val="24"/>
                <w:szCs w:val="24"/>
              </w:rPr>
              <w:t>认证</w:t>
            </w:r>
            <w:r>
              <w:rPr>
                <w:rFonts w:ascii="宋体" w:cs="宋体"/>
                <w:color w:val="auto"/>
                <w:kern w:val="0"/>
                <w:sz w:val="24"/>
                <w:szCs w:val="24"/>
              </w:rPr>
              <w:t>,</w:t>
            </w:r>
            <w:r>
              <w:rPr>
                <w:rFonts w:hint="eastAsia" w:ascii="宋体" w:hAnsi="宋体" w:cs="宋体"/>
                <w:color w:val="auto"/>
                <w:kern w:val="0"/>
                <w:sz w:val="24"/>
                <w:szCs w:val="24"/>
              </w:rPr>
              <w:t>国内信息产业部等第三方认证</w:t>
            </w:r>
            <w:r>
              <w:rPr>
                <w:rFonts w:ascii="宋体" w:cs="宋体"/>
                <w:color w:val="auto"/>
                <w:kern w:val="0"/>
                <w:sz w:val="24"/>
                <w:szCs w:val="24"/>
              </w:rPr>
              <w:t>,</w:t>
            </w:r>
            <w:r>
              <w:rPr>
                <w:rFonts w:hint="eastAsia" w:ascii="宋体" w:hAnsi="宋体" w:cs="宋体"/>
                <w:color w:val="auto"/>
                <w:kern w:val="0"/>
                <w:sz w:val="24"/>
                <w:szCs w:val="24"/>
              </w:rPr>
              <w:t>，符合</w:t>
            </w:r>
            <w:r>
              <w:rPr>
                <w:rFonts w:ascii="宋体" w:hAnsi="宋体" w:cs="宋体"/>
                <w:color w:val="auto"/>
                <w:kern w:val="0"/>
                <w:sz w:val="24"/>
                <w:szCs w:val="24"/>
              </w:rPr>
              <w:t xml:space="preserve">TIA/EIA 568-B.2 </w:t>
            </w:r>
            <w:r>
              <w:rPr>
                <w:rFonts w:hint="eastAsia" w:ascii="宋体" w:hAnsi="宋体" w:cs="宋体"/>
                <w:color w:val="auto"/>
                <w:kern w:val="0"/>
                <w:sz w:val="24"/>
                <w:szCs w:val="24"/>
              </w:rPr>
              <w:t>超</w:t>
            </w:r>
            <w:r>
              <w:rPr>
                <w:rFonts w:ascii="宋体" w:hAnsi="宋体" w:cs="宋体"/>
                <w:color w:val="auto"/>
                <w:kern w:val="0"/>
                <w:sz w:val="24"/>
                <w:szCs w:val="24"/>
              </w:rPr>
              <w:t>5</w:t>
            </w:r>
            <w:r>
              <w:rPr>
                <w:rFonts w:hint="eastAsia" w:ascii="宋体" w:hAnsi="宋体" w:cs="宋体"/>
                <w:color w:val="auto"/>
                <w:kern w:val="0"/>
                <w:sz w:val="24"/>
                <w:szCs w:val="24"/>
              </w:rPr>
              <w:t>类标准。保证能通过</w:t>
            </w:r>
            <w:r>
              <w:rPr>
                <w:rFonts w:ascii="宋体" w:hAnsi="宋体" w:cs="宋体"/>
                <w:color w:val="auto"/>
                <w:kern w:val="0"/>
                <w:sz w:val="24"/>
                <w:szCs w:val="24"/>
              </w:rPr>
              <w:t>90</w:t>
            </w:r>
            <w:r>
              <w:rPr>
                <w:rFonts w:hint="eastAsia" w:ascii="宋体" w:hAnsi="宋体" w:cs="宋体"/>
                <w:color w:val="auto"/>
                <w:kern w:val="0"/>
                <w:sz w:val="24"/>
                <w:szCs w:val="24"/>
              </w:rPr>
              <w:t>米以上的永久链路超</w:t>
            </w:r>
            <w:r>
              <w:rPr>
                <w:rFonts w:ascii="宋体" w:hAnsi="宋体" w:cs="宋体"/>
                <w:color w:val="auto"/>
                <w:kern w:val="0"/>
                <w:sz w:val="24"/>
                <w:szCs w:val="24"/>
              </w:rPr>
              <w:t>5</w:t>
            </w:r>
            <w:r>
              <w:rPr>
                <w:rFonts w:hint="eastAsia" w:ascii="宋体" w:hAnsi="宋体" w:cs="宋体"/>
                <w:color w:val="auto"/>
                <w:kern w:val="0"/>
                <w:sz w:val="24"/>
                <w:szCs w:val="24"/>
              </w:rPr>
              <w:t>类标准测试。</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箱（</w:t>
            </w:r>
            <w:r>
              <w:rPr>
                <w:rFonts w:ascii="宋体" w:hAnsi="宋体" w:cs="宋体"/>
                <w:color w:val="auto"/>
                <w:kern w:val="0"/>
                <w:sz w:val="24"/>
                <w:szCs w:val="24"/>
              </w:rPr>
              <w:t>300</w:t>
            </w:r>
            <w:r>
              <w:rPr>
                <w:rFonts w:hint="eastAsia" w:ascii="宋体" w:hAnsi="宋体" w:cs="宋体"/>
                <w:color w:val="auto"/>
                <w:kern w:val="0"/>
                <w:sz w:val="24"/>
                <w:szCs w:val="24"/>
              </w:rPr>
              <w:t>米</w:t>
            </w:r>
            <w:r>
              <w:rPr>
                <w:rFonts w:ascii="宋体" w:hAnsi="宋体" w:cs="宋体"/>
                <w:color w:val="auto"/>
                <w:kern w:val="0"/>
                <w:sz w:val="24"/>
                <w:szCs w:val="24"/>
              </w:rPr>
              <w:t>/</w:t>
            </w:r>
            <w:r>
              <w:rPr>
                <w:rFonts w:hint="eastAsia" w:ascii="宋体" w:hAnsi="宋体" w:cs="宋体"/>
                <w:color w:val="auto"/>
                <w:kern w:val="0"/>
                <w:sz w:val="24"/>
                <w:szCs w:val="24"/>
              </w:rPr>
              <w:t>箱）</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芯电源线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国标</w:t>
            </w:r>
            <w:r>
              <w:rPr>
                <w:rFonts w:ascii="宋体" w:hAnsi="宋体" w:cs="宋体"/>
                <w:color w:val="auto"/>
                <w:kern w:val="0"/>
                <w:sz w:val="24"/>
                <w:szCs w:val="24"/>
              </w:rPr>
              <w:t>RVV2*1.0</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500</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芯电源线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国标</w:t>
            </w:r>
            <w:r>
              <w:rPr>
                <w:rFonts w:ascii="宋体" w:hAnsi="宋体" w:cs="宋体"/>
                <w:color w:val="auto"/>
                <w:kern w:val="0"/>
                <w:sz w:val="24"/>
                <w:szCs w:val="24"/>
              </w:rPr>
              <w:t>RVV2*1.5</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100</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芯电源线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国标</w:t>
            </w:r>
            <w:r>
              <w:rPr>
                <w:rFonts w:ascii="宋体" w:hAnsi="宋体" w:cs="宋体"/>
                <w:color w:val="auto"/>
                <w:kern w:val="0"/>
                <w:sz w:val="24"/>
                <w:szCs w:val="24"/>
              </w:rPr>
              <w:t>RVV3*2.5</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200</w:t>
            </w:r>
          </w:p>
        </w:tc>
      </w:tr>
      <w:tr>
        <w:tblPrEx>
          <w:tblCellMar>
            <w:top w:w="0" w:type="dxa"/>
            <w:left w:w="0" w:type="dxa"/>
            <w:bottom w:w="0" w:type="dxa"/>
            <w:right w:w="0" w:type="dxa"/>
          </w:tblCellMar>
        </w:tblPrEx>
        <w:trPr>
          <w:trHeight w:val="285" w:hRule="atLeast"/>
        </w:trPr>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w:t>
            </w:r>
            <w:r>
              <w:rPr>
                <w:rFonts w:hint="eastAsia" w:ascii="宋体" w:hAnsi="宋体" w:cs="宋体"/>
                <w:color w:val="auto"/>
                <w:kern w:val="0"/>
                <w:sz w:val="24"/>
                <w:szCs w:val="24"/>
              </w:rPr>
              <w:t>芯信号线</w:t>
            </w:r>
          </w:p>
        </w:tc>
        <w:tc>
          <w:tcPr>
            <w:tcW w:w="54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国标</w:t>
            </w:r>
            <w:r>
              <w:rPr>
                <w:rFonts w:ascii="宋体" w:hAnsi="宋体" w:cs="宋体"/>
                <w:color w:val="auto"/>
                <w:kern w:val="0"/>
                <w:sz w:val="24"/>
                <w:szCs w:val="24"/>
              </w:rPr>
              <w:t>RVV6*0.5</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300</w:t>
            </w:r>
          </w:p>
        </w:tc>
      </w:tr>
    </w:tbl>
    <w:p>
      <w:pPr>
        <w:pStyle w:val="8"/>
        <w:adjustRightInd w:val="0"/>
        <w:snapToGrid w:val="0"/>
        <w:spacing w:beforeLines="50" w:line="320" w:lineRule="exact"/>
        <w:ind w:firstLine="482" w:firstLineChars="200"/>
        <w:rPr>
          <w:rFonts w:hAnsi="宋体" w:cs="Calibri"/>
          <w:b/>
          <w:bCs/>
          <w:color w:val="auto"/>
          <w:sz w:val="24"/>
          <w:szCs w:val="24"/>
        </w:rPr>
      </w:pPr>
    </w:p>
    <w:p>
      <w:pPr>
        <w:pStyle w:val="8"/>
        <w:adjustRightInd w:val="0"/>
        <w:snapToGrid w:val="0"/>
        <w:spacing w:beforeLines="50" w:line="320" w:lineRule="exact"/>
        <w:rPr>
          <w:rFonts w:hAnsi="宋体" w:cs="Calibri"/>
          <w:b/>
          <w:bCs/>
          <w:color w:val="auto"/>
          <w:sz w:val="24"/>
          <w:szCs w:val="24"/>
        </w:rPr>
      </w:pPr>
      <w:bookmarkStart w:id="57" w:name="_Toc7321_WPSOffice_Level1"/>
      <w:bookmarkStart w:id="58" w:name="_Toc20890_WPSOffice_Level1"/>
      <w:r>
        <w:rPr>
          <w:rFonts w:hint="eastAsia" w:hAnsi="宋体"/>
          <w:b/>
          <w:bCs/>
          <w:color w:val="auto"/>
          <w:sz w:val="24"/>
          <w:szCs w:val="24"/>
        </w:rPr>
        <w:t>二、合同金额</w:t>
      </w:r>
      <w:bookmarkEnd w:id="57"/>
      <w:bookmarkEnd w:id="58"/>
    </w:p>
    <w:p>
      <w:pPr>
        <w:pStyle w:val="8"/>
        <w:adjustRightInd w:val="0"/>
        <w:snapToGrid w:val="0"/>
        <w:spacing w:beforeLines="50" w:line="320" w:lineRule="exact"/>
        <w:ind w:left="1" w:firstLine="520"/>
        <w:rPr>
          <w:rFonts w:hAnsi="宋体" w:cs="Calibri"/>
          <w:color w:val="auto"/>
          <w:sz w:val="24"/>
          <w:szCs w:val="24"/>
        </w:rPr>
      </w:pPr>
      <w:r>
        <w:rPr>
          <w:rFonts w:hint="eastAsia" w:hAnsi="宋体"/>
          <w:color w:val="auto"/>
          <w:sz w:val="24"/>
          <w:szCs w:val="24"/>
        </w:rPr>
        <w:t>本合同金额为（大写）：</w:t>
      </w:r>
      <w:r>
        <w:rPr>
          <w:rFonts w:hAnsi="宋体"/>
          <w:color w:val="auto"/>
          <w:sz w:val="24"/>
          <w:szCs w:val="24"/>
        </w:rPr>
        <w:t>_____________________</w:t>
      </w:r>
      <w:r>
        <w:rPr>
          <w:rFonts w:hint="eastAsia" w:hAnsi="宋体"/>
          <w:color w:val="auto"/>
          <w:sz w:val="24"/>
          <w:szCs w:val="24"/>
        </w:rPr>
        <w:t>元（￥</w:t>
      </w:r>
      <w:r>
        <w:rPr>
          <w:rFonts w:hAnsi="宋体"/>
          <w:color w:val="auto"/>
          <w:sz w:val="24"/>
          <w:szCs w:val="24"/>
        </w:rPr>
        <w:t>_______________</w:t>
      </w:r>
      <w:r>
        <w:rPr>
          <w:rFonts w:hint="eastAsia" w:hAnsi="宋体"/>
          <w:color w:val="auto"/>
          <w:sz w:val="24"/>
          <w:szCs w:val="24"/>
        </w:rPr>
        <w:t>元）人民币。</w:t>
      </w:r>
    </w:p>
    <w:p>
      <w:pPr>
        <w:pStyle w:val="8"/>
        <w:adjustRightInd w:val="0"/>
        <w:snapToGrid w:val="0"/>
        <w:spacing w:beforeLines="50" w:line="320" w:lineRule="exact"/>
        <w:ind w:firstLine="454"/>
        <w:rPr>
          <w:rFonts w:hAnsi="宋体" w:cs="Calibri"/>
          <w:b/>
          <w:bCs/>
          <w:color w:val="auto"/>
          <w:sz w:val="24"/>
          <w:szCs w:val="24"/>
        </w:rPr>
      </w:pPr>
      <w:bookmarkStart w:id="59" w:name="_Toc32011_WPSOffice_Level1"/>
      <w:bookmarkStart w:id="60" w:name="_Toc2257_WPSOffice_Level1"/>
      <w:r>
        <w:rPr>
          <w:rFonts w:hint="eastAsia" w:hAnsi="宋体"/>
          <w:b/>
          <w:bCs/>
          <w:color w:val="auto"/>
          <w:sz w:val="24"/>
          <w:szCs w:val="24"/>
        </w:rPr>
        <w:t>三、技术资料</w:t>
      </w:r>
      <w:bookmarkEnd w:id="59"/>
      <w:bookmarkEnd w:id="60"/>
    </w:p>
    <w:p>
      <w:pPr>
        <w:pStyle w:val="8"/>
        <w:adjustRightInd w:val="0"/>
        <w:snapToGrid w:val="0"/>
        <w:spacing w:beforeLines="50" w:line="320" w:lineRule="exact"/>
        <w:ind w:left="1"/>
        <w:rPr>
          <w:rFonts w:hAnsi="宋体" w:cs="Calibri"/>
          <w:color w:val="auto"/>
          <w:sz w:val="24"/>
          <w:szCs w:val="24"/>
        </w:rPr>
      </w:pPr>
      <w:r>
        <w:rPr>
          <w:rFonts w:hAnsi="宋体"/>
          <w:color w:val="auto"/>
          <w:sz w:val="24"/>
          <w:szCs w:val="24"/>
        </w:rPr>
        <w:t xml:space="preserve">    1. </w:t>
      </w:r>
      <w:r>
        <w:rPr>
          <w:rFonts w:hint="eastAsia" w:hAnsi="宋体"/>
          <w:color w:val="auto"/>
          <w:sz w:val="24"/>
          <w:szCs w:val="24"/>
        </w:rPr>
        <w:t>乙方应按招标文件规定的时间向甲方提供使用货物的有关技术资料。</w:t>
      </w:r>
    </w:p>
    <w:p>
      <w:pPr>
        <w:pStyle w:val="8"/>
        <w:adjustRightInd w:val="0"/>
        <w:snapToGrid w:val="0"/>
        <w:spacing w:beforeLines="50" w:line="320" w:lineRule="exact"/>
        <w:ind w:left="1"/>
        <w:rPr>
          <w:rFonts w:hAnsi="宋体" w:cs="Calibri"/>
          <w:color w:val="auto"/>
          <w:sz w:val="24"/>
          <w:szCs w:val="24"/>
        </w:rPr>
      </w:pPr>
      <w:r>
        <w:rPr>
          <w:rFonts w:hAnsi="宋体"/>
          <w:color w:val="auto"/>
          <w:sz w:val="24"/>
          <w:szCs w:val="24"/>
        </w:rPr>
        <w:t xml:space="preserve">    2. </w:t>
      </w:r>
      <w:r>
        <w:rPr>
          <w:rFonts w:hint="eastAsia"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adjustRightInd w:val="0"/>
        <w:snapToGrid w:val="0"/>
        <w:spacing w:beforeLines="50" w:line="320" w:lineRule="exact"/>
        <w:ind w:firstLine="454"/>
        <w:rPr>
          <w:rFonts w:hAnsi="宋体" w:cs="Calibri"/>
          <w:b/>
          <w:bCs/>
          <w:color w:val="auto"/>
          <w:sz w:val="24"/>
          <w:szCs w:val="24"/>
        </w:rPr>
      </w:pPr>
      <w:bookmarkStart w:id="61" w:name="_Toc27955_WPSOffice_Level1"/>
      <w:bookmarkStart w:id="62" w:name="_Toc18843_WPSOffice_Level1"/>
      <w:r>
        <w:rPr>
          <w:rFonts w:hint="eastAsia" w:hAnsi="宋体"/>
          <w:b/>
          <w:bCs/>
          <w:color w:val="auto"/>
          <w:sz w:val="24"/>
          <w:szCs w:val="24"/>
        </w:rPr>
        <w:t>四、知识产权</w:t>
      </w:r>
      <w:bookmarkEnd w:id="61"/>
      <w:bookmarkEnd w:id="62"/>
    </w:p>
    <w:p>
      <w:pPr>
        <w:pStyle w:val="8"/>
        <w:adjustRightInd w:val="0"/>
        <w:snapToGrid w:val="0"/>
        <w:spacing w:beforeLines="50" w:line="320" w:lineRule="exact"/>
        <w:ind w:firstLine="480" w:firstLineChars="200"/>
        <w:rPr>
          <w:rFonts w:hAnsi="宋体" w:cs="Calibri"/>
          <w:color w:val="auto"/>
          <w:sz w:val="24"/>
          <w:szCs w:val="24"/>
        </w:rPr>
      </w:pPr>
      <w:r>
        <w:rPr>
          <w:rFonts w:hint="eastAsia" w:hAnsi="宋体"/>
          <w:color w:val="auto"/>
          <w:sz w:val="24"/>
          <w:szCs w:val="24"/>
        </w:rPr>
        <w:t>乙方应保证所提供的货物或其任何一部分均不会侵犯任何第三方的知识产权。</w:t>
      </w:r>
    </w:p>
    <w:p>
      <w:pPr>
        <w:pStyle w:val="8"/>
        <w:adjustRightInd w:val="0"/>
        <w:snapToGrid w:val="0"/>
        <w:spacing w:beforeLines="50" w:line="320" w:lineRule="exact"/>
        <w:ind w:firstLine="454"/>
        <w:rPr>
          <w:rFonts w:hAnsi="宋体" w:cs="Calibri"/>
          <w:b/>
          <w:bCs/>
          <w:color w:val="auto"/>
          <w:sz w:val="24"/>
          <w:szCs w:val="24"/>
        </w:rPr>
      </w:pPr>
      <w:bookmarkStart w:id="63" w:name="_Toc1141_WPSOffice_Level1"/>
      <w:bookmarkStart w:id="64" w:name="_Toc23901_WPSOffice_Level1"/>
      <w:r>
        <w:rPr>
          <w:rFonts w:hint="eastAsia" w:hAnsi="宋体"/>
          <w:b/>
          <w:bCs/>
          <w:color w:val="auto"/>
          <w:sz w:val="24"/>
          <w:szCs w:val="24"/>
        </w:rPr>
        <w:t>五、产权担保</w:t>
      </w:r>
      <w:bookmarkEnd w:id="63"/>
      <w:bookmarkEnd w:id="64"/>
    </w:p>
    <w:p>
      <w:pPr>
        <w:adjustRightInd w:val="0"/>
        <w:snapToGrid w:val="0"/>
        <w:spacing w:beforeLines="50" w:line="320" w:lineRule="exact"/>
        <w:rPr>
          <w:rFonts w:ascii="宋体"/>
          <w:color w:val="auto"/>
          <w:sz w:val="24"/>
          <w:szCs w:val="24"/>
        </w:rPr>
      </w:pPr>
      <w:r>
        <w:rPr>
          <w:rFonts w:hAnsi="宋体"/>
          <w:color w:val="auto"/>
          <w:sz w:val="24"/>
          <w:szCs w:val="24"/>
        </w:rPr>
        <w:t xml:space="preserve">   </w:t>
      </w:r>
      <w:r>
        <w:rPr>
          <w:rFonts w:hint="eastAsia" w:ascii="宋体" w:hAnsi="宋体" w:cs="宋体"/>
          <w:color w:val="auto"/>
          <w:sz w:val="24"/>
          <w:szCs w:val="24"/>
        </w:rPr>
        <w:t>乙方保证所交付的货物的所有权完全属于乙方且无任何抵押、查封等产权瑕疵。</w:t>
      </w:r>
    </w:p>
    <w:p>
      <w:pPr>
        <w:adjustRightInd w:val="0"/>
        <w:snapToGrid w:val="0"/>
        <w:spacing w:beforeLines="50" w:line="320" w:lineRule="exact"/>
        <w:ind w:firstLine="482" w:firstLineChars="200"/>
        <w:rPr>
          <w:rFonts w:ascii="宋体"/>
          <w:b/>
          <w:bCs/>
          <w:color w:val="auto"/>
          <w:sz w:val="24"/>
          <w:szCs w:val="24"/>
        </w:rPr>
      </w:pPr>
      <w:bookmarkStart w:id="65" w:name="_Toc2742_WPSOffice_Level1"/>
      <w:bookmarkStart w:id="66" w:name="_Toc11172_WPSOffice_Level1"/>
      <w:r>
        <w:rPr>
          <w:rFonts w:hint="eastAsia" w:ascii="宋体" w:hAnsi="宋体" w:cs="宋体"/>
          <w:b/>
          <w:bCs/>
          <w:color w:val="auto"/>
          <w:sz w:val="24"/>
          <w:szCs w:val="24"/>
        </w:rPr>
        <w:t>六、转包或分包</w:t>
      </w:r>
      <w:bookmarkEnd w:id="65"/>
      <w:bookmarkEnd w:id="66"/>
    </w:p>
    <w:p>
      <w:pPr>
        <w:adjustRightInd w:val="0"/>
        <w:snapToGrid w:val="0"/>
        <w:spacing w:beforeLines="50" w:line="320" w:lineRule="exact"/>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本合同范围的货物，应由乙方直接供应，不得转让他人供应；</w:t>
      </w:r>
    </w:p>
    <w:p>
      <w:pPr>
        <w:adjustRightInd w:val="0"/>
        <w:snapToGrid w:val="0"/>
        <w:spacing w:beforeLines="50" w:line="320" w:lineRule="exact"/>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除非得到甲方的书面同意，乙方不得将本合同范围的货物全部或部分分包给他人供应；</w:t>
      </w:r>
    </w:p>
    <w:p>
      <w:pPr>
        <w:adjustRightInd w:val="0"/>
        <w:snapToGrid w:val="0"/>
        <w:spacing w:beforeLines="50" w:line="320" w:lineRule="exact"/>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如有转让和未经甲方同意的分包行为，甲方有权解除合同。</w:t>
      </w:r>
    </w:p>
    <w:p>
      <w:pPr>
        <w:pStyle w:val="8"/>
        <w:adjustRightInd w:val="0"/>
        <w:snapToGrid w:val="0"/>
        <w:spacing w:beforeLines="50" w:line="320" w:lineRule="exact"/>
        <w:ind w:firstLine="454"/>
        <w:rPr>
          <w:rFonts w:hAnsi="宋体" w:cs="Calibri"/>
          <w:b/>
          <w:bCs/>
          <w:color w:val="auto"/>
          <w:sz w:val="24"/>
          <w:szCs w:val="24"/>
        </w:rPr>
      </w:pPr>
      <w:bookmarkStart w:id="67" w:name="_Toc19001_WPSOffice_Level1"/>
      <w:bookmarkStart w:id="68" w:name="_Toc16490_WPSOffice_Level1"/>
      <w:r>
        <w:rPr>
          <w:rFonts w:hint="eastAsia" w:hAnsi="宋体"/>
          <w:b/>
          <w:bCs/>
          <w:color w:val="auto"/>
          <w:sz w:val="24"/>
          <w:szCs w:val="24"/>
        </w:rPr>
        <w:t>七、质保期</w:t>
      </w:r>
      <w:bookmarkEnd w:id="67"/>
      <w:bookmarkEnd w:id="68"/>
    </w:p>
    <w:p>
      <w:pPr>
        <w:pStyle w:val="8"/>
        <w:adjustRightInd w:val="0"/>
        <w:snapToGrid w:val="0"/>
        <w:spacing w:beforeLines="50" w:line="320" w:lineRule="exact"/>
        <w:ind w:left="31680" w:hanging="410" w:hangingChars="171"/>
        <w:rPr>
          <w:rFonts w:hAnsi="宋体" w:cs="Calibri"/>
          <w:color w:val="auto"/>
          <w:sz w:val="24"/>
          <w:szCs w:val="24"/>
        </w:rPr>
      </w:pPr>
      <w:r>
        <w:rPr>
          <w:rFonts w:hAnsi="宋体"/>
          <w:color w:val="auto"/>
          <w:sz w:val="24"/>
          <w:szCs w:val="24"/>
        </w:rPr>
        <w:t xml:space="preserve">    1. </w:t>
      </w:r>
      <w:r>
        <w:rPr>
          <w:rFonts w:hint="eastAsia" w:hAnsi="宋体"/>
          <w:color w:val="auto"/>
          <w:sz w:val="24"/>
          <w:szCs w:val="24"/>
        </w:rPr>
        <w:t>质保期</w:t>
      </w:r>
      <w:r>
        <w:rPr>
          <w:rFonts w:hAnsi="宋体"/>
          <w:color w:val="auto"/>
          <w:sz w:val="24"/>
          <w:szCs w:val="24"/>
          <w:u w:val="single"/>
        </w:rPr>
        <w:t>12</w:t>
      </w:r>
      <w:r>
        <w:rPr>
          <w:rFonts w:hint="eastAsia" w:hAnsi="宋体"/>
          <w:color w:val="auto"/>
          <w:sz w:val="24"/>
          <w:szCs w:val="24"/>
          <w:u w:val="single"/>
        </w:rPr>
        <w:t>个月</w:t>
      </w:r>
      <w:r>
        <w:rPr>
          <w:rFonts w:hint="eastAsia" w:hAnsi="宋体"/>
          <w:color w:val="auto"/>
          <w:sz w:val="24"/>
          <w:szCs w:val="24"/>
        </w:rPr>
        <w:t>。（自交货验收合格之日起计）</w:t>
      </w:r>
    </w:p>
    <w:p>
      <w:pPr>
        <w:pStyle w:val="8"/>
        <w:adjustRightInd w:val="0"/>
        <w:snapToGrid w:val="0"/>
        <w:spacing w:beforeLines="50" w:line="320" w:lineRule="exact"/>
        <w:ind w:left="31680" w:hanging="410" w:hangingChars="171"/>
        <w:rPr>
          <w:rFonts w:hAnsi="宋体" w:cs="Calibri"/>
          <w:b/>
          <w:bCs/>
          <w:color w:val="auto"/>
          <w:sz w:val="24"/>
          <w:szCs w:val="24"/>
        </w:rPr>
      </w:pPr>
      <w:r>
        <w:rPr>
          <w:rFonts w:hAnsi="宋体"/>
          <w:color w:val="auto"/>
          <w:sz w:val="24"/>
          <w:szCs w:val="24"/>
        </w:rPr>
        <w:t xml:space="preserve">    </w:t>
      </w:r>
      <w:r>
        <w:rPr>
          <w:rFonts w:hint="eastAsia" w:hAnsi="宋体"/>
          <w:b/>
          <w:bCs/>
          <w:color w:val="auto"/>
          <w:sz w:val="24"/>
          <w:szCs w:val="24"/>
        </w:rPr>
        <w:t>八、项目目标</w:t>
      </w:r>
    </w:p>
    <w:p>
      <w:pPr>
        <w:adjustRightInd w:val="0"/>
        <w:spacing w:before="60" w:after="60" w:line="360" w:lineRule="auto"/>
        <w:ind w:firstLine="480" w:firstLineChars="200"/>
        <w:jc w:val="left"/>
        <w:textAlignment w:val="baseline"/>
        <w:rPr>
          <w:rFonts w:ascii="宋体"/>
          <w:color w:val="auto"/>
          <w:sz w:val="24"/>
          <w:szCs w:val="24"/>
        </w:rPr>
      </w:pPr>
      <w:r>
        <w:rPr>
          <w:rFonts w:hint="eastAsia" w:ascii="宋体" w:hAnsi="宋体" w:cs="宋体"/>
          <w:color w:val="auto"/>
          <w:sz w:val="24"/>
          <w:szCs w:val="24"/>
        </w:rPr>
        <w:t>对枪弹库柜安全管理系、监控系统、报警系统、门禁管理系统、网络系统、温湿度控制系统、</w:t>
      </w:r>
      <w:r>
        <w:rPr>
          <w:rFonts w:ascii="宋体" w:hAnsi="宋体" w:cs="宋体"/>
          <w:color w:val="auto"/>
          <w:sz w:val="24"/>
          <w:szCs w:val="24"/>
        </w:rPr>
        <w:t>UPS</w:t>
      </w:r>
      <w:r>
        <w:rPr>
          <w:rFonts w:hint="eastAsia" w:ascii="宋体" w:hAnsi="宋体" w:cs="宋体"/>
          <w:color w:val="auto"/>
          <w:sz w:val="24"/>
          <w:szCs w:val="24"/>
        </w:rPr>
        <w:t>配电系统、综合配线系统这</w:t>
      </w:r>
      <w:r>
        <w:rPr>
          <w:rFonts w:ascii="宋体" w:hAnsi="宋体" w:cs="宋体"/>
          <w:color w:val="auto"/>
          <w:sz w:val="24"/>
          <w:szCs w:val="24"/>
        </w:rPr>
        <w:t>8</w:t>
      </w:r>
      <w:r>
        <w:rPr>
          <w:rFonts w:hint="eastAsia" w:ascii="宋体" w:hAnsi="宋体" w:cs="宋体"/>
          <w:color w:val="auto"/>
          <w:sz w:val="24"/>
          <w:szCs w:val="24"/>
        </w:rPr>
        <w:t>项升级改造。</w:t>
      </w:r>
    </w:p>
    <w:p>
      <w:pPr>
        <w:adjustRightInd w:val="0"/>
        <w:spacing w:before="60" w:after="60" w:line="360" w:lineRule="auto"/>
        <w:ind w:firstLine="420" w:firstLineChars="200"/>
        <w:jc w:val="left"/>
        <w:textAlignment w:val="baseline"/>
        <w:rPr>
          <w:rFonts w:ascii="宋体"/>
          <w:color w:val="auto"/>
          <w:sz w:val="24"/>
          <w:szCs w:val="24"/>
        </w:rPr>
      </w:pPr>
      <w:r>
        <w:rPr>
          <w:rFonts w:hint="eastAsia" w:cs="宋体"/>
          <w:color w:val="auto"/>
        </w:rPr>
        <w:t>中心枪支弹药库目前按二级风险等级修建，随着枪支（弹药）数量的增加和公安部门对枪支（弹药）管理的重视，提出枪弹库改造按一级风险等级进行提升。</w:t>
      </w:r>
    </w:p>
    <w:p>
      <w:pPr>
        <w:spacing w:line="360" w:lineRule="auto"/>
        <w:ind w:firstLine="420"/>
        <w:rPr>
          <w:rFonts w:hAnsi="宋体"/>
          <w:b/>
          <w:bCs/>
          <w:color w:val="auto"/>
          <w:sz w:val="24"/>
          <w:szCs w:val="24"/>
        </w:rPr>
      </w:pPr>
      <w:r>
        <w:rPr>
          <w:rFonts w:hint="eastAsia" w:hAnsi="宋体" w:cs="宋体"/>
          <w:b/>
          <w:bCs/>
          <w:color w:val="auto"/>
          <w:sz w:val="24"/>
          <w:szCs w:val="24"/>
        </w:rPr>
        <w:t>九、整体质量标准</w:t>
      </w:r>
    </w:p>
    <w:p>
      <w:pPr>
        <w:adjustRightInd w:val="0"/>
        <w:spacing w:before="60" w:after="60" w:line="360" w:lineRule="auto"/>
        <w:ind w:firstLine="480" w:firstLineChars="200"/>
        <w:jc w:val="left"/>
        <w:textAlignment w:val="baseline"/>
        <w:rPr>
          <w:rFonts w:hint="eastAsia" w:ascii="宋体" w:hAnsi="宋体" w:cs="宋体"/>
          <w:color w:val="auto"/>
          <w:sz w:val="24"/>
          <w:szCs w:val="24"/>
        </w:rPr>
      </w:pPr>
      <w:bookmarkStart w:id="69" w:name="_Toc28877_WPSOffice_Level1"/>
      <w:bookmarkStart w:id="70" w:name="_Toc12145_WPSOffice_Level1"/>
      <w:r>
        <w:rPr>
          <w:rFonts w:hint="eastAsia" w:ascii="宋体" w:hAnsi="宋体" w:cs="宋体"/>
          <w:color w:val="auto"/>
          <w:sz w:val="24"/>
          <w:szCs w:val="24"/>
        </w:rPr>
        <w:t>弹库房必须符合中华人民共和国公共安全行业标准GA1016-2012《枪支（弹药）库室风险等级划分与安全防范要求》一级风险等级对应的防护能力一级标准；由属地（区级及）以上公安部门根据枪支（弹药）库室风险等级标准进行验收。</w:t>
      </w:r>
    </w:p>
    <w:p>
      <w:pPr>
        <w:spacing w:line="360" w:lineRule="auto"/>
        <w:ind w:firstLine="420"/>
        <w:rPr>
          <w:rFonts w:hAnsi="宋体"/>
          <w:b/>
          <w:bCs/>
          <w:color w:val="auto"/>
          <w:sz w:val="24"/>
          <w:szCs w:val="24"/>
        </w:rPr>
      </w:pPr>
      <w:r>
        <w:rPr>
          <w:rFonts w:hAnsi="宋体"/>
          <w:b/>
          <w:bCs/>
          <w:color w:val="auto"/>
          <w:sz w:val="24"/>
          <w:szCs w:val="24"/>
        </w:rPr>
        <w:t xml:space="preserve"> </w:t>
      </w:r>
      <w:r>
        <w:rPr>
          <w:rFonts w:hint="eastAsia" w:hAnsi="宋体" w:cs="宋体"/>
          <w:b/>
          <w:bCs/>
          <w:color w:val="auto"/>
          <w:sz w:val="24"/>
          <w:szCs w:val="24"/>
        </w:rPr>
        <w:t>十、收货和安装</w:t>
      </w:r>
    </w:p>
    <w:p>
      <w:pPr>
        <w:adjustRightInd w:val="0"/>
        <w:spacing w:before="60" w:after="60" w:line="360" w:lineRule="auto"/>
        <w:ind w:firstLine="480" w:firstLineChars="200"/>
        <w:jc w:val="left"/>
        <w:textAlignment w:val="baseline"/>
        <w:rPr>
          <w:rFonts w:hint="eastAsia" w:ascii="宋体" w:hAnsi="宋体" w:cs="宋体"/>
          <w:color w:val="auto"/>
          <w:sz w:val="24"/>
          <w:szCs w:val="24"/>
        </w:rPr>
      </w:pPr>
      <w:r>
        <w:rPr>
          <w:rFonts w:hint="eastAsia" w:ascii="宋体" w:hAnsi="宋体" w:cs="宋体"/>
          <w:color w:val="auto"/>
          <w:sz w:val="24"/>
          <w:szCs w:val="24"/>
        </w:rPr>
        <w:t>乙方进行发货与安装，需提前至少提前72小时通知甲方，并在甲方同意后进行。</w:t>
      </w:r>
    </w:p>
    <w:p>
      <w:pPr>
        <w:pStyle w:val="8"/>
        <w:adjustRightInd w:val="0"/>
        <w:snapToGrid w:val="0"/>
        <w:spacing w:beforeLines="50" w:line="320" w:lineRule="exact"/>
        <w:ind w:firstLine="454"/>
        <w:rPr>
          <w:rFonts w:hAnsi="宋体" w:cs="Calibri"/>
          <w:b/>
          <w:bCs/>
          <w:color w:val="auto"/>
          <w:sz w:val="24"/>
          <w:szCs w:val="24"/>
        </w:rPr>
      </w:pPr>
      <w:r>
        <w:rPr>
          <w:rFonts w:hint="eastAsia" w:hAnsi="宋体"/>
          <w:b/>
          <w:bCs/>
          <w:color w:val="auto"/>
          <w:sz w:val="24"/>
          <w:szCs w:val="24"/>
        </w:rPr>
        <w:t>十一、履约保证金</w:t>
      </w:r>
      <w:bookmarkEnd w:id="69"/>
      <w:bookmarkEnd w:id="70"/>
    </w:p>
    <w:p>
      <w:pPr>
        <w:adjustRightInd w:val="0"/>
        <w:spacing w:before="60" w:after="60" w:line="360" w:lineRule="auto"/>
        <w:ind w:firstLine="480" w:firstLineChars="200"/>
        <w:jc w:val="left"/>
        <w:textAlignment w:val="baseline"/>
        <w:rPr>
          <w:rFonts w:hint="eastAsia" w:ascii="宋体" w:hAnsi="宋体" w:cs="宋体"/>
          <w:color w:val="auto"/>
          <w:sz w:val="24"/>
          <w:szCs w:val="24"/>
        </w:rPr>
      </w:pPr>
      <w:r>
        <w:rPr>
          <w:rFonts w:hint="eastAsia" w:ascii="宋体" w:hAnsi="宋体" w:cs="宋体"/>
          <w:color w:val="auto"/>
          <w:sz w:val="24"/>
          <w:szCs w:val="24"/>
        </w:rPr>
        <w:t>乙方必须在本合同签订后7个工作日内，以支票、汇票、本票或者金融机构、担保机构出具的保函等非现金形式向甲方缴纳合同总价5%的履约保证金（取整数到百位）。合同执行完毕，履约保证金转为质保金。质保期满，售后服务良好，无质量和服务问题，原额（无息）归还质量保证金。</w:t>
      </w:r>
    </w:p>
    <w:p>
      <w:pPr>
        <w:pStyle w:val="8"/>
        <w:adjustRightInd w:val="0"/>
        <w:snapToGrid w:val="0"/>
        <w:spacing w:beforeLines="50" w:line="320" w:lineRule="exact"/>
        <w:ind w:firstLine="454"/>
        <w:rPr>
          <w:rFonts w:hAnsi="宋体" w:cs="Calibri"/>
          <w:b/>
          <w:bCs/>
          <w:color w:val="auto"/>
          <w:sz w:val="24"/>
          <w:szCs w:val="24"/>
        </w:rPr>
      </w:pPr>
      <w:bookmarkStart w:id="71" w:name="_Toc5573_WPSOffice_Level1"/>
      <w:bookmarkStart w:id="72" w:name="_Toc31210_WPSOffice_Level1"/>
      <w:r>
        <w:rPr>
          <w:rFonts w:hint="eastAsia" w:hAnsi="宋体"/>
          <w:b/>
          <w:bCs/>
          <w:color w:val="auto"/>
          <w:sz w:val="24"/>
          <w:szCs w:val="24"/>
        </w:rPr>
        <w:t>十二、交货期、交货方式及交货地点</w:t>
      </w:r>
      <w:bookmarkEnd w:id="71"/>
      <w:bookmarkEnd w:id="72"/>
    </w:p>
    <w:p>
      <w:pPr>
        <w:pStyle w:val="8"/>
        <w:adjustRightInd w:val="0"/>
        <w:snapToGrid w:val="0"/>
        <w:spacing w:beforeLines="50" w:line="320" w:lineRule="exact"/>
        <w:rPr>
          <w:rFonts w:hAnsi="宋体"/>
          <w:color w:val="auto"/>
          <w:sz w:val="24"/>
          <w:szCs w:val="24"/>
        </w:rPr>
      </w:pPr>
      <w:r>
        <w:rPr>
          <w:rFonts w:hAnsi="宋体"/>
          <w:color w:val="auto"/>
          <w:sz w:val="24"/>
          <w:szCs w:val="24"/>
        </w:rPr>
        <w:t xml:space="preserve">    1. </w:t>
      </w:r>
      <w:r>
        <w:rPr>
          <w:rFonts w:hint="eastAsia" w:hAnsi="宋体"/>
          <w:color w:val="auto"/>
          <w:sz w:val="24"/>
          <w:szCs w:val="24"/>
        </w:rPr>
        <w:t>交货期：本合同签订之日起</w:t>
      </w:r>
      <w:r>
        <w:rPr>
          <w:rFonts w:hAnsi="宋体"/>
          <w:color w:val="auto"/>
          <w:sz w:val="24"/>
          <w:szCs w:val="24"/>
        </w:rPr>
        <w:t>45</w:t>
      </w:r>
      <w:r>
        <w:rPr>
          <w:rFonts w:hint="eastAsia" w:hAnsi="宋体"/>
          <w:color w:val="auto"/>
          <w:sz w:val="24"/>
          <w:szCs w:val="24"/>
        </w:rPr>
        <w:t>天内完成所有货物交付及安装。</w:t>
      </w:r>
      <w:r>
        <w:rPr>
          <w:rFonts w:hAnsi="宋体"/>
          <w:color w:val="auto"/>
          <w:sz w:val="24"/>
          <w:szCs w:val="24"/>
        </w:rPr>
        <w:t xml:space="preserve">         </w:t>
      </w:r>
    </w:p>
    <w:p>
      <w:pPr>
        <w:pStyle w:val="8"/>
        <w:adjustRightInd w:val="0"/>
        <w:snapToGrid w:val="0"/>
        <w:spacing w:beforeLines="50" w:line="320" w:lineRule="exact"/>
        <w:rPr>
          <w:rFonts w:hAnsi="宋体" w:cs="Calibri"/>
          <w:color w:val="auto"/>
          <w:sz w:val="24"/>
          <w:szCs w:val="24"/>
        </w:rPr>
      </w:pPr>
      <w:r>
        <w:rPr>
          <w:rFonts w:hAnsi="宋体"/>
          <w:color w:val="auto"/>
          <w:sz w:val="24"/>
          <w:szCs w:val="24"/>
        </w:rPr>
        <w:t xml:space="preserve">    2. </w:t>
      </w:r>
      <w:r>
        <w:rPr>
          <w:rFonts w:hint="eastAsia" w:hAnsi="宋体"/>
          <w:color w:val="auto"/>
          <w:sz w:val="24"/>
          <w:szCs w:val="24"/>
        </w:rPr>
        <w:t>交货方式：</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3. </w:t>
      </w:r>
      <w:r>
        <w:rPr>
          <w:rFonts w:hint="eastAsia" w:hAnsi="宋体"/>
          <w:color w:val="auto"/>
          <w:sz w:val="24"/>
          <w:szCs w:val="24"/>
        </w:rPr>
        <w:t>交货地点：</w:t>
      </w:r>
    </w:p>
    <w:p>
      <w:pPr>
        <w:pStyle w:val="8"/>
        <w:adjustRightInd w:val="0"/>
        <w:snapToGrid w:val="0"/>
        <w:spacing w:beforeLines="50" w:line="320" w:lineRule="exact"/>
        <w:ind w:firstLine="454"/>
        <w:rPr>
          <w:rFonts w:hAnsi="宋体" w:cs="Calibri"/>
          <w:b/>
          <w:bCs/>
          <w:color w:val="auto"/>
          <w:sz w:val="24"/>
          <w:szCs w:val="24"/>
        </w:rPr>
      </w:pPr>
      <w:bookmarkStart w:id="73" w:name="_Toc9083_WPSOffice_Level1"/>
      <w:bookmarkStart w:id="74" w:name="_Toc22081_WPSOffice_Level1"/>
      <w:r>
        <w:rPr>
          <w:rFonts w:hint="eastAsia" w:hAnsi="宋体"/>
          <w:b/>
          <w:bCs/>
          <w:color w:val="auto"/>
          <w:sz w:val="24"/>
          <w:szCs w:val="24"/>
        </w:rPr>
        <w:t>十三、货款支付</w:t>
      </w:r>
      <w:bookmarkEnd w:id="73"/>
      <w:bookmarkEnd w:id="74"/>
    </w:p>
    <w:p>
      <w:pPr>
        <w:adjustRightInd w:val="0"/>
        <w:snapToGrid w:val="0"/>
        <w:spacing w:beforeLines="50" w:line="320" w:lineRule="exact"/>
        <w:ind w:firstLine="480" w:firstLineChars="200"/>
        <w:rPr>
          <w:rFonts w:ascii="宋体"/>
          <w:color w:val="auto"/>
          <w:sz w:val="24"/>
          <w:szCs w:val="24"/>
        </w:rPr>
      </w:pPr>
      <w:r>
        <w:rPr>
          <w:rFonts w:hint="eastAsia" w:ascii="宋体" w:hAnsi="宋体" w:cs="宋体"/>
          <w:color w:val="auto"/>
          <w:sz w:val="24"/>
          <w:szCs w:val="24"/>
        </w:rPr>
        <w:t>甲方自合同签订之日</w:t>
      </w:r>
      <w:r>
        <w:rPr>
          <w:rFonts w:ascii="宋体" w:hAnsi="宋体" w:cs="宋体"/>
          <w:color w:val="auto"/>
          <w:sz w:val="24"/>
          <w:szCs w:val="24"/>
        </w:rPr>
        <w:t>5</w:t>
      </w:r>
      <w:r>
        <w:rPr>
          <w:rFonts w:hint="eastAsia" w:ascii="宋体" w:hAnsi="宋体" w:cs="宋体"/>
          <w:color w:val="auto"/>
          <w:sz w:val="24"/>
          <w:szCs w:val="24"/>
        </w:rPr>
        <w:t>个工作日内向乙方支付合同金额</w:t>
      </w:r>
      <w:r>
        <w:rPr>
          <w:rFonts w:ascii="宋体" w:hAnsi="宋体" w:cs="宋体"/>
          <w:color w:val="auto"/>
          <w:sz w:val="24"/>
          <w:szCs w:val="24"/>
        </w:rPr>
        <w:t>30%</w:t>
      </w:r>
      <w:r>
        <w:rPr>
          <w:rFonts w:hint="eastAsia" w:ascii="宋体" w:hAnsi="宋体" w:cs="宋体"/>
          <w:color w:val="auto"/>
          <w:sz w:val="24"/>
          <w:szCs w:val="24"/>
        </w:rPr>
        <w:t>的货款，乙方完成全部货物交付、安装并经验收合格后，甲方支付乙方合同金额</w:t>
      </w:r>
      <w:r>
        <w:rPr>
          <w:rFonts w:ascii="宋体" w:hAnsi="宋体" w:cs="宋体"/>
          <w:color w:val="auto"/>
          <w:sz w:val="24"/>
          <w:szCs w:val="24"/>
        </w:rPr>
        <w:t>70%</w:t>
      </w:r>
      <w:r>
        <w:rPr>
          <w:rFonts w:hint="eastAsia" w:ascii="宋体" w:hAnsi="宋体" w:cs="宋体"/>
          <w:color w:val="auto"/>
          <w:sz w:val="24"/>
          <w:szCs w:val="24"/>
        </w:rPr>
        <w:t>的货款。</w:t>
      </w:r>
    </w:p>
    <w:p>
      <w:pPr>
        <w:pStyle w:val="8"/>
        <w:adjustRightInd w:val="0"/>
        <w:snapToGrid w:val="0"/>
        <w:spacing w:beforeLines="50" w:line="320" w:lineRule="exact"/>
        <w:ind w:firstLine="454"/>
        <w:rPr>
          <w:rFonts w:hAnsi="宋体" w:cs="Calibri"/>
          <w:b/>
          <w:bCs/>
          <w:color w:val="auto"/>
          <w:sz w:val="24"/>
          <w:szCs w:val="24"/>
        </w:rPr>
      </w:pPr>
      <w:bookmarkStart w:id="75" w:name="_Toc26048_WPSOffice_Level1"/>
      <w:bookmarkStart w:id="76" w:name="_Toc20817_WPSOffice_Level1"/>
      <w:r>
        <w:rPr>
          <w:rFonts w:hint="eastAsia" w:hAnsi="宋体"/>
          <w:b/>
          <w:bCs/>
          <w:color w:val="auto"/>
          <w:sz w:val="24"/>
          <w:szCs w:val="24"/>
        </w:rPr>
        <w:t>十四、税费</w:t>
      </w:r>
      <w:bookmarkEnd w:id="75"/>
      <w:bookmarkEnd w:id="76"/>
    </w:p>
    <w:p>
      <w:pPr>
        <w:adjustRightInd w:val="0"/>
        <w:snapToGrid w:val="0"/>
        <w:spacing w:beforeLines="50" w:line="320" w:lineRule="exact"/>
        <w:rPr>
          <w:rFonts w:ascii="宋体"/>
          <w:color w:val="auto"/>
          <w:sz w:val="24"/>
          <w:szCs w:val="24"/>
        </w:rPr>
      </w:pPr>
      <w:r>
        <w:rPr>
          <w:rFonts w:hint="eastAsia" w:ascii="宋体" w:hAnsi="宋体" w:cs="宋体"/>
          <w:color w:val="auto"/>
          <w:sz w:val="24"/>
          <w:szCs w:val="24"/>
        </w:rPr>
        <w:t>本合同执行中相关的一切税费均由乙方负担。</w:t>
      </w:r>
    </w:p>
    <w:p>
      <w:pPr>
        <w:pStyle w:val="8"/>
        <w:adjustRightInd w:val="0"/>
        <w:snapToGrid w:val="0"/>
        <w:spacing w:beforeLines="50" w:line="320" w:lineRule="exact"/>
        <w:ind w:firstLine="454"/>
        <w:rPr>
          <w:rFonts w:hAnsi="宋体" w:cs="Calibri"/>
          <w:b/>
          <w:bCs/>
          <w:color w:val="auto"/>
          <w:sz w:val="24"/>
          <w:szCs w:val="24"/>
        </w:rPr>
      </w:pPr>
      <w:bookmarkStart w:id="77" w:name="_Toc9667_WPSOffice_Level1"/>
      <w:bookmarkStart w:id="78" w:name="_Toc30964_WPSOffice_Level1"/>
      <w:r>
        <w:rPr>
          <w:rFonts w:hint="eastAsia" w:hAnsi="宋体"/>
          <w:b/>
          <w:bCs/>
          <w:color w:val="auto"/>
          <w:sz w:val="24"/>
          <w:szCs w:val="24"/>
        </w:rPr>
        <w:t>十五、质量保证及售后服务</w:t>
      </w:r>
      <w:bookmarkEnd w:id="77"/>
      <w:bookmarkEnd w:id="78"/>
    </w:p>
    <w:p>
      <w:pPr>
        <w:pStyle w:val="8"/>
        <w:adjustRightInd w:val="0"/>
        <w:snapToGrid w:val="0"/>
        <w:spacing w:beforeLines="50" w:line="320" w:lineRule="exact"/>
        <w:ind w:firstLine="484" w:firstLineChars="202"/>
        <w:rPr>
          <w:rFonts w:hAnsi="宋体" w:cs="Calibri"/>
          <w:color w:val="auto"/>
          <w:sz w:val="24"/>
          <w:szCs w:val="24"/>
        </w:rPr>
      </w:pPr>
      <w:r>
        <w:rPr>
          <w:rFonts w:hAnsi="宋体"/>
          <w:color w:val="auto"/>
          <w:sz w:val="24"/>
          <w:szCs w:val="24"/>
        </w:rPr>
        <w:t xml:space="preserve"> 1. </w:t>
      </w:r>
      <w:r>
        <w:rPr>
          <w:rFonts w:hint="eastAsia" w:hAnsi="宋体"/>
          <w:color w:val="auto"/>
          <w:sz w:val="24"/>
          <w:szCs w:val="24"/>
        </w:rPr>
        <w:t>乙方应按招标文件规定的货物性能、技术要求、质量标准向甲方提供未经使用的全新产品。</w:t>
      </w:r>
    </w:p>
    <w:p>
      <w:pPr>
        <w:pStyle w:val="8"/>
        <w:adjustRightInd w:val="0"/>
        <w:snapToGrid w:val="0"/>
        <w:spacing w:beforeLines="50" w:line="320" w:lineRule="exact"/>
        <w:ind w:firstLine="484" w:firstLineChars="202"/>
        <w:rPr>
          <w:rFonts w:hAnsi="宋体" w:cs="Calibri"/>
          <w:color w:val="auto"/>
          <w:sz w:val="24"/>
          <w:szCs w:val="24"/>
        </w:rPr>
      </w:pPr>
      <w:r>
        <w:rPr>
          <w:rFonts w:hAnsi="宋体"/>
          <w:color w:val="auto"/>
          <w:sz w:val="24"/>
          <w:szCs w:val="24"/>
        </w:rPr>
        <w:t xml:space="preserve"> 2. </w:t>
      </w:r>
      <w:r>
        <w:rPr>
          <w:rFonts w:hint="eastAsia" w:hAnsi="宋体"/>
          <w:color w:val="auto"/>
          <w:sz w:val="24"/>
          <w:szCs w:val="24"/>
        </w:rPr>
        <w:t>乙方提供的货物在质保期内因货物本身的质量问题发生故障，乙方应负责免费更换。对达不到技术要求者，根据实际情况，经双方协商，可按以下办法处理：</w:t>
      </w:r>
    </w:p>
    <w:p>
      <w:pPr>
        <w:pStyle w:val="8"/>
        <w:adjustRightInd w:val="0"/>
        <w:snapToGrid w:val="0"/>
        <w:spacing w:beforeLines="50" w:line="320" w:lineRule="exact"/>
        <w:ind w:firstLine="484" w:firstLineChars="202"/>
        <w:rPr>
          <w:rFonts w:hAnsi="宋体" w:cs="Calibri"/>
          <w:color w:val="auto"/>
          <w:sz w:val="24"/>
          <w:szCs w:val="24"/>
        </w:rPr>
      </w:pPr>
      <w:r>
        <w:rPr>
          <w:rFonts w:hint="eastAsia" w:hAnsi="宋体"/>
          <w:color w:val="auto"/>
          <w:sz w:val="24"/>
          <w:szCs w:val="24"/>
        </w:rPr>
        <w:t>⑴更换：由乙方承担所发生的全部费用。</w:t>
      </w:r>
    </w:p>
    <w:p>
      <w:pPr>
        <w:pStyle w:val="8"/>
        <w:adjustRightInd w:val="0"/>
        <w:snapToGrid w:val="0"/>
        <w:spacing w:beforeLines="50" w:line="320" w:lineRule="exact"/>
        <w:ind w:firstLine="484" w:firstLineChars="202"/>
        <w:rPr>
          <w:rFonts w:hAnsi="宋体" w:cs="Calibri"/>
          <w:color w:val="auto"/>
          <w:sz w:val="24"/>
          <w:szCs w:val="24"/>
        </w:rPr>
      </w:pPr>
      <w:r>
        <w:rPr>
          <w:rFonts w:hint="eastAsia" w:hAnsi="宋体"/>
          <w:color w:val="auto"/>
          <w:sz w:val="24"/>
          <w:szCs w:val="24"/>
        </w:rPr>
        <w:t>⑵贬值处理：由甲乙双方合议定价。</w:t>
      </w:r>
    </w:p>
    <w:p>
      <w:pPr>
        <w:pStyle w:val="8"/>
        <w:adjustRightInd w:val="0"/>
        <w:snapToGrid w:val="0"/>
        <w:spacing w:beforeLines="50" w:line="320" w:lineRule="exact"/>
        <w:ind w:firstLine="484" w:firstLineChars="202"/>
        <w:rPr>
          <w:rFonts w:hAnsi="宋体" w:cs="Calibri"/>
          <w:color w:val="auto"/>
          <w:sz w:val="24"/>
          <w:szCs w:val="24"/>
        </w:rPr>
      </w:pPr>
      <w:r>
        <w:rPr>
          <w:rFonts w:hint="eastAsia" w:hAnsi="宋体"/>
          <w:color w:val="auto"/>
          <w:sz w:val="24"/>
          <w:szCs w:val="24"/>
        </w:rPr>
        <w:t>⑶退货处理：乙方应退还甲方支付的合同款，同时应承担该货物的直接费用（运输、保险、检验、货款利息及银行手续费等）。</w:t>
      </w:r>
    </w:p>
    <w:p>
      <w:pPr>
        <w:pStyle w:val="8"/>
        <w:adjustRightInd w:val="0"/>
        <w:snapToGrid w:val="0"/>
        <w:spacing w:beforeLines="50" w:line="320" w:lineRule="exact"/>
        <w:ind w:firstLine="484" w:firstLineChars="202"/>
        <w:rPr>
          <w:rFonts w:hAnsi="宋体" w:cs="Calibri"/>
          <w:color w:val="auto"/>
          <w:sz w:val="24"/>
          <w:szCs w:val="24"/>
        </w:rPr>
      </w:pPr>
      <w:r>
        <w:rPr>
          <w:rFonts w:hAnsi="宋体"/>
          <w:color w:val="auto"/>
          <w:sz w:val="24"/>
          <w:szCs w:val="24"/>
        </w:rPr>
        <w:t xml:space="preserve">3. </w:t>
      </w:r>
      <w:r>
        <w:rPr>
          <w:rFonts w:hint="eastAsia" w:hAnsi="宋体"/>
          <w:color w:val="auto"/>
          <w:sz w:val="24"/>
          <w:szCs w:val="24"/>
        </w:rPr>
        <w:t>如在使用过程中发生质量问题，乙方在接到甲方通知后在</w:t>
      </w:r>
      <w:r>
        <w:rPr>
          <w:rFonts w:hAnsi="宋体"/>
          <w:color w:val="auto"/>
          <w:sz w:val="24"/>
          <w:szCs w:val="24"/>
        </w:rPr>
        <w:t>8</w:t>
      </w:r>
      <w:r>
        <w:rPr>
          <w:rFonts w:hint="eastAsia" w:hAnsi="宋体"/>
          <w:color w:val="auto"/>
          <w:sz w:val="24"/>
          <w:szCs w:val="24"/>
        </w:rPr>
        <w:t>小时内到达甲方现场。</w:t>
      </w:r>
    </w:p>
    <w:p>
      <w:pPr>
        <w:pStyle w:val="8"/>
        <w:adjustRightInd w:val="0"/>
        <w:snapToGrid w:val="0"/>
        <w:spacing w:beforeLines="50" w:line="320" w:lineRule="exact"/>
        <w:ind w:firstLine="484" w:firstLineChars="202"/>
        <w:rPr>
          <w:rFonts w:hAnsi="宋体" w:cs="Calibri"/>
          <w:color w:val="auto"/>
          <w:sz w:val="24"/>
          <w:szCs w:val="24"/>
        </w:rPr>
      </w:pPr>
      <w:r>
        <w:rPr>
          <w:rFonts w:hAnsi="宋体"/>
          <w:color w:val="auto"/>
          <w:sz w:val="24"/>
          <w:szCs w:val="24"/>
        </w:rPr>
        <w:t xml:space="preserve">4. </w:t>
      </w:r>
      <w:r>
        <w:rPr>
          <w:rFonts w:hint="eastAsia" w:hAnsi="宋体"/>
          <w:color w:val="auto"/>
          <w:sz w:val="24"/>
          <w:szCs w:val="24"/>
        </w:rPr>
        <w:t>在质保期内，乙方应对货物出现的质量及安全问题负责处理解决并承担一切费用。</w:t>
      </w:r>
    </w:p>
    <w:p>
      <w:pPr>
        <w:pStyle w:val="8"/>
        <w:adjustRightInd w:val="0"/>
        <w:snapToGrid w:val="0"/>
        <w:spacing w:beforeLines="50" w:line="320" w:lineRule="exact"/>
        <w:ind w:firstLine="454"/>
        <w:rPr>
          <w:rFonts w:hAnsi="宋体" w:cs="Calibri"/>
          <w:b/>
          <w:bCs/>
          <w:color w:val="auto"/>
          <w:sz w:val="24"/>
          <w:szCs w:val="24"/>
        </w:rPr>
      </w:pPr>
      <w:bookmarkStart w:id="79" w:name="_Toc6390_WPSOffice_Level1"/>
      <w:bookmarkStart w:id="80" w:name="_Toc343_WPSOffice_Level1"/>
      <w:r>
        <w:rPr>
          <w:rFonts w:hint="eastAsia" w:hAnsi="宋体"/>
          <w:b/>
          <w:bCs/>
          <w:color w:val="auto"/>
          <w:sz w:val="24"/>
          <w:szCs w:val="24"/>
        </w:rPr>
        <w:t>十六、货物包装、发运及运输</w:t>
      </w:r>
      <w:bookmarkEnd w:id="79"/>
      <w:bookmarkEnd w:id="80"/>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1. </w:t>
      </w:r>
      <w:r>
        <w:rPr>
          <w:rFonts w:hint="eastAsia" w:hAnsi="宋体"/>
          <w:color w:val="auto"/>
          <w:sz w:val="24"/>
          <w:szCs w:val="24"/>
        </w:rPr>
        <w:t>乙方应在货物发运前对其进行满足运输距离、防潮、防震、防锈和防破损装卸等要求包装，以保证货物安全运达甲方指定地点。</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2. </w:t>
      </w:r>
      <w:r>
        <w:rPr>
          <w:rFonts w:hint="eastAsia" w:hAnsi="宋体"/>
          <w:color w:val="auto"/>
          <w:sz w:val="24"/>
          <w:szCs w:val="24"/>
        </w:rPr>
        <w:t>使用说明书、质量检验证明书、随配附件和工具以及清单一并附于货物内。</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3. </w:t>
      </w:r>
      <w:r>
        <w:rPr>
          <w:rFonts w:hint="eastAsia" w:hAnsi="宋体"/>
          <w:color w:val="auto"/>
          <w:sz w:val="24"/>
          <w:szCs w:val="24"/>
        </w:rPr>
        <w:t>货物在交付甲方前发生的风险均由乙方负责。</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4. </w:t>
      </w:r>
      <w:r>
        <w:rPr>
          <w:rFonts w:hint="eastAsia" w:hAnsi="宋体"/>
          <w:color w:val="auto"/>
          <w:sz w:val="24"/>
          <w:szCs w:val="24"/>
        </w:rPr>
        <w:t>货物在规定的交付期限内由乙方送达甲方指定的地点视为交付，乙方同时需通知甲方货物已送达。</w:t>
      </w:r>
    </w:p>
    <w:p>
      <w:pPr>
        <w:pStyle w:val="8"/>
        <w:adjustRightInd w:val="0"/>
        <w:snapToGrid w:val="0"/>
        <w:spacing w:beforeLines="50" w:line="320" w:lineRule="exact"/>
        <w:ind w:firstLine="454"/>
        <w:rPr>
          <w:rFonts w:hAnsi="宋体" w:cs="Calibri"/>
          <w:b/>
          <w:bCs/>
          <w:color w:val="auto"/>
          <w:sz w:val="24"/>
          <w:szCs w:val="24"/>
        </w:rPr>
      </w:pPr>
      <w:bookmarkStart w:id="81" w:name="_Toc4873_WPSOffice_Level1"/>
      <w:bookmarkStart w:id="82" w:name="_Toc7455_WPSOffice_Level1"/>
      <w:r>
        <w:rPr>
          <w:rFonts w:hint="eastAsia" w:hAnsi="宋体"/>
          <w:b/>
          <w:bCs/>
          <w:color w:val="auto"/>
          <w:sz w:val="24"/>
          <w:szCs w:val="24"/>
        </w:rPr>
        <w:t>十七、违约责任</w:t>
      </w:r>
      <w:bookmarkEnd w:id="81"/>
      <w:bookmarkEnd w:id="82"/>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1. </w:t>
      </w:r>
      <w:r>
        <w:rPr>
          <w:rFonts w:hint="eastAsia" w:hAnsi="宋体"/>
          <w:color w:val="auto"/>
          <w:sz w:val="24"/>
          <w:szCs w:val="24"/>
        </w:rPr>
        <w:t>甲方无正当理由拒收货物的，甲方向乙方偿付拒收货款总值的</w:t>
      </w:r>
      <w:r>
        <w:rPr>
          <w:rFonts w:hAnsi="宋体"/>
          <w:color w:val="auto"/>
          <w:sz w:val="24"/>
          <w:szCs w:val="24"/>
        </w:rPr>
        <w:t>5%</w:t>
      </w:r>
      <w:r>
        <w:rPr>
          <w:rFonts w:hint="eastAsia" w:hAnsi="宋体"/>
          <w:color w:val="auto"/>
          <w:sz w:val="24"/>
          <w:szCs w:val="24"/>
        </w:rPr>
        <w:t>违约金。</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2. </w:t>
      </w:r>
      <w:r>
        <w:rPr>
          <w:rFonts w:hint="eastAsia" w:hAnsi="宋体"/>
          <w:color w:val="auto"/>
          <w:sz w:val="24"/>
          <w:szCs w:val="24"/>
        </w:rPr>
        <w:t>甲方无故逾期验收和办理货款支付手续的</w:t>
      </w:r>
      <w:r>
        <w:rPr>
          <w:rFonts w:hAnsi="宋体"/>
          <w:color w:val="auto"/>
          <w:sz w:val="24"/>
          <w:szCs w:val="24"/>
        </w:rPr>
        <w:t>,</w:t>
      </w:r>
      <w:r>
        <w:rPr>
          <w:rFonts w:hint="eastAsia" w:hAnsi="宋体"/>
          <w:color w:val="auto"/>
          <w:sz w:val="24"/>
          <w:szCs w:val="24"/>
        </w:rPr>
        <w:t>甲方应按逾期付款总额每日</w:t>
      </w:r>
      <w:r>
        <w:rPr>
          <w:rFonts w:hAnsi="宋体"/>
          <w:color w:val="auto"/>
          <w:sz w:val="24"/>
          <w:szCs w:val="24"/>
        </w:rPr>
        <w:t>0.05%</w:t>
      </w:r>
      <w:r>
        <w:rPr>
          <w:rFonts w:hint="eastAsia" w:hAnsi="宋体"/>
          <w:color w:val="auto"/>
          <w:sz w:val="24"/>
          <w:szCs w:val="24"/>
        </w:rPr>
        <w:t>向乙方支付违约金。</w:t>
      </w:r>
    </w:p>
    <w:p>
      <w:pPr>
        <w:pStyle w:val="8"/>
        <w:adjustRightInd w:val="0"/>
        <w:snapToGrid w:val="0"/>
        <w:spacing w:beforeLines="50" w:line="320" w:lineRule="exact"/>
        <w:ind w:firstLine="480" w:firstLineChars="200"/>
        <w:rPr>
          <w:rFonts w:hAnsi="宋体"/>
          <w:color w:val="auto"/>
          <w:sz w:val="24"/>
          <w:szCs w:val="24"/>
        </w:rPr>
      </w:pPr>
      <w:r>
        <w:rPr>
          <w:rFonts w:hAnsi="宋体"/>
          <w:color w:val="auto"/>
          <w:sz w:val="24"/>
          <w:szCs w:val="24"/>
        </w:rPr>
        <w:t xml:space="preserve">3. </w:t>
      </w:r>
      <w:r>
        <w:rPr>
          <w:rFonts w:hint="eastAsia" w:hAnsi="宋体"/>
          <w:color w:val="auto"/>
          <w:sz w:val="24"/>
          <w:szCs w:val="24"/>
        </w:rPr>
        <w:t>乙方逾期交付货物的，乙方应按逾期交货总额每日</w:t>
      </w:r>
      <w:r>
        <w:rPr>
          <w:rFonts w:hAnsi="宋体"/>
          <w:color w:val="auto"/>
          <w:sz w:val="24"/>
          <w:szCs w:val="24"/>
        </w:rPr>
        <w:t>0.05%</w:t>
      </w:r>
      <w:r>
        <w:rPr>
          <w:rFonts w:hint="eastAsia" w:hAnsi="宋体"/>
          <w:color w:val="auto"/>
          <w:sz w:val="24"/>
          <w:szCs w:val="24"/>
        </w:rPr>
        <w:t>向甲方支付违约金，由甲方从待付货款中扣除。逾期超过约定日期</w:t>
      </w:r>
      <w:r>
        <w:rPr>
          <w:rFonts w:hAnsi="宋体"/>
          <w:color w:val="auto"/>
          <w:sz w:val="24"/>
          <w:szCs w:val="24"/>
        </w:rPr>
        <w:t>10</w:t>
      </w:r>
      <w:r>
        <w:rPr>
          <w:rFonts w:hint="eastAsia" w:hAnsi="宋体"/>
          <w:color w:val="auto"/>
          <w:sz w:val="24"/>
          <w:szCs w:val="24"/>
        </w:rPr>
        <w:t>个工作日不能交货的，甲方可解除本合同。乙方因逾期交货或因其他违约行为导致甲方解除合同的，乙方应向甲方支付合同总值</w:t>
      </w:r>
      <w:r>
        <w:rPr>
          <w:rFonts w:hAnsi="宋体"/>
          <w:color w:val="auto"/>
          <w:sz w:val="24"/>
          <w:szCs w:val="24"/>
        </w:rPr>
        <w:t>5%</w:t>
      </w:r>
      <w:r>
        <w:rPr>
          <w:rFonts w:hint="eastAsia" w:hAnsi="宋体"/>
          <w:color w:val="auto"/>
          <w:sz w:val="24"/>
          <w:szCs w:val="24"/>
        </w:rPr>
        <w:t>的违约金，如造成甲方损失超过违约金的，超出部分由乙方继续承担赔偿责任。</w:t>
      </w:r>
      <w:r>
        <w:rPr>
          <w:rFonts w:hAnsi="宋体"/>
          <w:color w:val="auto"/>
          <w:sz w:val="24"/>
          <w:szCs w:val="24"/>
        </w:rPr>
        <w:t xml:space="preserve"> </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4. </w:t>
      </w:r>
      <w:r>
        <w:rPr>
          <w:rFonts w:hint="eastAsia" w:hAnsi="宋体"/>
          <w:color w:val="auto"/>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8"/>
        <w:adjustRightInd w:val="0"/>
        <w:snapToGrid w:val="0"/>
        <w:spacing w:beforeLines="50" w:line="320" w:lineRule="exact"/>
        <w:ind w:firstLine="454"/>
        <w:rPr>
          <w:rFonts w:hAnsi="宋体" w:cs="Calibri"/>
          <w:b/>
          <w:bCs/>
          <w:color w:val="auto"/>
          <w:sz w:val="24"/>
          <w:szCs w:val="24"/>
        </w:rPr>
      </w:pPr>
      <w:bookmarkStart w:id="83" w:name="_Toc10282_WPSOffice_Level1"/>
      <w:bookmarkStart w:id="84" w:name="_Toc14958_WPSOffice_Level1"/>
      <w:r>
        <w:rPr>
          <w:rFonts w:hint="eastAsia" w:hAnsi="宋体"/>
          <w:b/>
          <w:bCs/>
          <w:color w:val="auto"/>
          <w:sz w:val="24"/>
          <w:szCs w:val="24"/>
        </w:rPr>
        <w:t>十八、不可抗力事件处理</w:t>
      </w:r>
      <w:bookmarkEnd w:id="83"/>
      <w:bookmarkEnd w:id="84"/>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1. </w:t>
      </w:r>
      <w:r>
        <w:rPr>
          <w:rFonts w:hint="eastAsia" w:hAnsi="宋体"/>
          <w:color w:val="auto"/>
          <w:sz w:val="24"/>
          <w:szCs w:val="24"/>
        </w:rPr>
        <w:t>在合同有效期内，任何一方因不可抗力事件导致不能履行合同，则合同履行期可延长，其延长期与不可抗力影响期相同。</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2. </w:t>
      </w:r>
      <w:r>
        <w:rPr>
          <w:rFonts w:hint="eastAsia" w:hAnsi="宋体"/>
          <w:color w:val="auto"/>
          <w:sz w:val="24"/>
          <w:szCs w:val="24"/>
        </w:rPr>
        <w:t>不可抗力事件发生后，应立即通知对方，并寄送有关权威机构出具的证明。</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3. </w:t>
      </w:r>
      <w:r>
        <w:rPr>
          <w:rFonts w:hint="eastAsia" w:hAnsi="宋体"/>
          <w:color w:val="auto"/>
          <w:sz w:val="24"/>
          <w:szCs w:val="24"/>
        </w:rPr>
        <w:t>不可抗力事件延续</w:t>
      </w:r>
      <w:r>
        <w:rPr>
          <w:rFonts w:hAnsi="宋体"/>
          <w:color w:val="auto"/>
          <w:sz w:val="24"/>
          <w:szCs w:val="24"/>
        </w:rPr>
        <w:t>120</w:t>
      </w:r>
      <w:r>
        <w:rPr>
          <w:rFonts w:hint="eastAsia" w:hAnsi="宋体"/>
          <w:color w:val="auto"/>
          <w:sz w:val="24"/>
          <w:szCs w:val="24"/>
        </w:rPr>
        <w:t>天以上，双方应通过友好协商，确定是否继续履行合同。</w:t>
      </w:r>
    </w:p>
    <w:p>
      <w:pPr>
        <w:pStyle w:val="8"/>
        <w:adjustRightInd w:val="0"/>
        <w:snapToGrid w:val="0"/>
        <w:spacing w:beforeLines="50" w:line="320" w:lineRule="exact"/>
        <w:ind w:firstLine="454"/>
        <w:rPr>
          <w:rFonts w:hAnsi="宋体" w:cs="Calibri"/>
          <w:b/>
          <w:bCs/>
          <w:color w:val="auto"/>
          <w:sz w:val="24"/>
          <w:szCs w:val="24"/>
        </w:rPr>
      </w:pPr>
      <w:bookmarkStart w:id="85" w:name="_Toc25087_WPSOffice_Level1"/>
      <w:bookmarkStart w:id="86" w:name="_Toc22764_WPSOffice_Level1"/>
      <w:r>
        <w:rPr>
          <w:rFonts w:hint="eastAsia" w:hAnsi="宋体"/>
          <w:b/>
          <w:bCs/>
          <w:color w:val="auto"/>
          <w:sz w:val="24"/>
          <w:szCs w:val="24"/>
        </w:rPr>
        <w:t>十九、诉讼</w:t>
      </w:r>
      <w:bookmarkEnd w:id="85"/>
      <w:bookmarkEnd w:id="86"/>
    </w:p>
    <w:p>
      <w:pPr>
        <w:pStyle w:val="8"/>
        <w:adjustRightInd w:val="0"/>
        <w:snapToGrid w:val="0"/>
        <w:spacing w:beforeLines="50" w:line="320" w:lineRule="exact"/>
        <w:rPr>
          <w:rFonts w:hAnsi="宋体" w:cs="Calibri"/>
          <w:color w:val="auto"/>
          <w:sz w:val="24"/>
          <w:szCs w:val="24"/>
        </w:rPr>
      </w:pPr>
      <w:r>
        <w:rPr>
          <w:rFonts w:hint="eastAsia" w:hAnsi="宋体"/>
          <w:color w:val="auto"/>
          <w:sz w:val="24"/>
          <w:szCs w:val="24"/>
        </w:rPr>
        <w:t>双方在执行合同中所发生的一切争议，可向工程所在地法院起诉。</w:t>
      </w:r>
    </w:p>
    <w:p>
      <w:pPr>
        <w:pStyle w:val="8"/>
        <w:adjustRightInd w:val="0"/>
        <w:snapToGrid w:val="0"/>
        <w:spacing w:beforeLines="50" w:line="320" w:lineRule="exact"/>
        <w:ind w:firstLine="454"/>
        <w:rPr>
          <w:rFonts w:hAnsi="宋体" w:cs="Calibri"/>
          <w:b/>
          <w:bCs/>
          <w:color w:val="auto"/>
          <w:sz w:val="24"/>
          <w:szCs w:val="24"/>
        </w:rPr>
      </w:pPr>
      <w:bookmarkStart w:id="87" w:name="_Toc18341_WPSOffice_Level1"/>
      <w:bookmarkStart w:id="88" w:name="_Toc14464_WPSOffice_Level1"/>
      <w:r>
        <w:rPr>
          <w:rFonts w:hint="eastAsia" w:hAnsi="宋体"/>
          <w:b/>
          <w:bCs/>
          <w:color w:val="auto"/>
          <w:sz w:val="24"/>
          <w:szCs w:val="24"/>
        </w:rPr>
        <w:t>二十、合同生效及其它</w:t>
      </w:r>
      <w:bookmarkEnd w:id="87"/>
      <w:bookmarkEnd w:id="88"/>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1. </w:t>
      </w:r>
      <w:r>
        <w:rPr>
          <w:rFonts w:hint="eastAsia" w:hAnsi="宋体"/>
          <w:color w:val="auto"/>
          <w:sz w:val="24"/>
          <w:szCs w:val="24"/>
        </w:rPr>
        <w:t>合同经双方法定代表人或授权代表签字并加盖单位公章后生效。</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2. </w:t>
      </w:r>
      <w:r>
        <w:rPr>
          <w:rFonts w:hint="eastAsia" w:hAnsi="宋体"/>
          <w:color w:val="auto"/>
          <w:sz w:val="24"/>
          <w:szCs w:val="24"/>
        </w:rPr>
        <w:t>由于设计变更或联系单内容要求增减的，增减内容与合同单价中的类型一致的，按合同中已有单价执行；增减内容与合同中类型相类似的，根据该类型单价执行；增减内容合同中未包括的，参照中标口径组价。</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3. </w:t>
      </w:r>
      <w:r>
        <w:rPr>
          <w:rFonts w:hint="eastAsia" w:hAnsi="宋体"/>
          <w:color w:val="auto"/>
          <w:sz w:val="24"/>
          <w:szCs w:val="24"/>
        </w:rPr>
        <w:t>本合同未尽事宜，遵照《合同法》有关条文执行。</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4. </w:t>
      </w:r>
      <w:r>
        <w:rPr>
          <w:rFonts w:hint="eastAsia" w:hAnsi="宋体"/>
          <w:color w:val="auto"/>
          <w:sz w:val="24"/>
          <w:szCs w:val="24"/>
        </w:rPr>
        <w:t>本合同一式</w:t>
      </w:r>
      <w:r>
        <w:rPr>
          <w:rFonts w:hAnsi="宋体"/>
          <w:color w:val="auto"/>
          <w:sz w:val="24"/>
          <w:szCs w:val="24"/>
        </w:rPr>
        <w:t xml:space="preserve">   </w:t>
      </w:r>
      <w:r>
        <w:rPr>
          <w:rFonts w:hint="eastAsia" w:hAnsi="宋体"/>
          <w:color w:val="auto"/>
          <w:sz w:val="24"/>
          <w:szCs w:val="24"/>
        </w:rPr>
        <w:t>份，甲方执</w:t>
      </w:r>
      <w:r>
        <w:rPr>
          <w:rFonts w:hAnsi="宋体"/>
          <w:color w:val="auto"/>
          <w:sz w:val="24"/>
          <w:szCs w:val="24"/>
        </w:rPr>
        <w:t xml:space="preserve">   </w:t>
      </w:r>
      <w:r>
        <w:rPr>
          <w:rFonts w:hint="eastAsia" w:hAnsi="宋体"/>
          <w:color w:val="auto"/>
          <w:sz w:val="24"/>
          <w:szCs w:val="24"/>
        </w:rPr>
        <w:t>份，乙方执</w:t>
      </w:r>
      <w:r>
        <w:rPr>
          <w:rFonts w:hAnsi="宋体"/>
          <w:color w:val="auto"/>
          <w:sz w:val="24"/>
          <w:szCs w:val="24"/>
        </w:rPr>
        <w:t xml:space="preserve">   </w:t>
      </w:r>
      <w:r>
        <w:rPr>
          <w:rFonts w:hint="eastAsia" w:hAnsi="宋体"/>
          <w:color w:val="auto"/>
          <w:sz w:val="24"/>
          <w:szCs w:val="24"/>
        </w:rPr>
        <w:t>份。</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5. </w:t>
      </w:r>
      <w:r>
        <w:rPr>
          <w:rFonts w:hint="eastAsia" w:hAnsi="宋体"/>
          <w:color w:val="auto"/>
          <w:sz w:val="24"/>
          <w:szCs w:val="24"/>
        </w:rPr>
        <w:t>本合同有效期限：自合同生效之日起至</w:t>
      </w:r>
      <w:r>
        <w:rPr>
          <w:rFonts w:hAnsi="宋体"/>
          <w:color w:val="auto"/>
          <w:sz w:val="24"/>
          <w:szCs w:val="24"/>
        </w:rPr>
        <w:t xml:space="preserve">     </w:t>
      </w:r>
      <w:r>
        <w:rPr>
          <w:rFonts w:hint="eastAsia" w:hAnsi="宋体"/>
          <w:color w:val="auto"/>
          <w:sz w:val="24"/>
          <w:szCs w:val="24"/>
        </w:rPr>
        <w:t>年</w:t>
      </w:r>
      <w:r>
        <w:rPr>
          <w:rFonts w:hAnsi="宋体"/>
          <w:color w:val="auto"/>
          <w:sz w:val="24"/>
          <w:szCs w:val="24"/>
        </w:rPr>
        <w:t xml:space="preserve">    </w:t>
      </w:r>
      <w:r>
        <w:rPr>
          <w:rFonts w:hint="eastAsia" w:hAnsi="宋体"/>
          <w:color w:val="auto"/>
          <w:sz w:val="24"/>
          <w:szCs w:val="24"/>
        </w:rPr>
        <w:t>月</w:t>
      </w:r>
      <w:r>
        <w:rPr>
          <w:rFonts w:hAnsi="宋体"/>
          <w:color w:val="auto"/>
          <w:sz w:val="24"/>
          <w:szCs w:val="24"/>
        </w:rPr>
        <w:t xml:space="preserve">    </w:t>
      </w:r>
      <w:r>
        <w:rPr>
          <w:rFonts w:hint="eastAsia" w:hAnsi="宋体"/>
          <w:color w:val="auto"/>
          <w:sz w:val="24"/>
          <w:szCs w:val="24"/>
        </w:rPr>
        <w:t>日止。</w:t>
      </w:r>
    </w:p>
    <w:p>
      <w:pPr>
        <w:pStyle w:val="8"/>
        <w:adjustRightInd w:val="0"/>
        <w:snapToGrid w:val="0"/>
        <w:spacing w:beforeLines="50" w:line="320" w:lineRule="exact"/>
        <w:ind w:firstLine="480" w:firstLineChars="200"/>
        <w:rPr>
          <w:rFonts w:hAnsi="宋体" w:cs="Calibri"/>
          <w:color w:val="auto"/>
          <w:sz w:val="24"/>
          <w:szCs w:val="24"/>
        </w:rPr>
      </w:pPr>
      <w:r>
        <w:rPr>
          <w:rFonts w:hAnsi="宋体"/>
          <w:color w:val="auto"/>
          <w:sz w:val="24"/>
          <w:szCs w:val="24"/>
        </w:rPr>
        <w:t xml:space="preserve">6. </w:t>
      </w:r>
      <w:r>
        <w:rPr>
          <w:rFonts w:hint="eastAsia" w:hAnsi="宋体"/>
          <w:color w:val="auto"/>
          <w:sz w:val="24"/>
          <w:szCs w:val="24"/>
        </w:rPr>
        <w:t>适用法律：本合同应按照中华人民共和国的法律进行解释。</w:t>
      </w:r>
    </w:p>
    <w:p>
      <w:pPr>
        <w:pStyle w:val="8"/>
        <w:adjustRightInd w:val="0"/>
        <w:snapToGrid w:val="0"/>
        <w:spacing w:beforeLines="50" w:line="320" w:lineRule="exact"/>
        <w:ind w:firstLine="480" w:firstLineChars="200"/>
        <w:rPr>
          <w:rFonts w:cs="Calibri"/>
          <w:color w:val="auto"/>
          <w:sz w:val="24"/>
          <w:szCs w:val="24"/>
        </w:rPr>
      </w:pPr>
      <w:r>
        <w:rPr>
          <w:rFonts w:hAnsi="宋体"/>
          <w:color w:val="auto"/>
          <w:sz w:val="24"/>
          <w:szCs w:val="24"/>
        </w:rPr>
        <w:t>7.</w:t>
      </w:r>
      <w:r>
        <w:rPr>
          <w:rFonts w:hint="eastAsia" w:hAnsi="宋体"/>
          <w:color w:val="auto"/>
          <w:sz w:val="24"/>
          <w:szCs w:val="24"/>
        </w:rPr>
        <w:t>本项目招标文件与投标文件为本合同重要组成部分，享有同等法律效力。</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甲方（盖章）：</w:t>
      </w:r>
      <w:r>
        <w:rPr>
          <w:rFonts w:ascii="宋体" w:hAnsi="宋体" w:cs="宋体"/>
          <w:color w:val="auto"/>
          <w:sz w:val="24"/>
          <w:szCs w:val="24"/>
        </w:rPr>
        <w:t xml:space="preserve">                             </w:t>
      </w:r>
      <w:r>
        <w:rPr>
          <w:rFonts w:hint="eastAsia" w:ascii="宋体" w:hAnsi="宋体" w:cs="宋体"/>
          <w:color w:val="auto"/>
          <w:sz w:val="24"/>
          <w:szCs w:val="24"/>
        </w:rPr>
        <w:t>乙方（盖章）：</w:t>
      </w:r>
      <w:r>
        <w:rPr>
          <w:rFonts w:ascii="宋体" w:hAnsi="宋体" w:cs="宋体"/>
          <w:color w:val="auto"/>
          <w:sz w:val="24"/>
          <w:szCs w:val="24"/>
        </w:rPr>
        <w:t xml:space="preserve">        </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法定代表人：</w:t>
      </w:r>
      <w:r>
        <w:rPr>
          <w:rFonts w:ascii="宋体" w:hAnsi="宋体" w:cs="宋体"/>
          <w:color w:val="auto"/>
          <w:sz w:val="24"/>
          <w:szCs w:val="24"/>
        </w:rPr>
        <w:t xml:space="preserve">                              </w:t>
      </w:r>
      <w:r>
        <w:rPr>
          <w:rFonts w:hint="eastAsia" w:ascii="宋体" w:hAnsi="宋体" w:cs="宋体"/>
          <w:color w:val="auto"/>
          <w:sz w:val="24"/>
          <w:szCs w:val="24"/>
        </w:rPr>
        <w:t>法定代表人：</w:t>
      </w:r>
      <w:r>
        <w:rPr>
          <w:rFonts w:ascii="宋体" w:hAnsi="宋体" w:cs="宋体"/>
          <w:color w:val="auto"/>
          <w:sz w:val="24"/>
          <w:szCs w:val="24"/>
        </w:rPr>
        <w:t xml:space="preserve">                   </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或受委托人（签字）：</w:t>
      </w:r>
      <w:r>
        <w:rPr>
          <w:rFonts w:ascii="宋体" w:hAnsi="宋体" w:cs="宋体"/>
          <w:color w:val="auto"/>
          <w:sz w:val="24"/>
          <w:szCs w:val="24"/>
        </w:rPr>
        <w:t xml:space="preserve">                       </w:t>
      </w:r>
      <w:r>
        <w:rPr>
          <w:rFonts w:hint="eastAsia" w:ascii="宋体" w:hAnsi="宋体" w:cs="宋体"/>
          <w:color w:val="auto"/>
          <w:sz w:val="24"/>
          <w:szCs w:val="24"/>
        </w:rPr>
        <w:t>或受委托人（签字）：</w:t>
      </w:r>
      <w:r>
        <w:rPr>
          <w:rFonts w:ascii="宋体" w:hAnsi="宋体" w:cs="宋体"/>
          <w:color w:val="auto"/>
          <w:sz w:val="24"/>
          <w:szCs w:val="24"/>
        </w:rPr>
        <w:t xml:space="preserve">                  </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联系人：</w:t>
      </w:r>
      <w:r>
        <w:rPr>
          <w:rFonts w:ascii="宋体" w:hAnsi="宋体" w:cs="宋体"/>
          <w:color w:val="auto"/>
          <w:sz w:val="24"/>
          <w:szCs w:val="24"/>
        </w:rPr>
        <w:t xml:space="preserve">                                  </w:t>
      </w:r>
      <w:r>
        <w:rPr>
          <w:rFonts w:hint="eastAsia" w:ascii="宋体" w:hAnsi="宋体" w:cs="宋体"/>
          <w:color w:val="auto"/>
          <w:sz w:val="24"/>
          <w:szCs w:val="24"/>
        </w:rPr>
        <w:t>联系人：</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                                    </w:t>
      </w:r>
      <w:r>
        <w:rPr>
          <w:rFonts w:hint="eastAsia" w:ascii="宋体" w:hAnsi="宋体" w:cs="宋体"/>
          <w:color w:val="auto"/>
          <w:sz w:val="24"/>
          <w:szCs w:val="24"/>
        </w:rPr>
        <w:t>地址：</w:t>
      </w:r>
      <w:r>
        <w:rPr>
          <w:rFonts w:ascii="宋体" w:hAnsi="宋体" w:cs="宋体"/>
          <w:color w:val="auto"/>
          <w:sz w:val="24"/>
          <w:szCs w:val="24"/>
        </w:rPr>
        <w:t xml:space="preserve"> </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 xml:space="preserve">                                    </w:t>
      </w:r>
      <w:r>
        <w:rPr>
          <w:rFonts w:hint="eastAsia" w:ascii="宋体" w:hAnsi="宋体" w:cs="宋体"/>
          <w:color w:val="auto"/>
          <w:sz w:val="24"/>
          <w:szCs w:val="24"/>
        </w:rPr>
        <w:t>电话：</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传真：</w:t>
      </w:r>
      <w:r>
        <w:rPr>
          <w:rFonts w:ascii="宋体" w:hAnsi="宋体" w:cs="宋体"/>
          <w:color w:val="auto"/>
          <w:sz w:val="24"/>
          <w:szCs w:val="24"/>
        </w:rPr>
        <w:t xml:space="preserve">                                    </w:t>
      </w:r>
      <w:r>
        <w:rPr>
          <w:rFonts w:hint="eastAsia" w:ascii="宋体" w:hAnsi="宋体" w:cs="宋体"/>
          <w:color w:val="auto"/>
          <w:sz w:val="24"/>
          <w:szCs w:val="24"/>
        </w:rPr>
        <w:t>传真：</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r>
        <w:rPr>
          <w:rFonts w:ascii="宋体" w:hAnsi="宋体" w:cs="宋体"/>
          <w:color w:val="auto"/>
          <w:sz w:val="24"/>
          <w:szCs w:val="24"/>
        </w:rPr>
        <w:t xml:space="preserve"> </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帐号：</w:t>
      </w:r>
      <w:r>
        <w:rPr>
          <w:rFonts w:ascii="宋体" w:hAnsi="宋体" w:cs="宋体"/>
          <w:color w:val="auto"/>
          <w:sz w:val="24"/>
          <w:szCs w:val="24"/>
        </w:rPr>
        <w:t xml:space="preserve">                                    </w:t>
      </w:r>
      <w:r>
        <w:rPr>
          <w:rFonts w:hint="eastAsia" w:ascii="宋体" w:hAnsi="宋体" w:cs="宋体"/>
          <w:color w:val="auto"/>
          <w:sz w:val="24"/>
          <w:szCs w:val="24"/>
        </w:rPr>
        <w:t>帐号：</w:t>
      </w:r>
    </w:p>
    <w:p>
      <w:pPr>
        <w:tabs>
          <w:tab w:val="left" w:pos="735"/>
        </w:tabs>
        <w:adjustRightInd w:val="0"/>
        <w:snapToGrid w:val="0"/>
        <w:spacing w:line="360" w:lineRule="atLeast"/>
        <w:ind w:firstLine="480" w:firstLineChars="200"/>
        <w:rPr>
          <w:rFonts w:ascii="宋体"/>
          <w:color w:val="auto"/>
          <w:sz w:val="24"/>
          <w:szCs w:val="24"/>
        </w:rPr>
      </w:pPr>
      <w:r>
        <w:rPr>
          <w:rFonts w:ascii="宋体" w:hAnsi="宋体" w:cs="宋体"/>
          <w:color w:val="auto"/>
          <w:sz w:val="24"/>
          <w:szCs w:val="24"/>
        </w:rPr>
        <w:t xml:space="preserve">                                           </w:t>
      </w:r>
    </w:p>
    <w:p>
      <w:pPr>
        <w:tabs>
          <w:tab w:val="left" w:pos="735"/>
        </w:tabs>
        <w:adjustRightInd w:val="0"/>
        <w:snapToGrid w:val="0"/>
        <w:spacing w:line="360" w:lineRule="atLeast"/>
        <w:ind w:firstLine="480" w:firstLineChars="200"/>
        <w:rPr>
          <w:rFonts w:ascii="宋体"/>
          <w:color w:val="auto"/>
          <w:sz w:val="24"/>
          <w:szCs w:val="24"/>
        </w:rPr>
      </w:pPr>
      <w:r>
        <w:rPr>
          <w:rFonts w:hint="eastAsia" w:ascii="宋体" w:hAnsi="宋体" w:cs="宋体"/>
          <w:color w:val="auto"/>
          <w:sz w:val="24"/>
          <w:szCs w:val="24"/>
        </w:rPr>
        <w:t>签约地点：</w:t>
      </w:r>
    </w:p>
    <w:p>
      <w:pPr>
        <w:tabs>
          <w:tab w:val="left" w:pos="735"/>
        </w:tabs>
        <w:adjustRightInd w:val="0"/>
        <w:snapToGrid w:val="0"/>
        <w:spacing w:line="360" w:lineRule="atLeast"/>
        <w:ind w:firstLine="480" w:firstLineChars="2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签约日期：年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rPr>
          <w:color w:val="auto"/>
        </w:rPr>
      </w:pPr>
    </w:p>
    <w:p>
      <w:pPr>
        <w:pStyle w:val="2"/>
        <w:rPr>
          <w:color w:val="auto"/>
        </w:rPr>
      </w:pPr>
    </w:p>
    <w:p>
      <w:pPr>
        <w:spacing w:line="360" w:lineRule="auto"/>
        <w:rPr>
          <w:rFonts w:ascii="宋体"/>
          <w:color w:val="auto"/>
          <w:sz w:val="36"/>
          <w:szCs w:val="36"/>
        </w:rPr>
      </w:pPr>
    </w:p>
    <w:p>
      <w:pPr>
        <w:pStyle w:val="2"/>
        <w:tabs>
          <w:tab w:val="left" w:pos="432"/>
        </w:tabs>
        <w:spacing w:line="360" w:lineRule="auto"/>
        <w:jc w:val="center"/>
        <w:rPr>
          <w:rFonts w:ascii="宋体"/>
          <w:color w:val="auto"/>
          <w:sz w:val="36"/>
          <w:szCs w:val="36"/>
        </w:rPr>
      </w:pPr>
    </w:p>
    <w:p>
      <w:pPr>
        <w:pStyle w:val="2"/>
        <w:tabs>
          <w:tab w:val="left" w:pos="432"/>
        </w:tabs>
        <w:spacing w:line="360" w:lineRule="auto"/>
        <w:jc w:val="center"/>
        <w:rPr>
          <w:rFonts w:ascii="宋体"/>
          <w:color w:val="auto"/>
          <w:sz w:val="36"/>
          <w:szCs w:val="36"/>
        </w:rPr>
      </w:pPr>
    </w:p>
    <w:p>
      <w:pPr>
        <w:rPr>
          <w:rFonts w:ascii="宋体"/>
          <w:color w:val="auto"/>
          <w:sz w:val="36"/>
          <w:szCs w:val="36"/>
        </w:rPr>
      </w:pPr>
    </w:p>
    <w:p>
      <w:pPr>
        <w:pStyle w:val="2"/>
        <w:rPr>
          <w:rFonts w:ascii="宋体"/>
          <w:color w:val="auto"/>
          <w:sz w:val="36"/>
          <w:szCs w:val="36"/>
        </w:rPr>
      </w:pPr>
    </w:p>
    <w:p>
      <w:pPr>
        <w:rPr>
          <w:rFonts w:ascii="宋体"/>
          <w:color w:val="auto"/>
          <w:sz w:val="36"/>
          <w:szCs w:val="36"/>
        </w:rPr>
      </w:pPr>
    </w:p>
    <w:p>
      <w:pPr>
        <w:pStyle w:val="2"/>
        <w:rPr>
          <w:color w:val="auto"/>
        </w:rPr>
      </w:pPr>
    </w:p>
    <w:p>
      <w:pPr>
        <w:rPr>
          <w:color w:val="auto"/>
        </w:rPr>
      </w:pPr>
    </w:p>
    <w:p>
      <w:pPr>
        <w:pStyle w:val="2"/>
        <w:rPr>
          <w:color w:val="auto"/>
        </w:rPr>
      </w:pPr>
    </w:p>
    <w:p>
      <w:pPr>
        <w:rPr>
          <w:color w:val="auto"/>
        </w:rPr>
      </w:pPr>
    </w:p>
    <w:p>
      <w:pPr>
        <w:pStyle w:val="2"/>
        <w:tabs>
          <w:tab w:val="left" w:pos="432"/>
        </w:tabs>
        <w:spacing w:line="360" w:lineRule="auto"/>
        <w:jc w:val="center"/>
        <w:rPr>
          <w:rFonts w:ascii="宋体"/>
          <w:color w:val="auto"/>
          <w:sz w:val="36"/>
          <w:szCs w:val="36"/>
        </w:rPr>
      </w:pPr>
    </w:p>
    <w:p>
      <w:pPr>
        <w:pStyle w:val="2"/>
        <w:tabs>
          <w:tab w:val="left" w:pos="432"/>
        </w:tabs>
        <w:spacing w:line="360" w:lineRule="auto"/>
        <w:jc w:val="center"/>
        <w:rPr>
          <w:rFonts w:ascii="宋体"/>
          <w:color w:val="auto"/>
          <w:sz w:val="36"/>
          <w:szCs w:val="36"/>
        </w:rPr>
      </w:pPr>
      <w:r>
        <w:rPr>
          <w:rFonts w:hint="eastAsia" w:ascii="宋体" w:hAnsi="宋体" w:cs="宋体"/>
          <w:color w:val="auto"/>
          <w:sz w:val="36"/>
          <w:szCs w:val="36"/>
        </w:rPr>
        <w:t>第五部分</w:t>
      </w:r>
      <w:r>
        <w:rPr>
          <w:rFonts w:ascii="宋体" w:hAnsi="宋体" w:cs="宋体"/>
          <w:color w:val="auto"/>
          <w:sz w:val="36"/>
          <w:szCs w:val="36"/>
        </w:rPr>
        <w:t xml:space="preserve"> </w:t>
      </w:r>
      <w:r>
        <w:rPr>
          <w:rFonts w:hint="eastAsia" w:ascii="宋体" w:hAnsi="宋体" w:cs="宋体"/>
          <w:color w:val="auto"/>
          <w:sz w:val="36"/>
          <w:szCs w:val="36"/>
        </w:rPr>
        <w:t>应提交的有关格式范例</w:t>
      </w:r>
      <w:bookmarkEnd w:id="54"/>
    </w:p>
    <w:p>
      <w:pPr>
        <w:spacing w:line="360" w:lineRule="auto"/>
        <w:ind w:firstLine="472" w:firstLineChars="196"/>
        <w:rPr>
          <w:rFonts w:ascii="宋体"/>
          <w:b/>
          <w:bCs/>
          <w:color w:val="auto"/>
          <w:sz w:val="24"/>
          <w:szCs w:val="24"/>
        </w:rPr>
      </w:pPr>
      <w:bookmarkStart w:id="89" w:name="_Toc351898276"/>
      <w:r>
        <w:rPr>
          <w:rFonts w:hint="eastAsia" w:ascii="宋体" w:hAnsi="宋体" w:cs="宋体"/>
          <w:b/>
          <w:bCs/>
          <w:color w:val="auto"/>
          <w:sz w:val="24"/>
          <w:szCs w:val="24"/>
        </w:rPr>
        <w:t>一、投标人提交投标文件须知：</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、投标人应严格按照以下顺序填写和提交下述规定的全部格式文件以及其他有关资料，混乱的编排导致投标文件被误读或评审小组查找不到有效文件是投标人的风险。</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、所附表格中要求回答的全部问题和</w:t>
      </w:r>
      <w:r>
        <w:rPr>
          <w:rFonts w:ascii="宋体" w:hAnsi="宋体" w:cs="宋体"/>
          <w:color w:val="auto"/>
          <w:sz w:val="24"/>
          <w:szCs w:val="24"/>
        </w:rPr>
        <w:t>/</w:t>
      </w:r>
      <w:r>
        <w:rPr>
          <w:rFonts w:hint="eastAsia" w:ascii="宋体" w:hAnsi="宋体" w:cs="宋体"/>
          <w:color w:val="auto"/>
          <w:sz w:val="24"/>
          <w:szCs w:val="24"/>
        </w:rPr>
        <w:t>或信息都必须正面回答。</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、本声明书的签字人应保证全部声明和问题的回答是真实的和准确的。</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、评审小组将应用投标人提交的资料作出自己的判断。</w:t>
      </w:r>
    </w:p>
    <w:p>
      <w:pPr>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、投标人提交的材料将在一定期限内被保密保存，但不退还。</w:t>
      </w:r>
    </w:p>
    <w:p>
      <w:pPr>
        <w:spacing w:line="360" w:lineRule="auto"/>
        <w:ind w:firstLine="480" w:firstLineChars="200"/>
        <w:rPr>
          <w:rFonts w:ascii="宋体"/>
          <w:color w:val="auto"/>
          <w:sz w:val="24"/>
          <w:szCs w:val="24"/>
          <w:lang w:val="zh-CN"/>
        </w:rPr>
      </w:pPr>
      <w:r>
        <w:rPr>
          <w:rFonts w:ascii="宋体" w:hAnsi="宋体" w:cs="宋体"/>
          <w:color w:val="auto"/>
          <w:sz w:val="24"/>
          <w:szCs w:val="24"/>
        </w:rPr>
        <w:t>6</w:t>
      </w:r>
      <w:r>
        <w:rPr>
          <w:rFonts w:hint="eastAsia" w:ascii="宋体" w:hAnsi="宋体" w:cs="宋体"/>
          <w:color w:val="auto"/>
          <w:sz w:val="24"/>
          <w:szCs w:val="24"/>
        </w:rPr>
        <w:t>、全部文件应按投标人须知中规定的语言和份数提交。投标文件组成漏项或未按规定的格式编制或投标文件正、副本份数不足，内容不全或内容字迹模糊辨认不清的情况，</w:t>
      </w:r>
      <w:r>
        <w:rPr>
          <w:rFonts w:hint="eastAsia" w:ascii="宋体" w:hAnsi="宋体" w:cs="宋体"/>
          <w:b/>
          <w:bCs/>
          <w:color w:val="auto"/>
          <w:sz w:val="24"/>
          <w:szCs w:val="24"/>
        </w:rPr>
        <w:t>将有可能被评审小组认定为投标无效。</w:t>
      </w:r>
    </w:p>
    <w:p>
      <w:pPr>
        <w:spacing w:line="360" w:lineRule="auto"/>
        <w:jc w:val="center"/>
        <w:outlineLvl w:val="1"/>
        <w:rPr>
          <w:rFonts w:ascii="宋体"/>
          <w:color w:val="auto"/>
          <w:sz w:val="36"/>
          <w:szCs w:val="36"/>
          <w:lang w:val="zh-CN"/>
        </w:rPr>
      </w:pPr>
      <w:r>
        <w:rPr>
          <w:rFonts w:ascii="宋体"/>
          <w:color w:val="auto"/>
          <w:sz w:val="36"/>
          <w:szCs w:val="36"/>
          <w:lang w:val="zh-CN"/>
        </w:rPr>
        <w:br w:type="page"/>
      </w:r>
      <w:bookmarkStart w:id="90" w:name="_Toc394001384"/>
    </w:p>
    <w:p>
      <w:pPr>
        <w:spacing w:line="360" w:lineRule="auto"/>
        <w:jc w:val="center"/>
        <w:outlineLvl w:val="1"/>
        <w:rPr>
          <w:rFonts w:ascii="宋体"/>
          <w:color w:val="auto"/>
          <w:sz w:val="36"/>
          <w:szCs w:val="36"/>
          <w:lang w:val="zh-CN"/>
        </w:rPr>
      </w:pPr>
    </w:p>
    <w:p>
      <w:pPr>
        <w:spacing w:line="360" w:lineRule="auto"/>
        <w:jc w:val="center"/>
        <w:outlineLvl w:val="1"/>
        <w:rPr>
          <w:rFonts w:ascii="宋体"/>
          <w:b/>
          <w:bCs/>
          <w:color w:val="auto"/>
          <w:kern w:val="0"/>
          <w:sz w:val="36"/>
          <w:szCs w:val="36"/>
        </w:rPr>
      </w:pPr>
      <w:r>
        <w:rPr>
          <w:rFonts w:hint="eastAsia" w:ascii="宋体" w:hAnsi="宋体" w:cs="宋体"/>
          <w:b/>
          <w:bCs/>
          <w:color w:val="auto"/>
          <w:kern w:val="0"/>
          <w:sz w:val="36"/>
          <w:szCs w:val="36"/>
        </w:rPr>
        <w:t>报价</w:t>
      </w:r>
      <w:bookmarkEnd w:id="89"/>
      <w:r>
        <w:rPr>
          <w:rFonts w:hint="eastAsia" w:ascii="宋体" w:hAnsi="宋体" w:cs="宋体"/>
          <w:b/>
          <w:bCs/>
          <w:color w:val="auto"/>
          <w:kern w:val="0"/>
          <w:sz w:val="36"/>
          <w:szCs w:val="36"/>
        </w:rPr>
        <w:t>文件</w:t>
      </w:r>
      <w:bookmarkEnd w:id="90"/>
    </w:p>
    <w:p>
      <w:pPr>
        <w:spacing w:line="360" w:lineRule="auto"/>
        <w:jc w:val="center"/>
        <w:rPr>
          <w:rFonts w:ascii="宋体"/>
          <w:b/>
          <w:bCs/>
          <w:color w:val="auto"/>
          <w:kern w:val="0"/>
          <w:sz w:val="32"/>
          <w:szCs w:val="32"/>
        </w:rPr>
      </w:pPr>
      <w:bookmarkStart w:id="91" w:name="_Toc351723057"/>
      <w:bookmarkStart w:id="92" w:name="_Toc351729507"/>
      <w:bookmarkStart w:id="93" w:name="_Toc351898277"/>
      <w:r>
        <w:rPr>
          <w:rFonts w:hint="eastAsia" w:ascii="宋体" w:hAnsi="宋体" w:cs="宋体"/>
          <w:b/>
          <w:bCs/>
          <w:color w:val="auto"/>
          <w:kern w:val="0"/>
          <w:sz w:val="32"/>
          <w:szCs w:val="32"/>
        </w:rPr>
        <w:t>目录</w:t>
      </w:r>
      <w:bookmarkEnd w:id="91"/>
      <w:bookmarkEnd w:id="92"/>
      <w:bookmarkEnd w:id="93"/>
    </w:p>
    <w:p>
      <w:pPr>
        <w:spacing w:line="360" w:lineRule="auto"/>
        <w:ind w:firstLine="360" w:firstLineChars="150"/>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）投标响应函……………………………………………………………（页码）</w:t>
      </w:r>
    </w:p>
    <w:p>
      <w:pPr>
        <w:spacing w:line="360" w:lineRule="auto"/>
        <w:ind w:firstLine="360" w:firstLineChars="150"/>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）开标一览表……………………………………………………………（页码）</w:t>
      </w:r>
    </w:p>
    <w:p>
      <w:pPr>
        <w:spacing w:line="360" w:lineRule="auto"/>
        <w:ind w:left="239" w:leftChars="114" w:firstLine="120" w:firstLineChars="50"/>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）报价明细清单…………………………………………………………（页码）（</w:t>
      </w:r>
      <w:r>
        <w:rPr>
          <w:rFonts w:ascii="宋体" w:hAnsi="宋体" w:cs="宋体"/>
          <w:color w:val="auto"/>
          <w:kern w:val="0"/>
          <w:sz w:val="24"/>
          <w:szCs w:val="24"/>
        </w:rPr>
        <w:t>4</w:t>
      </w:r>
      <w:r>
        <w:rPr>
          <w:rFonts w:hint="eastAsia" w:ascii="宋体" w:hAnsi="宋体" w:cs="宋体"/>
          <w:color w:val="auto"/>
          <w:kern w:val="0"/>
          <w:sz w:val="24"/>
          <w:szCs w:val="24"/>
        </w:rPr>
        <w:t>）其他文件……………………………………………………………（页码）</w:t>
      </w:r>
    </w:p>
    <w:p>
      <w:pPr>
        <w:spacing w:line="360" w:lineRule="auto"/>
        <w:ind w:firstLine="240" w:firstLineChars="100"/>
        <w:rPr>
          <w:rFonts w:ascii="宋体"/>
          <w:color w:val="auto"/>
          <w:kern w:val="0"/>
          <w:sz w:val="24"/>
          <w:szCs w:val="24"/>
        </w:rPr>
      </w:pPr>
    </w:p>
    <w:p>
      <w:pPr>
        <w:pageBreakBefore/>
        <w:spacing w:line="360" w:lineRule="auto"/>
        <w:jc w:val="center"/>
        <w:outlineLvl w:val="2"/>
        <w:rPr>
          <w:rFonts w:ascii="宋体"/>
          <w:b/>
          <w:bCs/>
          <w:color w:val="auto"/>
          <w:sz w:val="32"/>
          <w:szCs w:val="32"/>
        </w:rPr>
      </w:pPr>
      <w:bookmarkStart w:id="94" w:name="_Toc351898278"/>
      <w:bookmarkStart w:id="95" w:name="_Toc351723058"/>
      <w:r>
        <w:rPr>
          <w:rFonts w:hint="eastAsia" w:ascii="宋体" w:hAnsi="宋体" w:cs="宋体"/>
          <w:b/>
          <w:bCs/>
          <w:color w:val="auto"/>
          <w:kern w:val="0"/>
          <w:sz w:val="32"/>
          <w:szCs w:val="32"/>
        </w:rPr>
        <w:t>一、投标响应</w:t>
      </w:r>
      <w:r>
        <w:rPr>
          <w:rFonts w:hint="eastAsia" w:ascii="宋体" w:hAnsi="宋体" w:cs="宋体"/>
          <w:b/>
          <w:bCs/>
          <w:color w:val="auto"/>
          <w:sz w:val="32"/>
          <w:szCs w:val="32"/>
        </w:rPr>
        <w:t>函</w:t>
      </w:r>
      <w:bookmarkEnd w:id="94"/>
      <w:bookmarkEnd w:id="95"/>
    </w:p>
    <w:p>
      <w:pPr>
        <w:adjustRightInd w:val="0"/>
        <w:snapToGrid w:val="0"/>
        <w:spacing w:line="360" w:lineRule="auto"/>
        <w:rPr>
          <w:rFonts w:ascii="宋体"/>
          <w:color w:val="auto"/>
          <w:sz w:val="24"/>
          <w:szCs w:val="24"/>
        </w:rPr>
      </w:pPr>
      <w:r>
        <w:rPr>
          <w:rFonts w:hint="eastAsia" w:ascii="宋体" w:hAnsi="宋体" w:cs="宋体"/>
          <w:color w:val="auto"/>
          <w:sz w:val="24"/>
          <w:szCs w:val="24"/>
        </w:rPr>
        <w:t>杭州市射击射箭运动中心、浙江联通工程咨询有限公司：</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u w:val="single"/>
        </w:rPr>
        <w:t>(</w:t>
      </w:r>
      <w:r>
        <w:rPr>
          <w:rFonts w:hint="eastAsia" w:ascii="宋体" w:hAnsi="宋体" w:cs="宋体"/>
          <w:color w:val="auto"/>
          <w:sz w:val="24"/>
          <w:szCs w:val="24"/>
          <w:u w:val="single"/>
        </w:rPr>
        <w:t>投标人全称</w:t>
      </w:r>
      <w:r>
        <w:rPr>
          <w:rFonts w:ascii="宋体" w:hAnsi="宋体" w:cs="宋体"/>
          <w:color w:val="auto"/>
          <w:sz w:val="24"/>
          <w:szCs w:val="24"/>
          <w:u w:val="single"/>
        </w:rPr>
        <w:t>)</w:t>
      </w:r>
      <w:r>
        <w:rPr>
          <w:rFonts w:hint="eastAsia" w:ascii="宋体" w:hAnsi="宋体" w:cs="宋体"/>
          <w:color w:val="auto"/>
          <w:sz w:val="24"/>
          <w:szCs w:val="24"/>
        </w:rPr>
        <w:t>授权</w:t>
      </w:r>
      <w:r>
        <w:rPr>
          <w:rFonts w:ascii="宋体" w:hAnsi="宋体" w:cs="宋体"/>
          <w:color w:val="auto"/>
          <w:sz w:val="24"/>
          <w:szCs w:val="24"/>
          <w:u w:val="single"/>
        </w:rPr>
        <w:t>(</w:t>
      </w:r>
      <w:r>
        <w:rPr>
          <w:rFonts w:hint="eastAsia" w:ascii="宋体" w:hAnsi="宋体" w:cs="宋体"/>
          <w:color w:val="auto"/>
          <w:sz w:val="24"/>
          <w:szCs w:val="24"/>
          <w:u w:val="single"/>
        </w:rPr>
        <w:t>全权代表姓名</w:t>
      </w:r>
      <w:r>
        <w:rPr>
          <w:rFonts w:ascii="宋体" w:hAnsi="宋体" w:cs="宋体"/>
          <w:color w:val="auto"/>
          <w:sz w:val="24"/>
          <w:szCs w:val="24"/>
          <w:u w:val="single"/>
        </w:rPr>
        <w:t>)(</w:t>
      </w:r>
      <w:r>
        <w:rPr>
          <w:rFonts w:hint="eastAsia" w:ascii="宋体" w:hAnsi="宋体" w:cs="宋体"/>
          <w:color w:val="auto"/>
          <w:sz w:val="24"/>
          <w:szCs w:val="24"/>
          <w:u w:val="single"/>
        </w:rPr>
        <w:t>职务、职称</w:t>
      </w:r>
      <w:r>
        <w:rPr>
          <w:rFonts w:ascii="宋体" w:hAnsi="宋体" w:cs="宋体"/>
          <w:color w:val="auto"/>
          <w:sz w:val="24"/>
          <w:szCs w:val="24"/>
          <w:u w:val="single"/>
        </w:rPr>
        <w:t>)</w:t>
      </w:r>
      <w:r>
        <w:rPr>
          <w:rFonts w:hint="eastAsia" w:ascii="宋体" w:hAnsi="宋体" w:cs="宋体"/>
          <w:color w:val="auto"/>
          <w:sz w:val="24"/>
          <w:szCs w:val="24"/>
        </w:rPr>
        <w:t>为全权代表，参加贵方组织的</w:t>
      </w:r>
      <w:r>
        <w:rPr>
          <w:rFonts w:ascii="宋体" w:hAnsi="宋体" w:cs="宋体"/>
          <w:color w:val="auto"/>
          <w:sz w:val="24"/>
          <w:szCs w:val="24"/>
        </w:rPr>
        <w:t>2020</w:t>
      </w:r>
      <w:r>
        <w:rPr>
          <w:rFonts w:hint="eastAsia" w:ascii="宋体" w:hAnsi="宋体" w:cs="宋体"/>
          <w:color w:val="auto"/>
          <w:sz w:val="24"/>
          <w:szCs w:val="24"/>
        </w:rPr>
        <w:t>年枪弹库智能管理系统升级改造项目</w:t>
      </w:r>
      <w:r>
        <w:rPr>
          <w:rFonts w:ascii="宋体" w:hAnsi="宋体" w:cs="宋体"/>
          <w:color w:val="auto"/>
          <w:sz w:val="24"/>
          <w:szCs w:val="24"/>
        </w:rPr>
        <w:t xml:space="preserve"> (</w:t>
      </w:r>
      <w:r>
        <w:rPr>
          <w:rFonts w:hint="eastAsia" w:ascii="宋体" w:hAnsi="宋体" w:cs="宋体"/>
          <w:color w:val="auto"/>
          <w:sz w:val="24"/>
          <w:szCs w:val="24"/>
        </w:rPr>
        <w:t>项目编号：</w:t>
      </w:r>
      <w:r>
        <w:rPr>
          <w:rFonts w:ascii="宋体" w:hAnsi="宋体" w:cs="宋体"/>
          <w:color w:val="auto"/>
          <w:sz w:val="24"/>
          <w:szCs w:val="24"/>
        </w:rPr>
        <w:t>ZJLT-2020-03-053-01)</w:t>
      </w:r>
      <w:r>
        <w:rPr>
          <w:rFonts w:hint="eastAsia" w:ascii="宋体" w:hAnsi="宋体" w:cs="宋体"/>
          <w:color w:val="auto"/>
          <w:sz w:val="24"/>
          <w:szCs w:val="24"/>
        </w:rPr>
        <w:t>招标的有关活动，并对此项目进行投标。为此：</w:t>
      </w:r>
    </w:p>
    <w:p>
      <w:pPr>
        <w:adjustRightInd w:val="0"/>
        <w:snapToGrid w:val="0"/>
        <w:spacing w:line="360" w:lineRule="auto"/>
        <w:ind w:firstLine="480" w:firstLineChars="200"/>
        <w:rPr>
          <w:rFonts w:ascii="宋体"/>
          <w:color w:val="auto"/>
          <w:sz w:val="24"/>
          <w:szCs w:val="24"/>
        </w:rPr>
      </w:pPr>
      <w:bookmarkStart w:id="96" w:name="_Toc351723059"/>
      <w:bookmarkStart w:id="97" w:name="_Toc351898279"/>
      <w:r>
        <w:rPr>
          <w:rFonts w:ascii="宋体" w:hAnsi="宋体" w:cs="宋体"/>
          <w:color w:val="auto"/>
          <w:sz w:val="24"/>
          <w:szCs w:val="24"/>
        </w:rPr>
        <w:t>1</w:t>
      </w:r>
      <w:r>
        <w:rPr>
          <w:rFonts w:hint="eastAsia" w:ascii="宋体" w:hAnsi="宋体" w:cs="宋体"/>
          <w:color w:val="auto"/>
          <w:sz w:val="24"/>
          <w:szCs w:val="24"/>
        </w:rPr>
        <w:t>、我方同意在投标人</w:t>
      </w:r>
      <w:r>
        <w:rPr>
          <w:rFonts w:hint="eastAsia" w:ascii="宋体" w:hAnsi="宋体" w:cs="宋体"/>
          <w:color w:val="auto"/>
          <w:kern w:val="44"/>
          <w:sz w:val="24"/>
          <w:szCs w:val="24"/>
        </w:rPr>
        <w:t>编制和提交投标文件须知</w:t>
      </w:r>
      <w:r>
        <w:rPr>
          <w:rFonts w:hint="eastAsia" w:ascii="宋体" w:hAnsi="宋体" w:cs="宋体"/>
          <w:color w:val="auto"/>
          <w:sz w:val="24"/>
          <w:szCs w:val="24"/>
        </w:rPr>
        <w:t>规定的开标日期起遵守本投标书中的承诺且在投标有效期满之前均具有约束力。</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、我方承诺已经具备《中华人民共和国政府采购法》中规定的参加政府招标活动的供应商应当具备的条件：</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具有独立承担民事责任的能力；</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遵守国家法律、行政法规，具有良好的信誉和商业道德；</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具有履行合同的能力和良好的履行合同记录；</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良好的资金、财务状况；</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产品及生产所需装备符合中国政府规定的相应技术标准和环保标准；</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没有违反政府采购法规、政策的记录；</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没有发生重大经济纠纷和走私犯罪记录。</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w:t>
      </w:r>
      <w:r>
        <w:rPr>
          <w:rFonts w:hint="eastAsia" w:ascii="宋体" w:hAnsi="宋体" w:cs="宋体"/>
          <w:color w:val="auto"/>
          <w:kern w:val="44"/>
          <w:sz w:val="24"/>
          <w:szCs w:val="24"/>
        </w:rPr>
        <w:t>编制和提交投标文件须知</w:t>
      </w:r>
      <w:r>
        <w:rPr>
          <w:rFonts w:hint="eastAsia" w:ascii="宋体" w:hAnsi="宋体" w:cs="宋体"/>
          <w:color w:val="auto"/>
          <w:sz w:val="24"/>
          <w:szCs w:val="24"/>
        </w:rPr>
        <w:t>规定的全部投标文件。具体内容为：</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开标一览表及投标报价明细清单；</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投标</w:t>
      </w:r>
      <w:r>
        <w:rPr>
          <w:rFonts w:hint="eastAsia" w:ascii="宋体" w:hAnsi="宋体" w:cs="宋体"/>
          <w:color w:val="auto"/>
          <w:kern w:val="0"/>
          <w:sz w:val="24"/>
          <w:szCs w:val="24"/>
          <w:lang w:val="zh-CN"/>
        </w:rPr>
        <w:t>商务文件和</w:t>
      </w:r>
      <w:r>
        <w:rPr>
          <w:rFonts w:hint="eastAsia" w:ascii="宋体" w:hAnsi="宋体" w:cs="宋体"/>
          <w:color w:val="auto"/>
          <w:sz w:val="24"/>
          <w:szCs w:val="24"/>
          <w:lang w:val="zh-CN"/>
        </w:rPr>
        <w:t>技术文件</w:t>
      </w:r>
      <w:r>
        <w:rPr>
          <w:rFonts w:hint="eastAsia" w:ascii="宋体" w:hAnsi="宋体" w:cs="宋体"/>
          <w:color w:val="auto"/>
          <w:sz w:val="24"/>
          <w:szCs w:val="24"/>
        </w:rPr>
        <w:t>；</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kern w:val="44"/>
          <w:sz w:val="24"/>
          <w:szCs w:val="24"/>
        </w:rPr>
        <w:t>编制和提交投标文件须知</w:t>
      </w:r>
      <w:r>
        <w:rPr>
          <w:rFonts w:hint="eastAsia" w:ascii="宋体" w:hAnsi="宋体" w:cs="宋体"/>
          <w:color w:val="auto"/>
          <w:sz w:val="24"/>
          <w:szCs w:val="24"/>
        </w:rPr>
        <w:t>要求投标人提交的全部文件；</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按招标文件要求提供和交付的货物和服务的投标报价详见开标一览表；</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保证忠实地执行双方所签订的合同，并承担合同规定的责任和义务；</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保证遵守招标文件中的其他有关规定。</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、我方完全理解贵方不一定要接受最低价的投标。</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、我方已详细审核全部招标文件，包括招标文件修改书</w:t>
      </w:r>
      <w:r>
        <w:rPr>
          <w:rFonts w:ascii="宋体" w:hAnsi="宋体" w:cs="宋体"/>
          <w:color w:val="auto"/>
          <w:sz w:val="24"/>
          <w:szCs w:val="24"/>
        </w:rPr>
        <w:t>(</w:t>
      </w:r>
      <w:r>
        <w:rPr>
          <w:rFonts w:hint="eastAsia" w:ascii="宋体" w:hAnsi="宋体" w:cs="宋体"/>
          <w:color w:val="auto"/>
          <w:sz w:val="24"/>
          <w:szCs w:val="24"/>
        </w:rPr>
        <w:t>如果有</w:t>
      </w:r>
      <w:r>
        <w:rPr>
          <w:rFonts w:ascii="宋体" w:hAnsi="宋体" w:cs="宋体"/>
          <w:color w:val="auto"/>
          <w:sz w:val="24"/>
          <w:szCs w:val="24"/>
        </w:rPr>
        <w:t>)</w:t>
      </w:r>
      <w:r>
        <w:rPr>
          <w:rFonts w:hint="eastAsia" w:ascii="宋体" w:hAnsi="宋体" w:cs="宋体"/>
          <w:color w:val="auto"/>
          <w:sz w:val="24"/>
          <w:szCs w:val="24"/>
        </w:rPr>
        <w:t>、按照资料及有关附件，确认无误。</w:t>
      </w:r>
    </w:p>
    <w:p>
      <w:pPr>
        <w:adjustRightInd w:val="0"/>
        <w:snapToGrid w:val="0"/>
        <w:spacing w:line="360" w:lineRule="auto"/>
        <w:ind w:firstLine="480" w:firstLineChars="200"/>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、我方将严格遵守《中华人民共和国政府采购法》第七十七条规定，供应商有下列情形之一的，处以招标金额</w:t>
      </w:r>
      <w:r>
        <w:rPr>
          <w:rFonts w:ascii="宋体" w:hAnsi="宋体" w:cs="宋体"/>
          <w:color w:val="auto"/>
          <w:sz w:val="24"/>
          <w:szCs w:val="24"/>
        </w:rPr>
        <w:t>5</w:t>
      </w:r>
      <w:r>
        <w:rPr>
          <w:rFonts w:hint="eastAsia" w:ascii="宋体" w:hAnsi="宋体" w:cs="宋体"/>
          <w:color w:val="auto"/>
          <w:sz w:val="24"/>
          <w:szCs w:val="24"/>
        </w:rPr>
        <w:t>‰以上</w:t>
      </w:r>
      <w:r>
        <w:rPr>
          <w:rFonts w:ascii="宋体" w:hAnsi="宋体" w:cs="宋体"/>
          <w:color w:val="auto"/>
          <w:sz w:val="24"/>
          <w:szCs w:val="24"/>
        </w:rPr>
        <w:t>10</w:t>
      </w:r>
      <w:r>
        <w:rPr>
          <w:rFonts w:hint="eastAsia" w:ascii="宋体" w:hAnsi="宋体" w:cs="宋体"/>
          <w:color w:val="auto"/>
          <w:sz w:val="24"/>
          <w:szCs w:val="24"/>
        </w:rPr>
        <w:t>‰以下的罚款，列入不良行为记录名单，在一至三年内禁止参加政府招标活动；有违法所得的，并处没收违法所得；情节严重的，由工商行政管理机关吊销营业执照；构成犯罪的，依法追究刑事责任：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提供虚假材料谋取中标、成交的；</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采取不正当手段诋毁、排挤其他供应商的；</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与招标人、其它供应商或者招标代理机构恶意串通的；</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向招标人、招标代理机构行贿或者提供其他不正当利益的；</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在招标过程中与招标人进行协商谈判的；</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拒绝有关部门监督检查或提供虚假情况的。</w:t>
      </w:r>
    </w:p>
    <w:p>
      <w:pPr>
        <w:adjustRightInd w:val="0"/>
        <w:snapToGrid w:val="0"/>
        <w:spacing w:line="360" w:lineRule="auto"/>
        <w:ind w:firstLine="480" w:firstLineChars="200"/>
        <w:rPr>
          <w:rFonts w:ascii="宋体"/>
          <w:color w:val="auto"/>
          <w:sz w:val="24"/>
          <w:szCs w:val="24"/>
        </w:rPr>
      </w:pPr>
      <w:r>
        <w:rPr>
          <w:rFonts w:hint="eastAsia" w:ascii="宋体" w:hAnsi="宋体" w:cs="宋体"/>
          <w:color w:val="auto"/>
          <w:sz w:val="24"/>
          <w:szCs w:val="24"/>
        </w:rPr>
        <w:t>供应商有前款第（</w:t>
      </w:r>
      <w:r>
        <w:rPr>
          <w:rFonts w:ascii="宋体" w:hAnsi="宋体" w:cs="宋体"/>
          <w:color w:val="auto"/>
          <w:sz w:val="24"/>
          <w:szCs w:val="24"/>
        </w:rPr>
        <w:t>1)</w:t>
      </w:r>
      <w:r>
        <w:rPr>
          <w:rFonts w:hint="eastAsia" w:ascii="宋体" w:hAnsi="宋体" w:cs="宋体"/>
          <w:color w:val="auto"/>
          <w:sz w:val="24"/>
          <w:szCs w:val="24"/>
        </w:rPr>
        <w:t>至（</w:t>
      </w:r>
      <w:r>
        <w:rPr>
          <w:rFonts w:ascii="宋体" w:hAnsi="宋体" w:cs="宋体"/>
          <w:color w:val="auto"/>
          <w:sz w:val="24"/>
          <w:szCs w:val="24"/>
        </w:rPr>
        <w:t>5)</w:t>
      </w:r>
      <w:r>
        <w:rPr>
          <w:rFonts w:hint="eastAsia" w:ascii="宋体" w:hAnsi="宋体" w:cs="宋体"/>
          <w:color w:val="auto"/>
          <w:sz w:val="24"/>
          <w:szCs w:val="24"/>
        </w:rPr>
        <w:t>项情形之一的，中标、成交无效。</w:t>
      </w:r>
    </w:p>
    <w:p>
      <w:pPr>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lang w:val="zh-CN"/>
        </w:rPr>
        <w:t>法定</w:t>
      </w:r>
      <w:r>
        <w:rPr>
          <w:rFonts w:ascii="宋体" w:hAnsi="宋体" w:cs="宋体"/>
          <w:color w:val="auto"/>
          <w:kern w:val="0"/>
          <w:sz w:val="24"/>
          <w:szCs w:val="24"/>
          <w:lang w:val="zh-CN"/>
        </w:rPr>
        <w:t>(</w:t>
      </w:r>
      <w:r>
        <w:rPr>
          <w:rFonts w:hint="eastAsia" w:ascii="宋体" w:hAnsi="宋体" w:cs="宋体"/>
          <w:color w:val="auto"/>
          <w:kern w:val="0"/>
          <w:sz w:val="24"/>
          <w:szCs w:val="24"/>
          <w:lang w:val="zh-CN"/>
        </w:rPr>
        <w:t>授权</w:t>
      </w:r>
      <w:r>
        <w:rPr>
          <w:rFonts w:ascii="宋体" w:hAnsi="宋体" w:cs="宋体"/>
          <w:color w:val="auto"/>
          <w:kern w:val="0"/>
          <w:sz w:val="24"/>
          <w:szCs w:val="24"/>
          <w:lang w:val="zh-CN"/>
        </w:rPr>
        <w:t>)</w:t>
      </w:r>
      <w:r>
        <w:rPr>
          <w:rFonts w:hint="eastAsia" w:ascii="宋体" w:hAnsi="宋体" w:cs="宋体"/>
          <w:color w:val="auto"/>
          <w:kern w:val="0"/>
          <w:sz w:val="24"/>
          <w:szCs w:val="24"/>
          <w:lang w:val="zh-CN"/>
        </w:rPr>
        <w:t>代表人（签字）：</w:t>
      </w:r>
      <w:r>
        <w:rPr>
          <w:rFonts w:ascii="宋体" w:hAnsi="宋体" w:cs="宋体"/>
          <w:color w:val="auto"/>
          <w:kern w:val="0"/>
          <w:sz w:val="24"/>
          <w:szCs w:val="24"/>
          <w:lang w:val="zh-CN"/>
        </w:rPr>
        <w:t xml:space="preserve">  </w:t>
      </w:r>
      <w:r>
        <w:rPr>
          <w:rFonts w:ascii="宋体"/>
          <w:color w:val="auto"/>
          <w:kern w:val="0"/>
          <w:sz w:val="24"/>
          <w:szCs w:val="24"/>
        </w:rPr>
        <w:tab/>
      </w:r>
    </w:p>
    <w:p>
      <w:pPr>
        <w:adjustRightInd w:val="0"/>
        <w:snapToGrid w:val="0"/>
        <w:spacing w:line="360" w:lineRule="auto"/>
        <w:rPr>
          <w:rFonts w:ascii="宋体"/>
          <w:color w:val="auto"/>
          <w:kern w:val="0"/>
          <w:sz w:val="24"/>
          <w:szCs w:val="24"/>
          <w:u w:val="single"/>
          <w:lang w:val="zh-CN"/>
        </w:rPr>
      </w:pPr>
      <w:r>
        <w:rPr>
          <w:rFonts w:hint="eastAsia" w:ascii="宋体" w:hAnsi="宋体" w:cs="宋体"/>
          <w:color w:val="auto"/>
          <w:kern w:val="0"/>
          <w:sz w:val="24"/>
          <w:szCs w:val="24"/>
          <w:lang w:val="zh-CN"/>
        </w:rPr>
        <w:t>投标人（盖</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章）：</w:t>
      </w:r>
      <w:r>
        <w:rPr>
          <w:rFonts w:ascii="宋体" w:hAnsi="宋体" w:cs="宋体"/>
          <w:color w:val="auto"/>
          <w:kern w:val="0"/>
          <w:sz w:val="24"/>
          <w:szCs w:val="24"/>
          <w:lang w:val="zh-CN"/>
        </w:rPr>
        <w:t xml:space="preserve">  </w:t>
      </w:r>
    </w:p>
    <w:p>
      <w:pPr>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lang w:val="zh-CN"/>
        </w:rPr>
        <w:t>联系人：联系电话：</w:t>
      </w:r>
      <w:r>
        <w:rPr>
          <w:rFonts w:ascii="宋体" w:hAnsi="宋体" w:cs="宋体"/>
          <w:color w:val="auto"/>
          <w:kern w:val="0"/>
          <w:sz w:val="24"/>
          <w:szCs w:val="24"/>
          <w:lang w:val="zh-CN"/>
        </w:rPr>
        <w:t xml:space="preserve"> </w:t>
      </w:r>
    </w:p>
    <w:p>
      <w:pPr>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lang w:val="zh-CN"/>
        </w:rPr>
        <w:t>联系地址：</w:t>
      </w:r>
    </w:p>
    <w:p>
      <w:pPr>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lang w:val="zh-CN"/>
        </w:rPr>
        <w:t>邮政编码：传真号码：</w:t>
      </w:r>
    </w:p>
    <w:p>
      <w:pPr>
        <w:adjustRightInd w:val="0"/>
        <w:snapToGrid w:val="0"/>
        <w:spacing w:line="360" w:lineRule="auto"/>
        <w:rPr>
          <w:rFonts w:ascii="宋体"/>
          <w:color w:val="auto"/>
          <w:kern w:val="0"/>
          <w:sz w:val="24"/>
          <w:szCs w:val="24"/>
          <w:u w:val="single"/>
        </w:rPr>
      </w:pPr>
      <w:r>
        <w:rPr>
          <w:rFonts w:hint="eastAsia" w:ascii="宋体" w:hAnsi="宋体" w:cs="宋体"/>
          <w:color w:val="auto"/>
          <w:kern w:val="0"/>
          <w:sz w:val="24"/>
          <w:szCs w:val="24"/>
          <w:lang w:val="zh-CN"/>
        </w:rPr>
        <w:t>日期</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lang w:val="zh-CN"/>
        </w:rPr>
        <w:t>年</w:t>
      </w:r>
      <w:r>
        <w:rPr>
          <w:rFonts w:ascii="宋体"/>
          <w:color w:val="auto"/>
          <w:kern w:val="0"/>
          <w:sz w:val="24"/>
          <w:szCs w:val="24"/>
          <w:u w:val="single"/>
        </w:rPr>
        <w:tab/>
      </w:r>
      <w:r>
        <w:rPr>
          <w:rFonts w:hint="eastAsia" w:ascii="宋体" w:hAnsi="宋体" w:cs="宋体"/>
          <w:color w:val="auto"/>
          <w:kern w:val="0"/>
          <w:sz w:val="24"/>
          <w:szCs w:val="24"/>
          <w:lang w:val="zh-CN"/>
        </w:rPr>
        <w:t>月日</w:t>
      </w:r>
    </w:p>
    <w:p>
      <w:pPr>
        <w:adjustRightInd w:val="0"/>
        <w:snapToGrid w:val="0"/>
        <w:spacing w:line="360" w:lineRule="auto"/>
        <w:rPr>
          <w:rFonts w:ascii="宋体"/>
          <w:b/>
          <w:bCs/>
          <w:color w:val="auto"/>
          <w:kern w:val="0"/>
          <w:sz w:val="24"/>
          <w:szCs w:val="24"/>
          <w:lang w:val="zh-CN"/>
        </w:rPr>
      </w:pPr>
      <w:r>
        <w:rPr>
          <w:rFonts w:hint="eastAsia" w:ascii="宋体" w:hAnsi="宋体" w:cs="宋体"/>
          <w:b/>
          <w:bCs/>
          <w:color w:val="auto"/>
          <w:kern w:val="0"/>
          <w:sz w:val="24"/>
          <w:szCs w:val="24"/>
          <w:lang w:val="zh-CN"/>
        </w:rPr>
        <w:t>注：未按照本投标响应函要求填报的将被视为非实质性响应投标，从而可能导致该投标被拒绝。</w:t>
      </w:r>
    </w:p>
    <w:p>
      <w:pPr>
        <w:pStyle w:val="3"/>
        <w:spacing w:line="360" w:lineRule="auto"/>
        <w:jc w:val="center"/>
        <w:rPr>
          <w:rFonts w:ascii="宋体"/>
          <w:color w:val="auto"/>
        </w:rPr>
      </w:pPr>
      <w:r>
        <w:rPr>
          <w:rFonts w:ascii="宋体"/>
          <w:color w:val="auto"/>
        </w:rPr>
        <w:br w:type="page"/>
      </w:r>
      <w:r>
        <w:rPr>
          <w:rFonts w:hint="eastAsia" w:ascii="宋体" w:hAnsi="宋体" w:cs="宋体"/>
          <w:color w:val="auto"/>
        </w:rPr>
        <w:t>二、开标一览表</w:t>
      </w:r>
      <w:bookmarkEnd w:id="96"/>
      <w:bookmarkEnd w:id="97"/>
    </w:p>
    <w:p>
      <w:pPr>
        <w:adjustRightInd w:val="0"/>
        <w:snapToGrid w:val="0"/>
        <w:spacing w:line="360" w:lineRule="auto"/>
        <w:rPr>
          <w:rFonts w:ascii="宋体"/>
          <w:color w:val="auto"/>
          <w:kern w:val="0"/>
          <w:sz w:val="24"/>
          <w:szCs w:val="24"/>
        </w:rPr>
      </w:pPr>
      <w:bookmarkStart w:id="98" w:name="_Toc86217005"/>
      <w:r>
        <w:rPr>
          <w:rFonts w:hint="eastAsia" w:ascii="宋体" w:hAnsi="宋体" w:cs="宋体"/>
          <w:color w:val="auto"/>
          <w:sz w:val="24"/>
          <w:szCs w:val="24"/>
        </w:rPr>
        <w:t>杭州市射击射箭运动中心、浙江联通工程咨询有限公司</w:t>
      </w:r>
      <w:r>
        <w:rPr>
          <w:rFonts w:hint="eastAsia" w:ascii="宋体" w:hAnsi="宋体" w:cs="宋体"/>
          <w:color w:val="auto"/>
          <w:kern w:val="0"/>
          <w:sz w:val="24"/>
          <w:szCs w:val="24"/>
          <w:lang w:val="zh-CN"/>
        </w:rPr>
        <w:t>：</w:t>
      </w:r>
    </w:p>
    <w:p>
      <w:pPr>
        <w:adjustRightInd w:val="0"/>
        <w:snapToGrid w:val="0"/>
        <w:spacing w:line="360" w:lineRule="auto"/>
        <w:ind w:firstLine="480"/>
        <w:rPr>
          <w:rFonts w:ascii="宋体"/>
          <w:color w:val="auto"/>
          <w:kern w:val="0"/>
          <w:sz w:val="24"/>
          <w:szCs w:val="24"/>
          <w:lang w:val="zh-CN"/>
        </w:rPr>
      </w:pPr>
      <w:r>
        <w:rPr>
          <w:rFonts w:hint="eastAsia" w:ascii="宋体" w:hAnsi="宋体" w:cs="宋体"/>
          <w:color w:val="auto"/>
          <w:kern w:val="0"/>
          <w:sz w:val="24"/>
          <w:szCs w:val="24"/>
          <w:lang w:val="zh-CN"/>
        </w:rPr>
        <w:t>按你方招标文件要求，我们，本投标文件签字方，谨此向你方发出要约如下：如你方接受本投标文件，我方承诺按照如下开标一览表的价格完成</w:t>
      </w:r>
      <w:r>
        <w:rPr>
          <w:rFonts w:ascii="宋体" w:hAnsi="宋体" w:cs="宋体"/>
          <w:color w:val="auto"/>
          <w:kern w:val="0"/>
          <w:sz w:val="24"/>
          <w:szCs w:val="24"/>
          <w:lang w:val="zh-CN"/>
        </w:rPr>
        <w:t>2020</w:t>
      </w:r>
      <w:r>
        <w:rPr>
          <w:rFonts w:hint="eastAsia" w:ascii="宋体" w:hAnsi="宋体" w:cs="宋体"/>
          <w:color w:val="auto"/>
          <w:kern w:val="0"/>
          <w:sz w:val="24"/>
          <w:szCs w:val="24"/>
          <w:lang w:val="zh-CN"/>
        </w:rPr>
        <w:t>年枪弹库智能管理系统升级改造项目【</w:t>
      </w:r>
      <w:r>
        <w:rPr>
          <w:rFonts w:hint="eastAsia" w:ascii="宋体" w:hAnsi="宋体" w:cs="宋体"/>
          <w:color w:val="auto"/>
          <w:kern w:val="0"/>
          <w:sz w:val="24"/>
          <w:szCs w:val="24"/>
        </w:rPr>
        <w:t>招标文件</w:t>
      </w:r>
      <w:r>
        <w:rPr>
          <w:rFonts w:hint="eastAsia" w:ascii="宋体" w:hAnsi="宋体" w:cs="宋体"/>
          <w:color w:val="auto"/>
          <w:kern w:val="0"/>
          <w:sz w:val="24"/>
          <w:szCs w:val="24"/>
          <w:lang w:val="zh-CN"/>
        </w:rPr>
        <w:t>编号</w:t>
      </w:r>
      <w:r>
        <w:rPr>
          <w:rFonts w:hint="eastAsia" w:ascii="宋体" w:hAnsi="宋体" w:cs="宋体"/>
          <w:color w:val="auto"/>
          <w:sz w:val="24"/>
          <w:szCs w:val="24"/>
        </w:rPr>
        <w:t>：</w:t>
      </w:r>
      <w:r>
        <w:rPr>
          <w:rFonts w:ascii="宋体" w:hAnsi="宋体" w:cs="宋体"/>
          <w:color w:val="auto"/>
          <w:sz w:val="24"/>
          <w:szCs w:val="24"/>
        </w:rPr>
        <w:t>ZJLT-2020-03-053-01</w:t>
      </w:r>
      <w:r>
        <w:rPr>
          <w:rFonts w:hint="eastAsia" w:ascii="宋体" w:hAnsi="宋体" w:cs="宋体"/>
          <w:color w:val="auto"/>
          <w:sz w:val="24"/>
          <w:szCs w:val="24"/>
        </w:rPr>
        <w:t>】</w:t>
      </w:r>
      <w:r>
        <w:rPr>
          <w:rFonts w:hint="eastAsia" w:ascii="宋体" w:hAnsi="宋体" w:cs="宋体"/>
          <w:color w:val="auto"/>
          <w:kern w:val="0"/>
          <w:sz w:val="24"/>
          <w:szCs w:val="24"/>
          <w:lang w:val="zh-CN"/>
        </w:rPr>
        <w:t>的实施。</w:t>
      </w:r>
    </w:p>
    <w:p>
      <w:pPr>
        <w:adjustRightInd w:val="0"/>
        <w:snapToGrid w:val="0"/>
        <w:spacing w:line="360" w:lineRule="auto"/>
        <w:jc w:val="center"/>
        <w:rPr>
          <w:rFonts w:ascii="宋体"/>
          <w:b/>
          <w:bCs/>
          <w:color w:val="auto"/>
          <w:kern w:val="0"/>
          <w:sz w:val="24"/>
          <w:szCs w:val="24"/>
        </w:rPr>
      </w:pPr>
      <w:r>
        <w:rPr>
          <w:rFonts w:hint="eastAsia" w:ascii="宋体" w:hAnsi="宋体" w:cs="宋体"/>
          <w:b/>
          <w:bCs/>
          <w:color w:val="auto"/>
          <w:kern w:val="0"/>
          <w:sz w:val="24"/>
          <w:szCs w:val="24"/>
          <w:lang w:val="zh-CN"/>
        </w:rPr>
        <w:t>开标一览表</w:t>
      </w:r>
    </w:p>
    <w:tbl>
      <w:tblPr>
        <w:tblStyle w:val="14"/>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4"/>
        <w:gridCol w:w="4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blHeader/>
          <w:jc w:val="center"/>
        </w:trPr>
        <w:tc>
          <w:tcPr>
            <w:tcW w:w="5354" w:type="dxa"/>
            <w:tcBorders>
              <w:top w:val="single" w:color="auto" w:sz="4" w:space="0"/>
              <w:bottom w:val="single" w:color="auto" w:sz="6" w:space="0"/>
              <w:right w:val="single" w:color="auto" w:sz="4" w:space="0"/>
            </w:tcBorders>
            <w:vAlign w:val="center"/>
          </w:tcPr>
          <w:p>
            <w:pPr>
              <w:spacing w:line="360" w:lineRule="auto"/>
              <w:jc w:val="center"/>
              <w:rPr>
                <w:rFonts w:ascii="宋体"/>
                <w:color w:val="auto"/>
                <w:sz w:val="24"/>
                <w:szCs w:val="24"/>
                <w:lang w:val="en-GB"/>
              </w:rPr>
            </w:pPr>
            <w:bookmarkStart w:id="99" w:name="_Toc351898280"/>
            <w:bookmarkStart w:id="100" w:name="_Toc351723060"/>
            <w:r>
              <w:rPr>
                <w:rFonts w:hint="eastAsia" w:ascii="宋体" w:hAnsi="宋体" w:cs="宋体"/>
                <w:color w:val="auto"/>
                <w:sz w:val="24"/>
                <w:szCs w:val="24"/>
                <w:lang w:val="en-GB"/>
              </w:rPr>
              <w:t>项目名称</w:t>
            </w:r>
          </w:p>
        </w:tc>
        <w:tc>
          <w:tcPr>
            <w:tcW w:w="4277" w:type="dxa"/>
            <w:tcBorders>
              <w:top w:val="single" w:color="auto" w:sz="4" w:space="0"/>
              <w:left w:val="single" w:color="auto" w:sz="4" w:space="0"/>
              <w:bottom w:val="single" w:color="auto" w:sz="4" w:space="0"/>
            </w:tcBorders>
            <w:vAlign w:val="center"/>
          </w:tcPr>
          <w:p>
            <w:pPr>
              <w:spacing w:line="360" w:lineRule="auto"/>
              <w:jc w:val="center"/>
              <w:rPr>
                <w:rFonts w:ascii="宋体"/>
                <w:color w:val="auto"/>
                <w:sz w:val="24"/>
                <w:szCs w:val="24"/>
                <w:lang w:val="en-GB"/>
              </w:rPr>
            </w:pPr>
            <w:r>
              <w:rPr>
                <w:rFonts w:hint="eastAsia" w:ascii="宋体" w:hAnsi="宋体" w:cs="宋体"/>
                <w:color w:val="auto"/>
                <w:sz w:val="24"/>
                <w:szCs w:val="24"/>
                <w:lang w:val="en-GB"/>
              </w:rPr>
              <w:t>报价（人民币元）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5354" w:type="dxa"/>
            <w:tcBorders>
              <w:top w:val="single" w:color="auto" w:sz="6" w:space="0"/>
              <w:bottom w:val="single" w:color="auto" w:sz="6" w:space="0"/>
              <w:right w:val="single" w:color="auto" w:sz="4" w:space="0"/>
            </w:tcBorders>
            <w:vAlign w:val="center"/>
          </w:tcPr>
          <w:p>
            <w:pPr>
              <w:spacing w:line="360" w:lineRule="auto"/>
              <w:jc w:val="center"/>
              <w:rPr>
                <w:rFonts w:ascii="宋体"/>
                <w:color w:val="auto"/>
                <w:sz w:val="24"/>
                <w:szCs w:val="24"/>
              </w:rPr>
            </w:pPr>
            <w:r>
              <w:rPr>
                <w:rFonts w:ascii="宋体" w:hAnsi="宋体" w:cs="宋体"/>
                <w:color w:val="auto"/>
                <w:sz w:val="24"/>
                <w:szCs w:val="24"/>
              </w:rPr>
              <w:t>2020</w:t>
            </w:r>
            <w:r>
              <w:rPr>
                <w:rFonts w:hint="eastAsia" w:ascii="宋体" w:hAnsi="宋体" w:cs="宋体"/>
                <w:color w:val="auto"/>
                <w:sz w:val="24"/>
                <w:szCs w:val="24"/>
              </w:rPr>
              <w:t>年枪弹库智能管理系统升级改造项目</w:t>
            </w:r>
          </w:p>
        </w:tc>
        <w:tc>
          <w:tcPr>
            <w:tcW w:w="4277" w:type="dxa"/>
            <w:tcBorders>
              <w:top w:val="single" w:color="auto" w:sz="4" w:space="0"/>
              <w:left w:val="single" w:color="auto" w:sz="4" w:space="0"/>
              <w:bottom w:val="single" w:color="auto" w:sz="6" w:space="0"/>
            </w:tcBorders>
            <w:vAlign w:val="center"/>
          </w:tcPr>
          <w:p>
            <w:pPr>
              <w:spacing w:line="360" w:lineRule="auto"/>
              <w:jc w:val="left"/>
              <w:rPr>
                <w:rFonts w:ascii="宋体"/>
                <w:color w:val="auto"/>
                <w:sz w:val="24"/>
                <w:szCs w:val="24"/>
              </w:rPr>
            </w:pPr>
            <w:r>
              <w:rPr>
                <w:rFonts w:ascii="宋体"/>
                <w:color w:val="auto"/>
                <w:sz w:val="24"/>
                <w:szCs w:val="24"/>
              </w:rPr>
              <w:t> </w:t>
            </w:r>
            <w:r>
              <w:rPr>
                <w:rFonts w:hint="eastAsia" w:ascii="宋体" w:hAnsi="宋体" w:cs="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5354" w:type="dxa"/>
            <w:tcBorders>
              <w:top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r>
              <w:rPr>
                <w:rFonts w:hint="eastAsia" w:ascii="宋体" w:hAnsi="宋体" w:cs="宋体"/>
                <w:color w:val="auto"/>
                <w:sz w:val="24"/>
                <w:szCs w:val="24"/>
                <w:lang w:val="en-GB"/>
              </w:rPr>
              <w:t>总价</w:t>
            </w:r>
          </w:p>
        </w:tc>
        <w:tc>
          <w:tcPr>
            <w:tcW w:w="4277" w:type="dxa"/>
            <w:tcBorders>
              <w:top w:val="single" w:color="auto" w:sz="4" w:space="0"/>
              <w:left w:val="single" w:color="auto" w:sz="4" w:space="0"/>
              <w:bottom w:val="single" w:color="auto" w:sz="4" w:space="0"/>
            </w:tcBorders>
            <w:vAlign w:val="center"/>
          </w:tcPr>
          <w:p>
            <w:pPr>
              <w:spacing w:line="360" w:lineRule="auto"/>
              <w:jc w:val="left"/>
              <w:rPr>
                <w:rFonts w:ascii="宋体"/>
                <w:color w:val="auto"/>
                <w:sz w:val="24"/>
                <w:szCs w:val="24"/>
                <w:lang w:val="en-GB"/>
              </w:rPr>
            </w:pPr>
            <w:r>
              <w:rPr>
                <w:rFonts w:ascii="宋体"/>
                <w:color w:val="auto"/>
                <w:sz w:val="24"/>
                <w:szCs w:val="24"/>
                <w:lang w:val="en-GB"/>
              </w:rPr>
              <w:t> </w:t>
            </w:r>
            <w:r>
              <w:rPr>
                <w:rFonts w:hint="eastAsia" w:ascii="宋体" w:hAnsi="宋体" w:cs="宋体"/>
                <w:color w:val="auto"/>
                <w:sz w:val="24"/>
                <w:szCs w:val="24"/>
                <w:lang w:val="en-GB"/>
              </w:rPr>
              <w:t>（大写）</w:t>
            </w:r>
          </w:p>
        </w:tc>
      </w:tr>
    </w:tbl>
    <w:p>
      <w:pPr>
        <w:adjustRightInd w:val="0"/>
        <w:snapToGrid w:val="0"/>
        <w:spacing w:line="360" w:lineRule="auto"/>
        <w:rPr>
          <w:rFonts w:ascii="宋体"/>
          <w:color w:val="auto"/>
          <w:kern w:val="0"/>
          <w:sz w:val="24"/>
          <w:szCs w:val="24"/>
          <w:lang w:val="zh-CN"/>
        </w:rPr>
      </w:pPr>
    </w:p>
    <w:p>
      <w:pPr>
        <w:spacing w:line="360" w:lineRule="auto"/>
        <w:rPr>
          <w:rFonts w:ascii="宋体"/>
          <w:color w:val="auto"/>
          <w:kern w:val="0"/>
          <w:sz w:val="24"/>
          <w:szCs w:val="24"/>
          <w:lang w:val="zh-CN"/>
        </w:rPr>
      </w:pPr>
      <w:r>
        <w:rPr>
          <w:rFonts w:hint="eastAsia" w:ascii="宋体" w:hAnsi="宋体" w:cs="宋体"/>
          <w:color w:val="auto"/>
          <w:kern w:val="0"/>
          <w:sz w:val="24"/>
          <w:szCs w:val="24"/>
          <w:lang w:val="zh-CN"/>
        </w:rPr>
        <w:t>注：</w:t>
      </w:r>
      <w:r>
        <w:rPr>
          <w:rFonts w:ascii="宋体" w:hAnsi="宋体" w:cs="宋体"/>
          <w:color w:val="auto"/>
          <w:kern w:val="0"/>
          <w:sz w:val="24"/>
          <w:szCs w:val="24"/>
          <w:lang w:val="zh-CN"/>
        </w:rPr>
        <w:t>1</w:t>
      </w:r>
      <w:r>
        <w:rPr>
          <w:rFonts w:hint="eastAsia" w:ascii="宋体" w:hAnsi="宋体" w:cs="宋体"/>
          <w:color w:val="auto"/>
          <w:kern w:val="0"/>
          <w:sz w:val="24"/>
          <w:szCs w:val="24"/>
          <w:lang w:val="zh-CN"/>
        </w:rPr>
        <w:t>、本投标文件及其所附文件涵盖了我方要约的全部内容。</w:t>
      </w:r>
    </w:p>
    <w:p>
      <w:pPr>
        <w:spacing w:line="360" w:lineRule="auto"/>
        <w:rPr>
          <w:rFonts w:ascii="宋体"/>
          <w:color w:val="auto"/>
          <w:kern w:val="0"/>
          <w:sz w:val="24"/>
          <w:szCs w:val="24"/>
          <w:lang w:val="zh-CN"/>
        </w:rPr>
      </w:pPr>
      <w:r>
        <w:rPr>
          <w:rFonts w:ascii="宋体" w:hAnsi="宋体" w:cs="宋体"/>
          <w:color w:val="auto"/>
          <w:kern w:val="0"/>
          <w:sz w:val="24"/>
          <w:szCs w:val="24"/>
          <w:lang w:val="zh-CN"/>
        </w:rPr>
        <w:t>(1)</w:t>
      </w:r>
      <w:r>
        <w:rPr>
          <w:rFonts w:hint="eastAsia" w:ascii="宋体" w:hAnsi="宋体" w:cs="宋体"/>
          <w:color w:val="auto"/>
          <w:kern w:val="0"/>
          <w:sz w:val="24"/>
          <w:szCs w:val="24"/>
          <w:lang w:val="zh-CN"/>
        </w:rPr>
        <w:t>我方要约有效期为自投标截止日起</w:t>
      </w:r>
      <w:r>
        <w:rPr>
          <w:rFonts w:ascii="宋体" w:hAnsi="宋体" w:cs="宋体"/>
          <w:color w:val="auto"/>
          <w:kern w:val="0"/>
          <w:sz w:val="24"/>
          <w:szCs w:val="24"/>
          <w:lang w:val="zh-CN"/>
        </w:rPr>
        <w:t>90</w:t>
      </w:r>
      <w:r>
        <w:rPr>
          <w:rFonts w:hint="eastAsia" w:ascii="宋体" w:hAnsi="宋体" w:cs="宋体"/>
          <w:color w:val="auto"/>
          <w:kern w:val="0"/>
          <w:sz w:val="24"/>
          <w:szCs w:val="24"/>
          <w:lang w:val="zh-CN"/>
        </w:rPr>
        <w:t>天；</w:t>
      </w:r>
    </w:p>
    <w:p>
      <w:pPr>
        <w:spacing w:line="360" w:lineRule="auto"/>
        <w:rPr>
          <w:rFonts w:ascii="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在投标有效标期内，我方受投标文件之价目表上我方要约金额的约束。</w:t>
      </w:r>
    </w:p>
    <w:p>
      <w:pPr>
        <w:spacing w:line="360" w:lineRule="auto"/>
        <w:rPr>
          <w:rFonts w:ascii="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、本投标文件，你方之接受函，对我们双方均具约束力。</w:t>
      </w:r>
    </w:p>
    <w:p>
      <w:pPr>
        <w:spacing w:line="360" w:lineRule="auto"/>
        <w:rPr>
          <w:rFonts w:ascii="宋体"/>
          <w:color w:val="auto"/>
          <w:kern w:val="0"/>
          <w:sz w:val="24"/>
          <w:szCs w:val="24"/>
          <w:lang w:val="zh-CN"/>
        </w:rPr>
      </w:pPr>
      <w:r>
        <w:rPr>
          <w:rFonts w:ascii="宋体" w:hAnsi="宋体" w:cs="宋体"/>
          <w:color w:val="auto"/>
          <w:kern w:val="0"/>
          <w:sz w:val="24"/>
          <w:szCs w:val="24"/>
          <w:lang w:val="zh-CN"/>
        </w:rPr>
        <w:t>3</w:t>
      </w:r>
      <w:r>
        <w:rPr>
          <w:rFonts w:hint="eastAsia" w:ascii="宋体" w:hAnsi="宋体" w:cs="宋体"/>
          <w:color w:val="auto"/>
          <w:kern w:val="0"/>
          <w:sz w:val="24"/>
          <w:szCs w:val="24"/>
          <w:lang w:val="zh-CN"/>
        </w:rPr>
        <w:t>、根据具体情况而拒绝任一或所有投标文件完全取决于你方。你方没有义务一定要接受最低报价的投标文件或某一特定投标文件，也不需为拒绝某一投标文件作出任何解释。</w:t>
      </w:r>
    </w:p>
    <w:p>
      <w:pPr>
        <w:spacing w:line="360" w:lineRule="auto"/>
        <w:rPr>
          <w:rFonts w:ascii="宋体"/>
          <w:b/>
          <w:bCs/>
          <w:color w:val="auto"/>
          <w:sz w:val="24"/>
          <w:szCs w:val="24"/>
        </w:rPr>
      </w:pPr>
      <w:r>
        <w:rPr>
          <w:rFonts w:ascii="宋体" w:hAnsi="宋体" w:cs="宋体"/>
          <w:color w:val="auto"/>
          <w:kern w:val="0"/>
          <w:sz w:val="24"/>
          <w:szCs w:val="24"/>
          <w:lang w:val="zh-CN"/>
        </w:rPr>
        <w:t>4</w:t>
      </w:r>
      <w:r>
        <w:rPr>
          <w:rFonts w:hint="eastAsia" w:ascii="宋体" w:hAnsi="宋体" w:cs="宋体"/>
          <w:color w:val="auto"/>
          <w:kern w:val="0"/>
          <w:sz w:val="24"/>
          <w:szCs w:val="24"/>
          <w:lang w:val="zh-CN"/>
        </w:rPr>
        <w:t>、另外，我方承诺还将就你方所要求的进一步信息提供给你方。</w:t>
      </w:r>
    </w:p>
    <w:p>
      <w:pPr>
        <w:spacing w:line="360" w:lineRule="auto"/>
        <w:ind w:firstLine="3600" w:firstLineChars="1500"/>
        <w:rPr>
          <w:rFonts w:ascii="宋体"/>
          <w:color w:val="auto"/>
          <w:sz w:val="24"/>
          <w:szCs w:val="24"/>
        </w:rPr>
      </w:pPr>
    </w:p>
    <w:p>
      <w:pPr>
        <w:spacing w:line="360" w:lineRule="auto"/>
        <w:ind w:firstLine="3600" w:firstLineChars="1500"/>
        <w:rPr>
          <w:rFonts w:ascii="宋体"/>
          <w:color w:val="auto"/>
          <w:sz w:val="24"/>
          <w:szCs w:val="24"/>
        </w:rPr>
      </w:pPr>
      <w:r>
        <w:rPr>
          <w:rFonts w:hint="eastAsia" w:ascii="宋体" w:hAnsi="宋体" w:cs="宋体"/>
          <w:color w:val="auto"/>
          <w:sz w:val="24"/>
          <w:szCs w:val="24"/>
        </w:rPr>
        <w:t>投标人名称（公章）：</w:t>
      </w:r>
    </w:p>
    <w:p>
      <w:pPr>
        <w:spacing w:line="360" w:lineRule="auto"/>
        <w:jc w:val="center"/>
        <w:rPr>
          <w:rFonts w:ascii="宋体"/>
          <w:color w:val="auto"/>
          <w:kern w:val="0"/>
          <w:sz w:val="24"/>
          <w:szCs w:val="24"/>
        </w:rPr>
      </w:pPr>
      <w:r>
        <w:rPr>
          <w:rFonts w:ascii="宋体" w:hAnsi="宋体" w:cs="宋体"/>
          <w:color w:val="auto"/>
          <w:sz w:val="24"/>
          <w:szCs w:val="24"/>
        </w:rPr>
        <w:t xml:space="preserve">      </w:t>
      </w: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bookmarkEnd w:id="99"/>
      <w:bookmarkEnd w:id="100"/>
    </w:p>
    <w:p>
      <w:pPr>
        <w:spacing w:line="360" w:lineRule="auto"/>
        <w:rPr>
          <w:rFonts w:ascii="宋体"/>
          <w:color w:val="auto"/>
          <w:kern w:val="0"/>
          <w:sz w:val="24"/>
          <w:szCs w:val="24"/>
        </w:rPr>
      </w:pPr>
    </w:p>
    <w:p>
      <w:pPr>
        <w:spacing w:line="360" w:lineRule="auto"/>
        <w:rPr>
          <w:rFonts w:ascii="宋体"/>
          <w:color w:val="auto"/>
          <w:kern w:val="0"/>
          <w:sz w:val="24"/>
          <w:szCs w:val="24"/>
        </w:rPr>
      </w:pPr>
    </w:p>
    <w:p>
      <w:pPr>
        <w:pageBreakBefore/>
        <w:shd w:val="clear" w:color="auto" w:fill="FFFFFF"/>
        <w:adjustRightInd w:val="0"/>
        <w:snapToGrid w:val="0"/>
        <w:spacing w:line="360" w:lineRule="auto"/>
        <w:ind w:firstLine="643" w:firstLineChars="200"/>
        <w:jc w:val="center"/>
        <w:outlineLvl w:val="2"/>
        <w:rPr>
          <w:rFonts w:ascii="宋体"/>
          <w:b/>
          <w:bCs/>
          <w:color w:val="auto"/>
          <w:sz w:val="32"/>
          <w:szCs w:val="32"/>
        </w:rPr>
      </w:pPr>
      <w:bookmarkStart w:id="101" w:name="_Toc233618992"/>
      <w:r>
        <w:rPr>
          <w:rFonts w:hint="eastAsia" w:ascii="宋体" w:hAnsi="宋体" w:cs="宋体"/>
          <w:b/>
          <w:bCs/>
          <w:color w:val="auto"/>
          <w:sz w:val="32"/>
          <w:szCs w:val="32"/>
        </w:rPr>
        <w:t>三、</w:t>
      </w:r>
      <w:bookmarkEnd w:id="101"/>
      <w:r>
        <w:rPr>
          <w:rFonts w:hint="eastAsia" w:ascii="宋体" w:hAnsi="宋体" w:cs="宋体"/>
          <w:b/>
          <w:bCs/>
          <w:color w:val="auto"/>
          <w:sz w:val="32"/>
          <w:szCs w:val="32"/>
        </w:rPr>
        <w:t>报价明细清单</w:t>
      </w:r>
    </w:p>
    <w:tbl>
      <w:tblPr>
        <w:tblStyle w:val="14"/>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3645"/>
        <w:gridCol w:w="1442"/>
        <w:gridCol w:w="1061"/>
        <w:gridCol w:w="1056"/>
        <w:gridCol w:w="6"/>
        <w:gridCol w:w="1042"/>
        <w:gridCol w:w="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blHeader/>
          <w:jc w:val="center"/>
        </w:trPr>
        <w:tc>
          <w:tcPr>
            <w:tcW w:w="832" w:type="dxa"/>
            <w:tcBorders>
              <w:top w:val="single" w:color="auto" w:sz="4" w:space="0"/>
              <w:bottom w:val="single" w:color="auto" w:sz="6" w:space="0"/>
              <w:right w:val="single" w:color="auto" w:sz="6" w:space="0"/>
            </w:tcBorders>
            <w:vAlign w:val="center"/>
          </w:tcPr>
          <w:p>
            <w:pPr>
              <w:spacing w:line="360" w:lineRule="auto"/>
              <w:jc w:val="center"/>
              <w:rPr>
                <w:rFonts w:ascii="宋体"/>
                <w:b/>
                <w:bCs/>
                <w:color w:val="auto"/>
                <w:sz w:val="24"/>
                <w:szCs w:val="24"/>
                <w:lang w:val="en-GB"/>
              </w:rPr>
            </w:pPr>
            <w:r>
              <w:rPr>
                <w:rFonts w:hint="eastAsia" w:ascii="宋体" w:hAnsi="宋体" w:cs="宋体"/>
                <w:b/>
                <w:bCs/>
                <w:color w:val="auto"/>
                <w:sz w:val="24"/>
                <w:szCs w:val="24"/>
                <w:lang w:val="en-GB"/>
              </w:rPr>
              <w:t>序号</w:t>
            </w:r>
          </w:p>
        </w:tc>
        <w:tc>
          <w:tcPr>
            <w:tcW w:w="3645"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lang w:val="en-GB"/>
              </w:rPr>
            </w:pPr>
            <w:r>
              <w:rPr>
                <w:rFonts w:hint="eastAsia" w:ascii="宋体" w:hAnsi="宋体" w:cs="宋体"/>
                <w:b/>
                <w:bCs/>
                <w:color w:val="auto"/>
                <w:sz w:val="24"/>
                <w:szCs w:val="24"/>
                <w:lang w:val="en-GB"/>
              </w:rPr>
              <w:t>类别名称</w:t>
            </w:r>
          </w:p>
        </w:tc>
        <w:tc>
          <w:tcPr>
            <w:tcW w:w="1442"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lang w:val="en-GB"/>
              </w:rPr>
            </w:pPr>
            <w:r>
              <w:rPr>
                <w:rFonts w:hint="eastAsia" w:ascii="宋体" w:hAnsi="宋体" w:cs="宋体"/>
                <w:b/>
                <w:bCs/>
                <w:color w:val="auto"/>
                <w:sz w:val="24"/>
                <w:szCs w:val="24"/>
                <w:lang w:val="en-GB"/>
              </w:rPr>
              <w:t>数量</w:t>
            </w:r>
          </w:p>
        </w:tc>
        <w:tc>
          <w:tcPr>
            <w:tcW w:w="1061"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b/>
                <w:bCs/>
                <w:color w:val="auto"/>
                <w:sz w:val="24"/>
                <w:szCs w:val="24"/>
                <w:lang w:val="en-GB"/>
              </w:rPr>
            </w:pPr>
            <w:r>
              <w:rPr>
                <w:rFonts w:hint="eastAsia" w:ascii="宋体" w:hAnsi="宋体" w:cs="宋体"/>
                <w:b/>
                <w:bCs/>
                <w:color w:val="auto"/>
                <w:sz w:val="24"/>
                <w:szCs w:val="24"/>
                <w:lang w:val="en-GB"/>
              </w:rPr>
              <w:t>单价</w:t>
            </w:r>
          </w:p>
        </w:tc>
        <w:tc>
          <w:tcPr>
            <w:tcW w:w="1062" w:type="dxa"/>
            <w:gridSpan w:val="2"/>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b/>
                <w:bCs/>
                <w:color w:val="auto"/>
                <w:sz w:val="24"/>
                <w:szCs w:val="24"/>
                <w:lang w:val="en-GB"/>
              </w:rPr>
            </w:pPr>
            <w:r>
              <w:rPr>
                <w:rFonts w:hint="eastAsia" w:ascii="宋体" w:hAnsi="宋体" w:cs="宋体"/>
                <w:b/>
                <w:bCs/>
                <w:color w:val="auto"/>
                <w:sz w:val="24"/>
                <w:szCs w:val="24"/>
                <w:lang w:val="en-GB"/>
              </w:rPr>
              <w:t>总价</w:t>
            </w:r>
          </w:p>
        </w:tc>
        <w:tc>
          <w:tcPr>
            <w:tcW w:w="1048" w:type="dxa"/>
            <w:gridSpan w:val="2"/>
            <w:tcBorders>
              <w:top w:val="single" w:color="auto" w:sz="4" w:space="0"/>
              <w:left w:val="single" w:color="auto" w:sz="6" w:space="0"/>
              <w:bottom w:val="single" w:color="auto" w:sz="6" w:space="0"/>
            </w:tcBorders>
            <w:vAlign w:val="center"/>
          </w:tcPr>
          <w:p>
            <w:pPr>
              <w:spacing w:line="360" w:lineRule="auto"/>
              <w:jc w:val="center"/>
              <w:rPr>
                <w:rFonts w:ascii="宋体"/>
                <w:b/>
                <w:bCs/>
                <w:color w:val="auto"/>
                <w:sz w:val="24"/>
                <w:szCs w:val="24"/>
                <w:lang w:val="en-GB"/>
              </w:rPr>
            </w:pPr>
            <w:r>
              <w:rPr>
                <w:rFonts w:hint="eastAsia" w:ascii="宋体" w:hAnsi="宋体" w:cs="宋体"/>
                <w:b/>
                <w:bCs/>
                <w:color w:val="auto"/>
                <w:sz w:val="24"/>
                <w:szCs w:val="24"/>
                <w:lang w:val="en-G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364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color w:val="auto"/>
                <w:sz w:val="24"/>
                <w:szCs w:val="24"/>
                <w:lang w:val="en-GB"/>
              </w:rPr>
            </w:pPr>
          </w:p>
        </w:tc>
        <w:tc>
          <w:tcPr>
            <w:tcW w:w="1442"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1"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2"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color w:val="auto"/>
                <w:kern w:val="0"/>
                <w:sz w:val="24"/>
                <w:szCs w:val="24"/>
              </w:rPr>
            </w:pPr>
          </w:p>
        </w:tc>
        <w:tc>
          <w:tcPr>
            <w:tcW w:w="1442"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1"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2" w:type="dxa"/>
            <w:gridSpan w:val="2"/>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6"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color w:val="auto"/>
                <w:sz w:val="24"/>
                <w:szCs w:val="24"/>
                <w:lang w:val="en-GB"/>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color w:val="auto"/>
                <w:kern w:val="0"/>
                <w:sz w:val="24"/>
                <w:szCs w:val="24"/>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color w:val="auto"/>
                <w:sz w:val="24"/>
                <w:szCs w:val="24"/>
                <w:lang w:val="en-GB"/>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color w:val="auto"/>
                <w:kern w:val="0"/>
                <w:sz w:val="24"/>
                <w:szCs w:val="24"/>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color w:val="auto"/>
                <w:sz w:val="24"/>
                <w:szCs w:val="24"/>
                <w:lang w:val="en-GB"/>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r>
              <w:rPr>
                <w:rFonts w:ascii="宋体"/>
                <w:color w:val="auto"/>
                <w:sz w:val="24"/>
                <w:szCs w:val="24"/>
                <w:lang w:val="en-GB"/>
              </w:rPr>
              <w:t> </w:t>
            </w: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color w:val="auto"/>
                <w:kern w:val="0"/>
                <w:sz w:val="24"/>
                <w:szCs w:val="24"/>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color w:val="auto"/>
                <w:sz w:val="24"/>
                <w:szCs w:val="24"/>
                <w:lang w:val="en-GB"/>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color w:val="auto"/>
                <w:kern w:val="0"/>
                <w:sz w:val="24"/>
                <w:szCs w:val="24"/>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color w:val="auto"/>
                <w:sz w:val="24"/>
                <w:szCs w:val="24"/>
                <w:lang w:val="en-GB"/>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color w:val="auto"/>
                <w:kern w:val="0"/>
                <w:sz w:val="24"/>
                <w:szCs w:val="24"/>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32" w:type="dxa"/>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color w:val="auto"/>
                <w:kern w:val="0"/>
                <w:sz w:val="24"/>
                <w:szCs w:val="24"/>
              </w:rPr>
            </w:pPr>
          </w:p>
        </w:tc>
        <w:tc>
          <w:tcPr>
            <w:tcW w:w="1442"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color w:val="auto"/>
                <w:sz w:val="24"/>
                <w:szCs w:val="24"/>
                <w:lang w:val="en-GB"/>
              </w:rPr>
            </w:pPr>
          </w:p>
        </w:tc>
        <w:tc>
          <w:tcPr>
            <w:tcW w:w="1061"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6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color w:val="auto"/>
                <w:sz w:val="24"/>
                <w:szCs w:val="24"/>
                <w:lang w:val="en-GB"/>
              </w:rPr>
            </w:pPr>
          </w:p>
        </w:tc>
        <w:tc>
          <w:tcPr>
            <w:tcW w:w="1048" w:type="dxa"/>
            <w:gridSpan w:val="2"/>
            <w:tcBorders>
              <w:top w:val="single" w:color="auto" w:sz="4" w:space="0"/>
              <w:left w:val="single" w:color="auto" w:sz="6" w:space="0"/>
              <w:bottom w:val="single" w:color="auto" w:sz="4" w:space="0"/>
            </w:tcBorders>
            <w:vAlign w:val="center"/>
          </w:tcPr>
          <w:p>
            <w:pPr>
              <w:spacing w:line="360" w:lineRule="auto"/>
              <w:jc w:val="center"/>
              <w:rPr>
                <w:rFonts w:asci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dxa"/>
          <w:cantSplit/>
          <w:trHeight w:val="480" w:hRule="atLeast"/>
          <w:jc w:val="center"/>
        </w:trPr>
        <w:tc>
          <w:tcPr>
            <w:tcW w:w="832" w:type="dxa"/>
            <w:tcBorders>
              <w:top w:val="single" w:color="auto" w:sz="6" w:space="0"/>
              <w:bottom w:val="single" w:color="auto" w:sz="4" w:space="0"/>
              <w:right w:val="single" w:color="auto" w:sz="6" w:space="0"/>
            </w:tcBorders>
            <w:vAlign w:val="center"/>
          </w:tcPr>
          <w:p>
            <w:pPr>
              <w:spacing w:line="360" w:lineRule="auto"/>
              <w:jc w:val="center"/>
              <w:rPr>
                <w:rFonts w:ascii="宋体"/>
                <w:color w:val="auto"/>
                <w:sz w:val="24"/>
                <w:szCs w:val="24"/>
                <w:lang w:val="en-GB"/>
              </w:rPr>
            </w:pPr>
          </w:p>
        </w:tc>
        <w:tc>
          <w:tcPr>
            <w:tcW w:w="3645"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color w:val="auto"/>
                <w:sz w:val="24"/>
                <w:szCs w:val="24"/>
                <w:lang w:val="en-GB"/>
              </w:rPr>
            </w:pPr>
            <w:r>
              <w:rPr>
                <w:rFonts w:hint="eastAsia" w:ascii="宋体" w:hAnsi="宋体" w:cs="宋体"/>
                <w:color w:val="auto"/>
                <w:sz w:val="24"/>
                <w:szCs w:val="24"/>
                <w:lang w:val="en-GB"/>
              </w:rPr>
              <w:t>总合计</w:t>
            </w:r>
          </w:p>
        </w:tc>
        <w:tc>
          <w:tcPr>
            <w:tcW w:w="3559" w:type="dxa"/>
            <w:gridSpan w:val="3"/>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color w:val="auto"/>
                <w:sz w:val="24"/>
                <w:szCs w:val="24"/>
                <w:lang w:val="en-GB"/>
              </w:rPr>
            </w:pPr>
            <w:r>
              <w:rPr>
                <w:rFonts w:hint="eastAsia" w:ascii="宋体" w:hAnsi="宋体" w:cs="宋体"/>
                <w:color w:val="auto"/>
                <w:sz w:val="24"/>
                <w:szCs w:val="24"/>
                <w:lang w:val="en-GB"/>
              </w:rPr>
              <w:t>小写：</w:t>
            </w:r>
          </w:p>
          <w:p>
            <w:pPr>
              <w:spacing w:line="360" w:lineRule="auto"/>
              <w:jc w:val="left"/>
              <w:rPr>
                <w:rFonts w:ascii="宋体"/>
                <w:color w:val="auto"/>
                <w:sz w:val="24"/>
                <w:szCs w:val="24"/>
                <w:lang w:val="en-GB"/>
              </w:rPr>
            </w:pPr>
            <w:r>
              <w:rPr>
                <w:rFonts w:hint="eastAsia" w:ascii="宋体" w:hAnsi="宋体" w:cs="宋体"/>
                <w:color w:val="auto"/>
                <w:sz w:val="24"/>
                <w:szCs w:val="24"/>
                <w:lang w:val="en-GB"/>
              </w:rPr>
              <w:t>大写：</w:t>
            </w:r>
            <w:r>
              <w:rPr>
                <w:rFonts w:ascii="宋体"/>
                <w:color w:val="auto"/>
                <w:sz w:val="24"/>
                <w:szCs w:val="24"/>
                <w:lang w:val="en-GB"/>
              </w:rPr>
              <w:t> </w:t>
            </w:r>
          </w:p>
        </w:tc>
        <w:tc>
          <w:tcPr>
            <w:tcW w:w="1048" w:type="dxa"/>
            <w:gridSpan w:val="2"/>
            <w:tcBorders>
              <w:top w:val="single" w:color="auto" w:sz="4" w:space="0"/>
              <w:left w:val="single" w:color="auto" w:sz="6" w:space="0"/>
              <w:bottom w:val="single" w:color="auto" w:sz="4" w:space="0"/>
            </w:tcBorders>
            <w:vAlign w:val="center"/>
          </w:tcPr>
          <w:p>
            <w:pPr>
              <w:spacing w:line="360" w:lineRule="auto"/>
              <w:jc w:val="left"/>
              <w:rPr>
                <w:rFonts w:ascii="宋体"/>
                <w:color w:val="auto"/>
                <w:sz w:val="24"/>
                <w:szCs w:val="24"/>
                <w:lang w:val="en-GB"/>
              </w:rPr>
            </w:pPr>
          </w:p>
        </w:tc>
      </w:tr>
    </w:tbl>
    <w:p>
      <w:pPr>
        <w:shd w:val="clear" w:color="auto" w:fill="FFFFFF"/>
        <w:adjustRightInd w:val="0"/>
        <w:snapToGrid w:val="0"/>
        <w:spacing w:line="360" w:lineRule="auto"/>
        <w:ind w:firstLine="480" w:firstLineChars="200"/>
        <w:rPr>
          <w:rFonts w:ascii="宋体"/>
          <w:color w:val="auto"/>
          <w:sz w:val="24"/>
          <w:szCs w:val="24"/>
        </w:rPr>
      </w:pPr>
      <w:r>
        <w:rPr>
          <w:rFonts w:hint="eastAsia" w:hAnsi="宋体" w:cs="宋体"/>
          <w:color w:val="auto"/>
          <w:kern w:val="0"/>
          <w:sz w:val="24"/>
          <w:szCs w:val="24"/>
          <w:lang w:val="zh-CN"/>
        </w:rPr>
        <w:t>注：</w:t>
      </w:r>
      <w:r>
        <w:rPr>
          <w:rFonts w:hint="eastAsia" w:ascii="宋体" w:hAnsi="宋体" w:cs="宋体"/>
          <w:color w:val="auto"/>
          <w:sz w:val="24"/>
          <w:szCs w:val="24"/>
        </w:rPr>
        <w:t>本项目投标总报价应包含项目执行期间的全部费用，由投标人自行考虑并合理安排，招标人不再另行支付任何费用。</w:t>
      </w:r>
    </w:p>
    <w:p>
      <w:pPr>
        <w:shd w:val="clear" w:color="auto" w:fill="FFFFFF"/>
        <w:adjustRightInd w:val="0"/>
        <w:snapToGrid w:val="0"/>
        <w:spacing w:line="360" w:lineRule="auto"/>
        <w:ind w:firstLine="562" w:firstLineChars="200"/>
        <w:jc w:val="center"/>
        <w:outlineLvl w:val="2"/>
        <w:rPr>
          <w:rFonts w:ascii="宋体"/>
          <w:b/>
          <w:bCs/>
          <w:color w:val="auto"/>
          <w:sz w:val="28"/>
          <w:szCs w:val="28"/>
        </w:rPr>
      </w:pPr>
    </w:p>
    <w:p>
      <w:pPr>
        <w:spacing w:line="360" w:lineRule="auto"/>
        <w:ind w:firstLine="3600" w:firstLineChars="1500"/>
        <w:jc w:val="right"/>
        <w:rPr>
          <w:rFonts w:ascii="宋体"/>
          <w:color w:val="auto"/>
          <w:sz w:val="24"/>
          <w:szCs w:val="24"/>
        </w:rPr>
      </w:pPr>
      <w:r>
        <w:rPr>
          <w:rFonts w:hint="eastAsia" w:ascii="宋体" w:hAnsi="宋体" w:cs="宋体"/>
          <w:color w:val="auto"/>
          <w:sz w:val="24"/>
          <w:szCs w:val="24"/>
        </w:rPr>
        <w:t>投标人名称（公章）：</w:t>
      </w:r>
      <w:r>
        <w:rPr>
          <w:rFonts w:ascii="宋体" w:hAnsi="宋体" w:cs="宋体"/>
          <w:color w:val="auto"/>
          <w:sz w:val="24"/>
          <w:szCs w:val="24"/>
        </w:rPr>
        <w:t xml:space="preserve">                        </w:t>
      </w:r>
    </w:p>
    <w:p>
      <w:pPr>
        <w:spacing w:line="360" w:lineRule="auto"/>
        <w:jc w:val="right"/>
        <w:rPr>
          <w:rFonts w:ascii="宋体"/>
          <w:color w:val="auto"/>
          <w:kern w:val="0"/>
          <w:sz w:val="24"/>
          <w:szCs w:val="24"/>
        </w:rPr>
      </w:pPr>
      <w:r>
        <w:rPr>
          <w:rFonts w:ascii="宋体" w:hAnsi="宋体" w:cs="宋体"/>
          <w:color w:val="auto"/>
          <w:sz w:val="24"/>
          <w:szCs w:val="24"/>
        </w:rPr>
        <w:t xml:space="preserve">      </w:t>
      </w: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p>
    <w:p>
      <w:pPr>
        <w:pStyle w:val="2"/>
        <w:spacing w:line="360" w:lineRule="auto"/>
        <w:jc w:val="right"/>
        <w:rPr>
          <w:color w:val="auto"/>
        </w:rPr>
      </w:pPr>
    </w:p>
    <w:p>
      <w:pPr>
        <w:spacing w:line="360" w:lineRule="auto"/>
        <w:rPr>
          <w:color w:val="auto"/>
        </w:rPr>
      </w:pPr>
    </w:p>
    <w:p>
      <w:pPr>
        <w:pStyle w:val="2"/>
        <w:spacing w:line="360" w:lineRule="auto"/>
        <w:rPr>
          <w:color w:val="auto"/>
        </w:rPr>
      </w:pPr>
    </w:p>
    <w:p>
      <w:pPr>
        <w:shd w:val="clear" w:color="auto" w:fill="FFFFFF"/>
        <w:adjustRightInd w:val="0"/>
        <w:snapToGrid w:val="0"/>
        <w:spacing w:line="360" w:lineRule="auto"/>
        <w:ind w:firstLine="562" w:firstLineChars="200"/>
        <w:jc w:val="center"/>
        <w:outlineLvl w:val="2"/>
        <w:rPr>
          <w:rFonts w:ascii="宋体"/>
          <w:b/>
          <w:bCs/>
          <w:color w:val="auto"/>
          <w:sz w:val="28"/>
          <w:szCs w:val="28"/>
        </w:rPr>
      </w:pPr>
      <w:r>
        <w:rPr>
          <w:rFonts w:hint="eastAsia" w:ascii="宋体" w:hAnsi="宋体" w:cs="宋体"/>
          <w:b/>
          <w:bCs/>
          <w:color w:val="auto"/>
          <w:sz w:val="28"/>
          <w:szCs w:val="28"/>
          <w:lang w:val="zh-CN"/>
        </w:rPr>
        <w:t>四、</w:t>
      </w:r>
      <w:r>
        <w:rPr>
          <w:rFonts w:hint="eastAsia" w:ascii="宋体" w:hAnsi="宋体" w:cs="宋体"/>
          <w:b/>
          <w:bCs/>
          <w:color w:val="auto"/>
          <w:sz w:val="28"/>
          <w:szCs w:val="28"/>
        </w:rPr>
        <w:t>其他文件</w:t>
      </w:r>
    </w:p>
    <w:p>
      <w:pPr>
        <w:widowControl/>
        <w:adjustRightInd w:val="0"/>
        <w:snapToGrid w:val="0"/>
        <w:spacing w:line="360" w:lineRule="auto"/>
        <w:jc w:val="center"/>
        <w:rPr>
          <w:rFonts w:ascii="宋体"/>
          <w:color w:val="auto"/>
          <w:kern w:val="0"/>
          <w:sz w:val="28"/>
          <w:szCs w:val="28"/>
        </w:rPr>
      </w:pPr>
      <w:r>
        <w:rPr>
          <w:rFonts w:hint="eastAsia" w:ascii="宋体" w:hAnsi="宋体" w:cs="宋体"/>
          <w:b/>
          <w:bCs/>
          <w:color w:val="auto"/>
          <w:kern w:val="0"/>
          <w:sz w:val="28"/>
          <w:szCs w:val="28"/>
        </w:rPr>
        <w:t>中小企业声明函及其相关的充分的证明材料</w:t>
      </w:r>
    </w:p>
    <w:p>
      <w:pPr>
        <w:widowControl/>
        <w:adjustRightInd w:val="0"/>
        <w:snapToGrid w:val="0"/>
        <w:spacing w:line="360" w:lineRule="auto"/>
        <w:jc w:val="center"/>
        <w:rPr>
          <w:rFonts w:ascii="宋体"/>
          <w:b/>
          <w:bCs/>
          <w:color w:val="auto"/>
          <w:kern w:val="0"/>
          <w:sz w:val="28"/>
          <w:szCs w:val="28"/>
        </w:rPr>
      </w:pPr>
      <w:r>
        <w:rPr>
          <w:rFonts w:hint="eastAsia" w:ascii="宋体" w:hAnsi="宋体" w:cs="宋体"/>
          <w:b/>
          <w:bCs/>
          <w:color w:val="auto"/>
          <w:kern w:val="0"/>
          <w:sz w:val="28"/>
          <w:szCs w:val="28"/>
        </w:rPr>
        <w:t>中小企业声明函</w:t>
      </w:r>
    </w:p>
    <w:p>
      <w:pPr>
        <w:widowControl/>
        <w:adjustRightInd w:val="0"/>
        <w:snapToGrid w:val="0"/>
        <w:spacing w:line="360" w:lineRule="auto"/>
        <w:ind w:firstLine="480" w:firstLineChars="200"/>
        <w:jc w:val="center"/>
        <w:rPr>
          <w:rFonts w:ascii="宋体"/>
          <w:color w:val="auto"/>
          <w:kern w:val="0"/>
          <w:sz w:val="24"/>
          <w:szCs w:val="24"/>
        </w:rPr>
      </w:pPr>
      <w:r>
        <w:rPr>
          <w:rFonts w:hint="eastAsia" w:ascii="宋体" w:hAnsi="宋体" w:cs="宋体"/>
          <w:color w:val="auto"/>
          <w:kern w:val="0"/>
          <w:sz w:val="24"/>
          <w:szCs w:val="24"/>
        </w:rPr>
        <w:t>【不属于中小企业的无需填写、递交】</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本公司郑重声明，根据《政府招标促进中小企业发展暂行办法》（财库</w:t>
      </w:r>
      <w:r>
        <w:rPr>
          <w:rFonts w:ascii="宋体" w:hAnsi="宋体" w:cs="宋体"/>
          <w:color w:val="auto"/>
          <w:kern w:val="0"/>
          <w:sz w:val="24"/>
          <w:szCs w:val="24"/>
        </w:rPr>
        <w:t xml:space="preserve">[2011]181 </w:t>
      </w:r>
      <w:r>
        <w:rPr>
          <w:rFonts w:hint="eastAsia" w:ascii="宋体" w:hAnsi="宋体" w:cs="宋体"/>
          <w:color w:val="auto"/>
          <w:kern w:val="0"/>
          <w:sz w:val="24"/>
          <w:szCs w:val="24"/>
        </w:rPr>
        <w:t>号）的规定，本公司为的</w:t>
      </w:r>
      <w:r>
        <w:rPr>
          <w:rFonts w:ascii="宋体" w:hAnsi="宋体" w:cs="宋体"/>
          <w:color w:val="auto"/>
          <w:kern w:val="0"/>
          <w:sz w:val="24"/>
          <w:szCs w:val="24"/>
        </w:rPr>
        <w:t>______</w:t>
      </w:r>
      <w:r>
        <w:rPr>
          <w:rFonts w:hint="eastAsia" w:ascii="宋体" w:hAnsi="宋体" w:cs="宋体"/>
          <w:color w:val="auto"/>
          <w:kern w:val="0"/>
          <w:sz w:val="24"/>
          <w:szCs w:val="24"/>
        </w:rPr>
        <w:t>（请填写：中型、小型、微型）企业。即，本公司同时满足以下条件：</w:t>
      </w:r>
    </w:p>
    <w:p>
      <w:pPr>
        <w:widowControl/>
        <w:adjustRightInd w:val="0"/>
        <w:snapToGrid w:val="0"/>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、根据《工业和信息化部、国家统计局、国家发展和改革委员会、财政部关于印发中小企业划型标准规定的通知》（工信部联企业</w:t>
      </w:r>
      <w:r>
        <w:rPr>
          <w:rFonts w:ascii="宋体" w:hAnsi="宋体" w:cs="宋体"/>
          <w:color w:val="auto"/>
          <w:kern w:val="0"/>
          <w:sz w:val="24"/>
          <w:szCs w:val="24"/>
        </w:rPr>
        <w:t>[2011]300</w:t>
      </w:r>
      <w:r>
        <w:rPr>
          <w:rFonts w:hint="eastAsia" w:ascii="宋体" w:hAnsi="宋体" w:cs="宋体"/>
          <w:color w:val="auto"/>
          <w:kern w:val="0"/>
          <w:sz w:val="24"/>
          <w:szCs w:val="24"/>
        </w:rPr>
        <w:t>号）规定的划分标准，本公司为</w:t>
      </w:r>
      <w:r>
        <w:rPr>
          <w:rFonts w:ascii="宋体" w:hAnsi="宋体" w:cs="宋体"/>
          <w:color w:val="auto"/>
          <w:kern w:val="0"/>
          <w:sz w:val="24"/>
          <w:szCs w:val="24"/>
          <w:u w:val="single"/>
        </w:rPr>
        <w:t>______</w:t>
      </w:r>
      <w:r>
        <w:rPr>
          <w:rFonts w:hint="eastAsia" w:ascii="宋体" w:hAnsi="宋体" w:cs="宋体"/>
          <w:color w:val="auto"/>
          <w:kern w:val="0"/>
          <w:sz w:val="24"/>
          <w:szCs w:val="24"/>
        </w:rPr>
        <w:t>（请填写：中型、小型、微型）企业。</w:t>
      </w:r>
    </w:p>
    <w:p>
      <w:pPr>
        <w:widowControl/>
        <w:adjustRightInd w:val="0"/>
        <w:snapToGrid w:val="0"/>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、本公司参加</w:t>
      </w:r>
      <w:r>
        <w:rPr>
          <w:rFonts w:ascii="宋体" w:hAnsi="宋体" w:cs="宋体"/>
          <w:color w:val="auto"/>
          <w:kern w:val="0"/>
          <w:sz w:val="24"/>
          <w:szCs w:val="24"/>
        </w:rPr>
        <w:t>______</w:t>
      </w:r>
      <w:r>
        <w:rPr>
          <w:rFonts w:hint="eastAsia" w:ascii="宋体" w:hAnsi="宋体" w:cs="宋体"/>
          <w:color w:val="auto"/>
          <w:kern w:val="0"/>
          <w:sz w:val="24"/>
          <w:szCs w:val="24"/>
        </w:rPr>
        <w:t>（招标人）的</w:t>
      </w:r>
      <w:r>
        <w:rPr>
          <w:rFonts w:ascii="宋体" w:hAnsi="宋体" w:cs="宋体"/>
          <w:color w:val="auto"/>
          <w:kern w:val="0"/>
          <w:sz w:val="24"/>
          <w:szCs w:val="24"/>
        </w:rPr>
        <w:t>______</w:t>
      </w:r>
      <w:r>
        <w:rPr>
          <w:rFonts w:hint="eastAsia" w:ascii="宋体" w:hAnsi="宋体" w:cs="宋体"/>
          <w:color w:val="auto"/>
          <w:kern w:val="0"/>
          <w:sz w:val="24"/>
          <w:szCs w:val="24"/>
        </w:rPr>
        <w:t>（项目名称）</w:t>
      </w:r>
      <w:r>
        <w:rPr>
          <w:rFonts w:ascii="宋体" w:hAnsi="宋体" w:cs="宋体"/>
          <w:color w:val="auto"/>
          <w:kern w:val="0"/>
          <w:sz w:val="24"/>
          <w:szCs w:val="24"/>
        </w:rPr>
        <w:t>______</w:t>
      </w:r>
      <w:r>
        <w:rPr>
          <w:rFonts w:hint="eastAsia" w:ascii="宋体" w:hAnsi="宋体" w:cs="宋体"/>
          <w:color w:val="auto"/>
          <w:kern w:val="0"/>
          <w:sz w:val="24"/>
          <w:szCs w:val="24"/>
        </w:rPr>
        <w:t>（标项名称）招标活动提供本企业提供服务，或者提供其他</w:t>
      </w:r>
      <w:r>
        <w:rPr>
          <w:rFonts w:ascii="宋体" w:hAnsi="宋体" w:cs="宋体"/>
          <w:color w:val="auto"/>
          <w:kern w:val="0"/>
          <w:sz w:val="24"/>
          <w:szCs w:val="24"/>
        </w:rPr>
        <w:t>______</w:t>
      </w:r>
      <w:r>
        <w:rPr>
          <w:rFonts w:hint="eastAsia" w:ascii="宋体" w:hAnsi="宋体" w:cs="宋体"/>
          <w:color w:val="auto"/>
          <w:kern w:val="0"/>
          <w:sz w:val="24"/>
          <w:szCs w:val="24"/>
        </w:rPr>
        <w:t>（请填写：中型、小型、微型）企业提供服务（制造商的中小企业声明函另附）。本条所称货物不包括使用大型企业注册商标的货物。</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投标人名称（盖章）：</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widowControl/>
        <w:pBdr>
          <w:bottom w:val="single" w:color="auto" w:sz="6" w:space="1"/>
        </w:pBdr>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填写说明：</w:t>
      </w:r>
    </w:p>
    <w:p>
      <w:pPr>
        <w:widowControl/>
        <w:adjustRightInd w:val="0"/>
        <w:snapToGrid w:val="0"/>
        <w:spacing w:line="360" w:lineRule="auto"/>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）投标人为中型、小型、微型企业的提供此函；</w:t>
      </w:r>
    </w:p>
    <w:p>
      <w:pPr>
        <w:widowControl/>
        <w:adjustRightInd w:val="0"/>
        <w:snapToGrid w:val="0"/>
        <w:spacing w:line="360" w:lineRule="auto"/>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）中型企业不享受价格扣除，小型、微型企业的行业类别由评审专家结合投标人出具的证明材料认定；经认定不符合小型、微型企业标准的，不享受价格扣除；</w:t>
      </w:r>
    </w:p>
    <w:p>
      <w:pPr>
        <w:widowControl/>
        <w:adjustRightInd w:val="0"/>
        <w:snapToGrid w:val="0"/>
        <w:spacing w:line="360" w:lineRule="auto"/>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）所投标项内的产品如由多个企业制造的，在填写企业类型时，按产品生产企业中规模最大的企业类型填写；</w:t>
      </w:r>
    </w:p>
    <w:p>
      <w:pPr>
        <w:widowControl/>
        <w:adjustRightInd w:val="0"/>
        <w:snapToGrid w:val="0"/>
        <w:spacing w:line="360" w:lineRule="auto"/>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）投标产品制造商投标，提供投标人出具的《中小企业声明函》及其相关的充分的证明材料；代理商投标，提供投标人及产品制造商出具的《中小企业声明函》及其相关的充分的证明材料；</w:t>
      </w:r>
    </w:p>
    <w:p>
      <w:pPr>
        <w:widowControl/>
        <w:adjustRightInd w:val="0"/>
        <w:snapToGrid w:val="0"/>
        <w:spacing w:line="360" w:lineRule="auto"/>
        <w:rPr>
          <w:rFonts w:ascii="宋体"/>
          <w:color w:val="auto"/>
          <w:sz w:val="24"/>
          <w:szCs w:val="24"/>
        </w:rPr>
      </w:pPr>
      <w:r>
        <w:rPr>
          <w:rFonts w:hint="eastAsia" w:ascii="宋体" w:hAnsi="宋体" w:cs="宋体"/>
          <w:color w:val="auto"/>
          <w:kern w:val="0"/>
          <w:sz w:val="24"/>
          <w:szCs w:val="24"/>
        </w:rPr>
        <w:t>投标人提供的中小企业声明函与实际情况不符的，视为投标人提供虚假材料投标的，投标无效。</w:t>
      </w:r>
    </w:p>
    <w:p>
      <w:pPr>
        <w:widowControl/>
        <w:adjustRightInd w:val="0"/>
        <w:snapToGrid w:val="0"/>
        <w:spacing w:line="360" w:lineRule="auto"/>
        <w:jc w:val="center"/>
        <w:rPr>
          <w:rFonts w:ascii="宋体"/>
          <w:b/>
          <w:bCs/>
          <w:color w:val="auto"/>
          <w:kern w:val="0"/>
          <w:sz w:val="28"/>
          <w:szCs w:val="28"/>
        </w:rPr>
      </w:pPr>
      <w:r>
        <w:rPr>
          <w:rFonts w:hint="eastAsia" w:ascii="宋体" w:hAnsi="宋体" w:cs="宋体"/>
          <w:b/>
          <w:bCs/>
          <w:color w:val="auto"/>
          <w:kern w:val="0"/>
          <w:sz w:val="28"/>
          <w:szCs w:val="28"/>
        </w:rPr>
        <w:t>监狱企业声明函及其相关的充分的证明材料</w:t>
      </w:r>
    </w:p>
    <w:p>
      <w:pPr>
        <w:widowControl/>
        <w:adjustRightInd w:val="0"/>
        <w:snapToGrid w:val="0"/>
        <w:spacing w:line="360" w:lineRule="auto"/>
        <w:jc w:val="center"/>
        <w:rPr>
          <w:rFonts w:ascii="宋体"/>
          <w:b/>
          <w:bCs/>
          <w:color w:val="auto"/>
          <w:kern w:val="0"/>
          <w:sz w:val="28"/>
          <w:szCs w:val="28"/>
        </w:rPr>
      </w:pPr>
      <w:r>
        <w:rPr>
          <w:rFonts w:hint="eastAsia" w:ascii="宋体" w:hAnsi="宋体" w:cs="宋体"/>
          <w:b/>
          <w:bCs/>
          <w:color w:val="auto"/>
          <w:kern w:val="0"/>
          <w:sz w:val="28"/>
          <w:szCs w:val="28"/>
        </w:rPr>
        <w:t>监狱企业声明函</w:t>
      </w:r>
    </w:p>
    <w:p>
      <w:pPr>
        <w:widowControl/>
        <w:adjustRightInd w:val="0"/>
        <w:snapToGrid w:val="0"/>
        <w:spacing w:line="360" w:lineRule="auto"/>
        <w:ind w:firstLine="480" w:firstLineChars="200"/>
        <w:jc w:val="center"/>
        <w:rPr>
          <w:rFonts w:ascii="宋体"/>
          <w:color w:val="auto"/>
          <w:kern w:val="0"/>
          <w:sz w:val="24"/>
          <w:szCs w:val="24"/>
        </w:rPr>
      </w:pPr>
      <w:r>
        <w:rPr>
          <w:rFonts w:hint="eastAsia" w:ascii="宋体" w:hAnsi="宋体" w:cs="宋体"/>
          <w:color w:val="auto"/>
          <w:kern w:val="0"/>
          <w:sz w:val="24"/>
          <w:szCs w:val="24"/>
        </w:rPr>
        <w:t>【不属于监狱企业的无需填写、递交】</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本公司郑重声明，根据《关于政府招标支持监狱企业发展有关问题的通知》</w:t>
      </w:r>
      <w:r>
        <w:rPr>
          <w:rFonts w:ascii="宋体" w:hAnsi="宋体" w:cs="宋体"/>
          <w:color w:val="auto"/>
          <w:kern w:val="0"/>
          <w:sz w:val="24"/>
          <w:szCs w:val="24"/>
        </w:rPr>
        <w:t xml:space="preserve"> </w:t>
      </w:r>
      <w:r>
        <w:rPr>
          <w:rFonts w:hint="eastAsia" w:ascii="宋体" w:hAnsi="宋体" w:cs="宋体"/>
          <w:color w:val="auto"/>
          <w:kern w:val="0"/>
          <w:sz w:val="24"/>
          <w:szCs w:val="24"/>
        </w:rPr>
        <w:t>（财库</w:t>
      </w:r>
      <w:r>
        <w:rPr>
          <w:rFonts w:ascii="宋体" w:hAnsi="宋体" w:cs="宋体"/>
          <w:color w:val="auto"/>
          <w:kern w:val="0"/>
          <w:sz w:val="24"/>
          <w:szCs w:val="24"/>
        </w:rPr>
        <w:t xml:space="preserve">[2014]68 </w:t>
      </w:r>
      <w:r>
        <w:rPr>
          <w:rFonts w:hint="eastAsia" w:ascii="宋体" w:hAnsi="宋体" w:cs="宋体"/>
          <w:color w:val="auto"/>
          <w:kern w:val="0"/>
          <w:sz w:val="24"/>
          <w:szCs w:val="24"/>
        </w:rPr>
        <w:t>号）的规定，本公司为</w:t>
      </w:r>
      <w:r>
        <w:rPr>
          <w:rFonts w:hint="eastAsia" w:ascii="宋体" w:hAnsi="宋体" w:cs="宋体"/>
          <w:color w:val="auto"/>
          <w:kern w:val="0"/>
          <w:sz w:val="24"/>
          <w:szCs w:val="24"/>
          <w:u w:val="single"/>
        </w:rPr>
        <w:t>监狱企业</w:t>
      </w:r>
      <w:r>
        <w:rPr>
          <w:rFonts w:hint="eastAsia" w:ascii="宋体" w:hAnsi="宋体" w:cs="宋体"/>
          <w:color w:val="auto"/>
          <w:kern w:val="0"/>
          <w:sz w:val="24"/>
          <w:szCs w:val="24"/>
        </w:rPr>
        <w:t>。</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根据上述标准，我公司属于监狱企业的理由为：。</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本公司为参加（</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项目名称</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（项目编号：）招标活动提供本企业提供服务。</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投标人名称（盖章）：</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spacing w:line="360" w:lineRule="auto"/>
        <w:jc w:val="center"/>
        <w:rPr>
          <w:rFonts w:ascii="宋体"/>
          <w:b/>
          <w:bCs/>
          <w:color w:val="auto"/>
          <w:spacing w:val="6"/>
          <w:sz w:val="24"/>
          <w:szCs w:val="24"/>
        </w:rPr>
      </w:pPr>
      <w:bookmarkStart w:id="102" w:name="OLE_LINK13"/>
      <w:bookmarkStart w:id="103" w:name="OLE_LINK14"/>
      <w:r>
        <w:rPr>
          <w:rFonts w:hint="eastAsia" w:ascii="宋体" w:hAnsi="宋体" w:cs="宋体"/>
          <w:b/>
          <w:bCs/>
          <w:color w:val="auto"/>
          <w:spacing w:val="6"/>
          <w:sz w:val="24"/>
          <w:szCs w:val="24"/>
        </w:rPr>
        <w:t>残疾人福利性单位声明函</w:t>
      </w:r>
    </w:p>
    <w:bookmarkEnd w:id="102"/>
    <w:bookmarkEnd w:id="103"/>
    <w:p>
      <w:pPr>
        <w:spacing w:line="360" w:lineRule="auto"/>
        <w:rPr>
          <w:rFonts w:ascii="宋体"/>
          <w:b/>
          <w:bCs/>
          <w:color w:val="auto"/>
          <w:spacing w:val="6"/>
          <w:sz w:val="24"/>
          <w:szCs w:val="24"/>
        </w:rPr>
      </w:pP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本单位郑重声明，根据《财政部</w:t>
      </w:r>
      <w:r>
        <w:rPr>
          <w:rFonts w:ascii="宋体" w:hAnsi="宋体" w:cs="宋体"/>
          <w:color w:val="auto"/>
          <w:kern w:val="0"/>
          <w:sz w:val="24"/>
          <w:szCs w:val="24"/>
        </w:rPr>
        <w:t xml:space="preserve"> </w:t>
      </w:r>
      <w:r>
        <w:rPr>
          <w:rFonts w:hint="eastAsia" w:ascii="宋体" w:hAnsi="宋体" w:cs="宋体"/>
          <w:color w:val="auto"/>
          <w:kern w:val="0"/>
          <w:sz w:val="24"/>
          <w:szCs w:val="24"/>
        </w:rPr>
        <w:t>民政部</w:t>
      </w:r>
      <w:r>
        <w:rPr>
          <w:rFonts w:ascii="宋体" w:hAnsi="宋体" w:cs="宋体"/>
          <w:color w:val="auto"/>
          <w:kern w:val="0"/>
          <w:sz w:val="24"/>
          <w:szCs w:val="24"/>
        </w:rPr>
        <w:t xml:space="preserve"> </w:t>
      </w:r>
      <w:r>
        <w:rPr>
          <w:rFonts w:hint="eastAsia" w:ascii="宋体" w:hAnsi="宋体" w:cs="宋体"/>
          <w:color w:val="auto"/>
          <w:kern w:val="0"/>
          <w:sz w:val="24"/>
          <w:szCs w:val="24"/>
        </w:rPr>
        <w:t>中国残疾人联合会关于促进残疾人就业政府招标政策的通知》（财库〔</w:t>
      </w:r>
      <w:r>
        <w:rPr>
          <w:rFonts w:ascii="宋体" w:hAnsi="宋体" w:cs="宋体"/>
          <w:color w:val="auto"/>
          <w:kern w:val="0"/>
          <w:sz w:val="24"/>
          <w:szCs w:val="24"/>
        </w:rPr>
        <w:t>2018</w:t>
      </w:r>
      <w:r>
        <w:rPr>
          <w:rFonts w:hint="eastAsia" w:ascii="宋体" w:hAnsi="宋体" w:cs="宋体"/>
          <w:color w:val="auto"/>
          <w:kern w:val="0"/>
          <w:sz w:val="24"/>
          <w:szCs w:val="24"/>
        </w:rPr>
        <w:t>〕</w:t>
      </w:r>
      <w:r>
        <w:rPr>
          <w:rFonts w:ascii="宋体" w:hAnsi="宋体" w:cs="宋体"/>
          <w:color w:val="auto"/>
          <w:kern w:val="0"/>
          <w:sz w:val="24"/>
          <w:szCs w:val="24"/>
        </w:rPr>
        <w:t xml:space="preserve"> 141</w:t>
      </w:r>
      <w:r>
        <w:rPr>
          <w:rFonts w:hint="eastAsia" w:ascii="宋体" w:hAnsi="宋体" w:cs="宋体"/>
          <w:color w:val="auto"/>
          <w:kern w:val="0"/>
          <w:sz w:val="24"/>
          <w:szCs w:val="24"/>
        </w:rPr>
        <w:t>号）的规定，本单位为符合条件的残疾人福利性单位，且本单位参加</w:t>
      </w:r>
      <w:r>
        <w:rPr>
          <w:rFonts w:ascii="宋体" w:hAnsi="宋体" w:cs="宋体"/>
          <w:color w:val="auto"/>
          <w:kern w:val="0"/>
          <w:sz w:val="24"/>
          <w:szCs w:val="24"/>
        </w:rPr>
        <w:t>______</w:t>
      </w:r>
      <w:r>
        <w:rPr>
          <w:rFonts w:hint="eastAsia" w:ascii="宋体" w:hAnsi="宋体" w:cs="宋体"/>
          <w:color w:val="auto"/>
          <w:kern w:val="0"/>
          <w:sz w:val="24"/>
          <w:szCs w:val="24"/>
        </w:rPr>
        <w:t>单位的</w:t>
      </w:r>
      <w:r>
        <w:rPr>
          <w:rFonts w:ascii="宋体" w:hAnsi="宋体" w:cs="宋体"/>
          <w:color w:val="auto"/>
          <w:kern w:val="0"/>
          <w:sz w:val="24"/>
          <w:szCs w:val="24"/>
        </w:rPr>
        <w:t>______</w:t>
      </w:r>
      <w:r>
        <w:rPr>
          <w:rFonts w:hint="eastAsia" w:ascii="宋体" w:hAnsi="宋体" w:cs="宋体"/>
          <w:color w:val="auto"/>
          <w:kern w:val="0"/>
          <w:sz w:val="24"/>
          <w:szCs w:val="24"/>
        </w:rPr>
        <w:t>项目招标活动提供本单位制造的货物（由本单位承担工程</w:t>
      </w:r>
      <w:r>
        <w:rPr>
          <w:rFonts w:ascii="宋体" w:hAnsi="宋体" w:cs="宋体"/>
          <w:color w:val="auto"/>
          <w:kern w:val="0"/>
          <w:sz w:val="24"/>
          <w:szCs w:val="24"/>
        </w:rPr>
        <w:t>/</w:t>
      </w:r>
      <w:r>
        <w:rPr>
          <w:rFonts w:hint="eastAsia" w:ascii="宋体" w:hAnsi="宋体" w:cs="宋体"/>
          <w:color w:val="auto"/>
          <w:kern w:val="0"/>
          <w:sz w:val="24"/>
          <w:szCs w:val="24"/>
        </w:rPr>
        <w:t>提供服务），或者提供其他残疾人福利性单位制造的货物（不包括使用非残疾人福利性单位注册商标的货物）。</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单位名称（盖章）：</w:t>
      </w:r>
    </w:p>
    <w:p>
      <w:pPr>
        <w:widowControl/>
        <w:adjustRightInd w:val="0"/>
        <w:snapToGrid w:val="0"/>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日</w:t>
      </w:r>
      <w:r>
        <w:rPr>
          <w:rFonts w:ascii="宋体" w:hAnsi="宋体" w:cs="宋体"/>
          <w:color w:val="auto"/>
          <w:kern w:val="0"/>
          <w:sz w:val="24"/>
          <w:szCs w:val="24"/>
        </w:rPr>
        <w:t xml:space="preserve">  </w:t>
      </w:r>
      <w:r>
        <w:rPr>
          <w:rFonts w:hint="eastAsia" w:ascii="宋体" w:hAnsi="宋体" w:cs="宋体"/>
          <w:color w:val="auto"/>
          <w:kern w:val="0"/>
          <w:sz w:val="24"/>
          <w:szCs w:val="24"/>
        </w:rPr>
        <w:t>期：</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扶持政策说明：</w:t>
      </w:r>
    </w:p>
    <w:p>
      <w:pPr>
        <w:widowControl/>
        <w:adjustRightInd w:val="0"/>
        <w:snapToGrid w:val="0"/>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、根据财政部、工业和信息化部制定的《政府采购促进中小企业发展暂行办法》和转发财政部工业和信息化部关于印发《政府采购促进中小企业发展暂行办法》的通知（浙财采监</w:t>
      </w:r>
      <w:r>
        <w:rPr>
          <w:rFonts w:ascii="宋体" w:hAnsi="宋体" w:cs="宋体"/>
          <w:color w:val="auto"/>
          <w:kern w:val="0"/>
          <w:sz w:val="24"/>
          <w:szCs w:val="24"/>
        </w:rPr>
        <w:t>[2012]11</w:t>
      </w:r>
      <w:r>
        <w:rPr>
          <w:rFonts w:hint="eastAsia" w:ascii="宋体" w:hAnsi="宋体" w:cs="宋体"/>
          <w:color w:val="auto"/>
          <w:kern w:val="0"/>
          <w:sz w:val="24"/>
          <w:szCs w:val="24"/>
        </w:rPr>
        <w:t>号），对小型或微型企业的投标报价给予</w:t>
      </w:r>
      <w:r>
        <w:rPr>
          <w:rFonts w:ascii="宋体" w:hAnsi="宋体" w:cs="宋体"/>
          <w:color w:val="auto"/>
          <w:kern w:val="0"/>
          <w:sz w:val="24"/>
          <w:szCs w:val="24"/>
        </w:rPr>
        <w:t>6%</w:t>
      </w:r>
      <w:r>
        <w:rPr>
          <w:rFonts w:hint="eastAsia" w:ascii="宋体" w:hAnsi="宋体" w:cs="宋体"/>
          <w:color w:val="auto"/>
          <w:kern w:val="0"/>
          <w:sz w:val="24"/>
          <w:szCs w:val="24"/>
        </w:rPr>
        <w:t>的扣除，并用扣除后的价格计算价格评分。</w:t>
      </w:r>
    </w:p>
    <w:p>
      <w:pPr>
        <w:widowControl/>
        <w:adjustRightInd w:val="0"/>
        <w:snapToGrid w:val="0"/>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、监狱企业视同小微企业，参加本项目投标的，享受小微企业同等的价格扣除。【注：提供《监狱企业声明函》及其相关的充分的证明材料】。</w:t>
      </w:r>
    </w:p>
    <w:p>
      <w:pPr>
        <w:widowControl/>
        <w:adjustRightInd w:val="0"/>
        <w:snapToGrid w:val="0"/>
        <w:spacing w:line="360" w:lineRule="auto"/>
        <w:ind w:firstLine="480" w:firstLineChars="200"/>
        <w:jc w:val="left"/>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、残疾人福利性单位参加投标【提供《残疾人福利性单位声明函》】，视为小型、微型企业，享受小微企业政策扶持。</w:t>
      </w:r>
    </w:p>
    <w:bookmarkEnd w:id="98"/>
    <w:p>
      <w:pPr>
        <w:pStyle w:val="31"/>
        <w:spacing w:line="360" w:lineRule="auto"/>
        <w:ind w:left="360" w:firstLine="0" w:firstLineChars="0"/>
        <w:rPr>
          <w:rFonts w:ascii="宋体"/>
          <w:b/>
          <w:bCs/>
          <w:color w:val="auto"/>
          <w:sz w:val="32"/>
          <w:szCs w:val="32"/>
        </w:rPr>
      </w:pPr>
      <w:r>
        <w:rPr>
          <w:rFonts w:ascii="宋体" w:hAnsi="宋体" w:cs="宋体"/>
          <w:b/>
          <w:bCs/>
          <w:color w:val="auto"/>
          <w:sz w:val="32"/>
          <w:szCs w:val="32"/>
        </w:rPr>
        <w:t xml:space="preserve">               </w:t>
      </w:r>
      <w:r>
        <w:rPr>
          <w:rFonts w:ascii="宋体" w:hAnsi="宋体" w:cs="宋体"/>
          <w:b/>
          <w:bCs/>
          <w:color w:val="auto"/>
          <w:sz w:val="32"/>
          <w:szCs w:val="32"/>
        </w:rPr>
        <w:br w:type="textWrapping"/>
      </w:r>
      <w:r>
        <w:rPr>
          <w:rFonts w:ascii="宋体" w:hAnsi="宋体" w:cs="宋体"/>
          <w:b/>
          <w:bCs/>
          <w:color w:val="auto"/>
          <w:sz w:val="32"/>
          <w:szCs w:val="32"/>
        </w:rPr>
        <w:br w:type="textWrapping"/>
      </w:r>
      <w:r>
        <w:rPr>
          <w:rFonts w:ascii="宋体" w:hAnsi="宋体" w:cs="宋体"/>
          <w:b/>
          <w:bCs/>
          <w:color w:val="auto"/>
          <w:sz w:val="32"/>
          <w:szCs w:val="32"/>
        </w:rPr>
        <w:br w:type="textWrapping"/>
      </w:r>
      <w:r>
        <w:rPr>
          <w:rFonts w:ascii="宋体" w:hAnsi="宋体" w:cs="宋体"/>
          <w:b/>
          <w:bCs/>
          <w:color w:val="auto"/>
          <w:sz w:val="32"/>
          <w:szCs w:val="32"/>
        </w:rPr>
        <w:br w:type="textWrapping"/>
      </w:r>
      <w:r>
        <w:rPr>
          <w:rFonts w:ascii="宋体" w:hAnsi="宋体" w:cs="宋体"/>
          <w:b/>
          <w:bCs/>
          <w:color w:val="auto"/>
          <w:sz w:val="32"/>
          <w:szCs w:val="32"/>
        </w:rPr>
        <w:br w:type="textWrapping"/>
      </w: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0" w:firstLineChars="0"/>
        <w:rPr>
          <w:rFonts w:ascii="宋体"/>
          <w:b/>
          <w:bCs/>
          <w:color w:val="auto"/>
          <w:sz w:val="32"/>
          <w:szCs w:val="32"/>
        </w:rPr>
      </w:pPr>
    </w:p>
    <w:p>
      <w:pPr>
        <w:pStyle w:val="31"/>
        <w:spacing w:line="360" w:lineRule="auto"/>
        <w:ind w:left="360" w:firstLine="2249" w:firstLineChars="700"/>
        <w:rPr>
          <w:rFonts w:ascii="宋体"/>
          <w:b/>
          <w:bCs/>
          <w:color w:val="auto"/>
          <w:sz w:val="32"/>
          <w:szCs w:val="32"/>
        </w:rPr>
      </w:pPr>
    </w:p>
    <w:p>
      <w:pPr>
        <w:pStyle w:val="31"/>
        <w:spacing w:line="360" w:lineRule="auto"/>
        <w:ind w:left="360" w:firstLine="2249" w:firstLineChars="700"/>
        <w:rPr>
          <w:rFonts w:ascii="宋体"/>
          <w:b/>
          <w:bCs/>
          <w:color w:val="auto"/>
          <w:sz w:val="32"/>
          <w:szCs w:val="32"/>
        </w:rPr>
      </w:pPr>
    </w:p>
    <w:p>
      <w:pPr>
        <w:pStyle w:val="31"/>
        <w:spacing w:line="360" w:lineRule="auto"/>
        <w:ind w:left="360" w:firstLine="2520" w:firstLineChars="700"/>
        <w:rPr>
          <w:rFonts w:ascii="宋体"/>
          <w:b/>
          <w:bCs/>
          <w:color w:val="auto"/>
          <w:kern w:val="0"/>
          <w:sz w:val="36"/>
          <w:szCs w:val="36"/>
        </w:rPr>
      </w:pPr>
      <w:r>
        <w:rPr>
          <w:rFonts w:hint="eastAsia" w:ascii="宋体" w:hAnsi="宋体" w:cs="宋体"/>
          <w:color w:val="auto"/>
          <w:sz w:val="36"/>
          <w:szCs w:val="36"/>
          <w:lang w:val="zh-CN"/>
        </w:rPr>
        <w:t>▲</w:t>
      </w:r>
      <w:r>
        <w:rPr>
          <w:rFonts w:hint="eastAsia" w:ascii="宋体" w:hAnsi="宋体" w:cs="宋体"/>
          <w:b/>
          <w:bCs/>
          <w:color w:val="auto"/>
          <w:kern w:val="0"/>
          <w:sz w:val="36"/>
          <w:szCs w:val="36"/>
        </w:rPr>
        <w:t>商务技术文件</w:t>
      </w:r>
    </w:p>
    <w:p>
      <w:pPr>
        <w:shd w:val="clear" w:color="auto" w:fill="FFFFFF"/>
        <w:spacing w:line="360" w:lineRule="auto"/>
        <w:jc w:val="center"/>
        <w:rPr>
          <w:rFonts w:ascii="宋体"/>
          <w:b/>
          <w:bCs/>
          <w:color w:val="auto"/>
          <w:kern w:val="0"/>
          <w:sz w:val="32"/>
          <w:szCs w:val="32"/>
        </w:rPr>
      </w:pPr>
      <w:r>
        <w:rPr>
          <w:rFonts w:hint="eastAsia" w:ascii="宋体" w:hAnsi="宋体" w:cs="宋体"/>
          <w:b/>
          <w:bCs/>
          <w:color w:val="auto"/>
          <w:kern w:val="0"/>
          <w:sz w:val="32"/>
          <w:szCs w:val="32"/>
        </w:rPr>
        <w:t>目录</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）法定代表人授权委托书……………………………………………（页码）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）法定代表人及授权委托人的身份证………………………………（页码）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）声明书………………………………………………………………（页码）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w:t>
      </w:r>
      <w:r>
        <w:rPr>
          <w:rFonts w:hint="eastAsia" w:ascii="宋体" w:hAnsi="宋体" w:cs="宋体"/>
          <w:color w:val="auto"/>
          <w:sz w:val="24"/>
          <w:szCs w:val="24"/>
          <w:lang w:val="zh-CN"/>
        </w:rPr>
        <w:t>提供</w:t>
      </w:r>
      <w:r>
        <w:rPr>
          <w:rFonts w:ascii="宋体" w:hAnsi="宋体" w:cs="宋体"/>
          <w:color w:val="auto"/>
          <w:sz w:val="24"/>
          <w:szCs w:val="24"/>
          <w:lang w:val="zh-CN"/>
        </w:rPr>
        <w:t>201</w:t>
      </w:r>
      <w:r>
        <w:rPr>
          <w:rFonts w:ascii="宋体" w:hAnsi="宋体" w:cs="宋体"/>
          <w:color w:val="auto"/>
          <w:sz w:val="24"/>
          <w:szCs w:val="24"/>
        </w:rPr>
        <w:t>7</w:t>
      </w:r>
      <w:r>
        <w:rPr>
          <w:rFonts w:hint="eastAsia" w:ascii="宋体" w:hAnsi="宋体" w:cs="宋体"/>
          <w:color w:val="auto"/>
          <w:sz w:val="24"/>
          <w:szCs w:val="24"/>
          <w:lang w:val="zh-CN"/>
        </w:rPr>
        <w:t>年来类似项目成功案例合同复印件</w:t>
      </w:r>
      <w:r>
        <w:rPr>
          <w:rFonts w:hint="eastAsia" w:ascii="宋体" w:hAnsi="宋体" w:cs="宋体"/>
          <w:color w:val="auto"/>
          <w:kern w:val="0"/>
          <w:sz w:val="24"/>
          <w:szCs w:val="24"/>
        </w:rPr>
        <w:t>……………………（页码）</w:t>
      </w:r>
    </w:p>
    <w:p>
      <w:pPr>
        <w:shd w:val="clear" w:color="auto" w:fill="FFFFFF"/>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）针对本项目的理解及技术解决方案………………</w:t>
      </w:r>
      <w:r>
        <w:rPr>
          <w:rFonts w:hint="eastAsia" w:ascii="宋体" w:hAnsi="宋体" w:cs="宋体"/>
          <w:color w:val="auto"/>
          <w:kern w:val="0"/>
          <w:sz w:val="24"/>
          <w:szCs w:val="24"/>
        </w:rPr>
        <w:t>…………</w:t>
      </w:r>
      <w:r>
        <w:rPr>
          <w:rFonts w:hint="eastAsia" w:ascii="宋体" w:hAnsi="宋体" w:cs="宋体"/>
          <w:color w:val="auto"/>
          <w:sz w:val="24"/>
          <w:szCs w:val="24"/>
        </w:rPr>
        <w:t>……（页码）</w:t>
      </w:r>
    </w:p>
    <w:p>
      <w:pPr>
        <w:shd w:val="clear" w:color="auto" w:fill="FFFFFF"/>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）针对本项目的具体实施方案…………………………</w:t>
      </w:r>
      <w:r>
        <w:rPr>
          <w:rFonts w:hint="eastAsia" w:ascii="宋体" w:hAnsi="宋体" w:cs="宋体"/>
          <w:color w:val="auto"/>
          <w:kern w:val="0"/>
          <w:sz w:val="24"/>
          <w:szCs w:val="24"/>
        </w:rPr>
        <w:t>……………</w:t>
      </w:r>
      <w:r>
        <w:rPr>
          <w:rFonts w:hint="eastAsia" w:ascii="宋体" w:hAnsi="宋体" w:cs="宋体"/>
          <w:color w:val="auto"/>
          <w:sz w:val="24"/>
          <w:szCs w:val="24"/>
        </w:rPr>
        <w:t>（页码）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7</w:t>
      </w:r>
      <w:r>
        <w:rPr>
          <w:rFonts w:hint="eastAsia" w:ascii="宋体" w:hAnsi="宋体" w:cs="宋体"/>
          <w:color w:val="auto"/>
          <w:kern w:val="0"/>
          <w:sz w:val="24"/>
          <w:szCs w:val="24"/>
        </w:rPr>
        <w:t>）技术思路、工作部署及项目进度安排……………………………（页码）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8</w:t>
      </w:r>
      <w:r>
        <w:rPr>
          <w:rFonts w:hint="eastAsia" w:ascii="宋体" w:hAnsi="宋体" w:cs="宋体"/>
          <w:color w:val="auto"/>
          <w:kern w:val="0"/>
          <w:sz w:val="24"/>
          <w:szCs w:val="24"/>
        </w:rPr>
        <w:t>）针对本项目所投入的人员配置……………………………………（页码）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9</w:t>
      </w:r>
      <w:r>
        <w:rPr>
          <w:rFonts w:hint="eastAsia" w:ascii="宋体" w:hAnsi="宋体" w:cs="宋体"/>
          <w:color w:val="auto"/>
          <w:kern w:val="0"/>
          <w:sz w:val="24"/>
          <w:szCs w:val="24"/>
        </w:rPr>
        <w:t>）培训计划…………………………………………………（页码）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10</w:t>
      </w:r>
      <w:r>
        <w:rPr>
          <w:rFonts w:hint="eastAsia" w:ascii="宋体" w:hAnsi="宋体" w:cs="宋体"/>
          <w:color w:val="auto"/>
          <w:kern w:val="0"/>
          <w:sz w:val="24"/>
          <w:szCs w:val="24"/>
        </w:rPr>
        <w:t>）售后服务方案…………………………………………（页码）</w:t>
      </w:r>
    </w:p>
    <w:p>
      <w:pPr>
        <w:shd w:val="clear" w:color="auto" w:fill="FFFFFF"/>
        <w:adjustRightInd w:val="0"/>
        <w:snapToGrid w:val="0"/>
        <w:spacing w:line="360" w:lineRule="auto"/>
        <w:rPr>
          <w:rFonts w:ascii="宋体"/>
          <w:color w:val="auto"/>
          <w:sz w:val="24"/>
          <w:szCs w:val="24"/>
        </w:rPr>
      </w:pPr>
      <w:r>
        <w:rPr>
          <w:rFonts w:hint="eastAsia" w:ascii="宋体" w:hAnsi="宋体" w:cs="宋体"/>
          <w:color w:val="auto"/>
          <w:kern w:val="0"/>
          <w:sz w:val="24"/>
          <w:szCs w:val="24"/>
        </w:rPr>
        <w:t>（</w:t>
      </w:r>
      <w:r>
        <w:rPr>
          <w:rFonts w:ascii="宋体" w:hAnsi="宋体" w:cs="宋体"/>
          <w:color w:val="auto"/>
          <w:kern w:val="0"/>
          <w:sz w:val="24"/>
          <w:szCs w:val="24"/>
        </w:rPr>
        <w:t>11</w:t>
      </w:r>
      <w:r>
        <w:rPr>
          <w:rFonts w:hint="eastAsia" w:ascii="宋体" w:hAnsi="宋体" w:cs="宋体"/>
          <w:color w:val="auto"/>
          <w:kern w:val="0"/>
          <w:sz w:val="24"/>
          <w:szCs w:val="24"/>
        </w:rPr>
        <w:t>）针对本项目的合理化建议和改进措施…………</w:t>
      </w:r>
      <w:r>
        <w:rPr>
          <w:rFonts w:hint="eastAsia" w:ascii="宋体" w:hAnsi="宋体" w:cs="宋体"/>
          <w:color w:val="auto"/>
          <w:sz w:val="24"/>
          <w:szCs w:val="24"/>
        </w:rPr>
        <w:t>…………………（页码）</w:t>
      </w:r>
    </w:p>
    <w:p>
      <w:pPr>
        <w:shd w:val="clear" w:color="auto" w:fill="FFFFFF"/>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12</w:t>
      </w:r>
      <w:r>
        <w:rPr>
          <w:rFonts w:hint="eastAsia" w:ascii="宋体" w:hAnsi="宋体" w:cs="宋体"/>
          <w:color w:val="auto"/>
          <w:sz w:val="24"/>
          <w:szCs w:val="24"/>
        </w:rPr>
        <w:t>）优惠条件及承诺………………………………</w:t>
      </w:r>
      <w:r>
        <w:rPr>
          <w:rFonts w:hint="eastAsia" w:ascii="宋体" w:hAnsi="宋体" w:cs="宋体"/>
          <w:color w:val="auto"/>
          <w:sz w:val="24"/>
          <w:szCs w:val="24"/>
        </w:rPr>
        <w:t>………</w:t>
      </w:r>
      <w:r>
        <w:rPr>
          <w:rFonts w:hint="eastAsia" w:ascii="宋体" w:hAnsi="宋体" w:cs="宋体"/>
          <w:color w:val="auto"/>
          <w:kern w:val="0"/>
          <w:sz w:val="24"/>
          <w:szCs w:val="24"/>
        </w:rPr>
        <w:t>………</w:t>
      </w:r>
      <w:r>
        <w:rPr>
          <w:rFonts w:hint="eastAsia" w:ascii="宋体" w:hAnsi="宋体" w:cs="宋体"/>
          <w:color w:val="auto"/>
          <w:sz w:val="24"/>
          <w:szCs w:val="24"/>
        </w:rPr>
        <w:t>…</w:t>
      </w:r>
      <w:r>
        <w:rPr>
          <w:rFonts w:hint="eastAsia" w:ascii="宋体" w:hAnsi="宋体" w:cs="宋体"/>
          <w:color w:val="auto"/>
          <w:kern w:val="0"/>
          <w:sz w:val="24"/>
          <w:szCs w:val="24"/>
        </w:rPr>
        <w:t>…</w:t>
      </w:r>
      <w:r>
        <w:rPr>
          <w:rFonts w:hint="eastAsia" w:ascii="宋体" w:hAnsi="宋体" w:cs="宋体"/>
          <w:color w:val="auto"/>
          <w:sz w:val="24"/>
          <w:szCs w:val="24"/>
        </w:rPr>
        <w:t>（页码）</w:t>
      </w:r>
      <w:r>
        <w:rPr>
          <w:rFonts w:ascii="宋体"/>
          <w:color w:val="auto"/>
          <w:sz w:val="24"/>
          <w:szCs w:val="24"/>
        </w:rPr>
        <w:br w:type="textWrapping"/>
      </w:r>
      <w:r>
        <w:rPr>
          <w:rFonts w:hint="eastAsia" w:ascii="宋体" w:hAnsi="宋体" w:cs="宋体"/>
          <w:color w:val="auto"/>
          <w:sz w:val="24"/>
          <w:szCs w:val="24"/>
        </w:rPr>
        <w:t>（</w:t>
      </w:r>
      <w:r>
        <w:rPr>
          <w:rFonts w:ascii="宋体" w:hAnsi="宋体" w:cs="宋体"/>
          <w:color w:val="auto"/>
          <w:sz w:val="24"/>
          <w:szCs w:val="24"/>
        </w:rPr>
        <w:t>13</w:t>
      </w:r>
      <w:r>
        <w:rPr>
          <w:rFonts w:hint="eastAsia" w:ascii="宋体" w:hAnsi="宋体" w:cs="宋体"/>
          <w:color w:val="auto"/>
          <w:sz w:val="24"/>
          <w:szCs w:val="24"/>
        </w:rPr>
        <w:t>）商务技术偏离表………………………………</w:t>
      </w:r>
      <w:r>
        <w:rPr>
          <w:rFonts w:hint="eastAsia" w:ascii="宋体" w:hAnsi="宋体" w:cs="宋体"/>
          <w:color w:val="auto"/>
          <w:sz w:val="24"/>
          <w:szCs w:val="24"/>
        </w:rPr>
        <w:t>……</w:t>
      </w:r>
      <w:r>
        <w:rPr>
          <w:rFonts w:hint="eastAsia" w:ascii="宋体" w:hAnsi="宋体" w:cs="宋体"/>
          <w:color w:val="auto"/>
          <w:kern w:val="0"/>
          <w:sz w:val="24"/>
          <w:szCs w:val="24"/>
        </w:rPr>
        <w:t>………</w:t>
      </w:r>
      <w:r>
        <w:rPr>
          <w:rFonts w:hint="eastAsia" w:ascii="宋体" w:hAnsi="宋体" w:cs="宋体"/>
          <w:color w:val="auto"/>
          <w:sz w:val="24"/>
          <w:szCs w:val="24"/>
        </w:rPr>
        <w:t>……</w:t>
      </w:r>
      <w:r>
        <w:rPr>
          <w:rFonts w:hint="eastAsia" w:ascii="宋体" w:hAnsi="宋体" w:cs="宋体"/>
          <w:color w:val="auto"/>
          <w:kern w:val="0"/>
          <w:sz w:val="24"/>
          <w:szCs w:val="24"/>
        </w:rPr>
        <w:t>…</w:t>
      </w:r>
      <w:r>
        <w:rPr>
          <w:rFonts w:hint="eastAsia" w:ascii="宋体" w:hAnsi="宋体" w:cs="宋体"/>
          <w:color w:val="auto"/>
          <w:sz w:val="24"/>
          <w:szCs w:val="24"/>
        </w:rPr>
        <w:t>（页码）</w:t>
      </w:r>
    </w:p>
    <w:p>
      <w:pPr>
        <w:shd w:val="clear" w:color="auto" w:fill="FFFFFF"/>
        <w:adjustRightInd w:val="0"/>
        <w:snapToGrid w:val="0"/>
        <w:spacing w:line="360" w:lineRule="auto"/>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14</w:t>
      </w:r>
      <w:r>
        <w:rPr>
          <w:rFonts w:hint="eastAsia" w:ascii="宋体" w:hAnsi="宋体" w:cs="宋体"/>
          <w:color w:val="auto"/>
          <w:sz w:val="24"/>
          <w:szCs w:val="24"/>
        </w:rPr>
        <w:t>）其他商务技术文件或说明……………………………</w:t>
      </w:r>
      <w:r>
        <w:rPr>
          <w:rFonts w:hint="eastAsia" w:ascii="宋体" w:hAnsi="宋体" w:cs="宋体"/>
          <w:color w:val="auto"/>
          <w:sz w:val="24"/>
          <w:szCs w:val="24"/>
        </w:rPr>
        <w:t>…………</w:t>
      </w:r>
      <w:r>
        <w:rPr>
          <w:rFonts w:hint="eastAsia" w:ascii="宋体" w:hAnsi="宋体" w:cs="宋体"/>
          <w:color w:val="auto"/>
          <w:kern w:val="0"/>
          <w:sz w:val="24"/>
          <w:szCs w:val="24"/>
        </w:rPr>
        <w:t>…</w:t>
      </w:r>
      <w:r>
        <w:rPr>
          <w:rFonts w:hint="eastAsia" w:ascii="宋体" w:hAnsi="宋体" w:cs="宋体"/>
          <w:color w:val="auto"/>
          <w:sz w:val="24"/>
          <w:szCs w:val="24"/>
        </w:rPr>
        <w:t>（页码）</w:t>
      </w:r>
    </w:p>
    <w:p>
      <w:pPr>
        <w:shd w:val="clear" w:color="auto" w:fill="FFFFFF"/>
        <w:spacing w:line="360" w:lineRule="auto"/>
        <w:rPr>
          <w:rFonts w:ascii="宋体"/>
          <w:b/>
          <w:bCs/>
          <w:color w:val="auto"/>
          <w:sz w:val="24"/>
          <w:szCs w:val="24"/>
        </w:rPr>
      </w:pPr>
      <w:r>
        <w:rPr>
          <w:rFonts w:hint="eastAsia" w:ascii="宋体" w:hAnsi="宋体" w:cs="宋体"/>
          <w:b/>
          <w:bCs/>
          <w:color w:val="auto"/>
          <w:sz w:val="24"/>
          <w:szCs w:val="24"/>
        </w:rPr>
        <w:t>注：以上目录是编制商务技术文件的基本格式要求，各投标人可根据自身情况进一步细化。</w:t>
      </w:r>
    </w:p>
    <w:p>
      <w:pPr>
        <w:pageBreakBefore/>
        <w:shd w:val="clear" w:color="auto" w:fill="FFFFFF"/>
        <w:adjustRightInd w:val="0"/>
        <w:snapToGrid w:val="0"/>
        <w:spacing w:line="360" w:lineRule="auto"/>
        <w:jc w:val="center"/>
        <w:outlineLvl w:val="2"/>
        <w:rPr>
          <w:rFonts w:ascii="宋体"/>
          <w:b/>
          <w:bCs/>
          <w:color w:val="auto"/>
          <w:kern w:val="0"/>
          <w:sz w:val="30"/>
          <w:szCs w:val="30"/>
          <w:lang w:val="zh-CN"/>
        </w:rPr>
      </w:pPr>
      <w:bookmarkStart w:id="104" w:name="_Toc361217436"/>
      <w:bookmarkStart w:id="105" w:name="_Toc354996709"/>
      <w:bookmarkStart w:id="106" w:name="_Toc445387595"/>
      <w:r>
        <w:rPr>
          <w:rFonts w:hint="eastAsia" w:ascii="宋体" w:hAnsi="宋体" w:cs="宋体"/>
          <w:b/>
          <w:bCs/>
          <w:color w:val="auto"/>
          <w:kern w:val="0"/>
          <w:sz w:val="30"/>
          <w:szCs w:val="30"/>
          <w:lang w:val="zh-CN"/>
        </w:rPr>
        <w:t>一、法定代表人授权委托书</w:t>
      </w:r>
    </w:p>
    <w:p>
      <w:pPr>
        <w:shd w:val="clear" w:color="auto" w:fill="FFFFFF"/>
        <w:spacing w:line="360" w:lineRule="auto"/>
        <w:rPr>
          <w:rFonts w:ascii="宋体"/>
          <w:color w:val="auto"/>
          <w:sz w:val="24"/>
          <w:szCs w:val="24"/>
        </w:rPr>
      </w:pPr>
      <w:r>
        <w:rPr>
          <w:rFonts w:hint="eastAsia" w:ascii="宋体" w:hAnsi="宋体" w:cs="宋体"/>
          <w:color w:val="auto"/>
          <w:sz w:val="24"/>
          <w:szCs w:val="24"/>
        </w:rPr>
        <w:t>杭州市射击射箭运动中心、浙江联通工程咨询有限公司</w:t>
      </w:r>
      <w:r>
        <w:rPr>
          <w:rFonts w:hint="eastAsia" w:ascii="宋体" w:hAnsi="宋体" w:cs="宋体"/>
          <w:color w:val="auto"/>
          <w:kern w:val="0"/>
          <w:sz w:val="24"/>
          <w:szCs w:val="24"/>
          <w:lang w:val="zh-CN"/>
        </w:rPr>
        <w:t>：</w:t>
      </w:r>
    </w:p>
    <w:p>
      <w:pPr>
        <w:spacing w:line="360" w:lineRule="auto"/>
        <w:ind w:firstLine="600" w:firstLineChars="250"/>
        <w:rPr>
          <w:rFonts w:ascii="宋体"/>
          <w:color w:val="auto"/>
          <w:kern w:val="0"/>
          <w:sz w:val="24"/>
          <w:szCs w:val="24"/>
        </w:rPr>
      </w:pPr>
      <w:r>
        <w:rPr>
          <w:rFonts w:hint="eastAsia" w:ascii="宋体" w:hAnsi="宋体" w:cs="宋体"/>
          <w:color w:val="auto"/>
          <w:kern w:val="0"/>
          <w:sz w:val="24"/>
          <w:szCs w:val="24"/>
          <w:lang w:val="zh-CN"/>
        </w:rPr>
        <w:t>兹委派我公司</w:t>
      </w:r>
      <w:r>
        <w:rPr>
          <w:rFonts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先生</w:t>
      </w:r>
      <w:r>
        <w:rPr>
          <w:rFonts w:ascii="宋体" w:hAnsi="宋体" w:cs="宋体"/>
          <w:color w:val="auto"/>
          <w:kern w:val="0"/>
          <w:sz w:val="24"/>
          <w:szCs w:val="24"/>
          <w:lang w:val="zh-CN"/>
        </w:rPr>
        <w:t>/</w:t>
      </w:r>
      <w:r>
        <w:rPr>
          <w:rFonts w:hint="eastAsia" w:ascii="宋体" w:hAnsi="宋体" w:cs="宋体"/>
          <w:color w:val="auto"/>
          <w:kern w:val="0"/>
          <w:sz w:val="24"/>
          <w:szCs w:val="24"/>
          <w:lang w:val="zh-CN"/>
        </w:rPr>
        <w:t>女士</w:t>
      </w:r>
      <w:r>
        <w:rPr>
          <w:rFonts w:ascii="宋体" w:hAnsi="宋体" w:cs="宋体"/>
          <w:color w:val="auto"/>
          <w:kern w:val="0"/>
          <w:sz w:val="24"/>
          <w:szCs w:val="24"/>
          <w:lang w:val="zh-CN"/>
        </w:rPr>
        <w:t>(</w:t>
      </w:r>
      <w:r>
        <w:rPr>
          <w:rFonts w:hint="eastAsia" w:ascii="宋体" w:hAnsi="宋体" w:cs="宋体"/>
          <w:color w:val="auto"/>
          <w:kern w:val="0"/>
          <w:sz w:val="24"/>
          <w:szCs w:val="24"/>
          <w:lang w:val="zh-CN"/>
        </w:rPr>
        <w:t>其在本公司的职务是：</w:t>
      </w:r>
      <w:r>
        <w:rPr>
          <w:rFonts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，联系电话：</w:t>
      </w:r>
      <w:r>
        <w:rPr>
          <w:rFonts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手机：</w:t>
      </w:r>
      <w:r>
        <w:rPr>
          <w:rFonts w:ascii="宋体" w:hAnsi="宋体" w:cs="宋体"/>
          <w:color w:val="auto"/>
          <w:kern w:val="0"/>
          <w:sz w:val="24"/>
          <w:szCs w:val="24"/>
          <w:u w:val="single"/>
          <w:lang w:val="zh-CN"/>
        </w:rPr>
        <w:t xml:space="preserve">        </w:t>
      </w:r>
      <w:r>
        <w:rPr>
          <w:rFonts w:hint="eastAsia" w:ascii="宋体" w:hAnsi="宋体" w:cs="宋体"/>
          <w:color w:val="auto"/>
          <w:kern w:val="0"/>
          <w:sz w:val="24"/>
          <w:szCs w:val="24"/>
          <w:lang w:val="zh-CN"/>
        </w:rPr>
        <w:t>传真：</w:t>
      </w:r>
      <w:r>
        <w:rPr>
          <w:rFonts w:ascii="宋体" w:hAnsi="宋体" w:cs="宋体"/>
          <w:color w:val="auto"/>
          <w:kern w:val="0"/>
          <w:sz w:val="24"/>
          <w:szCs w:val="24"/>
          <w:u w:val="single"/>
          <w:lang w:val="zh-CN"/>
        </w:rPr>
        <w:t xml:space="preserve">           </w:t>
      </w:r>
      <w:r>
        <w:rPr>
          <w:rFonts w:ascii="宋体" w:hAnsi="宋体" w:cs="宋体"/>
          <w:color w:val="auto"/>
          <w:kern w:val="0"/>
          <w:sz w:val="24"/>
          <w:szCs w:val="24"/>
          <w:lang w:val="zh-CN"/>
        </w:rPr>
        <w:t>)</w:t>
      </w:r>
      <w:r>
        <w:rPr>
          <w:rFonts w:hint="eastAsia" w:ascii="宋体" w:hAnsi="宋体" w:cs="宋体"/>
          <w:color w:val="auto"/>
          <w:kern w:val="0"/>
          <w:sz w:val="24"/>
          <w:szCs w:val="24"/>
          <w:lang w:val="zh-CN"/>
        </w:rPr>
        <w:t>，代表我公司全权处理</w:t>
      </w:r>
      <w:r>
        <w:rPr>
          <w:rFonts w:ascii="宋体" w:hAnsi="宋体" w:cs="宋体"/>
          <w:color w:val="auto"/>
          <w:sz w:val="24"/>
          <w:szCs w:val="24"/>
        </w:rPr>
        <w:t>2020</w:t>
      </w:r>
      <w:r>
        <w:rPr>
          <w:rFonts w:hint="eastAsia" w:ascii="宋体" w:hAnsi="宋体" w:cs="宋体"/>
          <w:color w:val="auto"/>
          <w:sz w:val="24"/>
          <w:szCs w:val="24"/>
        </w:rPr>
        <w:t>年枪弹库智能管理系统升级改造项目</w:t>
      </w:r>
      <w:r>
        <w:rPr>
          <w:rFonts w:ascii="宋体" w:hAnsi="宋体" w:cs="宋体"/>
          <w:color w:val="auto"/>
          <w:kern w:val="0"/>
          <w:sz w:val="24"/>
          <w:szCs w:val="24"/>
          <w:lang w:val="zh-CN"/>
        </w:rPr>
        <w:t>(</w:t>
      </w:r>
      <w:r>
        <w:rPr>
          <w:rFonts w:hint="eastAsia" w:ascii="宋体" w:hAnsi="宋体" w:cs="宋体"/>
          <w:color w:val="auto"/>
          <w:kern w:val="0"/>
          <w:sz w:val="24"/>
          <w:szCs w:val="24"/>
          <w:lang w:val="zh-CN"/>
        </w:rPr>
        <w:t>编号：</w:t>
      </w:r>
      <w:r>
        <w:rPr>
          <w:rFonts w:ascii="宋体" w:hAnsi="宋体" w:cs="宋体"/>
          <w:color w:val="auto"/>
          <w:sz w:val="24"/>
          <w:szCs w:val="24"/>
        </w:rPr>
        <w:t>ZJLT-2020-03-053-01</w:t>
      </w:r>
      <w:r>
        <w:rPr>
          <w:rFonts w:ascii="宋体" w:hAnsi="宋体" w:cs="宋体"/>
          <w:color w:val="auto"/>
          <w:kern w:val="0"/>
          <w:sz w:val="24"/>
          <w:szCs w:val="24"/>
          <w:lang w:val="zh-CN"/>
        </w:rPr>
        <w:t>)</w:t>
      </w:r>
      <w:r>
        <w:rPr>
          <w:rFonts w:hint="eastAsia" w:ascii="宋体" w:hAnsi="宋体" w:cs="宋体"/>
          <w:color w:val="auto"/>
          <w:kern w:val="0"/>
          <w:sz w:val="24"/>
          <w:szCs w:val="24"/>
          <w:lang w:val="zh-CN"/>
        </w:rPr>
        <w:t>采购投标的一切事项，若中标则全权代表本公司签订相关合同，并负责处理合同履行等事宜。</w:t>
      </w:r>
    </w:p>
    <w:p>
      <w:pPr>
        <w:adjustRightInd w:val="0"/>
        <w:snapToGrid w:val="0"/>
        <w:spacing w:line="360" w:lineRule="auto"/>
        <w:rPr>
          <w:rFonts w:ascii="宋体"/>
          <w:color w:val="auto"/>
          <w:kern w:val="0"/>
          <w:sz w:val="24"/>
          <w:szCs w:val="24"/>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特此告知。</w:t>
      </w:r>
    </w:p>
    <w:p>
      <w:pPr>
        <w:adjustRightInd w:val="0"/>
        <w:snapToGrid w:val="0"/>
        <w:spacing w:line="360" w:lineRule="auto"/>
        <w:jc w:val="center"/>
        <w:rPr>
          <w:rFonts w:ascii="宋体"/>
          <w:color w:val="auto"/>
          <w:kern w:val="0"/>
          <w:sz w:val="24"/>
          <w:szCs w:val="24"/>
          <w:lang w:val="zh-CN"/>
        </w:rPr>
      </w:pPr>
      <w:r>
        <w:rPr>
          <w:rFonts w:ascii="宋体" w:hAnsi="宋体" w:cs="宋体"/>
          <w:color w:val="auto"/>
          <w:kern w:val="0"/>
          <w:sz w:val="24"/>
          <w:szCs w:val="24"/>
          <w:lang w:val="zh-CN"/>
        </w:rPr>
        <w:t xml:space="preserve">                                                                              </w:t>
      </w:r>
    </w:p>
    <w:p>
      <w:pPr>
        <w:adjustRightInd w:val="0"/>
        <w:snapToGrid w:val="0"/>
        <w:spacing w:line="360" w:lineRule="auto"/>
        <w:jc w:val="center"/>
        <w:rPr>
          <w:rFonts w:ascii="宋体"/>
          <w:color w:val="auto"/>
          <w:kern w:val="0"/>
          <w:sz w:val="24"/>
          <w:szCs w:val="24"/>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投标人名称</w:t>
      </w:r>
      <w:r>
        <w:rPr>
          <w:rFonts w:ascii="宋体" w:hAnsi="宋体" w:cs="宋体"/>
          <w:color w:val="auto"/>
          <w:kern w:val="0"/>
          <w:sz w:val="24"/>
          <w:szCs w:val="24"/>
          <w:lang w:val="zh-CN"/>
        </w:rPr>
        <w:t>(</w:t>
      </w:r>
      <w:r>
        <w:rPr>
          <w:rFonts w:hint="eastAsia" w:ascii="宋体" w:hAnsi="宋体" w:cs="宋体"/>
          <w:color w:val="auto"/>
          <w:kern w:val="0"/>
          <w:sz w:val="24"/>
          <w:szCs w:val="24"/>
          <w:lang w:val="zh-CN"/>
        </w:rPr>
        <w:t>公章</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pPr>
        <w:adjustRightInd w:val="0"/>
        <w:snapToGrid w:val="0"/>
        <w:spacing w:line="360" w:lineRule="auto"/>
        <w:jc w:val="center"/>
        <w:rPr>
          <w:rFonts w:ascii="宋体"/>
          <w:color w:val="auto"/>
          <w:kern w:val="0"/>
          <w:sz w:val="24"/>
          <w:szCs w:val="24"/>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法定代表人</w:t>
      </w:r>
      <w:r>
        <w:rPr>
          <w:rFonts w:ascii="宋体" w:hAnsi="宋体" w:cs="宋体"/>
          <w:color w:val="auto"/>
          <w:kern w:val="0"/>
          <w:sz w:val="24"/>
          <w:szCs w:val="24"/>
          <w:lang w:val="zh-CN"/>
        </w:rPr>
        <w:t>(</w:t>
      </w:r>
      <w:r>
        <w:rPr>
          <w:rFonts w:hint="eastAsia" w:ascii="宋体" w:hAnsi="宋体" w:cs="宋体"/>
          <w:color w:val="auto"/>
          <w:kern w:val="0"/>
          <w:sz w:val="24"/>
          <w:szCs w:val="24"/>
          <w:lang w:val="zh-CN"/>
        </w:rPr>
        <w:t>签字或盖章</w:t>
      </w:r>
      <w:r>
        <w:rPr>
          <w:rFonts w:ascii="宋体" w:hAnsi="宋体" w:cs="宋体"/>
          <w:color w:val="auto"/>
          <w:kern w:val="0"/>
          <w:sz w:val="24"/>
          <w:szCs w:val="24"/>
          <w:lang w:val="zh-CN"/>
        </w:rPr>
        <w:t>)</w:t>
      </w:r>
      <w:r>
        <w:rPr>
          <w:rFonts w:hint="eastAsia" w:ascii="宋体" w:hAnsi="宋体" w:cs="宋体"/>
          <w:color w:val="auto"/>
          <w:kern w:val="0"/>
          <w:sz w:val="24"/>
          <w:szCs w:val="24"/>
          <w:lang w:val="zh-CN"/>
        </w:rPr>
        <w:t>：</w:t>
      </w:r>
    </w:p>
    <w:p>
      <w:pPr>
        <w:adjustRightInd w:val="0"/>
        <w:snapToGrid w:val="0"/>
        <w:spacing w:line="360" w:lineRule="auto"/>
        <w:jc w:val="center"/>
        <w:rPr>
          <w:rFonts w:ascii="宋体"/>
          <w:color w:val="auto"/>
          <w:kern w:val="0"/>
          <w:sz w:val="24"/>
          <w:szCs w:val="24"/>
          <w:lang w:val="zh-CN"/>
        </w:rPr>
      </w:pP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日期：</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年</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月</w:t>
      </w:r>
      <w:r>
        <w:rPr>
          <w:rFonts w:ascii="宋体" w:hAnsi="宋体" w:cs="宋体"/>
          <w:color w:val="auto"/>
          <w:kern w:val="0"/>
          <w:sz w:val="24"/>
          <w:szCs w:val="24"/>
          <w:lang w:val="zh-CN"/>
        </w:rPr>
        <w:t xml:space="preserve">   </w:t>
      </w:r>
      <w:r>
        <w:rPr>
          <w:rFonts w:hint="eastAsia" w:ascii="宋体" w:hAnsi="宋体" w:cs="宋体"/>
          <w:color w:val="auto"/>
          <w:kern w:val="0"/>
          <w:sz w:val="24"/>
          <w:szCs w:val="24"/>
          <w:lang w:val="zh-CN"/>
        </w:rPr>
        <w:t>日</w:t>
      </w:r>
    </w:p>
    <w:p>
      <w:pPr>
        <w:shd w:val="clear" w:color="auto" w:fill="FFFFFF"/>
        <w:adjustRightInd w:val="0"/>
        <w:snapToGrid w:val="0"/>
        <w:spacing w:line="360" w:lineRule="auto"/>
        <w:ind w:firstLine="5160" w:firstLineChars="2150"/>
        <w:rPr>
          <w:rFonts w:ascii="宋体"/>
          <w:color w:val="auto"/>
          <w:kern w:val="0"/>
          <w:sz w:val="24"/>
          <w:szCs w:val="24"/>
          <w:lang w:val="zh-CN"/>
        </w:rPr>
      </w:pPr>
    </w:p>
    <w:p>
      <w:pPr>
        <w:shd w:val="clear" w:color="auto" w:fill="FFFFFF"/>
        <w:adjustRightInd w:val="0"/>
        <w:snapToGrid w:val="0"/>
        <w:spacing w:line="360" w:lineRule="auto"/>
        <w:ind w:right="480"/>
        <w:jc w:val="center"/>
        <w:rPr>
          <w:rFonts w:ascii="宋体"/>
          <w:b/>
          <w:bCs/>
          <w:color w:val="auto"/>
          <w:kern w:val="0"/>
          <w:sz w:val="30"/>
          <w:szCs w:val="30"/>
          <w:lang w:val="zh-CN"/>
        </w:rPr>
      </w:pPr>
    </w:p>
    <w:p>
      <w:pPr>
        <w:shd w:val="clear" w:color="auto" w:fill="FFFFFF"/>
        <w:adjustRightInd w:val="0"/>
        <w:snapToGrid w:val="0"/>
        <w:spacing w:line="360" w:lineRule="auto"/>
        <w:ind w:right="480"/>
        <w:jc w:val="center"/>
        <w:outlineLvl w:val="2"/>
        <w:rPr>
          <w:rFonts w:ascii="宋体"/>
          <w:b/>
          <w:bCs/>
          <w:color w:val="auto"/>
          <w:kern w:val="0"/>
          <w:sz w:val="32"/>
          <w:szCs w:val="32"/>
          <w:lang w:val="zh-CN"/>
        </w:rPr>
      </w:pPr>
      <w:r>
        <w:rPr>
          <w:rFonts w:hint="eastAsia" w:ascii="宋体" w:hAnsi="宋体" w:cs="宋体"/>
          <w:b/>
          <w:bCs/>
          <w:color w:val="auto"/>
          <w:kern w:val="0"/>
          <w:sz w:val="32"/>
          <w:szCs w:val="32"/>
          <w:lang w:val="zh-CN"/>
        </w:rPr>
        <w:t>二、法定代表人及授权委托人的身份证</w:t>
      </w:r>
      <w:r>
        <w:rPr>
          <w:rFonts w:ascii="宋体" w:hAnsi="宋体" w:cs="宋体"/>
          <w:b/>
          <w:bCs/>
          <w:color w:val="auto"/>
          <w:kern w:val="0"/>
          <w:sz w:val="32"/>
          <w:szCs w:val="32"/>
          <w:lang w:val="zh-CN"/>
        </w:rPr>
        <w:t xml:space="preserve"> (</w:t>
      </w:r>
      <w:r>
        <w:rPr>
          <w:rFonts w:hint="eastAsia" w:ascii="宋体" w:hAnsi="宋体" w:cs="宋体"/>
          <w:b/>
          <w:bCs/>
          <w:color w:val="auto"/>
          <w:kern w:val="0"/>
          <w:sz w:val="32"/>
          <w:szCs w:val="32"/>
          <w:lang w:val="zh-CN"/>
        </w:rPr>
        <w:t>复印件加盖公章</w:t>
      </w:r>
      <w:r>
        <w:rPr>
          <w:rFonts w:ascii="宋体" w:hAnsi="宋体" w:cs="宋体"/>
          <w:b/>
          <w:bCs/>
          <w:color w:val="auto"/>
          <w:kern w:val="0"/>
          <w:sz w:val="32"/>
          <w:szCs w:val="32"/>
          <w:lang w:val="zh-CN"/>
        </w:rPr>
        <w:t>)</w:t>
      </w:r>
    </w:p>
    <w:p>
      <w:pPr>
        <w:shd w:val="clear" w:color="auto" w:fill="FFFFFF"/>
        <w:adjustRightInd w:val="0"/>
        <w:snapToGrid w:val="0"/>
        <w:spacing w:line="360" w:lineRule="auto"/>
        <w:ind w:right="480"/>
        <w:jc w:val="center"/>
        <w:rPr>
          <w:rFonts w:ascii="宋体"/>
          <w:b/>
          <w:bCs/>
          <w:color w:val="auto"/>
          <w:kern w:val="0"/>
          <w:sz w:val="32"/>
          <w:szCs w:val="32"/>
          <w:lang w:val="zh-CN"/>
        </w:rPr>
      </w:pPr>
      <w:r>
        <w:rPr>
          <w:rFonts w:ascii="宋体"/>
          <w:b/>
          <w:bCs/>
          <w:color w:val="auto"/>
          <w:kern w:val="0"/>
          <w:sz w:val="32"/>
          <w:szCs w:val="32"/>
          <w:lang w:val="zh-CN"/>
        </w:rPr>
        <w:t> </w:t>
      </w:r>
    </w:p>
    <w:p>
      <w:pPr>
        <w:pStyle w:val="2"/>
        <w:rPr>
          <w:color w:val="auto"/>
          <w:kern w:val="0"/>
          <w:lang w:val="zh-CN"/>
        </w:rPr>
      </w:pPr>
    </w:p>
    <w:p>
      <w:pPr>
        <w:pageBreakBefore/>
        <w:shd w:val="clear" w:color="auto" w:fill="FFFFFF"/>
        <w:adjustRightInd w:val="0"/>
        <w:snapToGrid w:val="0"/>
        <w:spacing w:line="360" w:lineRule="auto"/>
        <w:ind w:right="482"/>
        <w:jc w:val="center"/>
        <w:outlineLvl w:val="2"/>
        <w:rPr>
          <w:rFonts w:ascii="宋体"/>
          <w:b/>
          <w:bCs/>
          <w:color w:val="auto"/>
          <w:kern w:val="0"/>
          <w:sz w:val="32"/>
          <w:szCs w:val="32"/>
        </w:rPr>
      </w:pPr>
      <w:r>
        <w:rPr>
          <w:rFonts w:hint="eastAsia" w:ascii="宋体" w:hAnsi="宋体" w:cs="宋体"/>
          <w:b/>
          <w:bCs/>
          <w:color w:val="auto"/>
          <w:kern w:val="0"/>
          <w:sz w:val="32"/>
          <w:szCs w:val="32"/>
          <w:lang w:val="zh-CN"/>
        </w:rPr>
        <w:t>三、声明书</w:t>
      </w:r>
    </w:p>
    <w:p>
      <w:pPr>
        <w:shd w:val="clear" w:color="auto" w:fill="FFFFFF"/>
        <w:spacing w:line="360" w:lineRule="auto"/>
        <w:rPr>
          <w:rFonts w:ascii="宋体"/>
          <w:color w:val="auto"/>
          <w:sz w:val="24"/>
          <w:szCs w:val="24"/>
        </w:rPr>
      </w:pPr>
      <w:r>
        <w:rPr>
          <w:rFonts w:hint="eastAsia" w:ascii="宋体" w:hAnsi="宋体" w:cs="宋体"/>
          <w:color w:val="auto"/>
          <w:sz w:val="24"/>
          <w:szCs w:val="24"/>
        </w:rPr>
        <w:t>杭州市射击射箭运动中心、浙江联通工程咨询有限公司</w:t>
      </w:r>
      <w:r>
        <w:rPr>
          <w:rFonts w:hint="eastAsia" w:ascii="宋体" w:hAnsi="宋体" w:cs="宋体"/>
          <w:color w:val="auto"/>
          <w:kern w:val="0"/>
          <w:sz w:val="24"/>
          <w:szCs w:val="24"/>
          <w:lang w:val="zh-CN"/>
        </w:rPr>
        <w:t>：</w:t>
      </w:r>
    </w:p>
    <w:p>
      <w:pPr>
        <w:spacing w:line="360" w:lineRule="auto"/>
        <w:ind w:firstLine="480" w:firstLineChars="200"/>
        <w:rPr>
          <w:rFonts w:ascii="宋体"/>
          <w:color w:val="auto"/>
          <w:sz w:val="24"/>
          <w:szCs w:val="24"/>
        </w:rPr>
      </w:pPr>
      <w:r>
        <w:rPr>
          <w:rFonts w:hint="eastAsia" w:ascii="宋体" w:hAnsi="宋体" w:cs="宋体"/>
          <w:color w:val="auto"/>
          <w:sz w:val="24"/>
          <w:szCs w:val="24"/>
        </w:rPr>
        <w:t>本单位自愿参加</w:t>
      </w:r>
      <w:r>
        <w:rPr>
          <w:rFonts w:ascii="宋体" w:hAnsi="宋体" w:cs="宋体"/>
          <w:color w:val="auto"/>
          <w:sz w:val="24"/>
          <w:szCs w:val="24"/>
        </w:rPr>
        <w:t>2020</w:t>
      </w:r>
      <w:r>
        <w:rPr>
          <w:rFonts w:hint="eastAsia" w:ascii="宋体" w:hAnsi="宋体" w:cs="宋体"/>
          <w:color w:val="auto"/>
          <w:sz w:val="24"/>
          <w:szCs w:val="24"/>
        </w:rPr>
        <w:t>年枪弹库智能管理系统升级改造项目</w:t>
      </w:r>
      <w:r>
        <w:rPr>
          <w:rFonts w:ascii="宋体" w:hAnsi="宋体" w:cs="宋体"/>
          <w:color w:val="auto"/>
          <w:sz w:val="24"/>
          <w:szCs w:val="24"/>
        </w:rPr>
        <w:t>(</w:t>
      </w:r>
      <w:r>
        <w:rPr>
          <w:rFonts w:hint="eastAsia" w:ascii="宋体" w:hAnsi="宋体" w:cs="宋体"/>
          <w:color w:val="auto"/>
          <w:sz w:val="24"/>
          <w:szCs w:val="24"/>
        </w:rPr>
        <w:t>编号：</w:t>
      </w:r>
      <w:r>
        <w:rPr>
          <w:rFonts w:ascii="宋体" w:hAnsi="宋体" w:cs="宋体"/>
          <w:color w:val="auto"/>
          <w:sz w:val="24"/>
          <w:szCs w:val="24"/>
        </w:rPr>
        <w:t>ZJLT-2020-03-053-01)</w:t>
      </w:r>
      <w:r>
        <w:rPr>
          <w:rFonts w:hint="eastAsia" w:ascii="宋体" w:hAnsi="宋体" w:cs="宋体"/>
          <w:color w:val="auto"/>
          <w:sz w:val="24"/>
          <w:szCs w:val="24"/>
        </w:rPr>
        <w:t>的投标，</w:t>
      </w:r>
      <w:r>
        <w:rPr>
          <w:rFonts w:hint="eastAsia" w:ascii="宋体" w:hAnsi="宋体" w:cs="宋体"/>
          <w:color w:val="auto"/>
          <w:kern w:val="0"/>
          <w:sz w:val="24"/>
          <w:szCs w:val="24"/>
          <w:lang w:val="zh-CN"/>
        </w:rPr>
        <w:t>并保证投标文件中所列举的投标报价文件及相关资料和公司基本情况资料是真实的、合法的。</w:t>
      </w:r>
    </w:p>
    <w:p>
      <w:pPr>
        <w:adjustRightInd w:val="0"/>
        <w:snapToGrid w:val="0"/>
        <w:spacing w:line="360" w:lineRule="auto"/>
        <w:ind w:firstLine="480"/>
        <w:rPr>
          <w:rFonts w:ascii="宋体"/>
          <w:color w:val="auto"/>
          <w:kern w:val="0"/>
          <w:sz w:val="24"/>
          <w:szCs w:val="24"/>
        </w:rPr>
      </w:pPr>
      <w:r>
        <w:rPr>
          <w:rFonts w:hint="eastAsia" w:ascii="宋体" w:hAnsi="宋体" w:cs="宋体"/>
          <w:color w:val="auto"/>
          <w:kern w:val="0"/>
          <w:sz w:val="24"/>
          <w:szCs w:val="24"/>
          <w:lang w:val="zh-CN"/>
        </w:rPr>
        <w:t>同意此次招标文件中的各项内容。</w:t>
      </w:r>
    </w:p>
    <w:p>
      <w:pPr>
        <w:adjustRightInd w:val="0"/>
        <w:snapToGrid w:val="0"/>
        <w:spacing w:line="360" w:lineRule="auto"/>
        <w:ind w:firstLine="480"/>
        <w:rPr>
          <w:rFonts w:ascii="宋体"/>
          <w:color w:val="auto"/>
          <w:kern w:val="0"/>
          <w:sz w:val="24"/>
          <w:szCs w:val="24"/>
        </w:rPr>
      </w:pPr>
      <w:r>
        <w:rPr>
          <w:rFonts w:hint="eastAsia" w:ascii="宋体" w:hAnsi="宋体" w:cs="宋体"/>
          <w:color w:val="auto"/>
          <w:kern w:val="0"/>
          <w:sz w:val="24"/>
          <w:szCs w:val="24"/>
          <w:lang w:val="zh-CN"/>
        </w:rPr>
        <w:t>同意提供按照贵方可能要求的与投标有关的一切数据或资料等。</w:t>
      </w:r>
    </w:p>
    <w:p>
      <w:pPr>
        <w:adjustRightInd w:val="0"/>
        <w:snapToGrid w:val="0"/>
        <w:spacing w:line="360" w:lineRule="auto"/>
        <w:ind w:firstLine="480"/>
        <w:rPr>
          <w:rFonts w:ascii="宋体"/>
          <w:color w:val="auto"/>
          <w:kern w:val="0"/>
          <w:sz w:val="24"/>
          <w:szCs w:val="24"/>
          <w:lang w:val="zh-CN"/>
        </w:rPr>
      </w:pPr>
      <w:r>
        <w:rPr>
          <w:rFonts w:hint="eastAsia" w:ascii="宋体" w:hAnsi="宋体" w:cs="宋体"/>
          <w:color w:val="auto"/>
          <w:kern w:val="0"/>
          <w:sz w:val="24"/>
          <w:szCs w:val="24"/>
          <w:lang w:val="zh-CN"/>
        </w:rPr>
        <w:t>本单位具有良好的商业信誉和健全的财务会计制度。</w:t>
      </w:r>
    </w:p>
    <w:p>
      <w:pPr>
        <w:adjustRightInd w:val="0"/>
        <w:snapToGrid w:val="0"/>
        <w:spacing w:line="360" w:lineRule="auto"/>
        <w:ind w:firstLine="480"/>
        <w:rPr>
          <w:rFonts w:ascii="宋体"/>
          <w:color w:val="auto"/>
          <w:kern w:val="0"/>
          <w:sz w:val="24"/>
          <w:szCs w:val="24"/>
          <w:lang w:val="zh-CN"/>
        </w:rPr>
      </w:pPr>
      <w:r>
        <w:rPr>
          <w:rFonts w:hint="eastAsia" w:ascii="宋体" w:hAnsi="宋体" w:cs="宋体"/>
          <w:color w:val="auto"/>
          <w:kern w:val="0"/>
          <w:sz w:val="24"/>
          <w:szCs w:val="24"/>
          <w:lang w:val="zh-CN"/>
        </w:rPr>
        <w:t>本单位参加采购活动前三年内，在经营活动中没有重大违法记录。</w:t>
      </w:r>
    </w:p>
    <w:p>
      <w:pPr>
        <w:adjustRightInd w:val="0"/>
        <w:snapToGrid w:val="0"/>
        <w:spacing w:line="360" w:lineRule="auto"/>
        <w:ind w:firstLine="480"/>
        <w:rPr>
          <w:rFonts w:ascii="宋体"/>
          <w:color w:val="auto"/>
          <w:kern w:val="0"/>
          <w:sz w:val="24"/>
          <w:szCs w:val="24"/>
          <w:lang w:val="zh-CN"/>
        </w:rPr>
      </w:pPr>
      <w:r>
        <w:rPr>
          <w:rFonts w:hint="eastAsia" w:ascii="宋体" w:hAnsi="宋体" w:cs="宋体"/>
          <w:color w:val="auto"/>
          <w:kern w:val="0"/>
          <w:sz w:val="24"/>
          <w:szCs w:val="24"/>
          <w:lang w:val="zh-CN"/>
        </w:rPr>
        <w:t>本单位如中标，保证按照投标文件的承诺与贵方签订合同，保证履行合同条款并缴纳履约保证金。</w:t>
      </w:r>
    </w:p>
    <w:p>
      <w:pPr>
        <w:adjustRightInd w:val="0"/>
        <w:snapToGrid w:val="0"/>
        <w:spacing w:line="360" w:lineRule="auto"/>
        <w:jc w:val="center"/>
        <w:rPr>
          <w:rFonts w:ascii="宋体"/>
          <w:color w:val="auto"/>
          <w:kern w:val="0"/>
          <w:sz w:val="24"/>
          <w:szCs w:val="24"/>
          <w:lang w:val="zh-CN"/>
        </w:rPr>
      </w:pPr>
      <w:r>
        <w:rPr>
          <w:rFonts w:ascii="宋体" w:hAnsi="宋体" w:cs="宋体"/>
          <w:color w:val="auto"/>
          <w:kern w:val="0"/>
          <w:sz w:val="24"/>
          <w:szCs w:val="24"/>
          <w:lang w:val="zh-CN"/>
        </w:rPr>
        <w:t xml:space="preserve">                                                                         </w:t>
      </w:r>
    </w:p>
    <w:p>
      <w:pPr>
        <w:spacing w:line="360" w:lineRule="auto"/>
        <w:ind w:firstLine="3600" w:firstLineChars="1500"/>
        <w:rPr>
          <w:rFonts w:ascii="宋体"/>
          <w:color w:val="auto"/>
          <w:sz w:val="24"/>
          <w:szCs w:val="24"/>
        </w:rPr>
      </w:pPr>
      <w:r>
        <w:rPr>
          <w:rFonts w:ascii="宋体" w:hAnsi="宋体" w:cs="宋体"/>
          <w:color w:val="auto"/>
          <w:kern w:val="0"/>
          <w:sz w:val="24"/>
          <w:szCs w:val="24"/>
          <w:lang w:val="zh-CN"/>
        </w:rPr>
        <w:t xml:space="preserve">         </w:t>
      </w: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napToGrid w:val="0"/>
        <w:spacing w:line="360" w:lineRule="auto"/>
        <w:ind w:firstLine="4800" w:firstLineChars="2000"/>
        <w:rPr>
          <w:rFonts w:ascii="宋体"/>
          <w:color w:val="auto"/>
          <w:kern w:val="0"/>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jc w:val="left"/>
        <w:outlineLvl w:val="0"/>
        <w:rPr>
          <w:rFonts w:ascii="宋体"/>
          <w:b/>
          <w:bCs/>
          <w:color w:val="auto"/>
          <w:sz w:val="32"/>
          <w:szCs w:val="32"/>
          <w:lang w:val="zh-CN"/>
        </w:rPr>
      </w:pP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643" w:firstLineChars="200"/>
        <w:jc w:val="left"/>
        <w:outlineLvl w:val="0"/>
        <w:rPr>
          <w:rFonts w:ascii="宋体"/>
          <w:b/>
          <w:bCs/>
          <w:color w:val="auto"/>
          <w:sz w:val="32"/>
          <w:szCs w:val="32"/>
          <w:lang w:val="zh-CN"/>
        </w:rPr>
      </w:pPr>
      <w:r>
        <w:rPr>
          <w:rFonts w:hint="eastAsia" w:ascii="宋体" w:hAnsi="宋体" w:cs="宋体"/>
          <w:b/>
          <w:bCs/>
          <w:color w:val="auto"/>
          <w:sz w:val="32"/>
          <w:szCs w:val="32"/>
          <w:lang w:val="zh-CN"/>
        </w:rPr>
        <w:t>四、提供</w:t>
      </w:r>
      <w:r>
        <w:rPr>
          <w:rFonts w:ascii="宋体" w:hAnsi="宋体" w:cs="宋体"/>
          <w:b/>
          <w:bCs/>
          <w:color w:val="auto"/>
          <w:sz w:val="32"/>
          <w:szCs w:val="32"/>
          <w:lang w:val="zh-CN"/>
        </w:rPr>
        <w:t>201</w:t>
      </w:r>
      <w:r>
        <w:rPr>
          <w:rFonts w:ascii="宋体" w:hAnsi="宋体" w:cs="宋体"/>
          <w:b/>
          <w:bCs/>
          <w:color w:val="auto"/>
          <w:sz w:val="32"/>
          <w:szCs w:val="32"/>
        </w:rPr>
        <w:t>7</w:t>
      </w:r>
      <w:r>
        <w:rPr>
          <w:rFonts w:hint="eastAsia" w:ascii="宋体" w:hAnsi="宋体" w:cs="宋体"/>
          <w:b/>
          <w:bCs/>
          <w:color w:val="auto"/>
          <w:sz w:val="32"/>
          <w:szCs w:val="32"/>
          <w:lang w:val="zh-CN"/>
        </w:rPr>
        <w:t>年来类似项目成功案例合同复印件</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60" w:lineRule="auto"/>
        <w:ind w:right="-61" w:firstLine="2160" w:firstLineChars="900"/>
        <w:jc w:val="left"/>
        <w:outlineLvl w:val="0"/>
        <w:rPr>
          <w:rFonts w:ascii="宋体"/>
          <w:color w:val="auto"/>
          <w:sz w:val="24"/>
          <w:szCs w:val="24"/>
        </w:rPr>
      </w:pPr>
      <w:r>
        <w:rPr>
          <w:rFonts w:hint="eastAsia" w:ascii="宋体" w:hAnsi="宋体" w:cs="宋体"/>
          <w:color w:val="auto"/>
          <w:sz w:val="24"/>
          <w:szCs w:val="24"/>
          <w:lang w:val="zh-CN"/>
        </w:rPr>
        <w:t>（需提供合同复印件并加盖公章）</w:t>
      </w:r>
    </w:p>
    <w:p>
      <w:pPr>
        <w:shd w:val="clear" w:color="auto" w:fill="FFFFFF"/>
        <w:adjustRightInd w:val="0"/>
        <w:snapToGrid w:val="0"/>
        <w:spacing w:line="360" w:lineRule="auto"/>
        <w:ind w:right="480"/>
        <w:jc w:val="center"/>
        <w:rPr>
          <w:rFonts w:hAnsi="宋体"/>
          <w:b/>
          <w:bCs/>
          <w:color w:val="auto"/>
          <w:kern w:val="0"/>
        </w:rPr>
      </w:pPr>
      <w:r>
        <w:rPr>
          <w:rFonts w:ascii="宋体"/>
          <w:b/>
          <w:bCs/>
          <w:color w:val="auto"/>
          <w:kern w:val="0"/>
          <w:sz w:val="32"/>
          <w:szCs w:val="32"/>
          <w:lang w:val="zh-CN"/>
        </w:rPr>
        <w:t>  </w:t>
      </w:r>
    </w:p>
    <w:p>
      <w:pPr>
        <w:pStyle w:val="8"/>
        <w:adjustRightInd w:val="0"/>
        <w:snapToGrid w:val="0"/>
        <w:spacing w:line="360" w:lineRule="auto"/>
        <w:jc w:val="center"/>
        <w:outlineLvl w:val="2"/>
        <w:rPr>
          <w:rFonts w:hAnsi="宋体" w:cs="Calibri"/>
          <w:b/>
          <w:bCs/>
          <w:color w:val="auto"/>
        </w:rPr>
      </w:pPr>
    </w:p>
    <w:p>
      <w:pPr>
        <w:pStyle w:val="8"/>
        <w:adjustRightInd w:val="0"/>
        <w:snapToGrid w:val="0"/>
        <w:spacing w:line="360" w:lineRule="auto"/>
        <w:jc w:val="center"/>
        <w:outlineLvl w:val="2"/>
        <w:rPr>
          <w:rFonts w:hAnsi="宋体" w:cs="Calibri"/>
          <w:b/>
          <w:bCs/>
          <w:color w:val="auto"/>
        </w:rPr>
      </w:pPr>
    </w:p>
    <w:p>
      <w:pPr>
        <w:pStyle w:val="8"/>
        <w:adjustRightInd w:val="0"/>
        <w:snapToGrid w:val="0"/>
        <w:spacing w:line="360" w:lineRule="auto"/>
        <w:outlineLvl w:val="2"/>
        <w:rPr>
          <w:rFonts w:hAnsi="宋体" w:cs="Calibri"/>
          <w:b/>
          <w:bCs/>
          <w:color w:val="auto"/>
        </w:rPr>
      </w:pPr>
    </w:p>
    <w:p>
      <w:pPr>
        <w:pStyle w:val="8"/>
        <w:adjustRightInd w:val="0"/>
        <w:snapToGrid w:val="0"/>
        <w:spacing w:line="360" w:lineRule="auto"/>
        <w:jc w:val="center"/>
        <w:outlineLvl w:val="2"/>
        <w:rPr>
          <w:rFonts w:hAnsi="宋体" w:cs="Calibri"/>
          <w:b/>
          <w:bCs/>
          <w:color w:val="auto"/>
          <w:sz w:val="32"/>
          <w:szCs w:val="32"/>
        </w:rPr>
      </w:pPr>
      <w:r>
        <w:rPr>
          <w:rFonts w:hint="eastAsia" w:hAnsi="宋体"/>
          <w:b/>
          <w:bCs/>
          <w:color w:val="auto"/>
          <w:sz w:val="32"/>
          <w:szCs w:val="32"/>
        </w:rPr>
        <w:t>五、针对本项目的理解及技术解决方案</w:t>
      </w:r>
    </w:p>
    <w:p>
      <w:pPr>
        <w:shd w:val="clear" w:color="auto" w:fill="FFFFFF"/>
        <w:adjustRightInd w:val="0"/>
        <w:spacing w:line="360" w:lineRule="auto"/>
        <w:ind w:firstLine="5040" w:firstLineChars="2100"/>
        <w:rPr>
          <w:rFonts w:ascii="宋体"/>
          <w:color w:val="auto"/>
          <w:kern w:val="0"/>
          <w:sz w:val="24"/>
          <w:szCs w:val="24"/>
        </w:rPr>
      </w:pPr>
    </w:p>
    <w:p>
      <w:pPr>
        <w:shd w:val="clear" w:color="auto" w:fill="FFFFFF"/>
        <w:adjustRightInd w:val="0"/>
        <w:spacing w:line="360" w:lineRule="auto"/>
        <w:ind w:firstLine="5040" w:firstLineChars="2100"/>
        <w:rPr>
          <w:rFonts w:ascii="宋体"/>
          <w:color w:val="auto"/>
          <w:kern w:val="0"/>
          <w:sz w:val="24"/>
          <w:szCs w:val="24"/>
          <w:lang w:val="zh-CN"/>
        </w:rPr>
      </w:pPr>
      <w:r>
        <w:rPr>
          <w:rFonts w:ascii="宋体" w:hAnsi="宋体" w:cs="宋体"/>
          <w:color w:val="auto"/>
          <w:kern w:val="0"/>
          <w:sz w:val="24"/>
          <w:szCs w:val="24"/>
        </w:rPr>
        <w:t xml:space="preserve"> </w:t>
      </w: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pacing w:line="360" w:lineRule="auto"/>
        <w:ind w:firstLine="5160" w:firstLineChars="2150"/>
        <w:rPr>
          <w:rFonts w:ascii="宋体"/>
          <w:color w:val="auto"/>
          <w:kern w:val="0"/>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shd w:val="clear" w:color="auto" w:fill="FFFFFF"/>
        <w:adjustRightInd w:val="0"/>
        <w:spacing w:line="360" w:lineRule="auto"/>
        <w:ind w:firstLine="5160" w:firstLineChars="2150"/>
        <w:rPr>
          <w:rFonts w:ascii="宋体"/>
          <w:color w:val="auto"/>
          <w:kern w:val="0"/>
          <w:sz w:val="24"/>
          <w:szCs w:val="24"/>
          <w:lang w:val="zh-CN"/>
        </w:rPr>
      </w:pPr>
    </w:p>
    <w:p>
      <w:pPr>
        <w:shd w:val="clear" w:color="auto" w:fill="FFFFFF"/>
        <w:adjustRightInd w:val="0"/>
        <w:spacing w:line="360" w:lineRule="auto"/>
        <w:jc w:val="center"/>
        <w:outlineLvl w:val="2"/>
        <w:rPr>
          <w:rFonts w:ascii="宋体"/>
          <w:b/>
          <w:bCs/>
          <w:color w:val="auto"/>
          <w:sz w:val="32"/>
          <w:szCs w:val="32"/>
          <w:lang w:val="zh-CN"/>
        </w:rPr>
      </w:pPr>
      <w:r>
        <w:rPr>
          <w:rFonts w:hint="eastAsia" w:ascii="宋体" w:hAnsi="宋体" w:cs="宋体"/>
          <w:b/>
          <w:bCs/>
          <w:color w:val="auto"/>
          <w:sz w:val="32"/>
          <w:szCs w:val="32"/>
        </w:rPr>
        <w:t>六、针对本项目的具体实施方案</w:t>
      </w:r>
    </w:p>
    <w:p>
      <w:pPr>
        <w:shd w:val="clear" w:color="auto" w:fill="FFFFFF"/>
        <w:adjustRightInd w:val="0"/>
        <w:spacing w:line="360" w:lineRule="auto"/>
        <w:ind w:firstLine="5040" w:firstLineChars="2100"/>
        <w:rPr>
          <w:rFonts w:ascii="宋体"/>
          <w:color w:val="auto"/>
          <w:kern w:val="0"/>
          <w:sz w:val="24"/>
          <w:szCs w:val="24"/>
          <w:lang w:val="zh-CN"/>
        </w:rPr>
      </w:pP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pacing w:line="360" w:lineRule="auto"/>
        <w:ind w:firstLine="4800" w:firstLineChars="2000"/>
        <w:rPr>
          <w:rFonts w:ascii="宋体"/>
          <w:color w:val="auto"/>
          <w:kern w:val="0"/>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rPr>
          <w:rFonts w:ascii="宋体"/>
          <w:color w:val="auto"/>
          <w:kern w:val="0"/>
          <w:sz w:val="24"/>
          <w:szCs w:val="24"/>
          <w:lang w:val="zh-CN"/>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r>
        <w:rPr>
          <w:rFonts w:hint="eastAsia" w:ascii="宋体" w:hAnsi="宋体" w:cs="宋体"/>
          <w:b/>
          <w:bCs/>
          <w:color w:val="auto"/>
          <w:sz w:val="32"/>
          <w:szCs w:val="32"/>
        </w:rPr>
        <w:t>七、技术思路、工作部署及项目进度安排</w:t>
      </w:r>
    </w:p>
    <w:p>
      <w:pPr>
        <w:adjustRightInd w:val="0"/>
        <w:snapToGrid w:val="0"/>
        <w:spacing w:line="360" w:lineRule="auto"/>
        <w:ind w:firstLine="2160" w:firstLineChars="900"/>
        <w:rPr>
          <w:rFonts w:ascii="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可根据自身情况进一步细化</w:t>
      </w:r>
      <w:r>
        <w:rPr>
          <w:rFonts w:hint="eastAsia" w:ascii="宋体" w:hAnsi="宋体" w:cs="宋体"/>
          <w:color w:val="auto"/>
          <w:sz w:val="24"/>
          <w:szCs w:val="24"/>
        </w:rPr>
        <w:t>）；</w:t>
      </w:r>
    </w:p>
    <w:p>
      <w:pPr>
        <w:shd w:val="clear" w:color="auto" w:fill="FFFFFF"/>
        <w:adjustRightInd w:val="0"/>
        <w:snapToGrid w:val="0"/>
        <w:spacing w:line="360" w:lineRule="auto"/>
        <w:jc w:val="center"/>
        <w:outlineLvl w:val="2"/>
        <w:rPr>
          <w:rFonts w:ascii="宋体"/>
          <w:b/>
          <w:bCs/>
          <w:color w:val="auto"/>
          <w:sz w:val="32"/>
          <w:szCs w:val="32"/>
        </w:rPr>
      </w:pPr>
    </w:p>
    <w:p>
      <w:pPr>
        <w:shd w:val="clear" w:color="auto" w:fill="FFFFFF"/>
        <w:spacing w:line="360" w:lineRule="auto"/>
        <w:rPr>
          <w:rFonts w:ascii="宋体"/>
          <w:b/>
          <w:bCs/>
          <w:color w:val="auto"/>
          <w:sz w:val="32"/>
          <w:szCs w:val="32"/>
        </w:rPr>
      </w:pPr>
      <w:r>
        <w:rPr>
          <w:rFonts w:ascii="宋体"/>
          <w:b/>
          <w:bCs/>
          <w:color w:val="auto"/>
          <w:sz w:val="32"/>
          <w:szCs w:val="32"/>
        </w:rPr>
        <w:t> </w:t>
      </w: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pacing w:line="360" w:lineRule="auto"/>
        <w:ind w:firstLine="5160" w:firstLineChars="2150"/>
        <w:rPr>
          <w:rFonts w:ascii="宋体"/>
          <w:color w:val="auto"/>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rPr>
          <w:color w:val="auto"/>
          <w:lang w:val="zh-CN"/>
        </w:rPr>
      </w:pPr>
    </w:p>
    <w:p>
      <w:pPr>
        <w:pStyle w:val="2"/>
        <w:rPr>
          <w:color w:val="auto"/>
          <w:kern w:val="0"/>
          <w:sz w:val="24"/>
          <w:szCs w:val="24"/>
          <w:lang w:val="zh-CN"/>
        </w:rPr>
      </w:pPr>
    </w:p>
    <w:p>
      <w:pPr>
        <w:shd w:val="clear" w:color="auto" w:fill="FFFFFF"/>
        <w:spacing w:line="360" w:lineRule="auto"/>
        <w:ind w:left="313" w:leftChars="149" w:firstLine="964" w:firstLineChars="300"/>
        <w:outlineLvl w:val="2"/>
        <w:rPr>
          <w:rFonts w:ascii="宋体"/>
          <w:b/>
          <w:bCs/>
          <w:color w:val="auto"/>
          <w:sz w:val="32"/>
          <w:szCs w:val="32"/>
          <w:lang w:val="zh-CN"/>
        </w:rPr>
      </w:pPr>
      <w:r>
        <w:rPr>
          <w:rFonts w:hint="eastAsia" w:ascii="宋体" w:hAnsi="宋体" w:cs="宋体"/>
          <w:b/>
          <w:bCs/>
          <w:color w:val="auto"/>
          <w:sz w:val="32"/>
          <w:szCs w:val="32"/>
        </w:rPr>
        <w:t>八、</w:t>
      </w:r>
      <w:r>
        <w:rPr>
          <w:rFonts w:hint="eastAsia" w:ascii="宋体" w:hAnsi="宋体" w:cs="宋体"/>
          <w:b/>
          <w:bCs/>
          <w:color w:val="auto"/>
          <w:sz w:val="32"/>
          <w:szCs w:val="32"/>
          <w:lang w:val="zh-CN"/>
        </w:rPr>
        <w:t>针对本项目所投入的人员配置</w:t>
      </w:r>
    </w:p>
    <w:p>
      <w:pPr>
        <w:pStyle w:val="2"/>
        <w:rPr>
          <w:b w:val="0"/>
          <w:bCs w:val="0"/>
          <w:color w:val="auto"/>
          <w:kern w:val="0"/>
          <w:sz w:val="24"/>
          <w:szCs w:val="24"/>
        </w:rPr>
      </w:pPr>
      <w:r>
        <w:rPr>
          <w:b w:val="0"/>
          <w:bCs w:val="0"/>
          <w:color w:val="auto"/>
          <w:kern w:val="0"/>
          <w:sz w:val="24"/>
          <w:szCs w:val="24"/>
        </w:rPr>
        <w:t>(</w:t>
      </w:r>
      <w:r>
        <w:rPr>
          <w:rFonts w:hint="eastAsia" w:cs="宋体"/>
          <w:color w:val="auto"/>
          <w:sz w:val="24"/>
          <w:szCs w:val="24"/>
          <w:lang w:val="zh-CN"/>
        </w:rPr>
        <w:t>提供项目负责人及其它实施人员</w:t>
      </w:r>
      <w:r>
        <w:rPr>
          <w:rFonts w:hint="eastAsia" w:cs="宋体"/>
          <w:color w:val="auto"/>
          <w:kern w:val="0"/>
          <w:sz w:val="24"/>
          <w:szCs w:val="24"/>
        </w:rPr>
        <w:t>相应的证书或其他的证明材料复印件加盖公章</w:t>
      </w:r>
      <w:r>
        <w:rPr>
          <w:rFonts w:hint="eastAsia" w:cs="宋体"/>
          <w:b w:val="0"/>
          <w:bCs w:val="0"/>
          <w:color w:val="auto"/>
          <w:kern w:val="0"/>
          <w:sz w:val="24"/>
          <w:szCs w:val="24"/>
        </w:rPr>
        <w:t>）</w:t>
      </w:r>
    </w:p>
    <w:p>
      <w:pPr>
        <w:shd w:val="clear" w:color="auto" w:fill="FFFFFF"/>
        <w:adjustRightInd w:val="0"/>
        <w:snapToGrid w:val="0"/>
        <w:spacing w:line="360" w:lineRule="auto"/>
        <w:rPr>
          <w:rFonts w:ascii="宋体"/>
          <w:color w:val="auto"/>
          <w:kern w:val="0"/>
          <w:sz w:val="24"/>
          <w:szCs w:val="24"/>
          <w:lang w:val="zh-CN"/>
        </w:rPr>
      </w:pPr>
      <w:r>
        <w:rPr>
          <w:rFonts w:ascii="宋体" w:hAnsi="宋体" w:cs="宋体"/>
          <w:color w:val="auto"/>
          <w:kern w:val="0"/>
          <w:sz w:val="24"/>
          <w:szCs w:val="24"/>
          <w:lang w:val="zh-CN"/>
        </w:rPr>
        <w:t xml:space="preserve">                                           </w:t>
      </w: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ind w:firstLine="5280" w:firstLineChars="2200"/>
        <w:rPr>
          <w:color w:val="auto"/>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pStyle w:val="2"/>
        <w:ind w:firstLine="2249" w:firstLineChars="700"/>
        <w:rPr>
          <w:color w:val="auto"/>
          <w:kern w:val="2"/>
          <w:sz w:val="32"/>
          <w:szCs w:val="32"/>
        </w:rPr>
      </w:pPr>
    </w:p>
    <w:p>
      <w:pPr>
        <w:pStyle w:val="2"/>
        <w:ind w:firstLine="2249" w:firstLineChars="700"/>
        <w:rPr>
          <w:color w:val="auto"/>
          <w:kern w:val="2"/>
        </w:rPr>
      </w:pPr>
      <w:r>
        <w:rPr>
          <w:rFonts w:hint="eastAsia" w:cs="宋体"/>
          <w:color w:val="auto"/>
          <w:kern w:val="2"/>
          <w:sz w:val="32"/>
          <w:szCs w:val="32"/>
        </w:rPr>
        <w:t>九、</w:t>
      </w:r>
      <w:r>
        <w:rPr>
          <w:rFonts w:hint="eastAsia" w:cs="宋体"/>
          <w:color w:val="auto"/>
          <w:kern w:val="2"/>
          <w:sz w:val="32"/>
          <w:szCs w:val="32"/>
          <w:lang w:val="zh-CN"/>
        </w:rPr>
        <w:t>培训计划</w:t>
      </w:r>
    </w:p>
    <w:p>
      <w:pPr>
        <w:rPr>
          <w:color w:val="auto"/>
          <w:lang w:val="zh-CN"/>
        </w:rPr>
      </w:pPr>
    </w:p>
    <w:p>
      <w:pPr>
        <w:rPr>
          <w:rFonts w:ascii="宋体"/>
          <w:color w:val="auto"/>
          <w:kern w:val="0"/>
          <w:sz w:val="24"/>
          <w:szCs w:val="24"/>
          <w:lang w:val="zh-CN"/>
        </w:rPr>
      </w:pP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napToGrid w:val="0"/>
        <w:spacing w:line="360" w:lineRule="auto"/>
        <w:ind w:firstLine="5400" w:firstLineChars="2250"/>
        <w:rPr>
          <w:rFonts w:ascii="宋体"/>
          <w:color w:val="auto"/>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rPr>
          <w:rFonts w:ascii="宋体"/>
          <w:color w:val="auto"/>
          <w:kern w:val="0"/>
          <w:sz w:val="24"/>
          <w:szCs w:val="24"/>
          <w:lang w:val="zh-CN"/>
        </w:rPr>
      </w:pPr>
    </w:p>
    <w:p>
      <w:pPr>
        <w:pStyle w:val="2"/>
        <w:ind w:firstLine="1606" w:firstLineChars="500"/>
        <w:rPr>
          <w:color w:val="auto"/>
          <w:kern w:val="2"/>
          <w:sz w:val="32"/>
          <w:szCs w:val="32"/>
          <w:lang w:val="zh-CN"/>
        </w:rPr>
      </w:pPr>
      <w:r>
        <w:rPr>
          <w:rFonts w:hint="eastAsia" w:cs="宋体"/>
          <w:color w:val="auto"/>
          <w:kern w:val="2"/>
          <w:sz w:val="32"/>
          <w:szCs w:val="32"/>
          <w:lang w:val="zh-CN"/>
        </w:rPr>
        <w:t>十、</w:t>
      </w:r>
      <w:r>
        <w:rPr>
          <w:rFonts w:hint="eastAsia" w:cs="宋体"/>
          <w:color w:val="auto"/>
          <w:kern w:val="2"/>
          <w:sz w:val="32"/>
          <w:szCs w:val="32"/>
        </w:rPr>
        <w:t>售后服务方案</w:t>
      </w:r>
    </w:p>
    <w:p>
      <w:pPr>
        <w:rPr>
          <w:rFonts w:ascii="宋体"/>
          <w:color w:val="auto"/>
          <w:kern w:val="0"/>
          <w:sz w:val="24"/>
          <w:szCs w:val="24"/>
          <w:lang w:val="zh-CN"/>
        </w:rPr>
      </w:pPr>
    </w:p>
    <w:p>
      <w:pPr>
        <w:pStyle w:val="2"/>
        <w:rPr>
          <w:color w:val="auto"/>
          <w:kern w:val="0"/>
          <w:sz w:val="24"/>
          <w:szCs w:val="24"/>
          <w:lang w:val="zh-CN"/>
        </w:rPr>
      </w:pPr>
    </w:p>
    <w:p>
      <w:pPr>
        <w:rPr>
          <w:rFonts w:ascii="宋体"/>
          <w:color w:val="auto"/>
          <w:kern w:val="0"/>
          <w:sz w:val="24"/>
          <w:szCs w:val="24"/>
          <w:lang w:val="zh-CN"/>
        </w:rPr>
      </w:pP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napToGrid w:val="0"/>
        <w:spacing w:line="360" w:lineRule="auto"/>
        <w:ind w:firstLine="5400" w:firstLineChars="2250"/>
        <w:rPr>
          <w:color w:val="auto"/>
          <w:kern w:val="0"/>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pStyle w:val="2"/>
        <w:rPr>
          <w:color w:val="auto"/>
          <w:kern w:val="0"/>
          <w:sz w:val="24"/>
          <w:szCs w:val="24"/>
          <w:lang w:val="zh-CN"/>
        </w:rPr>
      </w:pPr>
    </w:p>
    <w:p>
      <w:pPr>
        <w:rPr>
          <w:color w:val="auto"/>
          <w:kern w:val="0"/>
          <w:sz w:val="24"/>
          <w:szCs w:val="24"/>
          <w:lang w:val="zh-CN"/>
        </w:rPr>
      </w:pPr>
    </w:p>
    <w:p>
      <w:pPr>
        <w:pStyle w:val="2"/>
        <w:rPr>
          <w:color w:val="auto"/>
          <w:kern w:val="0"/>
          <w:sz w:val="24"/>
          <w:szCs w:val="24"/>
          <w:lang w:val="zh-CN"/>
        </w:rPr>
      </w:pPr>
    </w:p>
    <w:p>
      <w:pPr>
        <w:rPr>
          <w:color w:val="auto"/>
          <w:kern w:val="0"/>
          <w:sz w:val="24"/>
          <w:szCs w:val="24"/>
          <w:lang w:val="zh-CN"/>
        </w:rPr>
      </w:pPr>
    </w:p>
    <w:p>
      <w:pPr>
        <w:pStyle w:val="2"/>
        <w:ind w:firstLine="1285" w:firstLineChars="400"/>
        <w:rPr>
          <w:color w:val="auto"/>
          <w:kern w:val="2"/>
          <w:sz w:val="32"/>
          <w:szCs w:val="32"/>
          <w:lang w:val="zh-CN"/>
        </w:rPr>
      </w:pPr>
    </w:p>
    <w:p>
      <w:pPr>
        <w:pStyle w:val="2"/>
        <w:ind w:firstLine="1285" w:firstLineChars="400"/>
        <w:rPr>
          <w:color w:val="auto"/>
          <w:kern w:val="2"/>
          <w:sz w:val="32"/>
          <w:szCs w:val="32"/>
          <w:lang w:val="zh-CN"/>
        </w:rPr>
      </w:pPr>
      <w:r>
        <w:rPr>
          <w:rFonts w:hint="eastAsia" w:cs="宋体"/>
          <w:color w:val="auto"/>
          <w:kern w:val="2"/>
          <w:sz w:val="32"/>
          <w:szCs w:val="32"/>
          <w:lang w:val="zh-CN"/>
        </w:rPr>
        <w:t>十一、</w:t>
      </w:r>
      <w:r>
        <w:rPr>
          <w:rFonts w:hint="eastAsia" w:cs="宋体"/>
          <w:color w:val="auto"/>
          <w:kern w:val="2"/>
          <w:sz w:val="32"/>
          <w:szCs w:val="32"/>
        </w:rPr>
        <w:t>针对本项目的合理化建议和改进措施</w:t>
      </w:r>
    </w:p>
    <w:p>
      <w:pPr>
        <w:pStyle w:val="2"/>
        <w:rPr>
          <w:color w:val="auto"/>
          <w:kern w:val="0"/>
          <w:sz w:val="24"/>
          <w:szCs w:val="24"/>
          <w:lang w:val="zh-CN"/>
        </w:rPr>
      </w:pPr>
    </w:p>
    <w:p>
      <w:pPr>
        <w:rPr>
          <w:rFonts w:ascii="宋体"/>
          <w:color w:val="auto"/>
          <w:kern w:val="0"/>
          <w:sz w:val="24"/>
          <w:szCs w:val="24"/>
          <w:lang w:val="zh-CN"/>
        </w:rPr>
      </w:pP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napToGrid w:val="0"/>
        <w:spacing w:line="360" w:lineRule="auto"/>
        <w:ind w:firstLine="5400" w:firstLineChars="2250"/>
        <w:rPr>
          <w:color w:val="auto"/>
          <w:kern w:val="0"/>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pStyle w:val="2"/>
        <w:ind w:firstLine="2570" w:firstLineChars="800"/>
        <w:rPr>
          <w:color w:val="auto"/>
          <w:kern w:val="2"/>
          <w:sz w:val="32"/>
          <w:szCs w:val="32"/>
          <w:lang w:val="zh-CN"/>
        </w:rPr>
      </w:pPr>
      <w:r>
        <w:rPr>
          <w:rFonts w:hint="eastAsia" w:cs="宋体"/>
          <w:color w:val="auto"/>
          <w:kern w:val="2"/>
          <w:sz w:val="32"/>
          <w:szCs w:val="32"/>
          <w:lang w:val="zh-CN"/>
        </w:rPr>
        <w:t>十二、</w:t>
      </w:r>
      <w:r>
        <w:rPr>
          <w:rFonts w:hint="eastAsia" w:cs="宋体"/>
          <w:color w:val="auto"/>
          <w:kern w:val="2"/>
          <w:sz w:val="32"/>
          <w:szCs w:val="32"/>
        </w:rPr>
        <w:t>优惠条件及承诺</w:t>
      </w:r>
    </w:p>
    <w:p>
      <w:pPr>
        <w:pStyle w:val="2"/>
        <w:rPr>
          <w:color w:val="auto"/>
          <w:kern w:val="0"/>
          <w:sz w:val="24"/>
          <w:szCs w:val="24"/>
          <w:lang w:val="zh-CN"/>
        </w:rPr>
      </w:pPr>
    </w:p>
    <w:p>
      <w:pPr>
        <w:rPr>
          <w:rFonts w:ascii="宋体"/>
          <w:color w:val="auto"/>
          <w:kern w:val="0"/>
          <w:sz w:val="24"/>
          <w:szCs w:val="24"/>
          <w:lang w:val="zh-CN"/>
        </w:rPr>
      </w:pP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napToGrid w:val="0"/>
        <w:spacing w:line="360" w:lineRule="auto"/>
        <w:ind w:firstLine="5400" w:firstLineChars="2250"/>
        <w:rPr>
          <w:color w:val="auto"/>
          <w:kern w:val="0"/>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pStyle w:val="2"/>
        <w:rPr>
          <w:color w:val="auto"/>
          <w:lang w:val="zh-CN"/>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r>
        <w:rPr>
          <w:rFonts w:hint="eastAsia" w:ascii="宋体" w:hAnsi="宋体" w:cs="宋体"/>
          <w:b/>
          <w:bCs/>
          <w:color w:val="auto"/>
          <w:sz w:val="32"/>
          <w:szCs w:val="32"/>
        </w:rPr>
        <w:t>十三、商务技术偏离表</w:t>
      </w:r>
    </w:p>
    <w:p>
      <w:pPr>
        <w:shd w:val="clear" w:color="auto" w:fill="FFFFFF"/>
        <w:spacing w:line="360" w:lineRule="auto"/>
        <w:rPr>
          <w:rFonts w:ascii="宋体"/>
          <w:color w:val="auto"/>
          <w:sz w:val="24"/>
          <w:szCs w:val="24"/>
        </w:rPr>
      </w:pPr>
      <w:r>
        <w:rPr>
          <w:rFonts w:ascii="宋体" w:hAnsi="宋体" w:cs="宋体"/>
          <w:color w:val="auto"/>
          <w:sz w:val="24"/>
          <w:szCs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8"/>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招标文件要求</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投标文件响应</w:t>
            </w:r>
          </w:p>
        </w:tc>
        <w:tc>
          <w:tcPr>
            <w:tcW w:w="1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偏离</w:t>
            </w:r>
          </w:p>
        </w:tc>
        <w:tc>
          <w:tcPr>
            <w:tcW w:w="2240" w:type="dxa"/>
            <w:tcBorders>
              <w:top w:val="single" w:color="auto" w:sz="4" w:space="0"/>
              <w:left w:val="single" w:color="auto" w:sz="4" w:space="0"/>
              <w:bottom w:val="single" w:color="auto" w:sz="4" w:space="0"/>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bottom w:val="single" w:color="auto" w:sz="4" w:space="0"/>
              <w:right w:val="single" w:color="auto" w:sz="4" w:space="0"/>
            </w:tcBorders>
          </w:tcPr>
          <w:p>
            <w:pPr>
              <w:spacing w:line="360" w:lineRule="auto"/>
              <w:jc w:val="center"/>
              <w:rPr>
                <w:rFonts w:ascii="宋体"/>
                <w:color w:val="auto"/>
                <w:sz w:val="24"/>
                <w:szCs w:val="24"/>
              </w:rPr>
            </w:pPr>
            <w:r>
              <w:rPr>
                <w:rFonts w:ascii="宋体"/>
                <w:color w:val="auto"/>
                <w:sz w:val="24"/>
                <w:szCs w:val="24"/>
              </w:rPr>
              <w:t> </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szCs w:val="24"/>
              </w:rPr>
            </w:pPr>
            <w:r>
              <w:rPr>
                <w:rFonts w:ascii="宋体"/>
                <w:color w:val="auto"/>
                <w:sz w:val="24"/>
                <w:szCs w:val="24"/>
              </w:rPr>
              <w:t> </w:t>
            </w:r>
          </w:p>
        </w:tc>
        <w:tc>
          <w:tcPr>
            <w:tcW w:w="19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szCs w:val="24"/>
              </w:rPr>
            </w:pPr>
            <w:r>
              <w:rPr>
                <w:rFonts w:ascii="宋体"/>
                <w:color w:val="auto"/>
                <w:sz w:val="24"/>
                <w:szCs w:val="24"/>
              </w:rPr>
              <w:t> </w:t>
            </w:r>
          </w:p>
        </w:tc>
        <w:tc>
          <w:tcPr>
            <w:tcW w:w="2240" w:type="dxa"/>
            <w:tcBorders>
              <w:top w:val="single" w:color="auto" w:sz="4" w:space="0"/>
              <w:left w:val="single" w:color="auto" w:sz="4" w:space="0"/>
              <w:bottom w:val="single" w:color="auto" w:sz="4" w:space="0"/>
            </w:tcBorders>
          </w:tcPr>
          <w:p>
            <w:pPr>
              <w:spacing w:line="360" w:lineRule="auto"/>
              <w:jc w:val="center"/>
              <w:rPr>
                <w:rFonts w:ascii="宋体"/>
                <w:color w:val="auto"/>
                <w:sz w:val="24"/>
                <w:szCs w:val="24"/>
              </w:rPr>
            </w:pPr>
            <w:r>
              <w:rPr>
                <w:rFonts w:ascii="宋体"/>
                <w:color w:val="auto"/>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bottom w:val="single" w:color="auto" w:sz="4" w:space="0"/>
              <w:right w:val="single" w:color="auto" w:sz="4" w:space="0"/>
            </w:tcBorders>
          </w:tcPr>
          <w:p>
            <w:pPr>
              <w:spacing w:line="360" w:lineRule="auto"/>
              <w:jc w:val="center"/>
              <w:rPr>
                <w:rFonts w:ascii="宋体"/>
                <w:color w:val="auto"/>
                <w:sz w:val="24"/>
                <w:szCs w:val="24"/>
              </w:rPr>
            </w:pPr>
            <w:r>
              <w:rPr>
                <w:rFonts w:ascii="宋体"/>
                <w:color w:val="auto"/>
                <w:sz w:val="24"/>
                <w:szCs w:val="24"/>
              </w:rPr>
              <w:t> </w:t>
            </w: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szCs w:val="24"/>
              </w:rPr>
            </w:pPr>
            <w:r>
              <w:rPr>
                <w:rFonts w:ascii="宋体"/>
                <w:color w:val="auto"/>
                <w:sz w:val="24"/>
                <w:szCs w:val="24"/>
              </w:rPr>
              <w:t> </w:t>
            </w:r>
          </w:p>
        </w:tc>
        <w:tc>
          <w:tcPr>
            <w:tcW w:w="19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szCs w:val="24"/>
              </w:rPr>
            </w:pPr>
            <w:r>
              <w:rPr>
                <w:rFonts w:ascii="宋体"/>
                <w:color w:val="auto"/>
                <w:sz w:val="24"/>
                <w:szCs w:val="24"/>
              </w:rPr>
              <w:t> </w:t>
            </w:r>
          </w:p>
        </w:tc>
        <w:tc>
          <w:tcPr>
            <w:tcW w:w="2240" w:type="dxa"/>
            <w:tcBorders>
              <w:top w:val="single" w:color="auto" w:sz="4" w:space="0"/>
              <w:left w:val="single" w:color="auto" w:sz="4" w:space="0"/>
              <w:bottom w:val="single" w:color="auto" w:sz="4" w:space="0"/>
            </w:tcBorders>
          </w:tcPr>
          <w:p>
            <w:pPr>
              <w:spacing w:line="360" w:lineRule="auto"/>
              <w:jc w:val="center"/>
              <w:rPr>
                <w:rFonts w:ascii="宋体"/>
                <w:color w:val="auto"/>
                <w:sz w:val="24"/>
                <w:szCs w:val="24"/>
              </w:rPr>
            </w:pPr>
            <w:r>
              <w:rPr>
                <w:rFonts w:ascii="宋体"/>
                <w:color w:val="auto"/>
                <w:sz w:val="24"/>
                <w:szCs w:val="24"/>
              </w:rPr>
              <w:t> </w:t>
            </w:r>
          </w:p>
        </w:tc>
      </w:tr>
    </w:tbl>
    <w:p>
      <w:pPr>
        <w:shd w:val="clear" w:color="auto" w:fill="FFFFFF"/>
        <w:adjustRightInd w:val="0"/>
        <w:spacing w:line="360" w:lineRule="auto"/>
        <w:ind w:firstLine="5160" w:firstLineChars="2150"/>
        <w:rPr>
          <w:rFonts w:ascii="宋体"/>
          <w:color w:val="auto"/>
          <w:kern w:val="0"/>
          <w:sz w:val="24"/>
          <w:szCs w:val="24"/>
          <w:lang w:val="zh-CN"/>
        </w:rPr>
      </w:pPr>
    </w:p>
    <w:p>
      <w:pPr>
        <w:rPr>
          <w:rFonts w:ascii="宋体"/>
          <w:color w:val="auto"/>
          <w:kern w:val="0"/>
          <w:sz w:val="24"/>
          <w:szCs w:val="24"/>
          <w:lang w:val="zh-CN"/>
        </w:rPr>
      </w:pP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shd w:val="clear" w:color="auto" w:fill="FFFFFF"/>
        <w:adjustRightInd w:val="0"/>
        <w:spacing w:line="360" w:lineRule="auto"/>
        <w:ind w:firstLine="5160" w:firstLineChars="2150"/>
        <w:rPr>
          <w:rFonts w:ascii="宋体"/>
          <w:color w:val="auto"/>
          <w:kern w:val="0"/>
          <w:sz w:val="24"/>
          <w:szCs w:val="24"/>
          <w:lang w:val="zh-CN"/>
        </w:rPr>
      </w:pP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shd w:val="clear" w:color="auto" w:fill="FFFFFF"/>
        <w:adjustRightInd w:val="0"/>
        <w:spacing w:line="360" w:lineRule="auto"/>
        <w:jc w:val="center"/>
        <w:outlineLvl w:val="2"/>
        <w:rPr>
          <w:rFonts w:ascii="宋体"/>
          <w:b/>
          <w:bCs/>
          <w:color w:val="auto"/>
          <w:sz w:val="32"/>
          <w:szCs w:val="32"/>
        </w:rPr>
      </w:pPr>
    </w:p>
    <w:p>
      <w:pPr>
        <w:shd w:val="clear" w:color="auto" w:fill="FFFFFF"/>
        <w:adjustRightInd w:val="0"/>
        <w:spacing w:line="360" w:lineRule="auto"/>
        <w:outlineLvl w:val="2"/>
        <w:rPr>
          <w:rFonts w:ascii="宋体"/>
          <w:b/>
          <w:bCs/>
          <w:color w:val="auto"/>
          <w:sz w:val="32"/>
          <w:szCs w:val="32"/>
        </w:rPr>
      </w:pPr>
    </w:p>
    <w:p>
      <w:pPr>
        <w:shd w:val="clear" w:color="auto" w:fill="FFFFFF"/>
        <w:adjustRightInd w:val="0"/>
        <w:spacing w:line="360" w:lineRule="auto"/>
        <w:jc w:val="center"/>
        <w:outlineLvl w:val="2"/>
        <w:rPr>
          <w:rFonts w:ascii="宋体"/>
          <w:b/>
          <w:bCs/>
          <w:color w:val="auto"/>
          <w:sz w:val="32"/>
          <w:szCs w:val="32"/>
        </w:rPr>
      </w:pPr>
      <w:r>
        <w:rPr>
          <w:rFonts w:hint="eastAsia" w:ascii="宋体" w:hAnsi="宋体" w:cs="宋体"/>
          <w:b/>
          <w:bCs/>
          <w:color w:val="auto"/>
          <w:sz w:val="32"/>
          <w:szCs w:val="32"/>
        </w:rPr>
        <w:t>十四、其他商务技术文件或说明</w:t>
      </w:r>
    </w:p>
    <w:p>
      <w:pPr>
        <w:shd w:val="clear" w:color="auto" w:fill="FFFFFF"/>
        <w:adjustRightInd w:val="0"/>
        <w:spacing w:line="360" w:lineRule="auto"/>
        <w:ind w:firstLine="4967" w:firstLineChars="1546"/>
        <w:rPr>
          <w:rFonts w:ascii="宋体"/>
          <w:b/>
          <w:bCs/>
          <w:color w:val="auto"/>
          <w:sz w:val="32"/>
          <w:szCs w:val="32"/>
        </w:rPr>
      </w:pPr>
      <w:r>
        <w:rPr>
          <w:rFonts w:ascii="宋体"/>
          <w:b/>
          <w:bCs/>
          <w:color w:val="auto"/>
          <w:sz w:val="32"/>
          <w:szCs w:val="32"/>
        </w:rPr>
        <w:t> </w:t>
      </w:r>
    </w:p>
    <w:p>
      <w:pPr>
        <w:rPr>
          <w:rFonts w:ascii="宋体"/>
          <w:color w:val="auto"/>
          <w:kern w:val="0"/>
          <w:sz w:val="24"/>
          <w:szCs w:val="24"/>
          <w:lang w:val="zh-CN"/>
        </w:rPr>
      </w:pPr>
    </w:p>
    <w:p>
      <w:pPr>
        <w:shd w:val="clear" w:color="auto" w:fill="FFFFFF"/>
        <w:adjustRightInd w:val="0"/>
        <w:snapToGrid w:val="0"/>
        <w:spacing w:line="360" w:lineRule="auto"/>
        <w:ind w:firstLine="70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投标人名称</w:t>
      </w:r>
      <w:r>
        <w:rPr>
          <w:rFonts w:ascii="宋体" w:hAnsi="宋体" w:cs="宋体"/>
          <w:color w:val="auto"/>
          <w:sz w:val="24"/>
          <w:szCs w:val="24"/>
        </w:rPr>
        <w:t>(</w:t>
      </w:r>
      <w:r>
        <w:rPr>
          <w:rFonts w:hint="eastAsia" w:ascii="宋体" w:hAnsi="宋体" w:cs="宋体"/>
          <w:color w:val="auto"/>
          <w:sz w:val="24"/>
          <w:szCs w:val="24"/>
        </w:rPr>
        <w:t>公章</w:t>
      </w:r>
      <w:r>
        <w:rPr>
          <w:rFonts w:ascii="宋体" w:hAnsi="宋体" w:cs="宋体"/>
          <w:color w:val="auto"/>
          <w:sz w:val="24"/>
          <w:szCs w:val="24"/>
        </w:rPr>
        <w:t>)</w:t>
      </w:r>
      <w:r>
        <w:rPr>
          <w:rFonts w:hint="eastAsia" w:ascii="宋体" w:hAnsi="宋体" w:cs="宋体"/>
          <w:color w:val="auto"/>
          <w:sz w:val="24"/>
          <w:szCs w:val="24"/>
        </w:rPr>
        <w:t>：</w:t>
      </w:r>
    </w:p>
    <w:p>
      <w:pPr>
        <w:tabs>
          <w:tab w:val="left" w:pos="2896"/>
          <w:tab w:val="center" w:pos="4412"/>
        </w:tabs>
        <w:spacing w:line="360" w:lineRule="auto"/>
        <w:jc w:val="left"/>
        <w:rPr>
          <w:rFonts w:ascii="宋体"/>
          <w:b/>
          <w:bCs/>
          <w:color w:val="auto"/>
          <w:sz w:val="30"/>
          <w:szCs w:val="30"/>
        </w:rPr>
      </w:pPr>
      <w:r>
        <w:rPr>
          <w:rFonts w:ascii="宋体"/>
          <w:color w:val="auto"/>
          <w:sz w:val="24"/>
          <w:szCs w:val="24"/>
        </w:rPr>
        <w:tab/>
      </w:r>
      <w:r>
        <w:rPr>
          <w:rFonts w:ascii="宋体" w:hAnsi="宋体" w:cs="宋体"/>
          <w:color w:val="auto"/>
          <w:sz w:val="24"/>
          <w:szCs w:val="24"/>
        </w:rPr>
        <w:t xml:space="preserve">                  </w:t>
      </w:r>
      <w:r>
        <w:rPr>
          <w:rFonts w:ascii="宋体" w:hAnsi="宋体" w:cs="宋体"/>
          <w:color w:val="auto"/>
          <w:sz w:val="24"/>
          <w:szCs w:val="24"/>
        </w:rPr>
        <w:tab/>
      </w:r>
      <w:r>
        <w:rPr>
          <w:rFonts w:hint="eastAsia" w:ascii="宋体" w:hAnsi="宋体" w:cs="宋体"/>
          <w:color w:val="auto"/>
          <w:sz w:val="24"/>
          <w:szCs w:val="24"/>
        </w:rPr>
        <w:t>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p>
    <w:p>
      <w:pPr>
        <w:keepNext/>
        <w:keepLines/>
        <w:shd w:val="clear" w:color="auto" w:fill="FFFFFF"/>
        <w:tabs>
          <w:tab w:val="left" w:pos="706"/>
        </w:tabs>
        <w:spacing w:line="360" w:lineRule="auto"/>
        <w:ind w:left="106"/>
        <w:jc w:val="center"/>
        <w:outlineLvl w:val="1"/>
        <w:rPr>
          <w:rFonts w:ascii="宋体"/>
          <w:b/>
          <w:bCs/>
          <w:color w:val="auto"/>
          <w:sz w:val="36"/>
          <w:szCs w:val="36"/>
          <w:lang w:val="zh-CN"/>
        </w:rPr>
      </w:pPr>
    </w:p>
    <w:p>
      <w:pPr>
        <w:pStyle w:val="2"/>
        <w:rPr>
          <w:rFonts w:ascii="宋体"/>
          <w:color w:val="auto"/>
          <w:sz w:val="36"/>
          <w:szCs w:val="36"/>
          <w:lang w:val="zh-CN"/>
        </w:rPr>
      </w:pPr>
    </w:p>
    <w:p>
      <w:pPr>
        <w:rPr>
          <w:rFonts w:ascii="宋体"/>
          <w:b/>
          <w:bCs/>
          <w:color w:val="auto"/>
          <w:sz w:val="36"/>
          <w:szCs w:val="36"/>
          <w:lang w:val="zh-CN"/>
        </w:rPr>
      </w:pPr>
    </w:p>
    <w:p>
      <w:pPr>
        <w:pStyle w:val="2"/>
        <w:rPr>
          <w:rFonts w:ascii="宋体"/>
          <w:color w:val="auto"/>
          <w:sz w:val="36"/>
          <w:szCs w:val="36"/>
          <w:lang w:val="zh-CN"/>
        </w:rPr>
      </w:pPr>
    </w:p>
    <w:p>
      <w:pPr>
        <w:rPr>
          <w:rFonts w:ascii="宋体"/>
          <w:b/>
          <w:bCs/>
          <w:color w:val="auto"/>
          <w:sz w:val="36"/>
          <w:szCs w:val="36"/>
          <w:lang w:val="zh-CN"/>
        </w:rPr>
      </w:pPr>
    </w:p>
    <w:p>
      <w:pPr>
        <w:pStyle w:val="2"/>
        <w:rPr>
          <w:color w:val="auto"/>
          <w:lang w:val="zh-CN"/>
        </w:rPr>
      </w:pPr>
    </w:p>
    <w:p>
      <w:pPr>
        <w:keepNext/>
        <w:keepLines/>
        <w:shd w:val="clear" w:color="auto" w:fill="FFFFFF"/>
        <w:tabs>
          <w:tab w:val="left" w:pos="706"/>
        </w:tabs>
        <w:spacing w:line="360" w:lineRule="auto"/>
        <w:ind w:left="106"/>
        <w:jc w:val="center"/>
        <w:outlineLvl w:val="1"/>
        <w:rPr>
          <w:rFonts w:ascii="宋体"/>
          <w:b/>
          <w:bCs/>
          <w:color w:val="auto"/>
          <w:kern w:val="0"/>
          <w:sz w:val="36"/>
          <w:szCs w:val="36"/>
        </w:rPr>
      </w:pPr>
      <w:r>
        <w:rPr>
          <w:rFonts w:hint="eastAsia" w:ascii="宋体" w:hAnsi="宋体" w:cs="宋体"/>
          <w:b/>
          <w:bCs/>
          <w:color w:val="auto"/>
          <w:sz w:val="36"/>
          <w:szCs w:val="36"/>
          <w:lang w:val="zh-CN"/>
        </w:rPr>
        <w:t>▲</w:t>
      </w:r>
      <w:r>
        <w:rPr>
          <w:rFonts w:hint="eastAsia" w:ascii="宋体" w:hAnsi="宋体" w:cs="宋体"/>
          <w:b/>
          <w:bCs/>
          <w:color w:val="auto"/>
          <w:sz w:val="36"/>
          <w:szCs w:val="36"/>
        </w:rPr>
        <w:t>资格</w:t>
      </w:r>
      <w:r>
        <w:rPr>
          <w:rFonts w:hint="eastAsia" w:ascii="宋体" w:hAnsi="宋体" w:cs="宋体"/>
          <w:b/>
          <w:bCs/>
          <w:color w:val="auto"/>
          <w:kern w:val="0"/>
          <w:sz w:val="36"/>
          <w:szCs w:val="36"/>
        </w:rPr>
        <w:t>文件</w:t>
      </w:r>
      <w:bookmarkEnd w:id="104"/>
      <w:bookmarkEnd w:id="105"/>
      <w:bookmarkEnd w:id="106"/>
    </w:p>
    <w:p>
      <w:pPr>
        <w:shd w:val="clear" w:color="auto" w:fill="FFFFFF"/>
        <w:spacing w:line="360" w:lineRule="auto"/>
        <w:jc w:val="center"/>
        <w:rPr>
          <w:rFonts w:ascii="宋体"/>
          <w:b/>
          <w:bCs/>
          <w:color w:val="auto"/>
          <w:kern w:val="0"/>
          <w:sz w:val="32"/>
          <w:szCs w:val="32"/>
        </w:rPr>
      </w:pPr>
      <w:r>
        <w:rPr>
          <w:rFonts w:ascii="宋体"/>
          <w:b/>
          <w:bCs/>
          <w:color w:val="auto"/>
          <w:kern w:val="0"/>
          <w:sz w:val="32"/>
          <w:szCs w:val="32"/>
        </w:rPr>
        <w:t> </w:t>
      </w:r>
    </w:p>
    <w:p>
      <w:pPr>
        <w:shd w:val="clear" w:color="auto" w:fill="FFFFFF"/>
        <w:spacing w:line="360" w:lineRule="auto"/>
        <w:jc w:val="center"/>
        <w:rPr>
          <w:rFonts w:ascii="宋体"/>
          <w:b/>
          <w:bCs/>
          <w:color w:val="auto"/>
          <w:kern w:val="0"/>
          <w:sz w:val="32"/>
          <w:szCs w:val="32"/>
        </w:rPr>
      </w:pPr>
      <w:r>
        <w:rPr>
          <w:rFonts w:hint="eastAsia" w:ascii="宋体" w:hAnsi="宋体" w:cs="宋体"/>
          <w:b/>
          <w:bCs/>
          <w:color w:val="auto"/>
          <w:kern w:val="0"/>
          <w:sz w:val="32"/>
          <w:szCs w:val="32"/>
        </w:rPr>
        <w:t>目录</w:t>
      </w:r>
    </w:p>
    <w:p>
      <w:pPr>
        <w:shd w:val="clear" w:color="auto" w:fill="FFFFFF"/>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）营业执照或事业法人登记证证明材料（复印件）…………………（页码）</w:t>
      </w:r>
    </w:p>
    <w:p>
      <w:pPr>
        <w:shd w:val="clear" w:color="auto" w:fill="FFFFFF"/>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2018</w:t>
      </w:r>
      <w:r>
        <w:rPr>
          <w:rFonts w:hint="eastAsia" w:ascii="宋体" w:hAnsi="宋体" w:cs="宋体"/>
          <w:color w:val="auto"/>
          <w:kern w:val="0"/>
          <w:sz w:val="24"/>
          <w:szCs w:val="24"/>
        </w:rPr>
        <w:t>年度的资产负债表等财务报表资料文件………………………（页码）</w:t>
      </w:r>
    </w:p>
    <w:p>
      <w:pPr>
        <w:shd w:val="clear" w:color="auto" w:fill="FFFFFF"/>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）具有履行合同所必需的专业服务（技术）能力的承诺函…………（页码）</w:t>
      </w:r>
    </w:p>
    <w:p>
      <w:pPr>
        <w:shd w:val="clear" w:color="auto" w:fill="FFFFFF"/>
        <w:adjustRightInd w:val="0"/>
        <w:snapToGrid w:val="0"/>
        <w:spacing w:line="360" w:lineRule="auto"/>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）参加政府招标活动前</w:t>
      </w:r>
      <w:r>
        <w:rPr>
          <w:rFonts w:ascii="宋体" w:hAnsi="宋体" w:cs="宋体"/>
          <w:color w:val="auto"/>
          <w:kern w:val="0"/>
          <w:sz w:val="24"/>
          <w:szCs w:val="24"/>
        </w:rPr>
        <w:t>3</w:t>
      </w:r>
      <w:r>
        <w:rPr>
          <w:rFonts w:hint="eastAsia" w:ascii="宋体" w:hAnsi="宋体" w:cs="宋体"/>
          <w:color w:val="auto"/>
          <w:kern w:val="0"/>
          <w:sz w:val="24"/>
          <w:szCs w:val="24"/>
        </w:rPr>
        <w:t>年内在经营活动中没有重大违法记录的声明（页码）</w:t>
      </w: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shd w:val="clear" w:color="auto" w:fill="FFFFFF"/>
        <w:adjustRightInd w:val="0"/>
        <w:snapToGrid w:val="0"/>
        <w:spacing w:line="360" w:lineRule="auto"/>
        <w:jc w:val="center"/>
        <w:rPr>
          <w:rFonts w:ascii="宋体"/>
          <w:color w:val="auto"/>
          <w:sz w:val="36"/>
          <w:szCs w:val="36"/>
        </w:rPr>
      </w:pPr>
    </w:p>
    <w:p>
      <w:pPr>
        <w:pStyle w:val="2"/>
        <w:tabs>
          <w:tab w:val="left" w:pos="432"/>
        </w:tabs>
        <w:spacing w:line="360" w:lineRule="auto"/>
        <w:rPr>
          <w:rFonts w:ascii="宋体"/>
          <w:color w:val="auto"/>
        </w:rPr>
      </w:pPr>
    </w:p>
    <w:p>
      <w:pPr>
        <w:shd w:val="clear" w:color="auto" w:fill="FFFFFF"/>
        <w:adjustRightInd w:val="0"/>
        <w:snapToGrid w:val="0"/>
        <w:spacing w:line="360" w:lineRule="auto"/>
        <w:jc w:val="center"/>
        <w:rPr>
          <w:rFonts w:ascii="宋体"/>
          <w:color w:val="auto"/>
          <w:sz w:val="36"/>
          <w:szCs w:val="36"/>
        </w:rPr>
      </w:pPr>
    </w:p>
    <w:p>
      <w:pPr>
        <w:pStyle w:val="2"/>
        <w:tabs>
          <w:tab w:val="left" w:pos="432"/>
        </w:tabs>
        <w:spacing w:line="360" w:lineRule="auto"/>
        <w:rPr>
          <w:color w:val="auto"/>
        </w:rPr>
      </w:pPr>
    </w:p>
    <w:p>
      <w:pPr>
        <w:spacing w:line="360" w:lineRule="auto"/>
        <w:rPr>
          <w:rFonts w:ascii="宋体"/>
          <w:b/>
          <w:bCs/>
          <w:color w:val="auto"/>
          <w:kern w:val="36"/>
          <w:sz w:val="32"/>
          <w:szCs w:val="32"/>
        </w:rPr>
      </w:pPr>
      <w:r>
        <w:rPr>
          <w:rFonts w:hint="eastAsia" w:ascii="宋体" w:hAnsi="宋体" w:cs="宋体"/>
          <w:b/>
          <w:bCs/>
          <w:color w:val="auto"/>
          <w:kern w:val="36"/>
          <w:sz w:val="32"/>
          <w:szCs w:val="32"/>
        </w:rPr>
        <w:t>一、营业执照或事业法人登记证证明材料（复印件加盖公章）</w:t>
      </w:r>
    </w:p>
    <w:p>
      <w:pPr>
        <w:spacing w:line="360" w:lineRule="auto"/>
        <w:rPr>
          <w:rFonts w:ascii="宋体"/>
          <w:b/>
          <w:bCs/>
          <w:color w:val="auto"/>
          <w:kern w:val="36"/>
          <w:sz w:val="32"/>
          <w:szCs w:val="32"/>
        </w:rPr>
      </w:pPr>
    </w:p>
    <w:p>
      <w:pPr>
        <w:spacing w:line="360" w:lineRule="auto"/>
        <w:rPr>
          <w:rFonts w:ascii="宋体"/>
          <w:b/>
          <w:bCs/>
          <w:color w:val="auto"/>
          <w:kern w:val="36"/>
          <w:sz w:val="32"/>
          <w:szCs w:val="32"/>
        </w:rPr>
      </w:pPr>
      <w:r>
        <w:rPr>
          <w:rFonts w:hint="eastAsia" w:ascii="宋体" w:hAnsi="宋体" w:cs="宋体"/>
          <w:b/>
          <w:bCs/>
          <w:color w:val="auto"/>
          <w:kern w:val="36"/>
          <w:sz w:val="32"/>
          <w:szCs w:val="32"/>
        </w:rPr>
        <w:t>二、</w:t>
      </w:r>
      <w:r>
        <w:rPr>
          <w:rFonts w:ascii="宋体" w:hAnsi="宋体" w:cs="宋体"/>
          <w:b/>
          <w:bCs/>
          <w:color w:val="auto"/>
          <w:kern w:val="36"/>
          <w:sz w:val="32"/>
          <w:szCs w:val="32"/>
        </w:rPr>
        <w:t>2018</w:t>
      </w:r>
      <w:r>
        <w:rPr>
          <w:rFonts w:hint="eastAsia" w:ascii="宋体" w:hAnsi="宋体" w:cs="宋体"/>
          <w:b/>
          <w:bCs/>
          <w:color w:val="auto"/>
          <w:kern w:val="36"/>
          <w:sz w:val="32"/>
          <w:szCs w:val="32"/>
        </w:rPr>
        <w:t>年度的资产负债表等财务报表资料文件</w:t>
      </w:r>
    </w:p>
    <w:p>
      <w:pPr>
        <w:spacing w:line="360" w:lineRule="auto"/>
        <w:ind w:firstLine="2570" w:firstLineChars="800"/>
        <w:rPr>
          <w:rFonts w:ascii="宋体"/>
          <w:color w:val="auto"/>
        </w:rPr>
      </w:pPr>
      <w:r>
        <w:rPr>
          <w:rFonts w:hint="eastAsia" w:ascii="宋体" w:hAnsi="宋体" w:cs="宋体"/>
          <w:b/>
          <w:bCs/>
          <w:color w:val="auto"/>
          <w:kern w:val="36"/>
          <w:sz w:val="32"/>
          <w:szCs w:val="32"/>
        </w:rPr>
        <w:t>（复印件加盖公章）</w:t>
      </w:r>
    </w:p>
    <w:p>
      <w:pPr>
        <w:spacing w:line="360" w:lineRule="auto"/>
        <w:rPr>
          <w:rFonts w:ascii="宋体"/>
          <w:color w:val="auto"/>
        </w:rPr>
      </w:pPr>
    </w:p>
    <w:p>
      <w:pPr>
        <w:spacing w:line="360" w:lineRule="auto"/>
        <w:rPr>
          <w:rFonts w:ascii="宋体"/>
          <w:color w:val="auto"/>
        </w:rPr>
      </w:pPr>
    </w:p>
    <w:p>
      <w:pPr>
        <w:pStyle w:val="2"/>
        <w:tabs>
          <w:tab w:val="left" w:pos="432"/>
        </w:tabs>
        <w:spacing w:line="360" w:lineRule="auto"/>
        <w:rPr>
          <w:rFonts w:ascii="宋体"/>
          <w:color w:val="auto"/>
        </w:rPr>
      </w:pPr>
      <w:r>
        <w:rPr>
          <w:rFonts w:hint="eastAsia" w:ascii="宋体" w:hAnsi="宋体" w:cs="宋体"/>
          <w:color w:val="auto"/>
          <w:kern w:val="36"/>
          <w:sz w:val="32"/>
          <w:szCs w:val="32"/>
        </w:rPr>
        <w:t>三、具有履行合同所必需的专业服务（技术）能力的承诺函</w:t>
      </w:r>
    </w:p>
    <w:p>
      <w:pPr>
        <w:widowControl/>
        <w:adjustRightInd w:val="0"/>
        <w:snapToGrid w:val="0"/>
        <w:spacing w:line="360" w:lineRule="auto"/>
        <w:jc w:val="left"/>
        <w:rPr>
          <w:rFonts w:ascii="宋体"/>
          <w:color w:val="auto"/>
          <w:kern w:val="0"/>
          <w:sz w:val="24"/>
          <w:szCs w:val="24"/>
        </w:rPr>
      </w:pPr>
      <w:r>
        <w:rPr>
          <w:rFonts w:hint="eastAsia" w:ascii="宋体" w:hAnsi="宋体" w:cs="宋体"/>
          <w:color w:val="auto"/>
          <w:kern w:val="0"/>
          <w:sz w:val="24"/>
          <w:szCs w:val="24"/>
          <w:u w:val="single"/>
        </w:rPr>
        <w:t>（招标人）</w:t>
      </w:r>
      <w:r>
        <w:rPr>
          <w:rFonts w:hint="eastAsia" w:ascii="宋体" w:hAnsi="宋体" w:cs="宋体"/>
          <w:color w:val="auto"/>
          <w:kern w:val="0"/>
          <w:sz w:val="24"/>
          <w:szCs w:val="24"/>
        </w:rPr>
        <w:t>：</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我方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（投标人）</w:t>
      </w:r>
      <w:r>
        <w:rPr>
          <w:rFonts w:hint="eastAsia" w:ascii="宋体" w:hAnsi="宋体" w:cs="宋体"/>
          <w:color w:val="auto"/>
          <w:kern w:val="0"/>
          <w:sz w:val="24"/>
          <w:szCs w:val="24"/>
        </w:rPr>
        <w:t>承诺具有履行合同所必需的专业服务（技术）能力。如有虚假，招标人可取消我方任何资格（投标</w:t>
      </w:r>
      <w:r>
        <w:rPr>
          <w:rFonts w:ascii="宋体" w:hAnsi="宋体" w:cs="宋体"/>
          <w:color w:val="auto"/>
          <w:kern w:val="0"/>
          <w:sz w:val="24"/>
          <w:szCs w:val="24"/>
        </w:rPr>
        <w:t>/</w:t>
      </w:r>
      <w:r>
        <w:rPr>
          <w:rFonts w:hint="eastAsia" w:ascii="宋体" w:hAnsi="宋体" w:cs="宋体"/>
          <w:color w:val="auto"/>
          <w:kern w:val="0"/>
          <w:sz w:val="24"/>
          <w:szCs w:val="24"/>
        </w:rPr>
        <w:t>中标</w:t>
      </w:r>
      <w:r>
        <w:rPr>
          <w:rFonts w:ascii="宋体" w:hAnsi="宋体" w:cs="宋体"/>
          <w:color w:val="auto"/>
          <w:kern w:val="0"/>
          <w:sz w:val="24"/>
          <w:szCs w:val="24"/>
        </w:rPr>
        <w:t>/</w:t>
      </w:r>
      <w:r>
        <w:rPr>
          <w:rFonts w:hint="eastAsia" w:ascii="宋体" w:hAnsi="宋体" w:cs="宋体"/>
          <w:color w:val="auto"/>
          <w:kern w:val="0"/>
          <w:sz w:val="24"/>
          <w:szCs w:val="24"/>
        </w:rPr>
        <w:t>签订合同），我方对此无任何异议。</w:t>
      </w: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特此承诺！</w:t>
      </w: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560" w:firstLineChars="1900"/>
        <w:jc w:val="left"/>
        <w:rPr>
          <w:rFonts w:ascii="宋体"/>
          <w:color w:val="auto"/>
          <w:kern w:val="0"/>
          <w:sz w:val="24"/>
          <w:szCs w:val="24"/>
        </w:rPr>
      </w:pPr>
      <w:r>
        <w:rPr>
          <w:rFonts w:hint="eastAsia" w:ascii="宋体" w:hAnsi="宋体" w:cs="宋体"/>
          <w:color w:val="auto"/>
          <w:kern w:val="0"/>
          <w:sz w:val="24"/>
          <w:szCs w:val="24"/>
        </w:rPr>
        <w:t>投标人名称（盖章）</w:t>
      </w:r>
      <w:r>
        <w:rPr>
          <w:rFonts w:ascii="宋体" w:hAnsi="宋体" w:cs="宋体"/>
          <w:color w:val="auto"/>
          <w:kern w:val="0"/>
          <w:sz w:val="24"/>
          <w:szCs w:val="24"/>
        </w:rPr>
        <w:t xml:space="preserve"> </w:t>
      </w:r>
      <w:r>
        <w:rPr>
          <w:rFonts w:hint="eastAsia" w:ascii="宋体" w:hAnsi="宋体" w:cs="宋体"/>
          <w:color w:val="auto"/>
          <w:kern w:val="0"/>
          <w:sz w:val="24"/>
          <w:szCs w:val="24"/>
        </w:rPr>
        <w:t>：</w:t>
      </w:r>
    </w:p>
    <w:p>
      <w:pPr>
        <w:widowControl/>
        <w:adjustRightInd w:val="0"/>
        <w:snapToGrid w:val="0"/>
        <w:spacing w:line="360" w:lineRule="auto"/>
        <w:ind w:firstLine="4560" w:firstLineChars="1900"/>
        <w:jc w:val="left"/>
        <w:rPr>
          <w:rFonts w:ascii="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ind w:firstLine="420" w:firstLineChars="200"/>
        <w:jc w:val="left"/>
        <w:rPr>
          <w:rFonts w:ascii="宋体"/>
          <w:color w:val="auto"/>
          <w:kern w:val="0"/>
        </w:rPr>
      </w:pPr>
    </w:p>
    <w:p>
      <w:pPr>
        <w:widowControl/>
        <w:adjustRightInd w:val="0"/>
        <w:snapToGrid w:val="0"/>
        <w:spacing w:line="360" w:lineRule="auto"/>
        <w:jc w:val="left"/>
        <w:rPr>
          <w:rFonts w:ascii="宋体"/>
          <w:color w:val="auto"/>
          <w:kern w:val="0"/>
        </w:rPr>
      </w:pPr>
    </w:p>
    <w:p>
      <w:pPr>
        <w:widowControl/>
        <w:adjustRightInd w:val="0"/>
        <w:snapToGrid w:val="0"/>
        <w:spacing w:line="360" w:lineRule="auto"/>
        <w:jc w:val="left"/>
        <w:rPr>
          <w:rFonts w:ascii="宋体"/>
          <w:b/>
          <w:bCs/>
          <w:color w:val="auto"/>
          <w:kern w:val="0"/>
          <w:sz w:val="32"/>
          <w:szCs w:val="32"/>
        </w:rPr>
      </w:pPr>
      <w:r>
        <w:rPr>
          <w:rFonts w:hint="eastAsia" w:ascii="宋体" w:hAnsi="宋体" w:cs="宋体"/>
          <w:b/>
          <w:bCs/>
          <w:color w:val="auto"/>
          <w:kern w:val="0"/>
          <w:sz w:val="32"/>
          <w:szCs w:val="32"/>
        </w:rPr>
        <w:t>四、参加政府招标活动前</w:t>
      </w:r>
      <w:r>
        <w:rPr>
          <w:rFonts w:ascii="宋体" w:hAnsi="宋体" w:cs="宋体"/>
          <w:b/>
          <w:bCs/>
          <w:color w:val="auto"/>
          <w:kern w:val="0"/>
          <w:sz w:val="32"/>
          <w:szCs w:val="32"/>
        </w:rPr>
        <w:t>3</w:t>
      </w:r>
      <w:r>
        <w:rPr>
          <w:rFonts w:hint="eastAsia" w:ascii="宋体" w:hAnsi="宋体" w:cs="宋体"/>
          <w:b/>
          <w:bCs/>
          <w:color w:val="auto"/>
          <w:kern w:val="0"/>
          <w:sz w:val="32"/>
          <w:szCs w:val="32"/>
        </w:rPr>
        <w:t>年内在经营活动中没有重大违法记录的声明函</w:t>
      </w:r>
    </w:p>
    <w:p>
      <w:pPr>
        <w:widowControl/>
        <w:adjustRightInd w:val="0"/>
        <w:snapToGrid w:val="0"/>
        <w:spacing w:line="360" w:lineRule="auto"/>
        <w:jc w:val="left"/>
        <w:rPr>
          <w:rFonts w:ascii="宋体"/>
          <w:color w:val="auto"/>
          <w:kern w:val="0"/>
          <w:sz w:val="24"/>
          <w:szCs w:val="24"/>
        </w:rPr>
      </w:pPr>
      <w:r>
        <w:rPr>
          <w:rFonts w:hint="eastAsia" w:ascii="宋体" w:hAnsi="宋体" w:cs="宋体"/>
          <w:color w:val="auto"/>
          <w:kern w:val="0"/>
          <w:sz w:val="24"/>
          <w:szCs w:val="24"/>
          <w:u w:val="single"/>
        </w:rPr>
        <w:t>（招标人）</w:t>
      </w:r>
      <w:r>
        <w:rPr>
          <w:rFonts w:hint="eastAsia" w:ascii="宋体" w:hAnsi="宋体" w:cs="宋体"/>
          <w:color w:val="auto"/>
          <w:kern w:val="0"/>
          <w:sz w:val="24"/>
          <w:szCs w:val="24"/>
        </w:rPr>
        <w:t>：</w:t>
      </w: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我方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（投标人）</w:t>
      </w:r>
      <w:r>
        <w:rPr>
          <w:rFonts w:hint="eastAsia" w:ascii="宋体" w:hAnsi="宋体" w:cs="宋体"/>
          <w:color w:val="auto"/>
          <w:kern w:val="0"/>
          <w:sz w:val="24"/>
          <w:szCs w:val="24"/>
        </w:rPr>
        <w:t>具有良好的商业信誉，依法缴纳税收和社会保障资金，未被列入失信被执行人名单、重大税收违法案件当事人名单、政府招标严重违法失信行为记录名单，参加本次政府招标活动前</w:t>
      </w:r>
      <w:r>
        <w:rPr>
          <w:rFonts w:ascii="宋体" w:hAnsi="宋体" w:cs="宋体"/>
          <w:color w:val="auto"/>
          <w:kern w:val="0"/>
          <w:sz w:val="24"/>
          <w:szCs w:val="24"/>
        </w:rPr>
        <w:t>3</w:t>
      </w:r>
      <w:r>
        <w:rPr>
          <w:rFonts w:hint="eastAsia" w:ascii="宋体" w:hAnsi="宋体" w:cs="宋体"/>
          <w:color w:val="auto"/>
          <w:kern w:val="0"/>
          <w:sz w:val="24"/>
          <w:szCs w:val="24"/>
        </w:rPr>
        <w:t>年内在经营活动中没有重大违法记录（没有因违法经营受到刑事处罚，没有被责令停产停业、被吊销许可证或者执照、被处以较大数额罚款等行政处罚，没有因违法经营被禁止参加政府招标活动的期限未满情形）。如有虚假，招标人可取消我方任何资格（投标</w:t>
      </w:r>
      <w:r>
        <w:rPr>
          <w:rFonts w:ascii="宋体" w:hAnsi="宋体" w:cs="宋体"/>
          <w:color w:val="auto"/>
          <w:kern w:val="0"/>
          <w:sz w:val="24"/>
          <w:szCs w:val="24"/>
        </w:rPr>
        <w:t>/</w:t>
      </w:r>
      <w:r>
        <w:rPr>
          <w:rFonts w:hint="eastAsia" w:ascii="宋体" w:hAnsi="宋体" w:cs="宋体"/>
          <w:color w:val="auto"/>
          <w:kern w:val="0"/>
          <w:sz w:val="24"/>
          <w:szCs w:val="24"/>
        </w:rPr>
        <w:t>中标</w:t>
      </w:r>
      <w:r>
        <w:rPr>
          <w:rFonts w:ascii="宋体" w:hAnsi="宋体" w:cs="宋体"/>
          <w:color w:val="auto"/>
          <w:kern w:val="0"/>
          <w:sz w:val="24"/>
          <w:szCs w:val="24"/>
        </w:rPr>
        <w:t>/</w:t>
      </w:r>
      <w:r>
        <w:rPr>
          <w:rFonts w:hint="eastAsia" w:ascii="宋体" w:hAnsi="宋体" w:cs="宋体"/>
          <w:color w:val="auto"/>
          <w:kern w:val="0"/>
          <w:sz w:val="24"/>
          <w:szCs w:val="24"/>
        </w:rPr>
        <w:t>签订合同），我方对此无任何异议。</w:t>
      </w: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480" w:firstLineChars="200"/>
        <w:jc w:val="left"/>
        <w:rPr>
          <w:rFonts w:ascii="宋体"/>
          <w:color w:val="auto"/>
          <w:kern w:val="0"/>
          <w:sz w:val="24"/>
          <w:szCs w:val="24"/>
        </w:rPr>
      </w:pPr>
      <w:r>
        <w:rPr>
          <w:rFonts w:hint="eastAsia" w:ascii="宋体" w:hAnsi="宋体" w:cs="宋体"/>
          <w:color w:val="auto"/>
          <w:kern w:val="0"/>
          <w:sz w:val="24"/>
          <w:szCs w:val="24"/>
        </w:rPr>
        <w:t>特此承诺！</w:t>
      </w:r>
    </w:p>
    <w:p>
      <w:pPr>
        <w:widowControl/>
        <w:adjustRightInd w:val="0"/>
        <w:snapToGrid w:val="0"/>
        <w:spacing w:line="360" w:lineRule="auto"/>
        <w:ind w:firstLine="480" w:firstLineChars="200"/>
        <w:jc w:val="left"/>
        <w:rPr>
          <w:rFonts w:ascii="宋体"/>
          <w:color w:val="auto"/>
          <w:kern w:val="0"/>
          <w:sz w:val="24"/>
          <w:szCs w:val="24"/>
        </w:rPr>
      </w:pPr>
    </w:p>
    <w:p>
      <w:pPr>
        <w:widowControl/>
        <w:adjustRightInd w:val="0"/>
        <w:snapToGrid w:val="0"/>
        <w:spacing w:line="360" w:lineRule="auto"/>
        <w:ind w:firstLine="5760" w:firstLineChars="2400"/>
        <w:jc w:val="left"/>
        <w:rPr>
          <w:rFonts w:ascii="宋体"/>
          <w:color w:val="auto"/>
          <w:kern w:val="0"/>
          <w:sz w:val="24"/>
          <w:szCs w:val="24"/>
        </w:rPr>
      </w:pPr>
      <w:r>
        <w:rPr>
          <w:rFonts w:hint="eastAsia" w:ascii="宋体" w:hAnsi="宋体" w:cs="宋体"/>
          <w:color w:val="auto"/>
          <w:kern w:val="0"/>
          <w:sz w:val="24"/>
          <w:szCs w:val="24"/>
        </w:rPr>
        <w:t>投标人名称（盖章）</w:t>
      </w:r>
      <w:r>
        <w:rPr>
          <w:rFonts w:ascii="宋体" w:hAnsi="宋体" w:cs="宋体"/>
          <w:color w:val="auto"/>
          <w:kern w:val="0"/>
          <w:sz w:val="24"/>
          <w:szCs w:val="24"/>
        </w:rPr>
        <w:t xml:space="preserve"> </w:t>
      </w:r>
      <w:r>
        <w:rPr>
          <w:rFonts w:hint="eastAsia" w:ascii="宋体" w:hAnsi="宋体" w:cs="宋体"/>
          <w:color w:val="auto"/>
          <w:kern w:val="0"/>
          <w:sz w:val="24"/>
          <w:szCs w:val="24"/>
        </w:rPr>
        <w:t>：</w:t>
      </w:r>
    </w:p>
    <w:p>
      <w:pPr>
        <w:widowControl/>
        <w:adjustRightInd w:val="0"/>
        <w:snapToGrid w:val="0"/>
        <w:spacing w:line="360" w:lineRule="auto"/>
        <w:ind w:firstLine="5280" w:firstLineChars="2200"/>
        <w:jc w:val="left"/>
        <w:rPr>
          <w:rFonts w:ascii="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spacing w:line="360" w:lineRule="auto"/>
        <w:rPr>
          <w:rFonts w:ascii="宋体"/>
          <w:color w:val="auto"/>
        </w:rPr>
      </w:pPr>
    </w:p>
    <w:p>
      <w:pPr>
        <w:spacing w:line="360" w:lineRule="auto"/>
        <w:rPr>
          <w:rFonts w:ascii="宋体"/>
          <w:color w:val="auto"/>
        </w:rPr>
      </w:pPr>
    </w:p>
    <w:p>
      <w:pPr>
        <w:spacing w:line="360" w:lineRule="auto"/>
        <w:rPr>
          <w:rFonts w:ascii="宋体"/>
          <w:color w:val="auto"/>
        </w:rPr>
      </w:pPr>
    </w:p>
    <w:p>
      <w:pPr>
        <w:spacing w:line="360" w:lineRule="auto"/>
        <w:rPr>
          <w:rFonts w:ascii="宋体"/>
          <w:color w:val="auto"/>
        </w:rPr>
      </w:pPr>
    </w:p>
    <w:p>
      <w:pPr>
        <w:shd w:val="clear" w:color="auto" w:fill="FFFFFF"/>
        <w:adjustRightInd w:val="0"/>
        <w:snapToGrid w:val="0"/>
        <w:spacing w:line="360" w:lineRule="auto"/>
        <w:jc w:val="center"/>
        <w:rPr>
          <w:rFonts w:ascii="宋体"/>
          <w:color w:val="auto"/>
          <w:sz w:val="36"/>
          <w:szCs w:val="36"/>
        </w:rPr>
      </w:pPr>
      <w:r>
        <w:rPr>
          <w:rFonts w:ascii="宋体"/>
          <w:color w:val="auto"/>
          <w:sz w:val="36"/>
          <w:szCs w:val="36"/>
        </w:rPr>
        <w:t> </w:t>
      </w:r>
    </w:p>
    <w:p>
      <w:pPr>
        <w:pageBreakBefore/>
        <w:shd w:val="clear" w:color="auto" w:fill="FFFFFF"/>
        <w:spacing w:line="360" w:lineRule="auto"/>
        <w:outlineLvl w:val="2"/>
        <w:rPr>
          <w:rFonts w:ascii="宋体"/>
          <w:b/>
          <w:bCs/>
          <w:color w:val="auto"/>
          <w:sz w:val="32"/>
          <w:szCs w:val="32"/>
        </w:rPr>
      </w:pPr>
      <w:r>
        <w:rPr>
          <w:rFonts w:hint="eastAsia" w:ascii="宋体" w:hAnsi="宋体" w:cs="宋体"/>
          <w:b/>
          <w:bCs/>
          <w:color w:val="auto"/>
          <w:sz w:val="32"/>
          <w:szCs w:val="32"/>
        </w:rPr>
        <w:t>投标文件封面</w:t>
      </w:r>
    </w:p>
    <w:p>
      <w:pPr>
        <w:shd w:val="clear" w:color="auto" w:fill="FFFFFF"/>
        <w:spacing w:line="360" w:lineRule="auto"/>
        <w:rPr>
          <w:rFonts w:ascii="宋体"/>
          <w:color w:val="auto"/>
          <w:sz w:val="44"/>
          <w:szCs w:val="44"/>
        </w:rPr>
      </w:pPr>
      <w:r>
        <w:rPr>
          <w:rFonts w:hint="eastAsia" w:ascii="宋体" w:hAnsi="宋体" w:cs="宋体"/>
          <w:color w:val="auto"/>
          <w:sz w:val="44"/>
          <w:szCs w:val="44"/>
        </w:rPr>
        <w:t>正（副）本</w:t>
      </w:r>
    </w:p>
    <w:p>
      <w:pPr>
        <w:shd w:val="clear" w:color="auto" w:fill="FFFFFF"/>
        <w:tabs>
          <w:tab w:val="left" w:pos="0"/>
          <w:tab w:val="left" w:pos="2140"/>
          <w:tab w:val="center" w:pos="4753"/>
        </w:tabs>
        <w:spacing w:line="360" w:lineRule="auto"/>
        <w:jc w:val="center"/>
        <w:rPr>
          <w:rFonts w:ascii="宋体"/>
          <w:b/>
          <w:bCs/>
          <w:color w:val="auto"/>
          <w:sz w:val="44"/>
          <w:szCs w:val="44"/>
        </w:rPr>
      </w:pPr>
    </w:p>
    <w:p>
      <w:pPr>
        <w:shd w:val="clear" w:color="auto" w:fill="FFFFFF"/>
        <w:spacing w:line="360" w:lineRule="auto"/>
        <w:jc w:val="center"/>
        <w:rPr>
          <w:rFonts w:ascii="宋体"/>
          <w:b/>
          <w:bCs/>
          <w:color w:val="auto"/>
          <w:sz w:val="32"/>
          <w:szCs w:val="32"/>
        </w:rPr>
      </w:pPr>
      <w:r>
        <w:rPr>
          <w:rFonts w:ascii="宋体" w:hAnsi="宋体" w:cs="宋体"/>
          <w:b/>
          <w:bCs/>
          <w:color w:val="auto"/>
          <w:sz w:val="44"/>
          <w:szCs w:val="44"/>
        </w:rPr>
        <w:t>2020</w:t>
      </w:r>
      <w:r>
        <w:rPr>
          <w:rFonts w:hint="eastAsia" w:ascii="宋体" w:hAnsi="宋体" w:cs="宋体"/>
          <w:b/>
          <w:bCs/>
          <w:color w:val="auto"/>
          <w:sz w:val="44"/>
          <w:szCs w:val="44"/>
        </w:rPr>
        <w:t>年枪弹库智能管理系统升级改造项目</w:t>
      </w:r>
    </w:p>
    <w:p>
      <w:pPr>
        <w:shd w:val="clear" w:color="auto" w:fill="FFFFFF"/>
        <w:spacing w:line="360" w:lineRule="auto"/>
        <w:rPr>
          <w:rFonts w:ascii="宋体"/>
          <w:b/>
          <w:bCs/>
          <w:color w:val="auto"/>
          <w:sz w:val="32"/>
          <w:szCs w:val="32"/>
        </w:rPr>
      </w:pPr>
    </w:p>
    <w:p>
      <w:pPr>
        <w:shd w:val="clear" w:color="auto" w:fill="FFFFFF"/>
        <w:adjustRightInd w:val="0"/>
        <w:snapToGrid w:val="0"/>
        <w:spacing w:line="360" w:lineRule="auto"/>
        <w:jc w:val="center"/>
        <w:rPr>
          <w:rFonts w:ascii="宋体"/>
          <w:b/>
          <w:bCs/>
          <w:color w:val="auto"/>
          <w:sz w:val="36"/>
          <w:szCs w:val="36"/>
        </w:rPr>
      </w:pPr>
      <w:r>
        <w:rPr>
          <w:rFonts w:hint="eastAsia" w:ascii="宋体" w:hAnsi="宋体" w:cs="宋体"/>
          <w:b/>
          <w:bCs/>
          <w:color w:val="auto"/>
          <w:sz w:val="36"/>
          <w:szCs w:val="36"/>
        </w:rPr>
        <w:t>项目编号：</w:t>
      </w:r>
      <w:r>
        <w:rPr>
          <w:rFonts w:ascii="宋体" w:hAnsi="宋体" w:cs="宋体"/>
          <w:b/>
          <w:bCs/>
          <w:color w:val="auto"/>
          <w:sz w:val="36"/>
          <w:szCs w:val="36"/>
        </w:rPr>
        <w:t>ZJLT-2020-03-053-01</w:t>
      </w:r>
    </w:p>
    <w:p>
      <w:pPr>
        <w:pStyle w:val="2"/>
        <w:tabs>
          <w:tab w:val="left" w:pos="432"/>
        </w:tabs>
        <w:spacing w:line="360" w:lineRule="auto"/>
        <w:jc w:val="center"/>
        <w:rPr>
          <w:rFonts w:ascii="宋体"/>
          <w:color w:val="auto"/>
        </w:rPr>
      </w:pPr>
      <w:r>
        <w:rPr>
          <w:rFonts w:ascii="宋体" w:hAnsi="宋体" w:cs="宋体"/>
          <w:color w:val="auto"/>
        </w:rPr>
        <w:t>/</w:t>
      </w:r>
      <w:r>
        <w:rPr>
          <w:rFonts w:hint="eastAsia" w:ascii="宋体" w:hAnsi="宋体" w:cs="宋体"/>
          <w:color w:val="auto"/>
        </w:rPr>
        <w:t>资格文件</w:t>
      </w:r>
      <w:r>
        <w:rPr>
          <w:rFonts w:ascii="宋体" w:hAnsi="宋体" w:cs="宋体"/>
          <w:color w:val="auto"/>
        </w:rPr>
        <w:t>/</w:t>
      </w:r>
      <w:r>
        <w:rPr>
          <w:rFonts w:hint="eastAsia" w:ascii="宋体" w:hAnsi="宋体" w:cs="宋体"/>
          <w:color w:val="auto"/>
        </w:rPr>
        <w:t>报价文件</w:t>
      </w:r>
      <w:r>
        <w:rPr>
          <w:rFonts w:ascii="宋体" w:hAnsi="宋体" w:cs="宋体"/>
          <w:color w:val="auto"/>
        </w:rPr>
        <w:t>/</w:t>
      </w:r>
      <w:r>
        <w:rPr>
          <w:rFonts w:hint="eastAsia" w:ascii="宋体" w:hAnsi="宋体" w:cs="宋体"/>
          <w:color w:val="auto"/>
        </w:rPr>
        <w:t>商务技术文件</w:t>
      </w:r>
      <w:r>
        <w:rPr>
          <w:rFonts w:ascii="宋体" w:hAnsi="宋体" w:cs="宋体"/>
          <w:color w:val="auto"/>
        </w:rPr>
        <w:t>/</w:t>
      </w:r>
    </w:p>
    <w:p>
      <w:pPr>
        <w:pStyle w:val="2"/>
        <w:tabs>
          <w:tab w:val="left" w:pos="432"/>
        </w:tabs>
        <w:spacing w:line="360" w:lineRule="auto"/>
        <w:rPr>
          <w:color w:val="auto"/>
        </w:rPr>
      </w:pPr>
    </w:p>
    <w:p>
      <w:pPr>
        <w:shd w:val="clear" w:color="auto" w:fill="FFFFFF"/>
        <w:spacing w:line="360" w:lineRule="auto"/>
        <w:jc w:val="center"/>
        <w:rPr>
          <w:rFonts w:ascii="宋体"/>
          <w:color w:val="auto"/>
          <w:sz w:val="72"/>
          <w:szCs w:val="72"/>
        </w:rPr>
      </w:pPr>
      <w:r>
        <w:rPr>
          <w:rFonts w:hint="eastAsia" w:ascii="宋体" w:hAnsi="宋体" w:cs="宋体"/>
          <w:color w:val="auto"/>
          <w:sz w:val="72"/>
          <w:szCs w:val="72"/>
        </w:rPr>
        <w:t>投</w:t>
      </w:r>
    </w:p>
    <w:p>
      <w:pPr>
        <w:shd w:val="clear" w:color="auto" w:fill="FFFFFF"/>
        <w:spacing w:line="360" w:lineRule="auto"/>
        <w:jc w:val="center"/>
        <w:rPr>
          <w:rFonts w:ascii="宋体"/>
          <w:color w:val="auto"/>
          <w:sz w:val="72"/>
          <w:szCs w:val="72"/>
        </w:rPr>
      </w:pPr>
      <w:r>
        <w:rPr>
          <w:rFonts w:hint="eastAsia" w:ascii="宋体" w:hAnsi="宋体" w:cs="宋体"/>
          <w:color w:val="auto"/>
          <w:sz w:val="72"/>
          <w:szCs w:val="72"/>
        </w:rPr>
        <w:t>标</w:t>
      </w:r>
    </w:p>
    <w:p>
      <w:pPr>
        <w:shd w:val="clear" w:color="auto" w:fill="FFFFFF"/>
        <w:spacing w:line="360" w:lineRule="auto"/>
        <w:jc w:val="center"/>
        <w:rPr>
          <w:rFonts w:ascii="宋体"/>
          <w:color w:val="auto"/>
          <w:sz w:val="72"/>
          <w:szCs w:val="72"/>
        </w:rPr>
      </w:pPr>
      <w:r>
        <w:rPr>
          <w:rFonts w:hint="eastAsia" w:ascii="宋体" w:hAnsi="宋体" w:cs="宋体"/>
          <w:color w:val="auto"/>
          <w:sz w:val="72"/>
          <w:szCs w:val="72"/>
        </w:rPr>
        <w:t>文</w:t>
      </w:r>
    </w:p>
    <w:p>
      <w:pPr>
        <w:shd w:val="clear" w:color="auto" w:fill="FFFFFF"/>
        <w:spacing w:line="360" w:lineRule="auto"/>
        <w:jc w:val="center"/>
        <w:rPr>
          <w:rFonts w:ascii="宋体"/>
          <w:color w:val="auto"/>
          <w:sz w:val="72"/>
          <w:szCs w:val="72"/>
        </w:rPr>
      </w:pPr>
      <w:r>
        <w:rPr>
          <w:rFonts w:hint="eastAsia" w:ascii="宋体" w:hAnsi="宋体" w:cs="宋体"/>
          <w:color w:val="auto"/>
          <w:sz w:val="72"/>
          <w:szCs w:val="72"/>
        </w:rPr>
        <w:t>件</w:t>
      </w:r>
    </w:p>
    <w:p>
      <w:pPr>
        <w:shd w:val="clear" w:color="auto" w:fill="FFFFFF"/>
        <w:spacing w:line="360" w:lineRule="auto"/>
        <w:jc w:val="center"/>
        <w:rPr>
          <w:rFonts w:ascii="宋体"/>
          <w:color w:val="auto"/>
          <w:sz w:val="72"/>
          <w:szCs w:val="72"/>
        </w:rPr>
      </w:pPr>
      <w:r>
        <w:rPr>
          <w:rFonts w:ascii="宋体"/>
          <w:color w:val="auto"/>
          <w:sz w:val="72"/>
          <w:szCs w:val="72"/>
        </w:rPr>
        <w:t> </w:t>
      </w:r>
    </w:p>
    <w:p>
      <w:pPr>
        <w:shd w:val="clear" w:color="auto" w:fill="FFFFFF"/>
        <w:spacing w:line="360" w:lineRule="auto"/>
        <w:ind w:firstLine="2400" w:firstLineChars="750"/>
        <w:rPr>
          <w:rFonts w:ascii="宋体"/>
          <w:color w:val="auto"/>
          <w:sz w:val="32"/>
          <w:szCs w:val="32"/>
        </w:rPr>
      </w:pPr>
      <w:r>
        <w:rPr>
          <w:rFonts w:hint="eastAsia" w:ascii="宋体" w:hAnsi="宋体" w:cs="宋体"/>
          <w:color w:val="auto"/>
          <w:sz w:val="32"/>
          <w:szCs w:val="32"/>
        </w:rPr>
        <w:t>投标人全称：（加盖单位公章）</w:t>
      </w:r>
    </w:p>
    <w:p>
      <w:pPr>
        <w:shd w:val="clear" w:color="auto" w:fill="FFFFFF"/>
        <w:spacing w:line="360" w:lineRule="auto"/>
        <w:jc w:val="center"/>
        <w:rPr>
          <w:rFonts w:ascii="宋体"/>
          <w:color w:val="auto"/>
          <w:sz w:val="32"/>
          <w:szCs w:val="32"/>
        </w:rPr>
      </w:pPr>
      <w:r>
        <w:rPr>
          <w:rFonts w:hint="eastAsia" w:ascii="宋体" w:hAnsi="宋体" w:cs="宋体"/>
          <w:color w:val="auto"/>
          <w:sz w:val="32"/>
          <w:szCs w:val="32"/>
        </w:rPr>
        <w:t>年</w:t>
      </w:r>
      <w:r>
        <w:rPr>
          <w:rFonts w:ascii="宋体" w:hAnsi="宋体" w:cs="宋体"/>
          <w:color w:val="auto"/>
          <w:sz w:val="32"/>
          <w:szCs w:val="32"/>
        </w:rPr>
        <w:t xml:space="preserve">   </w:t>
      </w:r>
      <w:r>
        <w:rPr>
          <w:rFonts w:hint="eastAsia" w:ascii="宋体" w:hAnsi="宋体" w:cs="宋体"/>
          <w:color w:val="auto"/>
          <w:sz w:val="32"/>
          <w:szCs w:val="32"/>
        </w:rPr>
        <w:t>月</w:t>
      </w:r>
      <w:r>
        <w:rPr>
          <w:rFonts w:ascii="宋体" w:hAnsi="宋体" w:cs="宋体"/>
          <w:color w:val="auto"/>
          <w:sz w:val="32"/>
          <w:szCs w:val="32"/>
        </w:rPr>
        <w:t xml:space="preserve">   </w:t>
      </w:r>
      <w:r>
        <w:rPr>
          <w:rFonts w:hint="eastAsia" w:ascii="宋体" w:hAnsi="宋体" w:cs="宋体"/>
          <w:color w:val="auto"/>
          <w:sz w:val="32"/>
          <w:szCs w:val="32"/>
        </w:rPr>
        <w:t>日</w:t>
      </w:r>
    </w:p>
    <w:p>
      <w:pPr>
        <w:shd w:val="clear" w:color="auto" w:fill="FFFFFF"/>
        <w:spacing w:line="360" w:lineRule="auto"/>
        <w:rPr>
          <w:rFonts w:ascii="宋体"/>
          <w:color w:val="auto"/>
          <w:sz w:val="28"/>
          <w:szCs w:val="28"/>
        </w:rPr>
      </w:pPr>
      <w:r>
        <w:rPr>
          <w:rFonts w:ascii="宋体"/>
          <w:color w:val="auto"/>
          <w:sz w:val="28"/>
          <w:szCs w:val="28"/>
        </w:rPr>
        <w:t> </w:t>
      </w:r>
      <w:r>
        <w:rPr>
          <w:rFonts w:ascii="宋体"/>
          <w:color w:val="auto"/>
          <w:sz w:val="28"/>
          <w:szCs w:val="28"/>
        </w:rPr>
        <w:br w:type="textWrapping"/>
      </w:r>
    </w:p>
    <w:p>
      <w:pPr>
        <w:spacing w:line="360" w:lineRule="auto"/>
        <w:jc w:val="center"/>
        <w:rPr>
          <w:rFonts w:ascii="宋体"/>
          <w:b/>
          <w:bCs/>
          <w:color w:val="auto"/>
          <w:sz w:val="30"/>
          <w:szCs w:val="30"/>
        </w:rPr>
      </w:pPr>
    </w:p>
    <w:p>
      <w:pPr>
        <w:pageBreakBefore/>
        <w:spacing w:line="360" w:lineRule="auto"/>
        <w:jc w:val="center"/>
        <w:rPr>
          <w:rFonts w:ascii="宋体"/>
          <w:b/>
          <w:bCs/>
          <w:color w:val="auto"/>
          <w:sz w:val="28"/>
          <w:szCs w:val="28"/>
        </w:rPr>
      </w:pPr>
      <w:r>
        <w:rPr>
          <w:rFonts w:hint="eastAsia" w:ascii="宋体" w:hAnsi="宋体" w:cs="宋体"/>
          <w:b/>
          <w:bCs/>
          <w:color w:val="auto"/>
          <w:sz w:val="28"/>
          <w:szCs w:val="28"/>
        </w:rPr>
        <w:t>政府采购支持中小企业信用融资相关事项通知</w:t>
      </w:r>
    </w:p>
    <w:p>
      <w:pPr>
        <w:spacing w:line="360" w:lineRule="auto"/>
        <w:ind w:firstLine="480" w:firstLineChars="200"/>
        <w:rPr>
          <w:rFonts w:ascii="宋体"/>
          <w:color w:val="auto"/>
          <w:sz w:val="24"/>
          <w:szCs w:val="24"/>
        </w:rPr>
      </w:pPr>
      <w:r>
        <w:rPr>
          <w:rFonts w:hint="eastAsia" w:ascii="宋体" w:hAnsi="宋体" w:cs="宋体"/>
          <w:color w:val="auto"/>
          <w:sz w:val="24"/>
          <w:szCs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一、适用对象</w:t>
      </w:r>
    </w:p>
    <w:p>
      <w:pPr>
        <w:spacing w:line="360" w:lineRule="auto"/>
        <w:ind w:firstLine="480" w:firstLineChars="200"/>
        <w:rPr>
          <w:rFonts w:ascii="宋体"/>
          <w:color w:val="auto"/>
          <w:sz w:val="24"/>
          <w:szCs w:val="24"/>
        </w:rPr>
      </w:pPr>
      <w:r>
        <w:rPr>
          <w:rFonts w:hint="eastAsia" w:ascii="宋体" w:hAnsi="宋体" w:cs="宋体"/>
          <w:color w:val="auto"/>
          <w:sz w:val="24"/>
          <w:szCs w:val="24"/>
        </w:rPr>
        <w:t>在浙江政府采购网注册入库，并取得杭州市政府采购合同的杭州市内中小企业供应商。</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二、相关信息获取方式</w:t>
      </w:r>
    </w:p>
    <w:p>
      <w:pPr>
        <w:spacing w:line="360" w:lineRule="auto"/>
        <w:ind w:firstLine="480" w:firstLineChars="200"/>
        <w:rPr>
          <w:rFonts w:ascii="宋体"/>
          <w:color w:val="auto"/>
          <w:sz w:val="24"/>
          <w:szCs w:val="24"/>
        </w:rPr>
      </w:pPr>
      <w:r>
        <w:rPr>
          <w:rFonts w:hint="eastAsia" w:ascii="宋体" w:hAnsi="宋体" w:cs="宋体"/>
          <w:color w:val="auto"/>
          <w:sz w:val="24"/>
          <w:szCs w:val="24"/>
        </w:rPr>
        <w:t>请登陆杭州市政府采购网“中小企业信用融资”模块，查看信用融资政策文件及各相关银行服务方案。</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三、申请方式和步骤</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（一）“云采贷”融资</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、供应商先与银行对接，办理融资前期手续；</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、供应商中标后，登陆“中小企业信用融资”模块测算授信额度，并向银行发出融资申请；</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、银行线上审批通过后，办理放贷手续。</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（二）一般融资</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、供应商先与银行对接，办理融资前期手续；</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、供应商中标后，登陆杭州市政府采购网“中小企业信用融资”模块，向相关合作银行发出融资申请；</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、银行在“中小企业信用融资”模块受理申请；</w:t>
      </w:r>
    </w:p>
    <w:p>
      <w:pPr>
        <w:spacing w:line="360" w:lineRule="auto"/>
        <w:ind w:firstLine="480" w:firstLineChars="200"/>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、银行、供应商线下办理审批、放贷事宜。</w:t>
      </w:r>
    </w:p>
    <w:p>
      <w:pPr>
        <w:spacing w:line="360" w:lineRule="auto"/>
        <w:ind w:firstLine="482" w:firstLineChars="200"/>
        <w:rPr>
          <w:rFonts w:ascii="宋体"/>
          <w:b/>
          <w:bCs/>
          <w:color w:val="auto"/>
          <w:sz w:val="24"/>
          <w:szCs w:val="24"/>
        </w:rPr>
      </w:pPr>
      <w:r>
        <w:rPr>
          <w:rFonts w:hint="eastAsia" w:ascii="宋体" w:hAnsi="宋体" w:cs="宋体"/>
          <w:b/>
          <w:bCs/>
          <w:color w:val="auto"/>
          <w:sz w:val="24"/>
          <w:szCs w:val="24"/>
        </w:rPr>
        <w:t>四、注意事项</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、供应商需确保政府采购合同的收款银行与融资银行一致。</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、请各采购单位积极支持和配合政府采购信用融资工作，在合同备案环节仔细核对收款银行、账号信息等内容，一旦录入将无法修改。</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、技术服务热线：</w:t>
      </w:r>
      <w:r>
        <w:rPr>
          <w:rFonts w:ascii="宋体" w:hAnsi="宋体" w:cs="宋体"/>
          <w:color w:val="auto"/>
          <w:sz w:val="24"/>
          <w:szCs w:val="24"/>
        </w:rPr>
        <w:t>87210880</w:t>
      </w:r>
      <w:r>
        <w:rPr>
          <w:rFonts w:hint="eastAsia" w:ascii="宋体" w:hAnsi="宋体" w:cs="宋体"/>
          <w:color w:val="auto"/>
          <w:sz w:val="24"/>
          <w:szCs w:val="24"/>
        </w:rPr>
        <w:t>；如有业务问题可与各合作银行联系。</w:t>
      </w:r>
    </w:p>
    <w:p>
      <w:pPr>
        <w:spacing w:line="36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entury Gothic">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05"/>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rPr>
                              <w:rFonts w:hint="eastAsia" w:cs="宋体"/>
                            </w:rPr>
                            <w:t>第</w:t>
                          </w:r>
                          <w:r>
                            <w:t xml:space="preserve"> </w:t>
                          </w:r>
                          <w:r>
                            <w:fldChar w:fldCharType="begin"/>
                          </w:r>
                          <w:r>
                            <w:instrText xml:space="preserve"> PAGE  \* MERGEFORMAT </w:instrText>
                          </w:r>
                          <w:r>
                            <w:fldChar w:fldCharType="separate"/>
                          </w:r>
                          <w:r>
                            <w:t>38</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9"/>
                    </w:pPr>
                    <w:r>
                      <w:rPr>
                        <w:rFonts w:hint="eastAsia" w:cs="宋体"/>
                      </w:rPr>
                      <w:t>第</w:t>
                    </w:r>
                    <w:r>
                      <w:t xml:space="preserve"> </w:t>
                    </w:r>
                    <w:r>
                      <w:fldChar w:fldCharType="begin"/>
                    </w:r>
                    <w:r>
                      <w:instrText xml:space="preserve"> PAGE  \* MERGEFORMAT </w:instrText>
                    </w:r>
                    <w:r>
                      <w:fldChar w:fldCharType="separate"/>
                    </w:r>
                    <w:r>
                      <w:t>38</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024FF"/>
    <w:multiLevelType w:val="singleLevel"/>
    <w:tmpl w:val="9CD024FF"/>
    <w:lvl w:ilvl="0" w:tentative="0">
      <w:start w:val="2"/>
      <w:numFmt w:val="decimal"/>
      <w:suff w:val="nothing"/>
      <w:lvlText w:val="（%1）"/>
      <w:lvlJc w:val="left"/>
    </w:lvl>
  </w:abstractNum>
  <w:abstractNum w:abstractNumId="1">
    <w:nsid w:val="10D129C3"/>
    <w:multiLevelType w:val="singleLevel"/>
    <w:tmpl w:val="10D129C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C3D4E"/>
    <w:rsid w:val="00175B2B"/>
    <w:rsid w:val="0037388C"/>
    <w:rsid w:val="004A6F59"/>
    <w:rsid w:val="00506058"/>
    <w:rsid w:val="006B28E5"/>
    <w:rsid w:val="008C2FA5"/>
    <w:rsid w:val="008F3E34"/>
    <w:rsid w:val="009A189C"/>
    <w:rsid w:val="00AA74B6"/>
    <w:rsid w:val="00AC1D43"/>
    <w:rsid w:val="00BF2044"/>
    <w:rsid w:val="00CE367F"/>
    <w:rsid w:val="00CE6F6C"/>
    <w:rsid w:val="00E25FA4"/>
    <w:rsid w:val="00EC0F19"/>
    <w:rsid w:val="00F855E1"/>
    <w:rsid w:val="00FB7830"/>
    <w:rsid w:val="01D44CBC"/>
    <w:rsid w:val="0290640E"/>
    <w:rsid w:val="033F5E96"/>
    <w:rsid w:val="035807E5"/>
    <w:rsid w:val="044E281E"/>
    <w:rsid w:val="04832CB6"/>
    <w:rsid w:val="056F1FA3"/>
    <w:rsid w:val="05B459C3"/>
    <w:rsid w:val="05DB621D"/>
    <w:rsid w:val="06001D79"/>
    <w:rsid w:val="060305EA"/>
    <w:rsid w:val="086807A1"/>
    <w:rsid w:val="093B7523"/>
    <w:rsid w:val="09E622D8"/>
    <w:rsid w:val="0AC30BBC"/>
    <w:rsid w:val="0AD515DC"/>
    <w:rsid w:val="0ADA5E2C"/>
    <w:rsid w:val="0AEC6E8B"/>
    <w:rsid w:val="0AF65AAC"/>
    <w:rsid w:val="0B4B3A58"/>
    <w:rsid w:val="0B5F3B1E"/>
    <w:rsid w:val="0B5F4ADA"/>
    <w:rsid w:val="0B8D4EF2"/>
    <w:rsid w:val="0D4B1DA5"/>
    <w:rsid w:val="0D8E73C9"/>
    <w:rsid w:val="0E5B21C9"/>
    <w:rsid w:val="0E7D059C"/>
    <w:rsid w:val="0E9C6664"/>
    <w:rsid w:val="0FAE251C"/>
    <w:rsid w:val="10B236C4"/>
    <w:rsid w:val="10C24990"/>
    <w:rsid w:val="10F5404E"/>
    <w:rsid w:val="113C12FA"/>
    <w:rsid w:val="11FD0CBB"/>
    <w:rsid w:val="120651F6"/>
    <w:rsid w:val="12571D45"/>
    <w:rsid w:val="12704223"/>
    <w:rsid w:val="12EB1684"/>
    <w:rsid w:val="1390650E"/>
    <w:rsid w:val="13CD0FD4"/>
    <w:rsid w:val="13EA5E8D"/>
    <w:rsid w:val="14394C4A"/>
    <w:rsid w:val="14E642D8"/>
    <w:rsid w:val="15BE7B10"/>
    <w:rsid w:val="16B8771E"/>
    <w:rsid w:val="16F57730"/>
    <w:rsid w:val="16FA53F6"/>
    <w:rsid w:val="181943C9"/>
    <w:rsid w:val="1820016A"/>
    <w:rsid w:val="1868228B"/>
    <w:rsid w:val="18992AB8"/>
    <w:rsid w:val="19173130"/>
    <w:rsid w:val="19DD479D"/>
    <w:rsid w:val="19DD591E"/>
    <w:rsid w:val="1A412E20"/>
    <w:rsid w:val="1AC42A82"/>
    <w:rsid w:val="1BA6182F"/>
    <w:rsid w:val="1BC10E31"/>
    <w:rsid w:val="1BED7D38"/>
    <w:rsid w:val="1C294A47"/>
    <w:rsid w:val="1C483D25"/>
    <w:rsid w:val="1CDE2A97"/>
    <w:rsid w:val="1CF85025"/>
    <w:rsid w:val="1DD34C70"/>
    <w:rsid w:val="1DEF6405"/>
    <w:rsid w:val="1E3D69F5"/>
    <w:rsid w:val="1EB71483"/>
    <w:rsid w:val="1F550128"/>
    <w:rsid w:val="200A3307"/>
    <w:rsid w:val="2220553A"/>
    <w:rsid w:val="22601EBF"/>
    <w:rsid w:val="22D34B35"/>
    <w:rsid w:val="22E829C3"/>
    <w:rsid w:val="23843B2E"/>
    <w:rsid w:val="238C41B6"/>
    <w:rsid w:val="241C3D4E"/>
    <w:rsid w:val="24A2730C"/>
    <w:rsid w:val="252D24FF"/>
    <w:rsid w:val="25431973"/>
    <w:rsid w:val="256A0385"/>
    <w:rsid w:val="25E44C47"/>
    <w:rsid w:val="25F556D9"/>
    <w:rsid w:val="269806A1"/>
    <w:rsid w:val="26E213B7"/>
    <w:rsid w:val="26F71717"/>
    <w:rsid w:val="27D61541"/>
    <w:rsid w:val="287853A2"/>
    <w:rsid w:val="296906DC"/>
    <w:rsid w:val="29B61CE8"/>
    <w:rsid w:val="29B75E9C"/>
    <w:rsid w:val="29BA6C7B"/>
    <w:rsid w:val="2A0C7E9A"/>
    <w:rsid w:val="2A370494"/>
    <w:rsid w:val="2A773F18"/>
    <w:rsid w:val="2ABB68E3"/>
    <w:rsid w:val="2AD248C6"/>
    <w:rsid w:val="2B60529F"/>
    <w:rsid w:val="2BB73C77"/>
    <w:rsid w:val="2C2C5F9F"/>
    <w:rsid w:val="2C740306"/>
    <w:rsid w:val="2CC4338B"/>
    <w:rsid w:val="2D5E64BC"/>
    <w:rsid w:val="2E824DA7"/>
    <w:rsid w:val="2EAE6614"/>
    <w:rsid w:val="2ED22B62"/>
    <w:rsid w:val="2ED83578"/>
    <w:rsid w:val="2EDE42E8"/>
    <w:rsid w:val="30581023"/>
    <w:rsid w:val="306E488F"/>
    <w:rsid w:val="308A387B"/>
    <w:rsid w:val="30BF3FD7"/>
    <w:rsid w:val="31404576"/>
    <w:rsid w:val="315078C5"/>
    <w:rsid w:val="318A75DB"/>
    <w:rsid w:val="31F622C7"/>
    <w:rsid w:val="31FC50BF"/>
    <w:rsid w:val="32902B80"/>
    <w:rsid w:val="329E28A5"/>
    <w:rsid w:val="33331F90"/>
    <w:rsid w:val="33D55C83"/>
    <w:rsid w:val="33F5103D"/>
    <w:rsid w:val="35DA0DC1"/>
    <w:rsid w:val="35DB7689"/>
    <w:rsid w:val="368D7300"/>
    <w:rsid w:val="36A673AE"/>
    <w:rsid w:val="372655B7"/>
    <w:rsid w:val="37FE1DF8"/>
    <w:rsid w:val="37FE4A15"/>
    <w:rsid w:val="386A244B"/>
    <w:rsid w:val="3871071A"/>
    <w:rsid w:val="39096136"/>
    <w:rsid w:val="39992A7F"/>
    <w:rsid w:val="39AE5C59"/>
    <w:rsid w:val="3A085C9B"/>
    <w:rsid w:val="3A694731"/>
    <w:rsid w:val="3B522362"/>
    <w:rsid w:val="3BCF2670"/>
    <w:rsid w:val="3BED5802"/>
    <w:rsid w:val="3C180277"/>
    <w:rsid w:val="3CD51632"/>
    <w:rsid w:val="3CD70A7A"/>
    <w:rsid w:val="3CE04F57"/>
    <w:rsid w:val="3D613C1C"/>
    <w:rsid w:val="3E13248D"/>
    <w:rsid w:val="3E9E5CEC"/>
    <w:rsid w:val="3EA761D9"/>
    <w:rsid w:val="3EBE2A6A"/>
    <w:rsid w:val="3ECE291C"/>
    <w:rsid w:val="3F1E6F47"/>
    <w:rsid w:val="3F891801"/>
    <w:rsid w:val="3F98370E"/>
    <w:rsid w:val="3FFF795C"/>
    <w:rsid w:val="4034761C"/>
    <w:rsid w:val="405245EB"/>
    <w:rsid w:val="40684E39"/>
    <w:rsid w:val="407A409E"/>
    <w:rsid w:val="415F02D5"/>
    <w:rsid w:val="420B7CFF"/>
    <w:rsid w:val="4218401E"/>
    <w:rsid w:val="42470628"/>
    <w:rsid w:val="42470A22"/>
    <w:rsid w:val="428A7F4B"/>
    <w:rsid w:val="42C870B1"/>
    <w:rsid w:val="42E65C54"/>
    <w:rsid w:val="431D1264"/>
    <w:rsid w:val="432E607C"/>
    <w:rsid w:val="433B4960"/>
    <w:rsid w:val="44091B87"/>
    <w:rsid w:val="441F4713"/>
    <w:rsid w:val="449B7712"/>
    <w:rsid w:val="450B4269"/>
    <w:rsid w:val="455B7B00"/>
    <w:rsid w:val="45B66B73"/>
    <w:rsid w:val="469532A6"/>
    <w:rsid w:val="47B463D3"/>
    <w:rsid w:val="47CC3A6D"/>
    <w:rsid w:val="47F9065B"/>
    <w:rsid w:val="480114ED"/>
    <w:rsid w:val="482B4D49"/>
    <w:rsid w:val="483A362D"/>
    <w:rsid w:val="48694D53"/>
    <w:rsid w:val="49127035"/>
    <w:rsid w:val="494C242D"/>
    <w:rsid w:val="496C6401"/>
    <w:rsid w:val="4988396C"/>
    <w:rsid w:val="49A028C0"/>
    <w:rsid w:val="49DA16C3"/>
    <w:rsid w:val="4A351FC3"/>
    <w:rsid w:val="4A484CA1"/>
    <w:rsid w:val="4A9B3ED6"/>
    <w:rsid w:val="4AA649D6"/>
    <w:rsid w:val="4B5732F4"/>
    <w:rsid w:val="4B725C63"/>
    <w:rsid w:val="4BDF0369"/>
    <w:rsid w:val="4D8211A1"/>
    <w:rsid w:val="4E2F49F0"/>
    <w:rsid w:val="4E6B2E26"/>
    <w:rsid w:val="4ECF760F"/>
    <w:rsid w:val="4FB14E34"/>
    <w:rsid w:val="4FD520FC"/>
    <w:rsid w:val="50B34A2E"/>
    <w:rsid w:val="50B41700"/>
    <w:rsid w:val="51197278"/>
    <w:rsid w:val="512841A8"/>
    <w:rsid w:val="5141230A"/>
    <w:rsid w:val="51ED53FB"/>
    <w:rsid w:val="52580972"/>
    <w:rsid w:val="527A01F0"/>
    <w:rsid w:val="538D7044"/>
    <w:rsid w:val="53D41B42"/>
    <w:rsid w:val="54260F0A"/>
    <w:rsid w:val="54386FF2"/>
    <w:rsid w:val="54DB4DD1"/>
    <w:rsid w:val="55443047"/>
    <w:rsid w:val="55580AC8"/>
    <w:rsid w:val="561F133A"/>
    <w:rsid w:val="56851629"/>
    <w:rsid w:val="56B66641"/>
    <w:rsid w:val="5720521C"/>
    <w:rsid w:val="57550C32"/>
    <w:rsid w:val="579479F6"/>
    <w:rsid w:val="583835E0"/>
    <w:rsid w:val="586B0BC6"/>
    <w:rsid w:val="587A3D9D"/>
    <w:rsid w:val="58CE650A"/>
    <w:rsid w:val="58F824A8"/>
    <w:rsid w:val="5996491D"/>
    <w:rsid w:val="59E66BDD"/>
    <w:rsid w:val="59F4676A"/>
    <w:rsid w:val="5A683386"/>
    <w:rsid w:val="5A9F6982"/>
    <w:rsid w:val="5AAC720F"/>
    <w:rsid w:val="5AB242CB"/>
    <w:rsid w:val="5B8C0854"/>
    <w:rsid w:val="5BA64C0C"/>
    <w:rsid w:val="5BD813DF"/>
    <w:rsid w:val="5C8E3F53"/>
    <w:rsid w:val="5D123736"/>
    <w:rsid w:val="5E0110CA"/>
    <w:rsid w:val="5E5A3170"/>
    <w:rsid w:val="5EB10EC8"/>
    <w:rsid w:val="5ECB5C2A"/>
    <w:rsid w:val="5F4F749D"/>
    <w:rsid w:val="5F920921"/>
    <w:rsid w:val="5FC20C25"/>
    <w:rsid w:val="603E0C9B"/>
    <w:rsid w:val="60813D03"/>
    <w:rsid w:val="609C29B0"/>
    <w:rsid w:val="60B424A8"/>
    <w:rsid w:val="61222379"/>
    <w:rsid w:val="61537737"/>
    <w:rsid w:val="617440E8"/>
    <w:rsid w:val="61AA3A68"/>
    <w:rsid w:val="61F82342"/>
    <w:rsid w:val="62042903"/>
    <w:rsid w:val="6205795E"/>
    <w:rsid w:val="626B1186"/>
    <w:rsid w:val="63473302"/>
    <w:rsid w:val="63770789"/>
    <w:rsid w:val="63787701"/>
    <w:rsid w:val="6408420B"/>
    <w:rsid w:val="64A9218A"/>
    <w:rsid w:val="64F604F5"/>
    <w:rsid w:val="651E67A6"/>
    <w:rsid w:val="652846F9"/>
    <w:rsid w:val="65601166"/>
    <w:rsid w:val="6571535F"/>
    <w:rsid w:val="65D610C1"/>
    <w:rsid w:val="669722C9"/>
    <w:rsid w:val="67DE2AAA"/>
    <w:rsid w:val="682B52B9"/>
    <w:rsid w:val="6838643E"/>
    <w:rsid w:val="683E458A"/>
    <w:rsid w:val="683F3AD5"/>
    <w:rsid w:val="6871229B"/>
    <w:rsid w:val="69BD6BB2"/>
    <w:rsid w:val="6AA762A4"/>
    <w:rsid w:val="6B554768"/>
    <w:rsid w:val="6C061C59"/>
    <w:rsid w:val="6D132EB3"/>
    <w:rsid w:val="6D4D5472"/>
    <w:rsid w:val="6D55632A"/>
    <w:rsid w:val="6D6F7A4D"/>
    <w:rsid w:val="6DAC5AD5"/>
    <w:rsid w:val="6E213BC8"/>
    <w:rsid w:val="6E6B155A"/>
    <w:rsid w:val="6EEC3822"/>
    <w:rsid w:val="6F11083E"/>
    <w:rsid w:val="6F771FFA"/>
    <w:rsid w:val="6FE85A8F"/>
    <w:rsid w:val="707C1C3B"/>
    <w:rsid w:val="70FB3B24"/>
    <w:rsid w:val="718D7E9E"/>
    <w:rsid w:val="719318B7"/>
    <w:rsid w:val="71D17D44"/>
    <w:rsid w:val="71FB4570"/>
    <w:rsid w:val="725A3032"/>
    <w:rsid w:val="72F82B29"/>
    <w:rsid w:val="730243BB"/>
    <w:rsid w:val="73432CC1"/>
    <w:rsid w:val="73A439B9"/>
    <w:rsid w:val="73BD12D5"/>
    <w:rsid w:val="73F80E91"/>
    <w:rsid w:val="744E34C9"/>
    <w:rsid w:val="74980EEF"/>
    <w:rsid w:val="74E334C1"/>
    <w:rsid w:val="7522244A"/>
    <w:rsid w:val="75222F85"/>
    <w:rsid w:val="753371FC"/>
    <w:rsid w:val="754620EC"/>
    <w:rsid w:val="75EA30B0"/>
    <w:rsid w:val="765D0518"/>
    <w:rsid w:val="767778B4"/>
    <w:rsid w:val="769B678F"/>
    <w:rsid w:val="76AC52D1"/>
    <w:rsid w:val="76C94CE1"/>
    <w:rsid w:val="76FF1397"/>
    <w:rsid w:val="779F20DD"/>
    <w:rsid w:val="77E46D82"/>
    <w:rsid w:val="78390AE1"/>
    <w:rsid w:val="78673037"/>
    <w:rsid w:val="78DB4925"/>
    <w:rsid w:val="794157DC"/>
    <w:rsid w:val="79DE4F73"/>
    <w:rsid w:val="7A332E29"/>
    <w:rsid w:val="7AB3258F"/>
    <w:rsid w:val="7AF4367B"/>
    <w:rsid w:val="7B087FA9"/>
    <w:rsid w:val="7B1D4FA7"/>
    <w:rsid w:val="7DA97B32"/>
    <w:rsid w:val="7E9B67E5"/>
    <w:rsid w:val="7EF6253D"/>
    <w:rsid w:val="7EFF4821"/>
    <w:rsid w:val="7F142C76"/>
    <w:rsid w:val="7FF2542E"/>
    <w:rsid w:val="7FF577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6" w:lineRule="auto"/>
      <w:outlineLvl w:val="0"/>
    </w:pPr>
    <w:rPr>
      <w:b/>
      <w:bCs/>
      <w:kern w:val="44"/>
      <w:sz w:val="44"/>
      <w:szCs w:val="44"/>
    </w:rPr>
  </w:style>
  <w:style w:type="paragraph" w:styleId="3">
    <w:name w:val="heading 3"/>
    <w:basedOn w:val="1"/>
    <w:next w:val="1"/>
    <w:link w:val="20"/>
    <w:qFormat/>
    <w:uiPriority w:val="99"/>
    <w:pPr>
      <w:keepNext/>
      <w:keepLines/>
      <w:spacing w:before="260" w:after="260" w:line="412" w:lineRule="auto"/>
      <w:outlineLvl w:val="2"/>
    </w:pPr>
    <w:rPr>
      <w:b/>
      <w:bCs/>
      <w:sz w:val="32"/>
      <w:szCs w:val="32"/>
    </w:rPr>
  </w:style>
  <w:style w:type="character" w:default="1" w:styleId="16">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link w:val="21"/>
    <w:semiHidden/>
    <w:qFormat/>
    <w:uiPriority w:val="99"/>
    <w:pPr>
      <w:jc w:val="left"/>
    </w:pPr>
  </w:style>
  <w:style w:type="paragraph" w:styleId="6">
    <w:name w:val="Body Text"/>
    <w:basedOn w:val="1"/>
    <w:link w:val="22"/>
    <w:qFormat/>
    <w:uiPriority w:val="99"/>
    <w:pPr>
      <w:spacing w:after="120"/>
    </w:pPr>
  </w:style>
  <w:style w:type="paragraph" w:styleId="7">
    <w:name w:val="Body Text Indent"/>
    <w:basedOn w:val="1"/>
    <w:link w:val="23"/>
    <w:qFormat/>
    <w:uiPriority w:val="99"/>
    <w:pPr>
      <w:tabs>
        <w:tab w:val="left" w:pos="360"/>
      </w:tabs>
      <w:spacing w:line="360" w:lineRule="auto"/>
      <w:ind w:firstLine="640" w:firstLineChars="200"/>
    </w:pPr>
    <w:rPr>
      <w:rFonts w:ascii="仿宋_GB2312" w:eastAsia="仿宋_GB2312" w:cs="仿宋_GB2312"/>
      <w:sz w:val="32"/>
      <w:szCs w:val="32"/>
    </w:rPr>
  </w:style>
  <w:style w:type="paragraph" w:styleId="8">
    <w:name w:val="Plain Text"/>
    <w:basedOn w:val="1"/>
    <w:link w:val="24"/>
    <w:uiPriority w:val="99"/>
    <w:rPr>
      <w:rFonts w:ascii="宋体" w:hAnsi="Courier New" w:cs="宋体"/>
      <w:kern w:val="0"/>
      <w:sz w:val="20"/>
      <w:szCs w:val="20"/>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style>
  <w:style w:type="paragraph" w:styleId="12">
    <w:name w:val="toc 2"/>
    <w:basedOn w:val="1"/>
    <w:next w:val="1"/>
    <w:semiHidden/>
    <w:qFormat/>
    <w:uiPriority w:val="99"/>
    <w:pPr>
      <w:ind w:left="200" w:leftChars="200"/>
    </w:pPr>
  </w:style>
  <w:style w:type="paragraph" w:styleId="13">
    <w:name w:val="Normal (Web)"/>
    <w:basedOn w:val="1"/>
    <w:qFormat/>
    <w:uiPriority w:val="99"/>
    <w:pPr>
      <w:widowControl/>
      <w:spacing w:beforeAutospacing="1" w:afterAutospacing="1"/>
      <w:jc w:val="left"/>
    </w:pPr>
    <w:rPr>
      <w:rFonts w:ascii="??" w:hAnsi="??" w:cs="??"/>
      <w:kern w:val="0"/>
      <w:sz w:val="24"/>
      <w:szCs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style>
  <w:style w:type="character" w:styleId="18">
    <w:name w:val="Hyperlink"/>
    <w:basedOn w:val="16"/>
    <w:qFormat/>
    <w:uiPriority w:val="99"/>
    <w:rPr>
      <w:color w:val="0000FF"/>
      <w:u w:val="single"/>
    </w:rPr>
  </w:style>
  <w:style w:type="character" w:customStyle="1" w:styleId="19">
    <w:name w:val="Heading 1 Char"/>
    <w:basedOn w:val="16"/>
    <w:link w:val="2"/>
    <w:qFormat/>
    <w:locked/>
    <w:uiPriority w:val="99"/>
    <w:rPr>
      <w:rFonts w:ascii="Calibri" w:hAnsi="Calibri" w:cs="Calibri"/>
      <w:b/>
      <w:bCs/>
      <w:kern w:val="44"/>
      <w:sz w:val="44"/>
      <w:szCs w:val="44"/>
    </w:rPr>
  </w:style>
  <w:style w:type="character" w:customStyle="1" w:styleId="20">
    <w:name w:val="Heading 3 Char"/>
    <w:basedOn w:val="16"/>
    <w:link w:val="3"/>
    <w:semiHidden/>
    <w:locked/>
    <w:uiPriority w:val="99"/>
    <w:rPr>
      <w:rFonts w:ascii="Calibri" w:hAnsi="Calibri" w:cs="Calibri"/>
      <w:b/>
      <w:bCs/>
      <w:sz w:val="32"/>
      <w:szCs w:val="32"/>
    </w:rPr>
  </w:style>
  <w:style w:type="character" w:customStyle="1" w:styleId="21">
    <w:name w:val="Comment Text Char"/>
    <w:basedOn w:val="16"/>
    <w:link w:val="5"/>
    <w:semiHidden/>
    <w:locked/>
    <w:uiPriority w:val="99"/>
    <w:rPr>
      <w:rFonts w:ascii="Calibri" w:hAnsi="Calibri" w:cs="Calibri"/>
      <w:sz w:val="21"/>
      <w:szCs w:val="21"/>
    </w:rPr>
  </w:style>
  <w:style w:type="character" w:customStyle="1" w:styleId="22">
    <w:name w:val="Body Text Char"/>
    <w:basedOn w:val="16"/>
    <w:link w:val="6"/>
    <w:semiHidden/>
    <w:qFormat/>
    <w:locked/>
    <w:uiPriority w:val="99"/>
    <w:rPr>
      <w:rFonts w:ascii="Calibri" w:hAnsi="Calibri" w:cs="Calibri"/>
      <w:sz w:val="21"/>
      <w:szCs w:val="21"/>
    </w:rPr>
  </w:style>
  <w:style w:type="character" w:customStyle="1" w:styleId="23">
    <w:name w:val="Body Text Indent Char"/>
    <w:basedOn w:val="16"/>
    <w:link w:val="7"/>
    <w:semiHidden/>
    <w:qFormat/>
    <w:locked/>
    <w:uiPriority w:val="99"/>
    <w:rPr>
      <w:rFonts w:ascii="Calibri" w:hAnsi="Calibri" w:cs="Calibri"/>
      <w:sz w:val="21"/>
      <w:szCs w:val="21"/>
    </w:rPr>
  </w:style>
  <w:style w:type="character" w:customStyle="1" w:styleId="24">
    <w:name w:val="Plain Text Char"/>
    <w:basedOn w:val="16"/>
    <w:link w:val="8"/>
    <w:qFormat/>
    <w:locked/>
    <w:uiPriority w:val="99"/>
    <w:rPr>
      <w:rFonts w:ascii="宋体" w:hAnsi="Courier New" w:cs="宋体"/>
      <w:sz w:val="20"/>
      <w:szCs w:val="20"/>
    </w:rPr>
  </w:style>
  <w:style w:type="character" w:customStyle="1" w:styleId="25">
    <w:name w:val="Footer Char"/>
    <w:basedOn w:val="16"/>
    <w:link w:val="9"/>
    <w:semiHidden/>
    <w:qFormat/>
    <w:locked/>
    <w:uiPriority w:val="99"/>
    <w:rPr>
      <w:rFonts w:ascii="Calibri" w:hAnsi="Calibri" w:cs="Calibri"/>
      <w:sz w:val="18"/>
      <w:szCs w:val="18"/>
    </w:rPr>
  </w:style>
  <w:style w:type="character" w:customStyle="1" w:styleId="26">
    <w:name w:val="Header Char"/>
    <w:basedOn w:val="16"/>
    <w:link w:val="10"/>
    <w:semiHidden/>
    <w:qFormat/>
    <w:locked/>
    <w:uiPriority w:val="99"/>
    <w:rPr>
      <w:rFonts w:ascii="Calibri" w:hAnsi="Calibri" w:cs="Calibri"/>
      <w:sz w:val="18"/>
      <w:szCs w:val="18"/>
    </w:rPr>
  </w:style>
  <w:style w:type="paragraph" w:customStyle="1" w:styleId="27">
    <w:name w:val="正文2"/>
    <w:basedOn w:val="1"/>
    <w:qFormat/>
    <w:uiPriority w:val="99"/>
    <w:pPr>
      <w:spacing w:before="156" w:line="360" w:lineRule="auto"/>
      <w:ind w:firstLine="510" w:firstLineChars="200"/>
    </w:pPr>
    <w:rPr>
      <w:sz w:val="24"/>
      <w:szCs w:val="24"/>
    </w:rPr>
  </w:style>
  <w:style w:type="paragraph" w:customStyle="1" w:styleId="28">
    <w:name w:val="正文文本缩进1"/>
    <w:basedOn w:val="1"/>
    <w:qFormat/>
    <w:uiPriority w:val="99"/>
    <w:pPr>
      <w:adjustRightInd w:val="0"/>
      <w:spacing w:line="360" w:lineRule="auto"/>
      <w:ind w:firstLine="490"/>
      <w:jc w:val="left"/>
    </w:pPr>
    <w:rPr>
      <w:rFonts w:ascii="Century Gothic" w:hAnsi="Century Gothic" w:cs="Century Gothic"/>
      <w:sz w:val="24"/>
      <w:szCs w:val="24"/>
    </w:rPr>
  </w:style>
  <w:style w:type="paragraph" w:customStyle="1" w:styleId="29">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Calibri"/>
      <w:kern w:val="0"/>
      <w:sz w:val="21"/>
      <w:szCs w:val="21"/>
      <w:lang w:val="en-US" w:eastAsia="zh-CN" w:bidi="ar-SA"/>
    </w:rPr>
  </w:style>
  <w:style w:type="paragraph" w:customStyle="1" w:styleId="30">
    <w:name w:val="列出段落1"/>
    <w:basedOn w:val="1"/>
    <w:qFormat/>
    <w:uiPriority w:val="99"/>
    <w:pPr>
      <w:ind w:firstLine="420" w:firstLineChars="200"/>
    </w:pPr>
  </w:style>
  <w:style w:type="paragraph" w:customStyle="1" w:styleId="31">
    <w:name w:val="List Paragraph1"/>
    <w:basedOn w:val="1"/>
    <w:qFormat/>
    <w:uiPriority w:val="99"/>
    <w:pPr>
      <w:ind w:firstLine="420" w:firstLineChars="200"/>
    </w:pPr>
  </w:style>
  <w:style w:type="paragraph" w:customStyle="1" w:styleId="32">
    <w:name w:val="No Spacing1"/>
    <w:qFormat/>
    <w:uiPriority w:val="99"/>
    <w:rPr>
      <w:rFonts w:ascii="Calibri" w:hAnsi="Calibri" w:eastAsia="宋体" w:cs="Calibri"/>
      <w:kern w:val="0"/>
      <w:sz w:val="22"/>
      <w:szCs w:val="22"/>
      <w:lang w:val="en-US" w:eastAsia="en-US" w:bidi="ar-SA"/>
    </w:rPr>
  </w:style>
  <w:style w:type="paragraph" w:customStyle="1" w:styleId="3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34">
    <w:name w:val="font61"/>
    <w:basedOn w:val="16"/>
    <w:qFormat/>
    <w:uiPriority w:val="99"/>
    <w:rPr>
      <w:rFonts w:ascii="宋体" w:hAnsi="宋体" w:eastAsia="宋体" w:cs="宋体"/>
      <w:color w:val="000000"/>
      <w:sz w:val="22"/>
      <w:szCs w:val="22"/>
      <w:u w:val="none"/>
    </w:rPr>
  </w:style>
  <w:style w:type="character" w:customStyle="1" w:styleId="35">
    <w:name w:val="font11"/>
    <w:basedOn w:val="16"/>
    <w:qFormat/>
    <w:uiPriority w:val="99"/>
    <w:rPr>
      <w:rFonts w:ascii="宋体" w:hAnsi="宋体" w:eastAsia="宋体" w:cs="宋体"/>
      <w:color w:val="FF0000"/>
      <w:sz w:val="22"/>
      <w:szCs w:val="22"/>
      <w:u w:val="none"/>
    </w:rPr>
  </w:style>
  <w:style w:type="character" w:customStyle="1" w:styleId="36">
    <w:name w:val="font51"/>
    <w:basedOn w:val="1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62</Pages>
  <Words>5638</Word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2019-11-08T08:25:00Z</dcterms:created>
  <dc:creator>小宁点点</dc:creator>
  <cp:lastModifiedBy>LJ1414042565</cp:lastModifiedBy>
  <cp:lastPrinted>2020-04-17T08:23:00Z</cp:lastPrinted>
  <dcterms:modified xsi:type="dcterms:W3CDTF">2020-05-08T03:05:32Z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