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E69E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8A7C77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108FBFA">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3D8D5843">
      <w:pPr>
        <w:spacing w:line="360" w:lineRule="auto"/>
        <w:jc w:val="center"/>
        <w:rPr>
          <w:rFonts w:hint="eastAsia" w:ascii="仿宋" w:hAnsi="仿宋" w:eastAsia="仿宋" w:cs="仿宋"/>
          <w:b w:val="0"/>
          <w:bCs/>
          <w:color w:val="000000" w:themeColor="text1"/>
          <w:sz w:val="48"/>
          <w:szCs w:val="48"/>
          <w:highlight w:val="none"/>
          <w14:textFill>
            <w14:solidFill>
              <w14:schemeClr w14:val="tx1"/>
            </w14:solidFill>
          </w14:textFill>
        </w:rPr>
      </w:pPr>
      <w:r>
        <w:rPr>
          <w:rFonts w:hint="eastAsia" w:ascii="仿宋" w:hAnsi="仿宋" w:eastAsia="仿宋" w:cs="仿宋"/>
          <w:b w:val="0"/>
          <w:bCs/>
          <w:color w:val="000000" w:themeColor="text1"/>
          <w:sz w:val="44"/>
          <w:szCs w:val="44"/>
          <w:highlight w:val="none"/>
          <w14:textFill>
            <w14:solidFill>
              <w14:schemeClr w14:val="tx1"/>
            </w14:solidFill>
          </w14:textFill>
        </w:rPr>
        <w:t>杭州市人力资源和社会保障政务服务中心</w:t>
      </w:r>
    </w:p>
    <w:p w14:paraId="39DF87B1">
      <w:pPr>
        <w:adjustRightInd/>
        <w:spacing w:line="360" w:lineRule="auto"/>
        <w:jc w:val="center"/>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2025-2026年度杭州市人力资源信息系统升级维护项目</w:t>
      </w:r>
    </w:p>
    <w:p w14:paraId="5495D114">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4B4789F7">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 xml:space="preserve">招标文件 </w:t>
      </w:r>
    </w:p>
    <w:p w14:paraId="5B002D3E">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27195D50">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ZJLT-2025-03-029-02</w:t>
      </w:r>
      <w:r>
        <w:rPr>
          <w:rFonts w:hint="eastAsia" w:ascii="仿宋" w:hAnsi="仿宋" w:eastAsia="仿宋" w:cs="仿宋"/>
          <w:color w:val="000000" w:themeColor="text1"/>
          <w:sz w:val="30"/>
          <w:szCs w:val="30"/>
          <w:highlight w:val="none"/>
          <w14:textFill>
            <w14:solidFill>
              <w14:schemeClr w14:val="tx1"/>
            </w14:solidFill>
          </w14:textFill>
        </w:rPr>
        <w:t>）</w:t>
      </w:r>
    </w:p>
    <w:p w14:paraId="3A2A80A9">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58D9F6CB">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2ED98E1F">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278373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8403FD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FE1112C">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9568959">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杭州市人力资源和社会保障政务服务中心</w:t>
      </w:r>
    </w:p>
    <w:p w14:paraId="10916A3E">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联通工程咨询（浙江）有限公司</w:t>
      </w:r>
    </w:p>
    <w:p w14:paraId="7D1E2DF4">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月</w:t>
      </w:r>
    </w:p>
    <w:p w14:paraId="37EB9A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34B528D">
      <w:pPr>
        <w:pStyle w:val="638"/>
        <w:rPr>
          <w:rFonts w:hint="eastAsia" w:ascii="仿宋" w:hAnsi="仿宋" w:eastAsia="仿宋" w:cs="仿宋"/>
          <w:color w:val="000000" w:themeColor="text1"/>
          <w:highlight w:val="none"/>
          <w14:textFill>
            <w14:solidFill>
              <w14:schemeClr w14:val="tx1"/>
            </w14:solidFill>
          </w14:textFill>
        </w:rPr>
      </w:pPr>
    </w:p>
    <w:p w14:paraId="78DE899C">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1FB1B867">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C41EA22">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1962C80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1F622FEF">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49CCBD7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62F9359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5972170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699C1D8D">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714E05F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2B5FDB2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EEFC2D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F168BF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254E68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4F7759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3154BC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754A0A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9493D9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F6498E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18F2B5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771BE2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37B7E78">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3DC3E9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212DBF8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5</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8</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00</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4A5F4DA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3AB6B6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w:t>
      </w:r>
    </w:p>
    <w:p w14:paraId="75EEBAF5">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p>
    <w:p w14:paraId="39174B64">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lang w:eastAsia="zh-CN"/>
          <w14:textFill>
            <w14:solidFill>
              <w14:schemeClr w14:val="tx1"/>
            </w14:solidFill>
          </w14:textFill>
        </w:rPr>
        <w:t xml:space="preserve">3300000.00    </w:t>
      </w:r>
    </w:p>
    <w:p w14:paraId="28250E44">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lang w:eastAsia="zh-CN"/>
          <w14:textFill>
            <w14:solidFill>
              <w14:schemeClr w14:val="tx1"/>
            </w14:solidFill>
          </w14:textFill>
        </w:rPr>
        <w:t xml:space="preserve">3300000.00    </w:t>
      </w:r>
    </w:p>
    <w:p w14:paraId="56267BC5">
      <w:pPr>
        <w:pStyle w:val="5"/>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主要内容： </w:t>
      </w:r>
      <w:r>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t>省就业管理系统杭州驻场运维、杭州智慧就业系统、数据共享系统、数据汇编系统、电子档案系统、</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资产管理平台</w:t>
      </w:r>
      <w:r>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t>等多个子系统进行日常维护，确保系统平稳运行。同时，提供系统安全保障、数据保护及定期巡检，确保系统稳定性和数据安全。</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5CB2352">
      <w:pPr>
        <w:pStyle w:val="132"/>
        <w:ind w:firstLine="482"/>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b/>
          <w:color w:val="000000" w:themeColor="text1"/>
          <w:highlight w:val="none"/>
          <w:lang w:eastAsia="zh-CN"/>
          <w14:textFill>
            <w14:solidFill>
              <w14:schemeClr w14:val="tx1"/>
            </w14:solidFill>
          </w14:textFill>
        </w:rPr>
        <w:t>一年，2025年7月1日至2026年6月30日</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p>
    <w:p w14:paraId="30A501A5">
      <w:pPr>
        <w:pStyle w:val="5"/>
        <w:spacing w:line="360" w:lineRule="auto"/>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t xml:space="preserve"> </w:t>
      </w: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3B40AF7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5C7E1101">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4EF142D">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2</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538A7CFF">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w:t>
      </w:r>
      <w:r>
        <w:rPr>
          <w:rFonts w:hint="eastAsia" w:ascii="仿宋" w:hAnsi="仿宋" w:eastAsia="仿宋" w:cs="仿宋"/>
          <w:snapToGrid w:val="0"/>
          <w:color w:val="000000" w:themeColor="text1"/>
          <w:kern w:val="28"/>
          <w:sz w:val="24"/>
          <w:szCs w:val="20"/>
          <w:highlight w:val="none"/>
          <w14:textFill>
            <w14:solidFill>
              <w14:schemeClr w14:val="tx1"/>
            </w14:solidFill>
          </w14:textFill>
        </w:rPr>
        <w:t>.落实政府采购政策需满足的资格要求：</w:t>
      </w:r>
    </w:p>
    <w:p w14:paraId="6957AC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F78D4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9783230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BA0AD7E">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1445526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60462CA6">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33264A8D">
      <w:pPr>
        <w:rPr>
          <w:rFonts w:hint="eastAsia" w:ascii="仿宋" w:hAnsi="仿宋" w:eastAsia="仿宋" w:cs="仿宋"/>
          <w:color w:val="000000" w:themeColor="text1"/>
          <w:highlight w:val="none"/>
          <w14:textFill>
            <w14:solidFill>
              <w14:schemeClr w14:val="tx1"/>
            </w14:solidFill>
          </w14:textFill>
        </w:rPr>
      </w:pPr>
    </w:p>
    <w:p w14:paraId="49C1FF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1D16A4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2FE1704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3B5DF9F5">
      <w:pPr>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14:paraId="5BF1F55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1344519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508AC8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1F862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567C9A6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2011CC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4BBAB00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37BDA55">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484F585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7D3DCDC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063C57E4">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04F0CE2F">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7F67255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0544688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6FDE19E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34C434E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40C8C0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w:t>
      </w:r>
      <w:r>
        <w:rPr>
          <w:rFonts w:hint="eastAsia" w:ascii="仿宋" w:hAnsi="仿宋" w:eastAsia="仿宋" w:cs="仿宋"/>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000000" w:themeColor="text1"/>
          <w:sz w:val="24"/>
          <w:highlight w:val="none"/>
          <w14:textFill>
            <w14:solidFill>
              <w14:schemeClr w14:val="tx1"/>
            </w14:solidFill>
          </w14:textFill>
        </w:rPr>
        <w:t>。</w:t>
      </w:r>
    </w:p>
    <w:p w14:paraId="5A34E1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5E6BE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A0264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402FE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74D22B3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41895FD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 xml:space="preserve"> </w:t>
      </w:r>
    </w:p>
    <w:p w14:paraId="50FB464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 杭州市上城区大学路99号     </w:t>
      </w:r>
    </w:p>
    <w:p w14:paraId="48170C38">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758617D6">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项目联系人（询问）： 郎老师 </w:t>
      </w:r>
    </w:p>
    <w:p w14:paraId="0786FCBC">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项目联系方式（询问）：0571-87258580</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3ED16B54">
      <w:pPr>
        <w:spacing w:line="360" w:lineRule="auto"/>
        <w:ind w:firstLine="480"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t xml:space="preserve">质疑联系人： </w:t>
      </w:r>
      <w:r>
        <w:rPr>
          <w:rFonts w:hint="eastAsia" w:ascii="仿宋" w:hAnsi="仿宋" w:eastAsia="仿宋" w:cs="仿宋"/>
          <w:color w:val="000000" w:themeColor="text1"/>
          <w:sz w:val="24"/>
          <w:highlight w:val="none"/>
          <w:lang w:val="en-US" w:eastAsia="zh-CN"/>
          <w14:textFill>
            <w14:solidFill>
              <w14:schemeClr w14:val="tx1"/>
            </w14:solidFill>
          </w14:textFill>
        </w:rPr>
        <w:t>叶先生</w:t>
      </w:r>
      <w:r>
        <w:rPr>
          <w:rFonts w:hint="eastAsia" w:ascii="仿宋" w:hAnsi="仿宋" w:eastAsia="仿宋" w:cs="仿宋"/>
          <w:color w:val="000000" w:themeColor="text1"/>
          <w:sz w:val="24"/>
          <w:highlight w:val="none"/>
          <w14:textFill>
            <w14:solidFill>
              <w14:schemeClr w14:val="tx1"/>
            </w14:solidFill>
          </w14:textFill>
        </w:rPr>
        <w:t xml:space="preserve"> </w:t>
      </w:r>
    </w:p>
    <w:p w14:paraId="622B8B1B">
      <w:pPr>
        <w:spacing w:line="360" w:lineRule="auto"/>
        <w:ind w:firstLine="480"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t xml:space="preserve">质疑联系方式： </w:t>
      </w:r>
      <w:r>
        <w:rPr>
          <w:rFonts w:hint="eastAsia" w:ascii="仿宋" w:hAnsi="仿宋" w:eastAsia="仿宋" w:cs="仿宋"/>
          <w:color w:val="000000" w:themeColor="text1"/>
          <w:sz w:val="24"/>
          <w:highlight w:val="none"/>
          <w:lang w:val="en-US" w:eastAsia="zh-CN"/>
          <w14:textFill>
            <w14:solidFill>
              <w14:schemeClr w14:val="tx1"/>
            </w14:solidFill>
          </w14:textFill>
        </w:rPr>
        <w:t>0571-87258689 </w:t>
      </w:r>
    </w:p>
    <w:p w14:paraId="461F678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758E74A7">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p>
    <w:p w14:paraId="2C9DD466">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杭州市绍兴路168号和平大厦</w:t>
      </w:r>
      <w:r>
        <w:rPr>
          <w:rFonts w:hint="eastAsia" w:ascii="仿宋" w:hAnsi="仿宋" w:eastAsia="仿宋" w:cs="仿宋"/>
          <w:color w:val="000000" w:themeColor="text1"/>
          <w:sz w:val="24"/>
          <w:highlight w:val="none"/>
          <w:lang w:val="en-US" w:eastAsia="zh-CN"/>
          <w14:textFill>
            <w14:solidFill>
              <w14:schemeClr w14:val="tx1"/>
            </w14:solidFill>
          </w14:textFill>
        </w:rPr>
        <w:t>11楼</w:t>
      </w:r>
    </w:p>
    <w:p w14:paraId="30778055">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24B4ED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刘中秀、吴明芳</w:t>
      </w:r>
      <w:r>
        <w:rPr>
          <w:rFonts w:hint="eastAsia" w:ascii="仿宋" w:hAnsi="仿宋" w:eastAsia="仿宋" w:cs="仿宋"/>
          <w:color w:val="000000" w:themeColor="text1"/>
          <w:sz w:val="24"/>
          <w:highlight w:val="none"/>
          <w14:textFill>
            <w14:solidFill>
              <w14:schemeClr w14:val="tx1"/>
            </w14:solidFill>
          </w14:textFill>
        </w:rPr>
        <w:t xml:space="preserve"> </w:t>
      </w:r>
    </w:p>
    <w:p w14:paraId="1A67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eastAsia="zh-CN"/>
          <w14:textFill>
            <w14:solidFill>
              <w14:schemeClr w14:val="tx1"/>
            </w14:solidFill>
          </w14:textFill>
        </w:rPr>
        <w:t>0571-86753380</w:t>
      </w:r>
    </w:p>
    <w:p w14:paraId="1D3F71A2">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郑彦臣</w:t>
      </w:r>
    </w:p>
    <w:p w14:paraId="1BCA81BC">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eastAsia="zh-CN"/>
          <w14:textFill>
            <w14:solidFill>
              <w14:schemeClr w14:val="tx1"/>
            </w14:solidFill>
          </w14:textFill>
        </w:rPr>
        <w:t>0571-86753380</w:t>
      </w:r>
    </w:p>
    <w:p w14:paraId="00A0442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14:paraId="7E930B1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2B076EE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（快递仅限ems或顺丰）</w:t>
      </w:r>
    </w:p>
    <w:p w14:paraId="046A8DD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03E906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2C804DFE">
      <w:pPr>
        <w:spacing w:line="360" w:lineRule="auto"/>
        <w:ind w:firstLine="480"/>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0571-8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p>
    <w:p w14:paraId="71F26787">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政策咨询电话：政策咨询：陈先生、厉先生，0571-89580460、89580456</w:t>
      </w:r>
    </w:p>
    <w:p w14:paraId="4223CD72">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政府采购监管部门工作人员</w:t>
      </w:r>
    </w:p>
    <w:p w14:paraId="0907ACE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EC009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54714118">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3EAF6B21">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646F304E">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19A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B29AE5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D7109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40CD1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2146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EBA92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85D65F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83C4DB">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7B60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624DF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F85113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987349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E4690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8833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（十二）软件和信息技术服务业</w:t>
            </w:r>
            <w:r>
              <w:rPr>
                <w:rFonts w:hint="eastAsia" w:ascii="仿宋" w:hAnsi="仿宋" w:eastAsia="仿宋" w:cs="仿宋"/>
                <w:color w:val="000000" w:themeColor="text1"/>
                <w:kern w:val="0"/>
                <w:sz w:val="24"/>
                <w:highlight w:val="none"/>
                <w14:textFill>
                  <w14:solidFill>
                    <w14:schemeClr w14:val="tx1"/>
                  </w14:solidFill>
                </w14:textFill>
              </w:rPr>
              <w:t>行业；</w:t>
            </w:r>
          </w:p>
          <w:p w14:paraId="3D9BD130">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根据《关于印发中小企业划型标准规定的通知》（工信部联企业〔2011〕300号）第四条规定：</w:t>
            </w:r>
            <w:r>
              <w:rPr>
                <w:rFonts w:hint="eastAsia" w:ascii="仿宋" w:hAnsi="仿宋" w:eastAsia="仿宋" w:cs="仿宋"/>
                <w:color w:val="000000" w:themeColor="text1"/>
                <w:kern w:val="0"/>
                <w:sz w:val="24"/>
                <w:highlight w:val="none"/>
                <w:u w:val="single"/>
                <w14:textFill>
                  <w14:solidFill>
                    <w14:schemeClr w14:val="tx1"/>
                  </w14:solidFill>
                </w14:textFill>
              </w:rPr>
              <w:t>（十二）软件和信息技术服务业</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行业。</w:t>
            </w:r>
            <w:r>
              <w:rPr>
                <w:rFonts w:hint="eastAsia" w:ascii="仿宋" w:hAnsi="仿宋" w:eastAsia="仿宋" w:cs="仿宋"/>
                <w:color w:val="000000" w:themeColor="text1"/>
                <w:kern w:val="0"/>
                <w:sz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C99077">
            <w:pPr>
              <w:snapToGrid w:val="0"/>
              <w:rPr>
                <w:rFonts w:hint="eastAsia" w:ascii="仿宋" w:hAnsi="仿宋" w:eastAsia="仿宋" w:cs="仿宋"/>
                <w:color w:val="000000" w:themeColor="text1"/>
                <w:highlight w:val="none"/>
                <w:lang w:val="en-US"/>
                <w14:textFill>
                  <w14:solidFill>
                    <w14:schemeClr w14:val="tx1"/>
                  </w14:solidFill>
                </w14:textFill>
              </w:rPr>
            </w:pPr>
          </w:p>
        </w:tc>
      </w:tr>
      <w:tr w14:paraId="49916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986AD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1EE9F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E0675C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8A456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500D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1633504D">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5069696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3A48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1A13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953FAE">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08A6AB">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4654123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sdt>
              <w:sdtPr>
                <w:rPr>
                  <w:rFonts w:hint="eastAsia" w:ascii="仿宋" w:hAnsi="仿宋" w:eastAsia="仿宋" w:cs="仿宋"/>
                  <w:color w:val="000000" w:themeColor="text1"/>
                  <w:kern w:val="0"/>
                  <w:sz w:val="24"/>
                  <w:highlight w:val="none"/>
                  <w14:textFill>
                    <w14:solidFill>
                      <w14:schemeClr w14:val="tx1"/>
                    </w14:solidFill>
                  </w14:textFill>
                </w:rPr>
                <w:id w:val="68165565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210E769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52E0B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61082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030D41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18C1B9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7F400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0087D0C">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6549752"/>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4248A5CD">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14:paraId="1F981961">
            <w:pPr>
              <w:pStyle w:val="80"/>
              <w:ind w:firstLine="0" w:firstLineChars="0"/>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p w14:paraId="64D2D410">
            <w:pPr>
              <w:pStyle w:val="80"/>
              <w:ind w:firstLine="0" w:firstLineChars="0"/>
              <w:rPr>
                <w:rFonts w:hint="eastAsia" w:ascii="仿宋" w:hAnsi="仿宋" w:eastAsia="仿宋" w:cs="仿宋"/>
                <w:color w:val="000000" w:themeColor="text1"/>
                <w:highlight w:val="none"/>
                <w14:textFill>
                  <w14:solidFill>
                    <w14:schemeClr w14:val="tx1"/>
                  </w14:solidFill>
                </w14:textFill>
              </w:rPr>
            </w:pPr>
          </w:p>
        </w:tc>
      </w:tr>
      <w:tr w14:paraId="38708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BD43B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FFB238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928669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77BA84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489C1C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06A628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0C4F24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C19761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E46BCC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C17F35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FA8C9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39781">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8628233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4CC231AE">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6766C7EF">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3D931B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9A9DF70">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38EBC3F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1BEC19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BB4AFE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将通知未中标人在规定的时间内取回，逾期未取回的，采购人、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不负保管义务；对于中标人提供的样品，采购人将进行保管、封存，并作为履约验收的参考。</w:t>
            </w:r>
          </w:p>
          <w:p w14:paraId="6087C53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37EE5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F9E73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05A971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F21790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5E58C6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E5275F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FA9D46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1DE409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25AE20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D913BB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908CD8">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B79CE">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26283E2E">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52C695B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仿宋" w:hAnsi="仿宋" w:eastAsia="仿宋" w:cs="仿宋"/>
                <w:color w:val="000000" w:themeColor="text1"/>
                <w:kern w:val="0"/>
                <w:sz w:val="24"/>
                <w:highlight w:val="none"/>
                <w:u w:val="single"/>
                <w14:textFill>
                  <w14:solidFill>
                    <w14:schemeClr w14:val="tx1"/>
                  </w14:solidFill>
                </w14:textFill>
              </w:rPr>
              <w:t>20</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仿宋" w:hAnsi="仿宋" w:eastAsia="仿宋" w:cs="仿宋"/>
                <w:color w:val="000000" w:themeColor="text1"/>
                <w:kern w:val="0"/>
                <w:sz w:val="24"/>
                <w:highlight w:val="none"/>
                <w:u w:val="single"/>
                <w14:textFill>
                  <w14:solidFill>
                    <w14:schemeClr w14:val="tx1"/>
                  </w14:solidFill>
                </w14:textFill>
              </w:rPr>
              <w:t>3</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14:paraId="4BE2B20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3806FC1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68E4814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方式二：代理机构现场讲解演示。现场讲解地点为</w:t>
            </w:r>
            <w:r>
              <w:rPr>
                <w:rFonts w:hint="eastAsia" w:ascii="仿宋" w:hAnsi="仿宋" w:eastAsia="仿宋" w:cs="仿宋"/>
                <w:color w:val="000000" w:themeColor="text1"/>
                <w:kern w:val="0"/>
                <w:sz w:val="24"/>
                <w:highlight w:val="none"/>
                <w:u w:val="single"/>
                <w14:textFill>
                  <w14:solidFill>
                    <w14:schemeClr w14:val="tx1"/>
                  </w14:solidFill>
                </w14:textFill>
              </w:rPr>
              <w:t>杭州市绍兴路168号和平大厦81</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室</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1F5A245A">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96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0C0570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BA5763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578AF6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EE26D9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FE4DE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6FDA95F4">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CC02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DDD57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B2AF07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E98F0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48C0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2216F3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2F97E5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757D0A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A2A91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FA6E3">
            <w:pPr>
              <w:pStyle w:val="80"/>
              <w:snapToGrid w:val="0"/>
              <w:spacing w:line="360" w:lineRule="auto"/>
              <w:ind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7CD2CDB">
            <w:pPr>
              <w:pStyle w:val="8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sdt>
              <w:sdt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sdtEndPr>
              <w:sdtContent>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强制采购。产品：    </w:t>
            </w:r>
          </w:p>
          <w:p w14:paraId="69B4CE83">
            <w:pPr>
              <w:pStyle w:val="8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□优先采购节能产品。产品：   </w:t>
            </w:r>
          </w:p>
          <w:p w14:paraId="7FD2FE5B">
            <w:pPr>
              <w:pStyle w:val="8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□优先采购环保产品。产品：    </w:t>
            </w:r>
          </w:p>
          <w:p w14:paraId="399CC896">
            <w:pPr>
              <w:pStyle w:val="8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☑无</w:t>
            </w:r>
          </w:p>
        </w:tc>
      </w:tr>
      <w:tr w14:paraId="3A083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11338F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C14C87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42578C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F09927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DC8FBE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33FD0A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04F19C">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3AEA6C">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1C8B674C">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04EADBF4">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4A16B855">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09176468">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7DD7CA24">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127A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8" w:hRule="atLeast"/>
          <w:tblHeader/>
        </w:trPr>
        <w:tc>
          <w:tcPr>
            <w:tcW w:w="629" w:type="dxa"/>
            <w:tcBorders>
              <w:top w:val="single" w:color="auto" w:sz="4" w:space="0"/>
              <w:left w:val="single" w:color="000000" w:sz="8" w:space="0"/>
              <w:right w:val="single" w:color="000000" w:sz="2" w:space="0"/>
            </w:tcBorders>
          </w:tcPr>
          <w:p w14:paraId="180B4BF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F9F495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72BAE0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3CC9F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C1D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A2E32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96539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646CC3">
            <w:pPr>
              <w:pStyle w:val="32"/>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杭州市拱墅区绍兴路168号和平大厦811室</w:t>
            </w:r>
            <w:r>
              <w:rPr>
                <w:rFonts w:hint="eastAsia" w:ascii="仿宋" w:hAnsi="仿宋" w:eastAsia="仿宋" w:cs="仿宋"/>
                <w:color w:val="000000" w:themeColor="text1"/>
                <w:sz w:val="24"/>
                <w:szCs w:val="24"/>
                <w:highlight w:val="none"/>
                <w:u w:val="single"/>
                <w14:textFill>
                  <w14:solidFill>
                    <w14:schemeClr w14:val="tx1"/>
                  </w14:solidFill>
                </w14:textFill>
              </w:rPr>
              <w:t>（接受邮寄，需在投标截止前寄达签收）</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kern w:val="28"/>
                <w:sz w:val="24"/>
                <w:szCs w:val="24"/>
                <w:highlight w:val="none"/>
                <w:u w:val="single"/>
                <w14:textFill>
                  <w14:solidFill>
                    <w14:schemeClr w14:val="tx1"/>
                  </w14:solidFill>
                </w14:textFill>
              </w:rPr>
              <w:t>刘中秀</w:t>
            </w:r>
            <w:r>
              <w:rPr>
                <w:rFonts w:hint="eastAsia" w:ascii="仿宋" w:hAnsi="仿宋" w:eastAsia="仿宋" w:cs="仿宋"/>
                <w:color w:val="000000" w:themeColor="text1"/>
                <w:sz w:val="24"/>
                <w:highlight w:val="none"/>
                <w:u w:val="single"/>
                <w14:textFill>
                  <w14:solidFill>
                    <w14:schemeClr w14:val="tx1"/>
                  </w14:solidFill>
                </w14:textFill>
              </w:rPr>
              <w:t xml:space="preserve"> 0571-86753380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不强制或变相强制投标人提交备份投标文件。</w:t>
            </w:r>
          </w:p>
        </w:tc>
      </w:tr>
      <w:tr w14:paraId="47EB7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094E10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5CEEBC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9593E73">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8D28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8E0F6A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4D5000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57F2D5">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2113802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A77E67A">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A25E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A217C14">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75836DE">
            <w:pPr>
              <w:snapToGrid w:val="0"/>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 w:eastAsia="zh-CN"/>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19031BF">
            <w:pPr>
              <w:spacing w:line="360" w:lineRule="auto"/>
              <w:rPr>
                <w:rFonts w:hint="eastAsia" w:ascii="仿宋" w:hAnsi="仿宋" w:eastAsia="仿宋" w:cs="仿宋"/>
                <w:color w:val="000000" w:themeColor="text1"/>
                <w:kern w:val="0"/>
                <w:sz w:val="24"/>
                <w:highlight w:val="none"/>
                <w:lang w:val="en" w:eastAsia="zh-CN"/>
                <w14:textFill>
                  <w14:solidFill>
                    <w14:schemeClr w14:val="tx1"/>
                  </w14:solidFill>
                </w14:textFill>
              </w:rPr>
            </w:pPr>
            <w:r>
              <w:rPr>
                <w:rFonts w:hint="eastAsia" w:ascii="仿宋" w:hAnsi="仿宋" w:eastAsia="仿宋" w:cs="仿宋"/>
                <w:color w:val="000000" w:themeColor="text1"/>
                <w:kern w:val="0"/>
                <w:sz w:val="24"/>
                <w:highlight w:val="none"/>
                <w:lang w:val="en" w:eastAsia="zh-CN"/>
                <w14:textFill>
                  <w14:solidFill>
                    <w14:schemeClr w14:val="tx1"/>
                  </w14:solidFill>
                </w14:textFill>
              </w:rPr>
              <w:t>本项目推荐的中标候选人数量：</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 w:eastAsia="zh-CN"/>
                <w14:textFill>
                  <w14:solidFill>
                    <w14:schemeClr w14:val="tx1"/>
                  </w14:solidFill>
                </w14:textFill>
              </w:rPr>
              <w:t>。</w:t>
            </w:r>
          </w:p>
        </w:tc>
      </w:tr>
      <w:tr w14:paraId="60CC5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4E3EC59">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E566D53">
            <w:pPr>
              <w:snapToGrid w:val="0"/>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 w:eastAsia="zh-CN"/>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98A77FD">
            <w:pPr>
              <w:snapToGrid w:val="0"/>
              <w:spacing w:line="360" w:lineRule="auto"/>
              <w:ind w:rightChars="68" w:firstLineChars="34"/>
              <w:jc w:val="lef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本项目的采购代理费由中标人支付。</w:t>
            </w:r>
          </w:p>
          <w:p w14:paraId="7D6B2A2A">
            <w:pPr>
              <w:snapToGrid w:val="0"/>
              <w:spacing w:line="360" w:lineRule="auto"/>
              <w:ind w:rightChars="68" w:firstLineChars="34"/>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本项目招标代理服务费收费标准为：</w:t>
            </w:r>
            <w:r>
              <w:rPr>
                <w:rFonts w:hint="eastAsia" w:ascii="仿宋" w:hAnsi="仿宋" w:eastAsia="仿宋" w:cs="仿宋"/>
                <w:color w:val="000000" w:themeColor="text1"/>
                <w:sz w:val="24"/>
                <w:highlight w:val="none"/>
                <w:lang w:val="zh-CN"/>
                <w14:textFill>
                  <w14:solidFill>
                    <w14:schemeClr w14:val="tx1"/>
                  </w14:solidFill>
                </w14:textFill>
              </w:rPr>
              <w:t>以中标金额为计费基准，根据《招标代理服务收费管理暂行办法》（计价格[2002]1980号文件）服务类收费标准</w:t>
            </w:r>
            <w:r>
              <w:rPr>
                <w:rFonts w:hint="eastAsia" w:ascii="仿宋" w:hAnsi="仿宋" w:eastAsia="仿宋" w:cs="仿宋"/>
                <w:color w:val="000000" w:themeColor="text1"/>
                <w:sz w:val="24"/>
                <w:highlight w:val="none"/>
                <w14:textFill>
                  <w14:solidFill>
                    <w14:schemeClr w14:val="tx1"/>
                  </w14:solidFill>
                </w14:textFill>
              </w:rPr>
              <w:t>的70%收取，不足6000元按6000元收取。</w:t>
            </w:r>
          </w:p>
          <w:p w14:paraId="5F8FE804">
            <w:pPr>
              <w:snapToGrid w:val="0"/>
              <w:spacing w:line="360" w:lineRule="auto"/>
              <w:ind w:rightChars="68"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由中标供应商在领取中标通知书后7个工作日内向采购代理机构一次性缴纳。</w:t>
            </w:r>
          </w:p>
          <w:p w14:paraId="2EAB2908">
            <w:pPr>
              <w:snapToGrid w:val="0"/>
              <w:spacing w:line="360" w:lineRule="auto"/>
              <w:ind w:rightChars="68" w:firstLineChars="34"/>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收款单位：</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p>
          <w:p w14:paraId="6634662A">
            <w:pPr>
              <w:snapToGrid w:val="0"/>
              <w:spacing w:line="360" w:lineRule="auto"/>
              <w:ind w:rightChars="68" w:firstLineChars="34"/>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r>
              <w:rPr>
                <w:rFonts w:hint="eastAsia" w:ascii="仿宋" w:hAnsi="仿宋" w:eastAsia="仿宋" w:cs="仿宋"/>
                <w:color w:val="000000" w:themeColor="text1"/>
                <w:sz w:val="24"/>
                <w:highlight w:val="none"/>
                <w:lang w:eastAsia="zh-CN"/>
                <w14:textFill>
                  <w14:solidFill>
                    <w14:schemeClr w14:val="tx1"/>
                  </w14:solidFill>
                </w14:textFill>
              </w:rPr>
              <w:t>中信银行杭州天水支行</w:t>
            </w:r>
          </w:p>
          <w:p w14:paraId="2296818E">
            <w:pPr>
              <w:spacing w:line="360" w:lineRule="auto"/>
              <w:rPr>
                <w:rFonts w:hint="eastAsia" w:ascii="仿宋" w:hAnsi="仿宋" w:eastAsia="仿宋" w:cs="仿宋"/>
                <w:color w:val="000000" w:themeColor="text1"/>
                <w:kern w:val="0"/>
                <w:sz w:val="24"/>
                <w:highlight w:val="none"/>
                <w:lang w:val="en"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r>
              <w:rPr>
                <w:rFonts w:hint="eastAsia" w:ascii="仿宋" w:hAnsi="仿宋" w:eastAsia="仿宋" w:cs="仿宋"/>
                <w:color w:val="000000" w:themeColor="text1"/>
                <w:sz w:val="24"/>
                <w:highlight w:val="none"/>
                <w:lang w:eastAsia="zh-CN"/>
                <w14:textFill>
                  <w14:solidFill>
                    <w14:schemeClr w14:val="tx1"/>
                  </w14:solidFill>
                </w14:textFill>
              </w:rPr>
              <w:t>8110801012802840410</w:t>
            </w:r>
          </w:p>
        </w:tc>
      </w:tr>
    </w:tbl>
    <w:p w14:paraId="4EE9C500">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0"/>
    <w:p w14:paraId="5E16814A">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仿宋" w:hAnsi="仿宋" w:eastAsia="仿宋" w:cs="仿宋"/>
          <w:b/>
          <w:color w:val="000000" w:themeColor="text1"/>
          <w:sz w:val="32"/>
          <w:szCs w:val="20"/>
          <w:highlight w:val="none"/>
          <w14:textFill>
            <w14:solidFill>
              <w14:schemeClr w14:val="tx1"/>
            </w14:solidFill>
          </w14:textFill>
        </w:rPr>
        <w:t>一、总则</w:t>
      </w:r>
    </w:p>
    <w:p w14:paraId="52BA0BC1">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4B41E9A7">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4E627CC">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798D15A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2A3FB59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”系指招标公告中载明的本项目的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7DE90E3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4C9EE0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066D1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FCA8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指本项目政府采购活动所依托的政府采购云平台（https://www.zcygov.cn/）。</w:t>
      </w:r>
    </w:p>
    <w:p w14:paraId="70E7927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41879F07">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4E7DC76E">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2B8A1903">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1F69D47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E3920F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64467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C298D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3.2.4 </w:t>
      </w:r>
      <w:r>
        <w:rPr>
          <w:rFonts w:hint="eastAsia" w:ascii="仿宋" w:hAnsi="仿宋" w:eastAsia="仿宋" w:cs="仿宋"/>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A4142A">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72F1A93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E0D58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7E1B1C9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3366E4">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07521A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hint="eastAsia" w:ascii="仿宋" w:hAnsi="仿宋" w:eastAsia="仿宋" w:cs="仿宋"/>
          <w:color w:val="000000" w:themeColor="text1"/>
          <w:sz w:val="24"/>
          <w:highlight w:val="none"/>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1AB37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0F92B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5187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w:t>
      </w:r>
      <w:r>
        <w:rPr>
          <w:rFonts w:hint="eastAsia" w:ascii="仿宋" w:hAnsi="仿宋" w:eastAsia="仿宋" w:cs="仿宋"/>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000000" w:themeColor="text1"/>
          <w:sz w:val="24"/>
          <w:highlight w:val="none"/>
          <w14:textFill>
            <w14:solidFill>
              <w14:schemeClr w14:val="tx1"/>
            </w14:solidFill>
          </w14:textFill>
        </w:rPr>
        <w:t>。</w:t>
      </w:r>
    </w:p>
    <w:p w14:paraId="24FB391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64E81F2">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2AF650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3.4.1 </w:t>
      </w:r>
      <w:r>
        <w:rPr>
          <w:rFonts w:hint="eastAsia" w:ascii="仿宋" w:hAnsi="仿宋" w:eastAsia="仿宋" w:cs="仿宋"/>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仿宋" w:hAnsi="仿宋" w:eastAsia="仿宋" w:cs="仿宋"/>
          <w:color w:val="000000" w:themeColor="text1"/>
          <w:sz w:val="24"/>
          <w:highlight w:val="none"/>
          <w14:textFill>
            <w14:solidFill>
              <w14:schemeClr w14:val="tx1"/>
            </w14:solidFill>
          </w14:textFill>
        </w:rPr>
        <w:t>。</w:t>
      </w:r>
    </w:p>
    <w:p w14:paraId="73D3DF29">
      <w:pPr>
        <w:pStyle w:val="3"/>
        <w:adjustRightInd w:val="0"/>
        <w:ind w:left="0" w:firstLine="480" w:firstLineChars="200"/>
        <w:rPr>
          <w:rFonts w:hint="eastAsia" w:ascii="仿宋" w:hAnsi="仿宋" w:eastAsia="仿宋" w:cs="仿宋"/>
          <w:color w:val="000000" w:themeColor="text1"/>
          <w:highlight w:val="none"/>
          <w:u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14:textFill>
            <w14:solidFill>
              <w14:schemeClr w14:val="tx1"/>
            </w14:solidFill>
          </w14:textFill>
        </w:rPr>
        <w:t>3.4.</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u w:val="non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仿宋" w:hAnsi="仿宋" w:eastAsia="仿宋" w:cs="仿宋"/>
          <w:b w:val="0"/>
          <w:bCs w:val="0"/>
          <w:color w:val="000000" w:themeColor="text1"/>
          <w:sz w:val="24"/>
          <w:szCs w:val="24"/>
          <w:highlight w:val="none"/>
          <w:u w:val="none"/>
          <w:lang w:val="en-US"/>
          <w14:textFill>
            <w14:solidFill>
              <w14:schemeClr w14:val="tx1"/>
            </w14:solidFill>
          </w14:textFill>
        </w:rPr>
        <w:t>应当采购使用正版软件。</w:t>
      </w:r>
    </w:p>
    <w:p w14:paraId="4F7C83E5">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0C3180B6">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r>
        <w:rPr>
          <w:rFonts w:hint="eastAsia" w:ascii="仿宋" w:hAnsi="仿宋" w:eastAsia="仿宋" w:cs="仿宋"/>
          <w:b/>
          <w:color w:val="000000" w:themeColor="text1"/>
          <w:sz w:val="24"/>
          <w:highlight w:val="none"/>
          <w14:textFill>
            <w14:solidFill>
              <w14:schemeClr w14:val="tx1"/>
            </w14:solidFill>
          </w14:textFill>
        </w:rPr>
        <w:t>、补偿救济</w:t>
      </w:r>
    </w:p>
    <w:p w14:paraId="75D17532">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A3C32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58BB1E3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108231">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4514D399">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C84EB96">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提出质疑，否则，采购人或者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不予受理：</w:t>
      </w:r>
    </w:p>
    <w:p w14:paraId="3C7A7B29">
      <w:pPr>
        <w:pStyle w:val="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7709DE4">
      <w:pPr>
        <w:pStyle w:val="32"/>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5832E0A">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10E37882">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55854FFE">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35BFA45C">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13D2E4CC">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10469456">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4E23B824">
      <w:pPr>
        <w:pStyle w:val="32"/>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732588EE">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B646E44">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04E4E8DA">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24616B18">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03954AE3">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2FC01FF">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659CA54C">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的答复不满意或者采购人、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23F798E4">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7B6FFE75">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4C978F60">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7F0AA26D">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4.4.5根据政府采购行政裁决省市区三级联动试点工作安排，杭州市本级</w:t>
      </w:r>
      <w:r>
        <w:rPr>
          <w:rFonts w:hint="eastAsia" w:ascii="仿宋" w:hAnsi="仿宋" w:eastAsia="仿宋" w:cs="仿宋"/>
          <w:color w:val="000000" w:themeColor="text1"/>
          <w:highlight w:val="none"/>
          <w:lang w:eastAsia="zh-CN"/>
          <w14:textFill>
            <w14:solidFill>
              <w14:schemeClr w14:val="tx1"/>
            </w14:solidFill>
          </w14:textFill>
        </w:rPr>
        <w:t>及各区、县（市）</w:t>
      </w:r>
      <w:r>
        <w:rPr>
          <w:rFonts w:hint="eastAsia" w:ascii="仿宋" w:hAnsi="仿宋" w:eastAsia="仿宋" w:cs="仿宋"/>
          <w:color w:val="000000" w:themeColor="text1"/>
          <w:highlight w:val="none"/>
          <w14:textFill>
            <w14:solidFill>
              <w14:schemeClr w14:val="tx1"/>
            </w14:solidFill>
          </w14:textFill>
        </w:rPr>
        <w:t>政府采购项目投诉材料可寄送至浙江省政府采购行政裁决服务中心（杭州），地址：</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（快递仅限ems或顺丰）</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收件人：朱女士</w:t>
      </w:r>
      <w:r>
        <w:rPr>
          <w:rFonts w:hint="eastAsia" w:ascii="仿宋" w:hAnsi="仿宋" w:eastAsia="仿宋" w:cs="仿宋"/>
          <w:color w:val="000000" w:themeColor="text1"/>
          <w:sz w:val="24"/>
          <w:highlight w:val="none"/>
          <w14:textFill>
            <w14:solidFill>
              <w14:schemeClr w14:val="tx1"/>
            </w14:solidFill>
          </w14:textFill>
        </w:rPr>
        <w:t>、王女士</w:t>
      </w:r>
      <w:r>
        <w:rPr>
          <w:rFonts w:hint="eastAsia" w:ascii="仿宋" w:hAnsi="仿宋" w:eastAsia="仿宋" w:cs="仿宋"/>
          <w:color w:val="000000" w:themeColor="text1"/>
          <w:highlight w:val="none"/>
          <w14:textFill>
            <w14:solidFill>
              <w14:schemeClr w14:val="tx1"/>
            </w14:solidFill>
          </w14:textFill>
        </w:rPr>
        <w:t>，电话：0571-</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仿宋" w:hAnsi="仿宋" w:eastAsia="仿宋" w:cs="仿宋"/>
          <w:color w:val="000000" w:themeColor="text1"/>
          <w:highlight w:val="none"/>
          <w14:textFill>
            <w14:solidFill>
              <w14:schemeClr w14:val="tx1"/>
            </w14:solidFill>
          </w14:textFill>
        </w:rPr>
        <w:t>。</w:t>
      </w:r>
    </w:p>
    <w:p w14:paraId="0DE2FC54">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59136337">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7C75B8B6">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1D94E34D">
      <w:pPr>
        <w:pStyle w:val="132"/>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2D74F85F">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1BB65E31">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30EB5CE2">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1BCF17D7">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18DF5ED9">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11D0BD6A">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31D62E89">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19DD689E">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16E40937">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19FDEC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7BB53BBF">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3824B496">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提出。</w:t>
      </w:r>
    </w:p>
    <w:p w14:paraId="4B49D7AC">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6.2 </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18685E">
      <w:pPr>
        <w:pStyle w:val="2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69D55BCB">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7EF8E0B0">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75EB5BCA">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EA131BC">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0793E2E3">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7D5C837">
      <w:pPr>
        <w:pStyle w:val="32"/>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5423432C">
      <w:pPr>
        <w:pStyle w:val="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4334806C">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775EE9B6">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456936FF">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1B59826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4BF9403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57B237B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5B662DA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247FE3B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132138F2">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06CDE8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D1CAF3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244C513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CB970B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符合性审查资料；</w:t>
      </w:r>
    </w:p>
    <w:p w14:paraId="5AB238D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14:paraId="12CA39A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投标标的清单；</w:t>
      </w:r>
    </w:p>
    <w:p w14:paraId="7D728B3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商务技术偏离表；</w:t>
      </w:r>
    </w:p>
    <w:p w14:paraId="4CADE428">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AD77F19">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25609D9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4AC900F5">
      <w:pPr>
        <w:pStyle w:val="3"/>
        <w:snapToGrid w:val="0"/>
        <w:spacing w:line="360" w:lineRule="auto"/>
        <w:ind w:left="0" w:firstLine="960" w:firstLineChars="4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11.3.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中小企业声明函。</w:t>
      </w:r>
    </w:p>
    <w:p w14:paraId="0ECB292A">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C32D621">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6EE27E68">
      <w:pPr>
        <w:spacing w:line="360" w:lineRule="auto"/>
        <w:ind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4200704D">
      <w:pPr>
        <w:pStyle w:val="132"/>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09E9230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62824F">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D9CC2FC">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B8BCBA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7BAA2968">
      <w:pPr>
        <w:pStyle w:val="132"/>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60CBC28A">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B9D8B29">
      <w:pPr>
        <w:pStyle w:val="132"/>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020FF4C1">
      <w:pPr>
        <w:pStyle w:val="13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70F1CA5F">
      <w:pPr>
        <w:pStyle w:val="132"/>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6995B5">
      <w:pPr>
        <w:pStyle w:val="13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2E05B12">
      <w:pPr>
        <w:pStyle w:val="13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可以视情况延长投标文件提交的截止时间。在上述情况下，</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2CD5DAB3">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35E11FC3">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不强制或变相强制投标人提交备份投标文件。</w:t>
      </w:r>
    </w:p>
    <w:p w14:paraId="3806C4C9">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w:t>
      </w:r>
      <w:r>
        <w:rPr>
          <w:rFonts w:hint="eastAsia" w:ascii="仿宋" w:hAnsi="仿宋" w:eastAsia="仿宋" w:cs="仿宋"/>
          <w:color w:val="000000" w:themeColor="text1"/>
          <w:sz w:val="24"/>
          <w:highlight w:val="none"/>
          <w:lang w:val="en-US" w:eastAsia="zh-CN"/>
          <w14:textFill>
            <w14:solidFill>
              <w14:schemeClr w14:val="tx1"/>
            </w14:solidFill>
          </w14:textFill>
        </w:rPr>
        <w:t>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4EC7B96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w:t>
      </w:r>
    </w:p>
    <w:p w14:paraId="69351854">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01945597">
      <w:pPr>
        <w:pStyle w:val="32"/>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E909C95">
      <w:pPr>
        <w:pStyle w:val="13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46A93BEE">
      <w:pPr>
        <w:pStyle w:val="24"/>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szCs w:val="2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14:paraId="48264F80">
      <w:pPr>
        <w:pStyle w:val="13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5EDE8A1B">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757405B8">
      <w:pPr>
        <w:pStyle w:val="13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3BD7462F">
      <w:pPr>
        <w:pStyle w:val="13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7A3E5983">
      <w:pPr>
        <w:pStyle w:val="132"/>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474DADD5">
      <w:pPr>
        <w:pStyle w:val="132"/>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26DA40B0">
      <w:pPr>
        <w:pStyle w:val="558"/>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3A827ABE">
      <w:pPr>
        <w:pStyle w:val="558"/>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1C59B5D5">
      <w:pPr>
        <w:pStyle w:val="558"/>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558397DF">
      <w:pPr>
        <w:pStyle w:val="558"/>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16A9E6B">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3EFB709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采购人或</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依据法律法规和招标文件的规定，对投标人的资格进行审查。</w:t>
      </w:r>
    </w:p>
    <w:p w14:paraId="0A51E234">
      <w:pPr>
        <w:pStyle w:val="13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Cs w:val="24"/>
          <w:highlight w:val="none"/>
          <w14:textFill>
            <w14:solidFill>
              <w14:schemeClr w14:val="tx1"/>
            </w14:solidFill>
          </w14:textFill>
        </w:rPr>
        <w:t>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0B202441">
      <w:pPr>
        <w:pStyle w:val="13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对未通过资格审查的投标人，采购人或</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告知其未通过的原因。</w:t>
      </w:r>
    </w:p>
    <w:p w14:paraId="406950C6">
      <w:pPr>
        <w:pStyle w:val="13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合格投标人不足3家的，不再评标。</w:t>
      </w:r>
    </w:p>
    <w:p w14:paraId="56E69F73">
      <w:pPr>
        <w:pStyle w:val="13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43C9DEB2">
      <w:pPr>
        <w:pStyle w:val="13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10E6E00E">
      <w:pPr>
        <w:pStyle w:val="13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23926D2">
      <w:pPr>
        <w:pStyle w:val="13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769E592">
      <w:pPr>
        <w:pStyle w:val="13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56CD4EC8">
      <w:pPr>
        <w:pStyle w:val="132"/>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42932BA4">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36BE9C96">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5A2D813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610FF0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065BC284">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650E3C95">
      <w:pPr>
        <w:pStyle w:val="132"/>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000000" w:themeColor="text1"/>
          <w:szCs w:val="24"/>
          <w:highlight w:val="none"/>
          <w:lang w:val="en-US" w:eastAsia="zh-CN"/>
          <w14:textFill>
            <w14:solidFill>
              <w14:schemeClr w14:val="tx1"/>
            </w14:solidFill>
          </w14:textFill>
        </w:rPr>
        <w:t>鼓励</w:t>
      </w:r>
      <w:r>
        <w:rPr>
          <w:rFonts w:hint="eastAsia" w:ascii="仿宋" w:hAnsi="仿宋" w:eastAsia="仿宋" w:cs="仿宋"/>
          <w:color w:val="000000" w:themeColor="text1"/>
          <w:szCs w:val="24"/>
          <w:highlight w:val="none"/>
          <w14:textFill>
            <w14:solidFill>
              <w14:schemeClr w14:val="tx1"/>
            </w14:solidFill>
          </w14:textFill>
        </w:rPr>
        <w:t>在收到评审报告当天</w:t>
      </w:r>
      <w:r>
        <w:rPr>
          <w:rFonts w:hint="eastAsia" w:ascii="仿宋" w:hAnsi="仿宋" w:eastAsia="仿宋" w:cs="仿宋"/>
          <w:color w:val="000000" w:themeColor="text1"/>
          <w:szCs w:val="24"/>
          <w:highlight w:val="none"/>
          <w:lang w:val="en-US" w:eastAsia="zh-CN"/>
          <w14:textFill>
            <w14:solidFill>
              <w14:schemeClr w14:val="tx1"/>
            </w14:solidFill>
          </w14:textFill>
        </w:rPr>
        <w:t>在线</w:t>
      </w:r>
      <w:r>
        <w:rPr>
          <w:rFonts w:hint="eastAsia" w:ascii="仿宋" w:hAnsi="仿宋" w:eastAsia="仿宋" w:cs="仿宋"/>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40B14D68">
      <w:pPr>
        <w:pStyle w:val="132"/>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24B444E6">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也可以以纸质形式进行中标通知。</w:t>
      </w:r>
    </w:p>
    <w:p w14:paraId="42B63DD6">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4"/>
      <w:r>
        <w:rPr>
          <w:rFonts w:hint="eastAsia" w:ascii="仿宋" w:hAnsi="仿宋" w:eastAsia="仿宋" w:cs="仿宋"/>
          <w:color w:val="000000" w:themeColor="text1"/>
          <w:sz w:val="24"/>
          <w:highlight w:val="none"/>
          <w14:textFill>
            <w14:solidFill>
              <w14:schemeClr w14:val="tx1"/>
            </w14:solidFill>
          </w14:textFill>
        </w:rPr>
        <w:t>未中标情况说明、中标公告期限以及评审专家名单、评分汇总及明细。</w:t>
      </w:r>
    </w:p>
    <w:p w14:paraId="5CF9768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72E58B21">
      <w:pPr>
        <w:pStyle w:val="132"/>
        <w:adjustRightInd w:val="0"/>
        <w:snapToGrid w:val="0"/>
        <w:spacing w:before="0"/>
        <w:ind w:firstLine="482" w:firstLineChars="200"/>
        <w:rPr>
          <w:rStyle w:val="78"/>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 xml:space="preserve">23.4 </w:t>
      </w:r>
      <w:r>
        <w:rPr>
          <w:rFonts w:hint="eastAsia" w:ascii="仿宋" w:hAnsi="仿宋" w:eastAsia="仿宋" w:cs="仿宋"/>
          <w:b w:val="0"/>
          <w:bCs/>
          <w:color w:val="000000" w:themeColor="text1"/>
          <w:szCs w:val="24"/>
          <w:highlight w:val="none"/>
          <w14:textFill>
            <w14:solidFill>
              <w14:schemeClr w14:val="tx1"/>
            </w14:solidFill>
          </w14:textFill>
        </w:rPr>
        <w:t>由于</w:t>
      </w:r>
      <w:r>
        <w:rPr>
          <w:rFonts w:hint="eastAsia" w:ascii="仿宋" w:hAnsi="仿宋" w:eastAsia="仿宋" w:cs="仿宋"/>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22CCB796">
      <w:pPr>
        <w:pStyle w:val="81"/>
        <w:rPr>
          <w:rFonts w:hint="eastAsia" w:ascii="仿宋" w:hAnsi="仿宋" w:eastAsia="仿宋" w:cs="仿宋"/>
          <w:color w:val="000000" w:themeColor="text1"/>
          <w:highlight w:val="none"/>
          <w14:textFill>
            <w14:solidFill>
              <w14:schemeClr w14:val="tx1"/>
            </w14:solidFill>
          </w14:textFill>
        </w:rPr>
      </w:pPr>
    </w:p>
    <w:p w14:paraId="0589699E">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2963440B">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38263EA5">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5B5FD3EA">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37F4B330">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3EFB22">
      <w:pPr>
        <w:pStyle w:val="132"/>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EA36AA9">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C81BF44">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CB965BC">
      <w:pPr>
        <w:pStyle w:val="132"/>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4F740BC">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736E1370">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hint="eastAsia" w:ascii="仿宋" w:hAnsi="仿宋" w:eastAsia="仿宋" w:cs="仿宋"/>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仿宋"/>
          <w:color w:val="000000" w:themeColor="text1"/>
          <w:sz w:val="24"/>
          <w:highlight w:val="none"/>
          <w14:textFill>
            <w14:solidFill>
              <w14:schemeClr w14:val="tx1"/>
            </w14:solidFill>
          </w14:textFill>
        </w:rPr>
        <w:t>。</w:t>
      </w:r>
    </w:p>
    <w:p w14:paraId="5BC43849">
      <w:pPr>
        <w:pStyle w:val="3"/>
        <w:ind w:left="0" w:firstLine="480"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w:t>
      </w:r>
    </w:p>
    <w:p w14:paraId="258E3302">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2"/>
          <w:highlight w:val="none"/>
          <w:lang w:val="en-US"/>
          <w14:textFill>
            <w14:solidFill>
              <w14:schemeClr w14:val="tx1"/>
            </w14:solidFill>
          </w14:textFill>
        </w:rPr>
        <w:t>27.预付款</w:t>
      </w:r>
    </w:p>
    <w:p w14:paraId="04118161">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hint="eastAsia" w:ascii="仿宋" w:hAnsi="仿宋" w:eastAsia="仿宋" w:cs="仿宋"/>
          <w:color w:val="000000" w:themeColor="text1"/>
          <w:sz w:val="24"/>
          <w:highlight w:val="none"/>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，不高于合同金额的</w:t>
      </w:r>
      <w:r>
        <w:rPr>
          <w:rFonts w:hint="eastAsia" w:ascii="仿宋" w:hAnsi="仿宋" w:eastAsia="仿宋" w:cs="仿宋"/>
          <w:color w:val="000000" w:themeColor="text1"/>
          <w:sz w:val="24"/>
          <w:highlight w:val="none"/>
          <w14:textFill>
            <w14:solidFill>
              <w14:schemeClr w14:val="tx1"/>
            </w14:solidFill>
          </w14:textFill>
        </w:rPr>
        <w:t>70%；项目分年安排预算的，每年预付款比例</w:t>
      </w:r>
      <w:r>
        <w:rPr>
          <w:rFonts w:hint="eastAsia" w:ascii="仿宋" w:hAnsi="仿宋" w:eastAsia="仿宋" w:cs="仿宋"/>
          <w:color w:val="000000" w:themeColor="text1"/>
          <w:sz w:val="24"/>
          <w:highlight w:val="none"/>
          <w14:textFill>
            <w14:solidFill>
              <w14:schemeClr w14:val="tx1"/>
            </w14:solidFill>
          </w14:textFill>
        </w:rPr>
        <w:t>不低于</w:t>
      </w:r>
      <w:r>
        <w:rPr>
          <w:rFonts w:hint="eastAsia" w:ascii="仿宋" w:hAnsi="仿宋" w:eastAsia="仿宋" w:cs="仿宋"/>
          <w:color w:val="000000" w:themeColor="text1"/>
          <w:sz w:val="24"/>
          <w:highlight w:val="none"/>
          <w14:textFill>
            <w14:solidFill>
              <w14:schemeClr w14:val="tx1"/>
            </w14:solidFill>
          </w14:textFill>
        </w:rPr>
        <w:t>项目年度计划支付资金额的40％</w:t>
      </w:r>
      <w:r>
        <w:rPr>
          <w:rFonts w:hint="eastAsia" w:ascii="仿宋" w:hAnsi="仿宋" w:eastAsia="仿宋" w:cs="仿宋"/>
          <w:color w:val="000000" w:themeColor="text1"/>
          <w:sz w:val="24"/>
          <w:highlight w:val="none"/>
          <w14:textFill>
            <w14:solidFill>
              <w14:schemeClr w14:val="tx1"/>
            </w14:solidFill>
          </w14:textFill>
        </w:rPr>
        <w:t>，不高于合同金额的</w:t>
      </w:r>
      <w:r>
        <w:rPr>
          <w:rFonts w:hint="eastAsia" w:ascii="仿宋" w:hAnsi="仿宋" w:eastAsia="仿宋" w:cs="仿宋"/>
          <w:color w:val="000000" w:themeColor="text1"/>
          <w:sz w:val="24"/>
          <w:highlight w:val="none"/>
          <w14:textFill>
            <w14:solidFill>
              <w14:schemeClr w14:val="tx1"/>
            </w14:solidFill>
          </w14:textFill>
        </w:rPr>
        <w:t>70%；采购项目实施以人工投入为主的，</w:t>
      </w:r>
      <w:r>
        <w:rPr>
          <w:rFonts w:hint="eastAsia" w:ascii="仿宋" w:hAnsi="仿宋" w:eastAsia="仿宋" w:cs="仿宋"/>
          <w:color w:val="000000" w:themeColor="text1"/>
          <w:sz w:val="24"/>
          <w:highlight w:val="none"/>
          <w14:textFill>
            <w14:solidFill>
              <w14:schemeClr w14:val="tx1"/>
            </w14:solidFill>
          </w14:textFill>
        </w:rPr>
        <w:t>可适当降低预付款比例，但不得低于</w:t>
      </w:r>
      <w:r>
        <w:rPr>
          <w:rFonts w:hint="eastAsia" w:ascii="仿宋" w:hAnsi="仿宋" w:eastAsia="仿宋" w:cs="仿宋"/>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明确表示无需预付款或者主动要求降低预付款比例的，</w:t>
      </w:r>
      <w:r>
        <w:rPr>
          <w:rFonts w:hint="eastAsia" w:ascii="仿宋" w:hAnsi="仿宋" w:eastAsia="仿宋" w:cs="仿宋"/>
          <w:color w:val="000000" w:themeColor="text1"/>
          <w:sz w:val="24"/>
          <w:highlight w:val="none"/>
          <w14:textFill>
            <w14:solidFill>
              <w14:schemeClr w14:val="tx1"/>
            </w14:solidFill>
          </w14:textFill>
        </w:rPr>
        <w:t>采购单位</w:t>
      </w:r>
      <w:r>
        <w:rPr>
          <w:rFonts w:hint="eastAsia" w:ascii="仿宋" w:hAnsi="仿宋" w:eastAsia="仿宋" w:cs="仿宋"/>
          <w:color w:val="000000" w:themeColor="text1"/>
          <w:sz w:val="24"/>
          <w:highlight w:val="none"/>
          <w14:textFill>
            <w14:solidFill>
              <w14:schemeClr w14:val="tx1"/>
            </w14:solidFill>
          </w14:textFill>
        </w:rPr>
        <w:t>可不适用前述规定。</w:t>
      </w:r>
      <w:r>
        <w:rPr>
          <w:rFonts w:hint="eastAsia" w:ascii="仿宋" w:hAnsi="仿宋" w:eastAsia="仿宋" w:cs="仿宋"/>
          <w:color w:val="000000" w:themeColor="text1"/>
          <w:sz w:val="24"/>
          <w:highlight w:val="none"/>
          <w14:textFill>
            <w14:solidFill>
              <w14:schemeClr w14:val="tx1"/>
            </w14:solidFill>
          </w14:textFill>
        </w:rPr>
        <w:t>采购单位</w:t>
      </w:r>
      <w:r>
        <w:rPr>
          <w:rFonts w:hint="eastAsia" w:ascii="仿宋" w:hAnsi="仿宋" w:eastAsia="仿宋" w:cs="仿宋"/>
          <w:color w:val="000000" w:themeColor="text1"/>
          <w:sz w:val="24"/>
          <w:highlight w:val="none"/>
          <w14:textFill>
            <w14:solidFill>
              <w14:schemeClr w14:val="tx1"/>
            </w14:solidFill>
          </w14:textFill>
        </w:rPr>
        <w:t>根据项目特点、供应商诚信等因素，可以要求</w:t>
      </w: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仿宋" w:hAnsi="仿宋" w:eastAsia="仿宋" w:cs="仿宋"/>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hint="eastAsia" w:ascii="仿宋" w:hAnsi="仿宋" w:eastAsia="仿宋" w:cs="仿宋"/>
          <w:color w:val="000000" w:themeColor="text1"/>
          <w:sz w:val="24"/>
          <w:highlight w:val="non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hint="eastAsia" w:ascii="仿宋" w:hAnsi="仿宋" w:eastAsia="仿宋" w:cs="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s="仿宋"/>
          <w:color w:val="000000" w:themeColor="text1"/>
          <w:sz w:val="24"/>
          <w:highlight w:val="none"/>
          <w14:textFill>
            <w14:solidFill>
              <w14:schemeClr w14:val="tx1"/>
            </w14:solidFill>
          </w14:textFill>
        </w:rPr>
        <w:t>采云金融专线</w:t>
      </w:r>
      <w:r>
        <w:rPr>
          <w:rFonts w:hint="eastAsia" w:ascii="仿宋" w:hAnsi="仿宋" w:eastAsia="仿宋" w:cs="仿宋"/>
          <w:color w:val="000000" w:themeColor="text1"/>
          <w:sz w:val="24"/>
          <w:highlight w:val="none"/>
          <w:lang w:val="en-US" w:eastAsia="zh-CN"/>
          <w14:textFill>
            <w14:solidFill>
              <w14:schemeClr w14:val="tx1"/>
            </w14:solidFill>
          </w14:textFill>
        </w:rPr>
        <w:t>95763</w:t>
      </w:r>
      <w:r>
        <w:rPr>
          <w:rFonts w:hint="eastAsia" w:ascii="仿宋" w:hAnsi="仿宋" w:eastAsia="仿宋" w:cs="仿宋"/>
          <w:color w:val="000000" w:themeColor="text1"/>
          <w:sz w:val="24"/>
          <w:highlight w:val="none"/>
          <w14:textFill>
            <w14:solidFill>
              <w14:schemeClr w14:val="tx1"/>
            </w14:solidFill>
          </w14:textFill>
        </w:rPr>
        <w:t>。</w:t>
      </w:r>
    </w:p>
    <w:p w14:paraId="3B9B615F">
      <w:pPr>
        <w:rPr>
          <w:rFonts w:hint="eastAsia" w:ascii="仿宋" w:hAnsi="仿宋" w:eastAsia="仿宋" w:cs="仿宋"/>
          <w:color w:val="000000" w:themeColor="text1"/>
          <w:highlight w:val="none"/>
          <w14:textFill>
            <w14:solidFill>
              <w14:schemeClr w14:val="tx1"/>
            </w14:solidFill>
          </w14:textFill>
        </w:rPr>
      </w:pPr>
    </w:p>
    <w:p w14:paraId="6706BA3D">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14:paraId="365DD5BE">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2D51C611">
      <w:pPr>
        <w:pStyle w:val="132"/>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可中止电子交易活动：</w:t>
      </w:r>
    </w:p>
    <w:p w14:paraId="6DF5F21D">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7682EF5B">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734E3EF2">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18825C08">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0A54EB73">
      <w:pPr>
        <w:pStyle w:val="13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4A9DF3ED">
      <w:pPr>
        <w:pStyle w:val="132"/>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FCD1AA">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3156FD7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96BCC83">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110A374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51540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03D0B5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EB421A">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C699F6B">
      <w:pPr>
        <w:pStyle w:val="3"/>
        <w:adjustRightInd w:val="0"/>
        <w:snapToGrid w:val="0"/>
        <w:ind w:left="0" w:firstLine="480" w:firstLineChars="200"/>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合同管理</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应当</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按规定</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做好审核并完成支付。</w:t>
      </w:r>
    </w:p>
    <w:p w14:paraId="2F6970D8">
      <w:pPr>
        <w:pStyle w:val="81"/>
        <w:rPr>
          <w:rFonts w:hint="eastAsia" w:ascii="仿宋" w:hAnsi="仿宋" w:eastAsia="仿宋" w:cs="仿宋"/>
          <w:color w:val="000000" w:themeColor="text1"/>
          <w:highlight w:val="none"/>
          <w14:textFill>
            <w14:solidFill>
              <w14:schemeClr w14:val="tx1"/>
            </w14:solidFill>
          </w14:textFill>
        </w:rPr>
      </w:pPr>
    </w:p>
    <w:bookmarkEnd w:id="13"/>
    <w:p w14:paraId="3F9C444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72998"/>
      <w:bookmarkEnd w:id="16"/>
      <w:bookmarkStart w:id="17" w:name="_Hlt68072990"/>
      <w:bookmarkEnd w:id="17"/>
      <w:bookmarkStart w:id="18" w:name="_Hlt74729768"/>
      <w:bookmarkEnd w:id="18"/>
      <w:bookmarkStart w:id="19" w:name="_Hlt74730295"/>
      <w:bookmarkEnd w:id="19"/>
      <w:bookmarkStart w:id="20" w:name="_Hlt75236011"/>
      <w:bookmarkEnd w:id="20"/>
      <w:bookmarkStart w:id="21" w:name="_Hlt74707468"/>
      <w:bookmarkEnd w:id="21"/>
      <w:bookmarkStart w:id="22" w:name="_Hlt68073093"/>
      <w:bookmarkEnd w:id="22"/>
      <w:bookmarkStart w:id="23" w:name="_Hlt68403820"/>
      <w:bookmarkEnd w:id="23"/>
      <w:bookmarkStart w:id="24" w:name="_Hlt74714665"/>
      <w:bookmarkEnd w:id="24"/>
      <w:bookmarkStart w:id="25" w:name="_Hlt68057669"/>
      <w:bookmarkEnd w:id="25"/>
      <w:bookmarkStart w:id="26" w:name="_Hlt75236101"/>
      <w:bookmarkEnd w:id="26"/>
    </w:p>
    <w:bookmarkEnd w:id="11"/>
    <w:bookmarkEnd w:id="12"/>
    <w:p w14:paraId="774758FF">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3A9725F1">
      <w:pPr>
        <w:spacing w:line="360" w:lineRule="auto"/>
        <w:jc w:val="left"/>
        <w:outlineLvl w:val="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（一）项目概况</w:t>
      </w:r>
    </w:p>
    <w:p w14:paraId="46F14F2C">
      <w:pPr>
        <w:spacing w:line="360" w:lineRule="auto"/>
        <w:ind w:firstLine="480" w:firstLineChars="200"/>
        <w:jc w:val="left"/>
        <w:rPr>
          <w:rFonts w:hint="eastAsia" w:ascii="仿宋" w:hAnsi="仿宋" w:eastAsia="仿宋" w:cs="仿宋"/>
          <w:color w:val="000000" w:themeColor="text1"/>
          <w:sz w:val="24"/>
          <w:highlight w:val="none"/>
          <w:u w:val="single"/>
          <w:lang w:bidi="ar"/>
          <w14:textFill>
            <w14:solidFill>
              <w14:schemeClr w14:val="tx1"/>
            </w14:solidFill>
          </w14:textFill>
        </w:rPr>
      </w:pPr>
      <w:r>
        <w:rPr>
          <w:rFonts w:hint="eastAsia" w:ascii="仿宋" w:hAnsi="仿宋" w:eastAsia="仿宋" w:cs="仿宋"/>
          <w:color w:val="000000" w:themeColor="text1"/>
          <w:sz w:val="24"/>
          <w:highlight w:val="none"/>
          <w:u w:val="single"/>
          <w:lang w:bidi="ar"/>
          <w14:textFill>
            <w14:solidFill>
              <w14:schemeClr w14:val="tx1"/>
            </w14:solidFill>
          </w14:textFill>
        </w:rPr>
        <w:t>为落实《杭州市人力资源和社会保障局关于印发杭州市促进人力资源服务业高质量发展实施细则的通知》（杭人社发〔2023〕127号）相关政策文件精神，进一步提升杭州市人力资源信息系统的功能与服务能力，对现有系统进行</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运维升级</w:t>
      </w:r>
      <w:r>
        <w:rPr>
          <w:rFonts w:hint="eastAsia" w:ascii="仿宋" w:hAnsi="仿宋" w:eastAsia="仿宋" w:cs="仿宋"/>
          <w:color w:val="000000" w:themeColor="text1"/>
          <w:sz w:val="24"/>
          <w:highlight w:val="none"/>
          <w:u w:val="single"/>
          <w:lang w:bidi="ar"/>
          <w14:textFill>
            <w14:solidFill>
              <w14:schemeClr w14:val="tx1"/>
            </w14:solidFill>
          </w14:textFill>
        </w:rPr>
        <w:t>。项目旨在通过完善数据治理、系统安全、技术支持等方面的工作，提升系统的稳定性和安全性，确保信息处理的高效性与准确性。</w:t>
      </w:r>
    </w:p>
    <w:p w14:paraId="420BF26F">
      <w:pPr>
        <w:spacing w:line="360" w:lineRule="auto"/>
        <w:ind w:firstLine="480" w:firstLineChars="200"/>
        <w:jc w:val="left"/>
        <w:rPr>
          <w:rFonts w:hint="eastAsia" w:ascii="仿宋" w:hAnsi="仿宋" w:eastAsia="仿宋" w:cs="仿宋"/>
          <w:color w:val="000000" w:themeColor="text1"/>
          <w:sz w:val="24"/>
          <w:highlight w:val="none"/>
          <w:u w:val="single"/>
          <w:lang w:bidi="ar"/>
          <w14:textFill>
            <w14:solidFill>
              <w14:schemeClr w14:val="tx1"/>
            </w14:solidFill>
          </w14:textFill>
        </w:rPr>
      </w:pPr>
      <w:r>
        <w:rPr>
          <w:rFonts w:hint="eastAsia" w:ascii="仿宋" w:hAnsi="仿宋" w:eastAsia="仿宋" w:cs="仿宋"/>
          <w:color w:val="000000" w:themeColor="text1"/>
          <w:sz w:val="24"/>
          <w:highlight w:val="none"/>
          <w:u w:val="single"/>
          <w:lang w:bidi="ar"/>
          <w14:textFill>
            <w14:solidFill>
              <w14:schemeClr w14:val="tx1"/>
            </w14:solidFill>
          </w14:textFill>
        </w:rPr>
        <w:t>同时，项目将推动跨部门协同和数据共享，深化市级和基层之间的信息互通，优化公共就业服务，推动从“单一功能”向“一体化服务”转型，进一步提升杭州市人力资源管理工作的效率和服务质量。系统优化后的成果将有助于提升就业政策执行的准确性和及时性，确保人力资源管理更加科学化、规范化、高效化。</w:t>
      </w:r>
    </w:p>
    <w:p w14:paraId="5FCCF147">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（二）预算金额（元）：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33</w:t>
      </w:r>
      <w:r>
        <w:rPr>
          <w:rFonts w:hint="eastAsia" w:ascii="仿宋" w:hAnsi="仿宋" w:eastAsia="仿宋" w:cs="仿宋"/>
          <w:color w:val="000000" w:themeColor="text1"/>
          <w:sz w:val="24"/>
          <w:highlight w:val="none"/>
          <w:u w:val="single"/>
          <w14:textFill>
            <w14:solidFill>
              <w14:schemeClr w14:val="tx1"/>
            </w14:solidFill>
          </w14:textFill>
        </w:rPr>
        <w:t xml:space="preserve">00000元    </w:t>
      </w:r>
    </w:p>
    <w:p w14:paraId="7EF19B84">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（三）需满足的政府采购政策目标和具体支持对象</w:t>
      </w:r>
    </w:p>
    <w:p w14:paraId="1A36906E">
      <w:pPr>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 xml:space="preserve">扶持中小企业 </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EQ \o\ac(□)</w:instrTex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 xml:space="preserve">节能环保 </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EQ \o\ac(□)</w:instrTex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其他（</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BD399F0">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（四）采购标的是否进口产品： </w:t>
      </w:r>
      <w:r>
        <w:rPr>
          <w:rFonts w:hint="eastAsia" w:ascii="仿宋" w:hAnsi="仿宋" w:eastAsia="仿宋" w:cs="仿宋"/>
          <w:color w:val="000000" w:themeColor="text1"/>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否</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EQ \o\ac(□)</w:instrTex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是</w:t>
      </w:r>
    </w:p>
    <w:p w14:paraId="3A5922E1">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（五）拟采购标的的技术要求</w:t>
      </w:r>
    </w:p>
    <w:p w14:paraId="4D9D0819">
      <w:pPr>
        <w:spacing w:line="360" w:lineRule="auto"/>
        <w:jc w:val="left"/>
        <w:outlineLvl w:val="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1、任务内容</w:t>
      </w:r>
    </w:p>
    <w:p w14:paraId="450902E6">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2025-2026年度杭州市人力资源信息系统升级维护项目主要包括：省就业管理系统杭州驻场运维、杭州智慧就业系统、数据共享系统、数据汇编系统、电子档案系统、</w:t>
      </w:r>
      <w:r>
        <w:rPr>
          <w:rFonts w:hint="eastAsia" w:ascii="仿宋" w:hAnsi="仿宋" w:eastAsia="仿宋" w:cs="仿宋"/>
          <w:color w:val="000000" w:themeColor="text1"/>
          <w:sz w:val="24"/>
          <w:highlight w:val="none"/>
          <w:lang w:val="en-US" w:eastAsia="zh-CN" w:bidi="ar"/>
          <w14:textFill>
            <w14:solidFill>
              <w14:schemeClr w14:val="tx1"/>
            </w14:solidFill>
          </w14:textFill>
        </w:rPr>
        <w:t>资产管理平台</w:t>
      </w:r>
      <w:r>
        <w:rPr>
          <w:rFonts w:hint="eastAsia" w:ascii="仿宋" w:hAnsi="仿宋" w:eastAsia="仿宋" w:cs="仿宋"/>
          <w:color w:val="000000" w:themeColor="text1"/>
          <w:sz w:val="24"/>
          <w:highlight w:val="none"/>
          <w:lang w:eastAsia="zh-CN" w:bidi="ar"/>
          <w14:textFill>
            <w14:solidFill>
              <w14:schemeClr w14:val="tx1"/>
            </w14:solidFill>
          </w14:textFill>
        </w:rPr>
        <w:t>等多个子系统进行日常维护，确保系统平稳运行。同时，提供系统安全保障、数据保护及定期巡检，确保系统稳定性和数据安全。</w:t>
      </w:r>
    </w:p>
    <w:p w14:paraId="56E83F3A">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1.1.现有维护内容</w:t>
      </w:r>
    </w:p>
    <w:p w14:paraId="5E92010A">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维护范围：省就业管理系统杭州驻场运维、杭州智慧就业系统、数据共享系统、数据汇编系统、电子档案系统、</w:t>
      </w:r>
      <w:r>
        <w:rPr>
          <w:rFonts w:hint="eastAsia" w:ascii="仿宋" w:hAnsi="仿宋" w:eastAsia="仿宋" w:cs="仿宋"/>
          <w:color w:val="000000" w:themeColor="text1"/>
          <w:sz w:val="24"/>
          <w:highlight w:val="none"/>
          <w:lang w:val="en-US" w:eastAsia="zh-CN" w:bidi="ar"/>
          <w14:textFill>
            <w14:solidFill>
              <w14:schemeClr w14:val="tx1"/>
            </w14:solidFill>
          </w14:textFill>
        </w:rPr>
        <w:t>资产管理平台</w:t>
      </w:r>
      <w:r>
        <w:rPr>
          <w:rFonts w:hint="eastAsia" w:ascii="仿宋" w:hAnsi="仿宋" w:eastAsia="仿宋" w:cs="仿宋"/>
          <w:color w:val="000000" w:themeColor="text1"/>
          <w:sz w:val="24"/>
          <w:highlight w:val="none"/>
          <w:lang w:eastAsia="zh-CN" w:bidi="ar"/>
          <w14:textFill>
            <w14:solidFill>
              <w14:schemeClr w14:val="tx1"/>
            </w14:solidFill>
          </w14:textFill>
        </w:rPr>
        <w:t>等多个子系统进行日常维护，确保系统平稳运行。同时，提供系统安全保障、数据保护及定期巡检，确保系统稳定性和数据安全。</w:t>
      </w:r>
    </w:p>
    <w:p w14:paraId="228DB93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1.1.1.省就业管理系统杭州驻场运维</w:t>
      </w:r>
    </w:p>
    <w:p w14:paraId="24D30DB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（1）业务咨询服务</w:t>
      </w:r>
    </w:p>
    <w:p w14:paraId="1253800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通过电话、钉钉、浙政钉等平台，提供7×24小时响应服务，</w:t>
      </w:r>
      <w:r>
        <w:rPr>
          <w:rFonts w:hint="eastAsia" w:ascii="仿宋" w:hAnsi="仿宋" w:eastAsia="仿宋" w:cs="仿宋"/>
          <w:color w:val="000000" w:themeColor="text1"/>
          <w:sz w:val="24"/>
          <w:highlight w:val="none"/>
          <w:lang w:val="en-US" w:eastAsia="zh-CN" w:bidi="ar"/>
          <w14:textFill>
            <w14:solidFill>
              <w14:schemeClr w14:val="tx1"/>
            </w14:solidFill>
          </w14:textFill>
        </w:rPr>
        <w:t>该运维内容要求</w:t>
      </w:r>
      <w:r>
        <w:rPr>
          <w:rFonts w:hint="eastAsia" w:ascii="仿宋" w:hAnsi="仿宋" w:eastAsia="仿宋" w:cs="仿宋"/>
          <w:color w:val="000000" w:themeColor="text1"/>
          <w:sz w:val="24"/>
          <w:highlight w:val="none"/>
          <w:lang w:eastAsia="zh-CN" w:bidi="ar"/>
          <w14:textFill>
            <w14:solidFill>
              <w14:schemeClr w14:val="tx1"/>
            </w14:solidFill>
          </w14:textFill>
        </w:rPr>
        <w:t>安排不少于3人的团队提供5×8驻场服务。</w:t>
      </w:r>
      <w:r>
        <w:rPr>
          <w:rFonts w:hint="eastAsia" w:ascii="仿宋" w:hAnsi="仿宋" w:eastAsia="仿宋" w:cs="仿宋"/>
          <w:color w:val="000000" w:themeColor="text1"/>
          <w:sz w:val="24"/>
          <w:highlight w:val="none"/>
          <w:lang w:val="en-US" w:eastAsia="zh-CN" w:bidi="ar"/>
          <w14:textFill>
            <w14:solidFill>
              <w14:schemeClr w14:val="tx1"/>
            </w14:solidFill>
          </w14:textFill>
        </w:rPr>
        <w:t>为</w:t>
      </w:r>
      <w:r>
        <w:rPr>
          <w:rFonts w:hint="eastAsia" w:ascii="仿宋" w:hAnsi="仿宋" w:eastAsia="仿宋" w:cs="仿宋"/>
          <w:color w:val="000000" w:themeColor="text1"/>
          <w:sz w:val="24"/>
          <w:highlight w:val="none"/>
          <w:lang w:eastAsia="zh-CN" w:bidi="ar"/>
          <w14:textFill>
            <w14:solidFill>
              <w14:schemeClr w14:val="tx1"/>
            </w14:solidFill>
          </w14:textFill>
        </w:rPr>
        <w:t>杭州市本级及所辖区县业务人员提供咨询解答，</w:t>
      </w:r>
      <w:r>
        <w:rPr>
          <w:rFonts w:hint="eastAsia" w:ascii="仿宋" w:hAnsi="仿宋" w:eastAsia="仿宋" w:cs="仿宋"/>
          <w:color w:val="000000" w:themeColor="text1"/>
          <w:sz w:val="24"/>
          <w:highlight w:val="none"/>
          <w:lang w:val="en-US" w:eastAsia="zh-CN" w:bidi="ar"/>
          <w14:textFill>
            <w14:solidFill>
              <w14:schemeClr w14:val="tx1"/>
            </w14:solidFill>
          </w14:textFill>
        </w:rPr>
        <w:t>涵盖</w:t>
      </w:r>
      <w:r>
        <w:rPr>
          <w:rFonts w:hint="eastAsia" w:ascii="仿宋" w:hAnsi="仿宋" w:eastAsia="仿宋" w:cs="仿宋"/>
          <w:color w:val="000000" w:themeColor="text1"/>
          <w:sz w:val="24"/>
          <w:highlight w:val="none"/>
          <w:lang w:eastAsia="zh-CN" w:bidi="ar"/>
          <w14:textFill>
            <w14:solidFill>
              <w14:schemeClr w14:val="tx1"/>
            </w14:solidFill>
          </w14:textFill>
        </w:rPr>
        <w:t>业务办理</w:t>
      </w:r>
      <w:r>
        <w:rPr>
          <w:rFonts w:hint="eastAsia" w:ascii="仿宋" w:hAnsi="仿宋" w:eastAsia="仿宋" w:cs="仿宋"/>
          <w:color w:val="000000" w:themeColor="text1"/>
          <w:sz w:val="24"/>
          <w:highlight w:val="none"/>
          <w:lang w:val="en-US" w:eastAsia="zh-CN" w:bidi="ar"/>
          <w14:textFill>
            <w14:solidFill>
              <w14:schemeClr w14:val="tx1"/>
            </w14:solidFill>
          </w14:textFill>
        </w:rPr>
        <w:t>及</w:t>
      </w:r>
      <w:r>
        <w:rPr>
          <w:rFonts w:hint="eastAsia" w:ascii="仿宋" w:hAnsi="仿宋" w:eastAsia="仿宋" w:cs="仿宋"/>
          <w:color w:val="000000" w:themeColor="text1"/>
          <w:sz w:val="24"/>
          <w:highlight w:val="none"/>
          <w:lang w:eastAsia="zh-CN" w:bidi="ar"/>
          <w14:textFill>
            <w14:solidFill>
              <w14:schemeClr w14:val="tx1"/>
            </w14:solidFill>
          </w14:textFill>
        </w:rPr>
        <w:t>系统操作中</w:t>
      </w:r>
      <w:r>
        <w:rPr>
          <w:rFonts w:hint="eastAsia" w:ascii="仿宋" w:hAnsi="仿宋" w:eastAsia="仿宋" w:cs="仿宋"/>
          <w:color w:val="000000" w:themeColor="text1"/>
          <w:sz w:val="24"/>
          <w:highlight w:val="none"/>
          <w:lang w:val="en-US" w:eastAsia="zh-CN" w:bidi="ar"/>
          <w14:textFill>
            <w14:solidFill>
              <w14:schemeClr w14:val="tx1"/>
            </w14:solidFill>
          </w14:textFill>
        </w:rPr>
        <w:t>等方面</w:t>
      </w:r>
      <w:r>
        <w:rPr>
          <w:rFonts w:hint="eastAsia" w:ascii="仿宋" w:hAnsi="仿宋" w:eastAsia="仿宋" w:cs="仿宋"/>
          <w:color w:val="000000" w:themeColor="text1"/>
          <w:sz w:val="24"/>
          <w:highlight w:val="none"/>
          <w:lang w:eastAsia="zh-CN" w:bidi="ar"/>
          <w14:textFill>
            <w14:solidFill>
              <w14:schemeClr w14:val="tx1"/>
            </w14:solidFill>
          </w14:textFill>
        </w:rPr>
        <w:t>的</w:t>
      </w:r>
      <w:r>
        <w:rPr>
          <w:rFonts w:hint="eastAsia" w:ascii="仿宋" w:hAnsi="仿宋" w:eastAsia="仿宋" w:cs="仿宋"/>
          <w:color w:val="000000" w:themeColor="text1"/>
          <w:sz w:val="24"/>
          <w:highlight w:val="none"/>
          <w:lang w:val="en-US" w:eastAsia="zh-CN" w:bidi="ar"/>
          <w14:textFill>
            <w14:solidFill>
              <w14:schemeClr w14:val="tx1"/>
            </w14:solidFill>
          </w14:textFill>
        </w:rPr>
        <w:t>相关问题。</w:t>
      </w:r>
      <w:r>
        <w:rPr>
          <w:rFonts w:hint="eastAsia" w:ascii="仿宋" w:hAnsi="仿宋" w:eastAsia="仿宋" w:cs="仿宋"/>
          <w:color w:val="000000" w:themeColor="text1"/>
          <w:sz w:val="24"/>
          <w:highlight w:val="none"/>
          <w:lang w:eastAsia="zh-CN" w:bidi="ar"/>
          <w14:textFill>
            <w14:solidFill>
              <w14:schemeClr w14:val="tx1"/>
            </w14:solidFill>
          </w14:textFill>
        </w:rPr>
        <w:t>所有咨询问题均进行记录，并做好服务情况</w:t>
      </w:r>
      <w:r>
        <w:rPr>
          <w:rFonts w:hint="eastAsia" w:ascii="仿宋" w:hAnsi="仿宋" w:eastAsia="仿宋" w:cs="仿宋"/>
          <w:color w:val="000000" w:themeColor="text1"/>
          <w:sz w:val="24"/>
          <w:highlight w:val="none"/>
          <w:lang w:val="en-US" w:eastAsia="zh-CN" w:bidi="ar"/>
          <w14:textFill>
            <w14:solidFill>
              <w14:schemeClr w14:val="tx1"/>
            </w14:solidFill>
          </w14:textFill>
        </w:rPr>
        <w:t>的统计</w:t>
      </w:r>
      <w:r>
        <w:rPr>
          <w:rFonts w:hint="eastAsia" w:ascii="仿宋" w:hAnsi="仿宋" w:eastAsia="仿宋" w:cs="仿宋"/>
          <w:color w:val="000000" w:themeColor="text1"/>
          <w:sz w:val="24"/>
          <w:highlight w:val="none"/>
          <w:lang w:eastAsia="zh-CN" w:bidi="ar"/>
          <w14:textFill>
            <w14:solidFill>
              <w14:schemeClr w14:val="tx1"/>
            </w14:solidFill>
          </w14:textFill>
        </w:rPr>
        <w:t>统计。定期对咨询问题进行分类汇总，针对高频问题编</w:t>
      </w:r>
      <w:r>
        <w:rPr>
          <w:rFonts w:hint="eastAsia" w:ascii="仿宋" w:hAnsi="仿宋" w:eastAsia="仿宋" w:cs="仿宋"/>
          <w:color w:val="000000" w:themeColor="text1"/>
          <w:sz w:val="24"/>
          <w:highlight w:val="none"/>
          <w:lang w:val="en-US" w:eastAsia="zh-CN" w:bidi="ar"/>
          <w14:textFill>
            <w14:solidFill>
              <w14:schemeClr w14:val="tx1"/>
            </w14:solidFill>
          </w14:textFill>
        </w:rPr>
        <w:t>写</w:t>
      </w:r>
      <w:r>
        <w:rPr>
          <w:rFonts w:hint="eastAsia" w:ascii="仿宋" w:hAnsi="仿宋" w:eastAsia="仿宋" w:cs="仿宋"/>
          <w:color w:val="000000" w:themeColor="text1"/>
          <w:sz w:val="24"/>
          <w:highlight w:val="none"/>
          <w:lang w:eastAsia="zh-CN" w:bidi="ar"/>
          <w14:textFill>
            <w14:solidFill>
              <w14:schemeClr w14:val="tx1"/>
            </w14:solidFill>
          </w14:textFill>
        </w:rPr>
        <w:t>常见问题指南，主动解决问题，从而有效降低咨询量，缩短问题解决周期。</w:t>
      </w:r>
    </w:p>
    <w:p w14:paraId="3A40A1F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2</w:t>
      </w:r>
      <w:r>
        <w:rPr>
          <w:rFonts w:hint="eastAsia" w:ascii="仿宋" w:hAnsi="仿宋" w:eastAsia="仿宋" w:cs="仿宋"/>
          <w:color w:val="000000" w:themeColor="text1"/>
          <w:sz w:val="24"/>
          <w:highlight w:val="none"/>
          <w:lang w:eastAsia="zh-CN" w:bidi="ar"/>
          <w14:textFill>
            <w14:solidFill>
              <w14:schemeClr w14:val="tx1"/>
            </w14:solidFill>
          </w14:textFill>
        </w:rPr>
        <w:t>）可用性检查</w:t>
      </w:r>
    </w:p>
    <w:p w14:paraId="359087C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通过人社工作台登录就业省集中系统、浙里办APP登录、浙政钉APP登录、省政务服务网浙里就业创业登录等操作完成大厅窗口服务、网上办服务、掌上办服务等渠道可用性的检查。（每月巡检单提交一次签字存档）。</w:t>
      </w:r>
    </w:p>
    <w:p w14:paraId="75283E7C">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3</w:t>
      </w:r>
      <w:r>
        <w:rPr>
          <w:rFonts w:hint="eastAsia" w:ascii="仿宋" w:hAnsi="仿宋" w:eastAsia="仿宋" w:cs="仿宋"/>
          <w:color w:val="000000" w:themeColor="text1"/>
          <w:sz w:val="24"/>
          <w:highlight w:val="none"/>
          <w:lang w:eastAsia="zh-CN" w:bidi="ar"/>
          <w14:textFill>
            <w14:solidFill>
              <w14:schemeClr w14:val="tx1"/>
            </w14:solidFill>
          </w14:textFill>
        </w:rPr>
        <w:t>）问题处理服务</w:t>
      </w:r>
    </w:p>
    <w:p w14:paraId="01CD9E1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做好市、区县级业务人员通过市技术支持平台提交的各类问题单（包括系统故障、系统问题、数据维护、业务新需求等）的规范性检查，协助诊断和分析各类问题、协助做好业务需求的预审，预审后的各类问题通过市技术支持平台与省运维协同平台及时进行同步，并与省平台技术做好问题对接，及后续的问题处理进度跟踪反馈，问题处理状态的同步更新。</w:t>
      </w:r>
    </w:p>
    <w:p w14:paraId="02745BD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4</w:t>
      </w:r>
      <w:r>
        <w:rPr>
          <w:rFonts w:hint="eastAsia" w:ascii="仿宋" w:hAnsi="仿宋" w:eastAsia="仿宋" w:cs="仿宋"/>
          <w:color w:val="000000" w:themeColor="text1"/>
          <w:sz w:val="24"/>
          <w:highlight w:val="none"/>
          <w:lang w:eastAsia="zh-CN" w:bidi="ar"/>
          <w14:textFill>
            <w14:solidFill>
              <w14:schemeClr w14:val="tx1"/>
            </w14:solidFill>
          </w14:textFill>
        </w:rPr>
        <w:t>）数据问题分析</w:t>
      </w:r>
    </w:p>
    <w:p w14:paraId="60A9B355">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针对业务经办过程中发现的数据问题进行分析，分析数据问题产生原因，通过信息技术手段和业务规范判断是原社保系统中的历史遗留数据问题还是数据省集中过程中数据转换程序错误导致的数据问题等，为后期的数据维护修改提供依据。</w:t>
      </w:r>
    </w:p>
    <w:p w14:paraId="49E3F987">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5</w:t>
      </w:r>
      <w:r>
        <w:rPr>
          <w:rFonts w:hint="eastAsia" w:ascii="仿宋" w:hAnsi="仿宋" w:eastAsia="仿宋" w:cs="仿宋"/>
          <w:color w:val="000000" w:themeColor="text1"/>
          <w:sz w:val="24"/>
          <w:highlight w:val="none"/>
          <w:lang w:eastAsia="zh-CN" w:bidi="ar"/>
          <w14:textFill>
            <w14:solidFill>
              <w14:schemeClr w14:val="tx1"/>
            </w14:solidFill>
          </w14:textFill>
        </w:rPr>
        <w:t>）数据处理</w:t>
      </w:r>
    </w:p>
    <w:p w14:paraId="11FF66A7">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协助完成市县提交的数据维护需求预审；针对需要向省厅提交的数据维护需求，按省厅数据维护要求做好数据处理SQL语句编写，数据验证测试，全程跟踪数据处理进度，并且进行跟踪催办。</w:t>
      </w:r>
    </w:p>
    <w:p w14:paraId="4DC228C5">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6</w:t>
      </w:r>
      <w:r>
        <w:rPr>
          <w:rFonts w:hint="eastAsia" w:ascii="仿宋" w:hAnsi="仿宋" w:eastAsia="仿宋" w:cs="仿宋"/>
          <w:color w:val="000000" w:themeColor="text1"/>
          <w:sz w:val="24"/>
          <w:highlight w:val="none"/>
          <w:lang w:eastAsia="zh-CN" w:bidi="ar"/>
          <w14:textFill>
            <w14:solidFill>
              <w14:schemeClr w14:val="tx1"/>
            </w14:solidFill>
          </w14:textFill>
        </w:rPr>
        <w:t>）数据查询统计</w:t>
      </w:r>
    </w:p>
    <w:p w14:paraId="268CACA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针对市本级及所辖区县</w:t>
      </w:r>
      <w:r>
        <w:rPr>
          <w:rFonts w:hint="eastAsia" w:ascii="仿宋" w:hAnsi="仿宋" w:eastAsia="仿宋" w:cs="仿宋"/>
          <w:color w:val="000000" w:themeColor="text1"/>
          <w:sz w:val="24"/>
          <w:highlight w:val="none"/>
          <w:lang w:val="en-US" w:eastAsia="zh-CN" w:bidi="ar"/>
          <w14:textFill>
            <w14:solidFill>
              <w14:schemeClr w14:val="tx1"/>
            </w14:solidFill>
          </w14:textFill>
        </w:rPr>
        <w:t>就业</w:t>
      </w:r>
      <w:r>
        <w:rPr>
          <w:rFonts w:hint="eastAsia" w:ascii="仿宋" w:hAnsi="仿宋" w:eastAsia="仿宋" w:cs="仿宋"/>
          <w:color w:val="000000" w:themeColor="text1"/>
          <w:sz w:val="24"/>
          <w:highlight w:val="none"/>
          <w:lang w:eastAsia="zh-CN" w:bidi="ar"/>
          <w14:textFill>
            <w14:solidFill>
              <w14:schemeClr w14:val="tx1"/>
            </w14:solidFill>
          </w14:textFill>
        </w:rPr>
        <w:t>经办机构提出的数据统计和临时性数据统计要求，通过</w:t>
      </w:r>
      <w:r>
        <w:rPr>
          <w:rFonts w:hint="eastAsia" w:ascii="仿宋" w:hAnsi="仿宋" w:eastAsia="仿宋" w:cs="仿宋"/>
          <w:color w:val="000000" w:themeColor="text1"/>
          <w:sz w:val="24"/>
          <w:highlight w:val="none"/>
          <w:lang w:val="en-US" w:eastAsia="zh-CN" w:bidi="ar"/>
          <w14:textFill>
            <w14:solidFill>
              <w14:schemeClr w14:val="tx1"/>
            </w14:solidFill>
          </w14:textFill>
        </w:rPr>
        <w:t>省就业回流库</w:t>
      </w:r>
      <w:r>
        <w:rPr>
          <w:rFonts w:hint="eastAsia" w:ascii="仿宋" w:hAnsi="仿宋" w:eastAsia="仿宋" w:cs="仿宋"/>
          <w:color w:val="000000" w:themeColor="text1"/>
          <w:sz w:val="24"/>
          <w:highlight w:val="none"/>
          <w:lang w:eastAsia="zh-CN" w:bidi="ar"/>
          <w14:textFill>
            <w14:solidFill>
              <w14:schemeClr w14:val="tx1"/>
            </w14:solidFill>
          </w14:textFill>
        </w:rPr>
        <w:t>查询统计生成相关数据。</w:t>
      </w:r>
    </w:p>
    <w:p w14:paraId="5AB5D44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7</w:t>
      </w:r>
      <w:r>
        <w:rPr>
          <w:rFonts w:hint="eastAsia" w:ascii="仿宋" w:hAnsi="仿宋" w:eastAsia="仿宋" w:cs="仿宋"/>
          <w:color w:val="000000" w:themeColor="text1"/>
          <w:sz w:val="24"/>
          <w:highlight w:val="none"/>
          <w:lang w:eastAsia="zh-CN" w:bidi="ar"/>
          <w14:textFill>
            <w14:solidFill>
              <w14:schemeClr w14:val="tx1"/>
            </w14:solidFill>
          </w14:textFill>
        </w:rPr>
        <w:t>）横向部门之间的数据比对</w:t>
      </w:r>
    </w:p>
    <w:p w14:paraId="1319A198">
      <w:pPr>
        <w:autoSpaceDE w:val="0"/>
        <w:spacing w:line="360" w:lineRule="auto"/>
        <w:ind w:firstLine="480" w:firstLineChars="200"/>
        <w:jc w:val="left"/>
        <w:rPr>
          <w:rFonts w:hint="eastAsia" w:ascii="仿宋" w:hAnsi="仿宋" w:eastAsia="仿宋" w:cs="仿宋"/>
          <w:color w:val="000000" w:themeColor="text1"/>
          <w:sz w:val="24"/>
          <w:highlight w:val="none"/>
          <w:lang w:val="en-US"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根据用户提供的信息，与横向部门之间进行数据比对，如参保</w:t>
      </w:r>
      <w:r>
        <w:rPr>
          <w:rFonts w:hint="eastAsia" w:ascii="仿宋" w:hAnsi="仿宋" w:eastAsia="仿宋" w:cs="仿宋"/>
          <w:color w:val="000000" w:themeColor="text1"/>
          <w:sz w:val="24"/>
          <w:highlight w:val="none"/>
          <w:lang w:val="en-US" w:eastAsia="zh-CN" w:bidi="ar"/>
          <w14:textFill>
            <w14:solidFill>
              <w14:schemeClr w14:val="tx1"/>
            </w14:solidFill>
          </w14:textFill>
        </w:rPr>
        <w:t>数据</w:t>
      </w:r>
      <w:r>
        <w:rPr>
          <w:rFonts w:hint="eastAsia" w:ascii="仿宋" w:hAnsi="仿宋" w:eastAsia="仿宋" w:cs="仿宋"/>
          <w:color w:val="000000" w:themeColor="text1"/>
          <w:sz w:val="24"/>
          <w:highlight w:val="none"/>
          <w:lang w:eastAsia="zh-CN" w:bidi="ar"/>
          <w14:textFill>
            <w14:solidFill>
              <w14:schemeClr w14:val="tx1"/>
            </w14:solidFill>
          </w14:textFill>
        </w:rPr>
        <w:t>、工伤</w:t>
      </w:r>
      <w:r>
        <w:rPr>
          <w:rFonts w:hint="eastAsia" w:ascii="仿宋" w:hAnsi="仿宋" w:eastAsia="仿宋" w:cs="仿宋"/>
          <w:color w:val="000000" w:themeColor="text1"/>
          <w:sz w:val="24"/>
          <w:highlight w:val="none"/>
          <w:lang w:val="en-US" w:eastAsia="zh-CN" w:bidi="ar"/>
          <w14:textFill>
            <w14:solidFill>
              <w14:schemeClr w14:val="tx1"/>
            </w14:solidFill>
          </w14:textFill>
        </w:rPr>
        <w:t>数据</w:t>
      </w:r>
      <w:r>
        <w:rPr>
          <w:rFonts w:hint="eastAsia" w:ascii="仿宋" w:hAnsi="仿宋" w:eastAsia="仿宋" w:cs="仿宋"/>
          <w:color w:val="000000" w:themeColor="text1"/>
          <w:sz w:val="24"/>
          <w:highlight w:val="none"/>
          <w:lang w:eastAsia="zh-CN" w:bidi="ar"/>
          <w14:textFill>
            <w14:solidFill>
              <w14:schemeClr w14:val="tx1"/>
            </w14:solidFill>
          </w14:textFill>
        </w:rPr>
        <w:t>、学历</w:t>
      </w:r>
      <w:r>
        <w:rPr>
          <w:rFonts w:hint="eastAsia" w:ascii="仿宋" w:hAnsi="仿宋" w:eastAsia="仿宋" w:cs="仿宋"/>
          <w:color w:val="000000" w:themeColor="text1"/>
          <w:sz w:val="24"/>
          <w:highlight w:val="none"/>
          <w:lang w:val="en-US" w:eastAsia="zh-CN" w:bidi="ar"/>
          <w14:textFill>
            <w14:solidFill>
              <w14:schemeClr w14:val="tx1"/>
            </w14:solidFill>
          </w14:textFill>
        </w:rPr>
        <w:t>数据</w:t>
      </w:r>
      <w:r>
        <w:rPr>
          <w:rFonts w:hint="eastAsia" w:ascii="仿宋" w:hAnsi="仿宋" w:eastAsia="仿宋" w:cs="仿宋"/>
          <w:color w:val="000000" w:themeColor="text1"/>
          <w:sz w:val="24"/>
          <w:highlight w:val="none"/>
          <w:lang w:eastAsia="zh-CN" w:bidi="ar"/>
          <w14:textFill>
            <w14:solidFill>
              <w14:schemeClr w14:val="tx1"/>
            </w14:solidFill>
          </w14:textFill>
        </w:rPr>
        <w:t>等。</w:t>
      </w:r>
    </w:p>
    <w:p w14:paraId="414A9BD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8</w:t>
      </w:r>
      <w:r>
        <w:rPr>
          <w:rFonts w:hint="eastAsia" w:ascii="仿宋" w:hAnsi="仿宋" w:eastAsia="仿宋" w:cs="仿宋"/>
          <w:color w:val="000000" w:themeColor="text1"/>
          <w:sz w:val="24"/>
          <w:highlight w:val="none"/>
          <w:lang w:eastAsia="zh-CN" w:bidi="ar"/>
          <w14:textFill>
            <w14:solidFill>
              <w14:schemeClr w14:val="tx1"/>
            </w14:solidFill>
          </w14:textFill>
        </w:rPr>
        <w:t>）协助杭州个性化需求运维</w:t>
      </w:r>
    </w:p>
    <w:p w14:paraId="2399D3F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协助调研并反馈杭州个性化需求，全程管理需求确认、进度跟踪、测试、上线和培训等环节，确保个性化需求顺利实施，提高系统适应性与效率。</w:t>
      </w:r>
    </w:p>
    <w:p w14:paraId="3022E6E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9</w:t>
      </w:r>
      <w:r>
        <w:rPr>
          <w:rFonts w:hint="eastAsia" w:ascii="仿宋" w:hAnsi="仿宋" w:eastAsia="仿宋" w:cs="仿宋"/>
          <w:color w:val="000000" w:themeColor="text1"/>
          <w:sz w:val="24"/>
          <w:highlight w:val="none"/>
          <w:lang w:eastAsia="zh-CN" w:bidi="ar"/>
          <w14:textFill>
            <w14:solidFill>
              <w14:schemeClr w14:val="tx1"/>
            </w14:solidFill>
          </w14:textFill>
        </w:rPr>
        <w:t>）省统需求运维服务</w:t>
      </w:r>
    </w:p>
    <w:p w14:paraId="42E79EC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协助调研</w:t>
      </w:r>
      <w:r>
        <w:rPr>
          <w:rFonts w:hint="eastAsia" w:ascii="仿宋" w:hAnsi="仿宋" w:eastAsia="仿宋" w:cs="仿宋"/>
          <w:color w:val="000000" w:themeColor="text1"/>
          <w:sz w:val="24"/>
          <w:highlight w:val="none"/>
          <w:lang w:val="en-US" w:eastAsia="zh-CN" w:bidi="ar"/>
          <w14:textFill>
            <w14:solidFill>
              <w14:schemeClr w14:val="tx1"/>
            </w14:solidFill>
          </w14:textFill>
        </w:rPr>
        <w:t>并反馈省统事项</w:t>
      </w:r>
      <w:r>
        <w:rPr>
          <w:rFonts w:hint="eastAsia" w:ascii="仿宋" w:hAnsi="仿宋" w:eastAsia="仿宋" w:cs="仿宋"/>
          <w:color w:val="000000" w:themeColor="text1"/>
          <w:sz w:val="24"/>
          <w:highlight w:val="none"/>
          <w:lang w:eastAsia="zh-CN" w:bidi="ar"/>
          <w14:textFill>
            <w14:solidFill>
              <w14:schemeClr w14:val="tx1"/>
            </w14:solidFill>
          </w14:textFill>
        </w:rPr>
        <w:t>需求，包括需求调研、确认及变更反馈，提供日常咨询服务，确保平台稳定运行，满足业务需求。</w:t>
      </w:r>
    </w:p>
    <w:p w14:paraId="78A1F16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10</w:t>
      </w:r>
      <w:r>
        <w:rPr>
          <w:rFonts w:hint="eastAsia" w:ascii="仿宋" w:hAnsi="仿宋" w:eastAsia="仿宋" w:cs="仿宋"/>
          <w:color w:val="000000" w:themeColor="text1"/>
          <w:sz w:val="24"/>
          <w:highlight w:val="none"/>
          <w:lang w:eastAsia="zh-CN" w:bidi="ar"/>
          <w14:textFill>
            <w14:solidFill>
              <w14:schemeClr w14:val="tx1"/>
            </w14:solidFill>
          </w14:textFill>
        </w:rPr>
        <w:t>）数据回流</w:t>
      </w:r>
    </w:p>
    <w:p w14:paraId="0463652E">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做好日常监测，保障回流数据库的稳定正常运行，定期进行省市两端数据回流准确性检查。</w:t>
      </w:r>
    </w:p>
    <w:p w14:paraId="455A3AB6">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11</w:t>
      </w:r>
      <w:r>
        <w:rPr>
          <w:rFonts w:hint="eastAsia" w:ascii="仿宋" w:hAnsi="仿宋" w:eastAsia="仿宋" w:cs="仿宋"/>
          <w:color w:val="000000" w:themeColor="text1"/>
          <w:sz w:val="24"/>
          <w:highlight w:val="none"/>
          <w:lang w:eastAsia="zh-CN" w:bidi="ar"/>
          <w14:textFill>
            <w14:solidFill>
              <w14:schemeClr w14:val="tx1"/>
            </w14:solidFill>
          </w14:textFill>
        </w:rPr>
        <w:t>）应急处理</w:t>
      </w:r>
    </w:p>
    <w:p w14:paraId="63527225">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制定应急预案，处理服务范围内的各类突发应急事件，确保省市各种突发情况、技术故障等事件，可快速定位、调配资源、恢复服务。发现问题及时联动项目组，进行应急事件处理，并跟踪反馈。</w:t>
      </w:r>
    </w:p>
    <w:p w14:paraId="1C9E66A8">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1.1.2.杭州智慧就业系统</w:t>
      </w:r>
    </w:p>
    <w:p w14:paraId="1A2699E7">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杭州智慧就业系统包括失业管理、就业促进、创业服务、大学生就创、公共事务管理、职介管理、财务管理、档案管理等多个领域。</w:t>
      </w:r>
    </w:p>
    <w:p w14:paraId="0955174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失业管理：每月各区根据回流数据进行业务汇总，包括失业保险金、稳岗、留工、扩岗等数据的比对，技能提升补贴与市职建发放情况的核对，失业代缴医保名单的综合比对等。针对不能享受相关待遇的数据将被暂停发放，本地数据修改后，涉及省级数据的修改需要通过省技术支持平台提交到省级系统。完成每月业务数据汇总后需进行签章流程，并提交给财务部门审批。</w:t>
      </w:r>
    </w:p>
    <w:p w14:paraId="4F630228">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就业促进：根据业务需求，每月上下旬按照各区实际提交需求的回流数据到杭州本地后，提交市汇总资金审批，并经过业务签章流程，完成后再提交给财务部门审批。在从各区回流数据汇总到财务审批环节中，比对失业、创业、公共事务等就业条线的本地业务数据、比对社保、医保等人社领域数据、比对工商、教育等外部接口数据，以确定是否符合享受要求。针对不能享受相关待遇的数据将被暂停发放，本地数据修改后，涉及省级数据的修改需要通过省技术支持平台提交到省级系统。</w:t>
      </w:r>
    </w:p>
    <w:p w14:paraId="02E4E2E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创业服务：包括杭州本地经办事项的全流程管理，省统办事项的数据回流后按月和本地数据一起进行业务汇总走业务签章流程，完成后提交财务审批。</w:t>
      </w:r>
    </w:p>
    <w:p w14:paraId="7795586A">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大学生创业：包括杭州见习基地管理、见习学员管理、见习补贴管理、师友计划管理，以及各类业务名册查询等。</w:t>
      </w:r>
    </w:p>
    <w:p w14:paraId="58BC68A5">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公共事业管理：包括员工制家政服务企业社会保险补贴和大学生到养老、家政服务、现代农业企业就业补贴的全流程管理。</w:t>
      </w:r>
    </w:p>
    <w:p w14:paraId="4E494D7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职介管理：包车返岗补贴申报全流程管理，以及用人单位会员管理、用工信息管理、招聘会管理、职业介绍、工作评估、统计分析、工种管理等。</w:t>
      </w:r>
    </w:p>
    <w:p w14:paraId="479C496C">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财务管理：包括资金汇总审批，汇总就业补助资金各项补贴，走三步审批流程，生成财务补贴明细数据）；对账管理，推送单位或个人明细数据至省平台，对账比对两者数据是否一致；帐务处理，回盘获取省发放信息，发放失败的修改银行信息，可重新推送；数据查询，可查询汇总审批的批次信息、提送省平台的批次信息、回盘处理的银行反馈信息，统计每年的各个补贴的明细和汇总数据；退票短信发送，在失业、就业、创业等领域补贴发送失败时，发送退票短信通知。</w:t>
      </w:r>
    </w:p>
    <w:p w14:paraId="426F053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档案管理：包括档案接收、档案维护、档案借阅归还、档案利用、档案提取、档案交流、档案查询等。</w:t>
      </w:r>
    </w:p>
    <w:p w14:paraId="192CBEC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杭州智慧就业系统的重点工作主要包括数据管理、技术支持和平台运维三个主要方面。数据管理确保系统数据的准确性、时效性和完整性，支持数据处理、报表生成、数据比对和统计等功能，并通过数据看板直观展示关键就业数据。技术支持方面，提供7×24小时的响应服务，确保工单流转高效，解答用户疑问，并维护操作手册及相关文档。平台运维则通过持续迭代和功能更新，确保系统稳定运行，并满足用户需求。</w:t>
      </w:r>
    </w:p>
    <w:p w14:paraId="79AC9F4B">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（1）数据管理</w:t>
      </w:r>
    </w:p>
    <w:p w14:paraId="6CB196D4">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数据管理包括数据处理、报表生成、数据比对、数据统计等多个环节，涉及多个就业领域的管理。具体包括杭州智慧就业系统中的失业管理、就业促进、创业服务、大学生就创、公共事务管理、职介管理、财务管理、档案管理和基础业务等多个领域的数据管理。同时，数据管理还涵盖数据可视化的应用，通过数据看板展示各类就业相关数据，支持图表、图形和地图等多种形式，直观呈现和分析关键指标。</w:t>
      </w:r>
    </w:p>
    <w:p w14:paraId="6C5DF49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（2）技术支持</w:t>
      </w:r>
    </w:p>
    <w:p w14:paraId="06B9189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技术支持包括建立完善的工单流转机制，确保本地化平台产生的工单能够高效流转；通过电话、钉钉、浙政钉等平台提供7×24小时响应服务，记录问题性质及处理结果，解答用户在操作中的疑问；同时编写系统操作手册、验收材料和政策汇报文档，确保相关资料的完整性和准确性。</w:t>
      </w:r>
    </w:p>
    <w:p w14:paraId="1447F82C">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（3）平台运维。</w:t>
      </w:r>
    </w:p>
    <w:p w14:paraId="41D480B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根据政策和需求变化，持续迭代和新增系统功能，以满足用户需求。运维工作包括需求调研、确认、进度跟踪、日常沟通、功能测试、上线和培训等，确保系统功能的顺利交付和稳定运行。涉及需求新增或变更，需首先列出开发计划，并按更新单流程执行。</w:t>
      </w:r>
    </w:p>
    <w:p w14:paraId="6A1ECAC6">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1.1.3.数据共享系统</w:t>
      </w:r>
    </w:p>
    <w:p w14:paraId="4AAEC1A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数据共享系统通过封装、转发和管理接口，确保内外部系统之间的数据流通与接口服务的可用性、稳定性，并进行监控、文档管理、问题反馈与性能优化。</w:t>
      </w:r>
    </w:p>
    <w:p w14:paraId="732578DB">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（1）接口封装。包括人力社保各业务条线的内部互相调用的接口进行封装、供外部门或省系统使用接口封装、包括IRS平台在内的各种外部接口封装。</w:t>
      </w:r>
    </w:p>
    <w:p w14:paraId="6383978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（2）接口转发。将内部接口转发到互联网，提供给互联网应用使用。</w:t>
      </w:r>
    </w:p>
    <w:p w14:paraId="5B71CB7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（3）接口管理。通过接口管理平台管理外部接口，包括接口注册、审核、发布、维护、巡检等，确保接口服务的可用性。</w:t>
      </w:r>
    </w:p>
    <w:p w14:paraId="0BFC5163">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（4）接口文档管理。定期整理和更新接口文档，确保开发和运维人员对接口的理解一致。</w:t>
      </w:r>
    </w:p>
    <w:p w14:paraId="25A38C3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（5）接口对接。完成接口的对接工作，确保系统间的顺利连接与数据流通。</w:t>
      </w:r>
    </w:p>
    <w:p w14:paraId="7313A752">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（6）接口调用与监控。监控所有系统接口的调用情况，定期进行接口性能测试，及时发现潜在问题。通过记录接口服务的使用情况、请求参数、响应状态和错误信息等，及时发现、排除接口故障。</w:t>
      </w:r>
    </w:p>
    <w:p w14:paraId="748D8634">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（7）接口上架。注册irs文档梳理和数据流动管理平台接口申请等。</w:t>
      </w:r>
    </w:p>
    <w:p w14:paraId="03EA8C12">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（8）接口问题反馈与解决。及时处理接口出现的问题，协调各方解决接口调用中的异常问题。</w:t>
      </w:r>
    </w:p>
    <w:p w14:paraId="225C97F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（9）接口调用统计分析。对接口的调用情况进行统计与分析，优化接口服务。</w:t>
      </w:r>
    </w:p>
    <w:p w14:paraId="044D004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（10）odps数据服务。具体工作如下：</w:t>
      </w:r>
    </w:p>
    <w:p w14:paraId="4A452262">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①　配置数据归集和数据下载任务。</w:t>
      </w:r>
    </w:p>
    <w:p w14:paraId="05FF30F5">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②　针对开放数据，配合美创公司进行脱敏处理并校验。</w:t>
      </w:r>
    </w:p>
    <w:p w14:paraId="17CEE5A4">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③　对数据归集情况进行周巡检。</w:t>
      </w:r>
    </w:p>
    <w:p w14:paraId="318FD014">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④　对数据局数据编目预警信息进行处理。</w:t>
      </w:r>
    </w:p>
    <w:p w14:paraId="79AE01B8">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⑤　及时处理发现的数据更新问题。</w:t>
      </w:r>
    </w:p>
    <w:p w14:paraId="55325E29">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⑥　针对需要，更新部分表的数据(excel、dmp导入，从其它数据库查询更新等)。</w:t>
      </w:r>
    </w:p>
    <w:p w14:paraId="12DFF953">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1.1.4.数据汇编系统</w:t>
      </w:r>
    </w:p>
    <w:p w14:paraId="7D00493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数据汇编系统对行政、监察、职建、就业、人才、社保、退管、信访、仲裁院等多个系统的指标定义、指标维护、数据接口、数据填报、数据校对、分项查询、数据汇编手册导出等的运行维护。</w:t>
      </w:r>
    </w:p>
    <w:p w14:paraId="3EA3D8E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1.1.5.电子档案系统</w:t>
      </w:r>
    </w:p>
    <w:p w14:paraId="0F5A283E">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电子档案系统为人社各业务条线提供电子档案服务以及退管档案管理平台维护。</w:t>
      </w:r>
    </w:p>
    <w:p w14:paraId="6D9A6980">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对外服务接口：配置外部系统的案卷、事项、材料；配合外部系统对接联调材料的初始化、材料上传、预览、下载等接口，对外提供调用和保存。配置定时任务进行档案统计查询，清理服务接口产生的临时文件等。</w:t>
      </w:r>
    </w:p>
    <w:p w14:paraId="6137A2E1">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档案管理平台维护：包括主体管理、办件管理、收集确认、整理装盒、档案归档、档案影像化管理、库房管理、借阅管理、出库管理、查询利用、档案销毁、散材料归档、账套管理、系统管理其它功能模块的维护。</w:t>
      </w:r>
    </w:p>
    <w:p w14:paraId="30C484D7">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highlight w:val="none"/>
          <w:lang w:eastAsia="zh-CN" w:bidi="ar"/>
          <w14:textFill>
            <w14:solidFill>
              <w14:schemeClr w14:val="tx1"/>
            </w14:solidFill>
          </w14:textFill>
        </w:rPr>
        <w:t>.1.</w:t>
      </w:r>
      <w:r>
        <w:rPr>
          <w:rFonts w:hint="eastAsia" w:ascii="仿宋" w:hAnsi="仿宋" w:eastAsia="仿宋" w:cs="仿宋"/>
          <w:color w:val="000000" w:themeColor="text1"/>
          <w:sz w:val="24"/>
          <w:highlight w:val="none"/>
          <w:lang w:val="en-US" w:eastAsia="zh-CN" w:bidi="ar"/>
          <w14:textFill>
            <w14:solidFill>
              <w14:schemeClr w14:val="tx1"/>
            </w14:solidFill>
          </w14:textFill>
        </w:rPr>
        <w:t>6.</w:t>
      </w:r>
      <w:r>
        <w:rPr>
          <w:rFonts w:hint="eastAsia" w:ascii="仿宋" w:hAnsi="仿宋" w:eastAsia="仿宋" w:cs="仿宋"/>
          <w:color w:val="000000" w:themeColor="text1"/>
          <w:sz w:val="24"/>
          <w:highlight w:val="none"/>
          <w:lang w:eastAsia="zh-CN" w:bidi="ar"/>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bidi="ar"/>
          <w14:textFill>
            <w14:solidFill>
              <w14:schemeClr w14:val="tx1"/>
            </w14:solidFill>
          </w14:textFill>
        </w:rPr>
        <w:t>资产管理</w:t>
      </w:r>
      <w:r>
        <w:rPr>
          <w:rFonts w:hint="eastAsia" w:ascii="仿宋" w:hAnsi="仿宋" w:eastAsia="仿宋" w:cs="仿宋"/>
          <w:color w:val="000000" w:themeColor="text1"/>
          <w:sz w:val="24"/>
          <w:highlight w:val="none"/>
          <w:lang w:eastAsia="zh-CN" w:bidi="ar"/>
          <w14:textFill>
            <w14:solidFill>
              <w14:schemeClr w14:val="tx1"/>
            </w14:solidFill>
          </w14:textFill>
        </w:rPr>
        <w:t>系统</w:t>
      </w:r>
    </w:p>
    <w:p w14:paraId="516ABD6A">
      <w:pPr>
        <w:pStyle w:val="61"/>
        <w:autoSpaceDE w:val="0"/>
        <w:spacing w:line="360" w:lineRule="auto"/>
        <w:ind w:left="0" w:leftChars="0" w:firstLine="480"/>
        <w:jc w:val="left"/>
        <w:rPr>
          <w:rFonts w:hint="eastAsia" w:ascii="仿宋" w:hAnsi="仿宋" w:eastAsia="仿宋" w:cs="仿宋"/>
          <w:color w:val="000000" w:themeColor="text1"/>
          <w:sz w:val="24"/>
          <w:highlight w:val="none"/>
          <w:lang w:val="en-US" w:eastAsia="zh-CN"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包括资产管理和工单管理，资产管理主要包括：资产设备入库、退库、报废管理，工单管理主要包括：资产设备批量录入、存取、报废流程审批。</w:t>
      </w:r>
    </w:p>
    <w:p w14:paraId="7BA8DDA4">
      <w:pPr>
        <w:pStyle w:val="61"/>
        <w:autoSpaceDE w:val="0"/>
        <w:spacing w:line="360" w:lineRule="auto"/>
        <w:ind w:left="0" w:leftChars="0" w:firstLine="480"/>
        <w:jc w:val="left"/>
        <w:rPr>
          <w:rFonts w:hint="eastAsia" w:ascii="仿宋" w:hAnsi="仿宋" w:eastAsia="仿宋" w:cs="仿宋"/>
          <w:color w:val="000000" w:themeColor="text1"/>
          <w:sz w:val="24"/>
          <w:highlight w:val="none"/>
          <w:lang w:val="en-US" w:eastAsia="zh-CN"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资产管理：资产分类显示、资产分类、管理日志、资产入库、资产处置等功能。</w:t>
      </w:r>
    </w:p>
    <w:p w14:paraId="0A22FC84">
      <w:pPr>
        <w:pStyle w:val="61"/>
        <w:autoSpaceDE w:val="0"/>
        <w:spacing w:line="360" w:lineRule="auto"/>
        <w:ind w:left="0" w:leftChars="0" w:firstLine="480"/>
        <w:jc w:val="left"/>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工单管理：工单申请、工单审批、工单模板、工单打印、数字签名等功能</w:t>
      </w:r>
      <w:r>
        <w:rPr>
          <w:rFonts w:hint="eastAsia" w:ascii="仿宋" w:hAnsi="仿宋" w:eastAsia="仿宋" w:cs="仿宋"/>
          <w:color w:val="000000" w:themeColor="text1"/>
          <w:sz w:val="24"/>
          <w:highlight w:val="none"/>
          <w:lang w:bidi="ar"/>
          <w14:textFill>
            <w14:solidFill>
              <w14:schemeClr w14:val="tx1"/>
            </w14:solidFill>
          </w14:textFill>
        </w:rPr>
        <w:t>。</w:t>
      </w:r>
    </w:p>
    <w:p w14:paraId="0A1414FA">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w:t>
      </w:r>
      <w:r>
        <w:rPr>
          <w:rFonts w:hint="eastAsia" w:ascii="仿宋" w:hAnsi="仿宋" w:eastAsia="仿宋" w:cs="仿宋"/>
          <w:color w:val="000000" w:themeColor="text1"/>
          <w:sz w:val="24"/>
          <w:highlight w:val="none"/>
          <w:lang w:val="en-US" w:eastAsia="zh-CN" w:bidi="ar"/>
          <w14:textFill>
            <w14:solidFill>
              <w14:schemeClr w14:val="tx1"/>
            </w14:solidFill>
          </w14:textFill>
        </w:rPr>
        <w:t>7</w:t>
      </w:r>
      <w:r>
        <w:rPr>
          <w:rFonts w:hint="eastAsia" w:ascii="仿宋" w:hAnsi="仿宋" w:eastAsia="仿宋" w:cs="仿宋"/>
          <w:color w:val="000000" w:themeColor="text1"/>
          <w:sz w:val="24"/>
          <w:highlight w:val="none"/>
          <w:lang w:eastAsia="zh-CN" w:bidi="ar"/>
          <w14:textFill>
            <w14:solidFill>
              <w14:schemeClr w14:val="tx1"/>
            </w14:solidFill>
          </w14:textFill>
        </w:rPr>
        <w:t>.系统安全与数据保护</w:t>
      </w:r>
    </w:p>
    <w:p w14:paraId="39109F7E">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系统安全与数据保护旨在通过及时修复漏洞、严格遵守法规、加密数据和实施有效的应急响应措施，确保系统的稳定性、安全性和数据的保密性与完整性。</w:t>
      </w:r>
    </w:p>
    <w:p w14:paraId="32F96C7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（1）系统安全</w:t>
      </w:r>
    </w:p>
    <w:p w14:paraId="1457BD36">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系统安全保障的核心目标是及时发现并修复系统中的安全漏洞，确保系统的安全性和稳定性。</w:t>
      </w:r>
    </w:p>
    <w:p w14:paraId="4D044CE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法律法规遵循：严格遵守国家和地方的网络安全法、数据保护法等相关法规，以及人社局网络和数据安全管理办法，确保系统在合法、合规的框架内运营。同时，制定并执行内部管理制度和安全规范，保障各项工作的安全性。</w:t>
      </w:r>
    </w:p>
    <w:p w14:paraId="2E100CFD">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漏洞修复与版本更新：定期对服务器操作系统进行漏洞修复，对应用系统进行版本升级、漏洞修复及日志清理，确保系统始终处于安全状态。</w:t>
      </w:r>
    </w:p>
    <w:p w14:paraId="7315BCDF">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应急响应与恢复计划：制定应急响应和恢复计划，以应对潜在的网络安全事件。计划包括快速通报安全事件、及时恢复系统的详细步骤和流程。</w:t>
      </w:r>
    </w:p>
    <w:p w14:paraId="22AEAD68">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安全测试与评估：积极配合并参与必要的安全测试和评估工作，如等保测评、安全漏洞扫描、渗透测试等，发现问题后在规定时间内进行修复，确保系统安全性能不断优化。</w:t>
      </w:r>
    </w:p>
    <w:p w14:paraId="5AC29888">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系统环境与网络策略调整：根据系统运行需要，适时进行环境调整和网络策略变更，以保持系统的高效运行和安全防护。</w:t>
      </w:r>
    </w:p>
    <w:p w14:paraId="7C632F26">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（2）数据安全</w:t>
      </w:r>
    </w:p>
    <w:p w14:paraId="37198B2B">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高度重视数据安全，采用先进的加密技术对用户及业务数据进行加密处理，设置严格的权限分级管理体系，确保数据的保密性、完整性和可用性，防范数据泄露、篡改等安全风险，保障系统稳定运行和业务的顺利开展。</w:t>
      </w:r>
    </w:p>
    <w:p w14:paraId="19C2D1DE">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w:t>
      </w:r>
      <w:r>
        <w:rPr>
          <w:rFonts w:hint="eastAsia" w:ascii="仿宋" w:hAnsi="仿宋" w:eastAsia="仿宋" w:cs="仿宋"/>
          <w:color w:val="000000" w:themeColor="text1"/>
          <w:sz w:val="24"/>
          <w:highlight w:val="none"/>
          <w:lang w:val="en-US" w:eastAsia="zh-CN" w:bidi="ar"/>
          <w14:textFill>
            <w14:solidFill>
              <w14:schemeClr w14:val="tx1"/>
            </w14:solidFill>
          </w14:textFill>
        </w:rPr>
        <w:t>8</w:t>
      </w:r>
      <w:r>
        <w:rPr>
          <w:rFonts w:hint="eastAsia" w:ascii="仿宋" w:hAnsi="仿宋" w:eastAsia="仿宋" w:cs="仿宋"/>
          <w:color w:val="000000" w:themeColor="text1"/>
          <w:sz w:val="24"/>
          <w:highlight w:val="none"/>
          <w:lang w:eastAsia="zh-CN" w:bidi="ar"/>
          <w14:textFill>
            <w14:solidFill>
              <w14:schemeClr w14:val="tx1"/>
            </w14:solidFill>
          </w14:textFill>
        </w:rPr>
        <w:t>.日常巡检</w:t>
      </w:r>
    </w:p>
    <w:p w14:paraId="7344E277">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建立严格的系统日常巡检制度，确保对数据库服务器和应用服务器进行每日检查与监测，并填写巡检单。通过全面检查系统的网络环境、软件应用等各个环节，及时发现并解决潜在问题。对发现的问题进行记录与处理，重大问题上报后处理。</w:t>
      </w:r>
    </w:p>
    <w:p w14:paraId="7858F598">
      <w:pPr>
        <w:autoSpaceDE w:val="0"/>
        <w:spacing w:line="360" w:lineRule="auto"/>
        <w:ind w:firstLine="480" w:firstLineChars="200"/>
        <w:jc w:val="left"/>
        <w:rPr>
          <w:rFonts w:hint="eastAsia" w:ascii="仿宋" w:hAnsi="仿宋" w:eastAsia="仿宋" w:cs="仿宋"/>
          <w:color w:val="000000" w:themeColor="text1"/>
          <w:sz w:val="24"/>
          <w:highlight w:val="none"/>
          <w:lang w:eastAsia="zh-CN" w:bidi="ar"/>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1.1.</w:t>
      </w:r>
      <w:r>
        <w:rPr>
          <w:rFonts w:hint="eastAsia" w:ascii="仿宋" w:hAnsi="仿宋" w:eastAsia="仿宋" w:cs="仿宋"/>
          <w:color w:val="000000" w:themeColor="text1"/>
          <w:sz w:val="24"/>
          <w:highlight w:val="none"/>
          <w:lang w:val="en-US" w:eastAsia="zh-CN" w:bidi="ar"/>
          <w14:textFill>
            <w14:solidFill>
              <w14:schemeClr w14:val="tx1"/>
            </w14:solidFill>
          </w14:textFill>
        </w:rPr>
        <w:t>9</w:t>
      </w:r>
      <w:r>
        <w:rPr>
          <w:rFonts w:hint="eastAsia" w:ascii="仿宋" w:hAnsi="仿宋" w:eastAsia="仿宋" w:cs="仿宋"/>
          <w:color w:val="000000" w:themeColor="text1"/>
          <w:sz w:val="24"/>
          <w:highlight w:val="none"/>
          <w:lang w:eastAsia="zh-CN" w:bidi="ar"/>
          <w14:textFill>
            <w14:solidFill>
              <w14:schemeClr w14:val="tx1"/>
            </w14:solidFill>
          </w14:textFill>
        </w:rPr>
        <w:t>.开发和升级系统要求</w:t>
      </w:r>
    </w:p>
    <w:p w14:paraId="6D297032">
      <w:pPr>
        <w:autoSpaceDE w:val="0"/>
        <w:spacing w:line="360" w:lineRule="auto"/>
        <w:ind w:firstLine="48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eastAsia="zh-CN" w:bidi="ar"/>
          <w14:textFill>
            <w14:solidFill>
              <w14:schemeClr w14:val="tx1"/>
            </w14:solidFill>
          </w14:textFill>
        </w:rPr>
        <w:t>升级改造内容以运维期间因业务需要实际发生的功能新增开发升级为准。</w:t>
      </w:r>
    </w:p>
    <w:p w14:paraId="7C96B049">
      <w:pPr>
        <w:spacing w:line="360" w:lineRule="auto"/>
        <w:jc w:val="left"/>
        <w:outlineLvl w:val="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、维护形式</w:t>
      </w:r>
    </w:p>
    <w:p w14:paraId="4480ADE5">
      <w:pPr>
        <w:autoSpaceDE w:val="0"/>
        <w:spacing w:line="360" w:lineRule="auto"/>
        <w:ind w:firstLine="480" w:firstLineChars="200"/>
        <w:jc w:val="left"/>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投标人需组建常驻甲方所在地维护工作组的方式提供维护工作，驻场维护</w:t>
      </w:r>
      <w:r>
        <w:rPr>
          <w:rFonts w:hint="eastAsia" w:ascii="仿宋" w:hAnsi="仿宋" w:eastAsia="仿宋" w:cs="仿宋"/>
          <w:color w:val="000000" w:themeColor="text1"/>
          <w:sz w:val="24"/>
          <w:highlight w:val="none"/>
          <w:lang w:val="en-US" w:eastAsia="zh-CN" w:bidi="ar"/>
          <w14:textFill>
            <w14:solidFill>
              <w14:schemeClr w14:val="tx1"/>
            </w14:solidFill>
          </w14:textFill>
        </w:rPr>
        <w:t>总</w:t>
      </w:r>
      <w:r>
        <w:rPr>
          <w:rFonts w:hint="eastAsia" w:ascii="仿宋" w:hAnsi="仿宋" w:eastAsia="仿宋" w:cs="仿宋"/>
          <w:color w:val="000000" w:themeColor="text1"/>
          <w:sz w:val="24"/>
          <w:highlight w:val="none"/>
          <w:lang w:bidi="ar"/>
          <w14:textFill>
            <w14:solidFill>
              <w14:schemeClr w14:val="tx1"/>
            </w14:solidFill>
          </w14:textFill>
        </w:rPr>
        <w:t>人员</w:t>
      </w:r>
      <w:r>
        <w:rPr>
          <w:rFonts w:hint="eastAsia" w:ascii="仿宋" w:hAnsi="仿宋" w:eastAsia="仿宋" w:cs="仿宋"/>
          <w:color w:val="000000" w:themeColor="text1"/>
          <w:sz w:val="24"/>
          <w:highlight w:val="none"/>
          <w:lang w:val="en-US" w:eastAsia="zh-CN" w:bidi="ar"/>
          <w14:textFill>
            <w14:solidFill>
              <w14:schemeClr w14:val="tx1"/>
            </w14:solidFill>
          </w14:textFill>
        </w:rPr>
        <w:t>数</w:t>
      </w:r>
      <w:r>
        <w:rPr>
          <w:rFonts w:hint="eastAsia" w:ascii="仿宋" w:hAnsi="仿宋" w:eastAsia="仿宋" w:cs="仿宋"/>
          <w:color w:val="000000" w:themeColor="text1"/>
          <w:sz w:val="24"/>
          <w:highlight w:val="none"/>
          <w:lang w:bidi="ar"/>
          <w14:textFill>
            <w14:solidFill>
              <w14:schemeClr w14:val="tx1"/>
            </w14:solidFill>
          </w14:textFill>
        </w:rPr>
        <w:t>不得少于1</w:t>
      </w:r>
      <w:r>
        <w:rPr>
          <w:rFonts w:hint="eastAsia" w:ascii="仿宋" w:hAnsi="仿宋" w:eastAsia="仿宋" w:cs="仿宋"/>
          <w:color w:val="000000" w:themeColor="text1"/>
          <w:sz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highlight w:val="none"/>
          <w:lang w:bidi="ar"/>
          <w14:textFill>
            <w14:solidFill>
              <w14:schemeClr w14:val="tx1"/>
            </w14:solidFill>
          </w14:textFill>
        </w:rPr>
        <w:t>人，维护组以技术支持平台、电话、传真等方式受理服务，建立服务记录。维护组为采购人提供5×8小时服务，包括：每天定期（不少于4次）检查技术支持平台，以便及时响应；定期监控系统运行情况，及时预警；根据服务请求进行软件修改更新、数据查询统计和维护；根据任务紧急程度，一旦本地维护组不能按时处理，及时调配公司人力资源。确保工作时间内任务实时响应落实，保证系统的正常运行。维护组还需做好以下工作：</w:t>
      </w:r>
    </w:p>
    <w:p w14:paraId="45B3018F">
      <w:pPr>
        <w:autoSpaceDE w:val="0"/>
        <w:spacing w:line="360" w:lineRule="auto"/>
        <w:ind w:firstLine="480" w:firstLineChars="200"/>
        <w:jc w:val="left"/>
        <w:outlineLvl w:val="2"/>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 值班服务</w:t>
      </w:r>
    </w:p>
    <w:p w14:paraId="5B6ABE95">
      <w:pPr>
        <w:autoSpaceDE w:val="0"/>
        <w:spacing w:line="360" w:lineRule="auto"/>
        <w:ind w:firstLine="480" w:firstLineChars="200"/>
        <w:jc w:val="left"/>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为了保证及时快速地响应服务请求，维护组需在法定节假日和非工作时间提供7×24小时全时间段的值班服务，指定值班人员并保持通讯畅通，指定值班人员在接到服务请求后二小时内到达指定工作岗位，开展工作。</w:t>
      </w:r>
    </w:p>
    <w:p w14:paraId="5197158B">
      <w:pPr>
        <w:autoSpaceDE w:val="0"/>
        <w:spacing w:line="360" w:lineRule="auto"/>
        <w:ind w:firstLine="480" w:firstLineChars="200"/>
        <w:jc w:val="left"/>
        <w:outlineLvl w:val="2"/>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2、协助服务</w:t>
      </w:r>
    </w:p>
    <w:p w14:paraId="3B812C41">
      <w:pPr>
        <w:autoSpaceDE w:val="0"/>
        <w:spacing w:line="360" w:lineRule="auto"/>
        <w:ind w:firstLine="480" w:firstLineChars="200"/>
        <w:jc w:val="left"/>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针对软件运行而进行的使用咨询、疑难问题解决和系统升级方案设计等，协助做好如培训、参数设置、数据转移、突发事件处理等工作。</w:t>
      </w:r>
    </w:p>
    <w:p w14:paraId="6A20ECD7">
      <w:pPr>
        <w:autoSpaceDE w:val="0"/>
        <w:spacing w:line="360" w:lineRule="auto"/>
        <w:ind w:firstLine="480" w:firstLineChars="200"/>
        <w:jc w:val="left"/>
        <w:outlineLvl w:val="2"/>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3、文档服务</w:t>
      </w:r>
    </w:p>
    <w:p w14:paraId="618DC360">
      <w:pPr>
        <w:autoSpaceDE w:val="0"/>
        <w:spacing w:line="360" w:lineRule="auto"/>
        <w:ind w:firstLine="480" w:firstLineChars="200"/>
        <w:jc w:val="left"/>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每周编写《维护周报》，并根据服务维护工作内容的实际情况，编写相关技术文档，包括《会议纪要》、系统调整相关流程和需求文档等。</w:t>
      </w:r>
    </w:p>
    <w:p w14:paraId="24D61697">
      <w:pPr>
        <w:spacing w:line="360" w:lineRule="auto"/>
        <w:jc w:val="left"/>
        <w:outlineLvl w:val="2"/>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3、维护体系结构</w:t>
      </w:r>
    </w:p>
    <w:p w14:paraId="24DACB60">
      <w:pPr>
        <w:autoSpaceDE w:val="0"/>
        <w:spacing w:line="360" w:lineRule="auto"/>
        <w:ind w:firstLine="420" w:firstLineChars="200"/>
        <w:jc w:val="left"/>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4846320" cy="4091940"/>
            <wp:effectExtent l="0" t="0" r="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6"/>
                    <a:stretch>
                      <a:fillRect/>
                    </a:stretch>
                  </pic:blipFill>
                  <pic:spPr>
                    <a:xfrm>
                      <a:off x="0" y="0"/>
                      <a:ext cx="4846320" cy="4091940"/>
                    </a:xfrm>
                    <a:prstGeom prst="rect">
                      <a:avLst/>
                    </a:prstGeom>
                    <a:noFill/>
                    <a:ln>
                      <a:noFill/>
                    </a:ln>
                  </pic:spPr>
                </pic:pic>
              </a:graphicData>
            </a:graphic>
          </wp:inline>
        </w:drawing>
      </w:r>
    </w:p>
    <w:p w14:paraId="37CE0FF6">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在整个体系结构中，服务请求来自整个维护范围的业务单位和个人。</w:t>
      </w:r>
    </w:p>
    <w:p w14:paraId="0964C2E1">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技术支持平台是管理服务请求的平台，根据服务请求性质，分派工作任务，跟踪服务请求的解决过程。</w:t>
      </w:r>
    </w:p>
    <w:p w14:paraId="2648CDB3">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政务中心政务保障科负责管理审核完成服务请求的效率和质量。</w:t>
      </w:r>
    </w:p>
    <w:p w14:paraId="4ED250EA">
      <w:pPr>
        <w:autoSpaceDE w:val="0"/>
        <w:spacing w:line="360" w:lineRule="auto"/>
        <w:ind w:firstLine="480" w:firstLineChars="20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必须高效完成技术支持平台分派的任务。若涉及省平台的技术支持，应先由市业务部门审核，再将工单录入省平台进行省运维协同，同时通过综合处复核请求省运维组处理，如遇无法解决的问题，需请求省后方技术支持。其他任务由维护组直接处理，如遇无法解决的问题，需请求市后方技术支持，确保任务顺利完成。处理结束后，需进行跟踪反馈，并将处理结果录入政务中心技术支持平台，由业务单位确认后结束维护。</w:t>
      </w:r>
    </w:p>
    <w:p w14:paraId="26C29A57">
      <w:pPr>
        <w:spacing w:line="360" w:lineRule="auto"/>
        <w:jc w:val="left"/>
        <w:outlineLvl w:val="2"/>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4、维护责任和要求</w:t>
      </w:r>
    </w:p>
    <w:p w14:paraId="244737C4">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1、维护组人员常驻政务中心指定工作场地，日常办公时间遵循政务中心的作息时间，遵守《杭州市人力资源和社会保障政务服务中心内部管理制度》；</w:t>
      </w:r>
    </w:p>
    <w:p w14:paraId="040C96CA">
      <w:pPr>
        <w:autoSpaceDE w:val="0"/>
        <w:spacing w:line="360" w:lineRule="auto"/>
        <w:ind w:firstLine="480" w:firstLineChars="200"/>
        <w:jc w:val="left"/>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2、维护组负责处理由政务中心分派的服务请求；</w:t>
      </w:r>
    </w:p>
    <w:p w14:paraId="2673BF3A">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3、维护组在工作日安排人员接听服务支持电话，并负责解决服务请求；</w:t>
      </w:r>
    </w:p>
    <w:p w14:paraId="11884BC0">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4、维护组对政务中心分派的维护任务必须从保障系统整体性的观点出发，分析问题原因，提供解决方案。经政务中心确认后才能实施；</w:t>
      </w:r>
    </w:p>
    <w:p w14:paraId="1E69C87C">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5、维护组原则上不接受业务部门任何口头需求，必须要在书面或技术支持申请的基础上实施；</w:t>
      </w:r>
    </w:p>
    <w:p w14:paraId="28442ED8">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6、维护组不能解决问题时，维护组组长应当及时请求后方技术支持并在政务中心要求的时间内解决问题；</w:t>
      </w:r>
    </w:p>
    <w:p w14:paraId="6E2E9AE4">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7、维护组须做好新开发模块的维护交接工作，保证开发和维护的顺利过渡；</w:t>
      </w:r>
    </w:p>
    <w:p w14:paraId="6A6F183D">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8、维护组负责管理测试服务器，保证测试程序的正常高效地更新和使用；</w:t>
      </w:r>
    </w:p>
    <w:p w14:paraId="00B7472E">
      <w:pPr>
        <w:autoSpaceDE w:val="0"/>
        <w:spacing w:line="360" w:lineRule="auto"/>
        <w:ind w:firstLine="480" w:firstLineChars="200"/>
        <w:jc w:val="left"/>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9、维护组负责管理版本服务器，保证程序版本的有效控制；</w:t>
      </w:r>
    </w:p>
    <w:p w14:paraId="187A2E9E">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10、维护公司须加强维护组团队管理，保证团队人员稳定，确保维护质量，特别需要保证维护人员的整体水平；</w:t>
      </w:r>
    </w:p>
    <w:p w14:paraId="3DC09C74">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11、维护组须保持现场工作环境的卫生整洁；</w:t>
      </w:r>
    </w:p>
    <w:p w14:paraId="1172D628">
      <w:pPr>
        <w:autoSpaceDE w:val="0"/>
        <w:spacing w:line="360" w:lineRule="auto"/>
        <w:ind w:firstLine="48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12、维护组应遵循有关信息化工作的保密规定。</w:t>
      </w:r>
    </w:p>
    <w:p w14:paraId="1E8EBFA6">
      <w:pPr>
        <w:spacing w:line="360" w:lineRule="auto"/>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5、日常维护流程</w:t>
      </w:r>
    </w:p>
    <w:p w14:paraId="25C61EF9">
      <w:pPr>
        <w:autoSpaceDE w:val="0"/>
        <w:spacing w:line="360" w:lineRule="auto"/>
        <w:ind w:firstLine="480" w:firstLineChars="200"/>
        <w:jc w:val="left"/>
        <w:outlineLvl w:val="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.1维护类流程</w:t>
      </w:r>
    </w:p>
    <w:p w14:paraId="52379441">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业务单位发送服务请求到技术支持平台；由政务中心统一分派任务给维护小组，维护小组根据维护要求进行维护和汇报，由业务单位确认后结束维护。</w:t>
      </w:r>
    </w:p>
    <w:p w14:paraId="3AC09F5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4541520" cy="4377055"/>
            <wp:effectExtent l="0" t="0" r="0" b="1206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7"/>
                    <a:srcRect b="4740"/>
                    <a:stretch>
                      <a:fillRect/>
                    </a:stretch>
                  </pic:blipFill>
                  <pic:spPr>
                    <a:xfrm>
                      <a:off x="0" y="0"/>
                      <a:ext cx="4541520" cy="4377055"/>
                    </a:xfrm>
                    <a:prstGeom prst="rect">
                      <a:avLst/>
                    </a:prstGeom>
                    <a:noFill/>
                    <a:ln>
                      <a:noFill/>
                    </a:ln>
                  </pic:spPr>
                </pic:pic>
              </a:graphicData>
            </a:graphic>
          </wp:inline>
        </w:drawing>
      </w:r>
    </w:p>
    <w:p w14:paraId="6F14D2B2">
      <w:pPr>
        <w:autoSpaceDE w:val="0"/>
        <w:spacing w:line="360" w:lineRule="auto"/>
        <w:ind w:firstLine="480" w:firstLineChars="200"/>
        <w:jc w:val="left"/>
        <w:outlineLvl w:val="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.2功能改进和增加类流程</w:t>
      </w:r>
    </w:p>
    <w:p w14:paraId="32B58B4B">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智慧就业系统：各业务单位提交功能改进或增加的服务请求，在政务中心的领导下，制定开发计划，并按计划讨论业务流程及需求，形成会议纪要或需求报告并经三方确认。按需求进行程序开发和调整。开发完毕，在测试平台进行测试，由业务单位确认，签字通过后进行程序上线和发布。</w:t>
      </w:r>
    </w:p>
    <w:p w14:paraId="00410D96">
      <w:pPr>
        <w:autoSpaceDE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省就业管理系统杭州平台：各业务单位提交功能改进或新增的服务请求，在政务中心领导下，制定开发计划，按计划讨论业务流程与需求，形成会议纪要或需求报告，并经三方确认。确认后提交省级业务部门确认，省级开发团队根据确认的需求进行程序开发和调整。开发完成后，现场运维组在测试平台进行测试。</w:t>
      </w:r>
    </w:p>
    <w:p w14:paraId="69AA3D6B">
      <w:pPr>
        <w:autoSpaceDE w:val="0"/>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5196840" cy="4411980"/>
            <wp:effectExtent l="0" t="0" r="0" b="762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8"/>
                    <a:stretch>
                      <a:fillRect/>
                    </a:stretch>
                  </pic:blipFill>
                  <pic:spPr>
                    <a:xfrm>
                      <a:off x="0" y="0"/>
                      <a:ext cx="5196840" cy="4411980"/>
                    </a:xfrm>
                    <a:prstGeom prst="rect">
                      <a:avLst/>
                    </a:prstGeom>
                    <a:noFill/>
                    <a:ln>
                      <a:noFill/>
                    </a:ln>
                  </pic:spPr>
                </pic:pic>
              </a:graphicData>
            </a:graphic>
          </wp:inline>
        </w:drawing>
      </w:r>
    </w:p>
    <w:p w14:paraId="4AE0964F">
      <w:pPr>
        <w:spacing w:line="360" w:lineRule="auto"/>
        <w:jc w:val="left"/>
        <w:outlineLvl w:val="2"/>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6、维护规范</w:t>
      </w:r>
    </w:p>
    <w:p w14:paraId="14BFAB1D">
      <w:pPr>
        <w:spacing w:line="360" w:lineRule="auto"/>
        <w:outlineLvl w:val="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.1工作制度</w:t>
      </w:r>
    </w:p>
    <w:p w14:paraId="16AD2EBE">
      <w:pPr>
        <w:spacing w:line="360" w:lineRule="auto"/>
        <w:ind w:firstLine="42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1、维护人员不得无故缺勤；</w:t>
      </w:r>
    </w:p>
    <w:p w14:paraId="4B71029C">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2、一年内维护组人均请假天数不能超过5天(国家相关法律和法规允许的假期除外）；</w:t>
      </w:r>
    </w:p>
    <w:p w14:paraId="1EDA91C4">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3、维护组人员不得参与与维护工作无关的工作，未经政务中心同意，不得借用到其他项目；</w:t>
      </w:r>
    </w:p>
    <w:p w14:paraId="5DA62784">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4、维护组人员应保持稳定，未经政务中心同意，不得随意变更维护人员；</w:t>
      </w:r>
    </w:p>
    <w:p w14:paraId="1AE06ED7">
      <w:pPr>
        <w:spacing w:line="360" w:lineRule="auto"/>
        <w:ind w:firstLine="42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5、每周五下午16：30前报送维护周报。</w:t>
      </w:r>
    </w:p>
    <w:p w14:paraId="1AFF06FE">
      <w:pPr>
        <w:spacing w:line="360" w:lineRule="auto"/>
        <w:outlineLvl w:val="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.2技术规范</w:t>
      </w:r>
    </w:p>
    <w:p w14:paraId="351433E6">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1、程序修改完成后需上传到版本控制服务器，填写“软件更新申请单”交政务中心有关科室；</w:t>
      </w:r>
    </w:p>
    <w:p w14:paraId="28C06602">
      <w:pPr>
        <w:spacing w:line="360" w:lineRule="auto"/>
        <w:ind w:firstLine="42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2、重要程序修改做好注释。格式：修改时间＋修改人＋修改原因；</w:t>
      </w:r>
    </w:p>
    <w:p w14:paraId="2148186E">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3、软件重大修改应及时反映到需求、设计、帮助等文档，确保程序与文档一致。</w:t>
      </w:r>
    </w:p>
    <w:p w14:paraId="441871D4">
      <w:pPr>
        <w:spacing w:line="360" w:lineRule="auto"/>
        <w:outlineLvl w:val="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.3运行保障</w:t>
      </w:r>
    </w:p>
    <w:p w14:paraId="3BE361A9">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1、每日对系统可用性进行巡检，保证系统满足业务正常的使用要求；同时进行预防性检查，包括空间、性能、网络等方面的预警；</w:t>
      </w:r>
    </w:p>
    <w:p w14:paraId="42849DEC">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2、程序修改或数据库执行脚本需要维护组内部审核测试，避免因程序或者脚本不合格等原因导致系统崩溃；</w:t>
      </w:r>
    </w:p>
    <w:p w14:paraId="27D7091A">
      <w:pPr>
        <w:spacing w:line="360" w:lineRule="auto"/>
        <w:ind w:firstLine="42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3、系统崩溃后维护组应确保在一个工作日内使系统恢复正常。</w:t>
      </w:r>
    </w:p>
    <w:p w14:paraId="7943F98A">
      <w:pPr>
        <w:spacing w:line="360" w:lineRule="auto"/>
        <w:outlineLvl w:val="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.4网络安全</w:t>
      </w:r>
    </w:p>
    <w:p w14:paraId="3F16647D">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1.在承担开发或维护服务责任过程中，全面按照《中华人民共和国网络安全法》和《浙江省信息技术服务外包网络安全管理办法》等法规标准，承担技术服务外包过程中的网络安全责任。</w:t>
      </w:r>
    </w:p>
    <w:p w14:paraId="70ECF308">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2.在系统开发或运维过程中，做好代码安全检查及安全测试，未通过安全检测、功能测试、代码安全审计的功能不擅自投入运行，防止上线存在高中危漏洞的系统及功能。</w:t>
      </w:r>
    </w:p>
    <w:p w14:paraId="4C1E2A33">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3.确保所有开发或维护行为记录完备，具有完善的用户登录及操作日志。未经甲方允许，不擅自更新或操作系统，不擅自删除日志。</w:t>
      </w:r>
    </w:p>
    <w:p w14:paraId="6DD82257">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4.开展定期巡检，协助甲方查找所维护系统的安全隐患和漏洞，并对薄弱环节和潜在威胁采取有力措施进行整改，避免和消除网络安全风险，保障系统安全稳定运行。</w:t>
      </w:r>
    </w:p>
    <w:p w14:paraId="3F09B1CC">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5.提供系统应急服务，在系统出现重大隐患或黑客入侵等严重安全事件时，及时启动应急响应服务，指定专业技术团队协助甲方开展事件处置、整改，使系统恢复正常。</w:t>
      </w:r>
    </w:p>
    <w:p w14:paraId="203F0FA6">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6.加强对参与系统开发及运维人员的管理，进行安全背景审查，签署安全及保密协议。对存在异常或违规行为的人员开展内部惩戒。严格管理系统相关人员离职（调离）情况，及时收回系统测试、管理账号。</w:t>
      </w:r>
    </w:p>
    <w:p w14:paraId="28AEC124">
      <w:pP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服务过程中因乙方原因引发的系统瘫痪、数据丢失泄露等网络安全事件，乙方将依照服务合同违约相关条款承担违约责任，并赔偿甲方的直接及间接经济损失，并承担相应法律责任；若服务合同期限届满后，因乙方原因导致的问题，不影响乙方仍按照服务合同的约定承担相应的违约责任及赔偿责任。</w:t>
      </w:r>
    </w:p>
    <w:p w14:paraId="07164AB2">
      <w:pPr>
        <w:spacing w:line="360" w:lineRule="auto"/>
        <w:jc w:val="left"/>
        <w:outlineLvl w:val="2"/>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7、人员组织</w:t>
      </w:r>
    </w:p>
    <w:p w14:paraId="16CACE43">
      <w:pPr>
        <w:pStyle w:val="23"/>
        <w:ind w:firstLine="480" w:firstLineChars="200"/>
        <w:outlineLvl w:val="3"/>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val="en-US"/>
          <w14:textFill>
            <w14:solidFill>
              <w14:schemeClr w14:val="tx1"/>
            </w14:solidFill>
          </w14:textFill>
        </w:rPr>
        <w:t>.1项目领导小组</w:t>
      </w:r>
    </w:p>
    <w:p w14:paraId="6802B9E0">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领导小组：项目中重大问题的协调和决策；对整个项目建设过程的进度、计划、质量等活动进行宏观监督，并可以协调在项目实施过程中出现的问题，定时接受项目服务实施小组的汇报。对项目服务实施小组的工作进行检查。</w:t>
      </w:r>
    </w:p>
    <w:p w14:paraId="3D59972B">
      <w:pPr>
        <w:pStyle w:val="23"/>
        <w:ind w:firstLine="480" w:firstLineChars="200"/>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确定好具体人员后，维护公司需填写以下表格报政务服务中心。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54"/>
        <w:gridCol w:w="2002"/>
        <w:gridCol w:w="4711"/>
      </w:tblGrid>
      <w:tr w14:paraId="4DC3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69A24858">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620" w:type="pct"/>
            <w:vAlign w:val="center"/>
          </w:tcPr>
          <w:p w14:paraId="4EE019AB">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1178" w:type="pct"/>
            <w:vAlign w:val="center"/>
          </w:tcPr>
          <w:p w14:paraId="1FC1B18D">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岗位</w:t>
            </w:r>
          </w:p>
        </w:tc>
        <w:tc>
          <w:tcPr>
            <w:tcW w:w="2772" w:type="pct"/>
            <w:vAlign w:val="center"/>
          </w:tcPr>
          <w:p w14:paraId="31E6FE38">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岗位描述</w:t>
            </w:r>
          </w:p>
        </w:tc>
      </w:tr>
      <w:tr w14:paraId="052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00272673">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20" w:type="pct"/>
            <w:vAlign w:val="center"/>
          </w:tcPr>
          <w:p w14:paraId="58C561A5">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78" w:type="pct"/>
            <w:vAlign w:val="center"/>
          </w:tcPr>
          <w:p w14:paraId="387BA83F">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领导小组组长</w:t>
            </w:r>
          </w:p>
        </w:tc>
        <w:tc>
          <w:tcPr>
            <w:tcW w:w="2772" w:type="pct"/>
            <w:vAlign w:val="center"/>
          </w:tcPr>
          <w:p w14:paraId="7BB6DFAF">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领导维护工作组的全面工作</w:t>
            </w:r>
          </w:p>
        </w:tc>
      </w:tr>
      <w:tr w14:paraId="4F12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7143C340">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620" w:type="pct"/>
            <w:vAlign w:val="center"/>
          </w:tcPr>
          <w:p w14:paraId="64FF28F3">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78" w:type="pct"/>
            <w:vAlign w:val="center"/>
          </w:tcPr>
          <w:p w14:paraId="4A0F9E90">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领导小组副组长</w:t>
            </w:r>
          </w:p>
        </w:tc>
        <w:tc>
          <w:tcPr>
            <w:tcW w:w="2772" w:type="pct"/>
            <w:vAlign w:val="center"/>
          </w:tcPr>
          <w:p w14:paraId="2285CF43">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负责该项目软件技术层面工作</w:t>
            </w:r>
          </w:p>
        </w:tc>
      </w:tr>
      <w:tr w14:paraId="77B7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6F59CDA5">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620" w:type="pct"/>
            <w:vAlign w:val="center"/>
          </w:tcPr>
          <w:p w14:paraId="3673A28C">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78" w:type="pct"/>
            <w:vAlign w:val="center"/>
          </w:tcPr>
          <w:p w14:paraId="6F1B9886">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领导小组组员</w:t>
            </w:r>
          </w:p>
        </w:tc>
        <w:tc>
          <w:tcPr>
            <w:tcW w:w="2772" w:type="pct"/>
            <w:vAlign w:val="center"/>
          </w:tcPr>
          <w:p w14:paraId="64DC754F">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负责该项目软件应用平台有关工作</w:t>
            </w:r>
          </w:p>
        </w:tc>
      </w:tr>
      <w:tr w14:paraId="60A7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6E9E48F8">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620" w:type="pct"/>
            <w:vAlign w:val="center"/>
          </w:tcPr>
          <w:p w14:paraId="3A46C1BA">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78" w:type="pct"/>
            <w:vAlign w:val="center"/>
          </w:tcPr>
          <w:p w14:paraId="2B645C5D">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领导小组组员</w:t>
            </w:r>
          </w:p>
        </w:tc>
        <w:tc>
          <w:tcPr>
            <w:tcW w:w="2772" w:type="pct"/>
            <w:vAlign w:val="center"/>
          </w:tcPr>
          <w:p w14:paraId="444C9AA5">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负责该项目市场商务工作</w:t>
            </w:r>
          </w:p>
        </w:tc>
      </w:tr>
    </w:tbl>
    <w:p w14:paraId="06CCF903">
      <w:pPr>
        <w:pStyle w:val="23"/>
        <w:ind w:firstLine="480" w:firstLineChars="200"/>
        <w:outlineLvl w:val="3"/>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val="en-US"/>
          <w14:textFill>
            <w14:solidFill>
              <w14:schemeClr w14:val="tx1"/>
            </w14:solidFill>
          </w14:textFill>
        </w:rPr>
        <w:t>.2维护组</w:t>
      </w:r>
    </w:p>
    <w:p w14:paraId="3698CBEB">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在指定的现场具体执行维护工作任务；按照政务中心有关软件维护的相关规定，高效优质地完成用户的服务请求；定期向政务中心汇报，积极做好沟通和交流工作；定期向项目领导小组汇报，取得项目领导小组的全面支持。</w:t>
      </w:r>
    </w:p>
    <w:p w14:paraId="22ECE205">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确定好具体人员后，维护公司需填写以下表格报政务中心。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062"/>
        <w:gridCol w:w="1486"/>
        <w:gridCol w:w="5212"/>
      </w:tblGrid>
      <w:tr w14:paraId="4237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3089CD32">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625" w:type="pct"/>
            <w:vAlign w:val="center"/>
          </w:tcPr>
          <w:p w14:paraId="5495B201">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875" w:type="pct"/>
            <w:vAlign w:val="center"/>
          </w:tcPr>
          <w:p w14:paraId="2F2F5FD7">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岗位</w:t>
            </w:r>
          </w:p>
        </w:tc>
        <w:tc>
          <w:tcPr>
            <w:tcW w:w="3069" w:type="pct"/>
            <w:vAlign w:val="center"/>
          </w:tcPr>
          <w:p w14:paraId="5B8092FC">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岗位描述</w:t>
            </w:r>
          </w:p>
        </w:tc>
      </w:tr>
      <w:tr w14:paraId="258F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2403A0E4">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25" w:type="pct"/>
            <w:vAlign w:val="center"/>
          </w:tcPr>
          <w:p w14:paraId="6EDBC1B2">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75" w:type="pct"/>
            <w:vAlign w:val="center"/>
          </w:tcPr>
          <w:p w14:paraId="57CA5F61">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维护组组长</w:t>
            </w:r>
          </w:p>
        </w:tc>
        <w:tc>
          <w:tcPr>
            <w:tcW w:w="3069" w:type="pct"/>
            <w:vAlign w:val="center"/>
          </w:tcPr>
          <w:p w14:paraId="37BC4B38">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维护组代表，负责维护组工作管理、用户联络等</w:t>
            </w:r>
          </w:p>
        </w:tc>
      </w:tr>
      <w:tr w14:paraId="6487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6EA5FA5F">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625" w:type="pct"/>
            <w:vAlign w:val="center"/>
          </w:tcPr>
          <w:p w14:paraId="18316CFE">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75" w:type="pct"/>
            <w:vAlign w:val="center"/>
          </w:tcPr>
          <w:p w14:paraId="001C0D5E">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维护组组员</w:t>
            </w:r>
          </w:p>
        </w:tc>
        <w:tc>
          <w:tcPr>
            <w:tcW w:w="3069" w:type="pct"/>
            <w:vAlign w:val="center"/>
          </w:tcPr>
          <w:p w14:paraId="0090F8F9">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6853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682DD3F7">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14:paraId="792D4825">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维护组组长：具备五年以上信息化项目管理经验；精通JAVA、ORACLE 、MYSQL</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OCEANBASE、金仓等</w:t>
      </w:r>
      <w:r>
        <w:rPr>
          <w:rFonts w:hint="eastAsia" w:ascii="仿宋" w:hAnsi="仿宋" w:eastAsia="仿宋" w:cs="仿宋"/>
          <w:color w:val="000000" w:themeColor="text1"/>
          <w:sz w:val="24"/>
          <w:highlight w:val="none"/>
          <w14:textFill>
            <w14:solidFill>
              <w14:schemeClr w14:val="tx1"/>
            </w14:solidFill>
          </w14:textFill>
        </w:rPr>
        <w:t>数据库；具有较强的管理和沟通能力；具备良好的服务意识；</w:t>
      </w:r>
    </w:p>
    <w:p w14:paraId="0FF787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维护组成员：从事信息化项目建设或运维工作2年以上人员数不少于50%；精通JAVA、ORACLE 、MYSQL</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OCEANBASE、金仓等</w:t>
      </w:r>
      <w:r>
        <w:rPr>
          <w:rFonts w:hint="eastAsia" w:ascii="仿宋" w:hAnsi="仿宋" w:eastAsia="仿宋" w:cs="仿宋"/>
          <w:color w:val="000000" w:themeColor="text1"/>
          <w:sz w:val="24"/>
          <w:highlight w:val="none"/>
          <w14:textFill>
            <w14:solidFill>
              <w14:schemeClr w14:val="tx1"/>
            </w14:solidFill>
          </w14:textFill>
        </w:rPr>
        <w:t>数据库管理；能独立解决问题，有较强的协作能力；具备良好的服务意识。</w:t>
      </w:r>
    </w:p>
    <w:p w14:paraId="4DA26922">
      <w:pPr>
        <w:pStyle w:val="23"/>
        <w:ind w:firstLine="480" w:firstLineChars="200"/>
        <w:outlineLvl w:val="3"/>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7.3人员到岗与离开要求</w:t>
      </w:r>
    </w:p>
    <w:p w14:paraId="1841DB7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组成员确定后需要在合同要求的开始时间前一个星期内到达维护地点，以保证维护工作的顺利开展。维护组成员的人员流动都需要向政务中心提出书面申请，得到政务中心同意后，方可离开。维护组成员若被政务中心书面投诉三次，即为不合格人员，要求在两周内进行整改，如果整改后仍无改进，应进行替换。</w:t>
      </w:r>
    </w:p>
    <w:p w14:paraId="5683DB2C">
      <w:pPr>
        <w:spacing w:line="360" w:lineRule="auto"/>
        <w:jc w:val="left"/>
        <w:outlineLvl w:val="2"/>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8、其他</w:t>
      </w:r>
    </w:p>
    <w:p w14:paraId="1DA363DF">
      <w:pPr>
        <w:autoSpaceDE w:val="0"/>
        <w:spacing w:line="360" w:lineRule="auto"/>
        <w:ind w:firstLine="480" w:firstLineChars="200"/>
        <w:jc w:val="left"/>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如非原供应商中标，需在合同签订之日起7日内，完成运维各项工作的交接、衔接。2025年7月1日至中标人开始提供服务之前由原供应商按照本次采购需求提供服务，期间产生的费用由中标人，按照实际运维天数及本次采购合同价，与原供应商按实结算。</w:t>
      </w:r>
    </w:p>
    <w:p w14:paraId="61596226">
      <w:pPr>
        <w:spacing w:line="360" w:lineRule="auto"/>
        <w:jc w:val="both"/>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8" w:name="_Toc184314473"/>
      <w:bookmarkEnd w:id="28"/>
      <w:bookmarkStart w:id="29" w:name="_Toc184310324"/>
      <w:bookmarkEnd w:id="29"/>
      <w:bookmarkStart w:id="30" w:name="_Toc184312069"/>
      <w:bookmarkEnd w:id="30"/>
      <w:bookmarkStart w:id="31" w:name="_Toc184314453"/>
      <w:bookmarkEnd w:id="31"/>
      <w:bookmarkStart w:id="32" w:name="_Toc184308104"/>
      <w:bookmarkEnd w:id="32"/>
      <w:bookmarkStart w:id="33" w:name="_Toc184310326"/>
      <w:bookmarkEnd w:id="33"/>
      <w:bookmarkStart w:id="34" w:name="_Toc184312106"/>
      <w:bookmarkEnd w:id="34"/>
      <w:bookmarkStart w:id="35" w:name="_Toc184313310"/>
      <w:bookmarkEnd w:id="35"/>
      <w:bookmarkStart w:id="36" w:name="_Toc184308098"/>
      <w:bookmarkEnd w:id="36"/>
      <w:bookmarkStart w:id="37" w:name="_Toc184313274"/>
      <w:bookmarkEnd w:id="37"/>
      <w:bookmarkStart w:id="38" w:name="_Toc184313247"/>
      <w:bookmarkEnd w:id="38"/>
      <w:bookmarkStart w:id="39" w:name="_Toc184310317"/>
      <w:bookmarkEnd w:id="39"/>
      <w:bookmarkStart w:id="40" w:name="_Toc184313284"/>
      <w:bookmarkEnd w:id="40"/>
      <w:bookmarkStart w:id="41" w:name="_Toc184310331"/>
      <w:bookmarkEnd w:id="41"/>
      <w:bookmarkStart w:id="42" w:name="_Toc184312110"/>
      <w:bookmarkEnd w:id="42"/>
      <w:bookmarkStart w:id="43" w:name="_Toc184312137"/>
      <w:bookmarkEnd w:id="43"/>
      <w:bookmarkStart w:id="44" w:name="_Toc184312085"/>
      <w:bookmarkEnd w:id="44"/>
      <w:bookmarkStart w:id="45" w:name="_Toc184313271"/>
      <w:bookmarkEnd w:id="45"/>
      <w:bookmarkStart w:id="46" w:name="_Toc184308068"/>
      <w:bookmarkEnd w:id="46"/>
      <w:bookmarkStart w:id="47" w:name="_Toc184314452"/>
      <w:bookmarkEnd w:id="47"/>
      <w:bookmarkStart w:id="48" w:name="_Toc184310323"/>
      <w:bookmarkEnd w:id="48"/>
      <w:bookmarkStart w:id="49" w:name="_Toc184314427"/>
      <w:bookmarkEnd w:id="49"/>
      <w:bookmarkStart w:id="50" w:name="_Toc184312109"/>
      <w:bookmarkEnd w:id="50"/>
      <w:bookmarkStart w:id="51" w:name="_Toc184312086"/>
      <w:bookmarkEnd w:id="51"/>
      <w:bookmarkStart w:id="52" w:name="_Toc184310286"/>
      <w:bookmarkEnd w:id="52"/>
      <w:bookmarkStart w:id="53" w:name="_Toc184312084"/>
      <w:bookmarkEnd w:id="53"/>
      <w:bookmarkStart w:id="54" w:name="_Toc184310300"/>
      <w:bookmarkEnd w:id="54"/>
      <w:bookmarkStart w:id="55" w:name="_Toc184310337"/>
      <w:bookmarkEnd w:id="55"/>
      <w:bookmarkStart w:id="56" w:name="_Toc184313269"/>
      <w:bookmarkEnd w:id="56"/>
      <w:bookmarkStart w:id="57" w:name="_Toc184310272"/>
      <w:bookmarkEnd w:id="57"/>
      <w:bookmarkStart w:id="58" w:name="_Toc184312103"/>
      <w:bookmarkEnd w:id="58"/>
      <w:bookmarkStart w:id="59" w:name="_Toc184308086"/>
      <w:bookmarkEnd w:id="59"/>
      <w:bookmarkStart w:id="60" w:name="_Toc184312088"/>
      <w:bookmarkEnd w:id="60"/>
      <w:bookmarkStart w:id="61" w:name="_Toc184314417"/>
      <w:bookmarkEnd w:id="61"/>
      <w:bookmarkStart w:id="62" w:name="_Toc184310278"/>
      <w:bookmarkEnd w:id="62"/>
      <w:bookmarkStart w:id="63" w:name="_Toc184312094"/>
      <w:bookmarkEnd w:id="63"/>
      <w:bookmarkStart w:id="64" w:name="_Toc184308045"/>
      <w:bookmarkEnd w:id="64"/>
      <w:bookmarkStart w:id="65" w:name="_Toc184313251"/>
      <w:bookmarkEnd w:id="65"/>
      <w:bookmarkStart w:id="66" w:name="_Toc184310310"/>
      <w:bookmarkEnd w:id="66"/>
      <w:bookmarkStart w:id="67" w:name="_Toc184308092"/>
      <w:bookmarkEnd w:id="67"/>
      <w:bookmarkStart w:id="68" w:name="_Toc184314446"/>
      <w:bookmarkEnd w:id="68"/>
      <w:bookmarkStart w:id="69" w:name="_Toc184313290"/>
      <w:bookmarkEnd w:id="69"/>
      <w:bookmarkStart w:id="70" w:name="_Toc184314429"/>
      <w:bookmarkEnd w:id="70"/>
      <w:bookmarkStart w:id="71" w:name="_Toc184312083"/>
      <w:bookmarkEnd w:id="71"/>
      <w:bookmarkStart w:id="72" w:name="_Toc184312107"/>
      <w:bookmarkEnd w:id="72"/>
      <w:bookmarkStart w:id="73" w:name="_Toc184314437"/>
      <w:bookmarkEnd w:id="73"/>
      <w:bookmarkStart w:id="74" w:name="_Toc184310313"/>
      <w:bookmarkEnd w:id="74"/>
      <w:bookmarkStart w:id="75" w:name="_Toc184310281"/>
      <w:bookmarkEnd w:id="75"/>
      <w:bookmarkStart w:id="76" w:name="_Toc184310329"/>
      <w:bookmarkEnd w:id="76"/>
      <w:bookmarkStart w:id="77" w:name="_Toc184314467"/>
      <w:bookmarkEnd w:id="77"/>
      <w:bookmarkStart w:id="78" w:name="_Toc184313300"/>
      <w:bookmarkEnd w:id="78"/>
      <w:bookmarkStart w:id="79" w:name="_Toc184313244"/>
      <w:bookmarkEnd w:id="79"/>
      <w:bookmarkStart w:id="80" w:name="_Toc184314415"/>
      <w:bookmarkEnd w:id="80"/>
      <w:bookmarkStart w:id="81" w:name="_Toc184314425"/>
      <w:bookmarkEnd w:id="81"/>
      <w:bookmarkStart w:id="82" w:name="_Toc184313239"/>
      <w:bookmarkEnd w:id="82"/>
      <w:bookmarkStart w:id="83" w:name="_Toc184310296"/>
      <w:bookmarkEnd w:id="83"/>
      <w:bookmarkStart w:id="84" w:name="_Toc184310288"/>
      <w:bookmarkEnd w:id="84"/>
      <w:bookmarkStart w:id="85" w:name="_Toc184310320"/>
      <w:bookmarkEnd w:id="85"/>
      <w:bookmarkStart w:id="86" w:name="_Toc184313266"/>
      <w:bookmarkEnd w:id="86"/>
      <w:bookmarkStart w:id="87" w:name="_Toc184310275"/>
      <w:bookmarkEnd w:id="87"/>
      <w:bookmarkStart w:id="88" w:name="_Toc184312067"/>
      <w:bookmarkEnd w:id="88"/>
      <w:bookmarkStart w:id="89" w:name="_Toc184314420"/>
      <w:bookmarkEnd w:id="89"/>
      <w:bookmarkStart w:id="90" w:name="_Toc184312081"/>
      <w:bookmarkEnd w:id="90"/>
      <w:bookmarkStart w:id="91" w:name="_Toc184312074"/>
      <w:bookmarkEnd w:id="91"/>
      <w:bookmarkStart w:id="92" w:name="_Toc184312104"/>
      <w:bookmarkEnd w:id="92"/>
      <w:bookmarkStart w:id="93" w:name="_Toc184313242"/>
      <w:bookmarkEnd w:id="93"/>
      <w:bookmarkStart w:id="94" w:name="_Toc184313259"/>
      <w:bookmarkEnd w:id="94"/>
      <w:bookmarkStart w:id="95" w:name="_Toc184312105"/>
      <w:bookmarkEnd w:id="95"/>
      <w:bookmarkStart w:id="96" w:name="_Toc184308085"/>
      <w:bookmarkEnd w:id="96"/>
      <w:bookmarkStart w:id="97" w:name="_Toc184314411"/>
      <w:bookmarkEnd w:id="97"/>
      <w:bookmarkStart w:id="98" w:name="_Toc184308072"/>
      <w:bookmarkEnd w:id="98"/>
      <w:bookmarkStart w:id="99" w:name="_Toc184310315"/>
      <w:bookmarkEnd w:id="99"/>
      <w:bookmarkStart w:id="100" w:name="_Toc184314434"/>
      <w:bookmarkEnd w:id="100"/>
      <w:bookmarkStart w:id="101" w:name="_Toc184312115"/>
      <w:bookmarkEnd w:id="101"/>
      <w:bookmarkStart w:id="102" w:name="_Toc184310319"/>
      <w:bookmarkEnd w:id="102"/>
      <w:bookmarkStart w:id="103" w:name="_Toc184308054"/>
      <w:bookmarkEnd w:id="103"/>
      <w:bookmarkStart w:id="104" w:name="_Toc184310287"/>
      <w:bookmarkEnd w:id="104"/>
      <w:bookmarkStart w:id="105" w:name="_Toc184310343"/>
      <w:bookmarkEnd w:id="105"/>
      <w:bookmarkStart w:id="106" w:name="_Toc184308039"/>
      <w:bookmarkEnd w:id="106"/>
      <w:bookmarkStart w:id="107" w:name="_Toc184308076"/>
      <w:bookmarkEnd w:id="107"/>
      <w:bookmarkStart w:id="108" w:name="_Toc184308077"/>
      <w:bookmarkEnd w:id="108"/>
      <w:bookmarkStart w:id="109" w:name="_Toc184310294"/>
      <w:bookmarkEnd w:id="109"/>
      <w:bookmarkStart w:id="110" w:name="_Toc184313238"/>
      <w:bookmarkEnd w:id="110"/>
      <w:bookmarkStart w:id="111" w:name="_Toc184312112"/>
      <w:bookmarkEnd w:id="111"/>
      <w:bookmarkStart w:id="112" w:name="_Toc184308087"/>
      <w:bookmarkEnd w:id="112"/>
      <w:bookmarkStart w:id="113" w:name="_Toc184314478"/>
      <w:bookmarkEnd w:id="113"/>
      <w:bookmarkStart w:id="114" w:name="_Toc184312126"/>
      <w:bookmarkEnd w:id="114"/>
      <w:bookmarkStart w:id="115" w:name="_Toc184310334"/>
      <w:bookmarkEnd w:id="115"/>
      <w:bookmarkStart w:id="116" w:name="_Toc184313265"/>
      <w:bookmarkEnd w:id="116"/>
      <w:bookmarkStart w:id="117" w:name="_Toc184312113"/>
      <w:bookmarkEnd w:id="117"/>
      <w:bookmarkStart w:id="118" w:name="_Toc184314440"/>
      <w:bookmarkEnd w:id="118"/>
      <w:bookmarkStart w:id="119" w:name="_Toc184313276"/>
      <w:bookmarkEnd w:id="119"/>
      <w:bookmarkStart w:id="120" w:name="_Toc184313278"/>
      <w:bookmarkEnd w:id="120"/>
      <w:bookmarkStart w:id="121" w:name="_Toc184314445"/>
      <w:bookmarkEnd w:id="121"/>
      <w:bookmarkStart w:id="122" w:name="_Toc184314474"/>
      <w:bookmarkEnd w:id="122"/>
      <w:bookmarkStart w:id="123" w:name="_Toc184313303"/>
      <w:bookmarkEnd w:id="123"/>
      <w:bookmarkStart w:id="124" w:name="_Toc184314422"/>
      <w:bookmarkEnd w:id="124"/>
      <w:bookmarkStart w:id="125" w:name="_Toc184314455"/>
      <w:bookmarkEnd w:id="125"/>
      <w:bookmarkStart w:id="126" w:name="_Toc184308053"/>
      <w:bookmarkEnd w:id="126"/>
      <w:bookmarkStart w:id="127" w:name="_Toc184313299"/>
      <w:bookmarkEnd w:id="127"/>
      <w:bookmarkStart w:id="128" w:name="_Toc184308061"/>
      <w:bookmarkEnd w:id="128"/>
      <w:bookmarkStart w:id="129" w:name="_Toc184310330"/>
      <w:bookmarkEnd w:id="129"/>
      <w:bookmarkStart w:id="130" w:name="_Toc184314482"/>
      <w:bookmarkEnd w:id="130"/>
      <w:bookmarkStart w:id="131" w:name="_Toc184310293"/>
      <w:bookmarkEnd w:id="131"/>
      <w:bookmarkStart w:id="132" w:name="_Toc184314459"/>
      <w:bookmarkEnd w:id="132"/>
      <w:bookmarkStart w:id="133" w:name="_Toc184314436"/>
      <w:bookmarkEnd w:id="133"/>
      <w:bookmarkStart w:id="134" w:name="_Toc184310283"/>
      <w:bookmarkEnd w:id="134"/>
      <w:bookmarkStart w:id="135" w:name="_Toc184313309"/>
      <w:bookmarkEnd w:id="135"/>
      <w:bookmarkStart w:id="136" w:name="_Toc184313250"/>
      <w:bookmarkEnd w:id="136"/>
      <w:bookmarkStart w:id="137" w:name="_Toc184312079"/>
      <w:bookmarkEnd w:id="137"/>
      <w:bookmarkStart w:id="138" w:name="_Toc184312076"/>
      <w:bookmarkEnd w:id="138"/>
      <w:bookmarkStart w:id="139" w:name="_Toc184314480"/>
      <w:bookmarkEnd w:id="139"/>
      <w:bookmarkStart w:id="140" w:name="_Toc184310303"/>
      <w:bookmarkEnd w:id="140"/>
      <w:bookmarkStart w:id="141" w:name="_Toc184310308"/>
      <w:bookmarkEnd w:id="141"/>
      <w:bookmarkStart w:id="142" w:name="_Toc184312075"/>
      <w:bookmarkEnd w:id="142"/>
      <w:bookmarkStart w:id="143" w:name="_Toc184308049"/>
      <w:bookmarkEnd w:id="143"/>
      <w:bookmarkStart w:id="144" w:name="_Toc184314462"/>
      <w:bookmarkEnd w:id="144"/>
      <w:bookmarkStart w:id="145" w:name="_Toc184313262"/>
      <w:bookmarkEnd w:id="145"/>
      <w:bookmarkStart w:id="146" w:name="_Toc184313279"/>
      <w:bookmarkEnd w:id="146"/>
      <w:bookmarkStart w:id="147" w:name="_Toc184308101"/>
      <w:bookmarkEnd w:id="147"/>
      <w:bookmarkStart w:id="148" w:name="_Toc184310292"/>
      <w:bookmarkEnd w:id="148"/>
      <w:bookmarkStart w:id="149" w:name="_Toc184308089"/>
      <w:bookmarkEnd w:id="149"/>
      <w:bookmarkStart w:id="150" w:name="_Toc184308094"/>
      <w:bookmarkEnd w:id="150"/>
      <w:bookmarkStart w:id="151" w:name="_Toc184308040"/>
      <w:bookmarkEnd w:id="151"/>
      <w:bookmarkStart w:id="152" w:name="_Toc184310307"/>
      <w:bookmarkEnd w:id="152"/>
      <w:bookmarkStart w:id="153" w:name="_Toc184308074"/>
      <w:bookmarkEnd w:id="153"/>
      <w:bookmarkStart w:id="154" w:name="_Toc184314421"/>
      <w:bookmarkEnd w:id="154"/>
      <w:bookmarkStart w:id="155" w:name="_Toc184308048"/>
      <w:bookmarkEnd w:id="155"/>
      <w:bookmarkStart w:id="156" w:name="_Toc184308070"/>
      <w:bookmarkEnd w:id="156"/>
      <w:bookmarkStart w:id="157" w:name="_Toc184314426"/>
      <w:bookmarkEnd w:id="157"/>
      <w:bookmarkStart w:id="158" w:name="_Toc184310335"/>
      <w:bookmarkEnd w:id="158"/>
      <w:bookmarkStart w:id="159" w:name="_Toc184314460"/>
      <w:bookmarkEnd w:id="159"/>
      <w:bookmarkStart w:id="160" w:name="_Toc184310341"/>
      <w:bookmarkEnd w:id="160"/>
      <w:bookmarkStart w:id="161" w:name="_Toc184314428"/>
      <w:bookmarkEnd w:id="161"/>
      <w:bookmarkStart w:id="162" w:name="_Toc184312134"/>
      <w:bookmarkEnd w:id="162"/>
      <w:bookmarkStart w:id="163" w:name="_Toc184314433"/>
      <w:bookmarkEnd w:id="163"/>
      <w:bookmarkStart w:id="164" w:name="_Toc184308102"/>
      <w:bookmarkEnd w:id="164"/>
      <w:bookmarkStart w:id="165" w:name="_Toc184312118"/>
      <w:bookmarkEnd w:id="165"/>
      <w:bookmarkStart w:id="166" w:name="_Toc184313246"/>
      <w:bookmarkEnd w:id="166"/>
      <w:bookmarkStart w:id="167" w:name="_Toc184313273"/>
      <w:bookmarkEnd w:id="167"/>
      <w:bookmarkStart w:id="168" w:name="_Toc184314470"/>
      <w:bookmarkEnd w:id="168"/>
      <w:bookmarkStart w:id="169" w:name="_Toc184314419"/>
      <w:bookmarkEnd w:id="169"/>
      <w:bookmarkStart w:id="170" w:name="_Toc184314469"/>
      <w:bookmarkEnd w:id="170"/>
      <w:bookmarkStart w:id="171" w:name="_Toc184314475"/>
      <w:bookmarkEnd w:id="171"/>
      <w:bookmarkStart w:id="172" w:name="_Toc184310344"/>
      <w:bookmarkEnd w:id="172"/>
      <w:bookmarkStart w:id="173" w:name="_Toc184308107"/>
      <w:bookmarkEnd w:id="173"/>
      <w:bookmarkStart w:id="174" w:name="_Toc184308058"/>
      <w:bookmarkEnd w:id="174"/>
      <w:bookmarkStart w:id="175" w:name="_Toc184310290"/>
      <w:bookmarkEnd w:id="175"/>
      <w:bookmarkStart w:id="176" w:name="_Toc184313287"/>
      <w:bookmarkEnd w:id="176"/>
      <w:bookmarkStart w:id="177" w:name="_Toc184308055"/>
      <w:bookmarkEnd w:id="177"/>
      <w:bookmarkStart w:id="178" w:name="_Toc184314412"/>
      <w:bookmarkEnd w:id="178"/>
      <w:bookmarkStart w:id="179" w:name="_Toc184314463"/>
      <w:bookmarkEnd w:id="179"/>
      <w:bookmarkStart w:id="180" w:name="_Toc184308064"/>
      <w:bookmarkEnd w:id="180"/>
      <w:bookmarkStart w:id="181" w:name="_Toc184308041"/>
      <w:bookmarkEnd w:id="181"/>
      <w:bookmarkStart w:id="182" w:name="_Toc184308078"/>
      <w:bookmarkEnd w:id="182"/>
      <w:bookmarkStart w:id="183" w:name="_Toc184313245"/>
      <w:bookmarkEnd w:id="183"/>
      <w:bookmarkStart w:id="184" w:name="_Toc184308097"/>
      <w:bookmarkEnd w:id="184"/>
      <w:bookmarkStart w:id="185" w:name="_Toc184312138"/>
      <w:bookmarkEnd w:id="185"/>
      <w:bookmarkStart w:id="186" w:name="_Toc184312122"/>
      <w:bookmarkEnd w:id="186"/>
      <w:bookmarkStart w:id="187" w:name="_Toc184312130"/>
      <w:bookmarkEnd w:id="187"/>
      <w:bookmarkStart w:id="188" w:name="_Toc184314444"/>
      <w:bookmarkEnd w:id="188"/>
      <w:bookmarkStart w:id="189" w:name="_Toc184310311"/>
      <w:bookmarkEnd w:id="189"/>
      <w:bookmarkStart w:id="190" w:name="_Toc184313252"/>
      <w:bookmarkEnd w:id="190"/>
      <w:bookmarkStart w:id="191" w:name="_Toc184314477"/>
      <w:bookmarkEnd w:id="191"/>
      <w:bookmarkStart w:id="192" w:name="_Toc184310282"/>
      <w:bookmarkEnd w:id="192"/>
      <w:bookmarkStart w:id="193" w:name="_Toc184308065"/>
      <w:bookmarkEnd w:id="193"/>
      <w:bookmarkStart w:id="194" w:name="_Toc184308108"/>
      <w:bookmarkEnd w:id="194"/>
      <w:bookmarkStart w:id="195" w:name="_Toc184314441"/>
      <w:bookmarkEnd w:id="195"/>
      <w:bookmarkStart w:id="196" w:name="_Toc184312087"/>
      <w:bookmarkEnd w:id="196"/>
      <w:bookmarkStart w:id="197" w:name="_Toc184314466"/>
      <w:bookmarkEnd w:id="197"/>
      <w:bookmarkStart w:id="198" w:name="_Toc184310342"/>
      <w:bookmarkEnd w:id="198"/>
      <w:bookmarkStart w:id="199" w:name="_Toc184313307"/>
      <w:bookmarkEnd w:id="199"/>
      <w:bookmarkStart w:id="200" w:name="_Toc184310332"/>
      <w:bookmarkEnd w:id="200"/>
      <w:bookmarkStart w:id="201" w:name="_Toc184310339"/>
      <w:bookmarkEnd w:id="201"/>
      <w:bookmarkStart w:id="202" w:name="_Toc184308046"/>
      <w:bookmarkEnd w:id="202"/>
      <w:bookmarkStart w:id="203" w:name="_Toc184313277"/>
      <w:bookmarkEnd w:id="203"/>
      <w:bookmarkStart w:id="204" w:name="_Toc184313293"/>
      <w:bookmarkEnd w:id="204"/>
      <w:bookmarkStart w:id="205" w:name="_Toc184314432"/>
      <w:bookmarkEnd w:id="205"/>
      <w:bookmarkStart w:id="206" w:name="_Toc184314471"/>
      <w:bookmarkEnd w:id="206"/>
      <w:bookmarkStart w:id="207" w:name="_Toc184310304"/>
      <w:bookmarkEnd w:id="207"/>
      <w:bookmarkStart w:id="208" w:name="_Toc184308080"/>
      <w:bookmarkEnd w:id="208"/>
      <w:bookmarkStart w:id="209" w:name="_Toc184312114"/>
      <w:bookmarkEnd w:id="209"/>
      <w:bookmarkStart w:id="210" w:name="_Toc184310302"/>
      <w:bookmarkEnd w:id="210"/>
      <w:bookmarkStart w:id="211" w:name="_Toc184314449"/>
      <w:bookmarkEnd w:id="211"/>
      <w:bookmarkStart w:id="212" w:name="_Toc184312080"/>
      <w:bookmarkEnd w:id="212"/>
      <w:bookmarkStart w:id="213" w:name="_Toc184312139"/>
      <w:bookmarkEnd w:id="213"/>
      <w:bookmarkStart w:id="214" w:name="_Toc184314413"/>
      <w:bookmarkEnd w:id="214"/>
      <w:bookmarkStart w:id="215" w:name="_Toc184312100"/>
      <w:bookmarkEnd w:id="215"/>
      <w:bookmarkStart w:id="216" w:name="_Toc184313282"/>
      <w:bookmarkEnd w:id="216"/>
      <w:bookmarkStart w:id="217" w:name="_Toc184308042"/>
      <w:bookmarkEnd w:id="217"/>
      <w:bookmarkStart w:id="218" w:name="_Toc184312101"/>
      <w:bookmarkEnd w:id="218"/>
      <w:bookmarkStart w:id="219" w:name="_Toc184308088"/>
      <w:bookmarkEnd w:id="219"/>
      <w:bookmarkStart w:id="220" w:name="_Toc184313286"/>
      <w:bookmarkEnd w:id="220"/>
      <w:bookmarkStart w:id="221" w:name="_Toc184313308"/>
      <w:bookmarkEnd w:id="221"/>
      <w:bookmarkStart w:id="222" w:name="_Toc184310316"/>
      <w:bookmarkEnd w:id="222"/>
      <w:bookmarkStart w:id="223" w:name="_Toc184308105"/>
      <w:bookmarkEnd w:id="223"/>
      <w:bookmarkStart w:id="224" w:name="_Toc184313253"/>
      <w:bookmarkEnd w:id="224"/>
      <w:bookmarkStart w:id="225" w:name="_Toc184312128"/>
      <w:bookmarkEnd w:id="225"/>
      <w:bookmarkStart w:id="226" w:name="_Toc184310314"/>
      <w:bookmarkEnd w:id="226"/>
      <w:bookmarkStart w:id="227" w:name="_Toc184312071"/>
      <w:bookmarkEnd w:id="227"/>
      <w:bookmarkStart w:id="228" w:name="_Toc184312092"/>
      <w:bookmarkEnd w:id="228"/>
      <w:bookmarkStart w:id="229" w:name="_Toc184312073"/>
      <w:bookmarkEnd w:id="229"/>
      <w:bookmarkStart w:id="230" w:name="_Toc184314431"/>
      <w:bookmarkEnd w:id="230"/>
      <w:bookmarkStart w:id="231" w:name="_Toc184312068"/>
      <w:bookmarkEnd w:id="231"/>
      <w:bookmarkStart w:id="232" w:name="_Toc184313243"/>
      <w:bookmarkEnd w:id="232"/>
      <w:bookmarkStart w:id="233" w:name="_Toc184308099"/>
      <w:bookmarkEnd w:id="233"/>
      <w:bookmarkStart w:id="234" w:name="_Toc184308066"/>
      <w:bookmarkEnd w:id="234"/>
      <w:bookmarkStart w:id="235" w:name="_Toc184314464"/>
      <w:bookmarkEnd w:id="235"/>
      <w:bookmarkStart w:id="236" w:name="_Toc184314448"/>
      <w:bookmarkEnd w:id="236"/>
      <w:bookmarkStart w:id="237" w:name="_Toc184308056"/>
      <w:bookmarkEnd w:id="237"/>
      <w:bookmarkStart w:id="238" w:name="_Toc184310279"/>
      <w:bookmarkEnd w:id="238"/>
      <w:bookmarkStart w:id="239" w:name="_Toc184314472"/>
      <w:bookmarkEnd w:id="239"/>
      <w:bookmarkStart w:id="240" w:name="_Toc184312117"/>
      <w:bookmarkEnd w:id="240"/>
      <w:bookmarkStart w:id="241" w:name="_Toc184310327"/>
      <w:bookmarkEnd w:id="241"/>
      <w:bookmarkStart w:id="242" w:name="_Toc184312111"/>
      <w:bookmarkEnd w:id="242"/>
      <w:bookmarkStart w:id="243" w:name="_Toc184312089"/>
      <w:bookmarkEnd w:id="243"/>
      <w:bookmarkStart w:id="244" w:name="_Toc184312132"/>
      <w:bookmarkEnd w:id="244"/>
      <w:bookmarkStart w:id="245" w:name="_Toc184313283"/>
      <w:bookmarkEnd w:id="245"/>
      <w:bookmarkStart w:id="246" w:name="_Toc184310338"/>
      <w:bookmarkEnd w:id="246"/>
      <w:bookmarkStart w:id="247" w:name="_Toc184310305"/>
      <w:bookmarkEnd w:id="247"/>
      <w:bookmarkStart w:id="248" w:name="_Toc184313241"/>
      <w:bookmarkEnd w:id="248"/>
      <w:bookmarkStart w:id="249" w:name="_Toc184312135"/>
      <w:bookmarkEnd w:id="249"/>
      <w:bookmarkStart w:id="250" w:name="_Toc184314435"/>
      <w:bookmarkEnd w:id="250"/>
      <w:bookmarkStart w:id="251" w:name="_Toc184313255"/>
      <w:bookmarkEnd w:id="251"/>
      <w:bookmarkStart w:id="252" w:name="_Toc184314410"/>
      <w:bookmarkEnd w:id="252"/>
      <w:bookmarkStart w:id="253" w:name="_Toc184314416"/>
      <w:bookmarkEnd w:id="253"/>
      <w:bookmarkStart w:id="254" w:name="_Toc184314465"/>
      <w:bookmarkEnd w:id="254"/>
      <w:bookmarkStart w:id="255" w:name="_Toc184308093"/>
      <w:bookmarkEnd w:id="255"/>
      <w:bookmarkStart w:id="256" w:name="_Toc184310291"/>
      <w:bookmarkEnd w:id="256"/>
      <w:bookmarkStart w:id="257" w:name="_Toc184308100"/>
      <w:bookmarkEnd w:id="257"/>
      <w:bookmarkStart w:id="258" w:name="_Toc184310280"/>
      <w:bookmarkEnd w:id="258"/>
      <w:bookmarkStart w:id="259" w:name="_Toc184308038"/>
      <w:bookmarkEnd w:id="259"/>
      <w:bookmarkStart w:id="260" w:name="_Toc184308083"/>
      <w:bookmarkEnd w:id="260"/>
      <w:bookmarkStart w:id="261" w:name="_Toc184310336"/>
      <w:bookmarkEnd w:id="261"/>
      <w:bookmarkStart w:id="262" w:name="_Toc184308082"/>
      <w:bookmarkEnd w:id="262"/>
      <w:bookmarkStart w:id="263" w:name="_Toc184308052"/>
      <w:bookmarkEnd w:id="263"/>
      <w:bookmarkStart w:id="264" w:name="_Toc184313304"/>
      <w:bookmarkEnd w:id="264"/>
      <w:bookmarkStart w:id="265" w:name="_Toc184312124"/>
      <w:bookmarkEnd w:id="265"/>
      <w:bookmarkStart w:id="266" w:name="_Toc184312116"/>
      <w:bookmarkEnd w:id="266"/>
      <w:bookmarkStart w:id="267" w:name="_Toc184308037"/>
      <w:bookmarkEnd w:id="267"/>
      <w:bookmarkStart w:id="268" w:name="_Toc184312095"/>
      <w:bookmarkEnd w:id="268"/>
      <w:bookmarkStart w:id="269" w:name="_Toc184314418"/>
      <w:bookmarkEnd w:id="269"/>
      <w:bookmarkStart w:id="270" w:name="_Toc184310298"/>
      <w:bookmarkEnd w:id="270"/>
      <w:bookmarkStart w:id="271" w:name="_Toc184314450"/>
      <w:bookmarkEnd w:id="271"/>
      <w:bookmarkStart w:id="272" w:name="_Toc184308062"/>
      <w:bookmarkEnd w:id="272"/>
      <w:bookmarkStart w:id="273" w:name="_Toc184310289"/>
      <w:bookmarkEnd w:id="273"/>
      <w:bookmarkStart w:id="274" w:name="_Toc184314461"/>
      <w:bookmarkEnd w:id="274"/>
      <w:bookmarkStart w:id="275" w:name="_Toc184308063"/>
      <w:bookmarkEnd w:id="275"/>
      <w:bookmarkStart w:id="276" w:name="_Toc184308079"/>
      <w:bookmarkEnd w:id="276"/>
      <w:bookmarkStart w:id="277" w:name="_Toc184308043"/>
      <w:bookmarkEnd w:id="277"/>
      <w:bookmarkStart w:id="278" w:name="_Toc184310325"/>
      <w:bookmarkEnd w:id="278"/>
      <w:bookmarkStart w:id="279" w:name="_Toc184313289"/>
      <w:bookmarkEnd w:id="279"/>
      <w:bookmarkStart w:id="280" w:name="_Toc184313258"/>
      <w:bookmarkEnd w:id="280"/>
      <w:bookmarkStart w:id="281" w:name="_Toc184314438"/>
      <w:bookmarkEnd w:id="281"/>
      <w:bookmarkStart w:id="282" w:name="_Toc184308050"/>
      <w:bookmarkEnd w:id="282"/>
      <w:bookmarkStart w:id="283" w:name="_Toc184310299"/>
      <w:bookmarkEnd w:id="283"/>
      <w:bookmarkStart w:id="284" w:name="_Toc184310333"/>
      <w:bookmarkEnd w:id="284"/>
      <w:bookmarkStart w:id="285" w:name="_Toc184308051"/>
      <w:bookmarkEnd w:id="285"/>
      <w:bookmarkStart w:id="286" w:name="_Toc184314414"/>
      <w:bookmarkEnd w:id="286"/>
      <w:bookmarkStart w:id="287" w:name="_Toc184310297"/>
      <w:bookmarkEnd w:id="287"/>
      <w:bookmarkStart w:id="288" w:name="_Toc184308047"/>
      <w:bookmarkEnd w:id="288"/>
      <w:bookmarkStart w:id="289" w:name="_Toc184310340"/>
      <w:bookmarkEnd w:id="289"/>
      <w:bookmarkStart w:id="290" w:name="_Toc184313298"/>
      <w:bookmarkEnd w:id="290"/>
      <w:bookmarkStart w:id="291" w:name="_Toc184308091"/>
      <w:bookmarkEnd w:id="291"/>
      <w:bookmarkStart w:id="292" w:name="_Toc184314481"/>
      <w:bookmarkEnd w:id="292"/>
      <w:bookmarkStart w:id="293" w:name="_Toc184312133"/>
      <w:bookmarkEnd w:id="293"/>
      <w:bookmarkStart w:id="294" w:name="_Toc184312102"/>
      <w:bookmarkEnd w:id="294"/>
      <w:bookmarkStart w:id="295" w:name="_Toc184313272"/>
      <w:bookmarkEnd w:id="295"/>
      <w:bookmarkStart w:id="296" w:name="_Toc184310321"/>
      <w:bookmarkEnd w:id="296"/>
      <w:bookmarkStart w:id="297" w:name="_Toc184310318"/>
      <w:bookmarkEnd w:id="297"/>
      <w:bookmarkStart w:id="298" w:name="_Toc184313254"/>
      <w:bookmarkEnd w:id="298"/>
      <w:bookmarkStart w:id="299" w:name="_Toc184312129"/>
      <w:bookmarkEnd w:id="299"/>
      <w:bookmarkStart w:id="300" w:name="_Toc184310328"/>
      <w:bookmarkEnd w:id="300"/>
      <w:bookmarkStart w:id="301" w:name="_Toc184314447"/>
      <w:bookmarkEnd w:id="301"/>
      <w:bookmarkStart w:id="302" w:name="_Toc184313240"/>
      <w:bookmarkEnd w:id="302"/>
      <w:bookmarkStart w:id="303" w:name="_Toc184312097"/>
      <w:bookmarkEnd w:id="303"/>
      <w:bookmarkStart w:id="304" w:name="_Toc184308090"/>
      <w:bookmarkEnd w:id="304"/>
      <w:bookmarkStart w:id="305" w:name="_Toc184312072"/>
      <w:bookmarkEnd w:id="305"/>
      <w:bookmarkStart w:id="306" w:name="_Toc184312091"/>
      <w:bookmarkEnd w:id="306"/>
      <w:bookmarkStart w:id="307" w:name="_Toc184313268"/>
      <w:bookmarkEnd w:id="307"/>
      <w:bookmarkStart w:id="308" w:name="_Toc184314479"/>
      <w:bookmarkEnd w:id="308"/>
      <w:bookmarkStart w:id="309" w:name="_Toc184313248"/>
      <w:bookmarkEnd w:id="309"/>
      <w:bookmarkStart w:id="310" w:name="_Toc184310284"/>
      <w:bookmarkEnd w:id="310"/>
      <w:bookmarkStart w:id="311" w:name="_Toc184308095"/>
      <w:bookmarkEnd w:id="311"/>
      <w:bookmarkStart w:id="312" w:name="_Toc184313306"/>
      <w:bookmarkEnd w:id="312"/>
      <w:bookmarkStart w:id="313" w:name="_Toc184308073"/>
      <w:bookmarkEnd w:id="313"/>
      <w:bookmarkStart w:id="314" w:name="_Toc184310306"/>
      <w:bookmarkEnd w:id="314"/>
      <w:bookmarkStart w:id="315" w:name="_Toc184313267"/>
      <w:bookmarkEnd w:id="315"/>
      <w:bookmarkStart w:id="316" w:name="_Toc184312090"/>
      <w:bookmarkEnd w:id="316"/>
      <w:bookmarkStart w:id="317" w:name="_Toc184313280"/>
      <w:bookmarkEnd w:id="317"/>
      <w:bookmarkStart w:id="318" w:name="_Toc184312070"/>
      <w:bookmarkEnd w:id="318"/>
      <w:bookmarkStart w:id="319" w:name="_Toc184312078"/>
      <w:bookmarkEnd w:id="319"/>
      <w:bookmarkStart w:id="320" w:name="_Toc184313305"/>
      <w:bookmarkEnd w:id="320"/>
      <w:bookmarkStart w:id="321" w:name="_Toc184313297"/>
      <w:bookmarkEnd w:id="321"/>
      <w:bookmarkStart w:id="322" w:name="_Toc184314451"/>
      <w:bookmarkEnd w:id="322"/>
      <w:bookmarkStart w:id="323" w:name="_Toc184314442"/>
      <w:bookmarkEnd w:id="323"/>
      <w:bookmarkStart w:id="324" w:name="_Toc184313296"/>
      <w:bookmarkEnd w:id="324"/>
      <w:bookmarkStart w:id="325" w:name="_Toc184313270"/>
      <w:bookmarkEnd w:id="325"/>
      <w:bookmarkStart w:id="326" w:name="_Toc184314458"/>
      <w:bookmarkEnd w:id="326"/>
      <w:bookmarkStart w:id="327" w:name="_Toc184308084"/>
      <w:bookmarkEnd w:id="327"/>
      <w:bookmarkStart w:id="328" w:name="_Toc184308069"/>
      <w:bookmarkEnd w:id="328"/>
      <w:bookmarkStart w:id="329" w:name="_Toc184308106"/>
      <w:bookmarkEnd w:id="329"/>
      <w:bookmarkStart w:id="330" w:name="_Toc184314468"/>
      <w:bookmarkEnd w:id="330"/>
      <w:bookmarkStart w:id="331" w:name="_Toc184313292"/>
      <w:bookmarkEnd w:id="331"/>
      <w:bookmarkStart w:id="332" w:name="_Toc184310276"/>
      <w:bookmarkEnd w:id="332"/>
      <w:bookmarkStart w:id="333" w:name="_Toc184308036"/>
      <w:bookmarkEnd w:id="333"/>
      <w:bookmarkStart w:id="334" w:name="_Toc184314456"/>
      <w:bookmarkEnd w:id="334"/>
      <w:bookmarkStart w:id="335" w:name="_Toc184312120"/>
      <w:bookmarkEnd w:id="335"/>
      <w:bookmarkStart w:id="336" w:name="_Toc184308060"/>
      <w:bookmarkEnd w:id="336"/>
      <w:bookmarkStart w:id="337" w:name="_Toc184313281"/>
      <w:bookmarkEnd w:id="337"/>
      <w:bookmarkStart w:id="338" w:name="_Toc184312121"/>
      <w:bookmarkEnd w:id="338"/>
      <w:bookmarkStart w:id="339" w:name="_Toc184312125"/>
      <w:bookmarkEnd w:id="339"/>
      <w:bookmarkStart w:id="340" w:name="_Toc184312082"/>
      <w:bookmarkEnd w:id="340"/>
      <w:bookmarkStart w:id="341" w:name="_Toc184313256"/>
      <w:bookmarkEnd w:id="341"/>
      <w:bookmarkStart w:id="342" w:name="_Toc184310295"/>
      <w:bookmarkEnd w:id="342"/>
      <w:bookmarkStart w:id="343" w:name="_Toc184313263"/>
      <w:bookmarkEnd w:id="343"/>
      <w:bookmarkStart w:id="344" w:name="_Toc184310322"/>
      <w:bookmarkEnd w:id="344"/>
      <w:bookmarkStart w:id="345" w:name="_Toc184308057"/>
      <w:bookmarkEnd w:id="345"/>
      <w:bookmarkStart w:id="346" w:name="_Toc184310312"/>
      <w:bookmarkEnd w:id="346"/>
      <w:bookmarkStart w:id="347" w:name="_Toc184313264"/>
      <w:bookmarkEnd w:id="347"/>
      <w:bookmarkStart w:id="348" w:name="_Toc184308075"/>
      <w:bookmarkEnd w:id="348"/>
      <w:bookmarkStart w:id="349" w:name="_Toc184313285"/>
      <w:bookmarkEnd w:id="349"/>
      <w:bookmarkStart w:id="350" w:name="_Toc184313294"/>
      <w:bookmarkEnd w:id="350"/>
      <w:bookmarkStart w:id="351" w:name="_Toc184313249"/>
      <w:bookmarkEnd w:id="351"/>
      <w:bookmarkStart w:id="352" w:name="_Toc184312136"/>
      <w:bookmarkEnd w:id="352"/>
      <w:bookmarkStart w:id="353" w:name="_Toc184312098"/>
      <w:bookmarkEnd w:id="353"/>
      <w:bookmarkStart w:id="354" w:name="_Toc184308044"/>
      <w:bookmarkEnd w:id="354"/>
      <w:bookmarkStart w:id="355" w:name="_Toc184314454"/>
      <w:bookmarkEnd w:id="355"/>
      <w:bookmarkStart w:id="356" w:name="_Toc184314424"/>
      <w:bookmarkEnd w:id="356"/>
      <w:bookmarkStart w:id="357" w:name="_Toc184313261"/>
      <w:bookmarkEnd w:id="357"/>
      <w:bookmarkStart w:id="358" w:name="_Toc184313301"/>
      <w:bookmarkEnd w:id="358"/>
      <w:bookmarkStart w:id="359" w:name="_Toc184312099"/>
      <w:bookmarkEnd w:id="359"/>
      <w:bookmarkStart w:id="360" w:name="_Toc184312108"/>
      <w:bookmarkEnd w:id="360"/>
      <w:bookmarkStart w:id="361" w:name="_Toc184312093"/>
      <w:bookmarkEnd w:id="361"/>
      <w:bookmarkStart w:id="362" w:name="_Toc184312131"/>
      <w:bookmarkEnd w:id="362"/>
      <w:bookmarkStart w:id="363" w:name="_Toc184308096"/>
      <w:bookmarkEnd w:id="363"/>
      <w:bookmarkStart w:id="364" w:name="_Toc184314443"/>
      <w:bookmarkEnd w:id="364"/>
      <w:bookmarkStart w:id="365" w:name="_Toc184313295"/>
      <w:bookmarkEnd w:id="365"/>
      <w:bookmarkStart w:id="366" w:name="_Toc184310285"/>
      <w:bookmarkEnd w:id="366"/>
      <w:bookmarkStart w:id="367" w:name="_Toc184312123"/>
      <w:bookmarkEnd w:id="367"/>
      <w:bookmarkStart w:id="368" w:name="_Toc184308081"/>
      <w:bookmarkEnd w:id="368"/>
      <w:bookmarkStart w:id="369" w:name="_Toc184314430"/>
      <w:bookmarkEnd w:id="369"/>
      <w:bookmarkStart w:id="370" w:name="_Toc184312127"/>
      <w:bookmarkEnd w:id="370"/>
      <w:bookmarkStart w:id="371" w:name="_Toc184313257"/>
      <w:bookmarkEnd w:id="371"/>
      <w:bookmarkStart w:id="372" w:name="_Toc184314476"/>
      <w:bookmarkEnd w:id="372"/>
      <w:bookmarkStart w:id="373" w:name="_Toc184312077"/>
      <w:bookmarkEnd w:id="373"/>
      <w:bookmarkStart w:id="374" w:name="_Toc184314457"/>
      <w:bookmarkEnd w:id="374"/>
      <w:bookmarkStart w:id="375" w:name="_Toc184310273"/>
      <w:bookmarkEnd w:id="375"/>
      <w:bookmarkStart w:id="376" w:name="_Toc184312096"/>
      <w:bookmarkEnd w:id="376"/>
      <w:bookmarkStart w:id="377" w:name="_Toc184313260"/>
      <w:bookmarkEnd w:id="377"/>
      <w:bookmarkStart w:id="378" w:name="_Toc184310277"/>
      <w:bookmarkEnd w:id="378"/>
      <w:bookmarkStart w:id="379" w:name="_Toc184313275"/>
      <w:bookmarkEnd w:id="379"/>
      <w:bookmarkStart w:id="380" w:name="_Toc184308071"/>
      <w:bookmarkEnd w:id="380"/>
      <w:bookmarkStart w:id="381" w:name="_Toc184314439"/>
      <w:bookmarkEnd w:id="381"/>
      <w:bookmarkStart w:id="382" w:name="_Toc184310274"/>
      <w:bookmarkEnd w:id="382"/>
      <w:bookmarkStart w:id="383" w:name="_Toc184313291"/>
      <w:bookmarkEnd w:id="383"/>
      <w:bookmarkStart w:id="384" w:name="_Toc184308067"/>
      <w:bookmarkEnd w:id="384"/>
      <w:bookmarkStart w:id="385" w:name="_Toc184313288"/>
      <w:bookmarkEnd w:id="385"/>
      <w:bookmarkStart w:id="386" w:name="_Toc184312119"/>
      <w:bookmarkEnd w:id="386"/>
      <w:bookmarkStart w:id="387" w:name="_Toc184310309"/>
      <w:bookmarkEnd w:id="387"/>
      <w:bookmarkStart w:id="388" w:name="_Toc184310301"/>
      <w:bookmarkEnd w:id="388"/>
      <w:bookmarkStart w:id="389" w:name="_Toc184314423"/>
      <w:bookmarkEnd w:id="389"/>
      <w:bookmarkStart w:id="390" w:name="_Toc184308059"/>
      <w:bookmarkEnd w:id="390"/>
      <w:bookmarkStart w:id="391" w:name="_Toc184308103"/>
      <w:bookmarkEnd w:id="391"/>
      <w:bookmarkStart w:id="392" w:name="_Toc184313302"/>
      <w:bookmarkEnd w:id="392"/>
      <w:r>
        <w:rPr>
          <w:rFonts w:hint="eastAsia" w:ascii="仿宋" w:hAnsi="仿宋" w:eastAsia="仿宋" w:cs="仿宋"/>
          <w:b/>
          <w:color w:val="000000" w:themeColor="text1"/>
          <w:sz w:val="36"/>
          <w:szCs w:val="36"/>
          <w:highlight w:val="none"/>
          <w14:textFill>
            <w14:solidFill>
              <w14:schemeClr w14:val="tx1"/>
            </w14:solidFill>
          </w14:textFill>
        </w:rPr>
        <w:t>评标办法</w:t>
      </w:r>
    </w:p>
    <w:p w14:paraId="5030C21D">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019"/>
        <w:gridCol w:w="725"/>
      </w:tblGrid>
      <w:tr w14:paraId="6FB3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8" w:type="pct"/>
            <w:vAlign w:val="center"/>
          </w:tcPr>
          <w:p w14:paraId="1B166B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序号</w:t>
            </w:r>
          </w:p>
        </w:tc>
        <w:tc>
          <w:tcPr>
            <w:tcW w:w="4134" w:type="pct"/>
            <w:vAlign w:val="center"/>
          </w:tcPr>
          <w:p w14:paraId="5D495B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评标标准</w:t>
            </w:r>
          </w:p>
        </w:tc>
        <w:tc>
          <w:tcPr>
            <w:tcW w:w="427" w:type="pct"/>
            <w:vAlign w:val="center"/>
          </w:tcPr>
          <w:p w14:paraId="443FEA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权重</w:t>
            </w:r>
          </w:p>
        </w:tc>
      </w:tr>
      <w:tr w14:paraId="2430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47941D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tc>
        <w:tc>
          <w:tcPr>
            <w:tcW w:w="4134" w:type="pct"/>
            <w:vAlign w:val="center"/>
          </w:tcPr>
          <w:p w14:paraId="559DA86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zh-CN"/>
                <w14:textFill>
                  <w14:solidFill>
                    <w14:schemeClr w14:val="tx1"/>
                  </w14:solidFill>
                </w14:textFill>
              </w:rPr>
              <w:t>0］的计算公式计算。</w:t>
            </w:r>
          </w:p>
          <w:p w14:paraId="1386ECB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评标过程中，不得去掉报价中的最高报价和最低报价。</w:t>
            </w:r>
          </w:p>
        </w:tc>
        <w:tc>
          <w:tcPr>
            <w:tcW w:w="427" w:type="pct"/>
            <w:vAlign w:val="center"/>
          </w:tcPr>
          <w:p w14:paraId="22FF3D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r>
      <w:tr w14:paraId="2F95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3108B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4134" w:type="pct"/>
            <w:vAlign w:val="center"/>
          </w:tcPr>
          <w:p w14:paraId="586DA29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【客观分】业绩：</w:t>
            </w:r>
          </w:p>
          <w:p w14:paraId="257FA11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202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年1月1日</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以来投标人承担类似项目情况，参考合同复印件或验收报告复印件等项目实例证明，每个得0.5分，最高</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得</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1分。</w:t>
            </w:r>
          </w:p>
          <w:p w14:paraId="63B4C9E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证明材料：需体现项目名称、项目内容、项目时间、甲乙双方（以公章为准）。</w:t>
            </w:r>
          </w:p>
        </w:tc>
        <w:tc>
          <w:tcPr>
            <w:tcW w:w="427" w:type="pct"/>
            <w:vAlign w:val="center"/>
          </w:tcPr>
          <w:p w14:paraId="6B8446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r>
      <w:tr w14:paraId="2955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3CDFD3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4134" w:type="pct"/>
            <w:vAlign w:val="center"/>
          </w:tcPr>
          <w:p w14:paraId="0FD4033C">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【客观分】</w:t>
            </w:r>
          </w:p>
          <w:p w14:paraId="0B0810C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投标人已取得并在有效期内的质量管理体系认证证书、信息安全管理体系认证证书、信息技术服务体系认证证书。每个</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分，最高得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未取得或未提供不得分。</w:t>
            </w:r>
          </w:p>
        </w:tc>
        <w:tc>
          <w:tcPr>
            <w:tcW w:w="427" w:type="pct"/>
            <w:vAlign w:val="center"/>
          </w:tcPr>
          <w:p w14:paraId="167A22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14:paraId="0837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28D4A0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4134" w:type="pct"/>
            <w:vAlign w:val="center"/>
          </w:tcPr>
          <w:p w14:paraId="33F8C8C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项目团队</w:t>
            </w:r>
          </w:p>
        </w:tc>
        <w:tc>
          <w:tcPr>
            <w:tcW w:w="427" w:type="pct"/>
            <w:vAlign w:val="center"/>
          </w:tcPr>
          <w:p w14:paraId="29A2A8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6D5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15C777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w:t>
            </w:r>
          </w:p>
        </w:tc>
        <w:tc>
          <w:tcPr>
            <w:tcW w:w="4134" w:type="pct"/>
            <w:vAlign w:val="center"/>
          </w:tcPr>
          <w:p w14:paraId="23CD72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项目负责人：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需提供项目负责人社保证明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材料</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0B0C92C1">
            <w:pPr>
              <w:keepNext w:val="0"/>
              <w:keepLines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0" w:beforeLines="0" w:beforeAutospacing="0" w:after="0" w:afterLines="0" w:afterAutospacing="0"/>
              <w:ind w:left="0" w:right="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拟担任本</w:t>
            </w:r>
            <w:r>
              <w:rPr>
                <w:rFonts w:hint="eastAsia" w:ascii="仿宋" w:hAnsi="仿宋" w:eastAsia="仿宋" w:cs="仿宋"/>
                <w:color w:val="000000" w:themeColor="text1"/>
                <w:sz w:val="24"/>
                <w:highlight w:val="none"/>
                <w14:textFill>
                  <w14:solidFill>
                    <w14:schemeClr w14:val="tx1"/>
                  </w14:solidFill>
                </w14:textFill>
              </w:rPr>
              <w:t>项目负责人具有信息系统项目管理师证书</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系统架构设计师</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lang w:eastAsia="zh-CN"/>
                <w14:textFill>
                  <w14:solidFill>
                    <w14:schemeClr w14:val="tx1"/>
                  </w14:solidFill>
                </w14:textFill>
                <w:woUserID w:val="1"/>
              </w:rPr>
              <w:t>或</w:t>
            </w:r>
            <w:r>
              <w:rPr>
                <w:rFonts w:hint="eastAsia" w:ascii="仿宋" w:hAnsi="仿宋" w:eastAsia="仿宋" w:cs="仿宋"/>
                <w:color w:val="000000" w:themeColor="text1"/>
                <w:sz w:val="24"/>
                <w:highlight w:val="none"/>
                <w14:textFill>
                  <w14:solidFill>
                    <w14:schemeClr w14:val="tx1"/>
                  </w14:solidFill>
                </w14:textFill>
              </w:rPr>
              <w:t>系统规</w:t>
            </w:r>
            <w:r>
              <w:rPr>
                <w:rFonts w:hint="eastAsia" w:ascii="仿宋" w:hAnsi="仿宋" w:eastAsia="仿宋" w:cs="仿宋"/>
                <w:color w:val="000000" w:themeColor="text1"/>
                <w:sz w:val="24"/>
                <w:highlight w:val="none"/>
                <w:lang w:val="en-US" w:eastAsia="zh-CN"/>
                <w14:textFill>
                  <w14:solidFill>
                    <w14:schemeClr w14:val="tx1"/>
                  </w14:solidFill>
                </w14:textFill>
              </w:rPr>
              <w:t>划与管理师证书得2分</w:t>
            </w:r>
            <w:r>
              <w:rPr>
                <w:rFonts w:hint="eastAsia" w:ascii="仿宋" w:hAnsi="仿宋" w:eastAsia="仿宋" w:cs="仿宋"/>
                <w:color w:val="000000" w:themeColor="text1"/>
                <w:sz w:val="24"/>
                <w:highlight w:val="none"/>
                <w:lang w:eastAsia="zh-CN"/>
                <w14:textFill>
                  <w14:solidFill>
                    <w14:schemeClr w14:val="tx1"/>
                  </w14:solidFill>
                </w14:textFill>
                <w:woUserID w:val="1"/>
              </w:rPr>
              <w:t>；</w:t>
            </w:r>
            <w:r>
              <w:rPr>
                <w:rFonts w:hint="eastAsia" w:ascii="仿宋" w:hAnsi="仿宋" w:eastAsia="仿宋" w:cs="仿宋"/>
                <w:color w:val="000000" w:themeColor="text1"/>
                <w:sz w:val="24"/>
                <w:highlight w:val="none"/>
                <w:lang w:val="en-US" w:eastAsia="zh-CN"/>
                <w14:textFill>
                  <w14:solidFill>
                    <w14:schemeClr w14:val="tx1"/>
                  </w14:solidFill>
                </w14:textFill>
              </w:rPr>
              <w:t>具有信息系统管理工程师证书、</w:t>
            </w:r>
            <w:r>
              <w:rPr>
                <w:rFonts w:hint="eastAsia" w:ascii="仿宋" w:hAnsi="仿宋" w:eastAsia="仿宋" w:cs="仿宋"/>
                <w:color w:val="000000" w:themeColor="text1"/>
                <w:sz w:val="24"/>
                <w:highlight w:val="none"/>
                <w:lang w:val="zh-CN" w:eastAsia="zh-CN"/>
                <w14:textFill>
                  <w14:solidFill>
                    <w14:schemeClr w14:val="tx1"/>
                  </w14:solidFill>
                </w14:textFill>
              </w:rPr>
              <w:t>系统集成项目管理工程师</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lang w:val="zh-CN" w:eastAsia="zh-CN"/>
                <w14:textFill>
                  <w14:solidFill>
                    <w14:schemeClr w14:val="tx1"/>
                  </w14:solidFill>
                </w14:textFill>
              </w:rPr>
              <w:t>、数据库系统工程师</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lang w:val="zh-CN" w:eastAsia="zh-CN"/>
                <w14:textFill>
                  <w14:solidFill>
                    <w14:schemeClr w14:val="tx1"/>
                  </w14:solidFill>
                </w14:textFill>
              </w:rPr>
              <w:t>、信息安全工程师</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lang w:val="zh-CN" w:eastAsia="zh-CN"/>
                <w14:textFill>
                  <w14:solidFill>
                    <w14:schemeClr w14:val="tx1"/>
                  </w14:solidFill>
                </w14:textFill>
              </w:rPr>
              <w:t>系统分析师</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lang w:eastAsia="zh-CN"/>
                <w14:textFill>
                  <w14:solidFill>
                    <w14:schemeClr w14:val="tx1"/>
                  </w14:solidFill>
                </w14:textFill>
                <w:woUserID w:val="1"/>
              </w:rPr>
              <w:t>或</w:t>
            </w:r>
            <w:r>
              <w:rPr>
                <w:rFonts w:hint="eastAsia" w:ascii="仿宋" w:hAnsi="仿宋" w:eastAsia="仿宋" w:cs="仿宋"/>
                <w:color w:val="000000" w:themeColor="text1"/>
                <w:sz w:val="24"/>
                <w:highlight w:val="none"/>
                <w:lang w:val="zh-CN" w:eastAsia="zh-CN"/>
                <w14:textFill>
                  <w14:solidFill>
                    <w14:schemeClr w14:val="tx1"/>
                  </w14:solidFill>
                </w14:textFill>
              </w:rPr>
              <w:t>软件设</w:t>
            </w:r>
            <w:r>
              <w:rPr>
                <w:rFonts w:hint="eastAsia" w:ascii="仿宋" w:hAnsi="仿宋" w:eastAsia="仿宋" w:cs="仿宋"/>
                <w:color w:val="000000" w:themeColor="text1"/>
                <w:sz w:val="24"/>
                <w:highlight w:val="none"/>
                <w:lang w:val="zh-CN"/>
                <w14:textFill>
                  <w14:solidFill>
                    <w14:schemeClr w14:val="tx1"/>
                  </w14:solidFill>
                </w14:textFill>
              </w:rPr>
              <w:t>计师</w:t>
            </w:r>
            <w:r>
              <w:rPr>
                <w:rFonts w:hint="eastAsia" w:ascii="仿宋" w:hAnsi="仿宋" w:eastAsia="仿宋" w:cs="仿宋"/>
                <w:color w:val="000000" w:themeColor="text1"/>
                <w:sz w:val="24"/>
                <w:highlight w:val="none"/>
                <w:lang w:val="en-US" w:eastAsia="zh-CN"/>
                <w14:textFill>
                  <w14:solidFill>
                    <w14:schemeClr w14:val="tx1"/>
                  </w14:solidFill>
                </w14:textFill>
              </w:rPr>
              <w:t>证书的，每证得1分，最高得2分；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需</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证书加盖公章。</w:t>
            </w:r>
          </w:p>
          <w:p w14:paraId="2A4984B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项目负责人</w:t>
            </w:r>
            <w:r>
              <w:rPr>
                <w:rFonts w:hint="eastAsia" w:ascii="仿宋" w:hAnsi="仿宋" w:eastAsia="仿宋" w:cs="仿宋"/>
                <w:color w:val="000000" w:themeColor="text1"/>
                <w:kern w:val="0"/>
                <w:sz w:val="24"/>
                <w:szCs w:val="24"/>
                <w:highlight w:val="none"/>
                <w14:textFill>
                  <w14:solidFill>
                    <w14:schemeClr w14:val="tx1"/>
                  </w14:solidFill>
                </w14:textFill>
              </w:rPr>
              <w:t>是否具有调动投标人各项资源能力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或权限</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具备得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分，不具备不得分，提供相关证明材料</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承诺函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c>
          <w:tcPr>
            <w:tcW w:w="427" w:type="pct"/>
            <w:vAlign w:val="center"/>
          </w:tcPr>
          <w:p w14:paraId="31578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14:paraId="59F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2F1E76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3.2</w:t>
            </w:r>
          </w:p>
        </w:tc>
        <w:tc>
          <w:tcPr>
            <w:tcW w:w="4134" w:type="pct"/>
            <w:vAlign w:val="center"/>
          </w:tcPr>
          <w:p w14:paraId="70D28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w:t>
            </w:r>
            <w:r>
              <w:rPr>
                <w:rFonts w:hint="eastAsia" w:ascii="仿宋" w:hAnsi="仿宋" w:eastAsia="仿宋" w:cs="仿宋"/>
                <w:color w:val="000000" w:themeColor="text1"/>
                <w:kern w:val="0"/>
                <w:sz w:val="24"/>
                <w:szCs w:val="24"/>
                <w:highlight w:val="none"/>
                <w14:textFill>
                  <w14:solidFill>
                    <w14:schemeClr w14:val="tx1"/>
                  </w14:solidFill>
                </w14:textFill>
              </w:rPr>
              <w:t>项目组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成员：需提供项目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组成员</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社保证明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材料</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7D5FBD94">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拟担任本</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lang w:val="en-US" w:eastAsia="zh-CN"/>
                <w14:textFill>
                  <w14:solidFill>
                    <w14:schemeClr w14:val="tx1"/>
                  </w14:solidFill>
                </w14:textFill>
              </w:rPr>
              <w:t>驻场维护成员具有</w:t>
            </w:r>
            <w:r>
              <w:rPr>
                <w:rFonts w:hint="eastAsia" w:ascii="仿宋" w:hAnsi="仿宋" w:eastAsia="仿宋" w:cs="仿宋"/>
                <w:color w:val="000000" w:themeColor="text1"/>
                <w:sz w:val="24"/>
                <w:highlight w:val="none"/>
                <w14:textFill>
                  <w14:solidFill>
                    <w14:schemeClr w14:val="tx1"/>
                  </w14:solidFill>
                </w14:textFill>
              </w:rPr>
              <w:t>信息系统项目管理师证书</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系统架构设计师</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系统规</w:t>
            </w:r>
            <w:r>
              <w:rPr>
                <w:rFonts w:hint="eastAsia" w:ascii="仿宋" w:hAnsi="仿宋" w:eastAsia="仿宋" w:cs="仿宋"/>
                <w:color w:val="000000" w:themeColor="text1"/>
                <w:sz w:val="24"/>
                <w:highlight w:val="none"/>
                <w:lang w:val="en-US" w:eastAsia="zh-CN"/>
                <w14:textFill>
                  <w14:solidFill>
                    <w14:schemeClr w14:val="tx1"/>
                  </w14:solidFill>
                </w14:textFill>
              </w:rPr>
              <w:t>划与管理师证书、信息系统管理工程师证书、系统集成项目管理工程师证书、数据库系统工程师证书、信息安全工程师证书、系统分析师证书</w:t>
            </w:r>
            <w:r>
              <w:rPr>
                <w:rFonts w:hint="eastAsia" w:ascii="仿宋" w:hAnsi="仿宋" w:eastAsia="仿宋" w:cs="仿宋"/>
                <w:color w:val="000000" w:themeColor="text1"/>
                <w:sz w:val="24"/>
                <w:highlight w:val="none"/>
                <w:lang w:eastAsia="zh-CN"/>
                <w14:textFill>
                  <w14:solidFill>
                    <w14:schemeClr w14:val="tx1"/>
                  </w14:solidFill>
                </w14:textFill>
                <w:woUserID w:val="1"/>
              </w:rPr>
              <w:t>或</w:t>
            </w:r>
            <w:r>
              <w:rPr>
                <w:rFonts w:hint="eastAsia" w:ascii="仿宋" w:hAnsi="仿宋" w:eastAsia="仿宋" w:cs="仿宋"/>
                <w:color w:val="000000" w:themeColor="text1"/>
                <w:sz w:val="24"/>
                <w:highlight w:val="none"/>
                <w:lang w:val="en-US" w:eastAsia="zh-CN"/>
                <w14:textFill>
                  <w14:solidFill>
                    <w14:schemeClr w14:val="tx1"/>
                  </w14:solidFill>
                </w14:textFill>
              </w:rPr>
              <w:t>软件设计师证书，每证得1分，最高得4分；需提供证书加盖公章。</w:t>
            </w:r>
          </w:p>
          <w:p w14:paraId="50C5100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拟担任本</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lang w:val="en-US" w:eastAsia="zh-CN"/>
                <w14:textFill>
                  <w14:solidFill>
                    <w14:schemeClr w14:val="tx1"/>
                  </w14:solidFill>
                </w14:textFill>
              </w:rPr>
              <w:t>驻场维护成员</w:t>
            </w:r>
            <w:r>
              <w:rPr>
                <w:rFonts w:hint="eastAsia" w:ascii="仿宋" w:hAnsi="仿宋" w:eastAsia="仿宋" w:cs="仿宋"/>
                <w:color w:val="000000" w:themeColor="text1"/>
                <w:sz w:val="24"/>
                <w:szCs w:val="24"/>
                <w:highlight w:val="none"/>
                <w14:textFill>
                  <w14:solidFill>
                    <w14:schemeClr w14:val="tx1"/>
                  </w14:solidFill>
                </w14:textFill>
              </w:rPr>
              <w:t>具备</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年以上信息化</w:t>
            </w:r>
            <w:r>
              <w:rPr>
                <w:rFonts w:hint="eastAsia" w:ascii="仿宋" w:hAnsi="仿宋" w:eastAsia="仿宋" w:cs="仿宋"/>
                <w:color w:val="000000" w:themeColor="text1"/>
                <w:sz w:val="24"/>
                <w:szCs w:val="24"/>
                <w:highlight w:val="none"/>
                <w:lang w:val="en-US" w:eastAsia="zh-CN"/>
                <w14:textFill>
                  <w14:solidFill>
                    <w14:schemeClr w14:val="tx1"/>
                  </w14:solidFill>
                </w14:textFill>
              </w:rPr>
              <w:t>运维或者开发</w:t>
            </w:r>
            <w:r>
              <w:rPr>
                <w:rFonts w:hint="eastAsia" w:ascii="仿宋" w:hAnsi="仿宋" w:eastAsia="仿宋" w:cs="仿宋"/>
                <w:color w:val="000000" w:themeColor="text1"/>
                <w:sz w:val="24"/>
                <w:szCs w:val="24"/>
                <w:highlight w:val="none"/>
                <w14:textFill>
                  <w14:solidFill>
                    <w14:schemeClr w14:val="tx1"/>
                  </w14:solidFill>
                </w14:textFill>
              </w:rPr>
              <w:t>经验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以</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1"/>
              </w:rPr>
              <w:t>履历</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woUserID w:val="1"/>
              </w:rPr>
              <w:t>历年</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1"/>
              </w:rPr>
              <w:t>工作经验加盖公章</w:t>
            </w:r>
            <w:r>
              <w:rPr>
                <w:rFonts w:hint="eastAsia" w:ascii="仿宋" w:hAnsi="仿宋" w:eastAsia="仿宋" w:cs="仿宋"/>
                <w:color w:val="000000" w:themeColor="text1"/>
                <w:sz w:val="24"/>
                <w:highlight w:val="none"/>
                <w:lang w:eastAsia="zh-CN"/>
                <w14:textFill>
                  <w14:solidFill>
                    <w14:schemeClr w14:val="tx1"/>
                  </w14:solidFill>
                </w14:textFill>
                <w:woUserID w:val="1"/>
              </w:rPr>
              <w:t>为准</w:t>
            </w:r>
            <w:r>
              <w:rPr>
                <w:rFonts w:hint="eastAsia" w:ascii="仿宋" w:hAnsi="仿宋" w:eastAsia="仿宋" w:cs="仿宋"/>
                <w:color w:val="000000" w:themeColor="text1"/>
                <w:sz w:val="24"/>
                <w:highlight w:val="none"/>
                <w:lang w:val="en-US" w:eastAsia="zh-CN"/>
                <w14:textFill>
                  <w14:solidFill>
                    <w14:schemeClr w14:val="tx1"/>
                  </w14:solidFill>
                </w14:textFill>
              </w:rPr>
              <w:t>），每人1分，最高3分。</w:t>
            </w:r>
          </w:p>
          <w:p w14:paraId="5806CD0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textAlignment w:val="auto"/>
              <w:outlineLvl w:val="0"/>
              <w:rPr>
                <w:rFonts w:hint="eastAsia" w:ascii="仿宋" w:hAnsi="仿宋" w:eastAsia="仿宋" w:cs="仿宋"/>
                <w:color w:val="000000" w:themeColor="text1"/>
                <w:kern w:val="0"/>
                <w:sz w:val="24"/>
                <w:szCs w:val="24"/>
                <w:highlight w:val="none"/>
                <w:lang w:eastAsia="zh-CN"/>
                <w14:textFill>
                  <w14:solidFill>
                    <w14:schemeClr w14:val="tx1"/>
                  </w14:solidFill>
                </w14:textFill>
                <w:woUserID w:val="1"/>
              </w:rPr>
            </w:pPr>
            <w:r>
              <w:rPr>
                <w:rFonts w:hint="eastAsia" w:ascii="仿宋" w:hAnsi="仿宋" w:eastAsia="仿宋" w:cs="仿宋"/>
                <w:color w:val="000000" w:themeColor="text1"/>
                <w:kern w:val="0"/>
                <w:sz w:val="24"/>
                <w:szCs w:val="24"/>
                <w:highlight w:val="none"/>
                <w:lang w:eastAsia="zh-CN"/>
                <w14:textFill>
                  <w14:solidFill>
                    <w14:schemeClr w14:val="tx1"/>
                  </w14:solidFill>
                </w14:textFill>
                <w:woUserID w:val="1"/>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woUserID w:val="1"/>
              </w:rPr>
              <w:t>项目组成员</w:t>
            </w:r>
            <w:r>
              <w:rPr>
                <w:rFonts w:hint="eastAsia" w:ascii="仿宋" w:hAnsi="仿宋" w:eastAsia="仿宋" w:cs="仿宋"/>
                <w:color w:val="000000" w:themeColor="text1"/>
                <w:sz w:val="24"/>
                <w:szCs w:val="24"/>
                <w:highlight w:val="none"/>
                <w14:textFill>
                  <w14:solidFill>
                    <w14:schemeClr w14:val="tx1"/>
                  </w14:solidFill>
                </w14:textFill>
                <w:woUserID w:val="1"/>
              </w:rPr>
              <w:t>从事信息化项目</w:t>
            </w:r>
            <w:r>
              <w:rPr>
                <w:rFonts w:hint="eastAsia" w:ascii="仿宋" w:hAnsi="仿宋" w:eastAsia="仿宋" w:cs="仿宋"/>
                <w:color w:val="000000" w:themeColor="text1"/>
                <w:sz w:val="24"/>
                <w:szCs w:val="24"/>
                <w:highlight w:val="none"/>
                <w:lang w:val="en-US" w:eastAsia="zh-CN"/>
                <w14:textFill>
                  <w14:solidFill>
                    <w14:schemeClr w14:val="tx1"/>
                  </w14:solidFill>
                </w14:textFill>
                <w:woUserID w:val="1"/>
              </w:rPr>
              <w:t>开发</w:t>
            </w:r>
            <w:r>
              <w:rPr>
                <w:rFonts w:hint="eastAsia" w:ascii="仿宋" w:hAnsi="仿宋" w:eastAsia="仿宋" w:cs="仿宋"/>
                <w:color w:val="000000" w:themeColor="text1"/>
                <w:sz w:val="24"/>
                <w:szCs w:val="24"/>
                <w:highlight w:val="none"/>
                <w14:textFill>
                  <w14:solidFill>
                    <w14:schemeClr w14:val="tx1"/>
                  </w14:solidFill>
                </w14:textFill>
                <w:woUserID w:val="1"/>
              </w:rPr>
              <w:t>或运维工作2年以上人员数不少于50%</w:t>
            </w:r>
            <w:r>
              <w:rPr>
                <w:rFonts w:hint="eastAsia" w:ascii="仿宋" w:hAnsi="仿宋" w:eastAsia="仿宋" w:cs="仿宋"/>
                <w:color w:val="000000" w:themeColor="text1"/>
                <w:sz w:val="24"/>
                <w:szCs w:val="24"/>
                <w:highlight w:val="none"/>
                <w14:textFill>
                  <w14:solidFill>
                    <w14:schemeClr w14:val="tx1"/>
                  </w14:solidFill>
                </w14:textFill>
                <w:woUserID w:val="1"/>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1"/>
              </w:rPr>
              <w:t>符合得</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woUserID w:val="1"/>
              </w:rPr>
              <w:t>1</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1"/>
              </w:rPr>
              <w:t>分，不符合不得分。</w:t>
            </w:r>
          </w:p>
          <w:p w14:paraId="29D70D6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提供相关情况说明、人员配置表、</w:t>
            </w:r>
            <w:r>
              <w:rPr>
                <w:rFonts w:hint="eastAsia" w:ascii="仿宋" w:hAnsi="仿宋" w:eastAsia="仿宋" w:cs="仿宋"/>
                <w:color w:val="000000" w:themeColor="text1"/>
                <w:sz w:val="24"/>
                <w:highlight w:val="none"/>
                <w:lang w:val="en-US" w:eastAsia="zh-CN"/>
                <w14:textFill>
                  <w14:solidFill>
                    <w14:schemeClr w14:val="tx1"/>
                  </w14:solidFill>
                </w14:textFill>
              </w:rPr>
              <w:t>项目合同复印件证明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及社保证明等材料。</w:t>
            </w:r>
          </w:p>
        </w:tc>
        <w:tc>
          <w:tcPr>
            <w:tcW w:w="427" w:type="pct"/>
            <w:vAlign w:val="center"/>
          </w:tcPr>
          <w:p w14:paraId="69F58D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r>
      <w:tr w14:paraId="109C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shd w:val="clear" w:color="auto" w:fill="auto"/>
            <w:vAlign w:val="center"/>
          </w:tcPr>
          <w:p w14:paraId="551DFB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3.3</w:t>
            </w:r>
          </w:p>
        </w:tc>
        <w:tc>
          <w:tcPr>
            <w:tcW w:w="4134" w:type="pct"/>
            <w:vAlign w:val="center"/>
          </w:tcPr>
          <w:p w14:paraId="30CF84E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项目组成员</w:t>
            </w:r>
            <w:r>
              <w:rPr>
                <w:rFonts w:hint="eastAsia" w:ascii="仿宋" w:hAnsi="仿宋" w:eastAsia="仿宋" w:cs="仿宋"/>
                <w:color w:val="000000" w:themeColor="text1"/>
                <w:kern w:val="0"/>
                <w:sz w:val="24"/>
                <w:szCs w:val="24"/>
                <w:highlight w:val="none"/>
                <w14:textFill>
                  <w14:solidFill>
                    <w14:schemeClr w14:val="tx1"/>
                  </w14:solidFill>
                </w14:textFill>
              </w:rPr>
              <w:t>人员配置是否合理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是否具有类似项目建设经验</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根据人员相关工作经验丰富程度进行评分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(评审范围：2,1,0)。</w:t>
            </w:r>
          </w:p>
        </w:tc>
        <w:tc>
          <w:tcPr>
            <w:tcW w:w="427" w:type="pct"/>
            <w:vAlign w:val="center"/>
          </w:tcPr>
          <w:p w14:paraId="7C8705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3B10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shd w:val="clear" w:color="auto" w:fill="auto"/>
            <w:vAlign w:val="center"/>
          </w:tcPr>
          <w:p w14:paraId="08DCA2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3.4</w:t>
            </w:r>
          </w:p>
        </w:tc>
        <w:tc>
          <w:tcPr>
            <w:tcW w:w="4134" w:type="pct"/>
            <w:vAlign w:val="center"/>
          </w:tcPr>
          <w:p w14:paraId="0E59B5F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【客观分】驻场要求</w:t>
            </w:r>
          </w:p>
          <w:p w14:paraId="0D417B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成员</w:t>
            </w:r>
            <w:r>
              <w:rPr>
                <w:rFonts w:hint="eastAsia" w:ascii="仿宋" w:hAnsi="仿宋" w:eastAsia="仿宋" w:cs="仿宋"/>
                <w:color w:val="000000" w:themeColor="text1"/>
                <w:kern w:val="0"/>
                <w:sz w:val="24"/>
                <w:szCs w:val="24"/>
                <w:highlight w:val="none"/>
                <w14:textFill>
                  <w14:solidFill>
                    <w14:schemeClr w14:val="tx1"/>
                  </w14:solidFill>
                </w14:textFill>
              </w:rPr>
              <w:t>专业工程师驻场人员数量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不少于11人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是否满足</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采购需求</w:t>
            </w:r>
            <w:r>
              <w:rPr>
                <w:rFonts w:hint="eastAsia" w:ascii="仿宋" w:hAnsi="仿宋" w:eastAsia="仿宋" w:cs="仿宋"/>
                <w:color w:val="000000" w:themeColor="text1"/>
                <w:kern w:val="0"/>
                <w:sz w:val="24"/>
                <w:szCs w:val="24"/>
                <w:highlight w:val="none"/>
                <w14:textFill>
                  <w14:solidFill>
                    <w14:schemeClr w14:val="tx1"/>
                  </w14:solidFill>
                </w14:textFill>
              </w:rPr>
              <w:t>，满足得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不满足不得分；</w:t>
            </w:r>
          </w:p>
        </w:tc>
        <w:tc>
          <w:tcPr>
            <w:tcW w:w="427" w:type="pct"/>
            <w:vAlign w:val="center"/>
          </w:tcPr>
          <w:p w14:paraId="03542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4FAD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shd w:val="clear" w:color="auto" w:fill="auto"/>
            <w:vAlign w:val="center"/>
          </w:tcPr>
          <w:p w14:paraId="70F1DA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p>
        </w:tc>
        <w:tc>
          <w:tcPr>
            <w:tcW w:w="4134" w:type="pct"/>
            <w:vAlign w:val="center"/>
          </w:tcPr>
          <w:p w14:paraId="06E7F32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【客观分】</w:t>
            </w:r>
            <w:r>
              <w:rPr>
                <w:rFonts w:hint="eastAsia" w:ascii="仿宋" w:hAnsi="仿宋" w:eastAsia="仿宋" w:cs="仿宋"/>
                <w:color w:val="000000" w:themeColor="text1"/>
                <w:kern w:val="0"/>
                <w:sz w:val="24"/>
                <w:szCs w:val="24"/>
                <w:highlight w:val="none"/>
                <w14:textFill>
                  <w14:solidFill>
                    <w14:schemeClr w14:val="tx1"/>
                  </w14:solidFill>
                </w14:textFill>
              </w:rPr>
              <w:t>是否承诺当派驻工程师无法解决问题时或技术力量不足时，及时提供后援技术支持和补充，承诺得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提供相关承诺函，未提供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或不符合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不得分</w:t>
            </w: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427" w:type="pct"/>
            <w:vAlign w:val="center"/>
          </w:tcPr>
          <w:p w14:paraId="66E8F8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6BE2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32BE98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p>
        </w:tc>
        <w:tc>
          <w:tcPr>
            <w:tcW w:w="4134" w:type="pct"/>
            <w:vAlign w:val="center"/>
          </w:tcPr>
          <w:p w14:paraId="4690C13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【客观分】</w:t>
            </w:r>
            <w:r>
              <w:rPr>
                <w:rFonts w:hint="eastAsia" w:ascii="仿宋" w:hAnsi="仿宋" w:eastAsia="仿宋" w:cs="仿宋"/>
                <w:color w:val="000000" w:themeColor="text1"/>
                <w:kern w:val="0"/>
                <w:sz w:val="24"/>
                <w:szCs w:val="24"/>
                <w:highlight w:val="none"/>
                <w14:textFill>
                  <w14:solidFill>
                    <w14:schemeClr w14:val="tx1"/>
                  </w14:solidFill>
                </w14:textFill>
              </w:rPr>
              <w:t>投标人承诺项目组工程师能够在非工作时间（尤其是国定节假日、双休日）响应任务、及时到现场处置及响应效率情况，承诺得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提供相关承诺函，未提供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或不符合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不得分</w:t>
            </w: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427" w:type="pct"/>
            <w:vAlign w:val="center"/>
          </w:tcPr>
          <w:p w14:paraId="4FCBF7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062E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Align w:val="center"/>
          </w:tcPr>
          <w:p w14:paraId="46CE8B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4134" w:type="pct"/>
            <w:vAlign w:val="center"/>
          </w:tcPr>
          <w:p w14:paraId="358146D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t>需求分析</w:t>
            </w:r>
          </w:p>
        </w:tc>
        <w:tc>
          <w:tcPr>
            <w:tcW w:w="427" w:type="pct"/>
            <w:vAlign w:val="center"/>
          </w:tcPr>
          <w:p w14:paraId="39322C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673D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481EF0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4.1</w:t>
            </w:r>
          </w:p>
        </w:tc>
        <w:tc>
          <w:tcPr>
            <w:tcW w:w="4134" w:type="pct"/>
            <w:shd w:val="clear" w:color="auto" w:fill="auto"/>
            <w:vAlign w:val="center"/>
          </w:tcPr>
          <w:p w14:paraId="605D5D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投标人对项目需求的理解</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准确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对省市就业、数据共享、档案等相关系统情况清楚</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根据理解准确性，了解程度进行评分(评审范围：6，5,4,3,2,1,0)。</w:t>
            </w:r>
          </w:p>
        </w:tc>
        <w:tc>
          <w:tcPr>
            <w:tcW w:w="427" w:type="pct"/>
            <w:vAlign w:val="center"/>
          </w:tcPr>
          <w:p w14:paraId="6859B6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14:paraId="358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7DF23D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4.2</w:t>
            </w:r>
          </w:p>
        </w:tc>
        <w:tc>
          <w:tcPr>
            <w:tcW w:w="4134" w:type="pct"/>
            <w:vAlign w:val="center"/>
          </w:tcPr>
          <w:p w14:paraId="1B0F647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bCs/>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结合</w:t>
            </w:r>
            <w:r>
              <w:rPr>
                <w:rFonts w:hint="eastAsia" w:ascii="仿宋" w:hAnsi="仿宋" w:eastAsia="仿宋" w:cs="仿宋"/>
                <w:bCs/>
                <w:color w:val="000000" w:themeColor="text1"/>
                <w:sz w:val="24"/>
                <w:szCs w:val="24"/>
                <w:highlight w:val="none"/>
                <w14:textFill>
                  <w14:solidFill>
                    <w14:schemeClr w14:val="tx1"/>
                  </w14:solidFill>
                </w14:textFill>
              </w:rPr>
              <w:t>对项目的理解情况，包括对现有系统软件的应用情况、及信息系统软件存在的一些问题的建议,是否具有前瞻性、合理性和可行性</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等进行评分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(评审范围：6，5,4,3,2,1,0)。</w:t>
            </w:r>
          </w:p>
        </w:tc>
        <w:tc>
          <w:tcPr>
            <w:tcW w:w="427" w:type="pct"/>
            <w:vAlign w:val="center"/>
          </w:tcPr>
          <w:p w14:paraId="2BAC42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14:paraId="1913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370E6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4134" w:type="pct"/>
            <w:vAlign w:val="center"/>
          </w:tcPr>
          <w:p w14:paraId="046C6C5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技术服务方案</w:t>
            </w:r>
          </w:p>
        </w:tc>
        <w:tc>
          <w:tcPr>
            <w:tcW w:w="427" w:type="pct"/>
            <w:vAlign w:val="center"/>
          </w:tcPr>
          <w:p w14:paraId="006790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505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5A9B31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5.1</w:t>
            </w:r>
          </w:p>
        </w:tc>
        <w:tc>
          <w:tcPr>
            <w:tcW w:w="4134" w:type="pct"/>
            <w:vAlign w:val="center"/>
          </w:tcPr>
          <w:p w14:paraId="5BAADF0C">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投标方案是否符合相关的国家法律、法规。完全符合得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基本符合得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不符合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不得分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(评审范围：2,1,0)</w:t>
            </w:r>
            <w:r>
              <w:rPr>
                <w:rFonts w:hint="eastAsia" w:ascii="仿宋" w:hAnsi="仿宋" w:eastAsia="仿宋" w:cs="仿宋"/>
                <w:color w:val="000000" w:themeColor="text1"/>
                <w:sz w:val="24"/>
                <w:szCs w:val="24"/>
                <w:highlight w:val="none"/>
                <w14:textFill>
                  <w14:solidFill>
                    <w14:schemeClr w14:val="tx1"/>
                  </w14:solidFill>
                </w14:textFill>
              </w:rPr>
              <w:t>。</w:t>
            </w:r>
          </w:p>
        </w:tc>
        <w:tc>
          <w:tcPr>
            <w:tcW w:w="427" w:type="pct"/>
            <w:vAlign w:val="center"/>
          </w:tcPr>
          <w:p w14:paraId="43755C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56FD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397D29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5.2</w:t>
            </w:r>
          </w:p>
        </w:tc>
        <w:tc>
          <w:tcPr>
            <w:tcW w:w="4134" w:type="pct"/>
            <w:vAlign w:val="center"/>
          </w:tcPr>
          <w:p w14:paraId="1343E81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投标人提供的服务过程和服务结果是否符合和满足相关国家标准、行业标准以及地方标准。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根据符合程度进行评分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(评审范围：2,1,0)。</w:t>
            </w:r>
          </w:p>
        </w:tc>
        <w:tc>
          <w:tcPr>
            <w:tcW w:w="427" w:type="pct"/>
            <w:vAlign w:val="center"/>
          </w:tcPr>
          <w:p w14:paraId="4D05E6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7CDE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653B38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5.3</w:t>
            </w:r>
          </w:p>
        </w:tc>
        <w:tc>
          <w:tcPr>
            <w:tcW w:w="4134" w:type="pct"/>
            <w:vAlign w:val="center"/>
          </w:tcPr>
          <w:p w14:paraId="62EF7D1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杭州智慧就业系统</w:t>
            </w:r>
            <w:r>
              <w:rPr>
                <w:rFonts w:hint="eastAsia" w:ascii="仿宋" w:hAnsi="仿宋" w:eastAsia="仿宋" w:cs="仿宋"/>
                <w:color w:val="000000" w:themeColor="text1"/>
                <w:sz w:val="24"/>
                <w:szCs w:val="24"/>
                <w:highlight w:val="none"/>
                <w14:textFill>
                  <w14:solidFill>
                    <w14:schemeClr w14:val="tx1"/>
                  </w14:solidFill>
                </w14:textFill>
              </w:rPr>
              <w:t>运维服务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包含但不限于</w:t>
            </w:r>
            <w:r>
              <w:rPr>
                <w:rFonts w:hint="eastAsia" w:ascii="仿宋" w:hAnsi="仿宋" w:eastAsia="仿宋" w:cs="仿宋"/>
                <w:color w:val="000000" w:themeColor="text1"/>
                <w:sz w:val="24"/>
                <w:highlight w:val="none"/>
                <w:lang w:eastAsia="zh-CN" w:bidi="ar"/>
                <w14:textFill>
                  <w14:solidFill>
                    <w14:schemeClr w14:val="tx1"/>
                  </w14:solidFill>
                </w14:textFill>
              </w:rPr>
              <w:t>数据管理、技术支持和平台运维</w:t>
            </w:r>
            <w:r>
              <w:rPr>
                <w:rFonts w:hint="eastAsia" w:ascii="仿宋" w:hAnsi="仿宋" w:eastAsia="仿宋" w:cs="仿宋"/>
                <w:color w:val="000000" w:themeColor="text1"/>
                <w:sz w:val="24"/>
                <w:szCs w:val="24"/>
                <w:highlight w:val="none"/>
                <w:lang w:val="en-US" w:eastAsia="zh-CN"/>
                <w14:textFill>
                  <w14:solidFill>
                    <w14:schemeClr w14:val="tx1"/>
                  </w14:solidFill>
                </w14:textFill>
              </w:rPr>
              <w:t>等内容，</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根据内容完善程度、可行性等进行评分(评审范围：6，5,4,3,2,1,0)。</w:t>
            </w:r>
          </w:p>
        </w:tc>
        <w:tc>
          <w:tcPr>
            <w:tcW w:w="427" w:type="pct"/>
            <w:vAlign w:val="center"/>
          </w:tcPr>
          <w:p w14:paraId="6AC244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14:paraId="7637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5E175F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5.4</w:t>
            </w:r>
          </w:p>
        </w:tc>
        <w:tc>
          <w:tcPr>
            <w:tcW w:w="4134" w:type="pct"/>
            <w:vAlign w:val="center"/>
          </w:tcPr>
          <w:p w14:paraId="3CAAE1D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数据共享系统</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运维服务方案：</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包含但不限于</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接口封装、接口转发、接口管理、日志管理、巡检服务等内容，</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根据内容完善程度、可行性等进行评分(评审范围：6,5,4,3,2,1,0)。</w:t>
            </w:r>
          </w:p>
        </w:tc>
        <w:tc>
          <w:tcPr>
            <w:tcW w:w="427" w:type="pct"/>
            <w:vAlign w:val="center"/>
          </w:tcPr>
          <w:p w14:paraId="0A3A78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14:paraId="7E7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2E5F9C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5.5</w:t>
            </w:r>
          </w:p>
        </w:tc>
        <w:tc>
          <w:tcPr>
            <w:tcW w:w="4134" w:type="pct"/>
            <w:shd w:val="clear" w:color="auto" w:fill="auto"/>
            <w:vAlign w:val="center"/>
          </w:tcPr>
          <w:p w14:paraId="1AC94A5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电子档案系统</w:t>
            </w:r>
            <w:r>
              <w:rPr>
                <w:rFonts w:hint="eastAsia" w:ascii="仿宋" w:hAnsi="仿宋" w:eastAsia="仿宋" w:cs="仿宋"/>
                <w:color w:val="000000" w:themeColor="text1"/>
                <w:sz w:val="24"/>
                <w:szCs w:val="24"/>
                <w:highlight w:val="none"/>
                <w14:textFill>
                  <w14:solidFill>
                    <w14:schemeClr w14:val="tx1"/>
                  </w14:solidFill>
                </w14:textFill>
              </w:rPr>
              <w:t>运维</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服务方案：主要包括</w:t>
            </w:r>
            <w:r>
              <w:rPr>
                <w:rFonts w:hint="eastAsia" w:ascii="仿宋" w:hAnsi="仿宋" w:eastAsia="仿宋" w:cs="仿宋"/>
                <w:color w:val="000000" w:themeColor="text1"/>
                <w:sz w:val="24"/>
                <w:highlight w:val="none"/>
                <w:lang w:eastAsia="zh-CN" w:bidi="ar"/>
                <w14:textFill>
                  <w14:solidFill>
                    <w14:schemeClr w14:val="tx1"/>
                  </w14:solidFill>
                </w14:textFill>
              </w:rPr>
              <w:t>为人社各业务条线提供电子档案服务以及退管档案管理平台</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运维，</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根据内容完善程度、可行性等进行评分(评审范围：5，4,3,2,1,0)。</w:t>
            </w:r>
          </w:p>
        </w:tc>
        <w:tc>
          <w:tcPr>
            <w:tcW w:w="427" w:type="pct"/>
            <w:vAlign w:val="center"/>
          </w:tcPr>
          <w:p w14:paraId="1D0F9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r>
      <w:tr w14:paraId="0051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1349B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5.6</w:t>
            </w:r>
          </w:p>
        </w:tc>
        <w:tc>
          <w:tcPr>
            <w:tcW w:w="4134" w:type="pct"/>
            <w:shd w:val="clear" w:color="auto" w:fill="auto"/>
            <w:vAlign w:val="center"/>
          </w:tcPr>
          <w:p w14:paraId="1970ABDC">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数据汇编平台维护方案：包含</w:t>
            </w:r>
            <w:r>
              <w:rPr>
                <w:rFonts w:hint="eastAsia" w:ascii="仿宋" w:hAnsi="仿宋" w:eastAsia="仿宋" w:cs="仿宋"/>
                <w:color w:val="000000" w:themeColor="text1"/>
                <w:sz w:val="24"/>
                <w:highlight w:val="none"/>
                <w:lang w:eastAsia="zh-CN" w:bidi="ar"/>
                <w14:textFill>
                  <w14:solidFill>
                    <w14:schemeClr w14:val="tx1"/>
                  </w14:solidFill>
                </w14:textFill>
              </w:rPr>
              <w:t>指标定义、指标维护、数据接口、数据填报等的运行维护</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等，根据内容完善程度、可行性等进行评分(评审范围：4,3,2,1,0)。</w:t>
            </w:r>
          </w:p>
        </w:tc>
        <w:tc>
          <w:tcPr>
            <w:tcW w:w="427" w:type="pct"/>
            <w:vAlign w:val="center"/>
          </w:tcPr>
          <w:p w14:paraId="2287FD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14:paraId="7F10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251EFF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5.7</w:t>
            </w:r>
          </w:p>
        </w:tc>
        <w:tc>
          <w:tcPr>
            <w:tcW w:w="4134" w:type="pct"/>
            <w:shd w:val="clear" w:color="auto" w:fill="auto"/>
            <w:vAlign w:val="center"/>
          </w:tcPr>
          <w:p w14:paraId="008E24F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省就业管理系统杭州驻场运维</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服务方案：主要包括</w:t>
            </w:r>
            <w:r>
              <w:rPr>
                <w:rFonts w:hint="eastAsia" w:ascii="仿宋" w:hAnsi="仿宋" w:eastAsia="仿宋" w:cs="仿宋"/>
                <w:color w:val="000000" w:themeColor="text1"/>
                <w:sz w:val="24"/>
                <w:szCs w:val="24"/>
                <w:highlight w:val="none"/>
                <w14:textFill>
                  <w14:solidFill>
                    <w14:schemeClr w14:val="tx1"/>
                  </w14:solidFill>
                </w14:textFill>
              </w:rPr>
              <w:t>业务咨询服务</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可用性检查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问题处理服务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数据问题分析</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数据处理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数据查询统计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横向部门之间的数据比对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省市协同问题处理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数据回流</w:t>
            </w:r>
            <w:r>
              <w:rPr>
                <w:rFonts w:hint="eastAsia" w:ascii="仿宋" w:hAnsi="仿宋" w:eastAsia="仿宋" w:cs="仿宋"/>
                <w:color w:val="000000" w:themeColor="text1"/>
                <w:sz w:val="24"/>
                <w:szCs w:val="24"/>
                <w:highlight w:val="none"/>
                <w:lang w:val="en-US" w:eastAsia="zh-CN"/>
                <w14:textFill>
                  <w14:solidFill>
                    <w14:schemeClr w14:val="tx1"/>
                  </w14:solidFill>
                </w14:textFill>
              </w:rPr>
              <w:t>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根据内容完善程度、可行性等进行评分(评审范围：5,4,3,2,1,0)。</w:t>
            </w:r>
          </w:p>
        </w:tc>
        <w:tc>
          <w:tcPr>
            <w:tcW w:w="427" w:type="pct"/>
            <w:vAlign w:val="center"/>
          </w:tcPr>
          <w:p w14:paraId="69EB59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r>
      <w:tr w14:paraId="6E2B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7A588A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5.8</w:t>
            </w:r>
          </w:p>
        </w:tc>
        <w:tc>
          <w:tcPr>
            <w:tcW w:w="4134" w:type="pct"/>
            <w:vAlign w:val="center"/>
          </w:tcPr>
          <w:p w14:paraId="0BFB72F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投标人是否建立运行服务保障应急预案，是否充分考虑方案对系统实施可能遇到的问题及其应对措施等情况。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根据内容完善程度、可行性等进行评分(评审范围：4,3,2,1,0)。</w:t>
            </w:r>
          </w:p>
        </w:tc>
        <w:tc>
          <w:tcPr>
            <w:tcW w:w="427" w:type="pct"/>
            <w:vAlign w:val="center"/>
          </w:tcPr>
          <w:p w14:paraId="702545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14:paraId="5281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58C84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5.9</w:t>
            </w:r>
          </w:p>
        </w:tc>
        <w:tc>
          <w:tcPr>
            <w:tcW w:w="4134" w:type="pct"/>
            <w:vAlign w:val="center"/>
          </w:tcPr>
          <w:p w14:paraId="28EC623C">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投标人是否建立定期巡检制度和系统软件运行情况报告制度，定期出具巡检和系统软件运行情况报告。</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根据内容完善程度、可行性等进行评分(评审范围：3,2,1,0)。</w:t>
            </w:r>
          </w:p>
        </w:tc>
        <w:tc>
          <w:tcPr>
            <w:tcW w:w="427" w:type="pct"/>
            <w:vAlign w:val="center"/>
          </w:tcPr>
          <w:p w14:paraId="71477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14:paraId="23C4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50D549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5.10</w:t>
            </w:r>
          </w:p>
        </w:tc>
        <w:tc>
          <w:tcPr>
            <w:tcW w:w="4134" w:type="pct"/>
            <w:vAlign w:val="center"/>
          </w:tcPr>
          <w:p w14:paraId="550278A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投标人是否建立服务档案和解决方案资料库等工作台帐。</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根据内容完善程度、可行性等进行评分(评审范围：3,2,1,0)。</w:t>
            </w:r>
          </w:p>
        </w:tc>
        <w:tc>
          <w:tcPr>
            <w:tcW w:w="427" w:type="pct"/>
            <w:vAlign w:val="center"/>
          </w:tcPr>
          <w:p w14:paraId="55C260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14:paraId="6EC4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2F4BCF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4134" w:type="pct"/>
            <w:vAlign w:val="center"/>
          </w:tcPr>
          <w:p w14:paraId="203827E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组织管理方案</w:t>
            </w:r>
          </w:p>
        </w:tc>
        <w:tc>
          <w:tcPr>
            <w:tcW w:w="427" w:type="pct"/>
            <w:vAlign w:val="center"/>
          </w:tcPr>
          <w:p w14:paraId="6D7FB5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152F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68F49C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6.1</w:t>
            </w:r>
          </w:p>
        </w:tc>
        <w:tc>
          <w:tcPr>
            <w:tcW w:w="4134" w:type="pct"/>
            <w:vAlign w:val="center"/>
          </w:tcPr>
          <w:p w14:paraId="4F471C7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投标人项目组织实施方案的科学性、合理性、规范性和可操作性等。包括组织机构、工作程序和步骤、管理方法、关键步骤的思路和要点等，根据提供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方案内容</w:t>
            </w:r>
            <w:r>
              <w:rPr>
                <w:rFonts w:hint="eastAsia" w:ascii="仿宋" w:hAnsi="仿宋" w:eastAsia="仿宋" w:cs="仿宋"/>
                <w:color w:val="000000" w:themeColor="text1"/>
                <w:sz w:val="24"/>
                <w:szCs w:val="24"/>
                <w:highlight w:val="none"/>
                <w14:textFill>
                  <w14:solidFill>
                    <w14:schemeClr w14:val="tx1"/>
                  </w14:solidFill>
                </w14:textFill>
              </w:rPr>
              <w:t>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根据内容完善程度、可行性等进行评分(评审范围：5,4,3,2,1,0)。</w:t>
            </w:r>
          </w:p>
        </w:tc>
        <w:tc>
          <w:tcPr>
            <w:tcW w:w="427" w:type="pct"/>
            <w:vAlign w:val="center"/>
          </w:tcPr>
          <w:p w14:paraId="7EBC5B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r>
      <w:tr w14:paraId="36C5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26C45B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6.2</w:t>
            </w:r>
          </w:p>
        </w:tc>
        <w:tc>
          <w:tcPr>
            <w:tcW w:w="4134" w:type="pct"/>
            <w:vAlign w:val="center"/>
          </w:tcPr>
          <w:p w14:paraId="6BBB42B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投标人是否具有完备的管理组织、项目实施规范和管理制度，是否有完善的质量管理体系，并能有效实施；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根据内容完善程度、可行性等进行评分(评审范围：3，2,1,0)。</w:t>
            </w:r>
          </w:p>
          <w:p w14:paraId="117808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拟投入本项目作业设备、软件的综合水平情况，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根据内容完善程度、可行性等进行评分(评审范围：2,1,0)。</w:t>
            </w:r>
          </w:p>
        </w:tc>
        <w:tc>
          <w:tcPr>
            <w:tcW w:w="427" w:type="pct"/>
            <w:vAlign w:val="center"/>
          </w:tcPr>
          <w:p w14:paraId="412246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r>
      <w:tr w14:paraId="009B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328305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6.3</w:t>
            </w:r>
          </w:p>
        </w:tc>
        <w:tc>
          <w:tcPr>
            <w:tcW w:w="4134" w:type="pct"/>
            <w:vAlign w:val="center"/>
          </w:tcPr>
          <w:p w14:paraId="3FDF104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【客观分】</w:t>
            </w:r>
            <w:r>
              <w:rPr>
                <w:rFonts w:hint="eastAsia" w:ascii="仿宋" w:hAnsi="仿宋" w:eastAsia="仿宋" w:cs="仿宋"/>
                <w:color w:val="000000" w:themeColor="text1"/>
                <w:sz w:val="24"/>
                <w:szCs w:val="24"/>
                <w:highlight w:val="none"/>
                <w14:textFill>
                  <w14:solidFill>
                    <w14:schemeClr w14:val="tx1"/>
                  </w14:solidFill>
                </w14:textFill>
              </w:rPr>
              <w:t>投标人对维护要求中有关技术服务提供7</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24小时服务，以确保维保服务标准和质量，</w:t>
            </w:r>
            <w:r>
              <w:rPr>
                <w:rFonts w:hint="eastAsia" w:ascii="仿宋" w:hAnsi="仿宋" w:eastAsia="仿宋" w:cs="仿宋"/>
                <w:color w:val="000000" w:themeColor="text1"/>
                <w:sz w:val="24"/>
                <w:szCs w:val="24"/>
                <w:highlight w:val="none"/>
                <w:lang w:val="en-US" w:eastAsia="zh-CN"/>
                <w14:textFill>
                  <w14:solidFill>
                    <w14:schemeClr w14:val="tx1"/>
                  </w14:solidFill>
                </w14:textFill>
              </w:rPr>
              <w:t>满足</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提供相关承诺函，未</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或不满足不得分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427" w:type="pct"/>
            <w:vAlign w:val="center"/>
          </w:tcPr>
          <w:p w14:paraId="03F5F5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66CB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vAlign w:val="center"/>
          </w:tcPr>
          <w:p w14:paraId="0B22BB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4134" w:type="pct"/>
            <w:vAlign w:val="center"/>
          </w:tcPr>
          <w:p w14:paraId="51B9B42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培训计划包括培训内容、时间、地点、人次，费用计入总报价；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根据内容完善程度、可行性等进行评分(评审范围：3,2,1,0)。</w:t>
            </w:r>
          </w:p>
        </w:tc>
        <w:tc>
          <w:tcPr>
            <w:tcW w:w="427" w:type="pct"/>
            <w:vAlign w:val="center"/>
          </w:tcPr>
          <w:p w14:paraId="64714A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bl>
    <w:p w14:paraId="28989A05">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p w14:paraId="511F6954">
      <w:pPr>
        <w:rPr>
          <w:rFonts w:hint="eastAsia" w:ascii="仿宋" w:hAnsi="仿宋" w:eastAsia="仿宋" w:cs="仿宋"/>
          <w:color w:val="000000" w:themeColor="text1"/>
          <w:highlight w:val="none"/>
          <w14:textFill>
            <w14:solidFill>
              <w14:schemeClr w14:val="tx1"/>
            </w14:solidFill>
          </w14:textFill>
        </w:rPr>
      </w:pPr>
    </w:p>
    <w:p w14:paraId="356C81D8">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4ADDBD26">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6829F146">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EAA23AD">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58F464FD">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FF04AD5">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6C8C1401">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E43716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807A7A9">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632FEA7">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0F6BBBF">
      <w:pPr>
        <w:pStyle w:val="132"/>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5B9AB2D1">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4AB7E20">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29AB3138">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9A7E103">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0F672BDA">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38A5CBE">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3CEC1852">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7AC82845">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BB4092">
      <w:pPr>
        <w:pStyle w:val="13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hint="eastAsia" w:ascii="仿宋" w:hAnsi="仿宋" w:eastAsia="仿宋" w:cs="仿宋"/>
          <w:color w:val="000000" w:themeColor="text1"/>
          <w:kern w:val="0"/>
          <w:szCs w:val="24"/>
          <w:highlight w:val="none"/>
          <w14:textFill>
            <w14:solidFill>
              <w14:schemeClr w14:val="tx1"/>
            </w14:solidFill>
          </w14:textFill>
        </w:rPr>
        <w:t>20</w:t>
      </w:r>
      <w:r>
        <w:rPr>
          <w:rFonts w:hint="eastAsia" w:ascii="仿宋" w:hAnsi="仿宋" w:eastAsia="仿宋" w:cs="仿宋"/>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仿宋" w:hAnsi="仿宋" w:eastAsia="仿宋" w:cs="仿宋"/>
          <w:color w:val="000000" w:themeColor="text1"/>
          <w:kern w:val="0"/>
          <w:szCs w:val="24"/>
          <w:highlight w:val="none"/>
          <w14:textFill>
            <w14:solidFill>
              <w14:schemeClr w14:val="tx1"/>
            </w14:solidFill>
          </w14:textFill>
        </w:rPr>
        <w:t>6</w:t>
      </w:r>
      <w:r>
        <w:rPr>
          <w:rFonts w:hint="eastAsia" w:ascii="仿宋" w:hAnsi="仿宋" w:eastAsia="仿宋" w:cs="仿宋"/>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E157CB4">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000000" w:themeColor="text1"/>
          <w:kern w:val="0"/>
          <w:sz w:val="24"/>
          <w:highlight w:val="none"/>
          <w:lang w:val="en" w:eastAsia="zh-CN"/>
          <w14:textFill>
            <w14:solidFill>
              <w14:schemeClr w14:val="tx1"/>
            </w14:solidFill>
          </w14:textFill>
        </w:rPr>
        <w:t>本项目推荐的中标候选人数量：</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1名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 w:eastAsia="zh-CN"/>
          <w14:textFill>
            <w14:solidFill>
              <w14:schemeClr w14:val="tx1"/>
            </w14:solidFill>
          </w14:textFill>
        </w:rPr>
        <w:t>。</w:t>
      </w:r>
    </w:p>
    <w:p w14:paraId="4C3EFD88">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831D69">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C29AF6">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793031EF">
      <w:pPr>
        <w:pStyle w:val="132"/>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6E68B9">
      <w:pPr>
        <w:pStyle w:val="24"/>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22133A7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C771DD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37CAB86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2ECDE5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69E92D3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19FCE68E">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5B19B02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00F01E2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投标人对根据修正原则修正后的报价不确认的；</w:t>
      </w:r>
    </w:p>
    <w:p w14:paraId="1CD9FC03">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w:t>
      </w:r>
      <w:r>
        <w:rPr>
          <w:rFonts w:hint="eastAsia" w:ascii="仿宋" w:hAnsi="仿宋" w:eastAsia="仿宋" w:cs="仿宋"/>
          <w:color w:val="000000" w:themeColor="text1"/>
          <w:kern w:val="0"/>
          <w:sz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highlight w:val="none"/>
          <w14:textFill>
            <w14:solidFill>
              <w14:schemeClr w14:val="tx1"/>
            </w14:solidFill>
          </w14:textFill>
        </w:rPr>
        <w:t>投标人提供虚假材料投标的；</w:t>
      </w:r>
    </w:p>
    <w:p w14:paraId="5971D5C4">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36ACC864">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D410D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C777E33">
      <w:pPr>
        <w:pStyle w:val="3"/>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3282F49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4EFA1A27">
      <w:pPr>
        <w:pStyle w:val="24"/>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1744AB7B">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04D07016">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5E154BB">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5873033E">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4E02501D">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应当将废标理由通知所有投标人。</w:t>
      </w:r>
    </w:p>
    <w:p w14:paraId="03225945">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沟通并作书面记录。采购人、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确认后，将修改招标文件，重新组织采购活动。</w:t>
      </w:r>
    </w:p>
    <w:p w14:paraId="3F265CB8">
      <w:pPr>
        <w:pStyle w:val="24"/>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D9D14FF">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26EE3DF5">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555EADE">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92950C7">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65222962">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EFBA434">
      <w:pPr>
        <w:pStyle w:val="24"/>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7"/>
    <w:p w14:paraId="089943FB">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3" w:name="第五部分"/>
      <w:bookmarkStart w:id="394" w:name="_Toc86217003"/>
    </w:p>
    <w:p w14:paraId="35BB1188">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p>
    <w:p w14:paraId="5FAFE777">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33F4B1A1">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1A0D2CD6">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42E58A48">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4D26D978">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50C21A70">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565FB031">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2D9D789F">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521" w:name="_GoBack"/>
      <w:bookmarkEnd w:id="521"/>
    </w:p>
    <w:p w14:paraId="34E33A3C">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492038BF">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1858B8E">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413EEF62">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5A365AEF">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5B6D769B">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0D404E21">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2B045E02">
      <w:pPr>
        <w:pStyle w:val="703"/>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41A7926A">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76F7DCA9">
      <w:pPr>
        <w:pStyle w:val="3"/>
        <w:rPr>
          <w:rFonts w:hint="eastAsia" w:ascii="仿宋" w:hAnsi="仿宋" w:eastAsia="仿宋" w:cs="仿宋"/>
          <w:color w:val="000000" w:themeColor="text1"/>
          <w:highlight w:val="none"/>
          <w14:textFill>
            <w14:solidFill>
              <w14:schemeClr w14:val="tx1"/>
            </w14:solidFill>
          </w14:textFill>
        </w:rPr>
      </w:pPr>
    </w:p>
    <w:p w14:paraId="2C966A8A">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310C12A">
      <w:pPr>
        <w:pStyle w:val="600"/>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51677416">
      <w:pPr>
        <w:pStyle w:val="600"/>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4CC8DB49">
      <w:pPr>
        <w:rPr>
          <w:rFonts w:hint="eastAsia" w:ascii="仿宋" w:hAnsi="仿宋" w:eastAsia="仿宋" w:cs="仿宋"/>
          <w:color w:val="000000" w:themeColor="text1"/>
          <w:sz w:val="24"/>
          <w:highlight w:val="none"/>
          <w14:textFill>
            <w14:solidFill>
              <w14:schemeClr w14:val="tx1"/>
            </w14:solidFill>
          </w14:textFill>
        </w:rPr>
      </w:pPr>
    </w:p>
    <w:p w14:paraId="3FC4BC1D">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535D51D">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13BA16B1">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69E7B1E">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44417753">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3B15241">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33D22DC5">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5083603D">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7991092D">
      <w:pPr>
        <w:rPr>
          <w:rFonts w:hint="eastAsia" w:ascii="仿宋" w:hAnsi="仿宋" w:eastAsia="仿宋" w:cs="仿宋"/>
          <w:b/>
          <w:color w:val="000000" w:themeColor="text1"/>
          <w:sz w:val="24"/>
          <w:highlight w:val="none"/>
          <w14:textFill>
            <w14:solidFill>
              <w14:schemeClr w14:val="tx1"/>
            </w14:solidFill>
          </w14:textFill>
        </w:rPr>
      </w:pPr>
    </w:p>
    <w:p w14:paraId="06F61A9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w:t>
      </w:r>
      <w:r>
        <w:rPr>
          <w:rFonts w:hint="eastAsia" w:ascii="仿宋" w:hAnsi="仿宋" w:eastAsia="仿宋" w:cs="仿宋"/>
          <w:color w:val="000000" w:themeColor="text1"/>
          <w:sz w:val="24"/>
          <w:highlight w:val="none"/>
          <w:u w:val="single"/>
          <w14:textFill>
            <w14:solidFill>
              <w14:schemeClr w14:val="tx1"/>
            </w14:solidFill>
          </w14:textFill>
        </w:rPr>
        <w:t>或者成交</w:t>
      </w:r>
      <w:r>
        <w:rPr>
          <w:rFonts w:hint="eastAsia" w:ascii="仿宋" w:hAnsi="仿宋" w:eastAsia="仿宋" w:cs="仿宋"/>
          <w:color w:val="000000" w:themeColor="text1"/>
          <w:sz w:val="24"/>
          <w:highlight w:val="none"/>
          <w:u w:val="single"/>
          <w14:textFill>
            <w14:solidFill>
              <w14:schemeClr w14:val="tx1"/>
            </w14:solidFill>
          </w14:textFill>
        </w:rPr>
        <w:t xml:space="preserve">供应商名称） </w:t>
      </w:r>
      <w:r>
        <w:rPr>
          <w:rFonts w:hint="eastAsia" w:ascii="仿宋" w:hAnsi="仿宋" w:eastAsia="仿宋" w:cs="仿宋"/>
          <w:color w:val="000000" w:themeColor="text1"/>
          <w:sz w:val="24"/>
          <w:highlight w:val="none"/>
          <w14:textFill>
            <w14:solidFill>
              <w14:schemeClr w14:val="tx1"/>
            </w14:solidFill>
          </w14:textFill>
        </w:rPr>
        <w:t>为该项目</w:t>
      </w:r>
      <w:r>
        <w:rPr>
          <w:rFonts w:hint="eastAsia" w:ascii="仿宋" w:hAnsi="仿宋" w:eastAsia="仿宋" w:cs="仿宋"/>
          <w:color w:val="000000" w:themeColor="text1"/>
          <w:sz w:val="24"/>
          <w:highlight w:val="none"/>
          <w14:textFill>
            <w14:solidFill>
              <w14:schemeClr w14:val="tx1"/>
            </w14:solidFill>
          </w14:textFill>
        </w:rPr>
        <w:t>中标或者成交供应商</w:t>
      </w:r>
      <w:r>
        <w:rPr>
          <w:rFonts w:hint="eastAsia" w:ascii="仿宋" w:hAnsi="仿宋" w:eastAsia="仿宋" w:cs="仿宋"/>
          <w:color w:val="000000" w:themeColor="text1"/>
          <w:sz w:val="24"/>
          <w:highlight w:val="none"/>
          <w14:textFill>
            <w14:solidFill>
              <w14:schemeClr w14:val="tx1"/>
            </w14:solidFill>
          </w14:textFill>
        </w:rPr>
        <w:t>。现于</w:t>
      </w:r>
      <w:r>
        <w:rPr>
          <w:rFonts w:hint="eastAsia" w:ascii="仿宋" w:hAnsi="仿宋" w:eastAsia="仿宋" w:cs="仿宋"/>
          <w:color w:val="000000" w:themeColor="text1"/>
          <w:sz w:val="24"/>
          <w:highlight w:val="none"/>
          <w14:textFill>
            <w14:solidFill>
              <w14:schemeClr w14:val="tx1"/>
            </w14:solidFill>
          </w14:textFill>
        </w:rPr>
        <w:t>中标或者成交通知书</w:t>
      </w:r>
      <w:r>
        <w:rPr>
          <w:rFonts w:hint="eastAsia" w:ascii="仿宋" w:hAnsi="仿宋" w:eastAsia="仿宋" w:cs="仿宋"/>
          <w:color w:val="000000" w:themeColor="text1"/>
          <w:sz w:val="24"/>
          <w:highlight w:val="none"/>
          <w14:textFill>
            <w14:solidFill>
              <w14:schemeClr w14:val="tx1"/>
            </w14:solidFill>
          </w14:textFill>
        </w:rPr>
        <w:t>发出之日起10个工作日内，按照采购文件确定的事项签订本合同。</w:t>
      </w:r>
    </w:p>
    <w:p w14:paraId="004B4B5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w:t>
      </w:r>
      <w:r>
        <w:rPr>
          <w:rFonts w:hint="eastAsia" w:ascii="仿宋" w:hAnsi="仿宋" w:eastAsia="仿宋" w:cs="仿宋"/>
          <w:color w:val="000000" w:themeColor="text1"/>
          <w:sz w:val="24"/>
          <w:highlight w:val="none"/>
          <w:u w:val="single"/>
          <w14:textFill>
            <w14:solidFill>
              <w14:schemeClr w14:val="tx1"/>
            </w14:solidFill>
          </w14:textFill>
        </w:rPr>
        <w:t>或者成交</w:t>
      </w:r>
      <w:r>
        <w:rPr>
          <w:rFonts w:hint="eastAsia" w:ascii="仿宋" w:hAnsi="仿宋" w:eastAsia="仿宋" w:cs="仿宋"/>
          <w:color w:val="000000" w:themeColor="text1"/>
          <w:sz w:val="24"/>
          <w:highlight w:val="none"/>
          <w:u w:val="single"/>
          <w14:textFill>
            <w14:solidFill>
              <w14:schemeClr w14:val="tx1"/>
            </w14:solidFill>
          </w14:textFill>
        </w:rPr>
        <w:t xml:space="preserve">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2AB7A9F5">
      <w:pPr>
        <w:spacing w:line="560" w:lineRule="exact"/>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bookmarkStart w:id="395" w:name="_Toc28855"/>
      <w:bookmarkStart w:id="396" w:name="_Toc20421"/>
      <w:bookmarkStart w:id="397" w:name="_Toc19273"/>
      <w:bookmarkStart w:id="398" w:name="_Toc15367"/>
      <w:bookmarkStart w:id="399" w:name="_Toc22967"/>
      <w:r>
        <w:rPr>
          <w:rFonts w:hint="eastAsia" w:ascii="仿宋" w:hAnsi="仿宋" w:eastAsia="仿宋" w:cs="仿宋"/>
          <w:b/>
          <w:color w:val="000000" w:themeColor="text1"/>
          <w:sz w:val="24"/>
          <w:highlight w:val="none"/>
          <w14:textFill>
            <w14:solidFill>
              <w14:schemeClr w14:val="tx1"/>
            </w14:solidFill>
          </w14:textFill>
        </w:rPr>
        <w:t xml:space="preserve">1.1 </w:t>
      </w:r>
      <w:r>
        <w:rPr>
          <w:rFonts w:hint="eastAsia" w:ascii="仿宋" w:hAnsi="仿宋" w:eastAsia="仿宋" w:cs="仿宋"/>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50289BA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F9F2A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1.1.1 </w:t>
      </w:r>
      <w:r>
        <w:rPr>
          <w:rFonts w:hint="eastAsia" w:ascii="仿宋" w:hAnsi="仿宋" w:eastAsia="仿宋" w:cs="仿宋"/>
          <w:color w:val="000000" w:themeColor="text1"/>
          <w:sz w:val="24"/>
          <w:highlight w:val="none"/>
          <w14:textFill>
            <w14:solidFill>
              <w14:schemeClr w14:val="tx1"/>
            </w14:solidFill>
          </w14:textFill>
        </w:rPr>
        <w:t>本合同及其补充合同、变更协议；</w:t>
      </w:r>
    </w:p>
    <w:p w14:paraId="0EC6001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1.1.2 </w:t>
      </w:r>
      <w:r>
        <w:rPr>
          <w:rFonts w:hint="eastAsia" w:ascii="仿宋" w:hAnsi="仿宋" w:eastAsia="仿宋" w:cs="仿宋"/>
          <w:color w:val="000000" w:themeColor="text1"/>
          <w:sz w:val="24"/>
          <w:highlight w:val="none"/>
          <w14:textFill>
            <w14:solidFill>
              <w14:schemeClr w14:val="tx1"/>
            </w14:solidFill>
          </w14:textFill>
        </w:rPr>
        <w:t>中标或者成交通知书；</w:t>
      </w:r>
    </w:p>
    <w:p w14:paraId="72C2BD3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1.1.3 </w:t>
      </w:r>
      <w:r>
        <w:rPr>
          <w:rFonts w:hint="eastAsia" w:ascii="仿宋" w:hAnsi="仿宋" w:eastAsia="仿宋" w:cs="仿宋"/>
          <w:color w:val="000000" w:themeColor="text1"/>
          <w:sz w:val="24"/>
          <w:highlight w:val="none"/>
          <w14:textFill>
            <w14:solidFill>
              <w14:schemeClr w14:val="tx1"/>
            </w14:solidFill>
          </w14:textFill>
        </w:rPr>
        <w:t>投标或者响应文件（含澄清或者说明文件）；</w:t>
      </w:r>
    </w:p>
    <w:p w14:paraId="513C8AF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1.1.4 </w:t>
      </w:r>
      <w:r>
        <w:rPr>
          <w:rFonts w:hint="eastAsia" w:ascii="仿宋" w:hAnsi="仿宋" w:eastAsia="仿宋" w:cs="仿宋"/>
          <w:color w:val="000000" w:themeColor="text1"/>
          <w:sz w:val="24"/>
          <w:highlight w:val="none"/>
          <w14:textFill>
            <w14:solidFill>
              <w14:schemeClr w14:val="tx1"/>
            </w14:solidFill>
          </w14:textFill>
        </w:rPr>
        <w:t>采购文件（含澄清或者修改文件）；</w:t>
      </w:r>
    </w:p>
    <w:p w14:paraId="0541B82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1.1.5 </w:t>
      </w:r>
      <w:r>
        <w:rPr>
          <w:rFonts w:hint="eastAsia" w:ascii="仿宋" w:hAnsi="仿宋" w:eastAsia="仿宋" w:cs="仿宋"/>
          <w:color w:val="000000" w:themeColor="text1"/>
          <w:sz w:val="24"/>
          <w:highlight w:val="none"/>
          <w14:textFill>
            <w14:solidFill>
              <w14:schemeClr w14:val="tx1"/>
            </w14:solidFill>
          </w14:textFill>
        </w:rPr>
        <w:t>其他相关采购文件。</w:t>
      </w:r>
    </w:p>
    <w:p w14:paraId="36CA95D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0" w:name="_Toc22185"/>
      <w:bookmarkStart w:id="401" w:name="_Toc6773"/>
      <w:bookmarkStart w:id="402" w:name="_Toc6311"/>
      <w:bookmarkStart w:id="403" w:name="_Toc18585"/>
      <w:bookmarkStart w:id="404" w:name="_Toc2918"/>
      <w:r>
        <w:rPr>
          <w:rFonts w:hint="eastAsia" w:ascii="仿宋" w:hAnsi="仿宋" w:eastAsia="仿宋" w:cs="仿宋"/>
          <w:b/>
          <w:color w:val="000000" w:themeColor="text1"/>
          <w:sz w:val="24"/>
          <w:highlight w:val="none"/>
          <w14:textFill>
            <w14:solidFill>
              <w14:schemeClr w14:val="tx1"/>
            </w14:solidFill>
          </w14:textFill>
        </w:rPr>
        <w:t xml:space="preserve">1.2 </w:t>
      </w:r>
      <w:r>
        <w:rPr>
          <w:rFonts w:hint="eastAsia" w:ascii="仿宋" w:hAnsi="仿宋" w:eastAsia="仿宋" w:cs="仿宋"/>
          <w:b/>
          <w:color w:val="000000" w:themeColor="text1"/>
          <w:sz w:val="24"/>
          <w:highlight w:val="none"/>
          <w14:textFill>
            <w14:solidFill>
              <w14:schemeClr w14:val="tx1"/>
            </w14:solidFill>
          </w14:textFill>
        </w:rPr>
        <w:t>标的</w:t>
      </w:r>
      <w:bookmarkEnd w:id="400"/>
      <w:bookmarkEnd w:id="401"/>
      <w:bookmarkEnd w:id="402"/>
      <w:bookmarkEnd w:id="403"/>
      <w:bookmarkEnd w:id="404"/>
    </w:p>
    <w:p w14:paraId="763979E4">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1.2.1 </w:t>
      </w:r>
      <w:r>
        <w:rPr>
          <w:rFonts w:hint="eastAsia" w:ascii="仿宋" w:hAnsi="仿宋" w:eastAsia="仿宋" w:cs="仿宋"/>
          <w:color w:val="000000" w:themeColor="text1"/>
          <w:sz w:val="24"/>
          <w:highlight w:val="none"/>
          <w14:textFill>
            <w14:solidFill>
              <w14:schemeClr w14:val="tx1"/>
            </w14:solidFill>
          </w14:textFill>
        </w:rPr>
        <w:t>服务内容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97A11EB">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1.2.2 </w:t>
      </w:r>
      <w:r>
        <w:rPr>
          <w:rFonts w:hint="eastAsia" w:ascii="仿宋" w:hAnsi="仿宋" w:eastAsia="仿宋" w:cs="仿宋"/>
          <w:color w:val="000000" w:themeColor="text1"/>
          <w:sz w:val="24"/>
          <w:highlight w:val="none"/>
          <w14:textFill>
            <w14:solidFill>
              <w14:schemeClr w14:val="tx1"/>
            </w14:solidFill>
          </w14:textFill>
        </w:rPr>
        <w:t>服务标准</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A39049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1.2.3 </w:t>
      </w:r>
      <w:r>
        <w:rPr>
          <w:rFonts w:hint="eastAsia" w:ascii="仿宋" w:hAnsi="仿宋" w:eastAsia="仿宋" w:cs="仿宋"/>
          <w:color w:val="000000" w:themeColor="text1"/>
          <w:sz w:val="24"/>
          <w:highlight w:val="none"/>
          <w14:textFill>
            <w14:solidFill>
              <w14:schemeClr w14:val="tx1"/>
            </w14:solidFill>
          </w14:textFill>
        </w:rPr>
        <w:t>技术保障：</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p>
    <w:p w14:paraId="4DFC7A3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827B875">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否）涉及货物。若涉及货物的，则：</w:t>
      </w:r>
    </w:p>
    <w:p w14:paraId="6AB7559C">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bookmarkStart w:id="405" w:name="_Toc21124"/>
      <w:bookmarkStart w:id="406" w:name="_Toc5635"/>
      <w:bookmarkStart w:id="407" w:name="_Toc4929"/>
      <w:bookmarkStart w:id="408" w:name="_Toc1386"/>
      <w:bookmarkStart w:id="409" w:name="_Toc13918"/>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36BA333">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DDBBDBD">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EC53E3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82075A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74400BC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w:t>
      </w:r>
      <w:r>
        <w:rPr>
          <w:rFonts w:hint="eastAsia" w:ascii="仿宋" w:hAnsi="仿宋" w:eastAsia="仿宋" w:cs="仿宋"/>
          <w:color w:val="000000" w:themeColor="text1"/>
          <w:sz w:val="24"/>
          <w:highlight w:val="none"/>
          <w14:textFill>
            <w14:solidFill>
              <w14:schemeClr w14:val="tx1"/>
            </w14:solidFill>
          </w14:textFill>
        </w:rPr>
        <w:t>本合同总价</w:t>
      </w:r>
      <w:r>
        <w:rPr>
          <w:rFonts w:hint="eastAsia" w:ascii="仿宋" w:hAnsi="仿宋" w:eastAsia="仿宋" w:cs="仿宋"/>
          <w:color w:val="000000" w:themeColor="text1"/>
          <w:sz w:val="24"/>
          <w:highlight w:val="none"/>
          <w14:textFill>
            <w14:solidFill>
              <w14:schemeClr w14:val="tx1"/>
            </w14:solidFill>
          </w14:textFill>
        </w:rPr>
        <w:t>（含税）</w:t>
      </w:r>
      <w:r>
        <w:rPr>
          <w:rFonts w:hint="eastAsia" w:ascii="仿宋" w:hAnsi="仿宋" w:eastAsia="仿宋" w:cs="仿宋"/>
          <w:color w:val="000000" w:themeColor="text1"/>
          <w:sz w:val="24"/>
          <w:highlight w:val="none"/>
          <w14:textFill>
            <w14:solidFill>
              <w14:schemeClr w14:val="tx1"/>
            </w14:solidFill>
          </w14:textFill>
        </w:rPr>
        <w:t>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w:t>
      </w:r>
      <w:r>
        <w:rPr>
          <w:rFonts w:hint="eastAsia" w:ascii="仿宋" w:hAnsi="仿宋" w:eastAsia="仿宋" w:cs="仿宋"/>
          <w:color w:val="000000" w:themeColor="text1"/>
          <w:sz w:val="24"/>
          <w:highlight w:val="none"/>
          <w14:textFill>
            <w14:solidFill>
              <w14:schemeClr w14:val="tx1"/>
            </w14:solidFill>
          </w14:textFill>
        </w:rPr>
        <w:t>（大写：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r>
        <w:rPr>
          <w:rFonts w:hint="eastAsia" w:ascii="仿宋" w:hAnsi="仿宋" w:eastAsia="仿宋" w:cs="仿宋"/>
          <w:color w:val="000000" w:themeColor="text1"/>
          <w:sz w:val="24"/>
          <w:highlight w:val="none"/>
          <w14:textFill>
            <w14:solidFill>
              <w14:schemeClr w14:val="tx1"/>
            </w14:solidFill>
          </w14:textFill>
        </w:rPr>
        <w:t>。</w:t>
      </w:r>
    </w:p>
    <w:p w14:paraId="5AE5AC5E">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E8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68D03A">
            <w:pPr>
              <w:pStyle w:val="321"/>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255BEC2A">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160D0795">
            <w:pPr>
              <w:pStyle w:val="321"/>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2EE0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CDDD3B">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601AA013">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53FD8B8D">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DBA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DAE8EF">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74D44ABD">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7ED2F3CE">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5F0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18DCA9">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71A08224">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4B2C19B8">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A2A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20CFB">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14F6302">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4F771958">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552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92957B9">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748C7EE6">
            <w:pPr>
              <w:pStyle w:val="32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5CDC102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10" w:name="_Toc30506"/>
      <w:bookmarkStart w:id="411" w:name="_Toc26916"/>
      <w:bookmarkStart w:id="412" w:name="_Toc3654"/>
      <w:bookmarkStart w:id="413" w:name="_Toc14993"/>
      <w:bookmarkStart w:id="414" w:name="_Toc30158"/>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w:t>
      </w:r>
      <w:r>
        <w:rPr>
          <w:rFonts w:hint="eastAsia" w:ascii="仿宋" w:hAnsi="仿宋" w:eastAsia="仿宋" w:cs="仿宋"/>
          <w:color w:val="000000" w:themeColor="text1"/>
          <w:sz w:val="24"/>
          <w:highlight w:val="none"/>
          <w14:textFill>
            <w14:solidFill>
              <w14:schemeClr w14:val="tx1"/>
            </w14:solidFill>
          </w14:textFill>
        </w:rPr>
        <w:t>（大写：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6C8454F0">
      <w:pPr>
        <w:pStyle w:val="3"/>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lang w:val="en-US"/>
          <w14:textFill>
            <w14:solidFill>
              <w14:schemeClr w14:val="tx1"/>
            </w14:solidFill>
          </w14:textFill>
        </w:rPr>
        <w:t>1.3.3其他计价方式：</w:t>
      </w:r>
      <w:r>
        <w:rPr>
          <w:rFonts w:hint="eastAsia" w:ascii="仿宋" w:hAnsi="仿宋" w:eastAsia="仿宋" w:cs="仿宋"/>
          <w:b w:val="0"/>
          <w:bCs w:val="0"/>
          <w:color w:val="000000" w:themeColor="text1"/>
          <w:sz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p>
    <w:bookmarkEnd w:id="410"/>
    <w:bookmarkEnd w:id="411"/>
    <w:bookmarkEnd w:id="412"/>
    <w:bookmarkEnd w:id="413"/>
    <w:bookmarkEnd w:id="414"/>
    <w:p w14:paraId="23F75B78">
      <w:pPr>
        <w:pStyle w:val="96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415" w:name="_Toc10340"/>
      <w:bookmarkStart w:id="416" w:name="_Toc1814"/>
      <w:bookmarkStart w:id="417" w:name="_Toc22618"/>
      <w:bookmarkStart w:id="418" w:name="_Toc8772"/>
      <w:bookmarkStart w:id="419" w:name="_Toc31421"/>
      <w:bookmarkStart w:id="420" w:name="_Toc11108"/>
      <w:bookmarkStart w:id="421" w:name="_Toc3625"/>
      <w:bookmarkStart w:id="422" w:name="_Toc4760"/>
      <w:r>
        <w:rPr>
          <w:rFonts w:hint="eastAsia" w:ascii="仿宋" w:hAnsi="仿宋" w:eastAsia="仿宋" w:cs="仿宋"/>
          <w:b/>
          <w:color w:val="000000" w:themeColor="text1"/>
          <w:highlight w:val="none"/>
          <w14:textFill>
            <w14:solidFill>
              <w14:schemeClr w14:val="tx1"/>
            </w14:solidFill>
          </w14:textFill>
        </w:rPr>
        <w:t>1.4履约保证金</w:t>
      </w:r>
    </w:p>
    <w:p w14:paraId="7FEEB1F9">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否）需要支付履约保证金。若需要支付履约保证金的，则：</w:t>
      </w:r>
    </w:p>
    <w:p w14:paraId="54BE7434">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A760DB3">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F91A09F">
      <w:pPr>
        <w:pStyle w:val="3"/>
        <w:tabs>
          <w:tab w:val="left" w:pos="0"/>
        </w:tabs>
        <w:spacing w:line="560" w:lineRule="exact"/>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8F0C84">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0.05（可根据情况修改）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DB4CF1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415"/>
      <w:bookmarkEnd w:id="416"/>
      <w:bookmarkEnd w:id="417"/>
      <w:r>
        <w:rPr>
          <w:rFonts w:hint="eastAsia" w:ascii="仿宋" w:hAnsi="仿宋" w:eastAsia="仿宋" w:cs="仿宋"/>
          <w:b/>
          <w:color w:val="000000" w:themeColor="text1"/>
          <w:sz w:val="24"/>
          <w:highlight w:val="none"/>
          <w14:textFill>
            <w14:solidFill>
              <w14:schemeClr w14:val="tx1"/>
            </w14:solidFill>
          </w14:textFill>
        </w:rPr>
        <w:t>预付款</w:t>
      </w:r>
    </w:p>
    <w:p w14:paraId="2AA705C3">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是</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否）需要支付预付款。若需要支付预付款的，则：</w:t>
      </w:r>
    </w:p>
    <w:p w14:paraId="2373E06E">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4687C4F">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48A7E1DD">
      <w:pPr>
        <w:pStyle w:val="96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45C7EA8E">
      <w:pPr>
        <w:pStyle w:val="96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3125E509">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C286655">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62C381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 xml:space="preserve"> 履行期限</w:t>
      </w:r>
      <w:r>
        <w:rPr>
          <w:rFonts w:hint="eastAsia" w:ascii="仿宋" w:hAnsi="仿宋" w:eastAsia="仿宋" w:cs="仿宋"/>
          <w:b/>
          <w:color w:val="000000" w:themeColor="text1"/>
          <w:sz w:val="24"/>
          <w:highlight w:val="none"/>
          <w14:textFill>
            <w14:solidFill>
              <w14:schemeClr w14:val="tx1"/>
            </w14:solidFill>
          </w14:textFill>
        </w:rPr>
        <w:t>、地点和方式</w:t>
      </w:r>
      <w:bookmarkEnd w:id="418"/>
      <w:bookmarkEnd w:id="419"/>
      <w:bookmarkEnd w:id="420"/>
      <w:bookmarkEnd w:id="421"/>
      <w:bookmarkEnd w:id="422"/>
    </w:p>
    <w:p w14:paraId="00E662BB">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.1 </w:t>
      </w:r>
      <w:r>
        <w:rPr>
          <w:rFonts w:hint="eastAsia" w:ascii="仿宋" w:hAnsi="仿宋" w:eastAsia="仿宋" w:cs="仿宋"/>
          <w:color w:val="000000" w:themeColor="text1"/>
          <w:sz w:val="24"/>
          <w:highlight w:val="none"/>
          <w14:textFill>
            <w14:solidFill>
              <w14:schemeClr w14:val="tx1"/>
            </w14:solidFill>
          </w14:textFill>
        </w:rPr>
        <w:t>服务交付（实施）的时间（期限）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3AE1AD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z w:val="24"/>
          <w:highlight w:val="none"/>
          <w14:textFill>
            <w14:solidFill>
              <w14:schemeClr w14:val="tx1"/>
            </w14:solidFill>
          </w14:textFill>
        </w:rPr>
        <w:t>服</w:t>
      </w:r>
      <w:r>
        <w:rPr>
          <w:rFonts w:hint="eastAsia" w:ascii="仿宋" w:hAnsi="仿宋" w:eastAsia="仿宋" w:cs="仿宋"/>
          <w:color w:val="000000" w:themeColor="text1"/>
          <w:sz w:val="24"/>
          <w:highlight w:val="none"/>
          <w14:textFill>
            <w14:solidFill>
              <w14:schemeClr w14:val="tx1"/>
            </w14:solidFill>
          </w14:textFill>
        </w:rPr>
        <w:t>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7A9961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.3 </w:t>
      </w:r>
      <w:r>
        <w:rPr>
          <w:rFonts w:hint="eastAsia" w:ascii="仿宋" w:hAnsi="仿宋" w:eastAsia="仿宋" w:cs="仿宋"/>
          <w:color w:val="000000" w:themeColor="text1"/>
          <w:sz w:val="24"/>
          <w:highlight w:val="none"/>
          <w14:textFill>
            <w14:solidFill>
              <w14:schemeClr w14:val="tx1"/>
            </w14:solidFill>
          </w14:textFill>
        </w:rPr>
        <w:t>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C5432A8">
      <w:pPr>
        <w:spacing w:line="560" w:lineRule="exact"/>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bookmarkStart w:id="423" w:name="_Toc5698"/>
      <w:bookmarkStart w:id="424" w:name="_Toc24662"/>
      <w:bookmarkStart w:id="425" w:name="_Toc3079"/>
      <w:bookmarkStart w:id="426" w:name="_Toc8586"/>
      <w:bookmarkStart w:id="427" w:name="_Toc2375"/>
      <w:r>
        <w:rPr>
          <w:rFonts w:hint="eastAsia" w:ascii="仿宋" w:hAnsi="仿宋" w:eastAsia="仿宋" w:cs="仿宋"/>
          <w:bCs/>
          <w:color w:val="000000" w:themeColor="text1"/>
          <w:sz w:val="24"/>
          <w:highlight w:val="none"/>
          <w14:textFill>
            <w14:solidFill>
              <w14:schemeClr w14:val="tx1"/>
            </w14:solidFill>
          </w14:textFill>
        </w:rPr>
        <w:t>1.7.4若服务</w:t>
      </w:r>
      <w:r>
        <w:rPr>
          <w:rFonts w:hint="eastAsia" w:ascii="仿宋" w:hAnsi="仿宋" w:eastAsia="仿宋" w:cs="仿宋"/>
          <w:bCs/>
          <w:color w:val="000000" w:themeColor="text1"/>
          <w:sz w:val="24"/>
          <w:highlight w:val="none"/>
          <w14:textFill>
            <w14:solidFill>
              <w14:schemeClr w14:val="tx1"/>
            </w14:solidFill>
          </w14:textFill>
        </w:rPr>
        <w:t>涉及货物的，则货物的：</w:t>
      </w:r>
    </w:p>
    <w:p w14:paraId="03A104BD">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BE1AFE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51C8E1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FC365CD">
      <w:pPr>
        <w:spacing w:line="560" w:lineRule="exact"/>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8违约责任</w:t>
      </w:r>
      <w:bookmarkEnd w:id="423"/>
      <w:bookmarkEnd w:id="424"/>
      <w:bookmarkEnd w:id="425"/>
      <w:bookmarkEnd w:id="426"/>
      <w:bookmarkEnd w:id="427"/>
    </w:p>
    <w:p w14:paraId="5CB935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.1 除不可抗力外，如果乙方没有按照本合同约定的期限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地点和方式</w:t>
      </w:r>
      <w:r>
        <w:rPr>
          <w:rFonts w:hint="eastAsia" w:ascii="仿宋" w:hAnsi="仿宋" w:eastAsia="仿宋" w:cs="仿宋"/>
          <w:color w:val="000000" w:themeColor="text1"/>
          <w:sz w:val="24"/>
          <w:highlight w:val="none"/>
          <w14:textFill>
            <w14:solidFill>
              <w14:schemeClr w14:val="tx1"/>
            </w14:solidFill>
          </w14:textFill>
        </w:rPr>
        <w:t>交付服务成果或者实施服务</w:t>
      </w:r>
      <w:r>
        <w:rPr>
          <w:rFonts w:hint="eastAsia" w:ascii="仿宋" w:hAnsi="仿宋" w:eastAsia="仿宋" w:cs="仿宋"/>
          <w:color w:val="000000" w:themeColor="text1"/>
          <w:sz w:val="24"/>
          <w:highlight w:val="none"/>
          <w14:textFill>
            <w14:solidFill>
              <w14:schemeClr w14:val="tx1"/>
            </w14:solidFill>
          </w14:textFill>
        </w:rPr>
        <w:t>，那么甲方可要求乙方支付违约金</w:t>
      </w:r>
      <w:r>
        <w:rPr>
          <w:rFonts w:hint="eastAsia" w:ascii="仿宋" w:hAnsi="仿宋" w:eastAsia="仿宋" w:cs="仿宋"/>
          <w:color w:val="000000" w:themeColor="text1"/>
          <w:sz w:val="24"/>
          <w:highlight w:val="none"/>
          <w14:textFill>
            <w14:solidFill>
              <w14:schemeClr w14:val="tx1"/>
            </w14:solidFill>
          </w14:textFill>
        </w:rPr>
        <w:t>，迟延履行</w:t>
      </w:r>
      <w:r>
        <w:rPr>
          <w:rFonts w:hint="eastAsia" w:ascii="仿宋" w:hAnsi="仿宋" w:eastAsia="仿宋" w:cs="仿宋"/>
          <w:color w:val="000000" w:themeColor="text1"/>
          <w:sz w:val="24"/>
          <w:highlight w:val="none"/>
          <w14:textFill>
            <w14:solidFill>
              <w14:schemeClr w14:val="tx1"/>
            </w14:solidFill>
          </w14:textFill>
        </w:rPr>
        <w:t>违约金按每迟延</w:t>
      </w:r>
      <w:r>
        <w:rPr>
          <w:rFonts w:hint="eastAsia" w:ascii="仿宋" w:hAnsi="仿宋" w:eastAsia="仿宋" w:cs="仿宋"/>
          <w:color w:val="000000" w:themeColor="text1"/>
          <w:sz w:val="24"/>
          <w:highlight w:val="none"/>
          <w14:textFill>
            <w14:solidFill>
              <w14:schemeClr w14:val="tx1"/>
            </w14:solidFill>
          </w14:textFill>
        </w:rPr>
        <w:t>履行</w:t>
      </w:r>
      <w:r>
        <w:rPr>
          <w:rFonts w:hint="eastAsia" w:ascii="仿宋" w:hAnsi="仿宋" w:eastAsia="仿宋" w:cs="仿宋"/>
          <w:color w:val="000000" w:themeColor="text1"/>
          <w:sz w:val="24"/>
          <w:highlight w:val="none"/>
          <w14:textFill>
            <w14:solidFill>
              <w14:schemeClr w14:val="tx1"/>
            </w14:solidFill>
          </w14:textFill>
        </w:rPr>
        <w:t>一日的应提供而未</w:t>
      </w: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color w:val="000000" w:themeColor="text1"/>
          <w:sz w:val="24"/>
          <w:highlight w:val="none"/>
          <w14:textFill>
            <w14:solidFill>
              <w14:schemeClr w14:val="tx1"/>
            </w14:solidFill>
          </w14:textFill>
        </w:rPr>
        <w:t>服务价格的</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最高限额为</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迟延</w:t>
      </w:r>
      <w:r>
        <w:rPr>
          <w:rFonts w:hint="eastAsia" w:ascii="仿宋" w:hAnsi="仿宋" w:eastAsia="仿宋" w:cs="仿宋"/>
          <w:color w:val="000000" w:themeColor="text1"/>
          <w:sz w:val="24"/>
          <w:highlight w:val="none"/>
          <w14:textFill>
            <w14:solidFill>
              <w14:schemeClr w14:val="tx1"/>
            </w14:solidFill>
          </w14:textFill>
        </w:rPr>
        <w:t>履行</w:t>
      </w:r>
      <w:r>
        <w:rPr>
          <w:rFonts w:hint="eastAsia" w:ascii="仿宋" w:hAnsi="仿宋" w:eastAsia="仿宋" w:cs="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s="仿宋"/>
          <w:color w:val="000000" w:themeColor="text1"/>
          <w:sz w:val="24"/>
          <w:highlight w:val="none"/>
          <w14:textFill>
            <w14:solidFill>
              <w14:schemeClr w14:val="tx1"/>
            </w14:solidFill>
          </w14:textFill>
        </w:rPr>
        <w:t>，书面通知乙方</w:t>
      </w:r>
      <w:r>
        <w:rPr>
          <w:rFonts w:hint="eastAsia" w:ascii="仿宋" w:hAnsi="仿宋" w:eastAsia="仿宋" w:cs="仿宋"/>
          <w:color w:val="000000" w:themeColor="text1"/>
          <w:sz w:val="24"/>
          <w:highlight w:val="none"/>
          <w14:textFill>
            <w14:solidFill>
              <w14:schemeClr w14:val="tx1"/>
            </w14:solidFill>
          </w14:textFill>
        </w:rPr>
        <w:t>解除本合同</w:t>
      </w:r>
      <w:r>
        <w:rPr>
          <w:rFonts w:hint="eastAsia" w:ascii="仿宋" w:hAnsi="仿宋" w:eastAsia="仿宋" w:cs="仿宋"/>
          <w:color w:val="000000" w:themeColor="text1"/>
          <w:sz w:val="24"/>
          <w:highlight w:val="none"/>
          <w14:textFill>
            <w14:solidFill>
              <w14:schemeClr w14:val="tx1"/>
            </w14:solidFill>
          </w14:textFill>
        </w:rPr>
        <w:t>；</w:t>
      </w:r>
    </w:p>
    <w:p w14:paraId="71A8D2E7">
      <w:pPr>
        <w:pStyle w:val="3"/>
        <w:spacing w:line="360" w:lineRule="auto"/>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3970B84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仿宋" w:hAnsi="仿宋" w:eastAsia="仿宋" w:cs="仿宋"/>
          <w:color w:val="000000" w:themeColor="text1"/>
          <w:sz w:val="24"/>
          <w:highlight w:val="none"/>
          <w14:textFill>
            <w14:solidFill>
              <w14:schemeClr w14:val="tx1"/>
            </w14:solidFill>
          </w14:textFill>
        </w:rPr>
        <w:t>；</w:t>
      </w:r>
    </w:p>
    <w:p w14:paraId="22526BA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28" w:name="_Toc18683"/>
      <w:bookmarkStart w:id="429" w:name="_Toc32454"/>
      <w:bookmarkStart w:id="430" w:name="_Toc26807"/>
      <w:bookmarkStart w:id="431" w:name="_Toc30329"/>
      <w:bookmarkStart w:id="432" w:name="_Toc9497"/>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73A5C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2A1C4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726901EB">
      <w:pPr>
        <w:spacing w:line="560" w:lineRule="exact"/>
        <w:ind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bookmarkEnd w:id="428"/>
    <w:bookmarkEnd w:id="429"/>
    <w:bookmarkEnd w:id="430"/>
    <w:bookmarkEnd w:id="431"/>
    <w:bookmarkEnd w:id="432"/>
    <w:p w14:paraId="665C3C5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3" w:name="_Toc16021"/>
      <w:bookmarkStart w:id="434" w:name="_Toc28375"/>
      <w:bookmarkStart w:id="435" w:name="_Toc15583"/>
      <w:r>
        <w:rPr>
          <w:rFonts w:hint="eastAsia" w:ascii="仿宋" w:hAnsi="仿宋" w:eastAsia="仿宋" w:cs="仿宋"/>
          <w:b/>
          <w:color w:val="000000" w:themeColor="text1"/>
          <w:sz w:val="24"/>
          <w:highlight w:val="none"/>
          <w14:textFill>
            <w14:solidFill>
              <w14:schemeClr w14:val="tx1"/>
            </w14:solidFill>
          </w14:textFill>
        </w:rPr>
        <w:t>1.9合同争议的解决</w:t>
      </w:r>
      <w:bookmarkEnd w:id="433"/>
      <w:bookmarkEnd w:id="434"/>
      <w:bookmarkEnd w:id="435"/>
    </w:p>
    <w:p w14:paraId="24386680">
      <w:pPr>
        <w:spacing w:line="560" w:lineRule="exact"/>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0FF3C458">
      <w:pPr>
        <w:spacing w:line="560" w:lineRule="exact"/>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24D9FEA9">
      <w:pPr>
        <w:spacing w:line="560" w:lineRule="exact"/>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7DDFF4C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6" w:name="_Toc7245"/>
      <w:bookmarkStart w:id="437" w:name="_Toc15322"/>
      <w:bookmarkStart w:id="438" w:name="_Toc11173"/>
      <w:r>
        <w:rPr>
          <w:rFonts w:hint="eastAsia" w:ascii="仿宋" w:hAnsi="仿宋" w:eastAsia="仿宋" w:cs="仿宋"/>
          <w:b/>
          <w:color w:val="000000" w:themeColor="text1"/>
          <w:sz w:val="24"/>
          <w:highlight w:val="none"/>
          <w14:textFill>
            <w14:solidFill>
              <w14:schemeClr w14:val="tx1"/>
            </w14:solidFill>
          </w14:textFill>
        </w:rPr>
        <w:t>2.0 合同生效</w:t>
      </w:r>
      <w:bookmarkEnd w:id="436"/>
      <w:bookmarkEnd w:id="437"/>
      <w:bookmarkEnd w:id="438"/>
    </w:p>
    <w:p w14:paraId="6A15DA0C">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w:t>
      </w:r>
      <w:r>
        <w:rPr>
          <w:rFonts w:hint="eastAsia" w:ascii="仿宋" w:hAnsi="仿宋" w:eastAsia="仿宋" w:cs="仿宋"/>
          <w:color w:val="000000" w:themeColor="text1"/>
          <w:sz w:val="24"/>
          <w:highlight w:val="none"/>
          <w:lang w:val="en-US" w:eastAsia="zh-CN"/>
          <w14:textFill>
            <w14:solidFill>
              <w14:schemeClr w14:val="tx1"/>
            </w14:solidFill>
          </w14:textFill>
        </w:rPr>
        <w:t>法定代表人或授权代表</w:t>
      </w:r>
      <w:r>
        <w:rPr>
          <w:rFonts w:hint="eastAsia" w:ascii="仿宋" w:hAnsi="仿宋" w:eastAsia="仿宋" w:cs="仿宋"/>
          <w:color w:val="000000" w:themeColor="text1"/>
          <w:sz w:val="24"/>
          <w:highlight w:val="none"/>
          <w14:textFill>
            <w14:solidFill>
              <w14:schemeClr w14:val="tx1"/>
            </w14:solidFill>
          </w14:textFill>
        </w:rPr>
        <w:t>签字</w:t>
      </w:r>
      <w:r>
        <w:rPr>
          <w:rFonts w:hint="eastAsia" w:ascii="仿宋" w:hAnsi="仿宋" w:eastAsia="仿宋" w:cs="仿宋"/>
          <w:color w:val="000000" w:themeColor="text1"/>
          <w:sz w:val="24"/>
          <w:highlight w:val="none"/>
          <w:lang w:val="en-US" w:eastAsia="zh-CN"/>
          <w14:textFill>
            <w14:solidFill>
              <w14:schemeClr w14:val="tx1"/>
            </w14:solidFill>
          </w14:textFill>
        </w:rPr>
        <w:t>并加盖公章</w:t>
      </w:r>
      <w:r>
        <w:rPr>
          <w:rFonts w:hint="eastAsia" w:ascii="仿宋" w:hAnsi="仿宋" w:eastAsia="仿宋" w:cs="仿宋"/>
          <w:color w:val="000000" w:themeColor="text1"/>
          <w:sz w:val="24"/>
          <w:highlight w:val="none"/>
          <w14:textFill>
            <w14:solidFill>
              <w14:schemeClr w14:val="tx1"/>
            </w14:solidFill>
          </w14:textFill>
        </w:rPr>
        <w:t>时生效。</w:t>
      </w:r>
    </w:p>
    <w:p w14:paraId="61FAFBBC">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p>
    <w:p w14:paraId="75803BA1">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01647A64">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统一社会信用代码或身份证号码：</w:t>
      </w:r>
    </w:p>
    <w:p w14:paraId="1FC4BBA8">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p>
    <w:p w14:paraId="7207893C">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住所：</w:t>
      </w:r>
    </w:p>
    <w:p w14:paraId="7E9F749B">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法定代表人或</w:t>
      </w:r>
    </w:p>
    <w:p w14:paraId="34A690E7">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授权代表（签字）：</w:t>
      </w:r>
      <w:r>
        <w:rPr>
          <w:rFonts w:hint="eastAsia" w:ascii="仿宋" w:hAnsi="仿宋" w:eastAsia="仿宋" w:cs="仿宋"/>
          <w:color w:val="000000" w:themeColor="text1"/>
          <w:sz w:val="24"/>
          <w:highlight w:val="none"/>
          <w:lang w:val="zh-CN"/>
          <w14:textFill>
            <w14:solidFill>
              <w14:schemeClr w14:val="tx1"/>
            </w14:solidFill>
          </w14:textFill>
        </w:rPr>
        <w:t xml:space="preserve">                       授权代表（签字）: </w:t>
      </w:r>
    </w:p>
    <w:p w14:paraId="7FE1E029">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联系人：</w:t>
      </w:r>
    </w:p>
    <w:p w14:paraId="00CAD668">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约定送达地址：</w:t>
      </w:r>
    </w:p>
    <w:p w14:paraId="3ACDFC3A">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邮政编码：</w:t>
      </w:r>
    </w:p>
    <w:p w14:paraId="29BB6299">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电话</w:t>
      </w:r>
      <w:r>
        <w:rPr>
          <w:rFonts w:hint="eastAsia" w:ascii="仿宋" w:hAnsi="仿宋" w:eastAsia="仿宋" w:cs="仿宋"/>
          <w:color w:val="000000" w:themeColor="text1"/>
          <w:sz w:val="24"/>
          <w:highlight w:val="none"/>
          <w:lang w:val="zh-CN"/>
          <w14:textFill>
            <w14:solidFill>
              <w14:schemeClr w14:val="tx1"/>
            </w14:solidFill>
          </w14:textFill>
        </w:rPr>
        <w:t xml:space="preserve">:                                    电话: </w:t>
      </w:r>
    </w:p>
    <w:p w14:paraId="724D5B51">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传真</w:t>
      </w:r>
      <w:r>
        <w:rPr>
          <w:rFonts w:hint="eastAsia" w:ascii="仿宋" w:hAnsi="仿宋" w:eastAsia="仿宋" w:cs="仿宋"/>
          <w:color w:val="000000" w:themeColor="text1"/>
          <w:sz w:val="24"/>
          <w:highlight w:val="none"/>
          <w:lang w:val="zh-CN"/>
          <w14:textFill>
            <w14:solidFill>
              <w14:schemeClr w14:val="tx1"/>
            </w14:solidFill>
          </w14:textFill>
        </w:rPr>
        <w:t>:</w:t>
      </w:r>
    </w:p>
    <w:p w14:paraId="2805E64C">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电子邮箱：</w:t>
      </w:r>
    </w:p>
    <w:p w14:paraId="5161013F">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r>
        <w:rPr>
          <w:rFonts w:hint="eastAsia" w:ascii="仿宋" w:hAnsi="仿宋" w:eastAsia="仿宋" w:cs="仿宋"/>
          <w:color w:val="000000" w:themeColor="text1"/>
          <w:sz w:val="24"/>
          <w:highlight w:val="none"/>
          <w14:textFill>
            <w14:solidFill>
              <w14:schemeClr w14:val="tx1"/>
            </w14:solidFill>
          </w14:textFill>
        </w:rPr>
        <w:t xml:space="preserve">                               开户银行： </w:t>
      </w:r>
    </w:p>
    <w:p w14:paraId="0DF92DBA">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开户名称：</w:t>
      </w:r>
      <w:r>
        <w:rPr>
          <w:rFonts w:hint="eastAsia" w:ascii="仿宋" w:hAnsi="仿宋" w:eastAsia="仿宋" w:cs="仿宋"/>
          <w:color w:val="000000" w:themeColor="text1"/>
          <w:sz w:val="24"/>
          <w:highlight w:val="none"/>
          <w14:textFill>
            <w14:solidFill>
              <w14:schemeClr w14:val="tx1"/>
            </w14:solidFill>
          </w14:textFill>
        </w:rPr>
        <w:t xml:space="preserve">                               开户名称： </w:t>
      </w:r>
    </w:p>
    <w:p w14:paraId="1A86DB08">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016172B2">
      <w:pPr>
        <w:widowControl/>
        <w:spacing w:line="560" w:lineRule="exact"/>
        <w:jc w:val="left"/>
        <w:rPr>
          <w:rFonts w:hint="eastAsia" w:ascii="仿宋" w:hAnsi="仿宋" w:eastAsia="仿宋" w:cs="仿宋"/>
          <w:b/>
          <w:color w:val="000000" w:themeColor="text1"/>
          <w:sz w:val="24"/>
          <w:highlight w:val="none"/>
          <w14:textFill>
            <w14:solidFill>
              <w14:schemeClr w14:val="tx1"/>
            </w14:solidFill>
          </w14:textFill>
        </w:rPr>
      </w:pPr>
    </w:p>
    <w:p w14:paraId="04A9E868">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4052DDB9">
      <w:pPr>
        <w:pStyle w:val="703"/>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合同一般条款</w:t>
      </w:r>
    </w:p>
    <w:p w14:paraId="12DC13CC">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9" w:name="_Toc25079"/>
      <w:bookmarkStart w:id="440" w:name="_Toc31297"/>
      <w:bookmarkStart w:id="441" w:name="_Toc5228"/>
      <w:bookmarkStart w:id="442" w:name="_Toc14021"/>
      <w:bookmarkStart w:id="443" w:name="_Toc19680"/>
      <w:r>
        <w:rPr>
          <w:rFonts w:hint="eastAsia" w:ascii="仿宋" w:hAnsi="仿宋" w:eastAsia="仿宋" w:cs="仿宋"/>
          <w:b/>
          <w:color w:val="000000" w:themeColor="text1"/>
          <w:sz w:val="24"/>
          <w:highlight w:val="none"/>
          <w14:textFill>
            <w14:solidFill>
              <w14:schemeClr w14:val="tx1"/>
            </w14:solidFill>
          </w14:textFill>
        </w:rPr>
        <w:t>2.1 定义</w:t>
      </w:r>
      <w:bookmarkEnd w:id="439"/>
      <w:bookmarkEnd w:id="440"/>
      <w:bookmarkEnd w:id="441"/>
      <w:bookmarkEnd w:id="442"/>
      <w:bookmarkEnd w:id="443"/>
    </w:p>
    <w:p w14:paraId="602B572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w:t>
      </w:r>
      <w:r>
        <w:rPr>
          <w:rFonts w:hint="eastAsia" w:ascii="仿宋" w:hAnsi="仿宋" w:eastAsia="仿宋" w:cs="仿宋"/>
          <w:color w:val="000000" w:themeColor="text1"/>
          <w:sz w:val="24"/>
          <w:highlight w:val="none"/>
          <w14:textFill>
            <w14:solidFill>
              <w14:schemeClr w14:val="tx1"/>
            </w14:solidFill>
          </w14:textFill>
        </w:rPr>
        <w:t>词</w:t>
      </w:r>
      <w:r>
        <w:rPr>
          <w:rFonts w:hint="eastAsia" w:ascii="仿宋" w:hAnsi="仿宋" w:eastAsia="仿宋" w:cs="仿宋"/>
          <w:color w:val="000000" w:themeColor="text1"/>
          <w:sz w:val="24"/>
          <w:highlight w:val="none"/>
          <w14:textFill>
            <w14:solidFill>
              <w14:schemeClr w14:val="tx1"/>
            </w14:solidFill>
          </w14:textFill>
        </w:rPr>
        <w:t>语应</w:t>
      </w:r>
      <w:r>
        <w:rPr>
          <w:rFonts w:hint="eastAsia" w:ascii="仿宋" w:hAnsi="仿宋" w:eastAsia="仿宋" w:cs="仿宋"/>
          <w:color w:val="000000" w:themeColor="text1"/>
          <w:sz w:val="24"/>
          <w:highlight w:val="none"/>
          <w14:textFill>
            <w14:solidFill>
              <w14:schemeClr w14:val="tx1"/>
            </w14:solidFill>
          </w14:textFill>
        </w:rPr>
        <w:t>按以下内容进行</w:t>
      </w:r>
      <w:r>
        <w:rPr>
          <w:rFonts w:hint="eastAsia" w:ascii="仿宋" w:hAnsi="仿宋" w:eastAsia="仿宋" w:cs="仿宋"/>
          <w:color w:val="000000" w:themeColor="text1"/>
          <w:sz w:val="24"/>
          <w:highlight w:val="none"/>
          <w14:textFill>
            <w14:solidFill>
              <w14:schemeClr w14:val="tx1"/>
            </w14:solidFill>
          </w14:textFill>
        </w:rPr>
        <w:t>解释：</w:t>
      </w:r>
    </w:p>
    <w:p w14:paraId="4890E6D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w:t>
      </w:r>
      <w:r>
        <w:rPr>
          <w:rFonts w:hint="eastAsia" w:ascii="仿宋" w:hAnsi="仿宋" w:eastAsia="仿宋" w:cs="仿宋"/>
          <w:color w:val="000000" w:themeColor="text1"/>
          <w:sz w:val="24"/>
          <w:highlight w:val="none"/>
          <w14:textFill>
            <w14:solidFill>
              <w14:schemeClr w14:val="tx1"/>
            </w14:solidFill>
          </w14:textFill>
        </w:rPr>
        <w:t>中标或成交</w:t>
      </w:r>
      <w:r>
        <w:rPr>
          <w:rFonts w:hint="eastAsia" w:ascii="仿宋" w:hAnsi="仿宋" w:eastAsia="仿宋" w:cs="仿宋"/>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2AC725C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w:t>
      </w:r>
      <w:r>
        <w:rPr>
          <w:rFonts w:hint="eastAsia" w:ascii="仿宋" w:hAnsi="仿宋" w:eastAsia="仿宋" w:cs="仿宋"/>
          <w:color w:val="000000" w:themeColor="text1"/>
          <w:sz w:val="24"/>
          <w:highlight w:val="none"/>
          <w14:textFill>
            <w14:solidFill>
              <w14:schemeClr w14:val="tx1"/>
            </w14:solidFill>
          </w14:textFill>
        </w:rPr>
        <w:t>中标或成交</w:t>
      </w:r>
      <w:r>
        <w:rPr>
          <w:rFonts w:hint="eastAsia" w:ascii="仿宋" w:hAnsi="仿宋" w:eastAsia="仿宋" w:cs="仿宋"/>
          <w:color w:val="000000" w:themeColor="text1"/>
          <w:sz w:val="24"/>
          <w:highlight w:val="none"/>
          <w14:textFill>
            <w14:solidFill>
              <w14:schemeClr w14:val="tx1"/>
            </w14:solidFill>
          </w14:textFill>
        </w:rPr>
        <w:t>供应商在完全履行合同义务后</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采购人应支付给</w:t>
      </w:r>
      <w:r>
        <w:rPr>
          <w:rFonts w:hint="eastAsia" w:ascii="仿宋" w:hAnsi="仿宋" w:eastAsia="仿宋" w:cs="仿宋"/>
          <w:color w:val="000000" w:themeColor="text1"/>
          <w:sz w:val="24"/>
          <w:highlight w:val="none"/>
          <w14:textFill>
            <w14:solidFill>
              <w14:schemeClr w14:val="tx1"/>
            </w14:solidFill>
          </w14:textFill>
        </w:rPr>
        <w:t>中标或成交</w:t>
      </w:r>
      <w:r>
        <w:rPr>
          <w:rFonts w:hint="eastAsia" w:ascii="仿宋" w:hAnsi="仿宋" w:eastAsia="仿宋" w:cs="仿宋"/>
          <w:color w:val="000000" w:themeColor="text1"/>
          <w:sz w:val="24"/>
          <w:highlight w:val="none"/>
          <w14:textFill>
            <w14:solidFill>
              <w14:schemeClr w14:val="tx1"/>
            </w14:solidFill>
          </w14:textFill>
        </w:rPr>
        <w:t>供应商的价格。</w:t>
      </w:r>
    </w:p>
    <w:p w14:paraId="2AE267C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w:t>
      </w: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14:textFill>
            <w14:solidFill>
              <w14:schemeClr w14:val="tx1"/>
            </w14:solidFill>
          </w14:textFill>
        </w:rPr>
        <w:t>中标或成交</w:t>
      </w: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根据合同约定应向采购人</w:t>
      </w:r>
      <w:r>
        <w:rPr>
          <w:rFonts w:hint="eastAsia" w:ascii="仿宋" w:hAnsi="仿宋" w:eastAsia="仿宋" w:cs="仿宋"/>
          <w:color w:val="000000" w:themeColor="text1"/>
          <w:sz w:val="24"/>
          <w:highlight w:val="none"/>
          <w14:textFill>
            <w14:solidFill>
              <w14:schemeClr w14:val="tx1"/>
            </w14:solidFill>
          </w14:textFill>
        </w:rPr>
        <w:t>履行</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160BA46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w:t>
      </w: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”系指与</w:t>
      </w:r>
      <w:r>
        <w:rPr>
          <w:rFonts w:hint="eastAsia" w:ascii="仿宋" w:hAnsi="仿宋" w:eastAsia="仿宋" w:cs="仿宋"/>
          <w:color w:val="000000" w:themeColor="text1"/>
          <w:sz w:val="24"/>
          <w:highlight w:val="none"/>
          <w14:textFill>
            <w14:solidFill>
              <w14:schemeClr w14:val="tx1"/>
            </w14:solidFill>
          </w14:textFill>
        </w:rPr>
        <w:t>中标或成交</w:t>
      </w: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签署合同的采购人</w:t>
      </w:r>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F2EFF6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w:t>
      </w:r>
      <w:r>
        <w:rPr>
          <w:rFonts w:hint="eastAsia" w:ascii="仿宋" w:hAnsi="仿宋" w:eastAsia="仿宋" w:cs="仿宋"/>
          <w:color w:val="000000" w:themeColor="text1"/>
          <w:sz w:val="24"/>
          <w:highlight w:val="none"/>
          <w14:textFill>
            <w14:solidFill>
              <w14:schemeClr w14:val="tx1"/>
            </w14:solidFill>
          </w14:textFill>
        </w:rPr>
        <w:t>中标或成交</w:t>
      </w: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878D4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0BCD556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4" w:name="_Toc23289"/>
      <w:bookmarkStart w:id="445" w:name="_Toc19539"/>
      <w:bookmarkStart w:id="446" w:name="_Toc31402"/>
      <w:bookmarkStart w:id="447" w:name="_Toc16752"/>
      <w:bookmarkStart w:id="448" w:name="_Toc3769"/>
      <w:r>
        <w:rPr>
          <w:rFonts w:hint="eastAsia" w:ascii="仿宋" w:hAnsi="仿宋" w:eastAsia="仿宋" w:cs="仿宋"/>
          <w:b/>
          <w:color w:val="000000" w:themeColor="text1"/>
          <w:sz w:val="24"/>
          <w:highlight w:val="none"/>
          <w14:textFill>
            <w14:solidFill>
              <w14:schemeClr w14:val="tx1"/>
            </w14:solidFill>
          </w14:textFill>
        </w:rPr>
        <w:t>2.2 技术规范</w:t>
      </w:r>
      <w:bookmarkEnd w:id="444"/>
      <w:bookmarkEnd w:id="445"/>
      <w:bookmarkEnd w:id="446"/>
      <w:bookmarkEnd w:id="447"/>
      <w:bookmarkEnd w:id="448"/>
    </w:p>
    <w:p w14:paraId="656950E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s="仿宋"/>
          <w:color w:val="000000" w:themeColor="text1"/>
          <w:sz w:val="24"/>
          <w:highlight w:val="none"/>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规范为准。</w:t>
      </w:r>
    </w:p>
    <w:p w14:paraId="3B196CE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9" w:name="_Toc13673"/>
      <w:bookmarkStart w:id="450" w:name="_Toc4133"/>
      <w:bookmarkStart w:id="451" w:name="_Toc9161"/>
      <w:bookmarkStart w:id="452" w:name="_Toc12412"/>
      <w:bookmarkStart w:id="453" w:name="_Toc27945"/>
      <w:r>
        <w:rPr>
          <w:rFonts w:hint="eastAsia" w:ascii="仿宋" w:hAnsi="仿宋" w:eastAsia="仿宋" w:cs="仿宋"/>
          <w:b/>
          <w:color w:val="000000" w:themeColor="text1"/>
          <w:sz w:val="24"/>
          <w:highlight w:val="none"/>
          <w14:textFill>
            <w14:solidFill>
              <w14:schemeClr w14:val="tx1"/>
            </w14:solidFill>
          </w14:textFill>
        </w:rPr>
        <w:t>2.3 知识产权</w:t>
      </w:r>
      <w:bookmarkEnd w:id="449"/>
      <w:bookmarkEnd w:id="450"/>
      <w:bookmarkEnd w:id="451"/>
      <w:bookmarkEnd w:id="452"/>
      <w:bookmarkEnd w:id="453"/>
    </w:p>
    <w:p w14:paraId="22A280A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2.3.1 </w:t>
      </w:r>
      <w:r>
        <w:rPr>
          <w:rFonts w:hint="eastAsia" w:ascii="仿宋" w:hAnsi="仿宋" w:eastAsia="仿宋" w:cs="仿宋"/>
          <w:color w:val="000000" w:themeColor="text1"/>
          <w:sz w:val="24"/>
          <w:highlight w:val="none"/>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方应保证</w:t>
      </w:r>
      <w:r>
        <w:rPr>
          <w:rFonts w:hint="eastAsia" w:ascii="仿宋" w:hAnsi="仿宋" w:eastAsia="仿宋" w:cs="仿宋"/>
          <w:color w:val="000000" w:themeColor="text1"/>
          <w:sz w:val="24"/>
          <w:highlight w:val="none"/>
          <w14:textFill>
            <w14:solidFill>
              <w14:schemeClr w14:val="tx1"/>
            </w14:solidFill>
          </w14:textFill>
        </w:rPr>
        <w:t>其提供的服务</w:t>
      </w:r>
      <w:r>
        <w:rPr>
          <w:rFonts w:hint="eastAsia" w:ascii="仿宋" w:hAnsi="仿宋" w:eastAsia="仿宋" w:cs="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如果任何第三方提出侵权</w:t>
      </w:r>
      <w:r>
        <w:rPr>
          <w:rFonts w:hint="eastAsia" w:ascii="仿宋" w:hAnsi="仿宋" w:eastAsia="仿宋" w:cs="仿宋"/>
          <w:color w:val="000000" w:themeColor="text1"/>
          <w:sz w:val="24"/>
          <w:highlight w:val="none"/>
          <w14:textFill>
            <w14:solidFill>
              <w14:schemeClr w14:val="tx1"/>
            </w14:solidFill>
          </w14:textFill>
        </w:rPr>
        <w:t>指控</w:t>
      </w:r>
      <w:r>
        <w:rPr>
          <w:rFonts w:hint="eastAsia" w:ascii="仿宋" w:hAnsi="仿宋" w:eastAsia="仿宋" w:cs="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s="仿宋"/>
          <w:color w:val="000000" w:themeColor="text1"/>
          <w:sz w:val="24"/>
          <w:highlight w:val="none"/>
          <w14:textFill>
            <w14:solidFill>
              <w14:schemeClr w14:val="tx1"/>
            </w14:solidFill>
          </w14:textFill>
        </w:rPr>
        <w:t>，乙方还应及时澄清相关信息，使甲方声誉免受损害，甲方保留追责的权利。</w:t>
      </w:r>
    </w:p>
    <w:p w14:paraId="790D38D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2.3.2 </w:t>
      </w:r>
      <w:r>
        <w:rPr>
          <w:rFonts w:hint="eastAsia" w:ascii="仿宋" w:hAnsi="仿宋" w:eastAsia="仿宋" w:cs="仿宋"/>
          <w:color w:val="000000" w:themeColor="text1"/>
          <w:sz w:val="24"/>
          <w:highlight w:val="none"/>
          <w14:textFill>
            <w14:solidFill>
              <w14:schemeClr w14:val="tx1"/>
            </w14:solidFill>
          </w14:textFill>
        </w:rPr>
        <w:t>合同涉及技术成果的归属和收益的分成办法的，</w:t>
      </w: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7E233AC">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2.4 </w:t>
      </w:r>
      <w:r>
        <w:rPr>
          <w:rFonts w:hint="eastAsia" w:ascii="仿宋" w:hAnsi="仿宋" w:eastAsia="仿宋" w:cs="仿宋"/>
          <w:b/>
          <w:color w:val="000000" w:themeColor="text1"/>
          <w:sz w:val="24"/>
          <w:highlight w:val="none"/>
          <w14:textFill>
            <w14:solidFill>
              <w14:schemeClr w14:val="tx1"/>
            </w14:solidFill>
          </w14:textFill>
        </w:rPr>
        <w:t>履约检查和问题反馈</w:t>
      </w:r>
    </w:p>
    <w:p w14:paraId="5E4D437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w:t>
      </w:r>
      <w:r>
        <w:rPr>
          <w:rFonts w:hint="eastAsia" w:ascii="仿宋" w:hAnsi="仿宋" w:eastAsia="仿宋" w:cs="仿宋"/>
          <w:color w:val="000000" w:themeColor="text1"/>
          <w:sz w:val="24"/>
          <w:highlight w:val="none"/>
          <w14:textFill>
            <w14:solidFill>
              <w14:schemeClr w14:val="tx1"/>
            </w14:solidFill>
          </w14:textFill>
        </w:rPr>
        <w:t>有权</w:t>
      </w:r>
      <w:r>
        <w:rPr>
          <w:rFonts w:hint="eastAsia" w:ascii="仿宋" w:hAnsi="仿宋" w:eastAsia="仿宋" w:cs="仿宋"/>
          <w:color w:val="000000" w:themeColor="text1"/>
          <w:sz w:val="24"/>
          <w:highlight w:val="none"/>
          <w14:textFill>
            <w14:solidFill>
              <w14:schemeClr w14:val="tx1"/>
            </w14:solidFill>
          </w14:textFill>
        </w:rPr>
        <w:t>在其认为必要时</w:t>
      </w:r>
      <w:r>
        <w:rPr>
          <w:rFonts w:hint="eastAsia" w:ascii="仿宋" w:hAnsi="仿宋" w:eastAsia="仿宋" w:cs="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2FE5A85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2.4.2 </w:t>
      </w:r>
      <w:r>
        <w:rPr>
          <w:rFonts w:hint="eastAsia" w:ascii="仿宋" w:hAnsi="仿宋" w:eastAsia="仿宋" w:cs="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4EF55C6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4" w:name="_Toc22011"/>
      <w:bookmarkStart w:id="455" w:name="_Toc26555"/>
      <w:bookmarkStart w:id="456" w:name="_Toc32670"/>
      <w:bookmarkStart w:id="457" w:name="_Toc15447"/>
      <w:bookmarkStart w:id="458" w:name="_Toc31233"/>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54"/>
      <w:bookmarkEnd w:id="455"/>
      <w:bookmarkEnd w:id="456"/>
      <w:bookmarkEnd w:id="457"/>
      <w:bookmarkEnd w:id="458"/>
    </w:p>
    <w:p w14:paraId="6D4A031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2D1CCC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9" w:name="_Toc13467"/>
      <w:bookmarkStart w:id="460" w:name="_Toc16163"/>
      <w:bookmarkStart w:id="461" w:name="_Toc13154"/>
      <w:bookmarkStart w:id="462" w:name="_Toc18990"/>
      <w:bookmarkStart w:id="463" w:name="_Toc30507"/>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59"/>
      <w:bookmarkEnd w:id="460"/>
      <w:bookmarkEnd w:id="461"/>
      <w:bookmarkEnd w:id="462"/>
      <w:bookmarkEnd w:id="463"/>
    </w:p>
    <w:p w14:paraId="68616DB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30CAB9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2.6.2 </w:t>
      </w:r>
      <w:r>
        <w:rPr>
          <w:rFonts w:hint="eastAsia" w:ascii="仿宋" w:hAnsi="仿宋" w:eastAsia="仿宋" w:cs="仿宋"/>
          <w:color w:val="000000" w:themeColor="text1"/>
          <w:sz w:val="24"/>
          <w:highlight w:val="none"/>
          <w14:textFill>
            <w14:solidFill>
              <w14:schemeClr w14:val="tx1"/>
            </w14:solidFill>
          </w14:textFill>
        </w:rPr>
        <w:t>乙方有义务妥善保管和保护由甲方提供的前款信息和资料等；</w:t>
      </w:r>
    </w:p>
    <w:p w14:paraId="1685D88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2.6.3 </w:t>
      </w:r>
      <w:r>
        <w:rPr>
          <w:rFonts w:hint="eastAsia" w:ascii="仿宋" w:hAnsi="仿宋" w:eastAsia="仿宋" w:cs="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hint="eastAsia" w:ascii="仿宋" w:hAnsi="仿宋" w:eastAsia="仿宋" w:cs="仿宋"/>
          <w:color w:val="000000" w:themeColor="text1"/>
          <w:sz w:val="24"/>
          <w:highlight w:val="none"/>
          <w14:textFill>
            <w14:solidFill>
              <w14:schemeClr w14:val="tx1"/>
            </w14:solidFill>
          </w14:textFill>
        </w:rPr>
        <w:t>技术情报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技术资料</w:t>
      </w:r>
      <w:r>
        <w:rPr>
          <w:rFonts w:hint="eastAsia" w:ascii="仿宋" w:hAnsi="仿宋" w:eastAsia="仿宋" w:cs="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2D00B0B1">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4" w:name="_Toc19069"/>
      <w:r>
        <w:rPr>
          <w:rFonts w:hint="eastAsia" w:ascii="仿宋" w:hAnsi="仿宋" w:eastAsia="仿宋" w:cs="仿宋"/>
          <w:b/>
          <w:color w:val="000000" w:themeColor="text1"/>
          <w:sz w:val="24"/>
          <w:highlight w:val="none"/>
          <w14:textFill>
            <w14:solidFill>
              <w14:schemeClr w14:val="tx1"/>
            </w14:solidFill>
          </w14:textFill>
        </w:rPr>
        <w:t xml:space="preserve">2.7 </w:t>
      </w:r>
      <w:r>
        <w:rPr>
          <w:rFonts w:hint="eastAsia" w:ascii="仿宋" w:hAnsi="仿宋" w:eastAsia="仿宋" w:cs="仿宋"/>
          <w:b/>
          <w:color w:val="000000" w:themeColor="text1"/>
          <w:sz w:val="24"/>
          <w:highlight w:val="none"/>
          <w14:textFill>
            <w14:solidFill>
              <w14:schemeClr w14:val="tx1"/>
            </w14:solidFill>
          </w14:textFill>
        </w:rPr>
        <w:t>质量保证</w:t>
      </w:r>
      <w:bookmarkEnd w:id="464"/>
    </w:p>
    <w:p w14:paraId="45A4A82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2.7.1 </w:t>
      </w:r>
      <w:r>
        <w:rPr>
          <w:rFonts w:hint="eastAsia" w:ascii="仿宋" w:hAnsi="仿宋" w:eastAsia="仿宋" w:cs="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2576944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2.7.2 </w:t>
      </w:r>
      <w:r>
        <w:rPr>
          <w:rFonts w:hint="eastAsia" w:ascii="仿宋" w:hAnsi="仿宋" w:eastAsia="仿宋" w:cs="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32297EB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5" w:name="_Toc22267"/>
      <w:r>
        <w:rPr>
          <w:rFonts w:hint="eastAsia" w:ascii="仿宋" w:hAnsi="仿宋" w:eastAsia="仿宋" w:cs="仿宋"/>
          <w:b/>
          <w:color w:val="000000" w:themeColor="text1"/>
          <w:sz w:val="24"/>
          <w:highlight w:val="none"/>
          <w14:textFill>
            <w14:solidFill>
              <w14:schemeClr w14:val="tx1"/>
            </w14:solidFill>
          </w14:textFill>
        </w:rPr>
        <w:t xml:space="preserve">2.8 </w:t>
      </w:r>
      <w:r>
        <w:rPr>
          <w:rFonts w:hint="eastAsia" w:ascii="仿宋" w:hAnsi="仿宋" w:eastAsia="仿宋" w:cs="仿宋"/>
          <w:b/>
          <w:color w:val="000000" w:themeColor="text1"/>
          <w:sz w:val="24"/>
          <w:highlight w:val="none"/>
          <w14:textFill>
            <w14:solidFill>
              <w14:schemeClr w14:val="tx1"/>
            </w14:solidFill>
          </w14:textFill>
        </w:rPr>
        <w:t>延迟履行</w:t>
      </w:r>
      <w:bookmarkEnd w:id="465"/>
    </w:p>
    <w:p w14:paraId="0CB25AB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hint="eastAsia" w:ascii="仿宋" w:hAnsi="仿宋" w:eastAsia="仿宋" w:cs="仿宋"/>
          <w:color w:val="000000" w:themeColor="text1"/>
          <w:sz w:val="24"/>
          <w:highlight w:val="none"/>
          <w14:textFill>
            <w14:solidFill>
              <w14:schemeClr w14:val="tx1"/>
            </w14:solidFill>
          </w14:textFill>
        </w:rPr>
        <w:t>在合同履行过程中，如果</w:t>
      </w:r>
      <w:r>
        <w:rPr>
          <w:rFonts w:hint="eastAsia" w:ascii="仿宋" w:hAnsi="仿宋" w:eastAsia="仿宋" w:cs="仿宋"/>
          <w:color w:val="000000" w:themeColor="text1"/>
          <w:sz w:val="24"/>
          <w:highlight w:val="none"/>
          <w14:textFill>
            <w14:solidFill>
              <w14:schemeClr w14:val="tx1"/>
            </w14:solidFill>
          </w14:textFill>
        </w:rPr>
        <w:t>因不可抗力，</w:t>
      </w:r>
      <w:r>
        <w:rPr>
          <w:rFonts w:hint="eastAsia" w:ascii="仿宋" w:hAnsi="仿宋" w:eastAsia="仿宋" w:cs="仿宋"/>
          <w:color w:val="000000" w:themeColor="text1"/>
          <w:sz w:val="24"/>
          <w:highlight w:val="none"/>
          <w14:textFill>
            <w14:solidFill>
              <w14:schemeClr w14:val="tx1"/>
            </w14:solidFill>
          </w14:textFill>
        </w:rPr>
        <w:t>乙方遇到不能按时</w:t>
      </w:r>
      <w:r>
        <w:rPr>
          <w:rFonts w:hint="eastAsia" w:ascii="仿宋" w:hAnsi="仿宋" w:eastAsia="仿宋" w:cs="仿宋"/>
          <w:color w:val="000000" w:themeColor="text1"/>
          <w:sz w:val="24"/>
          <w:highlight w:val="none"/>
          <w14:textFill>
            <w14:solidFill>
              <w14:schemeClr w14:val="tx1"/>
            </w14:solidFill>
          </w14:textFill>
        </w:rPr>
        <w:t>提供服务</w:t>
      </w:r>
      <w:r>
        <w:rPr>
          <w:rFonts w:hint="eastAsia" w:ascii="仿宋" w:hAnsi="仿宋" w:eastAsia="仿宋" w:cs="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s="仿宋"/>
          <w:color w:val="000000" w:themeColor="text1"/>
          <w:sz w:val="24"/>
          <w:highlight w:val="none"/>
          <w14:textFill>
            <w14:solidFill>
              <w14:schemeClr w14:val="tx1"/>
            </w14:solidFill>
          </w14:textFill>
        </w:rPr>
        <w:t>提供服务</w:t>
      </w:r>
      <w:r>
        <w:rPr>
          <w:rFonts w:hint="eastAsia" w:ascii="仿宋" w:hAnsi="仿宋" w:eastAsia="仿宋" w:cs="仿宋"/>
          <w:color w:val="000000" w:themeColor="text1"/>
          <w:sz w:val="24"/>
          <w:highlight w:val="none"/>
          <w14:textFill>
            <w14:solidFill>
              <w14:schemeClr w14:val="tx1"/>
            </w14:solidFill>
          </w14:textFill>
        </w:rPr>
        <w:t>的理由、预期延误时间通知甲方</w:t>
      </w:r>
      <w:r>
        <w:rPr>
          <w:rFonts w:hint="eastAsia" w:ascii="仿宋" w:hAnsi="仿宋" w:eastAsia="仿宋" w:cs="仿宋"/>
          <w:color w:val="000000" w:themeColor="text1"/>
          <w:sz w:val="24"/>
          <w:highlight w:val="none"/>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s="仿宋"/>
          <w:color w:val="000000" w:themeColor="text1"/>
          <w:sz w:val="24"/>
          <w:highlight w:val="none"/>
          <w14:textFill>
            <w14:solidFill>
              <w14:schemeClr w14:val="tx1"/>
            </w14:solidFill>
          </w14:textFill>
        </w:rPr>
        <w:t>履行</w:t>
      </w:r>
      <w:r>
        <w:rPr>
          <w:rFonts w:hint="eastAsia" w:ascii="仿宋" w:hAnsi="仿宋" w:eastAsia="仿宋" w:cs="仿宋"/>
          <w:color w:val="000000" w:themeColor="text1"/>
          <w:sz w:val="24"/>
          <w:highlight w:val="none"/>
          <w14:textFill>
            <w14:solidFill>
              <w14:schemeClr w14:val="tx1"/>
            </w14:solidFill>
          </w14:textFill>
        </w:rPr>
        <w:t>的具体时间。</w:t>
      </w:r>
    </w:p>
    <w:p w14:paraId="556FD45C">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6" w:name="_Toc10611"/>
      <w:r>
        <w:rPr>
          <w:rFonts w:hint="eastAsia" w:ascii="仿宋" w:hAnsi="仿宋" w:eastAsia="仿宋" w:cs="仿宋"/>
          <w:b/>
          <w:color w:val="000000" w:themeColor="text1"/>
          <w:sz w:val="24"/>
          <w:highlight w:val="none"/>
          <w14:textFill>
            <w14:solidFill>
              <w14:schemeClr w14:val="tx1"/>
            </w14:solidFill>
          </w14:textFill>
        </w:rPr>
        <w:t xml:space="preserve">2.9 </w:t>
      </w:r>
      <w:r>
        <w:rPr>
          <w:rFonts w:hint="eastAsia" w:ascii="仿宋" w:hAnsi="仿宋" w:eastAsia="仿宋" w:cs="仿宋"/>
          <w:b/>
          <w:color w:val="000000" w:themeColor="text1"/>
          <w:sz w:val="24"/>
          <w:highlight w:val="none"/>
          <w14:textFill>
            <w14:solidFill>
              <w14:schemeClr w14:val="tx1"/>
            </w14:solidFill>
          </w14:textFill>
        </w:rPr>
        <w:t>合同变更</w:t>
      </w:r>
      <w:bookmarkEnd w:id="466"/>
    </w:p>
    <w:p w14:paraId="4329576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286D38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7" w:name="_Toc23368"/>
      <w:bookmarkStart w:id="468" w:name="_Toc26689"/>
      <w:bookmarkStart w:id="469" w:name="_Toc10663"/>
      <w:bookmarkStart w:id="470" w:name="_Toc21830"/>
      <w:bookmarkStart w:id="471" w:name="_Toc42"/>
      <w:r>
        <w:rPr>
          <w:rFonts w:hint="eastAsia" w:ascii="仿宋" w:hAnsi="仿宋" w:eastAsia="仿宋" w:cs="仿宋"/>
          <w:b/>
          <w:color w:val="000000" w:themeColor="text1"/>
          <w:sz w:val="24"/>
          <w:highlight w:val="none"/>
          <w14:textFill>
            <w14:solidFill>
              <w14:schemeClr w14:val="tx1"/>
            </w14:solidFill>
          </w14:textFill>
        </w:rPr>
        <w:t>2.10 合同转让和分包</w:t>
      </w:r>
      <w:bookmarkEnd w:id="467"/>
      <w:bookmarkEnd w:id="468"/>
      <w:bookmarkEnd w:id="469"/>
      <w:bookmarkEnd w:id="470"/>
      <w:bookmarkEnd w:id="471"/>
    </w:p>
    <w:p w14:paraId="1569F02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14:textFill>
            <w14:solidFill>
              <w14:schemeClr w14:val="tx1"/>
            </w14:solidFill>
          </w14:textFill>
        </w:rPr>
        <w:t>转让</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但经甲方</w:t>
      </w:r>
      <w:r>
        <w:rPr>
          <w:rFonts w:hint="eastAsia" w:ascii="仿宋" w:hAnsi="仿宋" w:eastAsia="仿宋" w:cs="仿宋"/>
          <w:color w:val="000000" w:themeColor="text1"/>
          <w:sz w:val="24"/>
          <w:highlight w:val="none"/>
          <w14:textFill>
            <w14:solidFill>
              <w14:schemeClr w14:val="tx1"/>
            </w14:solidFill>
          </w14:textFill>
        </w:rPr>
        <w:t>同意，乙方可以依法采取分包方式履行合同，即：依法可以</w:t>
      </w:r>
      <w:r>
        <w:rPr>
          <w:rFonts w:hint="eastAsia" w:ascii="仿宋" w:hAnsi="仿宋" w:eastAsia="仿宋" w:cs="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且乙方应就分包项目向甲方负责</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并</w:t>
      </w:r>
      <w:r>
        <w:rPr>
          <w:rFonts w:hint="eastAsia" w:ascii="仿宋" w:hAnsi="仿宋" w:eastAsia="仿宋" w:cs="仿宋"/>
          <w:color w:val="000000" w:themeColor="text1"/>
          <w:sz w:val="24"/>
          <w:highlight w:val="none"/>
          <w14:textFill>
            <w14:solidFill>
              <w14:schemeClr w14:val="tx1"/>
            </w14:solidFill>
          </w14:textFill>
        </w:rPr>
        <w:t>与分包供应商就分包项目向甲方承担连带责任。</w:t>
      </w:r>
    </w:p>
    <w:p w14:paraId="2418A14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2" w:name="_Toc32494"/>
      <w:bookmarkStart w:id="473" w:name="_Toc14371"/>
      <w:bookmarkStart w:id="474" w:name="_Toc25571"/>
      <w:bookmarkStart w:id="475" w:name="_Toc4720"/>
      <w:bookmarkStart w:id="476" w:name="_Toc26633"/>
      <w:r>
        <w:rPr>
          <w:rFonts w:hint="eastAsia" w:ascii="仿宋" w:hAnsi="仿宋" w:eastAsia="仿宋" w:cs="仿宋"/>
          <w:b/>
          <w:color w:val="000000" w:themeColor="text1"/>
          <w:sz w:val="24"/>
          <w:highlight w:val="none"/>
          <w14:textFill>
            <w14:solidFill>
              <w14:schemeClr w14:val="tx1"/>
            </w14:solidFill>
          </w14:textFill>
        </w:rPr>
        <w:t>2.11 不可抗力</w:t>
      </w:r>
      <w:bookmarkEnd w:id="472"/>
      <w:bookmarkEnd w:id="473"/>
      <w:bookmarkEnd w:id="474"/>
      <w:bookmarkEnd w:id="475"/>
      <w:bookmarkEnd w:id="476"/>
    </w:p>
    <w:p w14:paraId="058660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s="仿宋"/>
          <w:color w:val="000000" w:themeColor="text1"/>
          <w:sz w:val="24"/>
          <w:highlight w:val="none"/>
          <w14:textFill>
            <w14:solidFill>
              <w14:schemeClr w14:val="tx1"/>
            </w14:solidFill>
          </w14:textFill>
        </w:rPr>
        <w:t>；</w:t>
      </w:r>
    </w:p>
    <w:p w14:paraId="6D88136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2.11.2 </w:t>
      </w:r>
      <w:r>
        <w:rPr>
          <w:rFonts w:hint="eastAsia" w:ascii="仿宋" w:hAnsi="仿宋" w:eastAsia="仿宋" w:cs="仿宋"/>
          <w:color w:val="000000" w:themeColor="text1"/>
          <w:sz w:val="24"/>
          <w:highlight w:val="none"/>
          <w14:textFill>
            <w14:solidFill>
              <w14:schemeClr w14:val="tx1"/>
            </w14:solidFill>
          </w14:textFill>
        </w:rPr>
        <w:t>因不可抗力致使不能实现合同目的的，当事人可以解除合同；</w:t>
      </w:r>
    </w:p>
    <w:p w14:paraId="1C516D9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2.11.3 </w:t>
      </w:r>
      <w:r>
        <w:rPr>
          <w:rFonts w:hint="eastAsia" w:ascii="仿宋" w:hAnsi="仿宋" w:eastAsia="仿宋" w:cs="仿宋"/>
          <w:color w:val="000000" w:themeColor="text1"/>
          <w:sz w:val="24"/>
          <w:highlight w:val="none"/>
          <w14:textFill>
            <w14:solidFill>
              <w14:schemeClr w14:val="tx1"/>
            </w14:solidFill>
          </w14:textFill>
        </w:rPr>
        <w:t>因</w:t>
      </w:r>
      <w:r>
        <w:rPr>
          <w:rFonts w:hint="eastAsia" w:ascii="仿宋" w:hAnsi="仿宋" w:eastAsia="仿宋" w:cs="仿宋"/>
          <w:color w:val="000000" w:themeColor="text1"/>
          <w:sz w:val="24"/>
          <w:highlight w:val="none"/>
          <w14:textFill>
            <w14:solidFill>
              <w14:schemeClr w14:val="tx1"/>
            </w14:solidFill>
          </w14:textFill>
        </w:rPr>
        <w:t>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r>
        <w:rPr>
          <w:rFonts w:hint="eastAsia" w:ascii="仿宋" w:hAnsi="仿宋" w:eastAsia="仿宋" w:cs="仿宋"/>
          <w:color w:val="000000" w:themeColor="text1"/>
          <w:sz w:val="24"/>
          <w:highlight w:val="none"/>
          <w14:textFill>
            <w14:solidFill>
              <w14:schemeClr w14:val="tx1"/>
            </w14:solidFill>
          </w14:textFill>
        </w:rPr>
        <w:t>；</w:t>
      </w:r>
    </w:p>
    <w:p w14:paraId="31CD5CB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w:t>
      </w:r>
      <w:r>
        <w:rPr>
          <w:rFonts w:hint="eastAsia" w:ascii="仿宋" w:hAnsi="仿宋" w:eastAsia="仿宋" w:cs="仿宋"/>
          <w:color w:val="000000" w:themeColor="text1"/>
          <w:sz w:val="24"/>
          <w:highlight w:val="none"/>
          <w14:textFill>
            <w14:solidFill>
              <w14:schemeClr w14:val="tx1"/>
            </w14:solidFill>
          </w14:textFill>
        </w:rPr>
        <w:t>不可抗力</w:t>
      </w:r>
      <w:r>
        <w:rPr>
          <w:rFonts w:hint="eastAsia" w:ascii="仿宋" w:hAnsi="仿宋" w:eastAsia="仿宋" w:cs="仿宋"/>
          <w:color w:val="000000" w:themeColor="text1"/>
          <w:sz w:val="24"/>
          <w:highlight w:val="none"/>
          <w14:textFill>
            <w14:solidFill>
              <w14:schemeClr w14:val="tx1"/>
            </w14:solidFill>
          </w14:textFill>
        </w:rPr>
        <w:t>影响的一方在不可抗力发生后</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14:textFill>
            <w14:solidFill>
              <w14:schemeClr w14:val="tx1"/>
            </w14:solidFill>
          </w14:textFill>
        </w:rPr>
        <w:t>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s="仿宋"/>
          <w:color w:val="000000" w:themeColor="text1"/>
          <w:sz w:val="24"/>
          <w:highlight w:val="none"/>
          <w14:textFill>
            <w14:solidFill>
              <w14:schemeClr w14:val="tx1"/>
            </w14:solidFill>
          </w14:textFill>
        </w:rPr>
        <w:t>对方当事人</w:t>
      </w:r>
      <w:r>
        <w:rPr>
          <w:rFonts w:hint="eastAsia" w:ascii="仿宋" w:hAnsi="仿宋" w:eastAsia="仿宋" w:cs="仿宋"/>
          <w:color w:val="000000" w:themeColor="text1"/>
          <w:sz w:val="24"/>
          <w:highlight w:val="none"/>
          <w14:textFill>
            <w14:solidFill>
              <w14:schemeClr w14:val="tx1"/>
            </w14:solidFill>
          </w14:textFill>
        </w:rPr>
        <w:t>。</w:t>
      </w:r>
    </w:p>
    <w:p w14:paraId="10C64AC7">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7" w:name="_Toc23854"/>
      <w:bookmarkStart w:id="478" w:name="_Toc24465"/>
      <w:bookmarkStart w:id="479" w:name="_Toc25783"/>
      <w:bookmarkStart w:id="480" w:name="_Toc14115"/>
      <w:bookmarkStart w:id="481" w:name="_Toc3638"/>
      <w:r>
        <w:rPr>
          <w:rFonts w:hint="eastAsia" w:ascii="仿宋" w:hAnsi="仿宋" w:eastAsia="仿宋" w:cs="仿宋"/>
          <w:b/>
          <w:color w:val="000000" w:themeColor="text1"/>
          <w:sz w:val="24"/>
          <w:highlight w:val="none"/>
          <w14:textFill>
            <w14:solidFill>
              <w14:schemeClr w14:val="tx1"/>
            </w14:solidFill>
          </w14:textFill>
        </w:rPr>
        <w:t>2.12 税费</w:t>
      </w:r>
      <w:bookmarkEnd w:id="477"/>
      <w:bookmarkEnd w:id="478"/>
      <w:bookmarkEnd w:id="479"/>
      <w:bookmarkEnd w:id="480"/>
      <w:bookmarkEnd w:id="481"/>
    </w:p>
    <w:p w14:paraId="48B0F98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均按照中华人民共和国法律的相关规定缴纳。</w:t>
      </w:r>
    </w:p>
    <w:p w14:paraId="5CB819C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2" w:name="_Toc30105"/>
      <w:bookmarkStart w:id="483" w:name="_Toc7315"/>
      <w:bookmarkStart w:id="484" w:name="_Toc26883"/>
      <w:bookmarkStart w:id="485" w:name="_Toc25525"/>
      <w:bookmarkStart w:id="486" w:name="_Toc14814"/>
      <w:r>
        <w:rPr>
          <w:rFonts w:hint="eastAsia" w:ascii="仿宋" w:hAnsi="仿宋" w:eastAsia="仿宋" w:cs="仿宋"/>
          <w:b/>
          <w:color w:val="000000" w:themeColor="text1"/>
          <w:sz w:val="24"/>
          <w:highlight w:val="none"/>
          <w14:textFill>
            <w14:solidFill>
              <w14:schemeClr w14:val="tx1"/>
            </w14:solidFill>
          </w14:textFill>
        </w:rPr>
        <w:t>2.13 乙方破产</w:t>
      </w:r>
      <w:bookmarkEnd w:id="482"/>
      <w:bookmarkEnd w:id="483"/>
      <w:bookmarkEnd w:id="484"/>
      <w:bookmarkEnd w:id="485"/>
      <w:bookmarkEnd w:id="486"/>
    </w:p>
    <w:p w14:paraId="7BB2531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s="仿宋"/>
          <w:color w:val="000000" w:themeColor="text1"/>
          <w:sz w:val="24"/>
          <w:highlight w:val="none"/>
          <w14:textFill>
            <w14:solidFill>
              <w14:schemeClr w14:val="tx1"/>
            </w14:solidFill>
          </w14:textFill>
        </w:rPr>
        <w:t>，但合同的</w:t>
      </w:r>
      <w:r>
        <w:rPr>
          <w:rFonts w:hint="eastAsia" w:ascii="仿宋" w:hAnsi="仿宋" w:eastAsia="仿宋" w:cs="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s="仿宋"/>
          <w:color w:val="000000" w:themeColor="text1"/>
          <w:sz w:val="24"/>
          <w:highlight w:val="none"/>
          <w14:textFill>
            <w14:solidFill>
              <w14:schemeClr w14:val="tx1"/>
            </w14:solidFill>
          </w14:textFill>
        </w:rPr>
        <w:t>。</w:t>
      </w:r>
    </w:p>
    <w:p w14:paraId="4A5C00F4">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7" w:name="_Toc23323"/>
      <w:bookmarkStart w:id="488" w:name="_Toc1123"/>
      <w:bookmarkStart w:id="489" w:name="_Toc2016"/>
      <w:r>
        <w:rPr>
          <w:rFonts w:hint="eastAsia" w:ascii="仿宋" w:hAnsi="仿宋" w:eastAsia="仿宋" w:cs="仿宋"/>
          <w:b/>
          <w:color w:val="000000" w:themeColor="text1"/>
          <w:sz w:val="24"/>
          <w:highlight w:val="none"/>
          <w14:textFill>
            <w14:solidFill>
              <w14:schemeClr w14:val="tx1"/>
            </w14:solidFill>
          </w14:textFill>
        </w:rPr>
        <w:t>2.14 合同中止、终止</w:t>
      </w:r>
      <w:bookmarkEnd w:id="487"/>
      <w:bookmarkEnd w:id="488"/>
      <w:bookmarkEnd w:id="489"/>
    </w:p>
    <w:p w14:paraId="45EE526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2.14.1 </w:t>
      </w:r>
      <w:r>
        <w:rPr>
          <w:rFonts w:hint="eastAsia" w:ascii="仿宋" w:hAnsi="仿宋" w:eastAsia="仿宋" w:cs="仿宋"/>
          <w:color w:val="000000" w:themeColor="text1"/>
          <w:sz w:val="24"/>
          <w:highlight w:val="none"/>
          <w14:textFill>
            <w14:solidFill>
              <w14:schemeClr w14:val="tx1"/>
            </w14:solidFill>
          </w14:textFill>
        </w:rPr>
        <w:t>双方当事人不得擅自中止或者终止合同；</w:t>
      </w:r>
    </w:p>
    <w:p w14:paraId="198DE2C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6BB5CE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0" w:name="_Toc1969"/>
      <w:bookmarkStart w:id="491" w:name="_Toc17363"/>
      <w:bookmarkStart w:id="492" w:name="_Toc14525"/>
      <w:r>
        <w:rPr>
          <w:rFonts w:hint="eastAsia" w:ascii="仿宋" w:hAnsi="仿宋" w:eastAsia="仿宋" w:cs="仿宋"/>
          <w:b/>
          <w:color w:val="000000" w:themeColor="text1"/>
          <w:sz w:val="24"/>
          <w:highlight w:val="none"/>
          <w14:textFill>
            <w14:solidFill>
              <w14:schemeClr w14:val="tx1"/>
            </w14:solidFill>
          </w14:textFill>
        </w:rPr>
        <w:t>2.15 检验和验收</w:t>
      </w:r>
      <w:bookmarkEnd w:id="490"/>
      <w:bookmarkEnd w:id="491"/>
      <w:bookmarkEnd w:id="492"/>
    </w:p>
    <w:p w14:paraId="50E7C708">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2.15.1 </w:t>
      </w:r>
      <w:r>
        <w:rPr>
          <w:rFonts w:hint="eastAsia" w:ascii="仿宋" w:hAnsi="仿宋" w:eastAsia="仿宋" w:cs="仿宋"/>
          <w:color w:val="000000" w:themeColor="text1"/>
          <w:sz w:val="24"/>
          <w:highlight w:val="none"/>
          <w14:textFill>
            <w14:solidFill>
              <w14:schemeClr w14:val="tx1"/>
            </w14:solidFill>
          </w14:textFill>
        </w:rPr>
        <w:t>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定期提交服务报告</w:t>
      </w:r>
      <w:r>
        <w:rPr>
          <w:rFonts w:hint="eastAsia" w:ascii="仿宋" w:hAnsi="仿宋" w:eastAsia="仿宋" w:cs="仿宋"/>
          <w:color w:val="000000" w:themeColor="text1"/>
          <w:sz w:val="24"/>
          <w:highlight w:val="none"/>
          <w14:textFill>
            <w14:solidFill>
              <w14:schemeClr w14:val="tx1"/>
            </w14:solidFill>
          </w14:textFill>
        </w:rPr>
        <w:t>，甲方按照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r>
        <w:rPr>
          <w:rFonts w:hint="eastAsia" w:ascii="仿宋" w:hAnsi="仿宋" w:eastAsia="仿宋" w:cs="仿宋"/>
          <w:color w:val="000000" w:themeColor="text1"/>
          <w:sz w:val="24"/>
          <w:highlight w:val="none"/>
          <w14:textFill>
            <w14:solidFill>
              <w14:schemeClr w14:val="tx1"/>
            </w14:solidFill>
          </w14:textFill>
        </w:rPr>
        <w:t>；</w:t>
      </w:r>
    </w:p>
    <w:p w14:paraId="524ADBEB">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2.15.2 </w:t>
      </w:r>
      <w:r>
        <w:rPr>
          <w:rFonts w:hint="eastAsia" w:ascii="仿宋" w:hAnsi="仿宋" w:eastAsia="仿宋" w:cs="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111EDC">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2.15.3 </w:t>
      </w:r>
      <w:r>
        <w:rPr>
          <w:rFonts w:hint="eastAsia" w:ascii="仿宋" w:hAnsi="仿宋" w:eastAsia="仿宋" w:cs="仿宋"/>
          <w:color w:val="000000" w:themeColor="text1"/>
          <w:sz w:val="24"/>
          <w:highlight w:val="none"/>
          <w14:textFill>
            <w14:solidFill>
              <w14:schemeClr w14:val="tx1"/>
            </w14:solidFill>
          </w14:textFill>
        </w:rPr>
        <w:t>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0B76CD1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3" w:name="_Toc25198"/>
      <w:bookmarkStart w:id="494" w:name="_Toc12666"/>
      <w:bookmarkStart w:id="495" w:name="_Toc2308"/>
      <w:bookmarkStart w:id="496" w:name="_Toc31892"/>
      <w:bookmarkStart w:id="497" w:name="_Toc9808"/>
      <w:r>
        <w:rPr>
          <w:rFonts w:hint="eastAsia" w:ascii="仿宋" w:hAnsi="仿宋" w:eastAsia="仿宋" w:cs="仿宋"/>
          <w:b/>
          <w:color w:val="000000" w:themeColor="text1"/>
          <w:sz w:val="24"/>
          <w:highlight w:val="none"/>
          <w14:textFill>
            <w14:solidFill>
              <w14:schemeClr w14:val="tx1"/>
            </w14:solidFill>
          </w14:textFill>
        </w:rPr>
        <w:t>2.16 通知和送达</w:t>
      </w:r>
      <w:bookmarkEnd w:id="493"/>
      <w:bookmarkEnd w:id="494"/>
      <w:bookmarkEnd w:id="495"/>
      <w:bookmarkEnd w:id="496"/>
      <w:bookmarkEnd w:id="497"/>
    </w:p>
    <w:p w14:paraId="6395291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98" w:name="_Toc18401"/>
      <w:bookmarkStart w:id="499" w:name="_Toc27674"/>
      <w:r>
        <w:rPr>
          <w:rFonts w:hint="eastAsia" w:ascii="仿宋" w:hAnsi="仿宋" w:eastAsia="仿宋" w:cs="仿宋"/>
          <w:color w:val="000000" w:themeColor="text1"/>
          <w:sz w:val="24"/>
          <w:highlight w:val="none"/>
          <w14:textFill>
            <w14:solidFill>
              <w14:schemeClr w14:val="tx1"/>
            </w14:solidFill>
          </w14:textFill>
        </w:rPr>
        <w:t>2.17.1</w:t>
      </w:r>
      <w:r>
        <w:rPr>
          <w:rFonts w:hint="eastAsia" w:ascii="仿宋" w:hAnsi="仿宋" w:eastAsia="仿宋" w:cs="仿宋"/>
          <w:color w:val="000000" w:themeColor="text1"/>
          <w:sz w:val="24"/>
          <w:highlight w:val="none"/>
          <w14:textFill>
            <w14:solidFill>
              <w14:schemeClr w14:val="tx1"/>
            </w14:solidFill>
          </w14:textFill>
        </w:rPr>
        <w:t>任何一方因履行合同而以合同第一部分尾部所列明的传真或电子邮件</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187B9A2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s="仿宋"/>
          <w:color w:val="000000" w:themeColor="text1"/>
          <w:sz w:val="24"/>
          <w:highlight w:val="none"/>
          <w14:textFill>
            <w14:solidFill>
              <w14:schemeClr w14:val="tx1"/>
            </w14:solidFill>
          </w14:textFill>
        </w:rPr>
        <w:t>的，邮件挂号寄出或者交邮之日之次日视为送达。</w:t>
      </w:r>
      <w:bookmarkEnd w:id="498"/>
      <w:bookmarkEnd w:id="499"/>
    </w:p>
    <w:p w14:paraId="5AF2ADF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0" w:name="_Toc12254"/>
      <w:bookmarkStart w:id="501" w:name="_Toc5063"/>
      <w:bookmarkStart w:id="502" w:name="_Toc20808"/>
      <w:bookmarkStart w:id="503" w:name="_Toc28906"/>
      <w:bookmarkStart w:id="504" w:name="_Toc27644"/>
      <w:r>
        <w:rPr>
          <w:rFonts w:hint="eastAsia" w:ascii="仿宋" w:hAnsi="仿宋" w:eastAsia="仿宋" w:cs="仿宋"/>
          <w:b/>
          <w:color w:val="000000" w:themeColor="text1"/>
          <w:sz w:val="24"/>
          <w:highlight w:val="none"/>
          <w14:textFill>
            <w14:solidFill>
              <w14:schemeClr w14:val="tx1"/>
            </w14:solidFill>
          </w14:textFill>
        </w:rPr>
        <w:t xml:space="preserve">2.17 </w:t>
      </w:r>
      <w:r>
        <w:rPr>
          <w:rFonts w:hint="eastAsia" w:ascii="仿宋" w:hAnsi="仿宋" w:eastAsia="仿宋" w:cs="仿宋"/>
          <w:b/>
          <w:color w:val="000000" w:themeColor="text1"/>
          <w:sz w:val="24"/>
          <w:highlight w:val="none"/>
          <w14:textFill>
            <w14:solidFill>
              <w14:schemeClr w14:val="tx1"/>
            </w14:solidFill>
          </w14:textFill>
        </w:rPr>
        <w:t>合同使用的文字和</w:t>
      </w:r>
      <w:r>
        <w:rPr>
          <w:rFonts w:hint="eastAsia" w:ascii="仿宋" w:hAnsi="仿宋" w:eastAsia="仿宋" w:cs="仿宋"/>
          <w:b/>
          <w:color w:val="000000" w:themeColor="text1"/>
          <w:sz w:val="24"/>
          <w:highlight w:val="none"/>
          <w14:textFill>
            <w14:solidFill>
              <w14:schemeClr w14:val="tx1"/>
            </w14:solidFill>
          </w14:textFill>
        </w:rPr>
        <w:t>适用的法律</w:t>
      </w:r>
      <w:bookmarkEnd w:id="500"/>
      <w:bookmarkEnd w:id="501"/>
      <w:bookmarkEnd w:id="502"/>
      <w:bookmarkEnd w:id="503"/>
      <w:bookmarkEnd w:id="504"/>
    </w:p>
    <w:p w14:paraId="2162687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变更和解释</w:t>
      </w:r>
      <w:r>
        <w:rPr>
          <w:rFonts w:hint="eastAsia" w:ascii="仿宋" w:hAnsi="仿宋" w:eastAsia="仿宋" w:cs="仿宋"/>
          <w:color w:val="000000" w:themeColor="text1"/>
          <w:sz w:val="24"/>
          <w:highlight w:val="none"/>
          <w14:textFill>
            <w14:solidFill>
              <w14:schemeClr w14:val="tx1"/>
            </w14:solidFill>
          </w14:textFill>
        </w:rPr>
        <w:t>；</w:t>
      </w:r>
    </w:p>
    <w:p w14:paraId="11B8B64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2.17.2 </w:t>
      </w:r>
      <w:r>
        <w:rPr>
          <w:rFonts w:hint="eastAsia" w:ascii="仿宋" w:hAnsi="仿宋" w:eastAsia="仿宋" w:cs="仿宋"/>
          <w:color w:val="000000" w:themeColor="text1"/>
          <w:sz w:val="24"/>
          <w:highlight w:val="none"/>
          <w14:textFill>
            <w14:solidFill>
              <w14:schemeClr w14:val="tx1"/>
            </w14:solidFill>
          </w14:textFill>
        </w:rPr>
        <w:t>合同适用</w:t>
      </w:r>
      <w:r>
        <w:rPr>
          <w:rFonts w:hint="eastAsia" w:ascii="仿宋" w:hAnsi="仿宋" w:eastAsia="仿宋" w:cs="仿宋"/>
          <w:color w:val="000000" w:themeColor="text1"/>
          <w:sz w:val="24"/>
          <w:highlight w:val="none"/>
          <w14:textFill>
            <w14:solidFill>
              <w14:schemeClr w14:val="tx1"/>
            </w14:solidFill>
          </w14:textFill>
        </w:rPr>
        <w:t>中华人民共和国法律。</w:t>
      </w:r>
    </w:p>
    <w:p w14:paraId="5DE2C0A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5" w:name="_Toc18540"/>
      <w:bookmarkStart w:id="506" w:name="_Toc4355"/>
      <w:bookmarkStart w:id="507" w:name="_Toc30599"/>
      <w:r>
        <w:rPr>
          <w:rFonts w:hint="eastAsia" w:ascii="仿宋" w:hAnsi="仿宋" w:eastAsia="仿宋" w:cs="仿宋"/>
          <w:b/>
          <w:color w:val="000000" w:themeColor="text1"/>
          <w:sz w:val="24"/>
          <w:highlight w:val="none"/>
          <w14:textFill>
            <w14:solidFill>
              <w14:schemeClr w14:val="tx1"/>
            </w14:solidFill>
          </w14:textFill>
        </w:rPr>
        <w:t>2.18 计量单位</w:t>
      </w:r>
      <w:bookmarkEnd w:id="505"/>
      <w:bookmarkEnd w:id="506"/>
      <w:bookmarkEnd w:id="507"/>
    </w:p>
    <w:p w14:paraId="4659876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5A50827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 xml:space="preserve"> 网络安全</w:t>
      </w:r>
    </w:p>
    <w:p w14:paraId="4927A662">
      <w:pPr>
        <w:numPr>
          <w:ilvl w:val="255"/>
          <w:numId w:val="0"/>
        </w:numPr>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2.19.1</w:t>
      </w:r>
      <w:r>
        <w:rPr>
          <w:rFonts w:hint="eastAsia" w:ascii="仿宋" w:hAnsi="仿宋" w:eastAsia="仿宋" w:cs="仿宋"/>
          <w:b w:val="0"/>
          <w:bCs w:val="0"/>
          <w:color w:val="000000" w:themeColor="text1"/>
          <w:sz w:val="24"/>
          <w:szCs w:val="24"/>
          <w:highlight w:val="none"/>
          <w14:textFill>
            <w14:solidFill>
              <w14:schemeClr w14:val="tx1"/>
            </w14:solidFill>
          </w14:textFill>
        </w:rPr>
        <w:t>安全责任（乙方义务）</w:t>
      </w:r>
    </w:p>
    <w:p w14:paraId="557517C5">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1.乙方应按照《中华人民共和国网络安全法》《中华人民共和国数据安全法》《中华人民共和国个人信息保护法》等法律法规及规章制度的要求，履行网络和数据安全保护义务。</w:t>
      </w:r>
    </w:p>
    <w:p w14:paraId="496C18B8">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2.本项目所涉及的乙方工作人员均需签订《</w:t>
      </w:r>
      <w:r>
        <w:rPr>
          <w:rFonts w:hint="eastAsia" w:ascii="仿宋" w:hAnsi="仿宋" w:eastAsia="仿宋" w:cs="仿宋"/>
          <w:strike w:val="0"/>
          <w:dstrike w:val="0"/>
          <w:color w:val="000000" w:themeColor="text1"/>
          <w:sz w:val="24"/>
          <w:szCs w:val="24"/>
          <w:highlight w:val="none"/>
          <w14:textFill>
            <w14:solidFill>
              <w14:schemeClr w14:val="tx1"/>
            </w14:solidFill>
          </w14:textFill>
        </w:rPr>
        <w:t>保密</w:t>
      </w:r>
      <w:r>
        <w:rPr>
          <w:rFonts w:hint="eastAsia" w:ascii="仿宋" w:hAnsi="仿宋" w:eastAsia="仿宋" w:cs="仿宋"/>
          <w:color w:val="000000" w:themeColor="text1"/>
          <w:sz w:val="24"/>
          <w:szCs w:val="24"/>
          <w:highlight w:val="none"/>
          <w14:textFill>
            <w14:solidFill>
              <w14:schemeClr w14:val="tx1"/>
            </w14:solidFill>
          </w14:textFill>
        </w:rPr>
        <w:t>承诺书》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t>网络安全承诺书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，且乙方应对项目涉及工作人员进行背景审查，存在泄密风险的乙方工作人员不得接触项目。乙方应做好人员保密教育工作。</w:t>
      </w:r>
    </w:p>
    <w:p w14:paraId="688659BF">
      <w:pPr>
        <w:numPr>
          <w:ilvl w:val="255"/>
          <w:numId w:val="0"/>
        </w:num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4F686B7A">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4.项目中所包含的建设、运营、运维的信息系统、应用、数据库等，乙方开通相关账号、权限等必须经过甲方审批允许，不得私开账号、擅自更改权限等。</w:t>
      </w:r>
    </w:p>
    <w:p w14:paraId="2B728850">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5.乙方应合理使用操作账号，严禁乙方存在多名（2人及以上）工作人员共用一个操作账号的情形，同时操作账号应采用高强度的密码，乙方应妥善保管密码并定期更新账号密码。</w:t>
      </w:r>
    </w:p>
    <w:p w14:paraId="30007D7C">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6.未经甲方允许，乙方不得对项目云资源私开端口，不得利用项目资源进行与该项目无关的工作，不得将政务网和互联网私自打通。</w:t>
      </w:r>
    </w:p>
    <w:p w14:paraId="3082FF9C">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4794A929">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lang w:eastAsia="zh-Hans"/>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乙方应认真组织开展各项数据处理活动，查找项目数据安全隐患和漏洞，对薄弱环节和潜在威胁采取有力措施并进行及时整改，避免和消除数据安全风险，履行数据安全保护义务。</w:t>
      </w:r>
    </w:p>
    <w:p w14:paraId="3367FA5C">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1E5E2129">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10.乙方应及时响应、处置甲方布置的安全工作，对其主管的系统、组件、云资源等所属安全事件、隐患及时发现、阻断、排查、处置、溯源（包括但不限于攻防演练等相关活动中发现的）。</w:t>
      </w:r>
    </w:p>
    <w:p w14:paraId="15B85CB8">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25E1CE18">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12.乙方派驻的驻场人员应按照甲方要求办理入场、离场等手续，并且遵守甲方劳动、工作纪律，按照甲方要求的工作时间进行出勤。</w:t>
      </w:r>
    </w:p>
    <w:p w14:paraId="21A47061">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13.乙方应配合甲方对项目涉及的资源、系统等常态化安全漏洞扫描，并且及时修复漏洞。</w:t>
      </w:r>
    </w:p>
    <w:p w14:paraId="09AB3B58">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14.乙方应配合甲方完成项目中所建设、运营的应用系统、服务等的网络数据安全检查，并且按要求及时完成检查中发现问题的整改。</w:t>
      </w:r>
    </w:p>
    <w:p w14:paraId="4A01C3C9">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15.未经甲方允许，</w:t>
      </w:r>
      <w:bookmarkStart w:id="508" w:name="_Hlk138863093"/>
      <w:r>
        <w:rPr>
          <w:rFonts w:hint="eastAsia" w:ascii="仿宋" w:hAnsi="仿宋" w:eastAsia="仿宋" w:cs="仿宋"/>
          <w:color w:val="000000" w:themeColor="text1"/>
          <w:sz w:val="24"/>
          <w:szCs w:val="24"/>
          <w:highlight w:val="none"/>
          <w14:textFill>
            <w14:solidFill>
              <w14:schemeClr w14:val="tx1"/>
            </w14:solidFill>
          </w14:textFill>
        </w:rPr>
        <w:t>乙方不得擅自将项目中涉及的数据拷贝、转移出指定数据区域外进行开发、调试等，包括不限于乙方公司、第三方公司的服务器等。</w:t>
      </w:r>
      <w:bookmarkEnd w:id="508"/>
    </w:p>
    <w:p w14:paraId="58BDCB12">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16.每次通报后，乙方应当</w:t>
      </w:r>
      <w:r>
        <w:rPr>
          <w:rFonts w:hint="eastAsia" w:ascii="仿宋" w:hAnsi="仿宋" w:eastAsia="仿宋" w:cs="仿宋"/>
          <w:color w:val="000000" w:themeColor="text1"/>
          <w:sz w:val="24"/>
          <w:szCs w:val="24"/>
          <w:highlight w:val="none"/>
          <w:lang w:eastAsia="zh-CN"/>
          <w14:textFill>
            <w14:solidFill>
              <w14:schemeClr w14:val="tx1"/>
            </w14:solidFill>
          </w14:textFill>
        </w:rPr>
        <w:t>根据通报内容</w:t>
      </w:r>
      <w:r>
        <w:rPr>
          <w:rFonts w:hint="eastAsia" w:ascii="仿宋" w:hAnsi="仿宋" w:eastAsia="仿宋" w:cs="仿宋"/>
          <w:color w:val="000000" w:themeColor="text1"/>
          <w:sz w:val="24"/>
          <w:szCs w:val="24"/>
          <w:highlight w:val="none"/>
          <w14:textFill>
            <w14:solidFill>
              <w14:schemeClr w14:val="tx1"/>
            </w14:solidFill>
          </w14:textFill>
        </w:rPr>
        <w:t>及时</w:t>
      </w:r>
      <w:r>
        <w:rPr>
          <w:rFonts w:hint="eastAsia" w:ascii="仿宋" w:hAnsi="仿宋" w:eastAsia="仿宋" w:cs="仿宋"/>
          <w:color w:val="000000" w:themeColor="text1"/>
          <w:sz w:val="24"/>
          <w:szCs w:val="24"/>
          <w:highlight w:val="none"/>
          <w:lang w:eastAsia="zh-CN"/>
          <w14:textFill>
            <w14:solidFill>
              <w14:schemeClr w14:val="tx1"/>
            </w14:solidFill>
          </w14:textFill>
        </w:rPr>
        <w:t>整改</w:t>
      </w:r>
      <w:r>
        <w:rPr>
          <w:rFonts w:hint="eastAsia" w:ascii="仿宋" w:hAnsi="仿宋" w:eastAsia="仿宋" w:cs="仿宋"/>
          <w:color w:val="000000" w:themeColor="text1"/>
          <w:sz w:val="24"/>
          <w:szCs w:val="24"/>
          <w:highlight w:val="none"/>
          <w14:textFill>
            <w14:solidFill>
              <w14:schemeClr w14:val="tx1"/>
            </w14:solidFill>
          </w14:textFill>
        </w:rPr>
        <w:t>并向甲方提交整改报告。</w:t>
      </w:r>
    </w:p>
    <w:p w14:paraId="34DF5A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17.乙方要根据甲方要求提供服务，在甲方规定的场所开展实施工作，明确项目负责人、安全管理员，提供服务保障、培训、演练等服务。</w:t>
      </w:r>
    </w:p>
    <w:p w14:paraId="632302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18.乙方要确保数据使用和处理不出境。</w:t>
      </w:r>
    </w:p>
    <w:p w14:paraId="124B7D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19.乙方不得将信息系统核心、关键功能转包。</w:t>
      </w:r>
    </w:p>
    <w:p w14:paraId="4BD548CA">
      <w:pPr>
        <w:adjustRightIn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乙方要</w:t>
      </w:r>
      <w:r>
        <w:rPr>
          <w:rFonts w:hint="eastAsia" w:ascii="仿宋" w:hAnsi="仿宋" w:eastAsia="仿宋" w:cs="仿宋"/>
          <w:color w:val="000000" w:themeColor="text1"/>
          <w:sz w:val="24"/>
          <w:szCs w:val="24"/>
          <w:highlight w:val="none"/>
          <w14:textFill>
            <w14:solidFill>
              <w14:schemeClr w14:val="tx1"/>
            </w14:solidFill>
          </w14:textFill>
        </w:rPr>
        <w:t>全面落实网络安全等级保护制度和关键信息基础设施安全保护制度及商用密码应用安全性评估管理办法，网络安全等级保护备案、商用密码应用安全性评估时间，原则上不得晚于项目正式上线运行时间。</w:t>
      </w:r>
    </w:p>
    <w:p w14:paraId="0E1ACE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624F22E">
      <w:pPr>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bookmarkStart w:id="509" w:name="_Hlk138838031"/>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2.19.2</w:t>
      </w:r>
      <w:r>
        <w:rPr>
          <w:rFonts w:hint="eastAsia" w:ascii="仿宋" w:hAnsi="仿宋" w:eastAsia="仿宋" w:cs="仿宋"/>
          <w:b w:val="0"/>
          <w:bCs w:val="0"/>
          <w:color w:val="000000" w:themeColor="text1"/>
          <w:sz w:val="24"/>
          <w:szCs w:val="24"/>
          <w:highlight w:val="none"/>
          <w14:textFill>
            <w14:solidFill>
              <w14:schemeClr w14:val="tx1"/>
            </w14:solidFill>
          </w14:textFill>
        </w:rPr>
        <w:t>安全违约责任</w:t>
      </w:r>
    </w:p>
    <w:p w14:paraId="45C4F1D0">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1.由于乙方原因，受到国家级安全问题通报的</w:t>
      </w:r>
      <w:r>
        <w:rPr>
          <w:rFonts w:hint="eastAsia" w:ascii="仿宋" w:hAnsi="仿宋" w:eastAsia="仿宋" w:cs="仿宋"/>
          <w:color w:val="000000" w:themeColor="text1"/>
          <w:sz w:val="24"/>
          <w:szCs w:val="24"/>
          <w:highlight w:val="none"/>
          <w:lang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造成特别重大事故的，每通报一个问题或发生一次事故，从合同金额内扣除10万元。</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合同总金额</w:t>
      </w:r>
      <w:r>
        <w:rPr>
          <w:rFonts w:hint="eastAsia" w:ascii="仿宋" w:hAnsi="仿宋" w:eastAsia="仿宋" w:cs="仿宋"/>
          <w:color w:val="000000" w:themeColor="text1"/>
          <w:sz w:val="24"/>
          <w:szCs w:val="24"/>
          <w:highlight w:val="none"/>
          <w:lang w:eastAsia="zh-CN" w:bidi="ar"/>
          <w14:textFill>
            <w14:solidFill>
              <w14:schemeClr w14:val="tx1"/>
            </w14:solidFill>
          </w14:textFill>
        </w:rPr>
        <w:t>不足</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30万</w:t>
      </w:r>
      <w:r>
        <w:rPr>
          <w:rFonts w:hint="eastAsia" w:ascii="仿宋" w:hAnsi="仿宋" w:eastAsia="仿宋" w:cs="仿宋"/>
          <w:color w:val="000000" w:themeColor="text1"/>
          <w:sz w:val="24"/>
          <w:szCs w:val="24"/>
          <w:highlight w:val="none"/>
          <w:lang w:bidi="ar"/>
          <w14:textFill>
            <w14:solidFill>
              <w14:schemeClr w14:val="tx1"/>
            </w14:solidFill>
          </w14:textFill>
        </w:rPr>
        <w:t>的</w:t>
      </w:r>
      <w:r>
        <w:rPr>
          <w:rFonts w:hint="eastAsia" w:ascii="仿宋" w:hAnsi="仿宋" w:eastAsia="仿宋" w:cs="仿宋"/>
          <w:color w:val="000000" w:themeColor="text1"/>
          <w:sz w:val="24"/>
          <w:szCs w:val="24"/>
          <w:highlight w:val="none"/>
          <w:lang w:eastAsia="zh-CN" w:bidi="ar"/>
          <w14:textFill>
            <w14:solidFill>
              <w14:schemeClr w14:val="tx1"/>
            </w14:solidFill>
          </w14:textFill>
        </w:rPr>
        <w:t>，扣除合同金额</w:t>
      </w:r>
      <w:r>
        <w:rPr>
          <w:rFonts w:hint="eastAsia" w:ascii="仿宋" w:hAnsi="仿宋" w:eastAsia="仿宋" w:cs="仿宋"/>
          <w:color w:val="000000" w:themeColor="text1"/>
          <w:sz w:val="24"/>
          <w:szCs w:val="24"/>
          <w:highlight w:val="none"/>
          <w:lang w:bidi="ar"/>
          <w14:textFill>
            <w14:solidFill>
              <w14:schemeClr w14:val="tx1"/>
            </w14:solidFill>
          </w14:textFill>
        </w:rPr>
        <w:t>30%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4168C9CE">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2.由于乙方原因，受到省级安全问题通报的</w:t>
      </w:r>
      <w:r>
        <w:rPr>
          <w:rFonts w:hint="eastAsia" w:ascii="仿宋" w:hAnsi="仿宋" w:eastAsia="仿宋" w:cs="仿宋"/>
          <w:color w:val="000000" w:themeColor="text1"/>
          <w:sz w:val="24"/>
          <w:szCs w:val="24"/>
          <w:highlight w:val="none"/>
          <w:lang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造成重大事故的，每通报一个问题或发生一次事故，从合同金额扣除5万元。</w:t>
      </w:r>
    </w:p>
    <w:p w14:paraId="57E297F6">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3.由于乙方原因，受到市级安全问题通报的</w:t>
      </w:r>
      <w:r>
        <w:rPr>
          <w:rFonts w:hint="eastAsia" w:ascii="仿宋" w:hAnsi="仿宋" w:eastAsia="仿宋" w:cs="仿宋"/>
          <w:color w:val="000000" w:themeColor="text1"/>
          <w:sz w:val="24"/>
          <w:szCs w:val="24"/>
          <w:highlight w:val="none"/>
          <w:lang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造成较大事故（一般事故）的，每通报一个问题或发生一次事故，从合同金额扣除1万元。</w:t>
      </w:r>
    </w:p>
    <w:p w14:paraId="7BCE0D82">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4.乙方未按照甲方要求及时处置所属安全事件、隐患的，每发生一次，从合同金额扣除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1千元</w:t>
      </w:r>
      <w:r>
        <w:rPr>
          <w:rFonts w:hint="eastAsia" w:ascii="仿宋" w:hAnsi="仿宋" w:eastAsia="仿宋" w:cs="仿宋"/>
          <w:color w:val="000000" w:themeColor="text1"/>
          <w:sz w:val="24"/>
          <w:szCs w:val="24"/>
          <w:highlight w:val="none"/>
          <w14:textFill>
            <w14:solidFill>
              <w14:schemeClr w14:val="tx1"/>
            </w14:solidFill>
          </w14:textFill>
        </w:rPr>
        <w:t>。</w:t>
      </w:r>
    </w:p>
    <w:p w14:paraId="6F3E1B52">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5.乙方存在多名（2人及以上）工作人员共用一个操作账户的，或所主管的系统、云资源等账号出现弱口令的（强口令需至少包含数字、大小写字母、特殊字符等，且无明显规律），每出现1次，从合同金额扣除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1千元</w:t>
      </w:r>
      <w:r>
        <w:rPr>
          <w:rFonts w:hint="eastAsia" w:ascii="仿宋" w:hAnsi="仿宋" w:eastAsia="仿宋" w:cs="仿宋"/>
          <w:color w:val="000000" w:themeColor="text1"/>
          <w:sz w:val="24"/>
          <w:szCs w:val="24"/>
          <w:highlight w:val="none"/>
          <w14:textFill>
            <w14:solidFill>
              <w14:schemeClr w14:val="tx1"/>
            </w14:solidFill>
          </w14:textFill>
        </w:rPr>
        <w:t>。</w:t>
      </w:r>
    </w:p>
    <w:p w14:paraId="33DDAACF">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6.未经甲方审批允许，乙方不得私开账号、擅自更改权限，不得对项目云资源私开端口，不得利用项目资源进行与该项目无关的工作，不得将政务网和互联网私自打通的。每出现一次，从合同金额中扣除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1千元</w:t>
      </w:r>
      <w:r>
        <w:rPr>
          <w:rFonts w:hint="eastAsia" w:ascii="仿宋" w:hAnsi="仿宋" w:eastAsia="仿宋" w:cs="仿宋"/>
          <w:color w:val="000000" w:themeColor="text1"/>
          <w:sz w:val="24"/>
          <w:szCs w:val="24"/>
          <w:highlight w:val="none"/>
          <w14:textFill>
            <w14:solidFill>
              <w14:schemeClr w14:val="tx1"/>
            </w14:solidFill>
          </w14:textFill>
        </w:rPr>
        <w:t>。</w:t>
      </w:r>
    </w:p>
    <w:p w14:paraId="4C7EBE8B">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7.乙方发现数据安全缺陷、漏洞等风险时，未立即采取补救措施的；或发生数字安全事件时，未立即采取处置措施的；相关情况未第一时间向甲方报告的；每出现一次，从合同金额中扣除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1千元</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686AEDA">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8.若乙方未按需提供日志，或提供的操作记录、安全日志等不完整、存在缺失的，每发现一次，每次从合同金额扣除</w:t>
      </w:r>
      <w:r>
        <w:rPr>
          <w:rFonts w:hint="eastAsia" w:ascii="仿宋" w:hAnsi="仿宋" w:eastAsia="仿宋" w:cs="仿宋"/>
          <w:color w:val="000000" w:themeColor="text1"/>
          <w:sz w:val="24"/>
          <w:szCs w:val="24"/>
          <w:highlight w:val="none"/>
          <w:lang w:eastAsia="zh-CN"/>
          <w14:textFill>
            <w14:solidFill>
              <w14:schemeClr w14:val="tx1"/>
            </w14:solidFill>
          </w14:textFill>
        </w:rPr>
        <w:t>1千元</w:t>
      </w:r>
      <w:r>
        <w:rPr>
          <w:rFonts w:hint="eastAsia" w:ascii="仿宋" w:hAnsi="仿宋" w:eastAsia="仿宋" w:cs="仿宋"/>
          <w:color w:val="000000" w:themeColor="text1"/>
          <w:sz w:val="24"/>
          <w:szCs w:val="24"/>
          <w:highlight w:val="none"/>
          <w14:textFill>
            <w14:solidFill>
              <w14:schemeClr w14:val="tx1"/>
            </w14:solidFill>
          </w14:textFill>
        </w:rPr>
        <w:t>。</w:t>
      </w:r>
    </w:p>
    <w:p w14:paraId="7E5F7689">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9.乙方拒不配合网络数据安全检查或经检查后拒不进行整改的，每出现一次从合同金额中扣除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w:t>
      </w:r>
      <w:r>
        <w:rPr>
          <w:rFonts w:hint="eastAsia" w:ascii="仿宋" w:hAnsi="仿宋" w:eastAsia="仿宋" w:cs="仿宋"/>
          <w:color w:val="000000" w:themeColor="text1"/>
          <w:sz w:val="24"/>
          <w:szCs w:val="24"/>
          <w:highlight w:val="none"/>
          <w14:textFill>
            <w14:solidFill>
              <w14:schemeClr w14:val="tx1"/>
            </w14:solidFill>
          </w14:textFill>
        </w:rPr>
        <w:t>元。</w:t>
      </w:r>
    </w:p>
    <w:p w14:paraId="7DF9F660">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10.项目结束后，乙方未按约删除其在项目过程中获取的数据资料并擅自使用或许可他人使用的，承担项目合同总金额10%的违约责任。</w:t>
      </w:r>
    </w:p>
    <w:p w14:paraId="7404EA59">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11.乙方未配合甲方对项目涉及的资源、系统等常态化安全漏洞扫描，或未及时修复漏洞的，每出现一次，从合同金额扣除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w:t>
      </w:r>
      <w:r>
        <w:rPr>
          <w:rFonts w:hint="eastAsia" w:ascii="仿宋" w:hAnsi="仿宋" w:eastAsia="仿宋" w:cs="仿宋"/>
          <w:color w:val="000000" w:themeColor="text1"/>
          <w:sz w:val="24"/>
          <w:szCs w:val="24"/>
          <w:highlight w:val="none"/>
          <w14:textFill>
            <w14:solidFill>
              <w14:schemeClr w14:val="tx1"/>
            </w14:solidFill>
          </w14:textFill>
        </w:rPr>
        <w:t>元。</w:t>
      </w:r>
    </w:p>
    <w:p w14:paraId="1082432F">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.乙方未配合甲方完成项目中所建设、运营的应用系统、服务等的网络数据安全检查，并且按要求及时完成检查中发现问题的整改,每出现一次，从合同金额中扣除1千元。</w:t>
      </w:r>
    </w:p>
    <w:p w14:paraId="4770A72E">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.乙方未按照甲方相关要求，签订《保密承诺书》，办理入场、离场手续的、未入驻全省ISV系统，出现1人次，每人次从合同金额扣除1千元</w:t>
      </w:r>
    </w:p>
    <w:p w14:paraId="09541337">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9EB6916">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乙方派驻的驻场人员未按照甲方工作要求进行出勤的，每出现1人次从合同金额扣除500元。</w:t>
      </w:r>
    </w:p>
    <w:p w14:paraId="55A871D4">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乙方不得擅自将项目中涉及的数据拷贝、转移出指定数据区域外进行开发、调试等，包括不限于乙方公司、第三方公司的服务器等，每出现一次，从合同金额扣除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1万</w:t>
      </w:r>
      <w:r>
        <w:rPr>
          <w:rFonts w:hint="eastAsia" w:ascii="仿宋" w:hAnsi="仿宋" w:eastAsia="仿宋" w:cs="仿宋"/>
          <w:color w:val="000000" w:themeColor="text1"/>
          <w:sz w:val="24"/>
          <w:szCs w:val="24"/>
          <w:highlight w:val="none"/>
          <w14:textFill>
            <w14:solidFill>
              <w14:schemeClr w14:val="tx1"/>
            </w14:solidFill>
          </w14:textFill>
        </w:rPr>
        <w:t>元。</w:t>
      </w:r>
    </w:p>
    <w:p w14:paraId="2DF996E7">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.每次通报后，若乙方未及时提供整改报告的；或未根据通报内容及时进行整改的，每出现一次，从合同金额扣除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1千</w:t>
      </w:r>
      <w:r>
        <w:rPr>
          <w:rFonts w:hint="eastAsia" w:ascii="仿宋" w:hAnsi="仿宋" w:eastAsia="仿宋" w:cs="仿宋"/>
          <w:color w:val="000000" w:themeColor="text1"/>
          <w:sz w:val="24"/>
          <w:szCs w:val="24"/>
          <w:highlight w:val="none"/>
          <w14:textFill>
            <w14:solidFill>
              <w14:schemeClr w14:val="tx1"/>
            </w14:solidFill>
          </w14:textFill>
        </w:rPr>
        <w:t>元。</w:t>
      </w:r>
    </w:p>
    <w:p w14:paraId="79016B84">
      <w:pPr>
        <w:numPr>
          <w:ilvl w:val="255"/>
          <w:numId w:val="0"/>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乙方在项目中所承建信息系统的开发、测试环境，出现甲方及项目相关的标识名称，或将生产数据、公共数据存储在开发、测试环境中，或在项目建成后未及时下架测试环境，每出现一次，从合同金额扣除1千元。</w:t>
      </w:r>
    </w:p>
    <w:p w14:paraId="349BF7B0">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18.乙方驻场人员在重要活动、会议期间，未按照甲方安全保障要求，参与重保值班值守工作，每出现一人次天，从合同金额扣除1千元。</w:t>
      </w:r>
    </w:p>
    <w:p w14:paraId="02D94966">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 乙方未按照甲方业务要求，围绕项目内容，未及时提供甲方所需要的业务相关进展及数据，每出现一次，从合同金额扣除1千元。</w:t>
      </w:r>
    </w:p>
    <w:p w14:paraId="1FDF4589">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20.乙方在项目中所建设、运营的应用系统、应用服务等涉及鉴权登录的，未使用浙政钉/浙里办扫码方式、二次验证的方式的，每发现一次，从合同金额扣除1千元。</w:t>
      </w:r>
    </w:p>
    <w:p w14:paraId="00185399">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21.乙方在项目中未履行安全职责，对公共数据接口进行二次封装、在互联网使用公共数据接口、未妥善保管接口密钥导致泄露的，每出现一次，从合同金额中扣除1千元。</w:t>
      </w:r>
    </w:p>
    <w:p w14:paraId="0647C439">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22.乙方驻场人员未按照合同约定或未经甲方允许，同时参与其他项目工作或本项目中已单独支付服务费的相关工作，甲方有权扣除驻场人员服务费，并要求乙方恢复专人专项服务。</w:t>
      </w:r>
    </w:p>
    <w:p w14:paraId="7BBEC6DF">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乙方驻场人员在工作期间，未遵守驻场人员的纪律，进行偏离工作的非正常事务，包括不限于玩游戏、下载电影、在线看视频等娱乐性活动，每发现1次，扣除500元；若多次发现，甲方有权扣除驻场人员服务费。</w:t>
      </w:r>
    </w:p>
    <w:p w14:paraId="32DAE90A">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24．乙方应当按照合同约定开展工作，并严格遵守《中华人民共和国网络安全法》《中华人民共和国数据安全法》《中华人民共和国个人信息保护法》《互联网政务应用安全管理规定》《网络数据安全管理条例》等法律法规和规章制度，对于乙方不履行合同义务或者履行合同义务不符合约定的，应当承担相应责任。</w:t>
      </w:r>
    </w:p>
    <w:p w14:paraId="604A16D2">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25．乙方驻场人员、项目人员未按照场所的管理要求履行相应义务，包括在禁烟场所抽烟等，每发现1次，扣除500元。</w:t>
      </w:r>
    </w:p>
    <w:p w14:paraId="1F102808">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26．项目中所提供的基础设施服务，乙方未按甲方要求提供资产归属信息或者资产信息有误的，每个资产信息扣1千元；IP归属新增、变更、释放后，未在2天内及时提供准确的归属信息，每个资产信息扣1千元。</w:t>
      </w:r>
    </w:p>
    <w:p w14:paraId="021FFDE3">
      <w:pPr>
        <w:numPr>
          <w:ilvl w:val="255"/>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27.乙方项目人员审核项目中相关工作的工单时，未充分考虑工单的可执行性、安全性、合理性，未尽审核职责的，每个工单扣100元。</w:t>
      </w:r>
    </w:p>
    <w:bookmarkEnd w:id="509"/>
    <w:p w14:paraId="56DE4C8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2.20合同份数</w:t>
      </w:r>
    </w:p>
    <w:p w14:paraId="1744834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739B841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94B3E2F">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510" w:name="_Toc331685784"/>
      <w:r>
        <w:rPr>
          <w:rFonts w:hint="eastAsia" w:ascii="仿宋" w:hAnsi="仿宋" w:eastAsia="仿宋" w:cs="仿宋"/>
          <w:b/>
          <w:color w:val="000000" w:themeColor="text1"/>
          <w:sz w:val="24"/>
          <w:highlight w:val="none"/>
          <w14:textFill>
            <w14:solidFill>
              <w14:schemeClr w14:val="tx1"/>
            </w14:solidFill>
          </w14:textFill>
        </w:rPr>
        <w:t xml:space="preserve"> </w:t>
      </w:r>
      <w:bookmarkEnd w:id="510"/>
      <w:r>
        <w:rPr>
          <w:rFonts w:hint="eastAsia" w:ascii="仿宋" w:hAnsi="仿宋" w:eastAsia="仿宋" w:cs="仿宋"/>
          <w:b/>
          <w:color w:val="000000" w:themeColor="text1"/>
          <w:sz w:val="24"/>
          <w:highlight w:val="none"/>
          <w14:textFill>
            <w14:solidFill>
              <w14:schemeClr w14:val="tx1"/>
            </w14:solidFill>
          </w14:textFill>
        </w:rPr>
        <w:t>第三部分  合同专用条款</w:t>
      </w:r>
    </w:p>
    <w:p w14:paraId="518F6D88">
      <w:pPr>
        <w:spacing w:line="560" w:lineRule="exact"/>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E595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4680E8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464" w:type="pct"/>
            <w:vAlign w:val="center"/>
          </w:tcPr>
          <w:p w14:paraId="77592C6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0F4C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03EE4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w:t>
            </w:r>
          </w:p>
        </w:tc>
        <w:tc>
          <w:tcPr>
            <w:tcW w:w="4464" w:type="pct"/>
            <w:vAlign w:val="center"/>
          </w:tcPr>
          <w:p w14:paraId="748BA5FE">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14:paraId="1DEB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D07BD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4464" w:type="pct"/>
            <w:vAlign w:val="center"/>
          </w:tcPr>
          <w:p w14:paraId="569C3A9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本项目不设履约保证金</w:t>
            </w:r>
          </w:p>
        </w:tc>
      </w:tr>
      <w:tr w14:paraId="4D86C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2C252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4464" w:type="pct"/>
            <w:vAlign w:val="center"/>
          </w:tcPr>
          <w:p w14:paraId="3BDC174B">
            <w:pPr>
              <w:pStyle w:val="132"/>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合同签订后，甲方收到乙方发票之日起【5】个工作日内，甲方向乙方支付合同价款总金额的【30】%，合计人民币           元（￥        ）；</w:t>
            </w:r>
          </w:p>
        </w:tc>
      </w:tr>
      <w:tr w14:paraId="3136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7AC57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4464" w:type="pct"/>
            <w:vAlign w:val="center"/>
          </w:tcPr>
          <w:p w14:paraId="62466B3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不扣回</w:t>
            </w:r>
          </w:p>
        </w:tc>
      </w:tr>
      <w:tr w14:paraId="3A99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0CDA0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4464" w:type="pct"/>
            <w:vAlign w:val="center"/>
          </w:tcPr>
          <w:p w14:paraId="3D16109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14:paraId="1749F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F8ED0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4464" w:type="pct"/>
            <w:vAlign w:val="center"/>
          </w:tcPr>
          <w:p w14:paraId="00F0A865">
            <w:pPr>
              <w:spacing w:line="360" w:lineRule="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第一期：</w:t>
            </w:r>
            <w:r>
              <w:rPr>
                <w:rFonts w:hint="eastAsia" w:ascii="仿宋" w:hAnsi="仿宋" w:eastAsia="仿宋" w:cs="仿宋"/>
                <w:color w:val="000000" w:themeColor="text1"/>
                <w:kern w:val="0"/>
                <w:sz w:val="24"/>
                <w:szCs w:val="24"/>
                <w:highlight w:val="none"/>
                <w14:textFill>
                  <w14:solidFill>
                    <w14:schemeClr w14:val="tx1"/>
                  </w14:solidFill>
                </w14:textFill>
              </w:rPr>
              <w:t>合同签订后，甲方收到乙方发票之日起【5】个工作日内，甲方向乙方支付合同价款总金额的【30】%，合计人民币           元（￥        ）；</w:t>
            </w:r>
          </w:p>
          <w:p w14:paraId="2F97E3A3">
            <w:pPr>
              <w:spacing w:line="360" w:lineRule="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第二期：按照合同服务期限1.7.1的约定，</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6个月后，待财政资金到位，甲方对乙方履约情况进行考核，能严格履行合同，维保服务良好，无质量和服务问题，通过甲方的考核，凭甲方签字盖章的支付通知书，【5】个工作日内，支付合同价款总金额的【50】%,合计人民币           元（￥        ）；</w:t>
            </w:r>
          </w:p>
          <w:p w14:paraId="567DB28E">
            <w:pPr>
              <w:spacing w:line="360" w:lineRule="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第三期：</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服务期满后，甲方对项目执行情况进行验收，若执行情况良好，无质量和服务问题，经验收合格，乙方凭验收报告，甲方【5】个工作日内，支付合同价款剩余额，合计人民币           元（￥        ）。</w:t>
            </w:r>
          </w:p>
          <w:p w14:paraId="15B1E16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每次支付前，乙方应提供符合甲方要求的等额发票，否则甲方可顺延支付，所造成的迟延风险由乙方自行承担。如合同乙方为联合体，则所有款项申请、收款及发票开具等对外事务均由联合体牵头人统一办理；联合体成员之间的权利义务分配、费用分摊等内部事宜，应在联合体协议中另行约定。</w:t>
            </w:r>
          </w:p>
        </w:tc>
      </w:tr>
      <w:tr w14:paraId="3733C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8BE1F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149" w:type="dxa"/>
            <w:vAlign w:val="center"/>
          </w:tcPr>
          <w:p w14:paraId="7E75B582">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服务期限：一年，202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年7月1日至202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年6月30日</w:t>
            </w:r>
            <w:r>
              <w:rPr>
                <w:rFonts w:hint="eastAsia" w:ascii="仿宋" w:hAnsi="仿宋" w:eastAsia="仿宋" w:cs="仿宋"/>
                <w:color w:val="000000" w:themeColor="text1"/>
                <w:sz w:val="24"/>
                <w:szCs w:val="24"/>
                <w:highlight w:val="none"/>
                <w14:textFill>
                  <w14:solidFill>
                    <w14:schemeClr w14:val="tx1"/>
                  </w14:solidFill>
                </w14:textFill>
              </w:rPr>
              <w:t>。</w:t>
            </w:r>
          </w:p>
        </w:tc>
      </w:tr>
      <w:tr w14:paraId="2A99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9F6C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149" w:type="dxa"/>
            <w:vAlign w:val="center"/>
          </w:tcPr>
          <w:p w14:paraId="475775B2">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服务地点：杭州市人力资源和社会保障政务服务中心指定地点</w:t>
            </w:r>
          </w:p>
        </w:tc>
      </w:tr>
      <w:tr w14:paraId="3F04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87DC7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8149" w:type="dxa"/>
            <w:vAlign w:val="center"/>
          </w:tcPr>
          <w:p w14:paraId="6C528C5D">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服务方式：根据采购文件规定内容、投标文件响应的内容提供服务</w:t>
            </w:r>
          </w:p>
        </w:tc>
      </w:tr>
      <w:tr w14:paraId="708F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36DD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w:t>
            </w:r>
          </w:p>
        </w:tc>
        <w:tc>
          <w:tcPr>
            <w:tcW w:w="8149" w:type="dxa"/>
            <w:vAlign w:val="center"/>
          </w:tcPr>
          <w:p w14:paraId="3F3D635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年6月30日</w:t>
            </w:r>
          </w:p>
        </w:tc>
      </w:tr>
      <w:tr w14:paraId="3BF0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66663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w:t>
            </w:r>
          </w:p>
        </w:tc>
        <w:tc>
          <w:tcPr>
            <w:tcW w:w="8149" w:type="dxa"/>
            <w:vAlign w:val="center"/>
          </w:tcPr>
          <w:p w14:paraId="60C06F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服务地点：杭州市人力资源和社会保障政务服务中心指定地点</w:t>
            </w:r>
          </w:p>
        </w:tc>
      </w:tr>
      <w:tr w14:paraId="7355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F8356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w:t>
            </w:r>
          </w:p>
        </w:tc>
        <w:tc>
          <w:tcPr>
            <w:tcW w:w="8149" w:type="dxa"/>
            <w:vAlign w:val="center"/>
          </w:tcPr>
          <w:p w14:paraId="03F81C6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服务方式：根据采购文件规定内容、投标文件响应的内容提供服务</w:t>
            </w:r>
          </w:p>
        </w:tc>
      </w:tr>
      <w:tr w14:paraId="57E8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AA263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4464" w:type="pct"/>
            <w:vAlign w:val="center"/>
          </w:tcPr>
          <w:p w14:paraId="7AF98E03">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违约责任：</w:t>
            </w:r>
          </w:p>
          <w:p w14:paraId="2A40FD20">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1、甲方无正当理由拒绝接受服务的，甲方向乙方支付合同款项百分之五作为违约金。</w:t>
            </w:r>
          </w:p>
          <w:p w14:paraId="72EBA8CF">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2、甲方无故逾期验收和办理款项支付手续的，甲方应按逾期付款总额向乙方支付每日万分之五违约金，最高限额为逾期付款额的1%。</w:t>
            </w:r>
          </w:p>
          <w:p w14:paraId="4F530D3A">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67D101C1">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甲方收到发票后按规定向财政部门申请支付，否则甲方有权暂缓付款且不承担逾期付款的违约责任。以上付款时间是指在乙方提供发票后，甲方完成向财政部门申报支付手续的时间，财政部门审查及实际支付可能造成的时间延误不视为甲方违约。</w:t>
            </w:r>
          </w:p>
          <w:p w14:paraId="31D87311">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348083C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6、违约方应当支付守约方为了维护自身合法权益而支出的费用，包括但不限于律师费、鉴定费、差旅费等。</w:t>
            </w:r>
          </w:p>
        </w:tc>
      </w:tr>
      <w:tr w14:paraId="33746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732BD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4464" w:type="pct"/>
            <w:vAlign w:val="center"/>
          </w:tcPr>
          <w:p w14:paraId="0807593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将争议提交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w:t>
            </w:r>
            <w:r>
              <w:rPr>
                <w:rFonts w:hint="eastAsia" w:ascii="仿宋" w:hAnsi="仿宋" w:eastAsia="仿宋" w:cs="仿宋"/>
                <w:color w:val="000000" w:themeColor="text1"/>
                <w:sz w:val="24"/>
                <w:szCs w:val="24"/>
                <w:highlight w:val="none"/>
                <w14:textFill>
                  <w14:solidFill>
                    <w14:schemeClr w14:val="tx1"/>
                  </w14:solidFill>
                </w14:textFill>
              </w:rPr>
              <w:t>仲裁委员会依申请仲裁时其现行有效的仲裁规则裁决；</w:t>
            </w:r>
          </w:p>
        </w:tc>
      </w:tr>
      <w:tr w14:paraId="3B85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7C13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4464" w:type="pct"/>
            <w:vAlign w:val="center"/>
          </w:tcPr>
          <w:p w14:paraId="3D9594E9">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向甲方单位所在地</w:t>
            </w: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有管辖权的</w:t>
            </w:r>
            <w:r>
              <w:rPr>
                <w:rFonts w:hint="eastAsia" w:ascii="仿宋" w:hAnsi="仿宋" w:eastAsia="仿宋" w:cs="仿宋"/>
                <w:snapToGrid/>
                <w:color w:val="000000" w:themeColor="text1"/>
                <w:kern w:val="2"/>
                <w:sz w:val="24"/>
                <w:highlight w:val="none"/>
                <w14:textFill>
                  <w14:solidFill>
                    <w14:schemeClr w14:val="tx1"/>
                  </w14:solidFill>
                </w14:textFill>
              </w:rPr>
              <w:t>人民法院起诉</w:t>
            </w:r>
          </w:p>
        </w:tc>
      </w:tr>
      <w:tr w14:paraId="7A15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A96ED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464" w:type="pct"/>
            <w:vAlign w:val="center"/>
          </w:tcPr>
          <w:p w14:paraId="564B9D16">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具有知识产权的计算机软件等货物的知识产权归甲方所有。</w:t>
            </w:r>
          </w:p>
        </w:tc>
      </w:tr>
      <w:tr w14:paraId="6AB6B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3079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5</w:t>
            </w:r>
          </w:p>
        </w:tc>
        <w:tc>
          <w:tcPr>
            <w:tcW w:w="4464" w:type="pct"/>
            <w:vAlign w:val="center"/>
          </w:tcPr>
          <w:p w14:paraId="1D857260">
            <w:pPr>
              <w:adjustRightInd/>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合同签订后，甲方收到乙方发票之日起【5】个工作日内，甲方向乙方支付合同价款总金额的【30】%，合计人民币           元（￥        ）；</w:t>
            </w:r>
          </w:p>
          <w:p w14:paraId="078A43C4">
            <w:pPr>
              <w:spacing w:line="360" w:lineRule="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（2）按照合同服务期限1.7.1的约定，</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6个月后，待财政资金到位，甲方对乙方履约情况进行考核，能严格履行合同，维保服务良好，无质量和服务问题，通过甲方的考核，凭甲方签字盖章的支付通知书，【5】个工作日内，支付合同价款总金额的【50】%,合计人民币           元（￥        ）；</w:t>
            </w:r>
          </w:p>
          <w:p w14:paraId="5105E32C">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服务期满后，甲方对项目执行情况进行验收，若执行情况良好，无质量和服务问题，经验收合格，乙方凭验收报告，甲方【5】个工作日内，支付合同价款剩余额，合计人民币           元（￥        ）。</w:t>
            </w:r>
          </w:p>
        </w:tc>
      </w:tr>
      <w:tr w14:paraId="349FF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EB1F0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p>
        </w:tc>
        <w:tc>
          <w:tcPr>
            <w:tcW w:w="4464" w:type="pct"/>
            <w:vAlign w:val="center"/>
          </w:tcPr>
          <w:p w14:paraId="215688C4">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cs="仿宋"/>
                <w:color w:val="000000" w:themeColor="text1"/>
                <w:sz w:val="24"/>
                <w:highlight w:val="none"/>
                <w:u w:val="single"/>
                <w14:textFill>
                  <w14:solidFill>
                    <w14:schemeClr w14:val="tx1"/>
                  </w14:solidFill>
                </w14:textFill>
              </w:rPr>
              <w:t>10个工作日内</w:t>
            </w:r>
            <w:r>
              <w:rPr>
                <w:rFonts w:hint="eastAsia" w:ascii="仿宋" w:hAnsi="仿宋" w:eastAsia="仿宋" w:cs="仿宋"/>
                <w:color w:val="000000" w:themeColor="text1"/>
                <w:sz w:val="24"/>
                <w:highlight w:val="none"/>
                <w14:textFill>
                  <w14:solidFill>
                    <w14:schemeClr w14:val="tx1"/>
                  </w14:solidFill>
                </w14:textFill>
              </w:rPr>
              <w:t>以书面形式变更合同；</w:t>
            </w:r>
          </w:p>
        </w:tc>
      </w:tr>
      <w:tr w14:paraId="4AA82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B10AC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11.4</w:t>
            </w:r>
            <w:r>
              <w:rPr>
                <w:rFonts w:hint="eastAsia" w:ascii="仿宋" w:hAnsi="仿宋" w:eastAsia="仿宋" w:cs="仿宋"/>
                <w:color w:val="000000" w:themeColor="text1"/>
                <w:sz w:val="24"/>
                <w:highlight w:val="none"/>
                <w14:textFill>
                  <w14:solidFill>
                    <w14:schemeClr w14:val="tx1"/>
                  </w14:solidFill>
                </w14:textFill>
              </w:rPr>
              <w:t xml:space="preserve"> </w:t>
            </w:r>
          </w:p>
        </w:tc>
        <w:tc>
          <w:tcPr>
            <w:tcW w:w="4464" w:type="pct"/>
            <w:vAlign w:val="center"/>
          </w:tcPr>
          <w:p w14:paraId="5654CBE1">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s="仿宋"/>
                <w:color w:val="000000" w:themeColor="text1"/>
                <w:sz w:val="24"/>
                <w:highlight w:val="none"/>
                <w:u w:val="single"/>
                <w14:textFill>
                  <w14:solidFill>
                    <w14:schemeClr w14:val="tx1"/>
                  </w14:solidFill>
                </w14:textFill>
              </w:rPr>
              <w:t>不可抗力发生的当日</w:t>
            </w:r>
            <w:r>
              <w:rPr>
                <w:rFonts w:hint="eastAsia" w:ascii="仿宋" w:hAnsi="仿宋" w:eastAsia="仿宋" w:cs="仿宋"/>
                <w:color w:val="000000" w:themeColor="text1"/>
                <w:sz w:val="24"/>
                <w:highlight w:val="none"/>
                <w14:textFill>
                  <w14:solidFill>
                    <w14:schemeClr w14:val="tx1"/>
                  </w14:solidFill>
                </w14:textFill>
              </w:rPr>
              <w:t>以书面形式通知对方当事人，并在</w:t>
            </w:r>
            <w:r>
              <w:rPr>
                <w:rFonts w:hint="eastAsia" w:ascii="仿宋" w:hAnsi="仿宋" w:eastAsia="仿宋" w:cs="仿宋"/>
                <w:color w:val="000000" w:themeColor="text1"/>
                <w:sz w:val="24"/>
                <w:highlight w:val="none"/>
                <w:u w:val="single"/>
                <w14:textFill>
                  <w14:solidFill>
                    <w14:schemeClr w14:val="tx1"/>
                  </w14:solidFill>
                </w14:textFill>
              </w:rPr>
              <w:t>七个工作日</w:t>
            </w:r>
            <w:r>
              <w:rPr>
                <w:rFonts w:hint="eastAsia" w:ascii="仿宋" w:hAnsi="仿宋" w:eastAsia="仿宋" w:cs="仿宋"/>
                <w:color w:val="000000" w:themeColor="text1"/>
                <w:sz w:val="24"/>
                <w:highlight w:val="none"/>
                <w14:textFill>
                  <w14:solidFill>
                    <w14:schemeClr w14:val="tx1"/>
                  </w14:solidFill>
                </w14:textFill>
              </w:rPr>
              <w:t>内，将有关部门出具的证明文件送达对方当事人。</w:t>
            </w:r>
          </w:p>
        </w:tc>
      </w:tr>
      <w:tr w14:paraId="6CBB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E553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w:t>
            </w:r>
          </w:p>
        </w:tc>
        <w:tc>
          <w:tcPr>
            <w:tcW w:w="4464" w:type="pct"/>
            <w:vAlign w:val="center"/>
          </w:tcPr>
          <w:p w14:paraId="1C464535">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lang w:eastAsia="zh-CN"/>
                <w14:textFill>
                  <w14:solidFill>
                    <w14:schemeClr w14:val="tx1"/>
                  </w14:solidFill>
                </w14:textFill>
              </w:rPr>
              <w:t>需在</w:t>
            </w: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lang w:eastAsia="zh-CN"/>
                <w14:textFill>
                  <w14:solidFill>
                    <w14:schemeClr w14:val="tx1"/>
                  </w14:solidFill>
                </w14:textFill>
              </w:rPr>
              <w:t>期限内定期提交服务报告，并接受甲方审核</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30629303">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乙方在服务期限完成后</w:t>
            </w:r>
            <w:r>
              <w:rPr>
                <w:rFonts w:hint="eastAsia" w:ascii="仿宋" w:hAnsi="仿宋" w:eastAsia="仿宋" w:cs="仿宋"/>
                <w:color w:val="000000" w:themeColor="text1"/>
                <w:sz w:val="24"/>
                <w:highlight w:val="none"/>
                <w:lang w:val="en-US" w:eastAsia="zh-CN"/>
                <w14:textFill>
                  <w14:solidFill>
                    <w14:schemeClr w14:val="tx1"/>
                  </w14:solidFill>
                </w14:textFill>
              </w:rPr>
              <w:t>15天内，</w:t>
            </w:r>
            <w:r>
              <w:rPr>
                <w:rFonts w:hint="eastAsia" w:ascii="仿宋" w:hAnsi="仿宋" w:eastAsia="仿宋" w:cs="仿宋"/>
                <w:color w:val="000000" w:themeColor="text1"/>
                <w:sz w:val="24"/>
                <w:highlight w:val="none"/>
                <w14:textFill>
                  <w14:solidFill>
                    <w14:schemeClr w14:val="tx1"/>
                  </w14:solidFill>
                </w14:textFill>
              </w:rPr>
              <w:t>提供全部项目报告由使用单位负责验收。</w:t>
            </w:r>
          </w:p>
        </w:tc>
      </w:tr>
      <w:tr w14:paraId="47FDE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C9F0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p>
        </w:tc>
        <w:tc>
          <w:tcPr>
            <w:tcW w:w="4464" w:type="pct"/>
            <w:vAlign w:val="center"/>
          </w:tcPr>
          <w:p w14:paraId="02B75923">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检验和验收标准、程序等具体内容以及前述验收书的效力：</w:t>
            </w:r>
          </w:p>
          <w:p w14:paraId="3CE4E2E9">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1、验收标准：验收标准应符合采购需求以及相关标准。验收分为</w:t>
            </w:r>
            <w:r>
              <w:rPr>
                <w:rFonts w:hint="eastAsia" w:ascii="仿宋" w:hAnsi="仿宋" w:eastAsia="仿宋" w:cs="仿宋"/>
                <w:color w:val="000000" w:themeColor="text1"/>
                <w:sz w:val="24"/>
                <w:highlight w:val="none"/>
                <w:lang w:val="en-US" w:eastAsia="zh-CN"/>
                <w14:textFill>
                  <w14:solidFill>
                    <w14:schemeClr w14:val="tx1"/>
                  </w14:solidFill>
                </w14:textFill>
              </w:rPr>
              <w:t>履约考核</w:t>
            </w:r>
            <w:r>
              <w:rPr>
                <w:rFonts w:hint="eastAsia" w:ascii="仿宋" w:hAnsi="仿宋" w:eastAsia="仿宋" w:cs="仿宋"/>
                <w:color w:val="000000" w:themeColor="text1"/>
                <w:sz w:val="24"/>
                <w:highlight w:val="none"/>
                <w14:textFill>
                  <w14:solidFill>
                    <w14:schemeClr w14:val="tx1"/>
                  </w14:solidFill>
                </w14:textFill>
              </w:rPr>
              <w:t>和终期验收，如不合格，乙方应及时加以修改纠正，直到验收合格。</w:t>
            </w:r>
          </w:p>
          <w:p w14:paraId="7BC3B660">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2、系统达到验收条件后，由乙方提出验收申请，甲方根据乙方提交的申请进行确认。</w:t>
            </w:r>
          </w:p>
          <w:p w14:paraId="0C0AB574">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按照合同服务期限1.7.1的约定，</w:t>
            </w:r>
            <w:r>
              <w:rPr>
                <w:rFonts w:hint="eastAsia" w:ascii="仿宋" w:hAnsi="仿宋" w:eastAsia="仿宋" w:cs="仿宋"/>
                <w:color w:val="000000" w:themeColor="text1"/>
                <w:sz w:val="24"/>
                <w:highlight w:val="none"/>
                <w14:textFill>
                  <w14:solidFill>
                    <w14:schemeClr w14:val="tx1"/>
                  </w14:solidFill>
                </w14:textFill>
              </w:rPr>
              <w:t>服务6个月后，能严格履行合同，按照进度进行</w:t>
            </w:r>
            <w:r>
              <w:rPr>
                <w:rFonts w:hint="eastAsia" w:ascii="仿宋" w:hAnsi="仿宋" w:eastAsia="仿宋" w:cs="仿宋"/>
                <w:color w:val="000000" w:themeColor="text1"/>
                <w:sz w:val="24"/>
                <w:highlight w:val="none"/>
                <w:lang w:val="en-US" w:eastAsia="zh-CN"/>
                <w14:textFill>
                  <w14:solidFill>
                    <w14:schemeClr w14:val="tx1"/>
                  </w14:solidFill>
                </w14:textFill>
              </w:rPr>
              <w:t>履约考核</w:t>
            </w:r>
            <w:r>
              <w:rPr>
                <w:rFonts w:hint="eastAsia" w:ascii="仿宋" w:hAnsi="仿宋" w:eastAsia="仿宋" w:cs="仿宋"/>
                <w:color w:val="000000" w:themeColor="text1"/>
                <w:sz w:val="24"/>
                <w:highlight w:val="none"/>
                <w14:textFill>
                  <w14:solidFill>
                    <w14:schemeClr w14:val="tx1"/>
                  </w14:solidFill>
                </w14:textFill>
              </w:rPr>
              <w:t>，维保服务良好，无质量和服务问题，相关系统能够正常运行；同时乙方须提供相关考核文档，考核评审通过即视为</w:t>
            </w:r>
            <w:r>
              <w:rPr>
                <w:rFonts w:hint="eastAsia" w:ascii="仿宋" w:hAnsi="仿宋" w:eastAsia="仿宋" w:cs="仿宋"/>
                <w:color w:val="000000" w:themeColor="text1"/>
                <w:sz w:val="24"/>
                <w:highlight w:val="none"/>
                <w:lang w:val="en-US" w:eastAsia="zh-CN"/>
                <w14:textFill>
                  <w14:solidFill>
                    <w14:schemeClr w14:val="tx1"/>
                  </w14:solidFill>
                </w14:textFill>
              </w:rPr>
              <w:t>履约</w:t>
            </w:r>
            <w:r>
              <w:rPr>
                <w:rFonts w:hint="eastAsia" w:ascii="仿宋" w:hAnsi="仿宋" w:eastAsia="仿宋" w:cs="仿宋"/>
                <w:color w:val="000000" w:themeColor="text1"/>
                <w:sz w:val="24"/>
                <w:highlight w:val="none"/>
                <w14:textFill>
                  <w14:solidFill>
                    <w14:schemeClr w14:val="tx1"/>
                  </w14:solidFill>
                </w14:textFill>
              </w:rPr>
              <w:t>考核通过。</w:t>
            </w:r>
          </w:p>
          <w:p w14:paraId="2B8A7CA2">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4、服务期满后,</w:t>
            </w:r>
            <w:r>
              <w:rPr>
                <w:rFonts w:hint="eastAsia" w:ascii="仿宋" w:hAnsi="仿宋" w:eastAsia="仿宋" w:cs="仿宋"/>
                <w:color w:val="000000" w:themeColor="text1"/>
                <w:sz w:val="24"/>
                <w:highlight w:val="none"/>
                <w:lang w:val="en-US" w:eastAsia="zh-CN"/>
                <w14:textFill>
                  <w14:solidFill>
                    <w14:schemeClr w14:val="tx1"/>
                  </w14:solidFill>
                </w14:textFill>
              </w:rPr>
              <w:t>履约</w:t>
            </w:r>
            <w:r>
              <w:rPr>
                <w:rFonts w:hint="eastAsia" w:ascii="仿宋" w:hAnsi="仿宋" w:eastAsia="仿宋" w:cs="仿宋"/>
                <w:color w:val="000000" w:themeColor="text1"/>
                <w:sz w:val="24"/>
                <w:highlight w:val="none"/>
                <w14:textFill>
                  <w14:solidFill>
                    <w14:schemeClr w14:val="tx1"/>
                  </w14:solidFill>
                </w14:textFill>
              </w:rPr>
              <w:t>考核遗留问题整改完成，乙方确认维护期内系统运行稳定正常相关维护问题均已解决，维保文档已提交，等待最终验收。甲方组织验收小组，按照采购合同的约定对乙方进行终期验收。</w:t>
            </w:r>
          </w:p>
          <w:p w14:paraId="25158C09">
            <w:pPr>
              <w:adjustRightIn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5、验收不合格的，乙方应在规定时间内整改完成并再次提交验收申请。</w:t>
            </w:r>
          </w:p>
        </w:tc>
      </w:tr>
      <w:tr w14:paraId="10FD0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D2FF623">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20</w:t>
            </w:r>
          </w:p>
        </w:tc>
        <w:tc>
          <w:tcPr>
            <w:tcW w:w="4464" w:type="pct"/>
          </w:tcPr>
          <w:p w14:paraId="6EC8D5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本合同一式</w:t>
            </w:r>
            <w:r>
              <w:rPr>
                <w:rFonts w:hint="eastAsia" w:ascii="仿宋" w:hAnsi="仿宋" w:eastAsia="仿宋" w:cs="仿宋"/>
                <w:snapToGrid/>
                <w:color w:val="000000" w:themeColor="text1"/>
                <w:kern w:val="2"/>
                <w:sz w:val="24"/>
                <w:highlight w:val="none"/>
                <w:u w:val="single"/>
                <w:lang w:val="en-US" w:eastAsia="zh-CN"/>
                <w14:textFill>
                  <w14:solidFill>
                    <w14:schemeClr w14:val="tx1"/>
                  </w14:solidFill>
                </w14:textFill>
              </w:rPr>
              <w:t>肆</w:t>
            </w:r>
            <w:r>
              <w:rPr>
                <w:rFonts w:hint="eastAsia" w:ascii="仿宋" w:hAnsi="仿宋" w:eastAsia="仿宋" w:cs="仿宋"/>
                <w:snapToGrid/>
                <w:color w:val="000000" w:themeColor="text1"/>
                <w:kern w:val="2"/>
                <w:sz w:val="24"/>
                <w:highlight w:val="none"/>
                <w14:textFill>
                  <w14:solidFill>
                    <w14:schemeClr w14:val="tx1"/>
                  </w14:solidFill>
                </w14:textFill>
              </w:rPr>
              <w:t>份，甲方执</w:t>
            </w:r>
            <w:r>
              <w:rPr>
                <w:rFonts w:hint="eastAsia" w:ascii="仿宋" w:hAnsi="仿宋" w:eastAsia="仿宋" w:cs="仿宋"/>
                <w:snapToGrid/>
                <w:color w:val="000000" w:themeColor="text1"/>
                <w:kern w:val="2"/>
                <w:sz w:val="24"/>
                <w:highlight w:val="none"/>
                <w:u w:val="single"/>
                <w:lang w:val="en-US" w:eastAsia="zh-CN"/>
                <w14:textFill>
                  <w14:solidFill>
                    <w14:schemeClr w14:val="tx1"/>
                  </w14:solidFill>
                </w14:textFill>
              </w:rPr>
              <w:t>贰</w:t>
            </w:r>
            <w:r>
              <w:rPr>
                <w:rFonts w:hint="eastAsia" w:ascii="仿宋" w:hAnsi="仿宋" w:eastAsia="仿宋" w:cs="仿宋"/>
                <w:snapToGrid/>
                <w:color w:val="000000" w:themeColor="text1"/>
                <w:kern w:val="2"/>
                <w:sz w:val="24"/>
                <w:highlight w:val="none"/>
                <w14:textFill>
                  <w14:solidFill>
                    <w14:schemeClr w14:val="tx1"/>
                  </w14:solidFill>
                </w14:textFill>
              </w:rPr>
              <w:t>份，乙方执</w:t>
            </w:r>
            <w:r>
              <w:rPr>
                <w:rFonts w:hint="eastAsia" w:ascii="仿宋" w:hAnsi="仿宋" w:eastAsia="仿宋" w:cs="仿宋"/>
                <w:snapToGrid/>
                <w:color w:val="000000" w:themeColor="text1"/>
                <w:kern w:val="2"/>
                <w:sz w:val="24"/>
                <w:highlight w:val="none"/>
                <w:u w:val="single"/>
                <w:lang w:val="en-US" w:eastAsia="zh-CN"/>
                <w14:textFill>
                  <w14:solidFill>
                    <w14:schemeClr w14:val="tx1"/>
                  </w14:solidFill>
                </w14:textFill>
              </w:rPr>
              <w:t>贰</w:t>
            </w:r>
            <w:r>
              <w:rPr>
                <w:rFonts w:hint="eastAsia" w:ascii="仿宋" w:hAnsi="仿宋" w:eastAsia="仿宋" w:cs="仿宋"/>
                <w:snapToGrid/>
                <w:color w:val="000000" w:themeColor="text1"/>
                <w:kern w:val="2"/>
                <w:sz w:val="24"/>
                <w:highlight w:val="none"/>
                <w14:textFill>
                  <w14:solidFill>
                    <w14:schemeClr w14:val="tx1"/>
                  </w14:solidFill>
                </w14:textFill>
              </w:rPr>
              <w:t>份。每份均具有同等法律效力。</w:t>
            </w:r>
          </w:p>
        </w:tc>
      </w:tr>
    </w:tbl>
    <w:p w14:paraId="1F1831AE">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14:paraId="11CF72C6">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14:paraId="081A91D5">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30AAB8F4">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3"/>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4"/>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EDFC98C">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711D07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180359F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079F5BD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D04445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491B848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6000E5E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14:paraId="4227445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）本项目的特定资格要求………………………………………………（页码）</w:t>
      </w:r>
    </w:p>
    <w:p w14:paraId="1AB0625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186D6C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411347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23E975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r>
        <w:rPr>
          <w:rFonts w:hint="eastAsia" w:ascii="仿宋" w:hAnsi="仿宋" w:eastAsia="仿宋" w:cs="仿宋"/>
          <w:color w:val="000000" w:themeColor="text1"/>
          <w:sz w:val="24"/>
          <w:highlight w:val="none"/>
          <w14:textFill>
            <w14:solidFill>
              <w14:schemeClr w14:val="tx1"/>
            </w14:solidFill>
          </w14:textFill>
        </w:rPr>
        <w:t>：</w:t>
      </w:r>
    </w:p>
    <w:p w14:paraId="2DC9E9D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1C5B4460">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45950B9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6831299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1704C41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AFFA29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5DFD85C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06DE9A2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72F3D64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CB9D42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9E4594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CB85EF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DFB8B0E">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47AC561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F7E7F7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DE922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78ED3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A77714">
      <w:pPr>
        <w:rPr>
          <w:rFonts w:hint="eastAsia" w:ascii="仿宋" w:hAnsi="仿宋" w:eastAsia="仿宋" w:cs="仿宋"/>
          <w:color w:val="000000" w:themeColor="text1"/>
          <w:highlight w:val="none"/>
          <w14:textFill>
            <w14:solidFill>
              <w14:schemeClr w14:val="tx1"/>
            </w14:solidFill>
          </w14:textFill>
        </w:rPr>
      </w:pPr>
    </w:p>
    <w:p w14:paraId="712B4E4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A1B407">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63AFA18">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11D4CE85">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32A6A2F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83191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B2E3E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28218C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B16AA2A">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 </w:t>
      </w:r>
    </w:p>
    <w:p w14:paraId="76D4F979">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49E03F0D">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）和中小企业声明函（附件</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8602E39">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71E171C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0C04382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33C84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1ED493A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76724A08">
      <w:pPr>
        <w:rPr>
          <w:rFonts w:hint="eastAsia" w:ascii="仿宋" w:hAnsi="仿宋" w:eastAsia="仿宋" w:cs="仿宋"/>
          <w:color w:val="000000" w:themeColor="text1"/>
          <w:highlight w:val="none"/>
          <w14:textFill>
            <w14:solidFill>
              <w14:schemeClr w14:val="tx1"/>
            </w14:solidFill>
          </w14:textFill>
        </w:rPr>
      </w:pPr>
    </w:p>
    <w:p w14:paraId="0601EA1C">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031F2555">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B91C69B">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757FE5CB">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74C77B9E">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260540EF">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color w:val="000000" w:themeColor="text1"/>
          <w:highlight w:val="none"/>
          <w14:textFill>
            <w14:solidFill>
              <w14:schemeClr w14:val="tx1"/>
            </w14:solidFill>
          </w14:textFill>
        </w:rPr>
        <w:t>…………………………………………………………………………（页码）</w:t>
      </w:r>
    </w:p>
    <w:p w14:paraId="0B2B13FB">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）符合性审查资料</w:t>
      </w:r>
      <w:r>
        <w:rPr>
          <w:rFonts w:hint="eastAsia" w:ascii="仿宋" w:hAnsi="仿宋" w:eastAsia="仿宋" w:cs="仿宋"/>
          <w:color w:val="000000" w:themeColor="text1"/>
          <w:highlight w:val="none"/>
          <w14:textFill>
            <w14:solidFill>
              <w14:schemeClr w14:val="tx1"/>
            </w14:solidFill>
          </w14:textFill>
        </w:rPr>
        <w:t>………………………………………………………………………（页码）</w:t>
      </w:r>
    </w:p>
    <w:p w14:paraId="09A67C89">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）商务技术偏离表</w:t>
      </w:r>
      <w:r>
        <w:rPr>
          <w:rFonts w:hint="eastAsia" w:ascii="仿宋" w:hAnsi="仿宋" w:eastAsia="仿宋" w:cs="仿宋"/>
          <w:color w:val="000000" w:themeColor="text1"/>
          <w:highlight w:val="none"/>
          <w14:textFill>
            <w14:solidFill>
              <w14:schemeClr w14:val="tx1"/>
            </w14:solidFill>
          </w14:textFill>
        </w:rPr>
        <w:t>………………………………………………………………………（页码）</w:t>
      </w:r>
    </w:p>
    <w:p w14:paraId="7979EFFE">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703B75B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B9E824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C76F2D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AD802B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3FC652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06356A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86A73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AB419E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389EA0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F46DBA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669AD5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A63A648">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A3902F0">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4AE5463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r>
        <w:rPr>
          <w:rFonts w:hint="eastAsia" w:ascii="仿宋" w:hAnsi="仿宋" w:eastAsia="仿宋" w:cs="仿宋"/>
          <w:color w:val="000000" w:themeColor="text1"/>
          <w:sz w:val="24"/>
          <w:highlight w:val="none"/>
          <w14:textFill>
            <w14:solidFill>
              <w14:schemeClr w14:val="tx1"/>
            </w14:solidFill>
          </w14:textFill>
        </w:rPr>
        <w:t>：</w:t>
      </w:r>
    </w:p>
    <w:p w14:paraId="7271961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6ECAEA7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667FF52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76B8306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15A4DED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62FED92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511" w:name="_Hlk101257010"/>
      <w:r>
        <w:rPr>
          <w:rFonts w:hint="eastAsia" w:ascii="仿宋" w:hAnsi="仿宋" w:eastAsia="仿宋" w:cs="仿宋"/>
          <w:color w:val="000000" w:themeColor="text1"/>
          <w:sz w:val="24"/>
          <w:highlight w:val="none"/>
          <w14:textFill>
            <w14:solidFill>
              <w14:schemeClr w14:val="tx1"/>
            </w14:solidFill>
          </w14:textFill>
        </w:rPr>
        <w:t>（如果有)</w:t>
      </w:r>
      <w:bookmarkEnd w:id="511"/>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7ABABD1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落实政府采购政策需满足的资格要求（如果有）；</w:t>
      </w:r>
    </w:p>
    <w:p w14:paraId="071227E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本项目的特定资格要求（如果有)。</w:t>
      </w:r>
    </w:p>
    <w:p w14:paraId="0DB13134">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5C5897E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AC1F2C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4900772C">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分包意向协议（如果有)；</w:t>
      </w:r>
    </w:p>
    <w:p w14:paraId="73F56F4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符合性审查资料；</w:t>
      </w:r>
    </w:p>
    <w:p w14:paraId="5C29B64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14:paraId="0045465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投标标的清单；</w:t>
      </w:r>
    </w:p>
    <w:p w14:paraId="36859C5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商务技术偏离表；</w:t>
      </w:r>
    </w:p>
    <w:p w14:paraId="6B23E461">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6687A11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44A5DBE7">
      <w:pPr>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79A2AB3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69E2B7A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14:paraId="7E46C9C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42E2E99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49580C5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78B07EA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03CE1B9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DD8F9CD">
      <w:pPr>
        <w:widowControl w:val="0"/>
        <w:numPr>
          <w:ilvl w:val="0"/>
          <w:numId w:val="0"/>
        </w:numPr>
        <w:ind w:firstLine="480" w:firstLineChars="200"/>
        <w:jc w:val="both"/>
        <w:rPr>
          <w:rFonts w:hint="eastAsia" w:ascii="仿宋" w:hAnsi="仿宋" w:eastAsia="仿宋" w:cs="仿宋"/>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对</w:t>
      </w:r>
      <w:r>
        <w:rPr>
          <w:rFonts w:hint="eastAsia" w:ascii="仿宋" w:hAnsi="仿宋" w:eastAsia="仿宋" w:cs="仿宋"/>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EAE66D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638A496">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5265E15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85F5866">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0C253A9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24216F7">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4073C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94EE930">
      <w:pPr>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1EA0323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843D4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C5201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E271C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E45A3F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431C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82128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A19F3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BF4D5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A263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C77F98">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06109311">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76016E3E">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17B616B9">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168D4233">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55F08F5C">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6A5D9BDD">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386D4284">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3712E2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5F07954">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D464B0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767511F7">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5EEFB8A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563753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55D543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06396C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3D5497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5A30B05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1894FBA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028333C">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6A9E04A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8D0A706">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6FF5342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3CB7AC7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5ED0AAC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342EBE">
      <w:pPr>
        <w:rPr>
          <w:rFonts w:hint="eastAsia" w:ascii="仿宋" w:hAnsi="仿宋" w:eastAsia="仿宋" w:cs="仿宋"/>
          <w:color w:val="000000" w:themeColor="text1"/>
          <w:highlight w:val="none"/>
          <w14:textFill>
            <w14:solidFill>
              <w14:schemeClr w14:val="tx1"/>
            </w14:solidFill>
          </w14:textFill>
        </w:rPr>
      </w:pPr>
    </w:p>
    <w:p w14:paraId="3CC69466">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D2F5B20">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6B5FDB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02ABAA8">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5A7585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5BC0DE9">
      <w:pPr>
        <w:pStyle w:val="80"/>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D1C40B2">
      <w:pPr>
        <w:pStyle w:val="80"/>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C50D735">
      <w:pPr>
        <w:pStyle w:val="80"/>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5D57361">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FCE005F">
      <w:pPr>
        <w:pStyle w:val="15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85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6D04CD">
            <w:pPr>
              <w:pStyle w:val="15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49FE15E9">
            <w:pPr>
              <w:pStyle w:val="15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6BDED29F">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E6448E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0EC85104">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AD558D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A7770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D1116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893BF2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A2AAC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2B43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F6EB4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AECDD6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02A9E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87AFEA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6A2F02">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8B09596">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006ECEC9">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7F40CCE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7F1F849B">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7F3E47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11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665296">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433D7B9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35847CA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205D82F3">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09545E3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79E5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BC043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00EC22C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36B1340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95D80D7">
            <w:pPr>
              <w:rPr>
                <w:rFonts w:hint="eastAsia" w:ascii="仿宋" w:hAnsi="仿宋" w:eastAsia="仿宋" w:cs="仿宋"/>
                <w:color w:val="000000" w:themeColor="text1"/>
                <w:sz w:val="24"/>
                <w:highlight w:val="none"/>
                <w14:textFill>
                  <w14:solidFill>
                    <w14:schemeClr w14:val="tx1"/>
                  </w14:solidFill>
                </w14:textFill>
              </w:rPr>
            </w:pPr>
          </w:p>
          <w:p w14:paraId="4F42A7E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063A57C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4E7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B3AEB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41DE77D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551966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352B12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285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6F878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w:t>
            </w:r>
          </w:p>
        </w:tc>
        <w:tc>
          <w:tcPr>
            <w:tcW w:w="4991" w:type="dxa"/>
            <w:vAlign w:val="top"/>
          </w:tcPr>
          <w:p w14:paraId="1DDD9E4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2FE59B8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0D70CAE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见投标文件第</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页</w:t>
            </w:r>
          </w:p>
        </w:tc>
      </w:tr>
      <w:tr w14:paraId="4578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FD2B02">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4</w:t>
            </w:r>
          </w:p>
        </w:tc>
        <w:tc>
          <w:tcPr>
            <w:tcW w:w="4991" w:type="dxa"/>
            <w:vAlign w:val="top"/>
          </w:tcPr>
          <w:p w14:paraId="23AF6D6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7DCA2FE4">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p>
        </w:tc>
        <w:tc>
          <w:tcPr>
            <w:tcW w:w="1418" w:type="dxa"/>
            <w:vAlign w:val="top"/>
          </w:tcPr>
          <w:p w14:paraId="5C364EC8">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见投标文件第</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页</w:t>
            </w:r>
          </w:p>
        </w:tc>
      </w:tr>
      <w:tr w14:paraId="1C73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458AEB">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4991" w:type="dxa"/>
            <w:vAlign w:val="top"/>
          </w:tcPr>
          <w:p w14:paraId="216D254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其他实质性要求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23981DD5">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p>
        </w:tc>
        <w:tc>
          <w:tcPr>
            <w:tcW w:w="1418" w:type="dxa"/>
            <w:vAlign w:val="top"/>
          </w:tcPr>
          <w:p w14:paraId="4C31949D">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见投标文件第</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页</w:t>
            </w:r>
          </w:p>
        </w:tc>
      </w:tr>
    </w:tbl>
    <w:p w14:paraId="3FC1A4E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按本格式和要求提供。</w:t>
      </w:r>
    </w:p>
    <w:p w14:paraId="2F884E1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2、招标文件中实质性要求必须明确响应。</w:t>
      </w:r>
    </w:p>
    <w:p w14:paraId="5BE7381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7747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1556728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361D5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2FF1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A7C2F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E51B6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5A874D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258C130">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19C4B741">
      <w:pPr>
        <w:pStyle w:val="80"/>
        <w:rPr>
          <w:rFonts w:hint="eastAsia" w:ascii="仿宋" w:hAnsi="仿宋" w:eastAsia="仿宋" w:cs="仿宋"/>
          <w:b/>
          <w:color w:val="000000" w:themeColor="text1"/>
          <w:kern w:val="0"/>
          <w:sz w:val="32"/>
          <w:szCs w:val="32"/>
          <w:highlight w:val="none"/>
          <w14:textFill>
            <w14:solidFill>
              <w14:schemeClr w14:val="tx1"/>
            </w14:solidFill>
          </w14:textFill>
        </w:rPr>
      </w:pPr>
    </w:p>
    <w:p w14:paraId="012FE6F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ED94B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3D40D79E">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F09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A66F21">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14:paraId="37F65FFB">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805BEB5">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14:paraId="2E7B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DD2349">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14:paraId="1CE40622">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06FBBC0B">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15C4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53FA81">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14:paraId="5C9AE6D2">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14:paraId="6574CAA3">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4E5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F115CE">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14:paraId="7BF450AF">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14:paraId="46D7F5EF">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14:paraId="68AE8180">
      <w:pPr>
        <w:pStyle w:val="80"/>
        <w:rPr>
          <w:rFonts w:hint="eastAsia" w:ascii="仿宋" w:hAnsi="仿宋" w:eastAsia="仿宋" w:cs="仿宋"/>
          <w:color w:val="000000" w:themeColor="text1"/>
          <w:highlight w:val="none"/>
          <w14:textFill>
            <w14:solidFill>
              <w14:schemeClr w14:val="tx1"/>
            </w14:solidFill>
          </w14:textFill>
        </w:rPr>
      </w:pPr>
    </w:p>
    <w:p w14:paraId="4453C56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B5E8D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BDB77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1450DD">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F3E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3C0E3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3CB8D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6479CF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5437C6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8A3AD4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E5D75F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00FEFF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701D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65C7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6B7881">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22705E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8BE25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C9F502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818F06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7BC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CF5C8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08ED30">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FF87C3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23923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99E0F6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66EC80B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9D4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BF70D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33EE71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D62C42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65415A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027790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73DC2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659BC3E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39AE81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column"/>
      </w: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B8B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27BAD5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180" w:type="dxa"/>
          </w:tcPr>
          <w:p w14:paraId="319D131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062" w:type="dxa"/>
          </w:tcPr>
          <w:p w14:paraId="724F0AB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102" w:type="dxa"/>
          </w:tcPr>
          <w:p w14:paraId="65DA41D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4FCE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F699AA2">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180" w:type="dxa"/>
          </w:tcPr>
          <w:p w14:paraId="714C8D0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062" w:type="dxa"/>
          </w:tcPr>
          <w:p w14:paraId="49B4550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102" w:type="dxa"/>
          </w:tcPr>
          <w:p w14:paraId="32B619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0907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165513">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180" w:type="dxa"/>
          </w:tcPr>
          <w:p w14:paraId="5D153DB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062" w:type="dxa"/>
          </w:tcPr>
          <w:p w14:paraId="047AB6E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102" w:type="dxa"/>
          </w:tcPr>
          <w:p w14:paraId="0110514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1FB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514DB6">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180" w:type="dxa"/>
          </w:tcPr>
          <w:p w14:paraId="177FA5E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062" w:type="dxa"/>
          </w:tcPr>
          <w:p w14:paraId="0162A80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102" w:type="dxa"/>
          </w:tcPr>
          <w:p w14:paraId="72D3405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4F25E44D">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10F51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3BDFF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按本格式和要求提供。</w:t>
      </w:r>
    </w:p>
    <w:p w14:paraId="47E6B50B">
      <w:pPr>
        <w:spacing w:line="360" w:lineRule="auto"/>
        <w:ind w:right="42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7FC1C7A">
      <w:pPr>
        <w:spacing w:line="360" w:lineRule="auto"/>
        <w:ind w:right="42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26C19229">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5C581E95">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E67C37E">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704F774E">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66472352">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78EB585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695BF1B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B88CAF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E8A7E0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D3059D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8F0FB7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8C1D2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672DC5A">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11E097E">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63D24C14">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70850DE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1C0236D">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45D2E0E">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C8D04C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A29876F">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98ED695">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15D73F7">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6900538D">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62AB950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3CDBDE6">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29642D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278F5D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54F3B7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4E919BA">
      <w:pPr>
        <w:numPr>
          <w:ilvl w:val="0"/>
          <w:numId w:val="2"/>
        </w:num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开标一览表（报价表）………………………………………………………（页码）</w:t>
      </w:r>
    </w:p>
    <w:p w14:paraId="0150452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）中小企业声明函………………………………………………………………（页码）</w:t>
      </w:r>
    </w:p>
    <w:p w14:paraId="41936A7E">
      <w:pPr>
        <w:pStyle w:val="81"/>
        <w:rPr>
          <w:rFonts w:hint="eastAsia" w:ascii="仿宋" w:hAnsi="仿宋" w:eastAsia="仿宋" w:cs="仿宋"/>
          <w:color w:val="000000" w:themeColor="text1"/>
          <w:highlight w:val="none"/>
          <w14:textFill>
            <w14:solidFill>
              <w14:schemeClr w14:val="tx1"/>
            </w14:solidFill>
          </w14:textFill>
        </w:rPr>
      </w:pPr>
    </w:p>
    <w:p w14:paraId="1D54B5EC">
      <w:pPr>
        <w:pStyle w:val="81"/>
        <w:rPr>
          <w:rFonts w:hint="eastAsia" w:ascii="仿宋" w:hAnsi="仿宋" w:eastAsia="仿宋" w:cs="仿宋"/>
          <w:color w:val="000000" w:themeColor="text1"/>
          <w:highlight w:val="none"/>
          <w14:textFill>
            <w14:solidFill>
              <w14:schemeClr w14:val="tx1"/>
            </w14:solidFill>
          </w14:textFill>
        </w:rPr>
      </w:pPr>
    </w:p>
    <w:p w14:paraId="5988B82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5BE60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5D08F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E03BC4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6E06A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DF2B3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2D937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B3651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2E3AD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6917B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8BFD5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C5D0F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FFB23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CBBFF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B1125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CEBC949">
      <w:pPr>
        <w:pStyle w:val="694"/>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82294B">
      <w:pPr>
        <w:pStyle w:val="694"/>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3744C0E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联通工程咨询（浙江）有限公司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989EC8">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3B29B06">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1A7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DB807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571D408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42B44DE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FC9C90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410" w:type="dxa"/>
            <w:vAlign w:val="center"/>
          </w:tcPr>
          <w:p w14:paraId="2F75B27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268" w:type="dxa"/>
            <w:vAlign w:val="center"/>
          </w:tcPr>
          <w:p w14:paraId="65C5933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126" w:type="dxa"/>
            <w:vAlign w:val="center"/>
          </w:tcPr>
          <w:p w14:paraId="08EC2FA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127" w:type="dxa"/>
          </w:tcPr>
          <w:p w14:paraId="0A58B8C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8C02F6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126" w:type="dxa"/>
            <w:vAlign w:val="center"/>
          </w:tcPr>
          <w:p w14:paraId="5B97973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87AEDD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E19AD0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643C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93EFA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3F8AD30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w:t>
            </w:r>
            <w:r>
              <w:rPr>
                <w:rFonts w:hint="eastAsia" w:ascii="仿宋" w:hAnsi="仿宋" w:eastAsia="仿宋" w:cs="仿宋"/>
                <w:color w:val="000000" w:themeColor="text1"/>
                <w:sz w:val="24"/>
                <w:highlight w:val="none"/>
                <w14:textFill>
                  <w14:solidFill>
                    <w14:schemeClr w14:val="tx1"/>
                  </w14:solidFill>
                </w14:textFill>
              </w:rPr>
              <w:t>X</w:t>
            </w:r>
          </w:p>
        </w:tc>
        <w:tc>
          <w:tcPr>
            <w:tcW w:w="2268" w:type="dxa"/>
            <w:vAlign w:val="center"/>
          </w:tcPr>
          <w:p w14:paraId="0D13C9E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2912088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3C07468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64DB2D3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5136BC2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BBEDCC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CA6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1E003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642C586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w:t>
            </w:r>
            <w:r>
              <w:rPr>
                <w:rFonts w:hint="eastAsia" w:ascii="仿宋" w:hAnsi="仿宋" w:eastAsia="仿宋" w:cs="仿宋"/>
                <w:color w:val="000000" w:themeColor="text1"/>
                <w:sz w:val="24"/>
                <w:highlight w:val="none"/>
                <w14:textFill>
                  <w14:solidFill>
                    <w14:schemeClr w14:val="tx1"/>
                  </w14:solidFill>
                </w14:textFill>
              </w:rPr>
              <w:t>X</w:t>
            </w:r>
          </w:p>
        </w:tc>
        <w:tc>
          <w:tcPr>
            <w:tcW w:w="2268" w:type="dxa"/>
            <w:vAlign w:val="center"/>
          </w:tcPr>
          <w:p w14:paraId="7FE03C5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E4F134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4DF3842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4375346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74CA01D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A5DE3E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3E8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F2A0E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3ED3C7B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3D24795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1BFC011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7947E68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14FC8B3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176E8EE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9A1980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92D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5C043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44B024C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430C727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4B7A18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7DF287D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A310A4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7E86D71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52D6DDC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D95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2C2B5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0294216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052BF73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7B8463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19B92D1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4F5F5E1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212BACA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3DE7071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F77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1DAF7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8647" w:type="dxa"/>
            <w:gridSpan w:val="4"/>
          </w:tcPr>
          <w:p w14:paraId="236A3C7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A23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214D40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8647" w:type="dxa"/>
            <w:gridSpan w:val="4"/>
          </w:tcPr>
          <w:p w14:paraId="288AC4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1FD0662">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5796800D">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A8A20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仿宋" w:hAnsi="仿宋" w:eastAsia="仿宋" w:cs="仿宋"/>
          <w:color w:val="000000" w:themeColor="text1"/>
          <w:kern w:val="0"/>
          <w:sz w:val="24"/>
          <w:highlight w:val="none"/>
          <w:lang w:val="en-US" w:eastAsia="zh-CN"/>
          <w14:textFill>
            <w14:solidFill>
              <w14:schemeClr w14:val="tx1"/>
            </w14:solidFill>
          </w14:textFill>
        </w:rPr>
        <w:t>签订条件；</w:t>
      </w:r>
      <w:r>
        <w:rPr>
          <w:rFonts w:hint="eastAsia" w:ascii="仿宋" w:hAnsi="仿宋" w:eastAsia="仿宋" w:cs="仿宋"/>
          <w:color w:val="000000" w:themeColor="text1"/>
          <w:spacing w:val="0"/>
          <w:kern w:val="0"/>
          <w:sz w:val="24"/>
          <w:szCs w:val="24"/>
          <w:highlight w:val="none"/>
          <w14:textFill>
            <w14:solidFill>
              <w14:schemeClr w14:val="tx1"/>
            </w14:solidFill>
          </w14:textFill>
        </w:rPr>
        <w:t>总价</w:t>
      </w:r>
      <w:r>
        <w:rPr>
          <w:rFonts w:hint="eastAsia" w:ascii="仿宋" w:hAnsi="仿宋" w:eastAsia="仿宋" w:cs="仿宋"/>
          <w:color w:val="000000" w:themeColor="text1"/>
          <w:spacing w:val="0"/>
          <w:kern w:val="0"/>
          <w:sz w:val="24"/>
          <w:szCs w:val="24"/>
          <w:highlight w:val="none"/>
          <w:lang w:eastAsia="zh-CN"/>
          <w14:textFill>
            <w14:solidFill>
              <w14:schemeClr w14:val="tx1"/>
            </w14:solidFill>
          </w14:textFill>
        </w:rPr>
        <w:t>不为零</w:t>
      </w:r>
      <w:r>
        <w:rPr>
          <w:rFonts w:hint="eastAsia" w:ascii="仿宋" w:hAnsi="仿宋" w:eastAsia="仿宋" w:cs="仿宋"/>
          <w:color w:val="000000" w:themeColor="text1"/>
          <w:spacing w:val="0"/>
          <w:kern w:val="0"/>
          <w:sz w:val="24"/>
          <w:szCs w:val="24"/>
          <w:highlight w:val="none"/>
          <w14:textFill>
            <w14:solidFill>
              <w14:schemeClr w14:val="tx1"/>
            </w14:solidFill>
          </w14:textFill>
        </w:rPr>
        <w:t>，</w:t>
      </w:r>
      <w:r>
        <w:rPr>
          <w:rFonts w:hint="eastAsia" w:ascii="仿宋" w:hAnsi="仿宋" w:eastAsia="仿宋" w:cs="仿宋"/>
          <w:color w:val="000000" w:themeColor="text1"/>
          <w:spacing w:val="0"/>
          <w:kern w:val="0"/>
          <w:sz w:val="24"/>
          <w:szCs w:val="24"/>
          <w:highlight w:val="none"/>
          <w:lang w:eastAsia="zh-CN"/>
          <w14:textFill>
            <w14:solidFill>
              <w14:schemeClr w14:val="tx1"/>
            </w14:solidFill>
          </w14:textFill>
        </w:rPr>
        <w:t>部分</w:t>
      </w:r>
      <w:r>
        <w:rPr>
          <w:rFonts w:hint="eastAsia" w:ascii="仿宋" w:hAnsi="仿宋" w:eastAsia="仿宋" w:cs="仿宋"/>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仿宋" w:hAnsi="仿宋" w:eastAsia="仿宋" w:cs="仿宋"/>
          <w:color w:val="000000" w:themeColor="text1"/>
          <w:spacing w:val="0"/>
          <w:kern w:val="0"/>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2B768ECC">
      <w:pPr>
        <w:snapToGrid w:val="0"/>
        <w:spacing w:line="360" w:lineRule="auto"/>
        <w:ind w:firstLine="480" w:firstLineChars="200"/>
        <w:jc w:val="lef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5AFEA03">
      <w:pPr>
        <w:pStyle w:val="694"/>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1FAD98A1">
      <w:pPr>
        <w:pStyle w:val="694"/>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F2ECC95">
      <w:pPr>
        <w:pStyle w:val="694"/>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中小企业声明函（如果有）</w:t>
      </w:r>
    </w:p>
    <w:p w14:paraId="13D6969A">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w:t>
      </w:r>
    </w:p>
    <w:p w14:paraId="7B622A0E">
      <w:pPr>
        <w:pStyle w:val="81"/>
        <w:rPr>
          <w:rFonts w:hint="eastAsia" w:ascii="仿宋" w:hAnsi="仿宋" w:eastAsia="仿宋" w:cs="仿宋"/>
          <w:b/>
          <w:color w:val="000000" w:themeColor="text1"/>
          <w:sz w:val="24"/>
          <w:highlight w:val="none"/>
          <w14:textFill>
            <w14:solidFill>
              <w14:schemeClr w14:val="tx1"/>
            </w14:solidFill>
          </w14:textFill>
        </w:rPr>
      </w:pPr>
    </w:p>
    <w:p w14:paraId="575E55A0">
      <w:pPr>
        <w:pStyle w:val="81"/>
        <w:rPr>
          <w:rFonts w:hint="eastAsia" w:ascii="仿宋" w:hAnsi="仿宋" w:eastAsia="仿宋" w:cs="仿宋"/>
          <w:b/>
          <w:color w:val="000000" w:themeColor="text1"/>
          <w:sz w:val="24"/>
          <w:highlight w:val="none"/>
          <w14:textFill>
            <w14:solidFill>
              <w14:schemeClr w14:val="tx1"/>
            </w14:solidFill>
          </w14:textFill>
        </w:rPr>
      </w:pPr>
    </w:p>
    <w:p w14:paraId="51EC7A58">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14:paraId="5EF158F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072CEF1">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CCBF2D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4E5AFD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CDCBFB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15884A7">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40B96D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0B3B257">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801DF59">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2922FA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73B905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5ED64E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878FF21">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3CA53240">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7871562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12" w:name="OLE_LINK13"/>
      <w:bookmarkStart w:id="513"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12"/>
    <w:bookmarkEnd w:id="513"/>
    <w:p w14:paraId="6E132A56">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314945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E441BC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03AF50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747CC6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5EDCBDA">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53BC9552">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1C46C84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41F51C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31F072A1">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066B213B">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2A9C51E">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6D51BCE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511E2B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543B6E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6DE07F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CFB471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3C0B91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D7DDF73">
      <w:pPr>
        <w:pStyle w:val="80"/>
        <w:rPr>
          <w:rFonts w:hint="eastAsia" w:ascii="仿宋" w:hAnsi="仿宋" w:eastAsia="仿宋" w:cs="仿宋"/>
          <w:b/>
          <w:color w:val="000000" w:themeColor="text1"/>
          <w:sz w:val="24"/>
          <w:highlight w:val="none"/>
          <w14:textFill>
            <w14:solidFill>
              <w14:schemeClr w14:val="tx1"/>
            </w14:solidFill>
          </w14:textFill>
        </w:rPr>
      </w:pPr>
    </w:p>
    <w:p w14:paraId="0B35E4B8">
      <w:pPr>
        <w:pStyle w:val="80"/>
        <w:rPr>
          <w:rFonts w:hint="eastAsia" w:ascii="仿宋" w:hAnsi="仿宋" w:eastAsia="仿宋" w:cs="仿宋"/>
          <w:b/>
          <w:color w:val="000000" w:themeColor="text1"/>
          <w:sz w:val="24"/>
          <w:highlight w:val="none"/>
          <w14:textFill>
            <w14:solidFill>
              <w14:schemeClr w14:val="tx1"/>
            </w14:solidFill>
          </w14:textFill>
        </w:rPr>
      </w:pPr>
    </w:p>
    <w:p w14:paraId="13AC3627">
      <w:pPr>
        <w:pStyle w:val="80"/>
        <w:rPr>
          <w:rFonts w:hint="eastAsia" w:ascii="仿宋" w:hAnsi="仿宋" w:eastAsia="仿宋" w:cs="仿宋"/>
          <w:b/>
          <w:color w:val="000000" w:themeColor="text1"/>
          <w:sz w:val="24"/>
          <w:highlight w:val="none"/>
          <w14:textFill>
            <w14:solidFill>
              <w14:schemeClr w14:val="tx1"/>
            </w14:solidFill>
          </w14:textFill>
        </w:rPr>
      </w:pPr>
    </w:p>
    <w:p w14:paraId="75EB1FB2">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0E5B15E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10A6C6A3">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678D32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B4B3A3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F5526F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189651">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A02C54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2225F2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6CB8E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4CA9F75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CD3C5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67FE5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5524A9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142186">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5EC722B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E0C491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691C00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AD086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E2A28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6AEAD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7B4EA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E9294B8">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7ADD51C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956C1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DC96F7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A4CA75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55FC425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7E1DFD4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41A3BFE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0FE6480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1F36DB0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307A328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5755E04">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64817DFE">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BEF09C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D6D2D3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1E753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562EEE">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E172F0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A77A0C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001F38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4A402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0F9AC73">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70E9AF01">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4F74541F">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4FDA58DB">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76E11B06">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76F16F6B">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7FB4BA41">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29F5500B">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30EF1FC2">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49E29030">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2967CE2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ADF2BA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058FD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BBCFE5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5676BE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B2B954D">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83E9F45">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D0F96A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7354C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E7D269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D18E4F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0D5D6A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5BCA64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56D28A2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933F01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B0E372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09BCB0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B7F562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23D06B9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AE7A2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28801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D14AD1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D5024E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D66F1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E29684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12340F1B">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EC4E7C">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55B4DA8">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28B947B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1305B8A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47FD27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4B57B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C17D49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F9F0D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418823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52C3A06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92FF91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E9984A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B207C6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F4812B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631CFB1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32FD6C47">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B1850A4">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524B4B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6EDE4DA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1794676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21366AC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7E798B7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F2D1A6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0A2948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780C2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FF95F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B7C441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1D3354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B82FF3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569F047">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6DD0C63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5FC4B91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联通工程咨询（浙江）有限公司</w:t>
      </w:r>
      <w:r>
        <w:rPr>
          <w:rFonts w:hint="eastAsia" w:ascii="仿宋" w:hAnsi="仿宋" w:eastAsia="仿宋" w:cs="仿宋"/>
          <w:color w:val="000000" w:themeColor="text1"/>
          <w:sz w:val="24"/>
          <w:highlight w:val="none"/>
          <w:u w:val="single"/>
          <w14:textFill>
            <w14:solidFill>
              <w14:schemeClr w14:val="tx1"/>
            </w14:solidFill>
          </w14:textFill>
        </w:rPr>
        <w:t>：</w:t>
      </w:r>
    </w:p>
    <w:p w14:paraId="295FFC4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DFA3A3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4E488A5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C2E0015">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7E8E3C11">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F987DE4">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BD61532">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24727C02">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3EFA2CC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6993ADD0">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398C5B9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07DC0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16B8F8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107A94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2E94EA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D2A850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2C168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925188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056F87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C34912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2085B4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81081A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8E06E5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C751B2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91C6D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6AD53F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9967F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F6CBDBB">
      <w:pPr>
        <w:autoSpaceDE w:val="0"/>
        <w:autoSpaceDN w:val="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5</w:t>
      </w:r>
      <w:r>
        <w:rPr>
          <w:rFonts w:hint="eastAsia" w:ascii="仿宋" w:hAnsi="仿宋" w:eastAsia="仿宋" w:cs="仿宋"/>
          <w:b/>
          <w:color w:val="000000" w:themeColor="text1"/>
          <w:spacing w:val="6"/>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38D8F4DB">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B786E7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5911748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7A219A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432450A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41ACA75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2C372F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w:t>
      </w:r>
      <w:r>
        <w:rPr>
          <w:rFonts w:hint="eastAsia" w:ascii="仿宋" w:hAnsi="仿宋" w:eastAsia="仿宋" w:cs="仿宋"/>
          <w:color w:val="000000" w:themeColor="text1"/>
          <w:kern w:val="0"/>
          <w:sz w:val="24"/>
          <w:highlight w:val="none"/>
          <w:u w:val="single"/>
          <w14:textFill>
            <w14:solidFill>
              <w14:schemeClr w14:val="tx1"/>
            </w14:solidFill>
          </w14:textFill>
        </w:rPr>
        <w:t>2</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B75D8F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1B3C5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05E78B98">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14"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w:t>
      </w:r>
      <w:bookmarkEnd w:id="514"/>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15"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15"/>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09DDB311">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16"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16"/>
    </w:p>
    <w:p w14:paraId="5B51C30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976C46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5B34E5C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589C09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A064D6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E5DE3E4">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5AA2750">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6071DAD">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4783242">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35BAE4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73CC22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4B97AE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A3E06A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CA91AC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3493AB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9B44DF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2777C7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FC648F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90CF41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5130C6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044F1E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B3BCF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9A1E67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E85878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01D1EB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BF3E2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E396B4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DA651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254BD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8A8620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9E8E00D">
      <w:pPr>
        <w:snapToGrid w:val="0"/>
        <w:spacing w:line="360" w:lineRule="auto"/>
        <w:ind w:firstLine="3666" w:firstLineChars="1100"/>
        <w:rPr>
          <w:rFonts w:hint="eastAsia" w:ascii="仿宋" w:hAnsi="仿宋" w:eastAsia="仿宋" w:cs="仿宋"/>
          <w:b/>
          <w:color w:val="000000" w:themeColor="text1"/>
          <w:spacing w:val="6"/>
          <w:sz w:val="32"/>
          <w:szCs w:val="32"/>
          <w:highlight w:val="none"/>
          <w14:textFill>
            <w14:solidFill>
              <w14:schemeClr w14:val="tx1"/>
            </w14:solidFill>
          </w14:textFill>
        </w:rPr>
      </w:pPr>
    </w:p>
    <w:p w14:paraId="7145EE2F">
      <w:pPr>
        <w:snapToGrid w:val="0"/>
        <w:spacing w:line="360" w:lineRule="auto"/>
        <w:ind w:firstLine="3666" w:firstLineChars="1100"/>
        <w:rPr>
          <w:rFonts w:hint="eastAsia" w:ascii="仿宋" w:hAnsi="仿宋" w:eastAsia="仿宋" w:cs="仿宋"/>
          <w:b/>
          <w:color w:val="000000" w:themeColor="text1"/>
          <w:spacing w:val="6"/>
          <w:sz w:val="32"/>
          <w:szCs w:val="32"/>
          <w:highlight w:val="none"/>
          <w14:textFill>
            <w14:solidFill>
              <w14:schemeClr w14:val="tx1"/>
            </w14:solidFill>
          </w14:textFill>
        </w:rPr>
      </w:pPr>
    </w:p>
    <w:p w14:paraId="1B1C5827">
      <w:pPr>
        <w:snapToGrid w:val="0"/>
        <w:spacing w:line="360" w:lineRule="auto"/>
        <w:ind w:firstLine="3666" w:firstLineChars="1100"/>
        <w:rPr>
          <w:rFonts w:hint="eastAsia" w:ascii="仿宋" w:hAnsi="仿宋" w:eastAsia="仿宋" w:cs="仿宋"/>
          <w:b/>
          <w:color w:val="000000" w:themeColor="text1"/>
          <w:spacing w:val="6"/>
          <w:sz w:val="32"/>
          <w:szCs w:val="32"/>
          <w:highlight w:val="none"/>
          <w14:textFill>
            <w14:solidFill>
              <w14:schemeClr w14:val="tx1"/>
            </w14:solidFill>
          </w14:textFill>
        </w:rPr>
      </w:pPr>
    </w:p>
    <w:p w14:paraId="6C19B25A">
      <w:pPr>
        <w:snapToGrid w:val="0"/>
        <w:spacing w:line="360" w:lineRule="auto"/>
        <w:ind w:firstLine="3666" w:firstLineChars="1100"/>
        <w:rPr>
          <w:rFonts w:hint="eastAsia" w:ascii="仿宋" w:hAnsi="仿宋" w:eastAsia="仿宋" w:cs="仿宋"/>
          <w:b/>
          <w:color w:val="000000" w:themeColor="text1"/>
          <w:spacing w:val="6"/>
          <w:sz w:val="32"/>
          <w:szCs w:val="32"/>
          <w:highlight w:val="none"/>
          <w14:textFill>
            <w14:solidFill>
              <w14:schemeClr w14:val="tx1"/>
            </w14:solidFill>
          </w14:textFill>
        </w:rPr>
      </w:pPr>
    </w:p>
    <w:p w14:paraId="56B0BE37">
      <w:pPr>
        <w:snapToGrid w:val="0"/>
        <w:spacing w:line="360" w:lineRule="auto"/>
        <w:ind w:firstLine="3666" w:firstLineChars="1100"/>
        <w:rPr>
          <w:rFonts w:hint="eastAsia" w:ascii="仿宋" w:hAnsi="仿宋" w:eastAsia="仿宋" w:cs="仿宋"/>
          <w:b/>
          <w:color w:val="000000" w:themeColor="text1"/>
          <w:spacing w:val="6"/>
          <w:sz w:val="32"/>
          <w:szCs w:val="32"/>
          <w:highlight w:val="none"/>
          <w14:textFill>
            <w14:solidFill>
              <w14:schemeClr w14:val="tx1"/>
            </w14:solidFill>
          </w14:textFill>
        </w:rPr>
      </w:pPr>
    </w:p>
    <w:p w14:paraId="0B08B016">
      <w:pPr>
        <w:snapToGrid w:val="0"/>
        <w:spacing w:line="360" w:lineRule="auto"/>
        <w:ind w:firstLine="3666"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6</w:t>
      </w:r>
      <w:r>
        <w:rPr>
          <w:rFonts w:hint="eastAsia" w:ascii="仿宋" w:hAnsi="仿宋" w:eastAsia="仿宋" w:cs="仿宋"/>
          <w:b/>
          <w:color w:val="000000" w:themeColor="text1"/>
          <w:spacing w:val="6"/>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7C47A2CC">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518A471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ZJLT-2025-03-029-02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D7B320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725F7E6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64C9A6E9">
      <w:pPr>
        <w:pStyle w:val="3"/>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72143C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2E59A57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184F9BB6">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B5D0DEB">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45123E0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27A1D0F8">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176549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0798851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9E433B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168656AF">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7AE3FEE">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02530FC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0971E0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19E163D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7ED8BB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444726B3">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14:paraId="2A2CFB61">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59192FD">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5132FE2">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70E22E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557A13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0062D9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9E5EC1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679BC2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F322CC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E5B81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E117F3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933EB5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E5FEA5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474371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C83C7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DE82D0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F46799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8B286F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B6292A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B585E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8FC5F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BB67D9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1F348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1B2A84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C609DC6">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27ADFACA">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1837B04F">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5E09AE4A">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73F1457D">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7BBB7A4F">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295FC567">
      <w:pPr>
        <w:pStyle w:val="80"/>
        <w:rPr>
          <w:rFonts w:hint="eastAsia" w:ascii="仿宋" w:hAnsi="仿宋" w:eastAsia="仿宋" w:cs="仿宋"/>
          <w:b/>
          <w:color w:val="000000" w:themeColor="text1"/>
          <w:spacing w:val="6"/>
          <w:sz w:val="32"/>
          <w:szCs w:val="32"/>
          <w:highlight w:val="none"/>
          <w14:textFill>
            <w14:solidFill>
              <w14:schemeClr w14:val="tx1"/>
            </w14:solidFill>
          </w14:textFill>
        </w:rPr>
      </w:pPr>
    </w:p>
    <w:p w14:paraId="218359CA">
      <w:pPr>
        <w:spacing w:line="360" w:lineRule="auto"/>
        <w:jc w:val="left"/>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w:t>
      </w:r>
      <w:r>
        <w:rPr>
          <w:rFonts w:hint="eastAsia" w:ascii="仿宋" w:hAnsi="仿宋" w:eastAsia="仿宋" w:cs="仿宋"/>
          <w:b/>
          <w:color w:val="000000" w:themeColor="text1"/>
          <w:sz w:val="36"/>
          <w:szCs w:val="20"/>
          <w:highlight w:val="none"/>
          <w14:textFill>
            <w14:solidFill>
              <w14:schemeClr w14:val="tx1"/>
            </w14:solidFill>
          </w14:textFill>
        </w:rPr>
        <w:t>7</w:t>
      </w:r>
      <w:r>
        <w:rPr>
          <w:rFonts w:hint="eastAsia" w:ascii="仿宋" w:hAnsi="仿宋" w:eastAsia="仿宋" w:cs="仿宋"/>
          <w:b/>
          <w:color w:val="000000" w:themeColor="text1"/>
          <w:sz w:val="36"/>
          <w:szCs w:val="20"/>
          <w:highlight w:val="none"/>
          <w14:textFill>
            <w14:solidFill>
              <w14:schemeClr w14:val="tx1"/>
            </w14:solidFill>
          </w14:textFill>
        </w:rPr>
        <w:t>：中小企业声明函</w:t>
      </w:r>
    </w:p>
    <w:p w14:paraId="6B134B9F">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1980F9BE">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5644F129">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lang w:eastAsia="zh-CN"/>
          <w14:textFill>
            <w14:solidFill>
              <w14:schemeClr w14:val="tx1"/>
            </w14:solidFill>
          </w14:textFill>
        </w:rPr>
        <w:t>杭州市人力资源和社会保障政务服务中心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AF2C03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2025-2026年度杭州市人力资源信息系统升级维护项目</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软件和信息技术服务业</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行业</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642FDD3A">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4EFE902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2C65446">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4A03556">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04728AEB">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5D0EC1FB">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08BD4C06">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 w:val="24"/>
          <w:highlight w:val="none"/>
          <w:lang w:eastAsia="zh-CN"/>
          <w14:textFill>
            <w14:solidFill>
              <w14:schemeClr w14:val="tx1"/>
            </w14:solidFill>
          </w14:textFill>
        </w:rPr>
        <w:t>。②</w:t>
      </w:r>
      <w:r>
        <w:rPr>
          <w:rFonts w:hint="eastAsia" w:ascii="仿宋" w:hAnsi="仿宋" w:eastAsia="仿宋" w:cs="仿宋"/>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17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AD0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1B70C">
    <w:pPr>
      <w:pStyle w:val="39"/>
      <w:framePr w:wrap="around" w:vAnchor="text" w:hAnchor="margin" w:xAlign="right" w:y="1"/>
      <w:rPr>
        <w:rStyle w:val="72"/>
      </w:rPr>
    </w:pPr>
    <w:r>
      <w:fldChar w:fldCharType="begin"/>
    </w:r>
    <w:r>
      <w:rPr>
        <w:rStyle w:val="72"/>
      </w:rPr>
      <w:instrText xml:space="preserve">PAGE  </w:instrText>
    </w:r>
    <w:r>
      <w:fldChar w:fldCharType="end"/>
    </w:r>
  </w:p>
  <w:p w14:paraId="2DF14FD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A7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91899912"/>
    <w:bookmarkStart w:id="519" w:name="_Toc131845147"/>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6019">
    <w:pPr>
      <w:pStyle w:val="39"/>
      <w:framePr w:wrap="around" w:vAnchor="text" w:hAnchor="margin" w:xAlign="right" w:y="1"/>
      <w:rPr>
        <w:rStyle w:val="72"/>
      </w:rPr>
    </w:pPr>
    <w:r>
      <w:fldChar w:fldCharType="begin"/>
    </w:r>
    <w:r>
      <w:rPr>
        <w:rStyle w:val="72"/>
      </w:rPr>
      <w:instrText xml:space="preserve">PAGE  </w:instrText>
    </w:r>
    <w:r>
      <w:fldChar w:fldCharType="end"/>
    </w:r>
  </w:p>
  <w:p w14:paraId="349484D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F8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F6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F695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3F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9049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7F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EFAFC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D4A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1020D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35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61453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A9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5EFC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B930">
    <w:pPr>
      <w:pStyle w:val="40"/>
      <w:pBdr>
        <w:bottom w:val="single" w:color="auto" w:sz="6" w:space="4"/>
      </w:pBdr>
      <w:jc w:val="right"/>
    </w:pPr>
    <w:r>
      <w:t></w:t>
    </w:r>
    <w:r>
      <w:rPr>
        <w:rFonts w:hint="eastAsia"/>
      </w:rPr>
      <w:t xml:space="preserve">             </w:t>
    </w:r>
    <w:r>
      <w:t>杭州市政府采购公开招标文件</w:t>
    </w:r>
  </w:p>
  <w:p w14:paraId="06E0837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A2C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7986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671C">
    <w:pPr>
      <w:pStyle w:val="40"/>
      <w:rPr>
        <w:rFonts w:ascii="仿宋_GB2312" w:eastAsia="仿宋_GB2312"/>
        <w:b/>
        <w:i/>
        <w:u w:val="single"/>
      </w:rPr>
    </w:pPr>
    <w:r>
      <w:t></w:t>
    </w:r>
    <w:r>
      <w:rPr>
        <w:rFonts w:hint="eastAsia"/>
      </w:rPr>
      <w:t xml:space="preserve">                                                  </w:t>
    </w:r>
    <w:r>
      <w:t xml:space="preserve">             杭州市政府采购公开招标文件</w:t>
    </w:r>
  </w:p>
  <w:p w14:paraId="74D1DC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2338">
    <w:pPr>
      <w:pStyle w:val="40"/>
    </w:pPr>
    <w:r>
      <w:t></w:t>
    </w:r>
    <w:r>
      <w:rPr>
        <w:rFonts w:hint="eastAsia"/>
      </w:rPr>
      <w:t xml:space="preserve">         </w:t>
    </w:r>
  </w:p>
  <w:p w14:paraId="1A5C285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3068">
    <w:pPr>
      <w:pStyle w:val="40"/>
      <w:rPr>
        <w:rFonts w:ascii="仿宋_GB2312" w:eastAsia="仿宋_GB2312"/>
        <w:b/>
        <w:i/>
        <w:u w:val="single"/>
      </w:rPr>
    </w:pPr>
    <w:r>
      <w:t></w:t>
    </w:r>
    <w:r>
      <w:rPr>
        <w:rFonts w:hint="eastAsia"/>
      </w:rPr>
      <w:t xml:space="preserve">                                                  </w:t>
    </w:r>
    <w:r>
      <w:t>杭州市政府采购公开招标文件</w:t>
    </w:r>
  </w:p>
  <w:p w14:paraId="0FEA90E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F15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CB55">
    <w:pPr>
      <w:pStyle w:val="40"/>
      <w:jc w:val="right"/>
      <w:rPr>
        <w:rFonts w:ascii="仿宋_GB2312" w:eastAsia="仿宋_GB2312"/>
        <w:b/>
        <w:i/>
        <w:u w:val="single"/>
      </w:rPr>
    </w:pPr>
    <w:r>
      <w:rPr>
        <w:rFonts w:hint="eastAsia"/>
      </w:rPr>
      <w:t xml:space="preserve">                                  </w:t>
    </w:r>
    <w:r>
      <w:t>杭州市政府采购公开招标文件</w:t>
    </w:r>
  </w:p>
  <w:p w14:paraId="51651A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764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C1D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90E1F"/>
    <w:multiLevelType w:val="singleLevel"/>
    <w:tmpl w:val="A3490E1F"/>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12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0724C"/>
    <w:rsid w:val="060E5941"/>
    <w:rsid w:val="06110FAF"/>
    <w:rsid w:val="06493CA7"/>
    <w:rsid w:val="065A6178"/>
    <w:rsid w:val="066F1CF3"/>
    <w:rsid w:val="06930BB8"/>
    <w:rsid w:val="06AA4286"/>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D2157"/>
    <w:rsid w:val="09B06B87"/>
    <w:rsid w:val="09C13146"/>
    <w:rsid w:val="09E04166"/>
    <w:rsid w:val="09E35B78"/>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5177"/>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F360E"/>
    <w:rsid w:val="0F4958DC"/>
    <w:rsid w:val="0F515DF7"/>
    <w:rsid w:val="0F596BA8"/>
    <w:rsid w:val="0F6248D2"/>
    <w:rsid w:val="0F693536"/>
    <w:rsid w:val="0F7B0511"/>
    <w:rsid w:val="0F7B76D9"/>
    <w:rsid w:val="0F816ACD"/>
    <w:rsid w:val="0F9832DB"/>
    <w:rsid w:val="0FBF3FD2"/>
    <w:rsid w:val="0FBF7FF3"/>
    <w:rsid w:val="0FD825B7"/>
    <w:rsid w:val="101C1D78"/>
    <w:rsid w:val="10646583"/>
    <w:rsid w:val="107D4B15"/>
    <w:rsid w:val="108A3C80"/>
    <w:rsid w:val="10C26171"/>
    <w:rsid w:val="10F33360"/>
    <w:rsid w:val="10FC16EA"/>
    <w:rsid w:val="110F1D40"/>
    <w:rsid w:val="11266F33"/>
    <w:rsid w:val="118963A1"/>
    <w:rsid w:val="119F17F7"/>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00F8C"/>
    <w:rsid w:val="151447A0"/>
    <w:rsid w:val="154A6454"/>
    <w:rsid w:val="156E6792"/>
    <w:rsid w:val="15762120"/>
    <w:rsid w:val="157D1577"/>
    <w:rsid w:val="16A8729C"/>
    <w:rsid w:val="16B33777"/>
    <w:rsid w:val="16BC70A7"/>
    <w:rsid w:val="16C6339E"/>
    <w:rsid w:val="172F2D79"/>
    <w:rsid w:val="17557BEF"/>
    <w:rsid w:val="177B4740"/>
    <w:rsid w:val="17D349C1"/>
    <w:rsid w:val="1830729E"/>
    <w:rsid w:val="1870062C"/>
    <w:rsid w:val="18817102"/>
    <w:rsid w:val="18830A15"/>
    <w:rsid w:val="18852B28"/>
    <w:rsid w:val="188B5321"/>
    <w:rsid w:val="193E101D"/>
    <w:rsid w:val="19932372"/>
    <w:rsid w:val="19A20DD5"/>
    <w:rsid w:val="19AE03F1"/>
    <w:rsid w:val="1A071A03"/>
    <w:rsid w:val="1A1F16AE"/>
    <w:rsid w:val="1A3B5C77"/>
    <w:rsid w:val="1A7E7644"/>
    <w:rsid w:val="1A984BAD"/>
    <w:rsid w:val="1AB8220E"/>
    <w:rsid w:val="1AE4166C"/>
    <w:rsid w:val="1AF06CFB"/>
    <w:rsid w:val="1AF11B8D"/>
    <w:rsid w:val="1B11359C"/>
    <w:rsid w:val="1B1C5ADB"/>
    <w:rsid w:val="1B2A271F"/>
    <w:rsid w:val="1B530544"/>
    <w:rsid w:val="1B590390"/>
    <w:rsid w:val="1B713184"/>
    <w:rsid w:val="1BA209CF"/>
    <w:rsid w:val="1BB4777D"/>
    <w:rsid w:val="1BD75AB8"/>
    <w:rsid w:val="1C0459C2"/>
    <w:rsid w:val="1C1B3B4A"/>
    <w:rsid w:val="1C273723"/>
    <w:rsid w:val="1C88086E"/>
    <w:rsid w:val="1D266CE1"/>
    <w:rsid w:val="1D3963AF"/>
    <w:rsid w:val="1D501FDB"/>
    <w:rsid w:val="1D6A673C"/>
    <w:rsid w:val="1D772E27"/>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7911FA"/>
    <w:rsid w:val="21AA36F4"/>
    <w:rsid w:val="21D56769"/>
    <w:rsid w:val="21E52EF3"/>
    <w:rsid w:val="21FB5D7B"/>
    <w:rsid w:val="22015E94"/>
    <w:rsid w:val="220B1C3D"/>
    <w:rsid w:val="221D1D20"/>
    <w:rsid w:val="22334A87"/>
    <w:rsid w:val="22405E06"/>
    <w:rsid w:val="225613DB"/>
    <w:rsid w:val="226D06CE"/>
    <w:rsid w:val="22BE6801"/>
    <w:rsid w:val="233500BF"/>
    <w:rsid w:val="23377FF7"/>
    <w:rsid w:val="236B425F"/>
    <w:rsid w:val="23836192"/>
    <w:rsid w:val="23901F29"/>
    <w:rsid w:val="239C0061"/>
    <w:rsid w:val="23B908A4"/>
    <w:rsid w:val="23E95BEF"/>
    <w:rsid w:val="23FD0064"/>
    <w:rsid w:val="243B55EA"/>
    <w:rsid w:val="245375B0"/>
    <w:rsid w:val="24642C0A"/>
    <w:rsid w:val="24B22173"/>
    <w:rsid w:val="24B95AD9"/>
    <w:rsid w:val="24BE24DA"/>
    <w:rsid w:val="24CF5825"/>
    <w:rsid w:val="24D663E6"/>
    <w:rsid w:val="24D77F2B"/>
    <w:rsid w:val="24FB7DC2"/>
    <w:rsid w:val="258B00E2"/>
    <w:rsid w:val="25A917A6"/>
    <w:rsid w:val="25BE27CC"/>
    <w:rsid w:val="25F74A5C"/>
    <w:rsid w:val="2628662C"/>
    <w:rsid w:val="262D45DE"/>
    <w:rsid w:val="26871DC8"/>
    <w:rsid w:val="26A53EF9"/>
    <w:rsid w:val="26A94201"/>
    <w:rsid w:val="26AC274F"/>
    <w:rsid w:val="26F947D6"/>
    <w:rsid w:val="27044A29"/>
    <w:rsid w:val="271B299E"/>
    <w:rsid w:val="271D34C8"/>
    <w:rsid w:val="276142BF"/>
    <w:rsid w:val="27783712"/>
    <w:rsid w:val="27907362"/>
    <w:rsid w:val="281F5B51"/>
    <w:rsid w:val="28333E1D"/>
    <w:rsid w:val="28454BD6"/>
    <w:rsid w:val="28455253"/>
    <w:rsid w:val="28551971"/>
    <w:rsid w:val="285B1C53"/>
    <w:rsid w:val="289F7086"/>
    <w:rsid w:val="28C32028"/>
    <w:rsid w:val="28CC490F"/>
    <w:rsid w:val="28DE40AA"/>
    <w:rsid w:val="2920357D"/>
    <w:rsid w:val="29345E77"/>
    <w:rsid w:val="294C65AD"/>
    <w:rsid w:val="29806583"/>
    <w:rsid w:val="298B3C4C"/>
    <w:rsid w:val="29F26D24"/>
    <w:rsid w:val="29F64FFC"/>
    <w:rsid w:val="2A15033F"/>
    <w:rsid w:val="2A1662C1"/>
    <w:rsid w:val="2A1C7367"/>
    <w:rsid w:val="2A2815FA"/>
    <w:rsid w:val="2A6D6092"/>
    <w:rsid w:val="2A7D76B4"/>
    <w:rsid w:val="2A9E145A"/>
    <w:rsid w:val="2B437463"/>
    <w:rsid w:val="2B7807EE"/>
    <w:rsid w:val="2BA50BF7"/>
    <w:rsid w:val="2BBF00EC"/>
    <w:rsid w:val="2BC37CFD"/>
    <w:rsid w:val="2BD5237F"/>
    <w:rsid w:val="2BE536CE"/>
    <w:rsid w:val="2BE758D9"/>
    <w:rsid w:val="2C09049E"/>
    <w:rsid w:val="2C0A653C"/>
    <w:rsid w:val="2C191F85"/>
    <w:rsid w:val="2CE82D6F"/>
    <w:rsid w:val="2D343236"/>
    <w:rsid w:val="2D706865"/>
    <w:rsid w:val="2D8A43D9"/>
    <w:rsid w:val="2DD15014"/>
    <w:rsid w:val="2DF72DE4"/>
    <w:rsid w:val="2E0220AF"/>
    <w:rsid w:val="2E4B082A"/>
    <w:rsid w:val="2E5D4E86"/>
    <w:rsid w:val="2E5D790B"/>
    <w:rsid w:val="2E635A78"/>
    <w:rsid w:val="2E9A3C18"/>
    <w:rsid w:val="2EBB0FEE"/>
    <w:rsid w:val="2EC63002"/>
    <w:rsid w:val="2EE03C25"/>
    <w:rsid w:val="2F0A6B38"/>
    <w:rsid w:val="2F0C0642"/>
    <w:rsid w:val="2F946CCB"/>
    <w:rsid w:val="2FAF2966"/>
    <w:rsid w:val="2FD25781"/>
    <w:rsid w:val="2FDC745C"/>
    <w:rsid w:val="2FEB4B09"/>
    <w:rsid w:val="2FFD7934"/>
    <w:rsid w:val="3025488D"/>
    <w:rsid w:val="304454E8"/>
    <w:rsid w:val="30733ACD"/>
    <w:rsid w:val="308C3862"/>
    <w:rsid w:val="309379D8"/>
    <w:rsid w:val="30A270F7"/>
    <w:rsid w:val="30DF1478"/>
    <w:rsid w:val="30EC586F"/>
    <w:rsid w:val="310402C4"/>
    <w:rsid w:val="31066338"/>
    <w:rsid w:val="314550B7"/>
    <w:rsid w:val="319C6071"/>
    <w:rsid w:val="31AC537E"/>
    <w:rsid w:val="31E3679B"/>
    <w:rsid w:val="31E732FD"/>
    <w:rsid w:val="32517576"/>
    <w:rsid w:val="32BE5C2C"/>
    <w:rsid w:val="32FB6478"/>
    <w:rsid w:val="33010C9A"/>
    <w:rsid w:val="33263B3F"/>
    <w:rsid w:val="336963EB"/>
    <w:rsid w:val="33816EEB"/>
    <w:rsid w:val="33EB55CD"/>
    <w:rsid w:val="33EC4C02"/>
    <w:rsid w:val="340D2360"/>
    <w:rsid w:val="3410665D"/>
    <w:rsid w:val="34211214"/>
    <w:rsid w:val="342E63AB"/>
    <w:rsid w:val="34581BD2"/>
    <w:rsid w:val="34950E68"/>
    <w:rsid w:val="34986E94"/>
    <w:rsid w:val="34AF62C9"/>
    <w:rsid w:val="34CB4388"/>
    <w:rsid w:val="34DC7A90"/>
    <w:rsid w:val="34FA6E12"/>
    <w:rsid w:val="354D7158"/>
    <w:rsid w:val="358D5588"/>
    <w:rsid w:val="35EB4EC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630CB"/>
    <w:rsid w:val="38BC0149"/>
    <w:rsid w:val="38D87D1C"/>
    <w:rsid w:val="39461AFC"/>
    <w:rsid w:val="39636459"/>
    <w:rsid w:val="396B7F6C"/>
    <w:rsid w:val="39B417A9"/>
    <w:rsid w:val="39FC5695"/>
    <w:rsid w:val="3A006D8E"/>
    <w:rsid w:val="3A3651E5"/>
    <w:rsid w:val="3A744481"/>
    <w:rsid w:val="3A8C7BEF"/>
    <w:rsid w:val="3A906246"/>
    <w:rsid w:val="3ABE36F1"/>
    <w:rsid w:val="3B2349B7"/>
    <w:rsid w:val="3B616CFF"/>
    <w:rsid w:val="3B6259F6"/>
    <w:rsid w:val="3B976654"/>
    <w:rsid w:val="3BC01EFC"/>
    <w:rsid w:val="3BCA786A"/>
    <w:rsid w:val="3BD31E2F"/>
    <w:rsid w:val="3BE12629"/>
    <w:rsid w:val="3BF15831"/>
    <w:rsid w:val="3C105946"/>
    <w:rsid w:val="3C471448"/>
    <w:rsid w:val="3C5F759A"/>
    <w:rsid w:val="3C6C525A"/>
    <w:rsid w:val="3CCE23CB"/>
    <w:rsid w:val="3CD17D17"/>
    <w:rsid w:val="3D1B533E"/>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077B0C"/>
    <w:rsid w:val="4019356B"/>
    <w:rsid w:val="40592157"/>
    <w:rsid w:val="406E1CAE"/>
    <w:rsid w:val="40A0133A"/>
    <w:rsid w:val="40C31A53"/>
    <w:rsid w:val="40FF545D"/>
    <w:rsid w:val="410067C8"/>
    <w:rsid w:val="4138775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103B3"/>
    <w:rsid w:val="43977AB6"/>
    <w:rsid w:val="43A3342B"/>
    <w:rsid w:val="43B30CDB"/>
    <w:rsid w:val="43C77C27"/>
    <w:rsid w:val="43DE09EE"/>
    <w:rsid w:val="44002FAD"/>
    <w:rsid w:val="44150A49"/>
    <w:rsid w:val="449101DD"/>
    <w:rsid w:val="44DE1391"/>
    <w:rsid w:val="451B225C"/>
    <w:rsid w:val="452410C9"/>
    <w:rsid w:val="45317DFB"/>
    <w:rsid w:val="456D3CE4"/>
    <w:rsid w:val="45762388"/>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B42327"/>
    <w:rsid w:val="4809698F"/>
    <w:rsid w:val="4811697D"/>
    <w:rsid w:val="487A3E25"/>
    <w:rsid w:val="488B5503"/>
    <w:rsid w:val="48937E21"/>
    <w:rsid w:val="489A0361"/>
    <w:rsid w:val="48B94FF3"/>
    <w:rsid w:val="48E37AAB"/>
    <w:rsid w:val="48FD4B4C"/>
    <w:rsid w:val="490A68E0"/>
    <w:rsid w:val="491055FE"/>
    <w:rsid w:val="493129CA"/>
    <w:rsid w:val="494D2A33"/>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2555A1"/>
    <w:rsid w:val="4C3103EA"/>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96185C"/>
    <w:rsid w:val="4FE13ED5"/>
    <w:rsid w:val="4FE625E0"/>
    <w:rsid w:val="5021480F"/>
    <w:rsid w:val="50962ECB"/>
    <w:rsid w:val="50A42E38"/>
    <w:rsid w:val="50A4577F"/>
    <w:rsid w:val="50B73D1F"/>
    <w:rsid w:val="50BD5BC9"/>
    <w:rsid w:val="50C11EEE"/>
    <w:rsid w:val="50E97CFC"/>
    <w:rsid w:val="50F33EC0"/>
    <w:rsid w:val="50FA4028"/>
    <w:rsid w:val="510D65B7"/>
    <w:rsid w:val="511157AB"/>
    <w:rsid w:val="5142540C"/>
    <w:rsid w:val="518832C8"/>
    <w:rsid w:val="519D3C50"/>
    <w:rsid w:val="51A0432A"/>
    <w:rsid w:val="51A86090"/>
    <w:rsid w:val="51B7396D"/>
    <w:rsid w:val="51DA7EF1"/>
    <w:rsid w:val="522E4CC3"/>
    <w:rsid w:val="5244713B"/>
    <w:rsid w:val="52615633"/>
    <w:rsid w:val="526F4DE4"/>
    <w:rsid w:val="52977FD4"/>
    <w:rsid w:val="52A25790"/>
    <w:rsid w:val="52A96B6F"/>
    <w:rsid w:val="52B45975"/>
    <w:rsid w:val="52D94AA4"/>
    <w:rsid w:val="52EA3A62"/>
    <w:rsid w:val="52F50BB8"/>
    <w:rsid w:val="52FD60B8"/>
    <w:rsid w:val="53097272"/>
    <w:rsid w:val="532A794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62245"/>
    <w:rsid w:val="565132B5"/>
    <w:rsid w:val="566B6D1E"/>
    <w:rsid w:val="57032A2C"/>
    <w:rsid w:val="570F5219"/>
    <w:rsid w:val="575D12B5"/>
    <w:rsid w:val="57610A87"/>
    <w:rsid w:val="577B1140"/>
    <w:rsid w:val="577B7F21"/>
    <w:rsid w:val="577F181B"/>
    <w:rsid w:val="578D049F"/>
    <w:rsid w:val="57921984"/>
    <w:rsid w:val="579737F0"/>
    <w:rsid w:val="57AB7B30"/>
    <w:rsid w:val="57AF5251"/>
    <w:rsid w:val="57B26373"/>
    <w:rsid w:val="57B63F04"/>
    <w:rsid w:val="57CD20C2"/>
    <w:rsid w:val="57D675AB"/>
    <w:rsid w:val="57D95FDD"/>
    <w:rsid w:val="57DD788E"/>
    <w:rsid w:val="58773629"/>
    <w:rsid w:val="58917D2F"/>
    <w:rsid w:val="5894085C"/>
    <w:rsid w:val="58AE4F0C"/>
    <w:rsid w:val="58B85899"/>
    <w:rsid w:val="58E363A9"/>
    <w:rsid w:val="594F6924"/>
    <w:rsid w:val="595E1678"/>
    <w:rsid w:val="596D5BD4"/>
    <w:rsid w:val="597E3DD8"/>
    <w:rsid w:val="59F80043"/>
    <w:rsid w:val="5A09252F"/>
    <w:rsid w:val="5A0B2778"/>
    <w:rsid w:val="5A2A7C7B"/>
    <w:rsid w:val="5A3E2560"/>
    <w:rsid w:val="5A5D3B6E"/>
    <w:rsid w:val="5A637A76"/>
    <w:rsid w:val="5A6D33BA"/>
    <w:rsid w:val="5A792B1F"/>
    <w:rsid w:val="5A874767"/>
    <w:rsid w:val="5A9D42E0"/>
    <w:rsid w:val="5AA85BE2"/>
    <w:rsid w:val="5AAD6F28"/>
    <w:rsid w:val="5AD63A24"/>
    <w:rsid w:val="5AF56D26"/>
    <w:rsid w:val="5B2E1A1D"/>
    <w:rsid w:val="5B3D52C7"/>
    <w:rsid w:val="5B474F98"/>
    <w:rsid w:val="5B843A1C"/>
    <w:rsid w:val="5B873E3F"/>
    <w:rsid w:val="5BCF251A"/>
    <w:rsid w:val="5BEF5173"/>
    <w:rsid w:val="5C02690E"/>
    <w:rsid w:val="5C196DA7"/>
    <w:rsid w:val="5C2A048C"/>
    <w:rsid w:val="5C80234E"/>
    <w:rsid w:val="5C8A680C"/>
    <w:rsid w:val="5CF35D1E"/>
    <w:rsid w:val="5D0C4701"/>
    <w:rsid w:val="5D0F0395"/>
    <w:rsid w:val="5D221076"/>
    <w:rsid w:val="5D397964"/>
    <w:rsid w:val="5D5A391C"/>
    <w:rsid w:val="5D5F10C0"/>
    <w:rsid w:val="5D891B7B"/>
    <w:rsid w:val="5DA8123A"/>
    <w:rsid w:val="5DAD38EE"/>
    <w:rsid w:val="5E006862"/>
    <w:rsid w:val="5E0207B9"/>
    <w:rsid w:val="5E1834A1"/>
    <w:rsid w:val="5E261785"/>
    <w:rsid w:val="5E4A7017"/>
    <w:rsid w:val="5E552BBA"/>
    <w:rsid w:val="5E611C10"/>
    <w:rsid w:val="5E7A0F3F"/>
    <w:rsid w:val="5EFC7377"/>
    <w:rsid w:val="5F06174D"/>
    <w:rsid w:val="5F3A3602"/>
    <w:rsid w:val="5F45733B"/>
    <w:rsid w:val="5F5F3E83"/>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44E4C"/>
    <w:rsid w:val="63880DDC"/>
    <w:rsid w:val="638D750D"/>
    <w:rsid w:val="63AC6CC0"/>
    <w:rsid w:val="63F16820"/>
    <w:rsid w:val="64055776"/>
    <w:rsid w:val="64240056"/>
    <w:rsid w:val="643E143A"/>
    <w:rsid w:val="64491666"/>
    <w:rsid w:val="648B6EEF"/>
    <w:rsid w:val="64C158BF"/>
    <w:rsid w:val="64CE2EAA"/>
    <w:rsid w:val="64E42046"/>
    <w:rsid w:val="653C3090"/>
    <w:rsid w:val="65854376"/>
    <w:rsid w:val="658767BE"/>
    <w:rsid w:val="65892531"/>
    <w:rsid w:val="65C07C91"/>
    <w:rsid w:val="66195831"/>
    <w:rsid w:val="662E75B1"/>
    <w:rsid w:val="66342C2E"/>
    <w:rsid w:val="663E784C"/>
    <w:rsid w:val="6679056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77444"/>
    <w:rsid w:val="69CC2BFF"/>
    <w:rsid w:val="69FD55B8"/>
    <w:rsid w:val="6A093079"/>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65620"/>
    <w:rsid w:val="6CEF4062"/>
    <w:rsid w:val="6D167928"/>
    <w:rsid w:val="6D26299B"/>
    <w:rsid w:val="6D4772EC"/>
    <w:rsid w:val="6D9078AF"/>
    <w:rsid w:val="6DAA3FEF"/>
    <w:rsid w:val="6DC0172B"/>
    <w:rsid w:val="6DCB690C"/>
    <w:rsid w:val="6DD41A5B"/>
    <w:rsid w:val="6DE262E2"/>
    <w:rsid w:val="6DED0C6F"/>
    <w:rsid w:val="6DEE1632"/>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5B0EC1"/>
    <w:rsid w:val="73C0646E"/>
    <w:rsid w:val="73E7CF11"/>
    <w:rsid w:val="742222F5"/>
    <w:rsid w:val="74476126"/>
    <w:rsid w:val="74706664"/>
    <w:rsid w:val="747F3682"/>
    <w:rsid w:val="749C4185"/>
    <w:rsid w:val="74D50CF2"/>
    <w:rsid w:val="75067759"/>
    <w:rsid w:val="752E6DCD"/>
    <w:rsid w:val="7551380D"/>
    <w:rsid w:val="75600BE5"/>
    <w:rsid w:val="7564475C"/>
    <w:rsid w:val="7583797F"/>
    <w:rsid w:val="75D20F1D"/>
    <w:rsid w:val="75DA2C18"/>
    <w:rsid w:val="75F54412"/>
    <w:rsid w:val="76126D27"/>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A6F26"/>
    <w:rsid w:val="7C7C10F6"/>
    <w:rsid w:val="7C853BEA"/>
    <w:rsid w:val="7C881368"/>
    <w:rsid w:val="7CE27788"/>
    <w:rsid w:val="7D0C32F1"/>
    <w:rsid w:val="7D0F408D"/>
    <w:rsid w:val="7D2C0693"/>
    <w:rsid w:val="7D491C6C"/>
    <w:rsid w:val="7D5429C0"/>
    <w:rsid w:val="7D6E6D43"/>
    <w:rsid w:val="7D733B0F"/>
    <w:rsid w:val="7DB57A34"/>
    <w:rsid w:val="7DE60973"/>
    <w:rsid w:val="7DEF0916"/>
    <w:rsid w:val="7E1E5218"/>
    <w:rsid w:val="7E9A4E1F"/>
    <w:rsid w:val="7EA7723A"/>
    <w:rsid w:val="7EB50157"/>
    <w:rsid w:val="7EF56FBB"/>
    <w:rsid w:val="7F0768EB"/>
    <w:rsid w:val="7F143BEC"/>
    <w:rsid w:val="7F715AF2"/>
    <w:rsid w:val="7F886E69"/>
    <w:rsid w:val="7F923FF5"/>
    <w:rsid w:val="7FEA5BDF"/>
    <w:rsid w:val="7FF72A00"/>
    <w:rsid w:val="BB7FA927"/>
    <w:rsid w:val="EB9F5954"/>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1"/>
    <w:basedOn w:val="1"/>
    <w:qFormat/>
    <w:uiPriority w:val="34"/>
    <w:pPr>
      <w:adjustRightInd/>
      <w:ind w:firstLine="420" w:firstLineChars="200"/>
    </w:pPr>
    <w:rPr>
      <w:rFonts w:eastAsia="仿宋_GB2312"/>
      <w:sz w:val="28"/>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16700</Words>
  <Characters>17948</Characters>
  <Lines>281</Lines>
  <Paragraphs>79</Paragraphs>
  <TotalTime>109</TotalTime>
  <ScaleCrop>false</ScaleCrop>
  <LinksUpToDate>false</LinksUpToDate>
  <CharactersWithSpaces>18455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清浅</cp:lastModifiedBy>
  <cp:lastPrinted>2021-12-28T11:06:00Z</cp:lastPrinted>
  <dcterms:modified xsi:type="dcterms:W3CDTF">2025-07-14T09:58:16Z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2001BCA645FB458282816F7344B77FF4_13</vt:lpwstr>
  </property>
  <property fmtid="{D5CDD505-2E9C-101B-9397-08002B2CF9AE}" pid="5" name="KSOTemplateDocerSaveRecord">
    <vt:lpwstr>eyJoZGlkIjoiYjhjYjA5OTQ2MmJmNzdkZTgxMjhlY2M0OGUzOWU3MTIiLCJ1c2VySWQiOiI0MTgwMzMzNDQifQ==</vt:lpwstr>
  </property>
</Properties>
</file>