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6DD4A">
      <w:pPr>
        <w:pStyle w:val="11"/>
        <w:rPr>
          <w:color w:val="auto"/>
          <w:sz w:val="20"/>
          <w:highlight w:val="none"/>
        </w:rPr>
      </w:pPr>
    </w:p>
    <w:p w14:paraId="2E265D72">
      <w:pPr>
        <w:pStyle w:val="11"/>
        <w:rPr>
          <w:color w:val="auto"/>
          <w:sz w:val="20"/>
          <w:highlight w:val="none"/>
        </w:rPr>
      </w:pPr>
    </w:p>
    <w:p w14:paraId="7455CABB">
      <w:pPr>
        <w:pStyle w:val="11"/>
        <w:spacing w:line="360" w:lineRule="auto"/>
        <w:jc w:val="center"/>
        <w:rPr>
          <w:rFonts w:hint="eastAsia" w:eastAsia="仿宋"/>
          <w:b/>
          <w:color w:val="auto"/>
          <w:sz w:val="60"/>
          <w:szCs w:val="21"/>
          <w:highlight w:val="none"/>
          <w:lang w:eastAsia="zh-CN"/>
        </w:rPr>
      </w:pPr>
      <w:r>
        <w:rPr>
          <w:rFonts w:hint="eastAsia"/>
          <w:b/>
          <w:color w:val="auto"/>
          <w:sz w:val="56"/>
          <w:szCs w:val="20"/>
          <w:highlight w:val="none"/>
          <w:lang w:eastAsia="zh-CN"/>
        </w:rPr>
        <w:t>2025全国象棋俱乐部团体赛</w:t>
      </w:r>
    </w:p>
    <w:p w14:paraId="215C1F23">
      <w:pPr>
        <w:pStyle w:val="12"/>
        <w:rPr>
          <w:color w:val="auto"/>
          <w:highlight w:val="none"/>
        </w:rPr>
      </w:pPr>
    </w:p>
    <w:p w14:paraId="25068289">
      <w:pPr>
        <w:pStyle w:val="11"/>
        <w:spacing w:before="3"/>
        <w:rPr>
          <w:color w:val="auto"/>
          <w:sz w:val="17"/>
          <w:highlight w:val="none"/>
        </w:rPr>
      </w:pPr>
    </w:p>
    <w:p w14:paraId="548FAB34">
      <w:pPr>
        <w:pStyle w:val="12"/>
        <w:ind w:left="0" w:leftChars="0" w:firstLine="0" w:firstLineChars="0"/>
        <w:rPr>
          <w:color w:val="auto"/>
          <w:highlight w:val="none"/>
        </w:rPr>
      </w:pPr>
      <w:bookmarkStart w:id="0" w:name="竞争性磋商文件"/>
      <w:bookmarkEnd w:id="0"/>
    </w:p>
    <w:p w14:paraId="278CCD28">
      <w:pPr>
        <w:rPr>
          <w:color w:val="auto"/>
          <w:highlight w:val="none"/>
        </w:rPr>
      </w:pPr>
    </w:p>
    <w:p w14:paraId="42CCE623">
      <w:pPr>
        <w:rPr>
          <w:color w:val="auto"/>
          <w:highlight w:val="none"/>
        </w:rPr>
      </w:pPr>
    </w:p>
    <w:p w14:paraId="073AF0D2">
      <w:pPr>
        <w:spacing w:line="1059" w:lineRule="exact"/>
        <w:ind w:right="444"/>
        <w:jc w:val="center"/>
        <w:rPr>
          <w:b/>
          <w:color w:val="auto"/>
          <w:sz w:val="84"/>
          <w:highlight w:val="none"/>
        </w:rPr>
      </w:pPr>
      <w:r>
        <w:rPr>
          <w:rFonts w:hint="eastAsia"/>
          <w:b/>
          <w:color w:val="auto"/>
          <w:sz w:val="84"/>
          <w:highlight w:val="none"/>
        </w:rPr>
        <w:t>竞争性磋商文件</w:t>
      </w:r>
    </w:p>
    <w:p w14:paraId="56942102">
      <w:pPr>
        <w:jc w:val="both"/>
        <w:rPr>
          <w:b/>
          <w:color w:val="auto"/>
          <w:sz w:val="36"/>
          <w:highlight w:val="none"/>
        </w:rPr>
      </w:pPr>
      <w:bookmarkStart w:id="1" w:name="采购编号:_ZJSW(2021)33-磋13"/>
      <w:bookmarkEnd w:id="1"/>
    </w:p>
    <w:p w14:paraId="3C63CBBE">
      <w:pPr>
        <w:jc w:val="both"/>
        <w:rPr>
          <w:b/>
          <w:color w:val="auto"/>
          <w:sz w:val="36"/>
          <w:highlight w:val="none"/>
        </w:rPr>
      </w:pPr>
    </w:p>
    <w:p w14:paraId="72BCF34C">
      <w:pPr>
        <w:pStyle w:val="12"/>
        <w:rPr>
          <w:color w:val="auto"/>
          <w:highlight w:val="none"/>
        </w:rPr>
      </w:pPr>
    </w:p>
    <w:p w14:paraId="649A0243"/>
    <w:p w14:paraId="269EBE36">
      <w:pPr>
        <w:jc w:val="both"/>
        <w:rPr>
          <w:b/>
          <w:color w:val="auto"/>
          <w:sz w:val="36"/>
          <w:highlight w:val="none"/>
        </w:rPr>
      </w:pPr>
    </w:p>
    <w:p w14:paraId="56861C0C">
      <w:pPr>
        <w:jc w:val="both"/>
        <w:rPr>
          <w:b/>
          <w:color w:val="auto"/>
          <w:sz w:val="36"/>
          <w:highlight w:val="none"/>
        </w:rPr>
      </w:pPr>
    </w:p>
    <w:tbl>
      <w:tblPr>
        <w:tblStyle w:val="32"/>
        <w:tblW w:w="7854" w:type="dxa"/>
        <w:jc w:val="center"/>
        <w:tblLayout w:type="fixed"/>
        <w:tblCellMar>
          <w:top w:w="0" w:type="dxa"/>
          <w:left w:w="108" w:type="dxa"/>
          <w:bottom w:w="0" w:type="dxa"/>
          <w:right w:w="108" w:type="dxa"/>
        </w:tblCellMar>
      </w:tblPr>
      <w:tblGrid>
        <w:gridCol w:w="2698"/>
        <w:gridCol w:w="5156"/>
      </w:tblGrid>
      <w:tr w14:paraId="2B92E83C">
        <w:tblPrEx>
          <w:tblCellMar>
            <w:top w:w="0" w:type="dxa"/>
            <w:left w:w="108" w:type="dxa"/>
            <w:bottom w:w="0" w:type="dxa"/>
            <w:right w:w="108" w:type="dxa"/>
          </w:tblCellMar>
        </w:tblPrEx>
        <w:trPr>
          <w:trHeight w:val="706" w:hRule="atLeast"/>
          <w:jc w:val="center"/>
        </w:trPr>
        <w:tc>
          <w:tcPr>
            <w:tcW w:w="2698" w:type="dxa"/>
            <w:shd w:val="clear" w:color="auto" w:fill="auto"/>
            <w:vAlign w:val="center"/>
          </w:tcPr>
          <w:p w14:paraId="75ACDA19">
            <w:pPr>
              <w:ind w:right="-114" w:rightChars="-52"/>
              <w:jc w:val="distribute"/>
              <w:rPr>
                <w:color w:val="auto"/>
                <w:sz w:val="32"/>
                <w:szCs w:val="32"/>
                <w:highlight w:val="none"/>
              </w:rPr>
            </w:pPr>
            <w:bookmarkStart w:id="2" w:name="_Toc493956012"/>
            <w:bookmarkStart w:id="3" w:name="_Toc493928402"/>
            <w:r>
              <w:rPr>
                <w:rFonts w:hint="eastAsia"/>
                <w:color w:val="auto"/>
                <w:sz w:val="32"/>
                <w:szCs w:val="32"/>
                <w:highlight w:val="none"/>
              </w:rPr>
              <w:t>项目编号：</w:t>
            </w:r>
            <w:bookmarkEnd w:id="2"/>
            <w:bookmarkEnd w:id="3"/>
          </w:p>
        </w:tc>
        <w:tc>
          <w:tcPr>
            <w:tcW w:w="5156" w:type="dxa"/>
            <w:shd w:val="clear" w:color="auto" w:fill="auto"/>
            <w:vAlign w:val="center"/>
          </w:tcPr>
          <w:p w14:paraId="59FC6E49">
            <w:pPr>
              <w:rPr>
                <w:rFonts w:hint="eastAsia" w:eastAsia="仿宋"/>
                <w:color w:val="auto"/>
                <w:sz w:val="32"/>
                <w:szCs w:val="32"/>
                <w:highlight w:val="none"/>
                <w:lang w:eastAsia="zh-CN"/>
              </w:rPr>
            </w:pPr>
            <w:r>
              <w:rPr>
                <w:rFonts w:hint="eastAsia"/>
                <w:color w:val="auto"/>
                <w:sz w:val="32"/>
                <w:szCs w:val="32"/>
                <w:highlight w:val="none"/>
                <w:lang w:val="en-US" w:eastAsia="zh-CN"/>
              </w:rPr>
              <w:t>ZJZCSC（2025）采0702号</w:t>
            </w:r>
          </w:p>
        </w:tc>
      </w:tr>
      <w:tr w14:paraId="66564EAE">
        <w:tblPrEx>
          <w:tblCellMar>
            <w:top w:w="0" w:type="dxa"/>
            <w:left w:w="108" w:type="dxa"/>
            <w:bottom w:w="0" w:type="dxa"/>
            <w:right w:w="108" w:type="dxa"/>
          </w:tblCellMar>
        </w:tblPrEx>
        <w:trPr>
          <w:trHeight w:val="680" w:hRule="atLeast"/>
          <w:jc w:val="center"/>
        </w:trPr>
        <w:tc>
          <w:tcPr>
            <w:tcW w:w="2698" w:type="dxa"/>
            <w:shd w:val="clear" w:color="auto" w:fill="auto"/>
            <w:vAlign w:val="center"/>
          </w:tcPr>
          <w:p w14:paraId="12203538">
            <w:pPr>
              <w:ind w:right="-114" w:rightChars="-52"/>
              <w:jc w:val="distribute"/>
              <w:rPr>
                <w:color w:val="auto"/>
                <w:sz w:val="32"/>
                <w:szCs w:val="32"/>
                <w:highlight w:val="none"/>
              </w:rPr>
            </w:pPr>
            <w:bookmarkStart w:id="4" w:name="_Toc493956014"/>
            <w:bookmarkStart w:id="5" w:name="_Toc493928404"/>
            <w:r>
              <w:rPr>
                <w:rFonts w:hint="eastAsia"/>
                <w:color w:val="auto"/>
                <w:sz w:val="32"/>
                <w:szCs w:val="32"/>
                <w:highlight w:val="none"/>
              </w:rPr>
              <w:t>项目名称：</w:t>
            </w:r>
            <w:bookmarkEnd w:id="4"/>
            <w:bookmarkEnd w:id="5"/>
          </w:p>
        </w:tc>
        <w:tc>
          <w:tcPr>
            <w:tcW w:w="5156" w:type="dxa"/>
            <w:shd w:val="clear" w:color="auto" w:fill="auto"/>
            <w:vAlign w:val="center"/>
          </w:tcPr>
          <w:p w14:paraId="5005D7EF">
            <w:pPr>
              <w:rPr>
                <w:rFonts w:hint="eastAsia" w:eastAsia="仿宋"/>
                <w:color w:val="auto"/>
                <w:sz w:val="32"/>
                <w:szCs w:val="32"/>
                <w:highlight w:val="none"/>
                <w:lang w:val="en-US" w:eastAsia="zh-CN"/>
              </w:rPr>
            </w:pPr>
            <w:r>
              <w:rPr>
                <w:rFonts w:hint="eastAsia"/>
                <w:color w:val="auto"/>
                <w:sz w:val="32"/>
                <w:szCs w:val="32"/>
                <w:highlight w:val="none"/>
                <w:lang w:val="en-US" w:eastAsia="zh-CN"/>
              </w:rPr>
              <w:t>2025全国象棋俱乐部团体赛</w:t>
            </w:r>
          </w:p>
        </w:tc>
      </w:tr>
      <w:tr w14:paraId="48BDC44C">
        <w:tblPrEx>
          <w:tblCellMar>
            <w:top w:w="0" w:type="dxa"/>
            <w:left w:w="108" w:type="dxa"/>
            <w:bottom w:w="0" w:type="dxa"/>
            <w:right w:w="108" w:type="dxa"/>
          </w:tblCellMar>
        </w:tblPrEx>
        <w:trPr>
          <w:trHeight w:val="634" w:hRule="atLeast"/>
          <w:jc w:val="center"/>
        </w:trPr>
        <w:tc>
          <w:tcPr>
            <w:tcW w:w="2698" w:type="dxa"/>
            <w:shd w:val="clear" w:color="auto" w:fill="auto"/>
            <w:vAlign w:val="center"/>
          </w:tcPr>
          <w:p w14:paraId="49DD3BEF">
            <w:pPr>
              <w:ind w:right="-114" w:rightChars="-52"/>
              <w:jc w:val="distribute"/>
              <w:rPr>
                <w:color w:val="auto"/>
                <w:sz w:val="32"/>
                <w:szCs w:val="32"/>
                <w:highlight w:val="none"/>
              </w:rPr>
            </w:pPr>
            <w:bookmarkStart w:id="6" w:name="_Toc493928406"/>
            <w:bookmarkStart w:id="7" w:name="_Toc493956016"/>
            <w:r>
              <w:rPr>
                <w:rFonts w:hint="eastAsia"/>
                <w:color w:val="auto"/>
                <w:sz w:val="32"/>
                <w:szCs w:val="32"/>
                <w:highlight w:val="none"/>
              </w:rPr>
              <w:t>采 购 人：</w:t>
            </w:r>
            <w:bookmarkEnd w:id="6"/>
            <w:bookmarkEnd w:id="7"/>
          </w:p>
        </w:tc>
        <w:tc>
          <w:tcPr>
            <w:tcW w:w="5156" w:type="dxa"/>
            <w:shd w:val="clear" w:color="auto" w:fill="auto"/>
            <w:vAlign w:val="center"/>
          </w:tcPr>
          <w:p w14:paraId="3067255B">
            <w:pPr>
              <w:rPr>
                <w:rFonts w:hint="eastAsia" w:eastAsia="仿宋"/>
                <w:color w:val="auto"/>
                <w:sz w:val="32"/>
                <w:szCs w:val="32"/>
                <w:highlight w:val="none"/>
                <w:lang w:eastAsia="zh-CN"/>
              </w:rPr>
            </w:pPr>
            <w:r>
              <w:rPr>
                <w:rFonts w:hint="eastAsia"/>
                <w:color w:val="auto"/>
                <w:sz w:val="32"/>
                <w:szCs w:val="32"/>
                <w:highlight w:val="none"/>
                <w:lang w:eastAsia="zh-CN"/>
              </w:rPr>
              <w:t>遂昌县体育事业发展中心</w:t>
            </w:r>
          </w:p>
        </w:tc>
      </w:tr>
      <w:tr w14:paraId="1E9DE180">
        <w:tblPrEx>
          <w:tblCellMar>
            <w:top w:w="0" w:type="dxa"/>
            <w:left w:w="108" w:type="dxa"/>
            <w:bottom w:w="0" w:type="dxa"/>
            <w:right w:w="108" w:type="dxa"/>
          </w:tblCellMar>
        </w:tblPrEx>
        <w:trPr>
          <w:trHeight w:val="634" w:hRule="atLeast"/>
          <w:jc w:val="center"/>
        </w:trPr>
        <w:tc>
          <w:tcPr>
            <w:tcW w:w="2698" w:type="dxa"/>
            <w:shd w:val="clear" w:color="auto" w:fill="auto"/>
            <w:vAlign w:val="center"/>
          </w:tcPr>
          <w:p w14:paraId="3394E4F4">
            <w:pPr>
              <w:ind w:right="-114" w:rightChars="-52"/>
              <w:jc w:val="distribute"/>
              <w:rPr>
                <w:rFonts w:hint="eastAsia"/>
                <w:color w:val="auto"/>
                <w:sz w:val="32"/>
                <w:szCs w:val="32"/>
                <w:highlight w:val="none"/>
              </w:rPr>
            </w:pPr>
            <w:r>
              <w:rPr>
                <w:rFonts w:hint="eastAsia"/>
                <w:color w:val="auto"/>
                <w:sz w:val="32"/>
                <w:szCs w:val="32"/>
                <w:highlight w:val="none"/>
              </w:rPr>
              <w:t>地        址：</w:t>
            </w:r>
          </w:p>
        </w:tc>
        <w:tc>
          <w:tcPr>
            <w:tcW w:w="5156" w:type="dxa"/>
            <w:shd w:val="clear" w:color="auto" w:fill="auto"/>
            <w:vAlign w:val="center"/>
          </w:tcPr>
          <w:p w14:paraId="31AF2BC8">
            <w:pPr>
              <w:rPr>
                <w:rFonts w:hint="eastAsia"/>
                <w:color w:val="auto"/>
                <w:sz w:val="32"/>
                <w:szCs w:val="32"/>
                <w:highlight w:val="none"/>
                <w:lang w:eastAsia="zh-CN"/>
              </w:rPr>
            </w:pPr>
            <w:r>
              <w:rPr>
                <w:rFonts w:hint="eastAsia"/>
                <w:color w:val="auto"/>
                <w:sz w:val="32"/>
                <w:szCs w:val="32"/>
                <w:highlight w:val="none"/>
                <w:lang w:eastAsia="zh-CN"/>
              </w:rPr>
              <w:t>遂昌县妙高街道上南门6号</w:t>
            </w:r>
          </w:p>
        </w:tc>
      </w:tr>
      <w:tr w14:paraId="6D6591C8">
        <w:tblPrEx>
          <w:tblCellMar>
            <w:top w:w="0" w:type="dxa"/>
            <w:left w:w="108" w:type="dxa"/>
            <w:bottom w:w="0" w:type="dxa"/>
            <w:right w:w="108" w:type="dxa"/>
          </w:tblCellMar>
        </w:tblPrEx>
        <w:trPr>
          <w:trHeight w:val="634" w:hRule="atLeast"/>
          <w:jc w:val="center"/>
        </w:trPr>
        <w:tc>
          <w:tcPr>
            <w:tcW w:w="2698" w:type="dxa"/>
            <w:shd w:val="clear" w:color="auto" w:fill="auto"/>
            <w:vAlign w:val="center"/>
          </w:tcPr>
          <w:p w14:paraId="389BF770">
            <w:pPr>
              <w:ind w:right="-114" w:rightChars="-52"/>
              <w:jc w:val="distribute"/>
              <w:rPr>
                <w:color w:val="auto"/>
                <w:sz w:val="32"/>
                <w:szCs w:val="32"/>
                <w:highlight w:val="none"/>
              </w:rPr>
            </w:pPr>
          </w:p>
        </w:tc>
        <w:tc>
          <w:tcPr>
            <w:tcW w:w="5156" w:type="dxa"/>
            <w:shd w:val="clear" w:color="auto" w:fill="auto"/>
            <w:vAlign w:val="center"/>
          </w:tcPr>
          <w:p w14:paraId="51984B24">
            <w:pPr>
              <w:rPr>
                <w:color w:val="auto"/>
                <w:sz w:val="32"/>
                <w:szCs w:val="32"/>
                <w:highlight w:val="none"/>
              </w:rPr>
            </w:pPr>
          </w:p>
        </w:tc>
      </w:tr>
      <w:tr w14:paraId="13A3176D">
        <w:tblPrEx>
          <w:tblCellMar>
            <w:top w:w="0" w:type="dxa"/>
            <w:left w:w="108" w:type="dxa"/>
            <w:bottom w:w="0" w:type="dxa"/>
            <w:right w:w="108" w:type="dxa"/>
          </w:tblCellMar>
        </w:tblPrEx>
        <w:trPr>
          <w:trHeight w:val="706" w:hRule="atLeast"/>
          <w:jc w:val="center"/>
        </w:trPr>
        <w:tc>
          <w:tcPr>
            <w:tcW w:w="2698" w:type="dxa"/>
            <w:shd w:val="clear" w:color="auto" w:fill="auto"/>
            <w:vAlign w:val="center"/>
          </w:tcPr>
          <w:p w14:paraId="2D62B99B">
            <w:pPr>
              <w:ind w:right="-114" w:rightChars="-52"/>
              <w:jc w:val="distribute"/>
              <w:rPr>
                <w:color w:val="auto"/>
                <w:sz w:val="32"/>
                <w:szCs w:val="32"/>
                <w:highlight w:val="none"/>
              </w:rPr>
            </w:pPr>
            <w:r>
              <w:rPr>
                <w:rFonts w:hint="eastAsia"/>
                <w:color w:val="auto"/>
                <w:sz w:val="32"/>
                <w:szCs w:val="32"/>
                <w:highlight w:val="none"/>
              </w:rPr>
              <w:t>采购代理机构：</w:t>
            </w:r>
          </w:p>
        </w:tc>
        <w:tc>
          <w:tcPr>
            <w:tcW w:w="5156" w:type="dxa"/>
            <w:shd w:val="clear" w:color="auto" w:fill="auto"/>
            <w:vAlign w:val="center"/>
          </w:tcPr>
          <w:p w14:paraId="2D062F3D">
            <w:pPr>
              <w:rPr>
                <w:color w:val="auto"/>
                <w:sz w:val="32"/>
                <w:szCs w:val="32"/>
                <w:highlight w:val="none"/>
              </w:rPr>
            </w:pPr>
            <w:r>
              <w:rPr>
                <w:rFonts w:hint="eastAsia"/>
                <w:color w:val="auto"/>
                <w:sz w:val="32"/>
                <w:szCs w:val="32"/>
                <w:highlight w:val="none"/>
              </w:rPr>
              <w:t>浙江至诚工程咨询有限责任公司</w:t>
            </w:r>
          </w:p>
        </w:tc>
      </w:tr>
      <w:tr w14:paraId="76324AD8">
        <w:tblPrEx>
          <w:tblCellMar>
            <w:top w:w="0" w:type="dxa"/>
            <w:left w:w="108" w:type="dxa"/>
            <w:bottom w:w="0" w:type="dxa"/>
            <w:right w:w="108" w:type="dxa"/>
          </w:tblCellMar>
        </w:tblPrEx>
        <w:trPr>
          <w:trHeight w:val="706" w:hRule="atLeast"/>
          <w:jc w:val="center"/>
        </w:trPr>
        <w:tc>
          <w:tcPr>
            <w:tcW w:w="2698" w:type="dxa"/>
            <w:shd w:val="clear" w:color="auto" w:fill="auto"/>
            <w:vAlign w:val="center"/>
          </w:tcPr>
          <w:p w14:paraId="591727FE">
            <w:pPr>
              <w:ind w:right="-114" w:rightChars="-52"/>
              <w:jc w:val="distribute"/>
              <w:rPr>
                <w:color w:val="auto"/>
                <w:sz w:val="32"/>
                <w:szCs w:val="32"/>
                <w:highlight w:val="none"/>
              </w:rPr>
            </w:pPr>
            <w:r>
              <w:rPr>
                <w:rFonts w:hint="eastAsia"/>
                <w:color w:val="auto"/>
                <w:sz w:val="32"/>
                <w:szCs w:val="32"/>
                <w:highlight w:val="none"/>
              </w:rPr>
              <w:t>地        址：</w:t>
            </w:r>
          </w:p>
        </w:tc>
        <w:tc>
          <w:tcPr>
            <w:tcW w:w="5156" w:type="dxa"/>
            <w:shd w:val="clear" w:color="auto" w:fill="auto"/>
            <w:vAlign w:val="center"/>
          </w:tcPr>
          <w:p w14:paraId="373D9CCA">
            <w:pPr>
              <w:rPr>
                <w:rFonts w:hint="eastAsia" w:eastAsia="仿宋"/>
                <w:color w:val="auto"/>
                <w:sz w:val="32"/>
                <w:szCs w:val="32"/>
                <w:highlight w:val="none"/>
                <w:lang w:eastAsia="zh-CN"/>
              </w:rPr>
            </w:pPr>
            <w:r>
              <w:rPr>
                <w:rFonts w:hint="eastAsia"/>
                <w:color w:val="auto"/>
                <w:sz w:val="32"/>
                <w:szCs w:val="32"/>
                <w:highlight w:val="none"/>
                <w:lang w:val="en-US" w:eastAsia="zh-CN"/>
              </w:rPr>
              <w:t>遂昌县妙高街道凯恩路224号三楼</w:t>
            </w:r>
          </w:p>
        </w:tc>
      </w:tr>
      <w:tr w14:paraId="0FD9D91C">
        <w:tblPrEx>
          <w:tblCellMar>
            <w:top w:w="0" w:type="dxa"/>
            <w:left w:w="108" w:type="dxa"/>
            <w:bottom w:w="0" w:type="dxa"/>
            <w:right w:w="108" w:type="dxa"/>
          </w:tblCellMar>
        </w:tblPrEx>
        <w:trPr>
          <w:trHeight w:val="706" w:hRule="atLeast"/>
          <w:jc w:val="center"/>
        </w:trPr>
        <w:tc>
          <w:tcPr>
            <w:tcW w:w="2698" w:type="dxa"/>
            <w:shd w:val="clear" w:color="auto" w:fill="auto"/>
            <w:vAlign w:val="center"/>
          </w:tcPr>
          <w:p w14:paraId="0DA38B2E">
            <w:pPr>
              <w:ind w:right="-114" w:rightChars="-52"/>
              <w:jc w:val="distribute"/>
              <w:rPr>
                <w:color w:val="auto"/>
                <w:sz w:val="32"/>
                <w:szCs w:val="32"/>
                <w:highlight w:val="none"/>
              </w:rPr>
            </w:pPr>
          </w:p>
        </w:tc>
        <w:tc>
          <w:tcPr>
            <w:tcW w:w="5156" w:type="dxa"/>
            <w:shd w:val="clear" w:color="auto" w:fill="auto"/>
            <w:vAlign w:val="center"/>
          </w:tcPr>
          <w:p w14:paraId="50F08510">
            <w:pPr>
              <w:ind w:left="-108" w:leftChars="-49"/>
              <w:rPr>
                <w:color w:val="auto"/>
                <w:sz w:val="32"/>
                <w:szCs w:val="32"/>
                <w:highlight w:val="none"/>
                <w:lang w:val="en-US"/>
              </w:rPr>
            </w:pPr>
          </w:p>
        </w:tc>
      </w:tr>
      <w:tr w14:paraId="34019E54">
        <w:tblPrEx>
          <w:tblCellMar>
            <w:top w:w="0" w:type="dxa"/>
            <w:left w:w="108" w:type="dxa"/>
            <w:bottom w:w="0" w:type="dxa"/>
            <w:right w:w="108" w:type="dxa"/>
          </w:tblCellMar>
        </w:tblPrEx>
        <w:trPr>
          <w:trHeight w:val="706" w:hRule="atLeast"/>
          <w:jc w:val="center"/>
        </w:trPr>
        <w:tc>
          <w:tcPr>
            <w:tcW w:w="7854" w:type="dxa"/>
            <w:gridSpan w:val="2"/>
            <w:shd w:val="clear" w:color="auto" w:fill="auto"/>
            <w:vAlign w:val="center"/>
          </w:tcPr>
          <w:p w14:paraId="39F0061C">
            <w:pPr>
              <w:jc w:val="center"/>
              <w:rPr>
                <w:color w:val="auto"/>
                <w:sz w:val="32"/>
                <w:szCs w:val="32"/>
                <w:highlight w:val="none"/>
              </w:rPr>
            </w:pPr>
            <w:r>
              <w:rPr>
                <w:rFonts w:hint="eastAsia"/>
                <w:color w:val="auto"/>
                <w:sz w:val="32"/>
                <w:szCs w:val="32"/>
                <w:highlight w:val="none"/>
              </w:rPr>
              <w:t>二〇二</w:t>
            </w:r>
            <w:r>
              <w:rPr>
                <w:rFonts w:hint="eastAsia"/>
                <w:color w:val="auto"/>
                <w:sz w:val="32"/>
                <w:szCs w:val="32"/>
                <w:highlight w:val="none"/>
                <w:lang w:eastAsia="zh-CN"/>
              </w:rPr>
              <w:t>五</w:t>
            </w:r>
            <w:r>
              <w:rPr>
                <w:rFonts w:hint="eastAsia"/>
                <w:color w:val="auto"/>
                <w:sz w:val="32"/>
                <w:szCs w:val="32"/>
                <w:highlight w:val="none"/>
              </w:rPr>
              <w:t>年</w:t>
            </w:r>
            <w:r>
              <w:rPr>
                <w:rFonts w:hint="eastAsia"/>
                <w:color w:val="auto"/>
                <w:sz w:val="32"/>
                <w:szCs w:val="32"/>
                <w:highlight w:val="none"/>
                <w:lang w:val="en-US" w:eastAsia="zh-CN"/>
              </w:rPr>
              <w:t>七</w:t>
            </w:r>
            <w:r>
              <w:rPr>
                <w:rFonts w:hint="eastAsia"/>
                <w:color w:val="auto"/>
                <w:sz w:val="32"/>
                <w:szCs w:val="32"/>
                <w:highlight w:val="none"/>
              </w:rPr>
              <w:t>月</w:t>
            </w:r>
          </w:p>
        </w:tc>
      </w:tr>
    </w:tbl>
    <w:p w14:paraId="6093D0E3">
      <w:pPr>
        <w:pStyle w:val="59"/>
        <w:jc w:val="center"/>
        <w:rPr>
          <w:rFonts w:hint="eastAsia" w:ascii="仿宋" w:hAnsi="仿宋" w:eastAsia="仿宋" w:cs="仿宋"/>
          <w:b/>
          <w:bCs/>
          <w:color w:val="auto"/>
          <w:highlight w:val="none"/>
          <w:lang w:val="zh-CN"/>
        </w:rPr>
      </w:pPr>
    </w:p>
    <w:p w14:paraId="61D3AC59">
      <w:pPr>
        <w:rPr>
          <w:rFonts w:hint="eastAsia"/>
          <w:lang w:val="zh-CN"/>
        </w:rPr>
      </w:pPr>
    </w:p>
    <w:p w14:paraId="0C3391ED">
      <w:pPr>
        <w:pStyle w:val="59"/>
        <w:jc w:val="center"/>
        <w:rPr>
          <w:rFonts w:hint="eastAsia" w:ascii="仿宋" w:hAnsi="仿宋" w:eastAsia="仿宋" w:cs="仿宋"/>
          <w:b/>
          <w:bCs/>
          <w:color w:val="auto"/>
          <w:highlight w:val="none"/>
          <w:lang w:val="zh-CN"/>
        </w:rPr>
        <w:sectPr>
          <w:headerReference r:id="rId3" w:type="default"/>
          <w:pgSz w:w="11910" w:h="16840"/>
          <w:pgMar w:top="1247" w:right="1247" w:bottom="1247" w:left="1587" w:header="884" w:footer="884" w:gutter="0"/>
          <w:pgNumType w:start="3"/>
          <w:cols w:space="0" w:num="1"/>
          <w:titlePg/>
        </w:sectPr>
      </w:pPr>
    </w:p>
    <w:p w14:paraId="3468BFB7">
      <w:pPr>
        <w:pStyle w:val="59"/>
        <w:jc w:val="center"/>
        <w:rPr>
          <w:rFonts w:ascii="仿宋" w:hAnsi="仿宋" w:eastAsia="仿宋" w:cs="仿宋"/>
          <w:b/>
          <w:bCs/>
          <w:color w:val="auto"/>
          <w:highlight w:val="none"/>
        </w:rPr>
      </w:pPr>
      <w:r>
        <w:rPr>
          <w:rFonts w:hint="eastAsia" w:ascii="仿宋" w:hAnsi="仿宋" w:eastAsia="仿宋" w:cs="仿宋"/>
          <w:b/>
          <w:bCs/>
          <w:color w:val="auto"/>
          <w:highlight w:val="none"/>
          <w:lang w:val="zh-CN"/>
        </w:rPr>
        <w:t>目</w:t>
      </w:r>
      <w:r>
        <w:rPr>
          <w:rFonts w:hint="eastAsia" w:ascii="仿宋" w:hAnsi="仿宋" w:eastAsia="仿宋" w:cs="仿宋"/>
          <w:b/>
          <w:bCs/>
          <w:color w:val="auto"/>
          <w:highlight w:val="none"/>
        </w:rPr>
        <w:t xml:space="preserve"> </w:t>
      </w:r>
      <w:r>
        <w:rPr>
          <w:rFonts w:hint="eastAsia" w:ascii="仿宋" w:hAnsi="仿宋" w:eastAsia="仿宋" w:cs="仿宋"/>
          <w:b/>
          <w:bCs/>
          <w:color w:val="auto"/>
          <w:highlight w:val="none"/>
          <w:lang w:val="zh-CN"/>
        </w:rPr>
        <w:t>录</w:t>
      </w:r>
    </w:p>
    <w:p w14:paraId="0BC40BF2">
      <w:pPr>
        <w:pStyle w:val="22"/>
      </w:pPr>
      <w:r>
        <w:rPr>
          <w:rFonts w:hint="eastAsia"/>
          <w:color w:val="auto"/>
          <w:highlight w:val="none"/>
        </w:rPr>
        <w:fldChar w:fldCharType="begin"/>
      </w:r>
      <w:r>
        <w:rPr>
          <w:rFonts w:hint="eastAsia"/>
          <w:color w:val="auto"/>
          <w:highlight w:val="none"/>
        </w:rPr>
        <w:instrText xml:space="preserve"> TOC \o "1-3" \h \z \u </w:instrText>
      </w:r>
      <w:r>
        <w:rPr>
          <w:rFonts w:hint="eastAsia"/>
          <w:color w:val="auto"/>
          <w:highlight w:val="none"/>
        </w:rPr>
        <w:fldChar w:fldCharType="separate"/>
      </w:r>
      <w:r>
        <w:rPr>
          <w:rFonts w:hint="eastAsia"/>
          <w:color w:val="auto"/>
          <w:highlight w:val="none"/>
        </w:rPr>
        <w:fldChar w:fldCharType="begin"/>
      </w:r>
      <w:r>
        <w:rPr>
          <w:rFonts w:hint="eastAsia"/>
          <w:highlight w:val="none"/>
        </w:rPr>
        <w:instrText xml:space="preserve"> HYPERLINK \l _Toc32339 </w:instrText>
      </w:r>
      <w:r>
        <w:rPr>
          <w:rFonts w:hint="eastAsia"/>
          <w:highlight w:val="none"/>
        </w:rPr>
        <w:fldChar w:fldCharType="separate"/>
      </w:r>
      <w:r>
        <w:rPr>
          <w:rFonts w:hint="eastAsia"/>
          <w:highlight w:val="none"/>
        </w:rPr>
        <w:t>第一章</w:t>
      </w:r>
      <w:r>
        <w:rPr>
          <w:rFonts w:hint="eastAsia"/>
          <w:highlight w:val="none"/>
          <w:lang w:val="en-US"/>
        </w:rPr>
        <w:t xml:space="preserve"> </w:t>
      </w:r>
      <w:r>
        <w:rPr>
          <w:rFonts w:hint="eastAsia"/>
          <w:highlight w:val="none"/>
        </w:rPr>
        <w:t>竞争性磋商</w:t>
      </w:r>
      <w:r>
        <w:rPr>
          <w:rFonts w:hint="eastAsia"/>
          <w:highlight w:val="none"/>
          <w:lang w:val="en-US"/>
        </w:rPr>
        <w:t>采购</w:t>
      </w:r>
      <w:r>
        <w:rPr>
          <w:rFonts w:hint="eastAsia"/>
          <w:highlight w:val="none"/>
        </w:rPr>
        <w:t>公告</w:t>
      </w:r>
      <w:r>
        <w:tab/>
      </w:r>
      <w:r>
        <w:fldChar w:fldCharType="begin"/>
      </w:r>
      <w:r>
        <w:instrText xml:space="preserve"> PAGEREF _Toc32339 \h </w:instrText>
      </w:r>
      <w:r>
        <w:fldChar w:fldCharType="separate"/>
      </w:r>
      <w:r>
        <w:t>3</w:t>
      </w:r>
      <w:r>
        <w:fldChar w:fldCharType="end"/>
      </w:r>
      <w:r>
        <w:rPr>
          <w:rFonts w:hint="eastAsia"/>
          <w:color w:val="auto"/>
          <w:highlight w:val="none"/>
        </w:rPr>
        <w:fldChar w:fldCharType="end"/>
      </w:r>
    </w:p>
    <w:p w14:paraId="03C5E8CD">
      <w:pPr>
        <w:pStyle w:val="22"/>
      </w:pPr>
      <w:r>
        <w:rPr>
          <w:rFonts w:hint="eastAsia"/>
          <w:bCs/>
          <w:color w:val="auto"/>
          <w:szCs w:val="24"/>
          <w:highlight w:val="none"/>
        </w:rPr>
        <w:fldChar w:fldCharType="begin"/>
      </w:r>
      <w:r>
        <w:rPr>
          <w:rFonts w:hint="eastAsia"/>
          <w:bCs/>
          <w:szCs w:val="24"/>
          <w:highlight w:val="none"/>
        </w:rPr>
        <w:instrText xml:space="preserve"> HYPERLINK \l _Toc19940 </w:instrText>
      </w:r>
      <w:r>
        <w:rPr>
          <w:rFonts w:hint="eastAsia"/>
          <w:bCs/>
          <w:szCs w:val="24"/>
          <w:highlight w:val="none"/>
        </w:rPr>
        <w:fldChar w:fldCharType="separate"/>
      </w:r>
      <w:r>
        <w:rPr>
          <w:rFonts w:hint="eastAsia" w:ascii="Times New Roman" w:hAnsi="Times New Roman"/>
          <w:lang w:val="en-US"/>
        </w:rPr>
        <w:t xml:space="preserve">第二章 </w:t>
      </w:r>
      <w:r>
        <w:rPr>
          <w:rFonts w:hint="eastAsia" w:ascii="Times New Roman" w:hAnsi="Times New Roman"/>
          <w:lang w:val="en-US" w:eastAsia="zh-CN"/>
        </w:rPr>
        <w:t xml:space="preserve"> </w:t>
      </w:r>
      <w:r>
        <w:rPr>
          <w:rFonts w:hint="eastAsia" w:ascii="Times New Roman" w:hAnsi="Times New Roman"/>
          <w:highlight w:val="none"/>
          <w:lang w:val="en-US"/>
        </w:rPr>
        <w:t>采购需求</w:t>
      </w:r>
      <w:r>
        <w:tab/>
      </w:r>
      <w:r>
        <w:fldChar w:fldCharType="begin"/>
      </w:r>
      <w:r>
        <w:instrText xml:space="preserve"> PAGEREF _Toc19940 \h </w:instrText>
      </w:r>
      <w:r>
        <w:fldChar w:fldCharType="separate"/>
      </w:r>
      <w:r>
        <w:t>6</w:t>
      </w:r>
      <w:r>
        <w:fldChar w:fldCharType="end"/>
      </w:r>
      <w:r>
        <w:rPr>
          <w:rFonts w:hint="eastAsia"/>
          <w:bCs/>
          <w:color w:val="auto"/>
          <w:szCs w:val="24"/>
          <w:highlight w:val="none"/>
        </w:rPr>
        <w:fldChar w:fldCharType="end"/>
      </w:r>
    </w:p>
    <w:p w14:paraId="4CF8BD29">
      <w:pPr>
        <w:pStyle w:val="26"/>
      </w:pPr>
      <w:r>
        <w:rPr>
          <w:rFonts w:hint="eastAsia"/>
          <w:bCs/>
          <w:color w:val="auto"/>
          <w:szCs w:val="24"/>
          <w:highlight w:val="none"/>
        </w:rPr>
        <w:fldChar w:fldCharType="begin"/>
      </w:r>
      <w:r>
        <w:rPr>
          <w:rFonts w:hint="eastAsia"/>
          <w:bCs/>
          <w:szCs w:val="24"/>
          <w:highlight w:val="none"/>
        </w:rPr>
        <w:instrText xml:space="preserve"> HYPERLINK \l _Toc7014 </w:instrText>
      </w:r>
      <w:r>
        <w:rPr>
          <w:rFonts w:hint="eastAsia"/>
          <w:bCs/>
          <w:szCs w:val="24"/>
          <w:highlight w:val="none"/>
        </w:rPr>
        <w:fldChar w:fldCharType="separate"/>
      </w:r>
      <w:r>
        <w:rPr>
          <w:rFonts w:hint="eastAsia" w:ascii="Times New Roman" w:hAnsi="Times New Roman"/>
          <w:lang w:val="en-US" w:eastAsia="zh-CN"/>
        </w:rPr>
        <w:t xml:space="preserve">一、 </w:t>
      </w:r>
      <w:r>
        <w:rPr>
          <w:rFonts w:hint="eastAsia" w:ascii="Times New Roman" w:hAnsi="Times New Roman"/>
          <w:highlight w:val="none"/>
          <w:lang w:val="en-US" w:eastAsia="zh-CN"/>
        </w:rPr>
        <w:t>项目背景</w:t>
      </w:r>
      <w:r>
        <w:tab/>
      </w:r>
      <w:r>
        <w:fldChar w:fldCharType="begin"/>
      </w:r>
      <w:r>
        <w:instrText xml:space="preserve"> PAGEREF _Toc7014 \h </w:instrText>
      </w:r>
      <w:r>
        <w:fldChar w:fldCharType="separate"/>
      </w:r>
      <w:r>
        <w:t>6</w:t>
      </w:r>
      <w:r>
        <w:fldChar w:fldCharType="end"/>
      </w:r>
      <w:r>
        <w:rPr>
          <w:rFonts w:hint="eastAsia"/>
          <w:bCs/>
          <w:color w:val="auto"/>
          <w:szCs w:val="24"/>
          <w:highlight w:val="none"/>
        </w:rPr>
        <w:fldChar w:fldCharType="end"/>
      </w:r>
    </w:p>
    <w:p w14:paraId="22A51F9C">
      <w:pPr>
        <w:pStyle w:val="26"/>
      </w:pPr>
      <w:r>
        <w:rPr>
          <w:rFonts w:hint="eastAsia"/>
          <w:bCs/>
          <w:color w:val="auto"/>
          <w:szCs w:val="24"/>
          <w:highlight w:val="none"/>
        </w:rPr>
        <w:fldChar w:fldCharType="begin"/>
      </w:r>
      <w:r>
        <w:rPr>
          <w:rFonts w:hint="eastAsia"/>
          <w:bCs/>
          <w:szCs w:val="24"/>
          <w:highlight w:val="none"/>
        </w:rPr>
        <w:instrText xml:space="preserve"> HYPERLINK \l _Toc26093 </w:instrText>
      </w:r>
      <w:r>
        <w:rPr>
          <w:rFonts w:hint="eastAsia"/>
          <w:bCs/>
          <w:szCs w:val="24"/>
          <w:highlight w:val="none"/>
        </w:rPr>
        <w:fldChar w:fldCharType="separate"/>
      </w:r>
      <w:r>
        <w:rPr>
          <w:rFonts w:hint="eastAsia" w:ascii="Times New Roman" w:hAnsi="Times New Roman"/>
          <w:lang w:val="en-US" w:eastAsia="zh-CN"/>
        </w:rPr>
        <w:t xml:space="preserve">二、 </w:t>
      </w:r>
      <w:r>
        <w:rPr>
          <w:rFonts w:hint="eastAsia" w:ascii="Times New Roman" w:hAnsi="Times New Roman"/>
          <w:highlight w:val="none"/>
          <w:lang w:val="en-US" w:eastAsia="zh-CN"/>
        </w:rPr>
        <w:t>组织机构</w:t>
      </w:r>
      <w:r>
        <w:tab/>
      </w:r>
      <w:r>
        <w:fldChar w:fldCharType="begin"/>
      </w:r>
      <w:r>
        <w:instrText xml:space="preserve"> PAGEREF _Toc26093 \h </w:instrText>
      </w:r>
      <w:r>
        <w:fldChar w:fldCharType="separate"/>
      </w:r>
      <w:r>
        <w:t>6</w:t>
      </w:r>
      <w:r>
        <w:fldChar w:fldCharType="end"/>
      </w:r>
      <w:r>
        <w:rPr>
          <w:rFonts w:hint="eastAsia"/>
          <w:bCs/>
          <w:color w:val="auto"/>
          <w:szCs w:val="24"/>
          <w:highlight w:val="none"/>
        </w:rPr>
        <w:fldChar w:fldCharType="end"/>
      </w:r>
    </w:p>
    <w:p w14:paraId="6B4BBDA3">
      <w:pPr>
        <w:pStyle w:val="26"/>
      </w:pPr>
      <w:r>
        <w:rPr>
          <w:rFonts w:hint="eastAsia"/>
          <w:bCs/>
          <w:color w:val="auto"/>
          <w:szCs w:val="24"/>
          <w:highlight w:val="none"/>
        </w:rPr>
        <w:fldChar w:fldCharType="begin"/>
      </w:r>
      <w:r>
        <w:rPr>
          <w:rFonts w:hint="eastAsia"/>
          <w:bCs/>
          <w:szCs w:val="24"/>
          <w:highlight w:val="none"/>
        </w:rPr>
        <w:instrText xml:space="preserve"> HYPERLINK \l _Toc30239 </w:instrText>
      </w:r>
      <w:r>
        <w:rPr>
          <w:rFonts w:hint="eastAsia"/>
          <w:bCs/>
          <w:szCs w:val="24"/>
          <w:highlight w:val="none"/>
        </w:rPr>
        <w:fldChar w:fldCharType="separate"/>
      </w:r>
      <w:r>
        <w:rPr>
          <w:rFonts w:hint="eastAsia" w:ascii="Times New Roman" w:hAnsi="Times New Roman"/>
          <w:lang w:val="en-US" w:eastAsia="zh-CN"/>
        </w:rPr>
        <w:t xml:space="preserve">三、 </w:t>
      </w:r>
      <w:r>
        <w:rPr>
          <w:rFonts w:hint="eastAsia" w:ascii="Times New Roman" w:hAnsi="Times New Roman"/>
          <w:highlight w:val="none"/>
          <w:lang w:val="en-US" w:eastAsia="zh-CN"/>
        </w:rPr>
        <w:t>赛事时间、地点及规模</w:t>
      </w:r>
      <w:r>
        <w:tab/>
      </w:r>
      <w:r>
        <w:fldChar w:fldCharType="begin"/>
      </w:r>
      <w:r>
        <w:instrText xml:space="preserve"> PAGEREF _Toc30239 \h </w:instrText>
      </w:r>
      <w:r>
        <w:fldChar w:fldCharType="separate"/>
      </w:r>
      <w:r>
        <w:t>6</w:t>
      </w:r>
      <w:r>
        <w:fldChar w:fldCharType="end"/>
      </w:r>
      <w:r>
        <w:rPr>
          <w:rFonts w:hint="eastAsia"/>
          <w:bCs/>
          <w:color w:val="auto"/>
          <w:szCs w:val="24"/>
          <w:highlight w:val="none"/>
        </w:rPr>
        <w:fldChar w:fldCharType="end"/>
      </w:r>
    </w:p>
    <w:p w14:paraId="7FBB0064">
      <w:pPr>
        <w:pStyle w:val="26"/>
      </w:pPr>
      <w:r>
        <w:rPr>
          <w:rFonts w:hint="eastAsia"/>
          <w:bCs/>
          <w:color w:val="auto"/>
          <w:szCs w:val="24"/>
          <w:highlight w:val="none"/>
        </w:rPr>
        <w:fldChar w:fldCharType="begin"/>
      </w:r>
      <w:r>
        <w:rPr>
          <w:rFonts w:hint="eastAsia"/>
          <w:bCs/>
          <w:szCs w:val="24"/>
          <w:highlight w:val="none"/>
        </w:rPr>
        <w:instrText xml:space="preserve"> HYPERLINK \l _Toc7012 </w:instrText>
      </w:r>
      <w:r>
        <w:rPr>
          <w:rFonts w:hint="eastAsia"/>
          <w:bCs/>
          <w:szCs w:val="24"/>
          <w:highlight w:val="none"/>
        </w:rPr>
        <w:fldChar w:fldCharType="separate"/>
      </w:r>
      <w:r>
        <w:rPr>
          <w:rFonts w:hint="eastAsia" w:ascii="Times New Roman" w:hAnsi="Times New Roman"/>
          <w:lang w:val="en-US" w:eastAsia="zh-CN"/>
        </w:rPr>
        <w:t xml:space="preserve">四、 </w:t>
      </w:r>
      <w:r>
        <w:rPr>
          <w:rFonts w:hint="eastAsia" w:ascii="Times New Roman" w:hAnsi="Times New Roman"/>
          <w:highlight w:val="none"/>
          <w:lang w:val="en-US" w:eastAsia="zh-CN"/>
        </w:rPr>
        <w:t>赛事服务要求</w:t>
      </w:r>
      <w:r>
        <w:tab/>
      </w:r>
      <w:r>
        <w:fldChar w:fldCharType="begin"/>
      </w:r>
      <w:r>
        <w:instrText xml:space="preserve"> PAGEREF _Toc7012 \h </w:instrText>
      </w:r>
      <w:r>
        <w:fldChar w:fldCharType="separate"/>
      </w:r>
      <w:r>
        <w:t>6</w:t>
      </w:r>
      <w:r>
        <w:fldChar w:fldCharType="end"/>
      </w:r>
      <w:r>
        <w:rPr>
          <w:rFonts w:hint="eastAsia"/>
          <w:bCs/>
          <w:color w:val="auto"/>
          <w:szCs w:val="24"/>
          <w:highlight w:val="none"/>
        </w:rPr>
        <w:fldChar w:fldCharType="end"/>
      </w:r>
    </w:p>
    <w:p w14:paraId="64A12703">
      <w:pPr>
        <w:pStyle w:val="26"/>
      </w:pPr>
      <w:r>
        <w:rPr>
          <w:rFonts w:hint="eastAsia"/>
          <w:bCs/>
          <w:color w:val="auto"/>
          <w:szCs w:val="24"/>
          <w:highlight w:val="none"/>
        </w:rPr>
        <w:fldChar w:fldCharType="begin"/>
      </w:r>
      <w:r>
        <w:rPr>
          <w:rFonts w:hint="eastAsia"/>
          <w:bCs/>
          <w:szCs w:val="24"/>
          <w:highlight w:val="none"/>
        </w:rPr>
        <w:instrText xml:space="preserve"> HYPERLINK \l _Toc31354 </w:instrText>
      </w:r>
      <w:r>
        <w:rPr>
          <w:rFonts w:hint="eastAsia"/>
          <w:bCs/>
          <w:szCs w:val="24"/>
          <w:highlight w:val="none"/>
        </w:rPr>
        <w:fldChar w:fldCharType="separate"/>
      </w:r>
      <w:r>
        <w:rPr>
          <w:rFonts w:hint="eastAsia" w:ascii="Times New Roman" w:hAnsi="Times New Roman"/>
          <w:lang w:val="en-US" w:eastAsia="zh-CN"/>
        </w:rPr>
        <w:t xml:space="preserve">五、 </w:t>
      </w:r>
      <w:r>
        <w:rPr>
          <w:rFonts w:hint="eastAsia" w:ascii="Times New Roman" w:hAnsi="Times New Roman"/>
          <w:highlight w:val="none"/>
          <w:lang w:val="en-US" w:eastAsia="zh-CN"/>
        </w:rPr>
        <w:t>验收要求</w:t>
      </w:r>
      <w:r>
        <w:tab/>
      </w:r>
      <w:r>
        <w:fldChar w:fldCharType="begin"/>
      </w:r>
      <w:r>
        <w:instrText xml:space="preserve"> PAGEREF _Toc31354 \h </w:instrText>
      </w:r>
      <w:r>
        <w:fldChar w:fldCharType="separate"/>
      </w:r>
      <w:r>
        <w:t>9</w:t>
      </w:r>
      <w:r>
        <w:fldChar w:fldCharType="end"/>
      </w:r>
      <w:r>
        <w:rPr>
          <w:rFonts w:hint="eastAsia"/>
          <w:bCs/>
          <w:color w:val="auto"/>
          <w:szCs w:val="24"/>
          <w:highlight w:val="none"/>
        </w:rPr>
        <w:fldChar w:fldCharType="end"/>
      </w:r>
    </w:p>
    <w:p w14:paraId="26C2E227">
      <w:pPr>
        <w:pStyle w:val="26"/>
      </w:pPr>
      <w:r>
        <w:rPr>
          <w:rFonts w:hint="eastAsia"/>
          <w:bCs/>
          <w:color w:val="auto"/>
          <w:szCs w:val="24"/>
          <w:highlight w:val="none"/>
        </w:rPr>
        <w:fldChar w:fldCharType="begin"/>
      </w:r>
      <w:r>
        <w:rPr>
          <w:rFonts w:hint="eastAsia"/>
          <w:bCs/>
          <w:szCs w:val="24"/>
          <w:highlight w:val="none"/>
        </w:rPr>
        <w:instrText xml:space="preserve"> HYPERLINK \l _Toc16188 </w:instrText>
      </w:r>
      <w:r>
        <w:rPr>
          <w:rFonts w:hint="eastAsia"/>
          <w:bCs/>
          <w:szCs w:val="24"/>
          <w:highlight w:val="none"/>
        </w:rPr>
        <w:fldChar w:fldCharType="separate"/>
      </w:r>
      <w:r>
        <w:rPr>
          <w:rFonts w:hint="eastAsia" w:ascii="Times New Roman" w:hAnsi="Times New Roman"/>
          <w:lang w:val="en-US" w:eastAsia="zh-CN"/>
        </w:rPr>
        <w:t xml:space="preserve">六、 </w:t>
      </w:r>
      <w:r>
        <w:rPr>
          <w:rFonts w:hint="eastAsia" w:ascii="Times New Roman" w:hAnsi="Times New Roman"/>
          <w:highlight w:val="none"/>
          <w:lang w:val="en-US" w:eastAsia="zh-CN"/>
        </w:rPr>
        <w:t>其它要求</w:t>
      </w:r>
      <w:r>
        <w:tab/>
      </w:r>
      <w:r>
        <w:fldChar w:fldCharType="begin"/>
      </w:r>
      <w:r>
        <w:instrText xml:space="preserve"> PAGEREF _Toc16188 \h </w:instrText>
      </w:r>
      <w:r>
        <w:fldChar w:fldCharType="separate"/>
      </w:r>
      <w:r>
        <w:t>9</w:t>
      </w:r>
      <w:r>
        <w:fldChar w:fldCharType="end"/>
      </w:r>
      <w:r>
        <w:rPr>
          <w:rFonts w:hint="eastAsia"/>
          <w:bCs/>
          <w:color w:val="auto"/>
          <w:szCs w:val="24"/>
          <w:highlight w:val="none"/>
        </w:rPr>
        <w:fldChar w:fldCharType="end"/>
      </w:r>
    </w:p>
    <w:p w14:paraId="08F19740">
      <w:pPr>
        <w:pStyle w:val="26"/>
      </w:pPr>
      <w:r>
        <w:rPr>
          <w:rFonts w:hint="eastAsia"/>
          <w:bCs/>
          <w:color w:val="auto"/>
          <w:szCs w:val="24"/>
          <w:highlight w:val="none"/>
        </w:rPr>
        <w:fldChar w:fldCharType="begin"/>
      </w:r>
      <w:r>
        <w:rPr>
          <w:rFonts w:hint="eastAsia"/>
          <w:bCs/>
          <w:szCs w:val="24"/>
          <w:highlight w:val="none"/>
        </w:rPr>
        <w:instrText xml:space="preserve"> HYPERLINK \l _Toc7896 </w:instrText>
      </w:r>
      <w:r>
        <w:rPr>
          <w:rFonts w:hint="eastAsia"/>
          <w:bCs/>
          <w:szCs w:val="24"/>
          <w:highlight w:val="none"/>
        </w:rPr>
        <w:fldChar w:fldCharType="separate"/>
      </w:r>
      <w:r>
        <w:rPr>
          <w:rFonts w:hint="eastAsia" w:ascii="Times New Roman" w:hAnsi="Times New Roman"/>
          <w:lang w:val="en-US" w:eastAsia="zh-CN"/>
        </w:rPr>
        <w:t xml:space="preserve">七、 </w:t>
      </w:r>
      <w:r>
        <w:rPr>
          <w:rFonts w:hint="eastAsia" w:ascii="Times New Roman" w:hAnsi="Times New Roman"/>
          <w:highlight w:val="none"/>
          <w:lang w:val="en-US" w:eastAsia="zh-CN"/>
        </w:rPr>
        <w:t>付款方式</w:t>
      </w:r>
      <w:r>
        <w:tab/>
      </w:r>
      <w:r>
        <w:fldChar w:fldCharType="begin"/>
      </w:r>
      <w:r>
        <w:instrText xml:space="preserve"> PAGEREF _Toc7896 \h </w:instrText>
      </w:r>
      <w:r>
        <w:fldChar w:fldCharType="separate"/>
      </w:r>
      <w:r>
        <w:t>9</w:t>
      </w:r>
      <w:r>
        <w:fldChar w:fldCharType="end"/>
      </w:r>
      <w:r>
        <w:rPr>
          <w:rFonts w:hint="eastAsia"/>
          <w:bCs/>
          <w:color w:val="auto"/>
          <w:szCs w:val="24"/>
          <w:highlight w:val="none"/>
        </w:rPr>
        <w:fldChar w:fldCharType="end"/>
      </w:r>
    </w:p>
    <w:p w14:paraId="0EF7A344">
      <w:pPr>
        <w:pStyle w:val="22"/>
      </w:pPr>
      <w:r>
        <w:rPr>
          <w:rFonts w:hint="eastAsia"/>
          <w:bCs/>
          <w:color w:val="auto"/>
          <w:szCs w:val="24"/>
          <w:highlight w:val="none"/>
        </w:rPr>
        <w:fldChar w:fldCharType="begin"/>
      </w:r>
      <w:r>
        <w:rPr>
          <w:rFonts w:hint="eastAsia"/>
          <w:bCs/>
          <w:szCs w:val="24"/>
          <w:highlight w:val="none"/>
        </w:rPr>
        <w:instrText xml:space="preserve"> HYPERLINK \l _Toc14988 </w:instrText>
      </w:r>
      <w:r>
        <w:rPr>
          <w:rFonts w:hint="eastAsia"/>
          <w:bCs/>
          <w:szCs w:val="24"/>
          <w:highlight w:val="none"/>
        </w:rPr>
        <w:fldChar w:fldCharType="separate"/>
      </w:r>
      <w:r>
        <w:rPr>
          <w:rFonts w:hint="eastAsia"/>
          <w:highlight w:val="none"/>
        </w:rPr>
        <w:t>第</w:t>
      </w:r>
      <w:r>
        <w:rPr>
          <w:rFonts w:hint="eastAsia"/>
          <w:highlight w:val="none"/>
          <w:lang w:val="en-US"/>
        </w:rPr>
        <w:t>三</w:t>
      </w:r>
      <w:r>
        <w:rPr>
          <w:rFonts w:hint="eastAsia"/>
          <w:highlight w:val="none"/>
        </w:rPr>
        <w:t>章</w:t>
      </w:r>
      <w:r>
        <w:rPr>
          <w:rFonts w:hint="eastAsia"/>
          <w:highlight w:val="none"/>
          <w:lang w:val="en-US"/>
        </w:rPr>
        <w:t xml:space="preserve"> </w:t>
      </w:r>
      <w:r>
        <w:rPr>
          <w:rFonts w:hint="eastAsia"/>
          <w:highlight w:val="none"/>
        </w:rPr>
        <w:t>供应商须知</w:t>
      </w:r>
      <w:r>
        <w:tab/>
      </w:r>
      <w:r>
        <w:fldChar w:fldCharType="begin"/>
      </w:r>
      <w:r>
        <w:instrText xml:space="preserve"> PAGEREF _Toc14988 \h </w:instrText>
      </w:r>
      <w:r>
        <w:fldChar w:fldCharType="separate"/>
      </w:r>
      <w:r>
        <w:t>11</w:t>
      </w:r>
      <w:r>
        <w:fldChar w:fldCharType="end"/>
      </w:r>
      <w:r>
        <w:rPr>
          <w:rFonts w:hint="eastAsia"/>
          <w:bCs/>
          <w:color w:val="auto"/>
          <w:szCs w:val="24"/>
          <w:highlight w:val="none"/>
        </w:rPr>
        <w:fldChar w:fldCharType="end"/>
      </w:r>
    </w:p>
    <w:p w14:paraId="1F85B66A">
      <w:pPr>
        <w:pStyle w:val="26"/>
      </w:pPr>
      <w:r>
        <w:rPr>
          <w:rFonts w:hint="eastAsia"/>
          <w:bCs/>
          <w:color w:val="auto"/>
          <w:szCs w:val="24"/>
          <w:highlight w:val="none"/>
        </w:rPr>
        <w:fldChar w:fldCharType="begin"/>
      </w:r>
      <w:r>
        <w:rPr>
          <w:rFonts w:hint="eastAsia"/>
          <w:bCs/>
          <w:szCs w:val="24"/>
          <w:highlight w:val="none"/>
        </w:rPr>
        <w:instrText xml:space="preserve"> HYPERLINK \l _Toc11085 </w:instrText>
      </w:r>
      <w:r>
        <w:rPr>
          <w:rFonts w:hint="eastAsia"/>
          <w:bCs/>
          <w:szCs w:val="24"/>
          <w:highlight w:val="none"/>
        </w:rPr>
        <w:fldChar w:fldCharType="separate"/>
      </w:r>
      <w:r>
        <w:rPr>
          <w:rFonts w:hint="eastAsia"/>
          <w:highlight w:val="none"/>
          <w:lang w:eastAsia="zh-CN"/>
        </w:rPr>
        <w:t>投标人</w:t>
      </w:r>
      <w:r>
        <w:rPr>
          <w:rFonts w:hint="eastAsia"/>
          <w:highlight w:val="none"/>
        </w:rPr>
        <w:t>须知前附表</w:t>
      </w:r>
      <w:r>
        <w:tab/>
      </w:r>
      <w:r>
        <w:fldChar w:fldCharType="begin"/>
      </w:r>
      <w:r>
        <w:instrText xml:space="preserve"> PAGEREF _Toc11085 \h </w:instrText>
      </w:r>
      <w:r>
        <w:fldChar w:fldCharType="separate"/>
      </w:r>
      <w:r>
        <w:t>11</w:t>
      </w:r>
      <w:r>
        <w:fldChar w:fldCharType="end"/>
      </w:r>
      <w:r>
        <w:rPr>
          <w:rFonts w:hint="eastAsia"/>
          <w:bCs/>
          <w:color w:val="auto"/>
          <w:szCs w:val="24"/>
          <w:highlight w:val="none"/>
        </w:rPr>
        <w:fldChar w:fldCharType="end"/>
      </w:r>
    </w:p>
    <w:p w14:paraId="2B2F9680">
      <w:pPr>
        <w:pStyle w:val="26"/>
      </w:pPr>
      <w:r>
        <w:rPr>
          <w:rFonts w:hint="eastAsia"/>
          <w:bCs/>
          <w:color w:val="auto"/>
          <w:szCs w:val="24"/>
          <w:highlight w:val="none"/>
        </w:rPr>
        <w:fldChar w:fldCharType="begin"/>
      </w:r>
      <w:r>
        <w:rPr>
          <w:rFonts w:hint="eastAsia"/>
          <w:bCs/>
          <w:szCs w:val="24"/>
          <w:highlight w:val="none"/>
        </w:rPr>
        <w:instrText xml:space="preserve"> HYPERLINK \l _Toc29472 </w:instrText>
      </w:r>
      <w:r>
        <w:rPr>
          <w:rFonts w:hint="eastAsia"/>
          <w:bCs/>
          <w:szCs w:val="24"/>
          <w:highlight w:val="none"/>
        </w:rPr>
        <w:fldChar w:fldCharType="separate"/>
      </w:r>
      <w:r>
        <w:rPr>
          <w:rFonts w:hint="eastAsia"/>
          <w:highlight w:val="none"/>
          <w:lang w:val="en-US"/>
        </w:rPr>
        <w:t>一  总则</w:t>
      </w:r>
      <w:r>
        <w:tab/>
      </w:r>
      <w:r>
        <w:fldChar w:fldCharType="begin"/>
      </w:r>
      <w:r>
        <w:instrText xml:space="preserve"> PAGEREF _Toc29472 \h </w:instrText>
      </w:r>
      <w:r>
        <w:fldChar w:fldCharType="separate"/>
      </w:r>
      <w:r>
        <w:t>13</w:t>
      </w:r>
      <w:r>
        <w:fldChar w:fldCharType="end"/>
      </w:r>
      <w:r>
        <w:rPr>
          <w:rFonts w:hint="eastAsia"/>
          <w:bCs/>
          <w:color w:val="auto"/>
          <w:szCs w:val="24"/>
          <w:highlight w:val="none"/>
        </w:rPr>
        <w:fldChar w:fldCharType="end"/>
      </w:r>
    </w:p>
    <w:p w14:paraId="6CD4726E">
      <w:pPr>
        <w:pStyle w:val="26"/>
      </w:pPr>
      <w:r>
        <w:rPr>
          <w:rFonts w:hint="eastAsia"/>
          <w:bCs/>
          <w:color w:val="auto"/>
          <w:szCs w:val="24"/>
          <w:highlight w:val="none"/>
        </w:rPr>
        <w:fldChar w:fldCharType="begin"/>
      </w:r>
      <w:r>
        <w:rPr>
          <w:rFonts w:hint="eastAsia"/>
          <w:bCs/>
          <w:szCs w:val="24"/>
          <w:highlight w:val="none"/>
        </w:rPr>
        <w:instrText xml:space="preserve"> HYPERLINK \l _Toc23634 </w:instrText>
      </w:r>
      <w:r>
        <w:rPr>
          <w:rFonts w:hint="eastAsia"/>
          <w:bCs/>
          <w:szCs w:val="24"/>
          <w:highlight w:val="none"/>
        </w:rPr>
        <w:fldChar w:fldCharType="separate"/>
      </w:r>
      <w:r>
        <w:rPr>
          <w:rFonts w:hint="eastAsia"/>
          <w:highlight w:val="none"/>
          <w:lang w:val="en-US"/>
        </w:rPr>
        <w:t>二  磋商文件说明</w:t>
      </w:r>
      <w:r>
        <w:tab/>
      </w:r>
      <w:r>
        <w:fldChar w:fldCharType="begin"/>
      </w:r>
      <w:r>
        <w:instrText xml:space="preserve"> PAGEREF _Toc23634 \h </w:instrText>
      </w:r>
      <w:r>
        <w:fldChar w:fldCharType="separate"/>
      </w:r>
      <w:r>
        <w:t>14</w:t>
      </w:r>
      <w:r>
        <w:fldChar w:fldCharType="end"/>
      </w:r>
      <w:r>
        <w:rPr>
          <w:rFonts w:hint="eastAsia"/>
          <w:bCs/>
          <w:color w:val="auto"/>
          <w:szCs w:val="24"/>
          <w:highlight w:val="none"/>
        </w:rPr>
        <w:fldChar w:fldCharType="end"/>
      </w:r>
    </w:p>
    <w:p w14:paraId="5B5C45EF">
      <w:pPr>
        <w:pStyle w:val="26"/>
      </w:pPr>
      <w:r>
        <w:rPr>
          <w:rFonts w:hint="eastAsia"/>
          <w:bCs/>
          <w:color w:val="auto"/>
          <w:szCs w:val="24"/>
          <w:highlight w:val="none"/>
        </w:rPr>
        <w:fldChar w:fldCharType="begin"/>
      </w:r>
      <w:r>
        <w:rPr>
          <w:rFonts w:hint="eastAsia"/>
          <w:bCs/>
          <w:szCs w:val="24"/>
          <w:highlight w:val="none"/>
        </w:rPr>
        <w:instrText xml:space="preserve"> HYPERLINK \l _Toc29164 </w:instrText>
      </w:r>
      <w:r>
        <w:rPr>
          <w:rFonts w:hint="eastAsia"/>
          <w:bCs/>
          <w:szCs w:val="24"/>
          <w:highlight w:val="none"/>
        </w:rPr>
        <w:fldChar w:fldCharType="separate"/>
      </w:r>
      <w:r>
        <w:rPr>
          <w:rFonts w:hint="eastAsia"/>
          <w:highlight w:val="none"/>
          <w:lang w:val="en-US"/>
        </w:rPr>
        <w:t>三  响应文件的编写</w:t>
      </w:r>
      <w:r>
        <w:tab/>
      </w:r>
      <w:r>
        <w:fldChar w:fldCharType="begin"/>
      </w:r>
      <w:r>
        <w:instrText xml:space="preserve"> PAGEREF _Toc29164 \h </w:instrText>
      </w:r>
      <w:r>
        <w:fldChar w:fldCharType="separate"/>
      </w:r>
      <w:r>
        <w:t>14</w:t>
      </w:r>
      <w:r>
        <w:fldChar w:fldCharType="end"/>
      </w:r>
      <w:r>
        <w:rPr>
          <w:rFonts w:hint="eastAsia"/>
          <w:bCs/>
          <w:color w:val="auto"/>
          <w:szCs w:val="24"/>
          <w:highlight w:val="none"/>
        </w:rPr>
        <w:fldChar w:fldCharType="end"/>
      </w:r>
    </w:p>
    <w:p w14:paraId="4DA93548">
      <w:pPr>
        <w:pStyle w:val="26"/>
      </w:pPr>
      <w:r>
        <w:rPr>
          <w:rFonts w:hint="eastAsia"/>
          <w:bCs/>
          <w:color w:val="auto"/>
          <w:szCs w:val="24"/>
          <w:highlight w:val="none"/>
        </w:rPr>
        <w:fldChar w:fldCharType="begin"/>
      </w:r>
      <w:r>
        <w:rPr>
          <w:rFonts w:hint="eastAsia"/>
          <w:bCs/>
          <w:szCs w:val="24"/>
          <w:highlight w:val="none"/>
        </w:rPr>
        <w:instrText xml:space="preserve"> HYPERLINK \l _Toc17408 </w:instrText>
      </w:r>
      <w:r>
        <w:rPr>
          <w:rFonts w:hint="eastAsia"/>
          <w:bCs/>
          <w:szCs w:val="24"/>
          <w:highlight w:val="none"/>
        </w:rPr>
        <w:fldChar w:fldCharType="separate"/>
      </w:r>
      <w:r>
        <w:rPr>
          <w:rFonts w:hint="eastAsia"/>
          <w:highlight w:val="none"/>
          <w:lang w:val="en-US"/>
        </w:rPr>
        <w:t>四  履约保证金</w:t>
      </w:r>
      <w:r>
        <w:tab/>
      </w:r>
      <w:r>
        <w:fldChar w:fldCharType="begin"/>
      </w:r>
      <w:r>
        <w:instrText xml:space="preserve"> PAGEREF _Toc17408 \h </w:instrText>
      </w:r>
      <w:r>
        <w:fldChar w:fldCharType="separate"/>
      </w:r>
      <w:r>
        <w:t>16</w:t>
      </w:r>
      <w:r>
        <w:fldChar w:fldCharType="end"/>
      </w:r>
      <w:r>
        <w:rPr>
          <w:rFonts w:hint="eastAsia"/>
          <w:bCs/>
          <w:color w:val="auto"/>
          <w:szCs w:val="24"/>
          <w:highlight w:val="none"/>
        </w:rPr>
        <w:fldChar w:fldCharType="end"/>
      </w:r>
    </w:p>
    <w:p w14:paraId="4888A11F">
      <w:pPr>
        <w:pStyle w:val="26"/>
      </w:pPr>
      <w:r>
        <w:rPr>
          <w:rFonts w:hint="eastAsia"/>
          <w:bCs/>
          <w:color w:val="auto"/>
          <w:szCs w:val="24"/>
          <w:highlight w:val="none"/>
        </w:rPr>
        <w:fldChar w:fldCharType="begin"/>
      </w:r>
      <w:r>
        <w:rPr>
          <w:rFonts w:hint="eastAsia"/>
          <w:bCs/>
          <w:szCs w:val="24"/>
          <w:highlight w:val="none"/>
        </w:rPr>
        <w:instrText xml:space="preserve"> HYPERLINK \l _Toc16843 </w:instrText>
      </w:r>
      <w:r>
        <w:rPr>
          <w:rFonts w:hint="eastAsia"/>
          <w:bCs/>
          <w:szCs w:val="24"/>
          <w:highlight w:val="none"/>
        </w:rPr>
        <w:fldChar w:fldCharType="separate"/>
      </w:r>
      <w:r>
        <w:rPr>
          <w:rFonts w:hint="eastAsia"/>
          <w:highlight w:val="none"/>
          <w:lang w:val="en-US"/>
        </w:rPr>
        <w:t>五  响应文件的加密、提交、修改和撤回</w:t>
      </w:r>
      <w:r>
        <w:tab/>
      </w:r>
      <w:r>
        <w:fldChar w:fldCharType="begin"/>
      </w:r>
      <w:r>
        <w:instrText xml:space="preserve"> PAGEREF _Toc16843 \h </w:instrText>
      </w:r>
      <w:r>
        <w:fldChar w:fldCharType="separate"/>
      </w:r>
      <w:r>
        <w:t>16</w:t>
      </w:r>
      <w:r>
        <w:fldChar w:fldCharType="end"/>
      </w:r>
      <w:r>
        <w:rPr>
          <w:rFonts w:hint="eastAsia"/>
          <w:bCs/>
          <w:color w:val="auto"/>
          <w:szCs w:val="24"/>
          <w:highlight w:val="none"/>
        </w:rPr>
        <w:fldChar w:fldCharType="end"/>
      </w:r>
    </w:p>
    <w:p w14:paraId="442E6BBE">
      <w:pPr>
        <w:pStyle w:val="26"/>
      </w:pPr>
      <w:r>
        <w:rPr>
          <w:rFonts w:hint="eastAsia"/>
          <w:bCs/>
          <w:color w:val="auto"/>
          <w:szCs w:val="24"/>
          <w:highlight w:val="none"/>
        </w:rPr>
        <w:fldChar w:fldCharType="begin"/>
      </w:r>
      <w:r>
        <w:rPr>
          <w:rFonts w:hint="eastAsia"/>
          <w:bCs/>
          <w:szCs w:val="24"/>
          <w:highlight w:val="none"/>
        </w:rPr>
        <w:instrText xml:space="preserve"> HYPERLINK \l _Toc9800 </w:instrText>
      </w:r>
      <w:r>
        <w:rPr>
          <w:rFonts w:hint="eastAsia"/>
          <w:bCs/>
          <w:szCs w:val="24"/>
          <w:highlight w:val="none"/>
        </w:rPr>
        <w:fldChar w:fldCharType="separate"/>
      </w:r>
      <w:r>
        <w:rPr>
          <w:rFonts w:hint="eastAsia"/>
          <w:highlight w:val="none"/>
          <w:lang w:val="en-US"/>
        </w:rPr>
        <w:t>六  磋商和评审</w:t>
      </w:r>
      <w:r>
        <w:tab/>
      </w:r>
      <w:r>
        <w:fldChar w:fldCharType="begin"/>
      </w:r>
      <w:r>
        <w:instrText xml:space="preserve"> PAGEREF _Toc9800 \h </w:instrText>
      </w:r>
      <w:r>
        <w:fldChar w:fldCharType="separate"/>
      </w:r>
      <w:r>
        <w:t>17</w:t>
      </w:r>
      <w:r>
        <w:fldChar w:fldCharType="end"/>
      </w:r>
      <w:r>
        <w:rPr>
          <w:rFonts w:hint="eastAsia"/>
          <w:bCs/>
          <w:color w:val="auto"/>
          <w:szCs w:val="24"/>
          <w:highlight w:val="none"/>
        </w:rPr>
        <w:fldChar w:fldCharType="end"/>
      </w:r>
    </w:p>
    <w:p w14:paraId="1B2FA3A3">
      <w:pPr>
        <w:pStyle w:val="26"/>
      </w:pPr>
      <w:r>
        <w:rPr>
          <w:rFonts w:hint="eastAsia"/>
          <w:bCs/>
          <w:color w:val="auto"/>
          <w:szCs w:val="24"/>
          <w:highlight w:val="none"/>
        </w:rPr>
        <w:fldChar w:fldCharType="begin"/>
      </w:r>
      <w:r>
        <w:rPr>
          <w:rFonts w:hint="eastAsia"/>
          <w:bCs/>
          <w:szCs w:val="24"/>
          <w:highlight w:val="none"/>
        </w:rPr>
        <w:instrText xml:space="preserve"> HYPERLINK \l _Toc29030 </w:instrText>
      </w:r>
      <w:r>
        <w:rPr>
          <w:rFonts w:hint="eastAsia"/>
          <w:bCs/>
          <w:szCs w:val="24"/>
          <w:highlight w:val="none"/>
        </w:rPr>
        <w:fldChar w:fldCharType="separate"/>
      </w:r>
      <w:r>
        <w:rPr>
          <w:rFonts w:hint="eastAsia"/>
          <w:highlight w:val="none"/>
          <w:lang w:val="en-US"/>
        </w:rPr>
        <w:t>七  磋商无效的情形</w:t>
      </w:r>
      <w:r>
        <w:tab/>
      </w:r>
      <w:r>
        <w:fldChar w:fldCharType="begin"/>
      </w:r>
      <w:r>
        <w:instrText xml:space="preserve"> PAGEREF _Toc29030 \h </w:instrText>
      </w:r>
      <w:r>
        <w:fldChar w:fldCharType="separate"/>
      </w:r>
      <w:r>
        <w:t>20</w:t>
      </w:r>
      <w:r>
        <w:fldChar w:fldCharType="end"/>
      </w:r>
      <w:r>
        <w:rPr>
          <w:rFonts w:hint="eastAsia"/>
          <w:bCs/>
          <w:color w:val="auto"/>
          <w:szCs w:val="24"/>
          <w:highlight w:val="none"/>
        </w:rPr>
        <w:fldChar w:fldCharType="end"/>
      </w:r>
    </w:p>
    <w:p w14:paraId="06E0A676">
      <w:pPr>
        <w:pStyle w:val="26"/>
      </w:pPr>
      <w:r>
        <w:rPr>
          <w:rFonts w:hint="eastAsia"/>
          <w:bCs/>
          <w:color w:val="auto"/>
          <w:szCs w:val="24"/>
          <w:highlight w:val="none"/>
        </w:rPr>
        <w:fldChar w:fldCharType="begin"/>
      </w:r>
      <w:r>
        <w:rPr>
          <w:rFonts w:hint="eastAsia"/>
          <w:bCs/>
          <w:szCs w:val="24"/>
          <w:highlight w:val="none"/>
        </w:rPr>
        <w:instrText xml:space="preserve"> HYPERLINK \l _Toc12224 </w:instrText>
      </w:r>
      <w:r>
        <w:rPr>
          <w:rFonts w:hint="eastAsia"/>
          <w:bCs/>
          <w:szCs w:val="24"/>
          <w:highlight w:val="none"/>
        </w:rPr>
        <w:fldChar w:fldCharType="separate"/>
      </w:r>
      <w:r>
        <w:rPr>
          <w:rFonts w:hint="eastAsia"/>
          <w:highlight w:val="none"/>
          <w:lang w:val="en-US"/>
        </w:rPr>
        <w:t>八  法律责任</w:t>
      </w:r>
      <w:r>
        <w:tab/>
      </w:r>
      <w:r>
        <w:fldChar w:fldCharType="begin"/>
      </w:r>
      <w:r>
        <w:instrText xml:space="preserve"> PAGEREF _Toc12224 \h </w:instrText>
      </w:r>
      <w:r>
        <w:fldChar w:fldCharType="separate"/>
      </w:r>
      <w:r>
        <w:t>21</w:t>
      </w:r>
      <w:r>
        <w:fldChar w:fldCharType="end"/>
      </w:r>
      <w:r>
        <w:rPr>
          <w:rFonts w:hint="eastAsia"/>
          <w:bCs/>
          <w:color w:val="auto"/>
          <w:szCs w:val="24"/>
          <w:highlight w:val="none"/>
        </w:rPr>
        <w:fldChar w:fldCharType="end"/>
      </w:r>
    </w:p>
    <w:p w14:paraId="7AF54056">
      <w:pPr>
        <w:pStyle w:val="26"/>
      </w:pPr>
      <w:r>
        <w:rPr>
          <w:rFonts w:hint="eastAsia"/>
          <w:bCs/>
          <w:color w:val="auto"/>
          <w:szCs w:val="24"/>
          <w:highlight w:val="none"/>
        </w:rPr>
        <w:fldChar w:fldCharType="begin"/>
      </w:r>
      <w:r>
        <w:rPr>
          <w:rFonts w:hint="eastAsia"/>
          <w:bCs/>
          <w:szCs w:val="24"/>
          <w:highlight w:val="none"/>
        </w:rPr>
        <w:instrText xml:space="preserve"> HYPERLINK \l _Toc14657 </w:instrText>
      </w:r>
      <w:r>
        <w:rPr>
          <w:rFonts w:hint="eastAsia"/>
          <w:bCs/>
          <w:szCs w:val="24"/>
          <w:highlight w:val="none"/>
        </w:rPr>
        <w:fldChar w:fldCharType="separate"/>
      </w:r>
      <w:r>
        <w:rPr>
          <w:rFonts w:hint="eastAsia"/>
          <w:highlight w:val="none"/>
          <w:lang w:val="en-US"/>
        </w:rPr>
        <w:t>九  询问</w:t>
      </w:r>
      <w:r>
        <w:tab/>
      </w:r>
      <w:r>
        <w:fldChar w:fldCharType="begin"/>
      </w:r>
      <w:r>
        <w:instrText xml:space="preserve"> PAGEREF _Toc14657 \h </w:instrText>
      </w:r>
      <w:r>
        <w:fldChar w:fldCharType="separate"/>
      </w:r>
      <w:r>
        <w:t>22</w:t>
      </w:r>
      <w:r>
        <w:fldChar w:fldCharType="end"/>
      </w:r>
      <w:r>
        <w:rPr>
          <w:rFonts w:hint="eastAsia"/>
          <w:bCs/>
          <w:color w:val="auto"/>
          <w:szCs w:val="24"/>
          <w:highlight w:val="none"/>
        </w:rPr>
        <w:fldChar w:fldCharType="end"/>
      </w:r>
    </w:p>
    <w:p w14:paraId="076D1891">
      <w:pPr>
        <w:pStyle w:val="26"/>
      </w:pPr>
      <w:r>
        <w:rPr>
          <w:rFonts w:hint="eastAsia"/>
          <w:bCs/>
          <w:color w:val="auto"/>
          <w:szCs w:val="24"/>
          <w:highlight w:val="none"/>
        </w:rPr>
        <w:fldChar w:fldCharType="begin"/>
      </w:r>
      <w:r>
        <w:rPr>
          <w:rFonts w:hint="eastAsia"/>
          <w:bCs/>
          <w:szCs w:val="24"/>
          <w:highlight w:val="none"/>
        </w:rPr>
        <w:instrText xml:space="preserve"> HYPERLINK \l _Toc9213 </w:instrText>
      </w:r>
      <w:r>
        <w:rPr>
          <w:rFonts w:hint="eastAsia"/>
          <w:bCs/>
          <w:szCs w:val="24"/>
          <w:highlight w:val="none"/>
        </w:rPr>
        <w:fldChar w:fldCharType="separate"/>
      </w:r>
      <w:r>
        <w:rPr>
          <w:rFonts w:hint="eastAsia"/>
          <w:highlight w:val="none"/>
          <w:lang w:val="en-US"/>
        </w:rPr>
        <w:t>十  质疑</w:t>
      </w:r>
      <w:r>
        <w:tab/>
      </w:r>
      <w:r>
        <w:fldChar w:fldCharType="begin"/>
      </w:r>
      <w:r>
        <w:instrText xml:space="preserve"> PAGEREF _Toc9213 \h </w:instrText>
      </w:r>
      <w:r>
        <w:fldChar w:fldCharType="separate"/>
      </w:r>
      <w:r>
        <w:t>23</w:t>
      </w:r>
      <w:r>
        <w:fldChar w:fldCharType="end"/>
      </w:r>
      <w:r>
        <w:rPr>
          <w:rFonts w:hint="eastAsia"/>
          <w:bCs/>
          <w:color w:val="auto"/>
          <w:szCs w:val="24"/>
          <w:highlight w:val="none"/>
        </w:rPr>
        <w:fldChar w:fldCharType="end"/>
      </w:r>
    </w:p>
    <w:p w14:paraId="6D0F4B26">
      <w:pPr>
        <w:pStyle w:val="26"/>
      </w:pPr>
      <w:r>
        <w:rPr>
          <w:rFonts w:hint="eastAsia"/>
          <w:bCs/>
          <w:color w:val="auto"/>
          <w:szCs w:val="24"/>
          <w:highlight w:val="none"/>
        </w:rPr>
        <w:fldChar w:fldCharType="begin"/>
      </w:r>
      <w:r>
        <w:rPr>
          <w:rFonts w:hint="eastAsia"/>
          <w:bCs/>
          <w:szCs w:val="24"/>
          <w:highlight w:val="none"/>
        </w:rPr>
        <w:instrText xml:space="preserve"> HYPERLINK \l _Toc3901 </w:instrText>
      </w:r>
      <w:r>
        <w:rPr>
          <w:rFonts w:hint="eastAsia"/>
          <w:bCs/>
          <w:szCs w:val="24"/>
          <w:highlight w:val="none"/>
        </w:rPr>
        <w:fldChar w:fldCharType="separate"/>
      </w:r>
      <w:r>
        <w:rPr>
          <w:rFonts w:hint="eastAsia"/>
          <w:highlight w:val="none"/>
          <w:lang w:val="en-US"/>
        </w:rPr>
        <w:t>十一  投诉</w:t>
      </w:r>
      <w:r>
        <w:tab/>
      </w:r>
      <w:r>
        <w:fldChar w:fldCharType="begin"/>
      </w:r>
      <w:r>
        <w:instrText xml:space="preserve"> PAGEREF _Toc3901 \h </w:instrText>
      </w:r>
      <w:r>
        <w:fldChar w:fldCharType="separate"/>
      </w:r>
      <w:r>
        <w:t>24</w:t>
      </w:r>
      <w:r>
        <w:fldChar w:fldCharType="end"/>
      </w:r>
      <w:r>
        <w:rPr>
          <w:rFonts w:hint="eastAsia"/>
          <w:bCs/>
          <w:color w:val="auto"/>
          <w:szCs w:val="24"/>
          <w:highlight w:val="none"/>
        </w:rPr>
        <w:fldChar w:fldCharType="end"/>
      </w:r>
    </w:p>
    <w:p w14:paraId="20D50CC2">
      <w:pPr>
        <w:pStyle w:val="26"/>
      </w:pPr>
      <w:r>
        <w:rPr>
          <w:rFonts w:hint="eastAsia"/>
          <w:bCs/>
          <w:color w:val="auto"/>
          <w:szCs w:val="24"/>
          <w:highlight w:val="none"/>
        </w:rPr>
        <w:fldChar w:fldCharType="begin"/>
      </w:r>
      <w:r>
        <w:rPr>
          <w:rFonts w:hint="eastAsia"/>
          <w:bCs/>
          <w:szCs w:val="24"/>
          <w:highlight w:val="none"/>
        </w:rPr>
        <w:instrText xml:space="preserve"> HYPERLINK \l _Toc18321 </w:instrText>
      </w:r>
      <w:r>
        <w:rPr>
          <w:rFonts w:hint="eastAsia"/>
          <w:bCs/>
          <w:szCs w:val="24"/>
          <w:highlight w:val="none"/>
        </w:rPr>
        <w:fldChar w:fldCharType="separate"/>
      </w:r>
      <w:r>
        <w:rPr>
          <w:rFonts w:hint="eastAsia"/>
          <w:highlight w:val="none"/>
          <w:lang w:val="en-US"/>
        </w:rPr>
        <w:t>十二  授予合同</w:t>
      </w:r>
      <w:r>
        <w:tab/>
      </w:r>
      <w:r>
        <w:fldChar w:fldCharType="begin"/>
      </w:r>
      <w:r>
        <w:instrText xml:space="preserve"> PAGEREF _Toc18321 \h </w:instrText>
      </w:r>
      <w:r>
        <w:fldChar w:fldCharType="separate"/>
      </w:r>
      <w:r>
        <w:t>24</w:t>
      </w:r>
      <w:r>
        <w:fldChar w:fldCharType="end"/>
      </w:r>
      <w:r>
        <w:rPr>
          <w:rFonts w:hint="eastAsia"/>
          <w:bCs/>
          <w:color w:val="auto"/>
          <w:szCs w:val="24"/>
          <w:highlight w:val="none"/>
        </w:rPr>
        <w:fldChar w:fldCharType="end"/>
      </w:r>
    </w:p>
    <w:p w14:paraId="4A96A642">
      <w:pPr>
        <w:pStyle w:val="26"/>
      </w:pPr>
      <w:r>
        <w:rPr>
          <w:rFonts w:hint="eastAsia"/>
          <w:bCs/>
          <w:color w:val="auto"/>
          <w:szCs w:val="24"/>
          <w:highlight w:val="none"/>
        </w:rPr>
        <w:fldChar w:fldCharType="begin"/>
      </w:r>
      <w:r>
        <w:rPr>
          <w:rFonts w:hint="eastAsia"/>
          <w:bCs/>
          <w:szCs w:val="24"/>
          <w:highlight w:val="none"/>
        </w:rPr>
        <w:instrText xml:space="preserve"> HYPERLINK \l _Toc31501 </w:instrText>
      </w:r>
      <w:r>
        <w:rPr>
          <w:rFonts w:hint="eastAsia"/>
          <w:bCs/>
          <w:szCs w:val="24"/>
          <w:highlight w:val="none"/>
        </w:rPr>
        <w:fldChar w:fldCharType="separate"/>
      </w:r>
      <w:r>
        <w:rPr>
          <w:rFonts w:hint="eastAsia"/>
          <w:highlight w:val="none"/>
          <w:lang w:val="en-US"/>
        </w:rPr>
        <w:t>十三  验收</w:t>
      </w:r>
      <w:r>
        <w:tab/>
      </w:r>
      <w:r>
        <w:fldChar w:fldCharType="begin"/>
      </w:r>
      <w:r>
        <w:instrText xml:space="preserve"> PAGEREF _Toc31501 \h </w:instrText>
      </w:r>
      <w:r>
        <w:fldChar w:fldCharType="separate"/>
      </w:r>
      <w:r>
        <w:t>25</w:t>
      </w:r>
      <w:r>
        <w:fldChar w:fldCharType="end"/>
      </w:r>
      <w:r>
        <w:rPr>
          <w:rFonts w:hint="eastAsia"/>
          <w:bCs/>
          <w:color w:val="auto"/>
          <w:szCs w:val="24"/>
          <w:highlight w:val="none"/>
        </w:rPr>
        <w:fldChar w:fldCharType="end"/>
      </w:r>
    </w:p>
    <w:p w14:paraId="6AEA6323">
      <w:pPr>
        <w:pStyle w:val="26"/>
      </w:pPr>
      <w:r>
        <w:rPr>
          <w:rFonts w:hint="eastAsia"/>
          <w:bCs/>
          <w:color w:val="auto"/>
          <w:szCs w:val="24"/>
          <w:highlight w:val="none"/>
        </w:rPr>
        <w:fldChar w:fldCharType="begin"/>
      </w:r>
      <w:r>
        <w:rPr>
          <w:rFonts w:hint="eastAsia"/>
          <w:bCs/>
          <w:szCs w:val="24"/>
          <w:highlight w:val="none"/>
        </w:rPr>
        <w:instrText xml:space="preserve"> HYPERLINK \l _Toc11044 </w:instrText>
      </w:r>
      <w:r>
        <w:rPr>
          <w:rFonts w:hint="eastAsia"/>
          <w:bCs/>
          <w:szCs w:val="24"/>
          <w:highlight w:val="none"/>
        </w:rPr>
        <w:fldChar w:fldCharType="separate"/>
      </w:r>
      <w:r>
        <w:rPr>
          <w:rFonts w:hint="eastAsia"/>
          <w:highlight w:val="none"/>
          <w:lang w:val="en-US"/>
        </w:rPr>
        <w:t>十四  政府采购政策</w:t>
      </w:r>
      <w:r>
        <w:tab/>
      </w:r>
      <w:r>
        <w:fldChar w:fldCharType="begin"/>
      </w:r>
      <w:r>
        <w:instrText xml:space="preserve"> PAGEREF _Toc11044 \h </w:instrText>
      </w:r>
      <w:r>
        <w:fldChar w:fldCharType="separate"/>
      </w:r>
      <w:r>
        <w:t>25</w:t>
      </w:r>
      <w:r>
        <w:fldChar w:fldCharType="end"/>
      </w:r>
      <w:r>
        <w:rPr>
          <w:rFonts w:hint="eastAsia"/>
          <w:bCs/>
          <w:color w:val="auto"/>
          <w:szCs w:val="24"/>
          <w:highlight w:val="none"/>
        </w:rPr>
        <w:fldChar w:fldCharType="end"/>
      </w:r>
    </w:p>
    <w:p w14:paraId="7BF8EA99">
      <w:pPr>
        <w:pStyle w:val="26"/>
      </w:pPr>
      <w:r>
        <w:rPr>
          <w:rFonts w:hint="eastAsia"/>
          <w:bCs/>
          <w:color w:val="auto"/>
          <w:szCs w:val="24"/>
          <w:highlight w:val="none"/>
        </w:rPr>
        <w:fldChar w:fldCharType="begin"/>
      </w:r>
      <w:r>
        <w:rPr>
          <w:rFonts w:hint="eastAsia"/>
          <w:bCs/>
          <w:szCs w:val="24"/>
          <w:highlight w:val="none"/>
        </w:rPr>
        <w:instrText xml:space="preserve"> HYPERLINK \l _Toc23407 </w:instrText>
      </w:r>
      <w:r>
        <w:rPr>
          <w:rFonts w:hint="eastAsia"/>
          <w:bCs/>
          <w:szCs w:val="24"/>
          <w:highlight w:val="none"/>
        </w:rPr>
        <w:fldChar w:fldCharType="separate"/>
      </w:r>
      <w:r>
        <w:rPr>
          <w:rFonts w:hint="eastAsia"/>
          <w:highlight w:val="none"/>
          <w:lang w:val="en-US"/>
        </w:rPr>
        <w:t>十</w:t>
      </w:r>
      <w:r>
        <w:rPr>
          <w:rFonts w:hint="eastAsia"/>
          <w:highlight w:val="none"/>
          <w:lang w:val="en-US" w:eastAsia="zh-CN"/>
        </w:rPr>
        <w:t>五</w:t>
      </w:r>
      <w:r>
        <w:rPr>
          <w:rFonts w:hint="eastAsia"/>
          <w:highlight w:val="none"/>
          <w:lang w:val="en-US"/>
        </w:rPr>
        <w:t xml:space="preserve">  其他事项</w:t>
      </w:r>
      <w:r>
        <w:tab/>
      </w:r>
      <w:r>
        <w:fldChar w:fldCharType="begin"/>
      </w:r>
      <w:r>
        <w:instrText xml:space="preserve"> PAGEREF _Toc23407 \h </w:instrText>
      </w:r>
      <w:r>
        <w:fldChar w:fldCharType="separate"/>
      </w:r>
      <w:r>
        <w:t>26</w:t>
      </w:r>
      <w:r>
        <w:fldChar w:fldCharType="end"/>
      </w:r>
      <w:r>
        <w:rPr>
          <w:rFonts w:hint="eastAsia"/>
          <w:bCs/>
          <w:color w:val="auto"/>
          <w:szCs w:val="24"/>
          <w:highlight w:val="none"/>
        </w:rPr>
        <w:fldChar w:fldCharType="end"/>
      </w:r>
    </w:p>
    <w:p w14:paraId="355DCB0E">
      <w:pPr>
        <w:pStyle w:val="22"/>
      </w:pPr>
      <w:r>
        <w:rPr>
          <w:rFonts w:hint="eastAsia"/>
          <w:bCs/>
          <w:color w:val="auto"/>
          <w:szCs w:val="24"/>
          <w:highlight w:val="none"/>
        </w:rPr>
        <w:fldChar w:fldCharType="begin"/>
      </w:r>
      <w:r>
        <w:rPr>
          <w:rFonts w:hint="eastAsia"/>
          <w:bCs/>
          <w:szCs w:val="24"/>
          <w:highlight w:val="none"/>
        </w:rPr>
        <w:instrText xml:space="preserve"> HYPERLINK \l _Toc26698 </w:instrText>
      </w:r>
      <w:r>
        <w:rPr>
          <w:rFonts w:hint="eastAsia"/>
          <w:bCs/>
          <w:szCs w:val="24"/>
          <w:highlight w:val="none"/>
        </w:rPr>
        <w:fldChar w:fldCharType="separate"/>
      </w:r>
      <w:r>
        <w:rPr>
          <w:rFonts w:hint="eastAsia"/>
          <w:highlight w:val="none"/>
        </w:rPr>
        <w:t>第四章 政府采购合同格式</w:t>
      </w:r>
      <w:r>
        <w:tab/>
      </w:r>
      <w:r>
        <w:fldChar w:fldCharType="begin"/>
      </w:r>
      <w:r>
        <w:instrText xml:space="preserve"> PAGEREF _Toc26698 \h </w:instrText>
      </w:r>
      <w:r>
        <w:fldChar w:fldCharType="separate"/>
      </w:r>
      <w:r>
        <w:t>27</w:t>
      </w:r>
      <w:r>
        <w:fldChar w:fldCharType="end"/>
      </w:r>
      <w:r>
        <w:rPr>
          <w:rFonts w:hint="eastAsia"/>
          <w:bCs/>
          <w:color w:val="auto"/>
          <w:szCs w:val="24"/>
          <w:highlight w:val="none"/>
        </w:rPr>
        <w:fldChar w:fldCharType="end"/>
      </w:r>
    </w:p>
    <w:p w14:paraId="3BF1C5E4">
      <w:pPr>
        <w:pStyle w:val="22"/>
      </w:pPr>
      <w:r>
        <w:rPr>
          <w:rFonts w:hint="eastAsia"/>
          <w:bCs/>
          <w:color w:val="auto"/>
          <w:szCs w:val="24"/>
          <w:highlight w:val="none"/>
        </w:rPr>
        <w:fldChar w:fldCharType="begin"/>
      </w:r>
      <w:r>
        <w:rPr>
          <w:rFonts w:hint="eastAsia"/>
          <w:bCs/>
          <w:szCs w:val="24"/>
          <w:highlight w:val="none"/>
        </w:rPr>
        <w:instrText xml:space="preserve"> HYPERLINK \l _Toc2610 </w:instrText>
      </w:r>
      <w:r>
        <w:rPr>
          <w:rFonts w:hint="eastAsia"/>
          <w:bCs/>
          <w:szCs w:val="24"/>
          <w:highlight w:val="none"/>
        </w:rPr>
        <w:fldChar w:fldCharType="separate"/>
      </w:r>
      <w:r>
        <w:rPr>
          <w:rFonts w:hint="eastAsia"/>
          <w:highlight w:val="none"/>
        </w:rPr>
        <w:t>第五章</w:t>
      </w:r>
      <w:r>
        <w:rPr>
          <w:rFonts w:hint="eastAsia"/>
          <w:highlight w:val="none"/>
          <w:lang w:val="en-US"/>
        </w:rPr>
        <w:t xml:space="preserve"> </w:t>
      </w:r>
      <w:r>
        <w:rPr>
          <w:rFonts w:hint="eastAsia"/>
          <w:highlight w:val="none"/>
        </w:rPr>
        <w:t>磋商相关文件格式</w:t>
      </w:r>
      <w:r>
        <w:tab/>
      </w:r>
      <w:r>
        <w:fldChar w:fldCharType="begin"/>
      </w:r>
      <w:r>
        <w:instrText xml:space="preserve"> PAGEREF _Toc2610 \h </w:instrText>
      </w:r>
      <w:r>
        <w:fldChar w:fldCharType="separate"/>
      </w:r>
      <w:r>
        <w:t>33</w:t>
      </w:r>
      <w:r>
        <w:fldChar w:fldCharType="end"/>
      </w:r>
      <w:r>
        <w:rPr>
          <w:rFonts w:hint="eastAsia"/>
          <w:bCs/>
          <w:color w:val="auto"/>
          <w:szCs w:val="24"/>
          <w:highlight w:val="none"/>
        </w:rPr>
        <w:fldChar w:fldCharType="end"/>
      </w:r>
    </w:p>
    <w:p w14:paraId="2B2FBAE6">
      <w:pPr>
        <w:pStyle w:val="26"/>
      </w:pPr>
      <w:r>
        <w:rPr>
          <w:rFonts w:hint="eastAsia"/>
          <w:bCs/>
          <w:color w:val="auto"/>
          <w:szCs w:val="24"/>
          <w:highlight w:val="none"/>
        </w:rPr>
        <w:fldChar w:fldCharType="begin"/>
      </w:r>
      <w:r>
        <w:rPr>
          <w:rFonts w:hint="eastAsia"/>
          <w:bCs/>
          <w:szCs w:val="24"/>
          <w:highlight w:val="none"/>
        </w:rPr>
        <w:instrText xml:space="preserve"> HYPERLINK \l _Toc9725 </w:instrText>
      </w:r>
      <w:r>
        <w:rPr>
          <w:rFonts w:hint="eastAsia"/>
          <w:bCs/>
          <w:szCs w:val="24"/>
          <w:highlight w:val="none"/>
        </w:rPr>
        <w:fldChar w:fldCharType="separate"/>
      </w:r>
      <w:r>
        <w:rPr>
          <w:rFonts w:hint="eastAsia"/>
          <w:highlight w:val="none"/>
        </w:rPr>
        <w:t>一</w:t>
      </w:r>
      <w:r>
        <w:rPr>
          <w:rFonts w:hint="eastAsia"/>
          <w:highlight w:val="none"/>
          <w:lang w:val="en-US"/>
        </w:rPr>
        <w:t xml:space="preserve"> </w:t>
      </w:r>
      <w:r>
        <w:rPr>
          <w:rFonts w:hint="eastAsia"/>
          <w:highlight w:val="none"/>
        </w:rPr>
        <w:t>资格审查文件格式</w:t>
      </w:r>
      <w:r>
        <w:tab/>
      </w:r>
      <w:r>
        <w:fldChar w:fldCharType="begin"/>
      </w:r>
      <w:r>
        <w:instrText xml:space="preserve"> PAGEREF _Toc9725 \h </w:instrText>
      </w:r>
      <w:r>
        <w:fldChar w:fldCharType="separate"/>
      </w:r>
      <w:r>
        <w:t>33</w:t>
      </w:r>
      <w:r>
        <w:fldChar w:fldCharType="end"/>
      </w:r>
      <w:r>
        <w:rPr>
          <w:rFonts w:hint="eastAsia"/>
          <w:bCs/>
          <w:color w:val="auto"/>
          <w:szCs w:val="24"/>
          <w:highlight w:val="none"/>
        </w:rPr>
        <w:fldChar w:fldCharType="end"/>
      </w:r>
    </w:p>
    <w:p w14:paraId="5F27A987">
      <w:pPr>
        <w:pStyle w:val="26"/>
      </w:pPr>
      <w:r>
        <w:rPr>
          <w:rFonts w:hint="eastAsia"/>
          <w:bCs/>
          <w:color w:val="auto"/>
          <w:szCs w:val="24"/>
          <w:highlight w:val="none"/>
        </w:rPr>
        <w:fldChar w:fldCharType="begin"/>
      </w:r>
      <w:r>
        <w:rPr>
          <w:rFonts w:hint="eastAsia"/>
          <w:bCs/>
          <w:szCs w:val="24"/>
          <w:highlight w:val="none"/>
        </w:rPr>
        <w:instrText xml:space="preserve"> HYPERLINK \l _Toc7145 </w:instrText>
      </w:r>
      <w:r>
        <w:rPr>
          <w:rFonts w:hint="eastAsia"/>
          <w:bCs/>
          <w:szCs w:val="24"/>
          <w:highlight w:val="none"/>
        </w:rPr>
        <w:fldChar w:fldCharType="separate"/>
      </w:r>
      <w:r>
        <w:rPr>
          <w:rFonts w:hint="eastAsia"/>
          <w:highlight w:val="none"/>
        </w:rPr>
        <w:t>二</w:t>
      </w:r>
      <w:r>
        <w:rPr>
          <w:rFonts w:hint="eastAsia"/>
          <w:highlight w:val="none"/>
          <w:lang w:val="en-US"/>
        </w:rPr>
        <w:t xml:space="preserve"> </w:t>
      </w:r>
      <w:r>
        <w:rPr>
          <w:rFonts w:hint="eastAsia"/>
          <w:highlight w:val="none"/>
        </w:rPr>
        <w:t>资信商务及技术文件格式</w:t>
      </w:r>
      <w:r>
        <w:tab/>
      </w:r>
      <w:r>
        <w:fldChar w:fldCharType="begin"/>
      </w:r>
      <w:r>
        <w:instrText xml:space="preserve"> PAGEREF _Toc7145 \h </w:instrText>
      </w:r>
      <w:r>
        <w:fldChar w:fldCharType="separate"/>
      </w:r>
      <w:r>
        <w:t>45</w:t>
      </w:r>
      <w:r>
        <w:fldChar w:fldCharType="end"/>
      </w:r>
      <w:r>
        <w:rPr>
          <w:rFonts w:hint="eastAsia"/>
          <w:bCs/>
          <w:color w:val="auto"/>
          <w:szCs w:val="24"/>
          <w:highlight w:val="none"/>
        </w:rPr>
        <w:fldChar w:fldCharType="end"/>
      </w:r>
    </w:p>
    <w:p w14:paraId="6DA8AEA7">
      <w:pPr>
        <w:pStyle w:val="26"/>
      </w:pPr>
      <w:r>
        <w:rPr>
          <w:rFonts w:hint="eastAsia"/>
          <w:bCs/>
          <w:color w:val="auto"/>
          <w:szCs w:val="24"/>
          <w:highlight w:val="none"/>
        </w:rPr>
        <w:fldChar w:fldCharType="begin"/>
      </w:r>
      <w:r>
        <w:rPr>
          <w:rFonts w:hint="eastAsia"/>
          <w:bCs/>
          <w:szCs w:val="24"/>
          <w:highlight w:val="none"/>
        </w:rPr>
        <w:instrText xml:space="preserve"> HYPERLINK \l _Toc29048 </w:instrText>
      </w:r>
      <w:r>
        <w:rPr>
          <w:rFonts w:hint="eastAsia"/>
          <w:bCs/>
          <w:szCs w:val="24"/>
          <w:highlight w:val="none"/>
        </w:rPr>
        <w:fldChar w:fldCharType="separate"/>
      </w:r>
      <w:r>
        <w:rPr>
          <w:rFonts w:hint="eastAsia"/>
          <w:highlight w:val="none"/>
        </w:rPr>
        <w:t>三</w:t>
      </w:r>
      <w:r>
        <w:rPr>
          <w:rFonts w:hint="eastAsia"/>
          <w:highlight w:val="none"/>
          <w:lang w:val="en-US"/>
        </w:rPr>
        <w:t xml:space="preserve"> </w:t>
      </w:r>
      <w:r>
        <w:rPr>
          <w:rFonts w:hint="eastAsia"/>
          <w:highlight w:val="none"/>
        </w:rPr>
        <w:t>报价文件格式</w:t>
      </w:r>
      <w:r>
        <w:tab/>
      </w:r>
      <w:r>
        <w:fldChar w:fldCharType="begin"/>
      </w:r>
      <w:r>
        <w:instrText xml:space="preserve"> PAGEREF _Toc29048 \h </w:instrText>
      </w:r>
      <w:r>
        <w:fldChar w:fldCharType="separate"/>
      </w:r>
      <w:r>
        <w:t>56</w:t>
      </w:r>
      <w:r>
        <w:fldChar w:fldCharType="end"/>
      </w:r>
      <w:r>
        <w:rPr>
          <w:rFonts w:hint="eastAsia"/>
          <w:bCs/>
          <w:color w:val="auto"/>
          <w:szCs w:val="24"/>
          <w:highlight w:val="none"/>
        </w:rPr>
        <w:fldChar w:fldCharType="end"/>
      </w:r>
    </w:p>
    <w:p w14:paraId="099353A1">
      <w:pPr>
        <w:pStyle w:val="26"/>
      </w:pPr>
      <w:r>
        <w:rPr>
          <w:rFonts w:hint="eastAsia"/>
          <w:bCs/>
          <w:color w:val="auto"/>
          <w:szCs w:val="24"/>
          <w:highlight w:val="none"/>
        </w:rPr>
        <w:fldChar w:fldCharType="begin"/>
      </w:r>
      <w:r>
        <w:rPr>
          <w:rFonts w:hint="eastAsia"/>
          <w:bCs/>
          <w:szCs w:val="24"/>
          <w:highlight w:val="none"/>
        </w:rPr>
        <w:instrText xml:space="preserve"> HYPERLINK \l _Toc7745 </w:instrText>
      </w:r>
      <w:r>
        <w:rPr>
          <w:rFonts w:hint="eastAsia"/>
          <w:bCs/>
          <w:szCs w:val="24"/>
          <w:highlight w:val="none"/>
        </w:rPr>
        <w:fldChar w:fldCharType="separate"/>
      </w:r>
      <w:r>
        <w:rPr>
          <w:rFonts w:hint="eastAsia"/>
          <w:highlight w:val="none"/>
        </w:rPr>
        <w:t>四</w:t>
      </w:r>
      <w:r>
        <w:rPr>
          <w:rFonts w:hint="eastAsia"/>
          <w:highlight w:val="none"/>
          <w:lang w:val="en-US"/>
        </w:rPr>
        <w:t xml:space="preserve"> </w:t>
      </w:r>
      <w:r>
        <w:rPr>
          <w:rFonts w:hint="eastAsia"/>
          <w:highlight w:val="none"/>
        </w:rPr>
        <w:t>现场确认声明书</w:t>
      </w:r>
      <w:r>
        <w:tab/>
      </w:r>
      <w:r>
        <w:fldChar w:fldCharType="begin"/>
      </w:r>
      <w:r>
        <w:instrText xml:space="preserve"> PAGEREF _Toc7745 \h </w:instrText>
      </w:r>
      <w:r>
        <w:fldChar w:fldCharType="separate"/>
      </w:r>
      <w:r>
        <w:t>61</w:t>
      </w:r>
      <w:r>
        <w:fldChar w:fldCharType="end"/>
      </w:r>
      <w:r>
        <w:rPr>
          <w:rFonts w:hint="eastAsia"/>
          <w:bCs/>
          <w:color w:val="auto"/>
          <w:szCs w:val="24"/>
          <w:highlight w:val="none"/>
        </w:rPr>
        <w:fldChar w:fldCharType="end"/>
      </w:r>
    </w:p>
    <w:p w14:paraId="646DFC5D">
      <w:pPr>
        <w:pStyle w:val="22"/>
      </w:pPr>
      <w:r>
        <w:rPr>
          <w:rFonts w:hint="eastAsia"/>
          <w:bCs/>
          <w:color w:val="auto"/>
          <w:szCs w:val="24"/>
          <w:highlight w:val="none"/>
        </w:rPr>
        <w:fldChar w:fldCharType="begin"/>
      </w:r>
      <w:r>
        <w:rPr>
          <w:rFonts w:hint="eastAsia"/>
          <w:bCs/>
          <w:szCs w:val="24"/>
          <w:highlight w:val="none"/>
        </w:rPr>
        <w:instrText xml:space="preserve"> HYPERLINK \l _Toc27830 </w:instrText>
      </w:r>
      <w:r>
        <w:rPr>
          <w:rFonts w:hint="eastAsia"/>
          <w:bCs/>
          <w:szCs w:val="24"/>
          <w:highlight w:val="none"/>
        </w:rPr>
        <w:fldChar w:fldCharType="separate"/>
      </w:r>
      <w:r>
        <w:rPr>
          <w:rFonts w:hint="eastAsia"/>
          <w:highlight w:val="none"/>
        </w:rPr>
        <w:t>第六章</w:t>
      </w:r>
      <w:r>
        <w:rPr>
          <w:rFonts w:hint="eastAsia"/>
          <w:highlight w:val="none"/>
          <w:lang w:val="en-US"/>
        </w:rPr>
        <w:t xml:space="preserve"> </w:t>
      </w:r>
      <w:r>
        <w:rPr>
          <w:rFonts w:hint="eastAsia"/>
          <w:highlight w:val="none"/>
        </w:rPr>
        <w:t>评标办法和细则</w:t>
      </w:r>
      <w:r>
        <w:tab/>
      </w:r>
      <w:r>
        <w:fldChar w:fldCharType="begin"/>
      </w:r>
      <w:r>
        <w:instrText xml:space="preserve"> PAGEREF _Toc27830 \h </w:instrText>
      </w:r>
      <w:r>
        <w:fldChar w:fldCharType="separate"/>
      </w:r>
      <w:r>
        <w:t>62</w:t>
      </w:r>
      <w:r>
        <w:fldChar w:fldCharType="end"/>
      </w:r>
      <w:r>
        <w:rPr>
          <w:rFonts w:hint="eastAsia"/>
          <w:bCs/>
          <w:color w:val="auto"/>
          <w:szCs w:val="24"/>
          <w:highlight w:val="none"/>
        </w:rPr>
        <w:fldChar w:fldCharType="end"/>
      </w:r>
    </w:p>
    <w:p w14:paraId="2CA8CDDC">
      <w:pPr>
        <w:pStyle w:val="26"/>
      </w:pPr>
      <w:r>
        <w:rPr>
          <w:rFonts w:hint="eastAsia"/>
          <w:bCs/>
          <w:color w:val="auto"/>
          <w:szCs w:val="24"/>
          <w:highlight w:val="none"/>
        </w:rPr>
        <w:fldChar w:fldCharType="begin"/>
      </w:r>
      <w:r>
        <w:rPr>
          <w:rFonts w:hint="eastAsia"/>
          <w:bCs/>
          <w:szCs w:val="24"/>
          <w:highlight w:val="none"/>
        </w:rPr>
        <w:instrText xml:space="preserve"> HYPERLINK \l _Toc11097 </w:instrText>
      </w:r>
      <w:r>
        <w:rPr>
          <w:rFonts w:hint="eastAsia"/>
          <w:bCs/>
          <w:szCs w:val="24"/>
          <w:highlight w:val="none"/>
        </w:rPr>
        <w:fldChar w:fldCharType="separate"/>
      </w:r>
      <w:r>
        <w:rPr>
          <w:rFonts w:hint="eastAsia"/>
          <w:highlight w:val="none"/>
        </w:rPr>
        <w:t>一   总则</w:t>
      </w:r>
      <w:r>
        <w:tab/>
      </w:r>
      <w:r>
        <w:fldChar w:fldCharType="begin"/>
      </w:r>
      <w:r>
        <w:instrText xml:space="preserve"> PAGEREF _Toc11097 \h </w:instrText>
      </w:r>
      <w:r>
        <w:fldChar w:fldCharType="separate"/>
      </w:r>
      <w:r>
        <w:t>62</w:t>
      </w:r>
      <w:r>
        <w:fldChar w:fldCharType="end"/>
      </w:r>
      <w:r>
        <w:rPr>
          <w:rFonts w:hint="eastAsia"/>
          <w:bCs/>
          <w:color w:val="auto"/>
          <w:szCs w:val="24"/>
          <w:highlight w:val="none"/>
        </w:rPr>
        <w:fldChar w:fldCharType="end"/>
      </w:r>
    </w:p>
    <w:p w14:paraId="52E0BE66">
      <w:pPr>
        <w:pStyle w:val="26"/>
      </w:pPr>
      <w:r>
        <w:rPr>
          <w:rFonts w:hint="eastAsia"/>
          <w:bCs/>
          <w:color w:val="auto"/>
          <w:szCs w:val="24"/>
          <w:highlight w:val="none"/>
        </w:rPr>
        <w:fldChar w:fldCharType="begin"/>
      </w:r>
      <w:r>
        <w:rPr>
          <w:rFonts w:hint="eastAsia"/>
          <w:bCs/>
          <w:szCs w:val="24"/>
          <w:highlight w:val="none"/>
        </w:rPr>
        <w:instrText xml:space="preserve"> HYPERLINK \l _Toc14362 </w:instrText>
      </w:r>
      <w:r>
        <w:rPr>
          <w:rFonts w:hint="eastAsia"/>
          <w:bCs/>
          <w:szCs w:val="24"/>
          <w:highlight w:val="none"/>
        </w:rPr>
        <w:fldChar w:fldCharType="separate"/>
      </w:r>
      <w:r>
        <w:rPr>
          <w:rFonts w:hint="eastAsia"/>
          <w:highlight w:val="none"/>
        </w:rPr>
        <w:t>二   磋商小组</w:t>
      </w:r>
      <w:r>
        <w:tab/>
      </w:r>
      <w:r>
        <w:fldChar w:fldCharType="begin"/>
      </w:r>
      <w:r>
        <w:instrText xml:space="preserve"> PAGEREF _Toc14362 \h </w:instrText>
      </w:r>
      <w:r>
        <w:fldChar w:fldCharType="separate"/>
      </w:r>
      <w:r>
        <w:t>62</w:t>
      </w:r>
      <w:r>
        <w:fldChar w:fldCharType="end"/>
      </w:r>
      <w:r>
        <w:rPr>
          <w:rFonts w:hint="eastAsia"/>
          <w:bCs/>
          <w:color w:val="auto"/>
          <w:szCs w:val="24"/>
          <w:highlight w:val="none"/>
        </w:rPr>
        <w:fldChar w:fldCharType="end"/>
      </w:r>
    </w:p>
    <w:p w14:paraId="1EC3B0B2">
      <w:pPr>
        <w:pStyle w:val="26"/>
      </w:pPr>
      <w:r>
        <w:rPr>
          <w:rFonts w:hint="eastAsia"/>
          <w:bCs/>
          <w:color w:val="auto"/>
          <w:szCs w:val="24"/>
          <w:highlight w:val="none"/>
        </w:rPr>
        <w:fldChar w:fldCharType="begin"/>
      </w:r>
      <w:r>
        <w:rPr>
          <w:rFonts w:hint="eastAsia"/>
          <w:bCs/>
          <w:szCs w:val="24"/>
          <w:highlight w:val="none"/>
        </w:rPr>
        <w:instrText xml:space="preserve"> HYPERLINK \l _Toc9162 </w:instrText>
      </w:r>
      <w:r>
        <w:rPr>
          <w:rFonts w:hint="eastAsia"/>
          <w:bCs/>
          <w:szCs w:val="24"/>
          <w:highlight w:val="none"/>
        </w:rPr>
        <w:fldChar w:fldCharType="separate"/>
      </w:r>
      <w:r>
        <w:rPr>
          <w:rFonts w:hint="eastAsia"/>
          <w:highlight w:val="none"/>
        </w:rPr>
        <w:t>三   磋商程序</w:t>
      </w:r>
      <w:r>
        <w:tab/>
      </w:r>
      <w:r>
        <w:fldChar w:fldCharType="begin"/>
      </w:r>
      <w:r>
        <w:instrText xml:space="preserve"> PAGEREF _Toc9162 \h </w:instrText>
      </w:r>
      <w:r>
        <w:fldChar w:fldCharType="separate"/>
      </w:r>
      <w:r>
        <w:t>63</w:t>
      </w:r>
      <w:r>
        <w:fldChar w:fldCharType="end"/>
      </w:r>
      <w:r>
        <w:rPr>
          <w:rFonts w:hint="eastAsia"/>
          <w:bCs/>
          <w:color w:val="auto"/>
          <w:szCs w:val="24"/>
          <w:highlight w:val="none"/>
        </w:rPr>
        <w:fldChar w:fldCharType="end"/>
      </w:r>
    </w:p>
    <w:p w14:paraId="3C67194C">
      <w:pPr>
        <w:pStyle w:val="26"/>
      </w:pPr>
      <w:r>
        <w:rPr>
          <w:rFonts w:hint="eastAsia"/>
          <w:bCs/>
          <w:color w:val="auto"/>
          <w:szCs w:val="24"/>
          <w:highlight w:val="none"/>
        </w:rPr>
        <w:fldChar w:fldCharType="begin"/>
      </w:r>
      <w:r>
        <w:rPr>
          <w:rFonts w:hint="eastAsia"/>
          <w:bCs/>
          <w:szCs w:val="24"/>
          <w:highlight w:val="none"/>
        </w:rPr>
        <w:instrText xml:space="preserve"> HYPERLINK \l _Toc10005 </w:instrText>
      </w:r>
      <w:r>
        <w:rPr>
          <w:rFonts w:hint="eastAsia"/>
          <w:bCs/>
          <w:szCs w:val="24"/>
          <w:highlight w:val="none"/>
        </w:rPr>
        <w:fldChar w:fldCharType="separate"/>
      </w:r>
      <w:r>
        <w:rPr>
          <w:rFonts w:hint="eastAsia"/>
          <w:highlight w:val="none"/>
        </w:rPr>
        <w:t>四   磋商内容及规定</w:t>
      </w:r>
      <w:r>
        <w:tab/>
      </w:r>
      <w:r>
        <w:fldChar w:fldCharType="begin"/>
      </w:r>
      <w:r>
        <w:instrText xml:space="preserve"> PAGEREF _Toc10005 \h </w:instrText>
      </w:r>
      <w:r>
        <w:fldChar w:fldCharType="separate"/>
      </w:r>
      <w:r>
        <w:t>65</w:t>
      </w:r>
      <w:r>
        <w:fldChar w:fldCharType="end"/>
      </w:r>
      <w:r>
        <w:rPr>
          <w:rFonts w:hint="eastAsia"/>
          <w:bCs/>
          <w:color w:val="auto"/>
          <w:szCs w:val="24"/>
          <w:highlight w:val="none"/>
        </w:rPr>
        <w:fldChar w:fldCharType="end"/>
      </w:r>
    </w:p>
    <w:p w14:paraId="1D0408C9">
      <w:pPr>
        <w:pStyle w:val="26"/>
      </w:pPr>
      <w:r>
        <w:rPr>
          <w:rFonts w:hint="eastAsia"/>
          <w:bCs/>
          <w:color w:val="auto"/>
          <w:szCs w:val="24"/>
          <w:highlight w:val="none"/>
        </w:rPr>
        <w:fldChar w:fldCharType="begin"/>
      </w:r>
      <w:r>
        <w:rPr>
          <w:rFonts w:hint="eastAsia"/>
          <w:bCs/>
          <w:szCs w:val="24"/>
          <w:highlight w:val="none"/>
        </w:rPr>
        <w:instrText xml:space="preserve"> HYPERLINK \l _Toc5519 </w:instrText>
      </w:r>
      <w:r>
        <w:rPr>
          <w:rFonts w:hint="eastAsia"/>
          <w:bCs/>
          <w:szCs w:val="24"/>
          <w:highlight w:val="none"/>
        </w:rPr>
        <w:fldChar w:fldCharType="separate"/>
      </w:r>
      <w:r>
        <w:rPr>
          <w:rFonts w:hint="eastAsia"/>
          <w:highlight w:val="none"/>
        </w:rPr>
        <w:t>五   评标办法和细则</w:t>
      </w:r>
      <w:r>
        <w:tab/>
      </w:r>
      <w:r>
        <w:fldChar w:fldCharType="begin"/>
      </w:r>
      <w:r>
        <w:instrText xml:space="preserve"> PAGEREF _Toc5519 \h </w:instrText>
      </w:r>
      <w:r>
        <w:fldChar w:fldCharType="separate"/>
      </w:r>
      <w:r>
        <w:t>65</w:t>
      </w:r>
      <w:r>
        <w:fldChar w:fldCharType="end"/>
      </w:r>
      <w:r>
        <w:rPr>
          <w:rFonts w:hint="eastAsia"/>
          <w:bCs/>
          <w:color w:val="auto"/>
          <w:szCs w:val="24"/>
          <w:highlight w:val="none"/>
        </w:rPr>
        <w:fldChar w:fldCharType="end"/>
      </w:r>
    </w:p>
    <w:p w14:paraId="4F93584B">
      <w:pPr>
        <w:pStyle w:val="26"/>
      </w:pPr>
      <w:r>
        <w:rPr>
          <w:rFonts w:hint="eastAsia"/>
          <w:bCs/>
          <w:color w:val="auto"/>
          <w:szCs w:val="24"/>
          <w:highlight w:val="none"/>
        </w:rPr>
        <w:fldChar w:fldCharType="begin"/>
      </w:r>
      <w:r>
        <w:rPr>
          <w:rFonts w:hint="eastAsia"/>
          <w:bCs/>
          <w:szCs w:val="24"/>
          <w:highlight w:val="none"/>
        </w:rPr>
        <w:instrText xml:space="preserve"> HYPERLINK \l _Toc16062 </w:instrText>
      </w:r>
      <w:r>
        <w:rPr>
          <w:rFonts w:hint="eastAsia"/>
          <w:bCs/>
          <w:szCs w:val="24"/>
          <w:highlight w:val="none"/>
        </w:rPr>
        <w:fldChar w:fldCharType="separate"/>
      </w:r>
      <w:r>
        <w:rPr>
          <w:rFonts w:hint="eastAsia"/>
          <w:bCs w:val="0"/>
          <w:szCs w:val="32"/>
          <w:highlight w:val="none"/>
        </w:rPr>
        <w:t>六   磋商纪律和要求</w:t>
      </w:r>
      <w:r>
        <w:tab/>
      </w:r>
      <w:r>
        <w:fldChar w:fldCharType="begin"/>
      </w:r>
      <w:r>
        <w:instrText xml:space="preserve"> PAGEREF _Toc16062 \h </w:instrText>
      </w:r>
      <w:r>
        <w:fldChar w:fldCharType="separate"/>
      </w:r>
      <w:r>
        <w:t>67</w:t>
      </w:r>
      <w:r>
        <w:fldChar w:fldCharType="end"/>
      </w:r>
      <w:r>
        <w:rPr>
          <w:rFonts w:hint="eastAsia"/>
          <w:bCs/>
          <w:color w:val="auto"/>
          <w:szCs w:val="24"/>
          <w:highlight w:val="none"/>
        </w:rPr>
        <w:fldChar w:fldCharType="end"/>
      </w:r>
    </w:p>
    <w:p w14:paraId="7AFE0BB5">
      <w:pPr>
        <w:pStyle w:val="2"/>
        <w:tabs>
          <w:tab w:val="left" w:pos="1406"/>
        </w:tabs>
        <w:spacing w:before="167"/>
        <w:ind w:left="119"/>
        <w:jc w:val="center"/>
        <w:rPr>
          <w:rFonts w:hint="eastAsia"/>
          <w:bCs/>
          <w:color w:val="auto"/>
          <w:szCs w:val="24"/>
          <w:highlight w:val="none"/>
        </w:rPr>
      </w:pPr>
      <w:r>
        <w:rPr>
          <w:rFonts w:hint="eastAsia"/>
          <w:bCs/>
          <w:color w:val="auto"/>
          <w:szCs w:val="24"/>
          <w:highlight w:val="none"/>
        </w:rPr>
        <w:fldChar w:fldCharType="end"/>
      </w:r>
      <w:bookmarkStart w:id="8" w:name="_Toc32339"/>
    </w:p>
    <w:p w14:paraId="02D8D263">
      <w:pPr>
        <w:pStyle w:val="2"/>
        <w:tabs>
          <w:tab w:val="left" w:pos="1406"/>
        </w:tabs>
        <w:spacing w:before="167"/>
        <w:ind w:left="119"/>
        <w:jc w:val="center"/>
        <w:rPr>
          <w:rFonts w:hint="eastAsia"/>
          <w:bCs/>
          <w:color w:val="auto"/>
          <w:szCs w:val="24"/>
          <w:highlight w:val="none"/>
        </w:rPr>
      </w:pPr>
    </w:p>
    <w:p w14:paraId="29A32DE1">
      <w:pPr>
        <w:pStyle w:val="2"/>
        <w:tabs>
          <w:tab w:val="left" w:pos="1406"/>
        </w:tabs>
        <w:spacing w:before="167"/>
        <w:ind w:left="119"/>
        <w:jc w:val="center"/>
        <w:rPr>
          <w:color w:val="auto"/>
          <w:highlight w:val="none"/>
        </w:rPr>
      </w:pPr>
      <w:r>
        <w:rPr>
          <w:rFonts w:hint="eastAsia"/>
          <w:color w:val="auto"/>
          <w:highlight w:val="none"/>
        </w:rPr>
        <w:t>第一章</w:t>
      </w:r>
      <w:r>
        <w:rPr>
          <w:rFonts w:hint="eastAsia"/>
          <w:color w:val="auto"/>
          <w:highlight w:val="none"/>
          <w:lang w:val="en-US"/>
        </w:rPr>
        <w:t xml:space="preserve"> </w:t>
      </w:r>
      <w:r>
        <w:rPr>
          <w:rFonts w:hint="eastAsia"/>
          <w:color w:val="auto"/>
          <w:highlight w:val="none"/>
        </w:rPr>
        <w:t>竞争性磋商</w:t>
      </w:r>
      <w:r>
        <w:rPr>
          <w:rFonts w:hint="eastAsia"/>
          <w:color w:val="auto"/>
          <w:highlight w:val="none"/>
          <w:lang w:val="en-US"/>
        </w:rPr>
        <w:t>采购</w:t>
      </w:r>
      <w:r>
        <w:rPr>
          <w:rFonts w:hint="eastAsia"/>
          <w:color w:val="auto"/>
          <w:highlight w:val="none"/>
        </w:rPr>
        <w:t>公告</w:t>
      </w:r>
      <w:bookmarkEnd w:id="8"/>
    </w:p>
    <w:p w14:paraId="35F2D5B0">
      <w:pPr>
        <w:pStyle w:val="11"/>
        <w:spacing w:line="300" w:lineRule="auto"/>
        <w:rPr>
          <w:b/>
          <w:color w:val="auto"/>
          <w:sz w:val="26"/>
          <w:highlight w:val="none"/>
        </w:rPr>
      </w:pPr>
      <w:bookmarkStart w:id="9" w:name="一__竞争性磋商公告"/>
      <w:bookmarkEnd w:id="9"/>
      <w:r>
        <w:rPr>
          <w:color w:val="auto"/>
          <w:highlight w:val="none"/>
          <w:lang w:val="en-US" w:bidi="ar-SA"/>
        </w:rPr>
        <mc:AlternateContent>
          <mc:Choice Requires="wps">
            <w:drawing>
              <wp:anchor distT="0" distB="0" distL="114300" distR="114300" simplePos="0" relativeHeight="251660288" behindDoc="1" locked="0" layoutInCell="1" allowOverlap="1">
                <wp:simplePos x="0" y="0"/>
                <wp:positionH relativeFrom="page">
                  <wp:posOffset>870585</wp:posOffset>
                </wp:positionH>
                <wp:positionV relativeFrom="paragraph">
                  <wp:posOffset>194310</wp:posOffset>
                </wp:positionV>
                <wp:extent cx="6172200" cy="1085850"/>
                <wp:effectExtent l="4445" t="4445" r="14605" b="14605"/>
                <wp:wrapTopAndBottom/>
                <wp:docPr id="6" name="1026"/>
                <wp:cNvGraphicFramePr/>
                <a:graphic xmlns:a="http://schemas.openxmlformats.org/drawingml/2006/main">
                  <a:graphicData uri="http://schemas.microsoft.com/office/word/2010/wordprocessingShape">
                    <wps:wsp>
                      <wps:cNvSpPr/>
                      <wps:spPr>
                        <a:xfrm>
                          <a:off x="0" y="0"/>
                          <a:ext cx="6172200" cy="1085850"/>
                        </a:xfrm>
                        <a:prstGeom prst="rect">
                          <a:avLst/>
                        </a:prstGeom>
                        <a:noFill/>
                        <a:ln w="6096" cap="flat" cmpd="sng">
                          <a:solidFill>
                            <a:srgbClr val="000000"/>
                          </a:solidFill>
                          <a:prstDash val="solid"/>
                          <a:miter/>
                          <a:headEnd type="none" w="med" len="med"/>
                          <a:tailEnd type="none" w="med" len="med"/>
                        </a:ln>
                        <a:effectLst/>
                      </wps:spPr>
                      <wps:txbx>
                        <w:txbxContent>
                          <w:p w14:paraId="09717008">
                            <w:pPr>
                              <w:pStyle w:val="11"/>
                              <w:spacing w:before="100" w:line="360" w:lineRule="auto"/>
                              <w:ind w:left="79"/>
                            </w:pPr>
                            <w:r>
                              <w:t>项目概况：</w:t>
                            </w:r>
                          </w:p>
                          <w:p w14:paraId="4BB32823">
                            <w:pPr>
                              <w:pStyle w:val="11"/>
                              <w:spacing w:before="8" w:line="360" w:lineRule="auto"/>
                              <w:ind w:left="79" w:right="36" w:firstLine="480"/>
                              <w:jc w:val="both"/>
                              <w:rPr>
                                <w:color w:val="0000FF"/>
                              </w:rPr>
                            </w:pPr>
                            <w:r>
                              <w:rPr>
                                <w:rFonts w:hint="eastAsia"/>
                                <w:b/>
                                <w:bCs/>
                                <w:u w:val="single"/>
                                <w:lang w:val="en-US" w:eastAsia="zh-CN"/>
                              </w:rPr>
                              <w:t>2025全国象棋俱乐部团体赛</w:t>
                            </w:r>
                            <w:r>
                              <w:t>的潜在供应商应在</w:t>
                            </w:r>
                            <w:r>
                              <w:rPr>
                                <w:color w:val="000000"/>
                                <w:sz w:val="27"/>
                                <w:szCs w:val="27"/>
                              </w:rPr>
                              <w:t>政采云平台线上获取</w:t>
                            </w:r>
                            <w:r>
                              <w:t>（下载）采购文件，并于</w:t>
                            </w:r>
                            <w:r>
                              <w:rPr>
                                <w:rFonts w:hint="eastAsia"/>
                                <w:lang w:eastAsia="zh-CN"/>
                              </w:rPr>
                              <w:t>2025年7月15日</w:t>
                            </w:r>
                            <w:r>
                              <w:rPr>
                                <w:rFonts w:hint="eastAsia"/>
                                <w:lang w:val="en-US" w:eastAsia="zh-CN"/>
                              </w:rPr>
                              <w:t>09:00</w:t>
                            </w:r>
                            <w:r>
                              <w:t>（北京时间）前提交（上传）响应文件。</w:t>
                            </w:r>
                          </w:p>
                        </w:txbxContent>
                      </wps:txbx>
                      <wps:bodyPr lIns="0" tIns="0" rIns="0" bIns="0" upright="1"/>
                    </wps:wsp>
                  </a:graphicData>
                </a:graphic>
              </wp:anchor>
            </w:drawing>
          </mc:Choice>
          <mc:Fallback>
            <w:pict>
              <v:rect id="1026" o:spid="_x0000_s1026" o:spt="1" style="position:absolute;left:0pt;margin-left:68.55pt;margin-top:15.3pt;height:85.5pt;width:486pt;mso-position-horizontal-relative:page;mso-wrap-distance-bottom:0pt;mso-wrap-distance-top:0pt;z-index:-251656192;mso-width-relative:page;mso-height-relative:page;" filled="f" stroked="t" coordsize="21600,21600" o:gfxdata="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wc7ltgAAAALAQAADwAAAAAAAAABACAAAAAiAAAAZHJzL2Rv&#10;d25yZXYueG1sUEsBAhQAFAAAAAgAh07iQAQZfzkBAgAALwQAAA4AAAAAAAAAAQAgAAAAJwEAAGRy&#10;cy9lMm9Eb2MueG1sUEsFBgAAAAAGAAYAWQEAAJoFAAAAAA==&#10;">
                <v:fill on="f" focussize="0,0"/>
                <v:stroke weight="0.48pt" color="#000000" joinstyle="miter"/>
                <v:imagedata o:title=""/>
                <o:lock v:ext="edit" aspectratio="f"/>
                <v:textbox inset="0mm,0mm,0mm,0mm">
                  <w:txbxContent>
                    <w:p w14:paraId="09717008">
                      <w:pPr>
                        <w:pStyle w:val="11"/>
                        <w:spacing w:before="100" w:line="360" w:lineRule="auto"/>
                        <w:ind w:left="79"/>
                      </w:pPr>
                      <w:r>
                        <w:t>项目概况：</w:t>
                      </w:r>
                    </w:p>
                    <w:p w14:paraId="4BB32823">
                      <w:pPr>
                        <w:pStyle w:val="11"/>
                        <w:spacing w:before="8" w:line="360" w:lineRule="auto"/>
                        <w:ind w:left="79" w:right="36" w:firstLine="480"/>
                        <w:jc w:val="both"/>
                        <w:rPr>
                          <w:color w:val="0000FF"/>
                        </w:rPr>
                      </w:pPr>
                      <w:r>
                        <w:rPr>
                          <w:rFonts w:hint="eastAsia"/>
                          <w:b/>
                          <w:bCs/>
                          <w:u w:val="single"/>
                          <w:lang w:val="en-US" w:eastAsia="zh-CN"/>
                        </w:rPr>
                        <w:t>2025全国象棋俱乐部团体赛</w:t>
                      </w:r>
                      <w:r>
                        <w:t>的潜在供应商应在</w:t>
                      </w:r>
                      <w:r>
                        <w:rPr>
                          <w:color w:val="000000"/>
                          <w:sz w:val="27"/>
                          <w:szCs w:val="27"/>
                        </w:rPr>
                        <w:t>政采云平台线上获取</w:t>
                      </w:r>
                      <w:r>
                        <w:t>（下载）采购文件，并于</w:t>
                      </w:r>
                      <w:r>
                        <w:rPr>
                          <w:rFonts w:hint="eastAsia"/>
                          <w:lang w:eastAsia="zh-CN"/>
                        </w:rPr>
                        <w:t>2025年7月15日</w:t>
                      </w:r>
                      <w:r>
                        <w:rPr>
                          <w:rFonts w:hint="eastAsia"/>
                          <w:lang w:val="en-US" w:eastAsia="zh-CN"/>
                        </w:rPr>
                        <w:t>09:00</w:t>
                      </w:r>
                      <w:r>
                        <w:t>（北京时间）前提交（上传）响应文件。</w:t>
                      </w:r>
                    </w:p>
                  </w:txbxContent>
                </v:textbox>
                <w10:wrap type="topAndBottom"/>
              </v:rect>
            </w:pict>
          </mc:Fallback>
        </mc:AlternateContent>
      </w:r>
    </w:p>
    <w:p w14:paraId="6C9F6960">
      <w:pPr>
        <w:spacing w:line="360" w:lineRule="auto"/>
        <w:rPr>
          <w:b/>
          <w:bCs/>
          <w:color w:val="auto"/>
          <w:sz w:val="24"/>
          <w:szCs w:val="24"/>
          <w:highlight w:val="none"/>
        </w:rPr>
      </w:pPr>
      <w:r>
        <w:rPr>
          <w:rFonts w:hint="eastAsia"/>
          <w:b/>
          <w:bCs/>
          <w:color w:val="auto"/>
          <w:sz w:val="24"/>
          <w:szCs w:val="24"/>
          <w:highlight w:val="none"/>
        </w:rPr>
        <w:t>一、项目基本情况</w:t>
      </w:r>
    </w:p>
    <w:p w14:paraId="3745EBE5">
      <w:pPr>
        <w:pStyle w:val="11"/>
        <w:spacing w:line="300" w:lineRule="auto"/>
        <w:ind w:firstLine="240" w:firstLineChars="100"/>
        <w:rPr>
          <w:rFonts w:hint="eastAsia" w:eastAsia="仿宋"/>
          <w:color w:val="auto"/>
          <w:highlight w:val="none"/>
          <w:lang w:val="en-US" w:eastAsia="zh-CN"/>
        </w:rPr>
      </w:pPr>
      <w:r>
        <w:rPr>
          <w:rFonts w:hint="eastAsia"/>
          <w:color w:val="auto"/>
          <w:highlight w:val="none"/>
        </w:rPr>
        <w:t>项目编号：</w:t>
      </w:r>
      <w:r>
        <w:rPr>
          <w:rFonts w:hint="eastAsia"/>
          <w:color w:val="auto"/>
          <w:highlight w:val="none"/>
          <w:lang w:val="en-US" w:eastAsia="zh-CN"/>
        </w:rPr>
        <w:t>ZJZCSC（2025）采0702号</w:t>
      </w:r>
    </w:p>
    <w:p w14:paraId="1C1E3C96">
      <w:pPr>
        <w:pStyle w:val="11"/>
        <w:spacing w:line="300" w:lineRule="auto"/>
        <w:ind w:firstLine="240" w:firstLineChars="100"/>
        <w:rPr>
          <w:rFonts w:hint="eastAsia" w:eastAsia="仿宋"/>
          <w:color w:val="auto"/>
          <w:highlight w:val="none"/>
          <w:lang w:eastAsia="zh-CN"/>
        </w:rPr>
      </w:pPr>
      <w:r>
        <w:rPr>
          <w:rFonts w:hint="eastAsia"/>
          <w:color w:val="auto"/>
          <w:highlight w:val="none"/>
        </w:rPr>
        <w:t>项目名称：</w:t>
      </w:r>
      <w:r>
        <w:rPr>
          <w:rFonts w:hint="eastAsia"/>
          <w:color w:val="auto"/>
          <w:highlight w:val="none"/>
          <w:lang w:val="en-US" w:eastAsia="zh-CN"/>
        </w:rPr>
        <w:t>2025全国象棋俱乐部团体赛</w:t>
      </w:r>
    </w:p>
    <w:p w14:paraId="09607F24">
      <w:pPr>
        <w:pStyle w:val="11"/>
        <w:spacing w:line="300" w:lineRule="auto"/>
        <w:ind w:firstLine="240" w:firstLineChars="100"/>
        <w:rPr>
          <w:color w:val="auto"/>
          <w:highlight w:val="none"/>
        </w:rPr>
      </w:pPr>
      <w:r>
        <w:rPr>
          <w:rFonts w:hint="eastAsia"/>
          <w:color w:val="auto"/>
          <w:highlight w:val="none"/>
        </w:rPr>
        <w:t>采购方式：竞争性磋商</w:t>
      </w:r>
    </w:p>
    <w:p w14:paraId="1134C7E9">
      <w:pPr>
        <w:pStyle w:val="11"/>
        <w:spacing w:line="300" w:lineRule="auto"/>
        <w:ind w:firstLine="240" w:firstLineChars="100"/>
        <w:rPr>
          <w:rFonts w:hint="eastAsia" w:eastAsia="仿宋"/>
          <w:color w:val="auto"/>
          <w:highlight w:val="none"/>
          <w:lang w:val="en-US" w:eastAsia="zh-CN"/>
        </w:rPr>
      </w:pPr>
      <w:r>
        <w:rPr>
          <w:rFonts w:hint="eastAsia"/>
          <w:color w:val="auto"/>
          <w:highlight w:val="none"/>
        </w:rPr>
        <w:t>预算金额（元）：</w:t>
      </w:r>
      <w:r>
        <w:rPr>
          <w:rFonts w:hint="eastAsia"/>
          <w:color w:val="auto"/>
          <w:highlight w:val="none"/>
          <w:lang w:val="en-US" w:eastAsia="zh-CN"/>
        </w:rPr>
        <w:t>310000</w:t>
      </w:r>
    </w:p>
    <w:p w14:paraId="7D1A8AAC">
      <w:pPr>
        <w:pStyle w:val="11"/>
        <w:spacing w:line="300" w:lineRule="auto"/>
        <w:ind w:firstLine="240" w:firstLineChars="100"/>
        <w:rPr>
          <w:color w:val="auto"/>
          <w:highlight w:val="none"/>
        </w:rPr>
      </w:pPr>
      <w:r>
        <w:rPr>
          <w:rFonts w:hint="eastAsia"/>
          <w:color w:val="auto"/>
          <w:highlight w:val="none"/>
        </w:rPr>
        <w:t>最高限价（元）：</w:t>
      </w:r>
      <w:r>
        <w:rPr>
          <w:rFonts w:hint="eastAsia"/>
          <w:color w:val="auto"/>
          <w:highlight w:val="none"/>
          <w:lang w:val="en-US" w:eastAsia="zh-CN"/>
        </w:rPr>
        <w:t>310000</w:t>
      </w:r>
      <w:r>
        <w:rPr>
          <w:rFonts w:hint="eastAsia"/>
          <w:color w:val="auto"/>
          <w:highlight w:val="none"/>
        </w:rPr>
        <w:t xml:space="preserve"> </w:t>
      </w:r>
    </w:p>
    <w:p w14:paraId="67547580">
      <w:pPr>
        <w:pStyle w:val="11"/>
        <w:spacing w:line="300" w:lineRule="auto"/>
        <w:ind w:firstLine="240" w:firstLineChars="100"/>
        <w:rPr>
          <w:color w:val="auto"/>
          <w:highlight w:val="none"/>
          <w:lang w:val="en-US"/>
        </w:rPr>
      </w:pPr>
      <w:r>
        <w:rPr>
          <w:rFonts w:hint="eastAsia"/>
          <w:color w:val="auto"/>
          <w:highlight w:val="none"/>
          <w:lang w:val="en-US"/>
        </w:rPr>
        <w:t>组织形式：分散委托采购</w:t>
      </w:r>
    </w:p>
    <w:p w14:paraId="07AC2E45">
      <w:pPr>
        <w:pStyle w:val="11"/>
        <w:spacing w:line="300" w:lineRule="auto"/>
        <w:ind w:firstLine="240" w:firstLineChars="100"/>
        <w:rPr>
          <w:color w:val="auto"/>
          <w:highlight w:val="none"/>
        </w:rPr>
      </w:pPr>
      <w:r>
        <w:rPr>
          <w:rFonts w:hint="eastAsia"/>
          <w:color w:val="auto"/>
          <w:highlight w:val="none"/>
        </w:rPr>
        <w:t>采购需求：见竞争性磋商文件第</w:t>
      </w:r>
      <w:r>
        <w:rPr>
          <w:rFonts w:hint="eastAsia"/>
          <w:color w:val="auto"/>
          <w:highlight w:val="none"/>
          <w:lang w:val="en-US"/>
        </w:rPr>
        <w:t>二</w:t>
      </w:r>
      <w:r>
        <w:rPr>
          <w:rFonts w:hint="eastAsia"/>
          <w:color w:val="auto"/>
          <w:highlight w:val="none"/>
        </w:rPr>
        <w:t>章 采购需求</w:t>
      </w:r>
    </w:p>
    <w:p w14:paraId="223F88A7">
      <w:pPr>
        <w:rPr>
          <w:color w:val="auto"/>
          <w:highlight w:val="none"/>
        </w:rPr>
      </w:pPr>
    </w:p>
    <w:p w14:paraId="7E01933E">
      <w:pPr>
        <w:pStyle w:val="11"/>
        <w:spacing w:line="300" w:lineRule="auto"/>
        <w:ind w:firstLine="240" w:firstLineChars="100"/>
        <w:rPr>
          <w:color w:val="auto"/>
          <w:highlight w:val="none"/>
        </w:rPr>
      </w:pPr>
      <w:r>
        <w:rPr>
          <w:rFonts w:hint="eastAsia"/>
          <w:color w:val="auto"/>
          <w:highlight w:val="none"/>
        </w:rPr>
        <w:t>数量：1</w:t>
      </w:r>
    </w:p>
    <w:p w14:paraId="38152486">
      <w:pPr>
        <w:pStyle w:val="11"/>
        <w:spacing w:line="300" w:lineRule="auto"/>
        <w:ind w:firstLine="240" w:firstLineChars="100"/>
        <w:rPr>
          <w:rFonts w:hint="eastAsia" w:eastAsia="仿宋"/>
          <w:color w:val="auto"/>
          <w:highlight w:val="none"/>
          <w:lang w:val="en-US" w:eastAsia="zh-CN"/>
        </w:rPr>
      </w:pPr>
      <w:r>
        <w:rPr>
          <w:rFonts w:hint="eastAsia"/>
          <w:color w:val="auto"/>
          <w:highlight w:val="none"/>
        </w:rPr>
        <w:t>预算金额（元）：</w:t>
      </w:r>
      <w:r>
        <w:rPr>
          <w:rFonts w:hint="eastAsia"/>
          <w:color w:val="auto"/>
          <w:highlight w:val="none"/>
          <w:lang w:val="en-US" w:eastAsia="zh-CN"/>
        </w:rPr>
        <w:t>310000</w:t>
      </w:r>
    </w:p>
    <w:p w14:paraId="20977F3B">
      <w:pPr>
        <w:pStyle w:val="11"/>
        <w:spacing w:line="300" w:lineRule="auto"/>
        <w:ind w:firstLine="240" w:firstLineChars="100"/>
        <w:rPr>
          <w:color w:val="auto"/>
          <w:highlight w:val="none"/>
        </w:rPr>
      </w:pPr>
      <w:r>
        <w:rPr>
          <w:rFonts w:hint="eastAsia"/>
          <w:color w:val="auto"/>
          <w:highlight w:val="none"/>
        </w:rPr>
        <w:t>单位：项</w:t>
      </w:r>
    </w:p>
    <w:p w14:paraId="432D8D22">
      <w:pPr>
        <w:pStyle w:val="11"/>
        <w:spacing w:line="300" w:lineRule="auto"/>
        <w:ind w:firstLine="240" w:firstLineChars="100"/>
        <w:rPr>
          <w:color w:val="auto"/>
          <w:highlight w:val="none"/>
        </w:rPr>
      </w:pPr>
      <w:r>
        <w:rPr>
          <w:rFonts w:hint="eastAsia"/>
          <w:color w:val="auto"/>
          <w:highlight w:val="none"/>
        </w:rPr>
        <w:t>简要规格描述：见竞争性磋商文件第</w:t>
      </w:r>
      <w:r>
        <w:rPr>
          <w:rFonts w:hint="eastAsia"/>
          <w:color w:val="auto"/>
          <w:highlight w:val="none"/>
          <w:lang w:val="en-US"/>
        </w:rPr>
        <w:t>二</w:t>
      </w:r>
      <w:r>
        <w:rPr>
          <w:rFonts w:hint="eastAsia"/>
          <w:color w:val="auto"/>
          <w:highlight w:val="none"/>
        </w:rPr>
        <w:t>章 采购需求</w:t>
      </w:r>
    </w:p>
    <w:p w14:paraId="1BA9402C">
      <w:pPr>
        <w:pStyle w:val="11"/>
        <w:spacing w:line="300" w:lineRule="auto"/>
        <w:ind w:firstLine="240" w:firstLineChars="100"/>
        <w:rPr>
          <w:color w:val="auto"/>
          <w:highlight w:val="none"/>
        </w:rPr>
      </w:pPr>
      <w:r>
        <w:rPr>
          <w:rFonts w:hint="eastAsia"/>
          <w:color w:val="auto"/>
          <w:highlight w:val="none"/>
        </w:rPr>
        <w:t>备注：</w:t>
      </w:r>
    </w:p>
    <w:p w14:paraId="1BA3F230">
      <w:pPr>
        <w:rPr>
          <w:color w:val="auto"/>
          <w:highlight w:val="none"/>
        </w:rPr>
      </w:pPr>
    </w:p>
    <w:p w14:paraId="064A8B86">
      <w:pPr>
        <w:pStyle w:val="11"/>
        <w:spacing w:line="300" w:lineRule="auto"/>
        <w:ind w:firstLine="240" w:firstLineChars="100"/>
        <w:rPr>
          <w:color w:val="auto"/>
          <w:highlight w:val="none"/>
        </w:rPr>
      </w:pPr>
      <w:r>
        <w:rPr>
          <w:rFonts w:hint="eastAsia"/>
          <w:color w:val="auto"/>
          <w:highlight w:val="none"/>
        </w:rPr>
        <w:t>合同履约期限：标项1，见竞争性磋商文件。</w:t>
      </w:r>
    </w:p>
    <w:p w14:paraId="6AF0294F">
      <w:pPr>
        <w:pStyle w:val="11"/>
        <w:spacing w:line="300" w:lineRule="auto"/>
        <w:ind w:firstLine="240" w:firstLineChars="100"/>
        <w:rPr>
          <w:color w:val="auto"/>
          <w:highlight w:val="none"/>
        </w:rPr>
      </w:pPr>
      <w:r>
        <w:rPr>
          <w:rFonts w:cs="仿宋_GB2312"/>
          <w:color w:val="auto"/>
          <w:highlight w:val="none"/>
        </w:rPr>
        <w:t>本项目（否）接受联合体投标。</w:t>
      </w:r>
    </w:p>
    <w:p w14:paraId="3AC08D6A">
      <w:pPr>
        <w:spacing w:line="360" w:lineRule="auto"/>
        <w:rPr>
          <w:b/>
          <w:bCs/>
          <w:color w:val="auto"/>
          <w:sz w:val="24"/>
          <w:szCs w:val="24"/>
          <w:highlight w:val="none"/>
        </w:rPr>
      </w:pPr>
      <w:r>
        <w:rPr>
          <w:rFonts w:hint="eastAsia"/>
          <w:b/>
          <w:bCs/>
          <w:color w:val="auto"/>
          <w:sz w:val="24"/>
          <w:szCs w:val="24"/>
          <w:highlight w:val="none"/>
        </w:rPr>
        <w:t>二、申请人的资格要求</w:t>
      </w:r>
    </w:p>
    <w:p w14:paraId="06E68D90">
      <w:pPr>
        <w:pStyle w:val="11"/>
        <w:spacing w:line="300" w:lineRule="auto"/>
        <w:ind w:firstLine="480" w:firstLineChars="200"/>
        <w:rPr>
          <w:color w:val="auto"/>
          <w:highlight w:val="none"/>
        </w:rPr>
      </w:pPr>
      <w:r>
        <w:rPr>
          <w:rFonts w:hint="eastAsia"/>
          <w:color w:val="auto"/>
          <w:highlight w:val="none"/>
          <w:lang w:val="en-US"/>
        </w:rPr>
        <w:t xml:space="preserve">1. </w:t>
      </w:r>
      <w:r>
        <w:rPr>
          <w:rFonts w:hint="eastAsia"/>
          <w:bCs/>
          <w:color w:val="auto"/>
          <w:highlight w:val="none"/>
        </w:rPr>
        <w:t>满足《中华人民共和国政府采购法》第二十二条规定，未被“信用中国”（www.creditchina.gov.cn</w:t>
      </w:r>
      <w:r>
        <w:rPr>
          <w:rFonts w:hint="eastAsia"/>
          <w:bCs/>
          <w:color w:val="auto"/>
          <w:highlight w:val="none"/>
          <w:lang w:eastAsia="zh-CN"/>
        </w:rPr>
        <w:t>）</w:t>
      </w:r>
      <w:r>
        <w:rPr>
          <w:rFonts w:hint="eastAsia"/>
          <w:bCs/>
          <w:color w:val="auto"/>
          <w:highlight w:val="none"/>
        </w:rPr>
        <w:t>、中国政府采购网（www.ccgp.gov.cn）列入失信被执行人、重大税收违法案件当事人名单、政府采购严重违法失信行为记录名单。</w:t>
      </w:r>
    </w:p>
    <w:p w14:paraId="70ACB67E">
      <w:pPr>
        <w:pStyle w:val="11"/>
        <w:spacing w:line="300" w:lineRule="auto"/>
        <w:ind w:firstLine="480" w:firstLineChars="200"/>
        <w:rPr>
          <w:color w:val="auto"/>
          <w:highlight w:val="none"/>
        </w:rPr>
      </w:pPr>
      <w:r>
        <w:rPr>
          <w:rFonts w:hint="eastAsia"/>
          <w:color w:val="auto"/>
          <w:highlight w:val="none"/>
          <w:lang w:val="en-US"/>
        </w:rPr>
        <w:t>2.</w:t>
      </w:r>
      <w:r>
        <w:rPr>
          <w:rFonts w:hint="eastAsia"/>
          <w:color w:val="auto"/>
          <w:highlight w:val="none"/>
        </w:rPr>
        <w:t>落实政府采购政策需满足的资格要求：</w:t>
      </w:r>
      <w:r>
        <w:rPr>
          <w:rFonts w:hint="eastAsia"/>
          <w:bCs/>
          <w:color w:val="auto"/>
          <w:highlight w:val="none"/>
        </w:rPr>
        <w:t>本项目专门面向中小企业/小微企业采购，供应商应为中小微企业或监狱企业或残疾人福利性单位</w:t>
      </w:r>
    </w:p>
    <w:p w14:paraId="1F4F4EB3">
      <w:pPr>
        <w:pStyle w:val="11"/>
        <w:spacing w:line="300" w:lineRule="auto"/>
        <w:ind w:firstLine="480" w:firstLineChars="200"/>
        <w:rPr>
          <w:color w:val="auto"/>
          <w:highlight w:val="none"/>
          <w:lang w:val="en-US"/>
        </w:rPr>
      </w:pPr>
      <w:r>
        <w:rPr>
          <w:rFonts w:hint="eastAsia"/>
          <w:color w:val="auto"/>
          <w:highlight w:val="none"/>
          <w:lang w:val="en-US"/>
        </w:rPr>
        <w:t>3.</w:t>
      </w:r>
      <w:r>
        <w:rPr>
          <w:rFonts w:hint="eastAsia"/>
          <w:bCs/>
          <w:color w:val="auto"/>
          <w:highlight w:val="none"/>
        </w:rPr>
        <w:t>本项目的特定资格要求：无</w:t>
      </w:r>
    </w:p>
    <w:p w14:paraId="17CA48C4">
      <w:pPr>
        <w:spacing w:line="360" w:lineRule="auto"/>
        <w:rPr>
          <w:b/>
          <w:bCs/>
          <w:color w:val="auto"/>
          <w:sz w:val="24"/>
          <w:szCs w:val="24"/>
          <w:highlight w:val="none"/>
        </w:rPr>
      </w:pPr>
      <w:r>
        <w:rPr>
          <w:rFonts w:hint="eastAsia"/>
          <w:b/>
          <w:bCs/>
          <w:color w:val="auto"/>
          <w:sz w:val="24"/>
          <w:szCs w:val="24"/>
          <w:highlight w:val="none"/>
        </w:rPr>
        <w:t>三、获取（下载）采购文件</w:t>
      </w:r>
    </w:p>
    <w:p w14:paraId="7A6187AA">
      <w:pPr>
        <w:pStyle w:val="11"/>
        <w:spacing w:line="300" w:lineRule="auto"/>
        <w:ind w:firstLine="480" w:firstLineChars="200"/>
        <w:rPr>
          <w:color w:val="auto"/>
          <w:highlight w:val="none"/>
          <w:lang w:val="en-US"/>
        </w:rPr>
      </w:pPr>
      <w:r>
        <w:rPr>
          <w:rFonts w:hint="eastAsia"/>
          <w:color w:val="auto"/>
          <w:highlight w:val="none"/>
          <w:lang w:val="en-US"/>
        </w:rPr>
        <w:t>时间：发布公告之日至</w:t>
      </w:r>
      <w:r>
        <w:rPr>
          <w:rFonts w:hint="eastAsia"/>
          <w:color w:val="auto"/>
          <w:highlight w:val="none"/>
          <w:u w:val="single"/>
          <w:lang w:val="en-US" w:eastAsia="zh-CN"/>
        </w:rPr>
        <w:t>2025年7月15日</w:t>
      </w:r>
      <w:r>
        <w:rPr>
          <w:rFonts w:hint="eastAsia"/>
          <w:color w:val="auto"/>
          <w:highlight w:val="none"/>
          <w:lang w:val="en-US"/>
        </w:rPr>
        <w:t>，每天上午00:00至12:00，下午 12:00至23:59（北京时间，线上获取法定节假日均可，线下获取文件法定节假日除外）。</w:t>
      </w:r>
    </w:p>
    <w:p w14:paraId="76EC0A7E">
      <w:pPr>
        <w:pStyle w:val="11"/>
        <w:spacing w:line="300" w:lineRule="auto"/>
        <w:ind w:firstLine="480" w:firstLineChars="200"/>
        <w:rPr>
          <w:color w:val="auto"/>
          <w:highlight w:val="none"/>
          <w:lang w:val="en-US"/>
        </w:rPr>
      </w:pPr>
      <w:r>
        <w:rPr>
          <w:rFonts w:hint="eastAsia"/>
          <w:color w:val="auto"/>
          <w:highlight w:val="none"/>
          <w:lang w:val="en-US"/>
        </w:rPr>
        <w:t>地点（网址）：政采云平台线上获取。</w:t>
      </w:r>
    </w:p>
    <w:p w14:paraId="445976DD">
      <w:pPr>
        <w:pStyle w:val="11"/>
        <w:spacing w:line="300" w:lineRule="auto"/>
        <w:ind w:firstLine="480" w:firstLineChars="200"/>
        <w:rPr>
          <w:color w:val="auto"/>
          <w:highlight w:val="none"/>
          <w:lang w:val="en-US"/>
        </w:rPr>
      </w:pPr>
      <w:r>
        <w:rPr>
          <w:rFonts w:hint="eastAsia"/>
          <w:color w:val="auto"/>
          <w:highlight w:val="none"/>
          <w:lang w:val="en-US"/>
        </w:rPr>
        <w:t>方式：供应商登录政采云平台https://www.zcygov.cn/在线申请获取采购文件（进入“项目采购”应用，在获取采购文件菜单中选择项目，申请获取采购文件）。</w:t>
      </w:r>
    </w:p>
    <w:p w14:paraId="65EA962C">
      <w:pPr>
        <w:pStyle w:val="11"/>
        <w:spacing w:line="300" w:lineRule="auto"/>
        <w:ind w:firstLine="480" w:firstLineChars="200"/>
        <w:rPr>
          <w:color w:val="auto"/>
          <w:highlight w:val="none"/>
          <w:lang w:val="en-US"/>
        </w:rPr>
      </w:pPr>
      <w:r>
        <w:rPr>
          <w:rFonts w:hint="eastAsia"/>
          <w:color w:val="auto"/>
          <w:highlight w:val="none"/>
          <w:lang w:val="en-US"/>
        </w:rPr>
        <w:t>售价：0 元</w:t>
      </w:r>
    </w:p>
    <w:p w14:paraId="722969E8">
      <w:pPr>
        <w:spacing w:line="360" w:lineRule="auto"/>
        <w:rPr>
          <w:b/>
          <w:bCs/>
          <w:color w:val="auto"/>
          <w:sz w:val="24"/>
          <w:szCs w:val="24"/>
          <w:highlight w:val="none"/>
        </w:rPr>
      </w:pPr>
      <w:r>
        <w:rPr>
          <w:rFonts w:hint="eastAsia"/>
          <w:b/>
          <w:bCs/>
          <w:color w:val="auto"/>
          <w:sz w:val="24"/>
          <w:szCs w:val="24"/>
          <w:highlight w:val="none"/>
        </w:rPr>
        <w:t>四、响应文件提交（上传）</w:t>
      </w:r>
    </w:p>
    <w:p w14:paraId="4FA95A59">
      <w:pPr>
        <w:pStyle w:val="11"/>
        <w:spacing w:line="300" w:lineRule="auto"/>
        <w:ind w:firstLine="480" w:firstLineChars="200"/>
        <w:rPr>
          <w:color w:val="auto"/>
          <w:highlight w:val="none"/>
          <w:lang w:val="en-US"/>
        </w:rPr>
      </w:pPr>
      <w:r>
        <w:rPr>
          <w:rFonts w:hint="eastAsia"/>
          <w:color w:val="auto"/>
          <w:highlight w:val="none"/>
          <w:lang w:val="en-US"/>
        </w:rPr>
        <w:t>截止时间：</w:t>
      </w:r>
      <w:r>
        <w:rPr>
          <w:rFonts w:hint="eastAsia"/>
          <w:color w:val="auto"/>
          <w:highlight w:val="none"/>
          <w:u w:val="single"/>
          <w:lang w:val="en-US" w:eastAsia="zh-CN"/>
        </w:rPr>
        <w:t>2025年7月15日09:00</w:t>
      </w:r>
      <w:r>
        <w:rPr>
          <w:rFonts w:hint="eastAsia"/>
          <w:color w:val="auto"/>
          <w:highlight w:val="none"/>
          <w:lang w:val="en-US"/>
        </w:rPr>
        <w:t>（北京时间）</w:t>
      </w:r>
    </w:p>
    <w:p w14:paraId="424AD95B">
      <w:pPr>
        <w:pStyle w:val="11"/>
        <w:spacing w:line="300" w:lineRule="auto"/>
        <w:ind w:firstLine="480" w:firstLineChars="200"/>
        <w:rPr>
          <w:color w:val="auto"/>
          <w:highlight w:val="none"/>
          <w:lang w:val="en-US"/>
        </w:rPr>
      </w:pPr>
      <w:r>
        <w:rPr>
          <w:rFonts w:hint="eastAsia"/>
          <w:color w:val="auto"/>
          <w:highlight w:val="none"/>
          <w:lang w:val="en-US"/>
        </w:rPr>
        <w:t>地点（网址）：请登录政采云投标客户端投标</w:t>
      </w:r>
    </w:p>
    <w:p w14:paraId="4EC5A42D">
      <w:pPr>
        <w:spacing w:line="360" w:lineRule="auto"/>
        <w:rPr>
          <w:b/>
          <w:bCs/>
          <w:color w:val="auto"/>
          <w:sz w:val="24"/>
          <w:szCs w:val="24"/>
          <w:highlight w:val="none"/>
        </w:rPr>
      </w:pPr>
      <w:r>
        <w:rPr>
          <w:rFonts w:hint="eastAsia"/>
          <w:b/>
          <w:bCs/>
          <w:color w:val="auto"/>
          <w:sz w:val="24"/>
          <w:szCs w:val="24"/>
          <w:highlight w:val="none"/>
        </w:rPr>
        <w:t>五、响应文件开启</w:t>
      </w:r>
    </w:p>
    <w:p w14:paraId="01BE2505">
      <w:pPr>
        <w:pStyle w:val="11"/>
        <w:spacing w:line="300" w:lineRule="auto"/>
        <w:ind w:firstLine="480" w:firstLineChars="200"/>
        <w:rPr>
          <w:color w:val="auto"/>
          <w:highlight w:val="none"/>
          <w:lang w:val="en-US"/>
        </w:rPr>
      </w:pPr>
      <w:r>
        <w:rPr>
          <w:rFonts w:hint="eastAsia"/>
          <w:color w:val="auto"/>
          <w:highlight w:val="none"/>
          <w:lang w:val="en-US"/>
        </w:rPr>
        <w:t>开启时间：</w:t>
      </w:r>
      <w:r>
        <w:rPr>
          <w:rFonts w:hint="eastAsia"/>
          <w:color w:val="auto"/>
          <w:highlight w:val="none"/>
          <w:u w:val="single"/>
          <w:lang w:val="en-US" w:eastAsia="zh-CN"/>
        </w:rPr>
        <w:t>2025年7月15日09:00</w:t>
      </w:r>
      <w:r>
        <w:rPr>
          <w:rFonts w:hint="eastAsia"/>
          <w:color w:val="auto"/>
          <w:highlight w:val="none"/>
          <w:lang w:val="en-US"/>
        </w:rPr>
        <w:t>（北京时间）</w:t>
      </w:r>
    </w:p>
    <w:p w14:paraId="6CCB2648">
      <w:pPr>
        <w:pStyle w:val="11"/>
        <w:spacing w:line="300" w:lineRule="auto"/>
        <w:ind w:firstLine="480" w:firstLineChars="200"/>
        <w:rPr>
          <w:rFonts w:hint="eastAsia" w:eastAsia="仿宋"/>
          <w:color w:val="auto"/>
          <w:highlight w:val="none"/>
          <w:lang w:val="en-US" w:eastAsia="zh-CN"/>
        </w:rPr>
      </w:pPr>
      <w:r>
        <w:rPr>
          <w:rFonts w:hint="eastAsia"/>
          <w:color w:val="auto"/>
          <w:highlight w:val="none"/>
          <w:lang w:val="en-US"/>
        </w:rPr>
        <w:t>地点（网址）：</w:t>
      </w:r>
      <w:r>
        <w:rPr>
          <w:rFonts w:hint="eastAsia"/>
          <w:color w:val="auto"/>
          <w:highlight w:val="none"/>
        </w:rPr>
        <w:t>浙江政府采购网—用户入驻/登录—用户登录—项目采购—开标评标—进入开标大厅</w:t>
      </w:r>
    </w:p>
    <w:p w14:paraId="273EB68E">
      <w:pPr>
        <w:spacing w:line="360" w:lineRule="auto"/>
        <w:rPr>
          <w:b/>
          <w:bCs/>
          <w:color w:val="auto"/>
          <w:sz w:val="24"/>
          <w:szCs w:val="24"/>
          <w:highlight w:val="none"/>
        </w:rPr>
      </w:pPr>
      <w:r>
        <w:rPr>
          <w:rFonts w:hint="eastAsia"/>
          <w:b/>
          <w:bCs/>
          <w:color w:val="auto"/>
          <w:sz w:val="24"/>
          <w:szCs w:val="24"/>
          <w:highlight w:val="none"/>
        </w:rPr>
        <w:t>六、公告期限</w:t>
      </w:r>
    </w:p>
    <w:p w14:paraId="5E07C5A5">
      <w:pPr>
        <w:pStyle w:val="11"/>
        <w:spacing w:line="300" w:lineRule="auto"/>
        <w:ind w:firstLine="480" w:firstLineChars="200"/>
        <w:rPr>
          <w:color w:val="auto"/>
          <w:highlight w:val="none"/>
          <w:lang w:val="en-US"/>
        </w:rPr>
      </w:pPr>
      <w:r>
        <w:rPr>
          <w:rFonts w:hint="eastAsia"/>
          <w:color w:val="auto"/>
          <w:highlight w:val="none"/>
          <w:lang w:val="en-US"/>
        </w:rPr>
        <w:t>自本公告发布之日起 3 个工作日。</w:t>
      </w:r>
    </w:p>
    <w:p w14:paraId="654112CF">
      <w:pPr>
        <w:spacing w:line="360" w:lineRule="auto"/>
        <w:rPr>
          <w:b/>
          <w:bCs/>
          <w:color w:val="auto"/>
          <w:sz w:val="24"/>
          <w:szCs w:val="24"/>
          <w:highlight w:val="none"/>
        </w:rPr>
      </w:pPr>
      <w:r>
        <w:rPr>
          <w:rFonts w:hint="eastAsia"/>
          <w:b/>
          <w:bCs/>
          <w:color w:val="auto"/>
          <w:sz w:val="24"/>
          <w:szCs w:val="24"/>
          <w:highlight w:val="none"/>
          <w:lang w:val="en-US"/>
        </w:rPr>
        <w:t>七</w:t>
      </w:r>
      <w:r>
        <w:rPr>
          <w:rFonts w:hint="eastAsia"/>
          <w:b/>
          <w:bCs/>
          <w:color w:val="auto"/>
          <w:sz w:val="24"/>
          <w:szCs w:val="24"/>
          <w:highlight w:val="none"/>
        </w:rPr>
        <w:t>、其他补充事宜</w:t>
      </w:r>
    </w:p>
    <w:p w14:paraId="7E172B5C">
      <w:pPr>
        <w:pStyle w:val="11"/>
        <w:spacing w:line="300" w:lineRule="auto"/>
        <w:ind w:firstLine="480" w:firstLineChars="200"/>
        <w:rPr>
          <w:rFonts w:hint="eastAsia"/>
          <w:color w:val="auto"/>
          <w:highlight w:val="none"/>
          <w:lang w:val="en-US"/>
        </w:rPr>
      </w:pPr>
      <w:r>
        <w:rPr>
          <w:rFonts w:hint="eastAsia"/>
          <w:color w:val="auto"/>
          <w:highlight w:val="none"/>
          <w:lang w:val="en-US"/>
        </w:rPr>
        <w:t>1.《浙江省财政厅关于进一步发挥政府采购政策功能全力推动经济稳进提质的通知》（浙财采监</w:t>
      </w:r>
      <w:r>
        <w:rPr>
          <w:rFonts w:hint="eastAsia"/>
          <w:color w:val="auto"/>
          <w:highlight w:val="none"/>
          <w:lang w:val="en-US" w:eastAsia="zh-CN"/>
        </w:rPr>
        <w:t>〔2022〕3号</w:t>
      </w:r>
      <w:r>
        <w:rPr>
          <w:rFonts w:hint="eastAsia"/>
          <w:color w:val="auto"/>
          <w:highlight w:val="none"/>
          <w:lang w:val="en-US"/>
        </w:rPr>
        <w:t>）、《浙江省财政厅关于进一步促进政府采购公平竞争打造最优营商环境的通知》（浙财采监</w:t>
      </w:r>
      <w:r>
        <w:rPr>
          <w:rFonts w:hint="eastAsia"/>
          <w:color w:val="auto"/>
          <w:highlight w:val="none"/>
          <w:lang w:val="en-US" w:eastAsia="zh-CN"/>
        </w:rPr>
        <w:t>〔2021〕22号</w:t>
      </w:r>
      <w:r>
        <w:rPr>
          <w:rFonts w:hint="eastAsia"/>
          <w:color w:val="auto"/>
          <w:highlight w:val="none"/>
          <w:lang w:val="en-US"/>
        </w:rPr>
        <w:t>）、《浙江省财政厅关于进一步加大政府采购支持中小企业力度助力扎实稳住经济的通知》（浙财采监</w:t>
      </w:r>
      <w:r>
        <w:rPr>
          <w:rFonts w:hint="eastAsia"/>
          <w:color w:val="auto"/>
          <w:highlight w:val="none"/>
          <w:lang w:val="en-US" w:eastAsia="zh-CN"/>
        </w:rPr>
        <w:t>〔2022〕8号</w:t>
      </w:r>
      <w:r>
        <w:rPr>
          <w:rFonts w:hint="eastAsia"/>
          <w:color w:val="auto"/>
          <w:highlight w:val="none"/>
          <w:lang w:val="en-US"/>
        </w:rPr>
        <w:t>）已分别于2022年1月29日、2022年2月1日和2022年7月1日开始实施，此前有关规定与上述文件内容不一致的，按上述文件要求执行。</w:t>
      </w:r>
    </w:p>
    <w:p w14:paraId="67267040">
      <w:pPr>
        <w:pStyle w:val="11"/>
        <w:spacing w:line="300" w:lineRule="auto"/>
        <w:ind w:firstLine="480" w:firstLineChars="200"/>
        <w:rPr>
          <w:rFonts w:hint="eastAsia"/>
          <w:color w:val="auto"/>
          <w:highlight w:val="none"/>
          <w:lang w:val="en-US"/>
        </w:rPr>
      </w:pPr>
      <w:r>
        <w:rPr>
          <w:rFonts w:hint="eastAsia"/>
          <w:color w:val="auto"/>
          <w:highlight w:val="none"/>
          <w:lang w:val="en-US"/>
        </w:rPr>
        <w:t>2.根据《浙江省财政厅关于进一步促进政府采购公平竞争打造最优营商环境的通知》（浙财采监</w:t>
      </w:r>
      <w:r>
        <w:rPr>
          <w:rFonts w:hint="eastAsia"/>
          <w:color w:val="auto"/>
          <w:highlight w:val="none"/>
          <w:lang w:val="en-US" w:eastAsia="zh-CN"/>
        </w:rPr>
        <w:t>〔2021〕22号</w:t>
      </w:r>
      <w:r>
        <w:rPr>
          <w:rFonts w:hint="eastAsia"/>
          <w:color w:val="auto"/>
          <w:highlight w:val="none"/>
          <w:lang w:val="en-US"/>
        </w:rPr>
        <w:t xml:space="preserve">）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40019DE9">
      <w:pPr>
        <w:pStyle w:val="11"/>
        <w:spacing w:line="300" w:lineRule="auto"/>
        <w:ind w:firstLine="480" w:firstLineChars="200"/>
        <w:rPr>
          <w:rFonts w:hint="eastAsia"/>
          <w:color w:val="auto"/>
          <w:highlight w:val="none"/>
          <w:lang w:val="en-US"/>
        </w:rPr>
      </w:pPr>
      <w:r>
        <w:rPr>
          <w:rFonts w:hint="eastAsia"/>
          <w:color w:val="auto"/>
          <w:highlight w:val="none"/>
          <w:lang w:val="en-US"/>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0C1F354">
      <w:pPr>
        <w:pStyle w:val="11"/>
        <w:spacing w:line="300" w:lineRule="auto"/>
        <w:ind w:firstLine="480" w:firstLineChars="200"/>
        <w:rPr>
          <w:rFonts w:hint="eastAsia"/>
          <w:color w:val="auto"/>
          <w:highlight w:val="none"/>
          <w:lang w:val="en-US"/>
        </w:rPr>
      </w:pPr>
      <w:r>
        <w:rPr>
          <w:rFonts w:hint="eastAsia"/>
          <w:color w:val="auto"/>
          <w:highlight w:val="none"/>
          <w:lang w:val="en-US"/>
        </w:rPr>
        <w:t>4.其他事项：</w:t>
      </w:r>
    </w:p>
    <w:p w14:paraId="106AC500">
      <w:pPr>
        <w:pStyle w:val="11"/>
        <w:spacing w:line="300" w:lineRule="auto"/>
        <w:ind w:firstLine="480" w:firstLineChars="200"/>
        <w:rPr>
          <w:color w:val="auto"/>
          <w:highlight w:val="none"/>
          <w:lang w:val="en-US"/>
        </w:rPr>
      </w:pPr>
      <w:r>
        <w:rPr>
          <w:rFonts w:hint="eastAsia"/>
          <w:color w:val="auto"/>
          <w:highlight w:val="none"/>
          <w:lang w:val="en-US"/>
        </w:rPr>
        <w:t>（1）潜在供应商应当依照本公告第三条第3款规定方式获取采购文件，其他渠道获取采购文件的，不得对采购文件提起质疑投诉。</w:t>
      </w:r>
    </w:p>
    <w:p w14:paraId="6C3F8D40">
      <w:pPr>
        <w:pStyle w:val="11"/>
        <w:spacing w:line="300" w:lineRule="auto"/>
        <w:ind w:firstLine="480" w:firstLineChars="200"/>
        <w:rPr>
          <w:color w:val="auto"/>
          <w:highlight w:val="none"/>
          <w:lang w:val="en-US"/>
        </w:rPr>
      </w:pPr>
      <w:r>
        <w:rPr>
          <w:rFonts w:hint="eastAsia"/>
          <w:color w:val="auto"/>
          <w:highlight w:val="none"/>
          <w:lang w:val="en-US"/>
        </w:rPr>
        <w:t>（2）备份投标文件：供应商自行确定是否提交；若提交请在投标文件截止时间前将备份投标文件打包压缩加密后（未加密造成泄密的由供应商自行承担）以电子邮件的形式发至779740329@qq.com</w:t>
      </w:r>
      <w:r>
        <w:rPr>
          <w:rFonts w:hint="eastAsia"/>
          <w:color w:val="auto"/>
          <w:highlight w:val="none"/>
          <w:u w:val="none"/>
          <w:lang w:val="en-US"/>
        </w:rPr>
        <w:t>，备份投标文件在“电子投标文件”在线解密失败后启用，否则不予以启用。</w:t>
      </w:r>
    </w:p>
    <w:p w14:paraId="0160912B">
      <w:pPr>
        <w:spacing w:line="360" w:lineRule="auto"/>
        <w:rPr>
          <w:b/>
          <w:bCs/>
          <w:color w:val="auto"/>
          <w:sz w:val="24"/>
          <w:szCs w:val="24"/>
          <w:highlight w:val="none"/>
        </w:rPr>
      </w:pPr>
      <w:r>
        <w:rPr>
          <w:rFonts w:hint="eastAsia"/>
          <w:b/>
          <w:bCs/>
          <w:color w:val="auto"/>
          <w:sz w:val="24"/>
          <w:szCs w:val="24"/>
          <w:highlight w:val="none"/>
          <w:lang w:val="en-US"/>
        </w:rPr>
        <w:t>八、</w:t>
      </w:r>
      <w:r>
        <w:rPr>
          <w:rFonts w:hint="eastAsia"/>
          <w:b/>
          <w:bCs/>
          <w:color w:val="auto"/>
          <w:sz w:val="24"/>
          <w:szCs w:val="24"/>
          <w:highlight w:val="none"/>
        </w:rPr>
        <w:t>凡对本次招标提出询问、质疑、投诉，请按以下方式联系</w:t>
      </w:r>
    </w:p>
    <w:p w14:paraId="760ABCDD">
      <w:pPr>
        <w:pStyle w:val="11"/>
        <w:spacing w:line="300" w:lineRule="auto"/>
        <w:ind w:firstLine="480" w:firstLineChars="200"/>
        <w:rPr>
          <w:color w:val="auto"/>
          <w:highlight w:val="none"/>
          <w:lang w:val="en-US"/>
        </w:rPr>
      </w:pPr>
      <w:r>
        <w:rPr>
          <w:rFonts w:hint="eastAsia"/>
          <w:color w:val="auto"/>
          <w:highlight w:val="none"/>
          <w:lang w:val="en-US"/>
        </w:rPr>
        <w:t>1.采购人信息</w:t>
      </w:r>
    </w:p>
    <w:p w14:paraId="1C124DDA">
      <w:pPr>
        <w:pStyle w:val="28"/>
        <w:spacing w:line="300" w:lineRule="auto"/>
        <w:ind w:firstLine="720" w:firstLineChars="300"/>
        <w:rPr>
          <w:rFonts w:ascii="仿宋"/>
          <w:color w:val="auto"/>
          <w:highlight w:val="none"/>
        </w:rPr>
      </w:pPr>
      <w:r>
        <w:rPr>
          <w:rFonts w:hint="eastAsia" w:ascii="仿宋"/>
          <w:color w:val="auto"/>
          <w:highlight w:val="none"/>
        </w:rPr>
        <w:t>名    称：</w:t>
      </w:r>
      <w:r>
        <w:rPr>
          <w:rFonts w:hint="eastAsia" w:ascii="仿宋"/>
          <w:color w:val="auto"/>
          <w:highlight w:val="none"/>
          <w:lang w:eastAsia="zh-CN"/>
        </w:rPr>
        <w:t>遂昌县体育事业发展中心</w:t>
      </w:r>
      <w:r>
        <w:rPr>
          <w:rFonts w:hint="eastAsia" w:ascii="仿宋"/>
          <w:color w:val="auto"/>
          <w:highlight w:val="none"/>
        </w:rPr>
        <w:t>    </w:t>
      </w:r>
    </w:p>
    <w:p w14:paraId="1BA7CE89">
      <w:pPr>
        <w:pStyle w:val="28"/>
        <w:spacing w:line="300" w:lineRule="auto"/>
        <w:ind w:firstLine="720" w:firstLineChars="300"/>
        <w:rPr>
          <w:rFonts w:hint="eastAsia" w:ascii="仿宋"/>
          <w:color w:val="auto"/>
          <w:highlight w:val="none"/>
          <w:lang w:val="en-US" w:eastAsia="zh-CN"/>
        </w:rPr>
      </w:pPr>
      <w:r>
        <w:rPr>
          <w:rFonts w:hint="eastAsia" w:ascii="仿宋"/>
          <w:color w:val="auto"/>
          <w:highlight w:val="none"/>
          <w:lang w:val="en-US" w:eastAsia="zh-CN"/>
        </w:rPr>
        <w:t>地    址：遂昌县妙高街道上南门6号   </w:t>
      </w:r>
    </w:p>
    <w:p w14:paraId="4F46273A">
      <w:pPr>
        <w:widowControl/>
        <w:snapToGrid w:val="0"/>
        <w:spacing w:line="360" w:lineRule="auto"/>
        <w:ind w:firstLine="720" w:firstLineChars="300"/>
        <w:jc w:val="left"/>
        <w:rPr>
          <w:rFonts w:hint="eastAsia" w:ascii="仿宋" w:hAnsi="仿宋" w:eastAsia="仿宋" w:cs="宋体"/>
          <w:color w:val="auto"/>
          <w:sz w:val="24"/>
        </w:rPr>
      </w:pPr>
      <w:r>
        <w:rPr>
          <w:rFonts w:hint="eastAsia" w:ascii="仿宋" w:hAnsi="仿宋" w:eastAsia="仿宋" w:cs="宋体"/>
          <w:color w:val="auto"/>
          <w:sz w:val="24"/>
        </w:rPr>
        <w:t>项目联系人（询问）：李思军</w:t>
      </w:r>
    </w:p>
    <w:p w14:paraId="28A97570">
      <w:pPr>
        <w:widowControl/>
        <w:snapToGrid w:val="0"/>
        <w:spacing w:line="360" w:lineRule="auto"/>
        <w:ind w:firstLine="720" w:firstLineChars="300"/>
        <w:jc w:val="left"/>
        <w:rPr>
          <w:rFonts w:hint="eastAsia" w:ascii="仿宋" w:hAnsi="仿宋" w:eastAsia="仿宋" w:cs="宋体"/>
          <w:color w:val="auto"/>
          <w:sz w:val="24"/>
        </w:rPr>
      </w:pPr>
      <w:r>
        <w:rPr>
          <w:rFonts w:hint="eastAsia" w:ascii="仿宋" w:hAnsi="仿宋" w:eastAsia="仿宋" w:cs="宋体"/>
          <w:color w:val="auto"/>
          <w:sz w:val="24"/>
        </w:rPr>
        <w:t>联系方式：13735967488</w:t>
      </w:r>
    </w:p>
    <w:p w14:paraId="58576CBC">
      <w:pPr>
        <w:widowControl/>
        <w:snapToGrid w:val="0"/>
        <w:spacing w:line="360" w:lineRule="auto"/>
        <w:ind w:firstLine="720" w:firstLineChars="300"/>
        <w:jc w:val="left"/>
        <w:rPr>
          <w:rFonts w:ascii="仿宋" w:hAnsi="仿宋" w:eastAsia="仿宋" w:cs="宋体"/>
          <w:color w:val="auto"/>
          <w:sz w:val="24"/>
        </w:rPr>
      </w:pPr>
      <w:r>
        <w:rPr>
          <w:rFonts w:hint="eastAsia" w:ascii="仿宋" w:hAnsi="仿宋" w:eastAsia="仿宋" w:cs="宋体"/>
          <w:color w:val="auto"/>
          <w:sz w:val="24"/>
        </w:rPr>
        <w:t>质疑联系人：雷晓霞</w:t>
      </w:r>
    </w:p>
    <w:p w14:paraId="09707AE1">
      <w:pPr>
        <w:widowControl/>
        <w:snapToGrid w:val="0"/>
        <w:spacing w:line="360" w:lineRule="auto"/>
        <w:ind w:firstLine="720" w:firstLineChars="300"/>
        <w:jc w:val="left"/>
        <w:rPr>
          <w:rFonts w:hint="eastAsia" w:ascii="仿宋" w:hAnsi="仿宋" w:eastAsia="仿宋" w:cs="宋体"/>
          <w:color w:val="auto"/>
          <w:sz w:val="24"/>
        </w:rPr>
      </w:pPr>
      <w:r>
        <w:rPr>
          <w:rFonts w:hint="eastAsia" w:ascii="仿宋" w:hAnsi="仿宋" w:eastAsia="仿宋" w:cs="宋体"/>
          <w:color w:val="auto"/>
          <w:sz w:val="24"/>
        </w:rPr>
        <w:t>质疑联系方式：15990877503</w:t>
      </w:r>
    </w:p>
    <w:p w14:paraId="196198D6">
      <w:pPr>
        <w:pStyle w:val="28"/>
        <w:spacing w:line="300" w:lineRule="auto"/>
        <w:ind w:firstLine="480" w:firstLineChars="200"/>
        <w:rPr>
          <w:rFonts w:ascii="仿宋"/>
          <w:color w:val="auto"/>
          <w:highlight w:val="none"/>
        </w:rPr>
      </w:pPr>
    </w:p>
    <w:p w14:paraId="582C17E8">
      <w:pPr>
        <w:pStyle w:val="28"/>
        <w:spacing w:line="300" w:lineRule="auto"/>
        <w:ind w:firstLine="480" w:firstLineChars="200"/>
        <w:rPr>
          <w:rFonts w:ascii="仿宋"/>
          <w:color w:val="auto"/>
          <w:highlight w:val="none"/>
        </w:rPr>
      </w:pPr>
      <w:r>
        <w:rPr>
          <w:rFonts w:hint="eastAsia" w:ascii="仿宋"/>
          <w:color w:val="auto"/>
          <w:highlight w:val="none"/>
        </w:rPr>
        <w:t>2.采购代理机构信息            </w:t>
      </w:r>
    </w:p>
    <w:p w14:paraId="4E8B6E43">
      <w:pPr>
        <w:pStyle w:val="28"/>
        <w:spacing w:line="300" w:lineRule="auto"/>
        <w:ind w:firstLine="720" w:firstLineChars="300"/>
        <w:rPr>
          <w:rFonts w:ascii="仿宋"/>
          <w:color w:val="auto"/>
          <w:highlight w:val="none"/>
        </w:rPr>
      </w:pPr>
      <w:r>
        <w:rPr>
          <w:rFonts w:hint="eastAsia" w:ascii="仿宋"/>
          <w:color w:val="auto"/>
          <w:highlight w:val="none"/>
        </w:rPr>
        <w:t>名    称：浙江至诚工程咨询有限责任公司</w:t>
      </w:r>
    </w:p>
    <w:p w14:paraId="6516D2C5">
      <w:pPr>
        <w:pStyle w:val="28"/>
        <w:spacing w:line="300" w:lineRule="auto"/>
        <w:ind w:firstLine="720" w:firstLineChars="300"/>
        <w:rPr>
          <w:rFonts w:hint="eastAsia" w:ascii="仿宋"/>
          <w:color w:val="auto"/>
          <w:highlight w:val="none"/>
        </w:rPr>
      </w:pPr>
      <w:r>
        <w:rPr>
          <w:rFonts w:hint="eastAsia" w:ascii="仿宋"/>
          <w:color w:val="auto"/>
          <w:highlight w:val="none"/>
        </w:rPr>
        <w:t>地    址：</w:t>
      </w:r>
      <w:r>
        <w:rPr>
          <w:rFonts w:hint="eastAsia" w:ascii="仿宋"/>
          <w:color w:val="auto"/>
          <w:highlight w:val="none"/>
          <w:lang w:eastAsia="zh-CN"/>
        </w:rPr>
        <w:t>遂昌县妙高街道凯恩路224号三楼</w:t>
      </w:r>
      <w:r>
        <w:rPr>
          <w:rFonts w:hint="eastAsia" w:ascii="仿宋"/>
          <w:color w:val="auto"/>
          <w:highlight w:val="none"/>
        </w:rPr>
        <w:t>           </w:t>
      </w:r>
    </w:p>
    <w:p w14:paraId="6269A6F1">
      <w:pPr>
        <w:pStyle w:val="28"/>
        <w:spacing w:line="300" w:lineRule="auto"/>
        <w:ind w:firstLine="720" w:firstLineChars="300"/>
        <w:rPr>
          <w:rFonts w:hint="eastAsia" w:ascii="仿宋"/>
          <w:color w:val="auto"/>
          <w:highlight w:val="none"/>
          <w:lang w:val="en-US"/>
        </w:rPr>
      </w:pPr>
      <w:r>
        <w:rPr>
          <w:rFonts w:hint="eastAsia" w:ascii="仿宋"/>
          <w:color w:val="auto"/>
          <w:highlight w:val="none"/>
        </w:rPr>
        <w:t>项目联系人（询问）：蓝秋萍</w:t>
      </w:r>
      <w:r>
        <w:rPr>
          <w:rFonts w:hint="eastAsia" w:ascii="仿宋"/>
          <w:color w:val="auto"/>
          <w:highlight w:val="none"/>
          <w:lang w:val="en-US"/>
        </w:rPr>
        <w:t xml:space="preserve">          </w:t>
      </w:r>
    </w:p>
    <w:p w14:paraId="7052C2F5">
      <w:pPr>
        <w:pStyle w:val="28"/>
        <w:spacing w:line="300" w:lineRule="auto"/>
        <w:ind w:firstLine="720" w:firstLineChars="300"/>
        <w:rPr>
          <w:rFonts w:hint="eastAsia" w:ascii="仿宋"/>
          <w:color w:val="auto"/>
          <w:highlight w:val="none"/>
          <w:lang w:val="en-US" w:eastAsia="zh-CN"/>
        </w:rPr>
      </w:pPr>
      <w:r>
        <w:rPr>
          <w:rFonts w:hint="eastAsia" w:ascii="仿宋"/>
          <w:color w:val="auto"/>
          <w:highlight w:val="none"/>
        </w:rPr>
        <w:t>项目联系方式（询问）：</w:t>
      </w:r>
      <w:r>
        <w:rPr>
          <w:rFonts w:hint="eastAsia" w:ascii="仿宋"/>
          <w:color w:val="auto"/>
          <w:highlight w:val="none"/>
          <w:lang w:val="en-US" w:eastAsia="zh-CN"/>
        </w:rPr>
        <w:t>18164539863</w:t>
      </w:r>
    </w:p>
    <w:p w14:paraId="456F4716">
      <w:pPr>
        <w:pStyle w:val="28"/>
        <w:spacing w:line="300" w:lineRule="auto"/>
        <w:ind w:firstLine="720" w:firstLineChars="300"/>
        <w:rPr>
          <w:rFonts w:hint="eastAsia" w:ascii="仿宋"/>
          <w:color w:val="auto"/>
          <w:highlight w:val="none"/>
          <w:lang w:val="en-US"/>
        </w:rPr>
      </w:pPr>
      <w:r>
        <w:rPr>
          <w:rFonts w:hint="eastAsia" w:ascii="仿宋"/>
          <w:color w:val="auto"/>
          <w:highlight w:val="none"/>
        </w:rPr>
        <w:t>质疑联系人：</w:t>
      </w:r>
      <w:r>
        <w:rPr>
          <w:rFonts w:hint="eastAsia" w:ascii="仿宋"/>
          <w:color w:val="auto"/>
          <w:highlight w:val="none"/>
          <w:lang w:val="en-US"/>
        </w:rPr>
        <w:t>黄萍</w:t>
      </w:r>
      <w:r>
        <w:rPr>
          <w:rFonts w:hint="eastAsia" w:ascii="仿宋"/>
          <w:color w:val="auto"/>
          <w:highlight w:val="none"/>
        </w:rPr>
        <w:t xml:space="preserve">             </w:t>
      </w:r>
      <w:r>
        <w:rPr>
          <w:rFonts w:hint="eastAsia" w:ascii="仿宋"/>
          <w:color w:val="auto"/>
          <w:highlight w:val="none"/>
          <w:lang w:val="en-US"/>
        </w:rPr>
        <w:t xml:space="preserve">       </w:t>
      </w:r>
    </w:p>
    <w:p w14:paraId="188FEDAC">
      <w:pPr>
        <w:pStyle w:val="28"/>
        <w:spacing w:line="300" w:lineRule="auto"/>
        <w:ind w:firstLine="720" w:firstLineChars="300"/>
        <w:rPr>
          <w:rFonts w:hint="eastAsia" w:ascii="仿宋"/>
          <w:color w:val="auto"/>
          <w:highlight w:val="none"/>
          <w:lang w:val="en-US"/>
        </w:rPr>
      </w:pPr>
      <w:r>
        <w:rPr>
          <w:rFonts w:hint="eastAsia" w:ascii="仿宋"/>
          <w:color w:val="auto"/>
          <w:highlight w:val="none"/>
        </w:rPr>
        <w:t>质疑联系方式：</w:t>
      </w:r>
      <w:r>
        <w:rPr>
          <w:rFonts w:hint="eastAsia" w:ascii="仿宋"/>
          <w:color w:val="auto"/>
          <w:highlight w:val="none"/>
          <w:lang w:val="en-US"/>
        </w:rPr>
        <w:t>13957067961</w:t>
      </w:r>
    </w:p>
    <w:p w14:paraId="3775E2AA">
      <w:pPr>
        <w:pStyle w:val="28"/>
        <w:spacing w:line="300" w:lineRule="auto"/>
        <w:ind w:firstLine="720" w:firstLineChars="300"/>
        <w:rPr>
          <w:rFonts w:hint="eastAsia" w:ascii="仿宋"/>
          <w:color w:val="auto"/>
          <w:highlight w:val="none"/>
        </w:rPr>
      </w:pPr>
    </w:p>
    <w:p w14:paraId="4584D4B4">
      <w:pPr>
        <w:pStyle w:val="28"/>
        <w:spacing w:line="300" w:lineRule="auto"/>
        <w:ind w:firstLine="480" w:firstLineChars="200"/>
        <w:rPr>
          <w:rFonts w:hint="eastAsia" w:ascii="仿宋"/>
          <w:color w:val="auto"/>
          <w:highlight w:val="none"/>
        </w:rPr>
      </w:pPr>
      <w:r>
        <w:rPr>
          <w:rFonts w:hint="eastAsia" w:ascii="仿宋"/>
          <w:color w:val="auto"/>
          <w:highlight w:val="none"/>
        </w:rPr>
        <w:t>3.同级政府采购监督管理部门</w:t>
      </w:r>
    </w:p>
    <w:p w14:paraId="2A903348">
      <w:pPr>
        <w:pStyle w:val="28"/>
        <w:spacing w:line="300" w:lineRule="auto"/>
        <w:ind w:firstLine="720" w:firstLineChars="300"/>
        <w:rPr>
          <w:rFonts w:hint="eastAsia" w:ascii="仿宋"/>
          <w:color w:val="auto"/>
          <w:highlight w:val="none"/>
        </w:rPr>
      </w:pPr>
      <w:r>
        <w:rPr>
          <w:rFonts w:hint="eastAsia" w:ascii="仿宋"/>
          <w:color w:val="auto"/>
          <w:highlight w:val="none"/>
        </w:rPr>
        <w:t>名  称：遂昌县财政局</w:t>
      </w:r>
    </w:p>
    <w:p w14:paraId="5575AD7C">
      <w:pPr>
        <w:pStyle w:val="28"/>
        <w:spacing w:line="300" w:lineRule="auto"/>
        <w:ind w:firstLine="720" w:firstLineChars="300"/>
        <w:rPr>
          <w:rFonts w:hint="eastAsia" w:ascii="仿宋"/>
          <w:color w:val="auto"/>
          <w:highlight w:val="none"/>
        </w:rPr>
      </w:pPr>
      <w:r>
        <w:rPr>
          <w:rFonts w:hint="eastAsia" w:ascii="仿宋"/>
          <w:color w:val="auto"/>
          <w:highlight w:val="none"/>
        </w:rPr>
        <w:t>地  址：遂昌县妙高街道南街66号</w:t>
      </w:r>
    </w:p>
    <w:p w14:paraId="56FF06A9">
      <w:pPr>
        <w:pStyle w:val="28"/>
        <w:spacing w:line="300" w:lineRule="auto"/>
        <w:ind w:firstLine="720" w:firstLineChars="300"/>
        <w:rPr>
          <w:rFonts w:hint="eastAsia" w:ascii="仿宋"/>
          <w:color w:val="auto"/>
          <w:highlight w:val="none"/>
        </w:rPr>
      </w:pPr>
      <w:r>
        <w:rPr>
          <w:rFonts w:hint="eastAsia" w:ascii="仿宋"/>
          <w:color w:val="auto"/>
          <w:highlight w:val="none"/>
        </w:rPr>
        <w:t>传  真：0578-8121718</w:t>
      </w:r>
    </w:p>
    <w:p w14:paraId="1CD9928D">
      <w:pPr>
        <w:pStyle w:val="28"/>
        <w:spacing w:line="300" w:lineRule="auto"/>
        <w:ind w:firstLine="720" w:firstLineChars="300"/>
        <w:rPr>
          <w:rFonts w:hint="eastAsia" w:ascii="仿宋"/>
          <w:color w:val="auto"/>
          <w:highlight w:val="none"/>
        </w:rPr>
      </w:pPr>
      <w:r>
        <w:rPr>
          <w:rFonts w:hint="eastAsia" w:ascii="仿宋"/>
          <w:color w:val="auto"/>
          <w:highlight w:val="none"/>
        </w:rPr>
        <w:t>联系人：李先生</w:t>
      </w:r>
    </w:p>
    <w:p w14:paraId="4DAD8A8B">
      <w:pPr>
        <w:pStyle w:val="28"/>
        <w:spacing w:line="300" w:lineRule="auto"/>
        <w:ind w:firstLine="720" w:firstLineChars="300"/>
        <w:rPr>
          <w:rFonts w:hint="eastAsia" w:ascii="仿宋"/>
          <w:color w:val="auto"/>
          <w:highlight w:val="none"/>
        </w:rPr>
      </w:pPr>
      <w:r>
        <w:rPr>
          <w:rFonts w:hint="eastAsia" w:ascii="仿宋"/>
          <w:color w:val="auto"/>
          <w:highlight w:val="none"/>
        </w:rPr>
        <w:t>监督投诉电话：0578-8121718</w:t>
      </w:r>
    </w:p>
    <w:p w14:paraId="5A71AE3F">
      <w:pPr>
        <w:pStyle w:val="11"/>
        <w:spacing w:line="300" w:lineRule="auto"/>
        <w:rPr>
          <w:b/>
          <w:bCs/>
          <w:color w:val="auto"/>
          <w:highlight w:val="none"/>
        </w:rPr>
      </w:pPr>
    </w:p>
    <w:p w14:paraId="2C8FCD67">
      <w:pPr>
        <w:pStyle w:val="12"/>
        <w:rPr>
          <w:color w:val="auto"/>
          <w:highlight w:val="none"/>
        </w:rPr>
      </w:pPr>
    </w:p>
    <w:p w14:paraId="6988AD9A">
      <w:pPr>
        <w:pStyle w:val="11"/>
        <w:spacing w:line="300" w:lineRule="auto"/>
        <w:rPr>
          <w:b/>
          <w:bCs/>
          <w:color w:val="auto"/>
          <w:highlight w:val="none"/>
        </w:rPr>
      </w:pPr>
      <w:r>
        <w:rPr>
          <w:b/>
          <w:bCs/>
          <w:color w:val="auto"/>
          <w:highlight w:val="none"/>
        </w:rPr>
        <w:t>若对项目采购电子交易系统操作有疑问，可登录政采云（https://www.zcygov.cn/），点击右侧咨询小采，获取采小蜜智能服务管家帮助，或拨打政采云服务热线95763获取热线服务帮助。</w:t>
      </w:r>
    </w:p>
    <w:p w14:paraId="0E9DA9E4">
      <w:pPr>
        <w:pStyle w:val="11"/>
        <w:spacing w:line="300" w:lineRule="auto"/>
        <w:ind w:firstLine="482" w:firstLineChars="200"/>
        <w:rPr>
          <w:b/>
          <w:bCs/>
          <w:color w:val="auto"/>
          <w:highlight w:val="none"/>
        </w:rPr>
      </w:pPr>
      <w:r>
        <w:rPr>
          <w:rFonts w:hint="eastAsia"/>
          <w:b/>
          <w:bCs/>
          <w:color w:val="auto"/>
          <w:highlight w:val="none"/>
        </w:rPr>
        <w:t>CA 问题联系电话（人工）：汇信 CA 400-888-4636；天谷 CA 400-087-8198。</w:t>
      </w:r>
    </w:p>
    <w:p w14:paraId="22D0A4D3">
      <w:pPr>
        <w:pStyle w:val="11"/>
        <w:spacing w:line="300" w:lineRule="auto"/>
        <w:rPr>
          <w:color w:val="auto"/>
          <w:highlight w:val="none"/>
        </w:rPr>
      </w:pPr>
    </w:p>
    <w:p w14:paraId="159F0C5A">
      <w:pPr>
        <w:pStyle w:val="11"/>
        <w:spacing w:line="300" w:lineRule="auto"/>
        <w:rPr>
          <w:color w:val="auto"/>
          <w:sz w:val="26"/>
          <w:highlight w:val="none"/>
        </w:rPr>
      </w:pPr>
    </w:p>
    <w:p w14:paraId="25D6BA55">
      <w:pPr>
        <w:pStyle w:val="12"/>
        <w:rPr>
          <w:color w:val="auto"/>
          <w:sz w:val="26"/>
          <w:highlight w:val="none"/>
        </w:rPr>
      </w:pPr>
    </w:p>
    <w:p w14:paraId="306310F8">
      <w:pPr>
        <w:pStyle w:val="12"/>
        <w:rPr>
          <w:color w:val="auto"/>
          <w:sz w:val="26"/>
          <w:highlight w:val="none"/>
        </w:rPr>
      </w:pPr>
    </w:p>
    <w:p w14:paraId="710C0A12">
      <w:pPr>
        <w:pStyle w:val="2"/>
        <w:numPr>
          <w:ilvl w:val="0"/>
          <w:numId w:val="2"/>
        </w:numPr>
        <w:tabs>
          <w:tab w:val="left" w:pos="1406"/>
        </w:tabs>
        <w:spacing w:line="480" w:lineRule="auto"/>
        <w:ind w:left="119"/>
        <w:jc w:val="center"/>
        <w:rPr>
          <w:rFonts w:ascii="Times New Roman" w:hAnsi="Times New Roman"/>
          <w:color w:val="auto"/>
          <w:highlight w:val="none"/>
          <w:lang w:val="en-US"/>
        </w:rPr>
      </w:pPr>
      <w:bookmarkStart w:id="10" w:name="_Toc9108"/>
      <w:bookmarkStart w:id="11" w:name="_Toc16888"/>
      <w:r>
        <w:rPr>
          <w:rFonts w:hint="eastAsia"/>
          <w:color w:val="auto"/>
          <w:highlight w:val="none"/>
          <w:lang w:val="en-US" w:eastAsia="zh-CN"/>
        </w:rPr>
        <w:t xml:space="preserve"> </w:t>
      </w:r>
      <w:r>
        <w:rPr>
          <w:rFonts w:hint="eastAsia"/>
          <w:color w:val="auto"/>
          <w:highlight w:val="none"/>
          <w:lang w:val="en-US"/>
        </w:rPr>
        <w:t xml:space="preserve"> </w:t>
      </w:r>
      <w:bookmarkStart w:id="12" w:name="_Toc19940"/>
      <w:r>
        <w:rPr>
          <w:rFonts w:hint="eastAsia" w:ascii="Times New Roman" w:hAnsi="Times New Roman"/>
          <w:color w:val="auto"/>
          <w:highlight w:val="none"/>
          <w:lang w:val="en-US"/>
        </w:rPr>
        <w:t>采购需求</w:t>
      </w:r>
      <w:bookmarkEnd w:id="12"/>
    </w:p>
    <w:bookmarkEnd w:id="10"/>
    <w:bookmarkEnd w:id="11"/>
    <w:p w14:paraId="2C9A473D">
      <w:pPr>
        <w:pStyle w:val="3"/>
        <w:numPr>
          <w:ilvl w:val="0"/>
          <w:numId w:val="3"/>
        </w:numPr>
        <w:tabs>
          <w:tab w:val="left" w:pos="1291"/>
        </w:tabs>
        <w:spacing w:before="0" w:line="360" w:lineRule="auto"/>
        <w:jc w:val="left"/>
        <w:rPr>
          <w:rFonts w:hint="eastAsia" w:ascii="Times New Roman" w:hAnsi="Times New Roman"/>
          <w:color w:val="auto"/>
          <w:highlight w:val="none"/>
          <w:lang w:val="en-US" w:eastAsia="zh-CN"/>
        </w:rPr>
      </w:pPr>
      <w:bookmarkStart w:id="13" w:name="_Toc7014"/>
      <w:bookmarkStart w:id="14" w:name="_Toc11785491"/>
      <w:bookmarkStart w:id="15" w:name="_Toc1345"/>
      <w:bookmarkStart w:id="16" w:name="_Toc25059"/>
      <w:bookmarkStart w:id="17" w:name="_Toc28287"/>
      <w:bookmarkStart w:id="18" w:name="_Toc42635989"/>
      <w:r>
        <w:rPr>
          <w:rFonts w:hint="eastAsia" w:ascii="Times New Roman" w:hAnsi="Times New Roman"/>
          <w:color w:val="auto"/>
          <w:highlight w:val="none"/>
          <w:lang w:val="en-US" w:eastAsia="zh-CN"/>
        </w:rPr>
        <w:t>项目背景</w:t>
      </w:r>
      <w:bookmarkEnd w:id="13"/>
    </w:p>
    <w:p w14:paraId="22032254">
      <w:pPr>
        <w:pStyle w:val="5"/>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在新时代“体育强国”理论推动下，近年来，全国各地纷纷出台扶持政策，大力倡导体育竞赛运动，各类体育竞赛活动蔚然成风。鉴于当前发展形势与我县经济社会发展对体育赛事需求，根据我县体育发展现状、社会氛围、旅游接待设施等实际情况，</w:t>
      </w:r>
      <w:r>
        <w:rPr>
          <w:rFonts w:hint="eastAsia" w:cs="仿宋"/>
          <w:color w:val="auto"/>
          <w:sz w:val="24"/>
          <w:szCs w:val="24"/>
          <w:lang w:val="en-US" w:eastAsia="zh-CN"/>
        </w:rPr>
        <w:t>拟举办2025全国象棋俱乐部团体赛。</w:t>
      </w:r>
    </w:p>
    <w:p w14:paraId="1A9B9E84">
      <w:pPr>
        <w:pStyle w:val="3"/>
        <w:numPr>
          <w:ilvl w:val="0"/>
          <w:numId w:val="3"/>
        </w:numPr>
        <w:tabs>
          <w:tab w:val="left" w:pos="1291"/>
        </w:tabs>
        <w:spacing w:before="0" w:line="360" w:lineRule="auto"/>
        <w:jc w:val="left"/>
        <w:rPr>
          <w:rFonts w:hint="eastAsia" w:ascii="Times New Roman" w:hAnsi="Times New Roman"/>
          <w:color w:val="auto"/>
          <w:highlight w:val="none"/>
          <w:lang w:val="en-US" w:eastAsia="zh-CN"/>
        </w:rPr>
      </w:pPr>
      <w:bookmarkStart w:id="19" w:name="_Toc26093"/>
      <w:r>
        <w:rPr>
          <w:rFonts w:hint="eastAsia" w:ascii="Times New Roman" w:hAnsi="Times New Roman"/>
          <w:color w:val="auto"/>
          <w:highlight w:val="none"/>
          <w:lang w:val="en-US" w:eastAsia="zh-CN"/>
        </w:rPr>
        <w:t>组织机构</w:t>
      </w:r>
      <w:bookmarkEnd w:id="19"/>
      <w:bookmarkStart w:id="191" w:name="_GoBack"/>
      <w:bookmarkEnd w:id="191"/>
    </w:p>
    <w:p w14:paraId="39B02B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主办单位：国家体育总局棋牌运动管理中心、中国象棋协会</w:t>
      </w:r>
    </w:p>
    <w:p w14:paraId="051DB45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承办单位：浙江省智力运动管理中心</w:t>
      </w:r>
      <w:r>
        <w:rPr>
          <w:rFonts w:hint="eastAsia" w:cs="仿宋"/>
          <w:color w:val="auto"/>
          <w:sz w:val="24"/>
          <w:highlight w:val="none"/>
          <w:lang w:val="en-US" w:eastAsia="zh-CN"/>
        </w:rPr>
        <w:t>、</w:t>
      </w:r>
      <w:r>
        <w:rPr>
          <w:rFonts w:hint="eastAsia" w:ascii="仿宋" w:hAnsi="仿宋" w:eastAsia="仿宋" w:cs="仿宋"/>
          <w:color w:val="auto"/>
          <w:sz w:val="24"/>
          <w:highlight w:val="none"/>
          <w:lang w:val="en-US" w:eastAsia="zh-CN"/>
        </w:rPr>
        <w:t>浙江省棋类协会</w:t>
      </w:r>
      <w:r>
        <w:rPr>
          <w:rFonts w:hint="eastAsia" w:cs="仿宋"/>
          <w:color w:val="auto"/>
          <w:sz w:val="24"/>
          <w:highlight w:val="none"/>
          <w:lang w:val="en-US" w:eastAsia="zh-CN"/>
        </w:rPr>
        <w:t>、</w:t>
      </w:r>
      <w:r>
        <w:rPr>
          <w:rFonts w:hint="eastAsia" w:ascii="仿宋" w:hAnsi="仿宋" w:eastAsia="仿宋" w:cs="仿宋"/>
          <w:color w:val="auto"/>
          <w:sz w:val="24"/>
          <w:highlight w:val="none"/>
          <w:lang w:val="en-US" w:eastAsia="zh-CN"/>
        </w:rPr>
        <w:t>丽水市体育发展服务中心</w:t>
      </w:r>
      <w:r>
        <w:rPr>
          <w:rFonts w:hint="eastAsia" w:cs="仿宋"/>
          <w:color w:val="auto"/>
          <w:sz w:val="24"/>
          <w:highlight w:val="none"/>
          <w:lang w:val="en-US" w:eastAsia="zh-CN"/>
        </w:rPr>
        <w:t>、</w:t>
      </w:r>
      <w:r>
        <w:rPr>
          <w:rFonts w:hint="eastAsia" w:ascii="仿宋" w:hAnsi="仿宋" w:eastAsia="仿宋" w:cs="仿宋"/>
          <w:color w:val="auto"/>
          <w:sz w:val="24"/>
          <w:highlight w:val="none"/>
          <w:lang w:val="en-US" w:eastAsia="zh-CN"/>
        </w:rPr>
        <w:t>遂昌县人民政府</w:t>
      </w:r>
    </w:p>
    <w:p w14:paraId="175D4F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仿宋" w:hAnsi="仿宋" w:eastAsia="仿宋" w:cs="仿宋"/>
          <w:color w:val="auto"/>
          <w:sz w:val="24"/>
          <w:highlight w:val="none"/>
          <w:lang w:val="en-US" w:eastAsia="zh-CN"/>
        </w:rPr>
      </w:pPr>
      <w:r>
        <w:rPr>
          <w:rFonts w:hint="eastAsia" w:cs="仿宋"/>
          <w:color w:val="auto"/>
          <w:sz w:val="24"/>
          <w:highlight w:val="none"/>
          <w:lang w:val="en-US" w:eastAsia="zh-CN"/>
        </w:rPr>
        <w:t>执行</w:t>
      </w:r>
      <w:r>
        <w:rPr>
          <w:rFonts w:hint="eastAsia" w:ascii="仿宋" w:hAnsi="仿宋" w:eastAsia="仿宋" w:cs="仿宋"/>
          <w:color w:val="auto"/>
          <w:sz w:val="24"/>
          <w:highlight w:val="none"/>
          <w:lang w:val="en-US" w:eastAsia="zh-CN"/>
        </w:rPr>
        <w:t>单位：遂昌县文化和广电旅游体育局</w:t>
      </w:r>
      <w:r>
        <w:rPr>
          <w:rFonts w:hint="eastAsia" w:cs="仿宋"/>
          <w:color w:val="auto"/>
          <w:sz w:val="24"/>
          <w:highlight w:val="none"/>
          <w:lang w:val="en-US" w:eastAsia="zh-CN"/>
        </w:rPr>
        <w:t>、遂昌县体育事业发展中心、运营单位</w:t>
      </w:r>
    </w:p>
    <w:p w14:paraId="2E34B678">
      <w:pPr>
        <w:pStyle w:val="3"/>
        <w:numPr>
          <w:ilvl w:val="0"/>
          <w:numId w:val="3"/>
        </w:numPr>
        <w:tabs>
          <w:tab w:val="left" w:pos="1291"/>
        </w:tabs>
        <w:spacing w:before="0" w:line="360" w:lineRule="auto"/>
        <w:jc w:val="left"/>
        <w:rPr>
          <w:rFonts w:hint="eastAsia" w:ascii="Times New Roman" w:hAnsi="Times New Roman"/>
          <w:color w:val="auto"/>
          <w:highlight w:val="none"/>
          <w:lang w:val="en-US" w:eastAsia="zh-CN"/>
        </w:rPr>
      </w:pPr>
      <w:bookmarkStart w:id="20" w:name="_Toc30239"/>
      <w:r>
        <w:rPr>
          <w:rFonts w:hint="eastAsia" w:ascii="Times New Roman" w:hAnsi="Times New Roman"/>
          <w:highlight w:val="none"/>
          <w:lang w:val="en-US" w:eastAsia="zh-CN"/>
        </w:rPr>
        <w:t>赛事时间、地点及规模</w:t>
      </w:r>
      <w:bookmarkEnd w:id="20"/>
    </w:p>
    <w:p w14:paraId="1E75B27C">
      <w:pPr>
        <w:widowControl/>
        <w:numPr>
          <w:ilvl w:val="0"/>
          <w:numId w:val="4"/>
        </w:numPr>
        <w:spacing w:line="360" w:lineRule="auto"/>
        <w:ind w:left="845" w:leftChars="0" w:hanging="425" w:firstLineChars="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kern w:val="0"/>
          <w:sz w:val="24"/>
          <w:szCs w:val="24"/>
          <w:highlight w:val="none"/>
          <w:lang w:val="en-US" w:eastAsia="zh-CN"/>
        </w:rPr>
        <w:t>时间</w:t>
      </w:r>
      <w:r>
        <w:rPr>
          <w:rFonts w:hint="eastAsia" w:ascii="仿宋" w:hAnsi="仿宋" w:eastAsia="仿宋" w:cs="仿宋"/>
          <w:b w:val="0"/>
          <w:bCs w:val="0"/>
          <w:color w:val="auto"/>
          <w:sz w:val="24"/>
          <w:highlight w:val="none"/>
          <w:lang w:val="en-US" w:eastAsia="zh-CN"/>
        </w:rPr>
        <w:t>：暂定</w:t>
      </w:r>
      <w:r>
        <w:rPr>
          <w:rFonts w:hint="eastAsia" w:ascii="仿宋" w:hAnsi="仿宋" w:eastAsia="仿宋" w:cs="仿宋"/>
          <w:b w:val="0"/>
          <w:bCs w:val="0"/>
          <w:color w:val="auto"/>
          <w:sz w:val="24"/>
          <w:highlight w:val="none"/>
        </w:rPr>
        <w:t>2025年8月2日</w:t>
      </w:r>
      <w:r>
        <w:rPr>
          <w:rFonts w:hint="eastAsia" w:cs="仿宋"/>
          <w:b w:val="0"/>
          <w:bCs w:val="0"/>
          <w:color w:val="auto"/>
          <w:sz w:val="24"/>
          <w:highlight w:val="none"/>
          <w:lang w:eastAsia="zh-CN"/>
        </w:rPr>
        <w:t>——</w:t>
      </w:r>
      <w:r>
        <w:rPr>
          <w:rFonts w:hint="eastAsia" w:cs="仿宋"/>
          <w:b w:val="0"/>
          <w:bCs w:val="0"/>
          <w:color w:val="auto"/>
          <w:sz w:val="24"/>
          <w:highlight w:val="none"/>
          <w:lang w:val="en-US" w:eastAsia="zh-CN"/>
        </w:rPr>
        <w:t>2025年8月5日</w:t>
      </w:r>
      <w:r>
        <w:rPr>
          <w:rFonts w:hint="eastAsia" w:ascii="仿宋" w:hAnsi="仿宋" w:eastAsia="仿宋" w:cs="仿宋"/>
          <w:b w:val="0"/>
          <w:bCs w:val="0"/>
          <w:color w:val="auto"/>
          <w:sz w:val="24"/>
          <w:highlight w:val="none"/>
          <w:lang w:val="en-US" w:eastAsia="zh-CN"/>
        </w:rPr>
        <w:t>（具体时间按采购人要求执行）</w:t>
      </w:r>
    </w:p>
    <w:p w14:paraId="0E99285F">
      <w:pPr>
        <w:widowControl/>
        <w:numPr>
          <w:ilvl w:val="0"/>
          <w:numId w:val="4"/>
        </w:numPr>
        <w:spacing w:line="360" w:lineRule="auto"/>
        <w:ind w:left="845" w:leftChars="0" w:hanging="425" w:firstLineChars="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比赛地点：浙江省丽水市遂昌县</w:t>
      </w:r>
    </w:p>
    <w:p w14:paraId="2D02444F">
      <w:pPr>
        <w:widowControl/>
        <w:numPr>
          <w:ilvl w:val="0"/>
          <w:numId w:val="4"/>
        </w:numPr>
        <w:spacing w:line="360" w:lineRule="auto"/>
        <w:ind w:left="845" w:leftChars="0" w:hanging="425" w:firstLineChars="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竞赛规模：</w:t>
      </w:r>
    </w:p>
    <w:p w14:paraId="018D8BE2">
      <w:pPr>
        <w:widowControl/>
        <w:numPr>
          <w:ilvl w:val="0"/>
          <w:numId w:val="5"/>
        </w:numPr>
        <w:spacing w:line="360" w:lineRule="auto"/>
        <w:ind w:left="1265" w:leftChars="0" w:hanging="425" w:firstLineChars="0"/>
        <w:jc w:val="left"/>
        <w:rPr>
          <w:rFonts w:hint="eastAsia" w:ascii="仿宋" w:hAnsi="仿宋" w:eastAsia="仿宋" w:cs="仿宋"/>
          <w:b w:val="0"/>
          <w:bCs w:val="0"/>
          <w:color w:val="auto"/>
          <w:sz w:val="24"/>
          <w:highlight w:val="none"/>
          <w:lang w:val="en-US" w:eastAsia="zh-CN"/>
        </w:rPr>
      </w:pPr>
      <w:r>
        <w:rPr>
          <w:rFonts w:hint="eastAsia" w:cs="仿宋"/>
          <w:b w:val="0"/>
          <w:bCs w:val="0"/>
          <w:color w:val="auto"/>
          <w:sz w:val="24"/>
          <w:highlight w:val="none"/>
          <w:lang w:val="en-US" w:eastAsia="zh-CN"/>
        </w:rPr>
        <w:t>队伍数量：组织参赛队伍50队；</w:t>
      </w:r>
    </w:p>
    <w:p w14:paraId="7D5F8DF5">
      <w:pPr>
        <w:widowControl/>
        <w:numPr>
          <w:ilvl w:val="0"/>
          <w:numId w:val="5"/>
        </w:numPr>
        <w:spacing w:line="360" w:lineRule="auto"/>
        <w:ind w:left="1265" w:leftChars="0" w:hanging="425" w:firstLineChars="0"/>
        <w:jc w:val="left"/>
        <w:rPr>
          <w:rFonts w:hint="eastAsia" w:ascii="仿宋" w:hAnsi="仿宋" w:eastAsia="仿宋" w:cs="仿宋"/>
          <w:b w:val="0"/>
          <w:bCs w:val="0"/>
          <w:color w:val="auto"/>
          <w:sz w:val="24"/>
          <w:highlight w:val="none"/>
          <w:lang w:val="en-US" w:eastAsia="zh-CN"/>
        </w:rPr>
      </w:pPr>
      <w:r>
        <w:rPr>
          <w:rFonts w:hint="eastAsia" w:cs="仿宋"/>
          <w:b w:val="0"/>
          <w:bCs w:val="0"/>
          <w:color w:val="auto"/>
          <w:sz w:val="24"/>
          <w:highlight w:val="none"/>
          <w:lang w:val="en-US" w:eastAsia="zh-CN"/>
        </w:rPr>
        <w:t>运动员数量：</w:t>
      </w:r>
      <w:r>
        <w:rPr>
          <w:rFonts w:hint="eastAsia" w:ascii="仿宋" w:hAnsi="仿宋" w:eastAsia="仿宋" w:cs="仿宋"/>
          <w:b w:val="0"/>
          <w:bCs w:val="0"/>
          <w:color w:val="auto"/>
          <w:sz w:val="24"/>
          <w:highlight w:val="none"/>
          <w:lang w:val="en-US" w:eastAsia="zh-CN"/>
        </w:rPr>
        <w:t>总参赛</w:t>
      </w:r>
      <w:r>
        <w:rPr>
          <w:rFonts w:hint="eastAsia" w:cs="仿宋"/>
          <w:b w:val="0"/>
          <w:bCs w:val="0"/>
          <w:color w:val="auto"/>
          <w:sz w:val="24"/>
          <w:highlight w:val="none"/>
          <w:lang w:val="en-US" w:eastAsia="zh-CN"/>
        </w:rPr>
        <w:t>运动员</w:t>
      </w:r>
      <w:r>
        <w:rPr>
          <w:rFonts w:hint="eastAsia" w:ascii="仿宋" w:hAnsi="仿宋" w:eastAsia="仿宋" w:cs="仿宋"/>
          <w:b w:val="0"/>
          <w:bCs w:val="0"/>
          <w:color w:val="auto"/>
          <w:sz w:val="24"/>
          <w:highlight w:val="none"/>
          <w:lang w:val="en-US" w:eastAsia="zh-CN"/>
        </w:rPr>
        <w:t>人数约500人。</w:t>
      </w:r>
    </w:p>
    <w:bookmarkEnd w:id="14"/>
    <w:p w14:paraId="50E667E8">
      <w:pPr>
        <w:pStyle w:val="3"/>
        <w:numPr>
          <w:ilvl w:val="0"/>
          <w:numId w:val="3"/>
        </w:numPr>
        <w:tabs>
          <w:tab w:val="left" w:pos="1291"/>
        </w:tabs>
        <w:spacing w:before="0" w:line="360" w:lineRule="auto"/>
        <w:jc w:val="left"/>
        <w:rPr>
          <w:rFonts w:hint="eastAsia" w:ascii="Times New Roman" w:hAnsi="Times New Roman"/>
          <w:highlight w:val="none"/>
          <w:lang w:val="en-US" w:eastAsia="zh-CN"/>
        </w:rPr>
      </w:pPr>
      <w:bookmarkStart w:id="21" w:name="_Toc22036"/>
      <w:bookmarkStart w:id="22" w:name="_Toc497127002"/>
      <w:bookmarkStart w:id="23" w:name="_Toc10225"/>
      <w:bookmarkStart w:id="24" w:name="_Toc7012"/>
      <w:r>
        <w:rPr>
          <w:rFonts w:hint="eastAsia" w:ascii="Times New Roman" w:hAnsi="Times New Roman"/>
          <w:highlight w:val="none"/>
          <w:lang w:val="en-US" w:eastAsia="zh-CN"/>
        </w:rPr>
        <w:t>赛事服务</w:t>
      </w:r>
      <w:bookmarkEnd w:id="21"/>
      <w:bookmarkEnd w:id="22"/>
      <w:bookmarkEnd w:id="23"/>
      <w:r>
        <w:rPr>
          <w:rFonts w:hint="eastAsia" w:ascii="Times New Roman" w:hAnsi="Times New Roman"/>
          <w:highlight w:val="none"/>
          <w:lang w:val="en-US" w:eastAsia="zh-CN"/>
        </w:rPr>
        <w:t>要求</w:t>
      </w:r>
      <w:bookmarkEnd w:id="24"/>
    </w:p>
    <w:p w14:paraId="2A474342">
      <w:pPr>
        <w:numPr>
          <w:ilvl w:val="0"/>
          <w:numId w:val="6"/>
        </w:numPr>
        <w:spacing w:line="360" w:lineRule="auto"/>
        <w:ind w:left="0" w:leftChars="0" w:firstLine="420" w:firstLineChars="0"/>
        <w:rPr>
          <w:rFonts w:hint="eastAsia" w:ascii="宋体" w:hAnsi="宋体"/>
          <w:b/>
          <w:sz w:val="24"/>
          <w:szCs w:val="32"/>
        </w:rPr>
      </w:pPr>
      <w:r>
        <w:rPr>
          <w:rFonts w:hint="eastAsia" w:ascii="宋体" w:hAnsi="宋体"/>
          <w:b/>
          <w:sz w:val="24"/>
          <w:szCs w:val="32"/>
        </w:rPr>
        <w:t>赛事</w:t>
      </w:r>
      <w:r>
        <w:rPr>
          <w:rFonts w:hint="eastAsia" w:ascii="宋体" w:hAnsi="宋体"/>
          <w:b/>
          <w:sz w:val="24"/>
          <w:szCs w:val="32"/>
          <w:lang w:val="en-US" w:eastAsia="zh-CN"/>
        </w:rPr>
        <w:t>整体</w:t>
      </w:r>
      <w:r>
        <w:rPr>
          <w:rFonts w:hint="eastAsia" w:ascii="宋体" w:hAnsi="宋体"/>
          <w:b/>
          <w:sz w:val="24"/>
          <w:szCs w:val="32"/>
        </w:rPr>
        <w:t>策划</w:t>
      </w:r>
    </w:p>
    <w:p w14:paraId="543A2E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赛事整体策划，负责包括但不限于负责招募参赛</w:t>
      </w:r>
      <w:r>
        <w:rPr>
          <w:rFonts w:hint="eastAsia" w:ascii="仿宋" w:hAnsi="仿宋" w:eastAsia="仿宋" w:cs="仿宋"/>
          <w:sz w:val="24"/>
          <w:lang w:val="en-US" w:eastAsia="zh-CN"/>
        </w:rPr>
        <w:t>人</w:t>
      </w:r>
      <w:r>
        <w:rPr>
          <w:rFonts w:hint="eastAsia" w:ascii="仿宋" w:hAnsi="仿宋" w:eastAsia="仿宋" w:cs="仿宋"/>
          <w:sz w:val="24"/>
        </w:rPr>
        <w:t>员</w:t>
      </w:r>
      <w:r>
        <w:rPr>
          <w:rFonts w:hint="eastAsia" w:cs="仿宋"/>
          <w:sz w:val="24"/>
          <w:lang w:eastAsia="zh-CN"/>
        </w:rPr>
        <w:t>、</w:t>
      </w:r>
      <w:r>
        <w:rPr>
          <w:rFonts w:hint="eastAsia" w:ascii="仿宋" w:hAnsi="仿宋" w:eastAsia="仿宋" w:cs="仿宋"/>
          <w:sz w:val="24"/>
        </w:rPr>
        <w:t>策划</w:t>
      </w:r>
      <w:r>
        <w:rPr>
          <w:rFonts w:hint="eastAsia" w:ascii="仿宋" w:hAnsi="仿宋" w:eastAsia="仿宋" w:cs="仿宋"/>
          <w:sz w:val="24"/>
          <w:lang w:val="en-US" w:eastAsia="zh-CN"/>
        </w:rPr>
        <w:t>比赛</w:t>
      </w:r>
      <w:r>
        <w:rPr>
          <w:rFonts w:hint="eastAsia" w:ascii="仿宋" w:hAnsi="仿宋" w:eastAsia="仿宋" w:cs="仿宋"/>
          <w:sz w:val="24"/>
        </w:rPr>
        <w:t>组织形式及赛</w:t>
      </w:r>
      <w:r>
        <w:rPr>
          <w:rFonts w:hint="eastAsia" w:ascii="仿宋" w:hAnsi="仿宋" w:eastAsia="仿宋" w:cs="仿宋"/>
          <w:sz w:val="24"/>
          <w:lang w:val="en-US" w:eastAsia="zh-CN"/>
        </w:rPr>
        <w:t>事规则</w:t>
      </w:r>
      <w:r>
        <w:rPr>
          <w:rFonts w:hint="eastAsia" w:ascii="仿宋" w:hAnsi="仿宋" w:eastAsia="仿宋" w:cs="仿宋"/>
          <w:sz w:val="24"/>
        </w:rPr>
        <w:t>设置</w:t>
      </w:r>
      <w:r>
        <w:rPr>
          <w:rFonts w:hint="eastAsia" w:cs="仿宋"/>
          <w:sz w:val="24"/>
          <w:lang w:eastAsia="zh-CN"/>
        </w:rPr>
        <w:t>、</w:t>
      </w:r>
      <w:r>
        <w:rPr>
          <w:rFonts w:hint="eastAsia" w:ascii="仿宋" w:hAnsi="仿宋" w:eastAsia="仿宋" w:cs="仿宋"/>
          <w:sz w:val="24"/>
        </w:rPr>
        <w:t>策划</w:t>
      </w:r>
      <w:r>
        <w:rPr>
          <w:rFonts w:hint="eastAsia" w:cs="仿宋"/>
          <w:sz w:val="24"/>
          <w:lang w:val="en-US" w:eastAsia="zh-CN"/>
        </w:rPr>
        <w:t>开幕式、</w:t>
      </w:r>
      <w:r>
        <w:rPr>
          <w:rFonts w:hint="eastAsia" w:ascii="仿宋" w:hAnsi="仿宋" w:eastAsia="仿宋" w:cs="仿宋"/>
          <w:sz w:val="24"/>
        </w:rPr>
        <w:t>闭幕式方案、赛事主题口号、赛事理念、赛事形象等设计</w:t>
      </w:r>
      <w:r>
        <w:rPr>
          <w:rFonts w:hint="eastAsia" w:cs="仿宋"/>
          <w:sz w:val="24"/>
          <w:lang w:val="en-US" w:eastAsia="zh-CN"/>
        </w:rPr>
        <w:t>并</w:t>
      </w:r>
      <w:r>
        <w:rPr>
          <w:rFonts w:hint="eastAsia" w:ascii="仿宋" w:hAnsi="仿宋" w:eastAsia="仿宋" w:cs="仿宋"/>
          <w:sz w:val="24"/>
        </w:rPr>
        <w:t>提出具体的实施方案，要求能充分展现</w:t>
      </w:r>
      <w:r>
        <w:rPr>
          <w:rFonts w:hint="eastAsia" w:ascii="仿宋" w:hAnsi="仿宋" w:eastAsia="仿宋" w:cs="仿宋"/>
          <w:sz w:val="24"/>
          <w:lang w:val="en-US" w:eastAsia="zh-CN"/>
        </w:rPr>
        <w:t>比赛的</w:t>
      </w:r>
      <w:r>
        <w:rPr>
          <w:rFonts w:hint="eastAsia" w:ascii="仿宋" w:hAnsi="仿宋" w:eastAsia="仿宋" w:cs="仿宋"/>
          <w:sz w:val="24"/>
        </w:rPr>
        <w:t>特点、突出</w:t>
      </w:r>
      <w:r>
        <w:rPr>
          <w:rFonts w:hint="eastAsia" w:ascii="仿宋" w:hAnsi="仿宋" w:eastAsia="仿宋" w:cs="仿宋"/>
          <w:sz w:val="24"/>
          <w:lang w:val="en-US" w:eastAsia="zh-CN"/>
        </w:rPr>
        <w:t>遂昌</w:t>
      </w:r>
      <w:r>
        <w:rPr>
          <w:rFonts w:hint="eastAsia" w:ascii="仿宋" w:hAnsi="仿宋" w:eastAsia="仿宋" w:cs="仿宋"/>
          <w:sz w:val="24"/>
        </w:rPr>
        <w:t>文化及特色、易于传播及报道。</w:t>
      </w:r>
    </w:p>
    <w:p w14:paraId="312FD966">
      <w:pPr>
        <w:numPr>
          <w:ilvl w:val="0"/>
          <w:numId w:val="6"/>
        </w:numPr>
        <w:spacing w:line="360" w:lineRule="auto"/>
        <w:ind w:left="0" w:leftChars="0" w:firstLine="420" w:firstLineChars="0"/>
        <w:rPr>
          <w:rFonts w:ascii="宋体" w:hAnsi="宋体"/>
          <w:b/>
          <w:color w:val="auto"/>
          <w:sz w:val="24"/>
          <w:szCs w:val="32"/>
        </w:rPr>
      </w:pPr>
      <w:r>
        <w:rPr>
          <w:rFonts w:hint="eastAsia" w:ascii="宋体" w:hAnsi="宋体"/>
          <w:b/>
          <w:sz w:val="24"/>
          <w:szCs w:val="32"/>
        </w:rPr>
        <w:t>竞赛和器材保障</w:t>
      </w:r>
    </w:p>
    <w:p w14:paraId="49EEC8D6">
      <w:pPr>
        <w:keepNext w:val="0"/>
        <w:keepLines w:val="0"/>
        <w:pageBreakBefore w:val="0"/>
        <w:widowControl w:val="0"/>
        <w:numPr>
          <w:ilvl w:val="0"/>
          <w:numId w:val="7"/>
        </w:numPr>
        <w:kinsoku/>
        <w:wordWrap/>
        <w:overflowPunct/>
        <w:topLinePunct w:val="0"/>
        <w:bidi w:val="0"/>
        <w:adjustRightInd/>
        <w:snapToGrid w:val="0"/>
        <w:spacing w:line="360" w:lineRule="auto"/>
        <w:ind w:left="0" w:leftChars="0" w:firstLine="480" w:firstLineChars="200"/>
        <w:textAlignment w:val="auto"/>
        <w:rPr>
          <w:rFonts w:hint="eastAsia" w:ascii="仿宋" w:hAnsi="仿宋" w:eastAsia="仿宋" w:cs="仿宋"/>
          <w:color w:val="auto"/>
          <w:sz w:val="24"/>
          <w:szCs w:val="32"/>
        </w:rPr>
      </w:pPr>
      <w:r>
        <w:rPr>
          <w:rFonts w:hint="eastAsia" w:ascii="仿宋" w:hAnsi="仿宋" w:eastAsia="仿宋" w:cs="仿宋"/>
          <w:color w:val="auto"/>
          <w:sz w:val="24"/>
          <w:szCs w:val="32"/>
        </w:rPr>
        <w:t>组建项目所需的标准赛事裁判团队和技术保障团队。</w:t>
      </w:r>
      <w:r>
        <w:rPr>
          <w:rFonts w:hint="eastAsia" w:ascii="仿宋" w:hAnsi="仿宋" w:eastAsia="仿宋" w:cs="仿宋"/>
          <w:color w:val="auto"/>
          <w:sz w:val="24"/>
          <w:highlight w:val="none"/>
          <w:lang w:eastAsia="zh-CN"/>
        </w:rPr>
        <w:t>裁判员由</w:t>
      </w:r>
      <w:r>
        <w:rPr>
          <w:rFonts w:hint="eastAsia" w:ascii="仿宋" w:hAnsi="仿宋" w:eastAsia="仿宋" w:cs="仿宋"/>
          <w:color w:val="auto"/>
          <w:sz w:val="24"/>
          <w:highlight w:val="none"/>
          <w:lang w:val="en-US" w:eastAsia="zh-CN"/>
        </w:rPr>
        <w:t>赛事组委会选派</w:t>
      </w:r>
      <w:r>
        <w:rPr>
          <w:rFonts w:hint="eastAsia" w:ascii="仿宋" w:hAnsi="仿宋" w:eastAsia="仿宋" w:cs="仿宋"/>
          <w:color w:val="auto"/>
          <w:sz w:val="24"/>
          <w:highlight w:val="none"/>
          <w:lang w:eastAsia="zh-CN"/>
        </w:rPr>
        <w:t>，不足部分由承办单位另行聘请</w:t>
      </w:r>
      <w:r>
        <w:rPr>
          <w:rFonts w:hint="eastAsia" w:ascii="仿宋" w:hAnsi="仿宋" w:eastAsia="仿宋" w:cs="仿宋"/>
          <w:color w:val="auto"/>
          <w:sz w:val="24"/>
          <w:highlight w:val="none"/>
          <w:lang w:val="en-US" w:eastAsia="zh-CN"/>
        </w:rPr>
        <w:t>，其他技术</w:t>
      </w:r>
      <w:r>
        <w:rPr>
          <w:rFonts w:hint="eastAsia" w:cs="仿宋"/>
          <w:color w:val="auto"/>
          <w:sz w:val="24"/>
          <w:highlight w:val="none"/>
          <w:lang w:val="en-US" w:eastAsia="zh-CN"/>
        </w:rPr>
        <w:t>官</w:t>
      </w:r>
      <w:r>
        <w:rPr>
          <w:rFonts w:hint="eastAsia" w:ascii="仿宋" w:hAnsi="仿宋" w:eastAsia="仿宋" w:cs="仿宋"/>
          <w:color w:val="auto"/>
          <w:sz w:val="24"/>
          <w:highlight w:val="none"/>
          <w:lang w:val="en-US" w:eastAsia="zh-CN"/>
        </w:rPr>
        <w:t>员由</w:t>
      </w:r>
      <w:r>
        <w:rPr>
          <w:rFonts w:hint="eastAsia" w:cs="仿宋"/>
          <w:color w:val="auto"/>
          <w:sz w:val="24"/>
          <w:highlight w:val="none"/>
          <w:lang w:val="en-US" w:eastAsia="zh-CN"/>
        </w:rPr>
        <w:t>主办单位</w:t>
      </w:r>
      <w:r>
        <w:rPr>
          <w:rFonts w:hint="eastAsia" w:ascii="仿宋" w:hAnsi="仿宋" w:eastAsia="仿宋" w:cs="仿宋"/>
          <w:color w:val="auto"/>
          <w:sz w:val="24"/>
          <w:highlight w:val="none"/>
          <w:lang w:val="en-US" w:eastAsia="zh-CN"/>
        </w:rPr>
        <w:t>选派</w:t>
      </w:r>
      <w:r>
        <w:rPr>
          <w:rFonts w:hint="eastAsia" w:ascii="仿宋" w:hAnsi="仿宋" w:eastAsia="仿宋" w:cs="仿宋"/>
          <w:color w:val="auto"/>
          <w:sz w:val="24"/>
          <w:highlight w:val="none"/>
        </w:rPr>
        <w:t>。</w:t>
      </w:r>
    </w:p>
    <w:p w14:paraId="7FEC8F12">
      <w:pPr>
        <w:keepNext w:val="0"/>
        <w:keepLines w:val="0"/>
        <w:pageBreakBefore w:val="0"/>
        <w:widowControl w:val="0"/>
        <w:numPr>
          <w:ilvl w:val="0"/>
          <w:numId w:val="7"/>
        </w:numPr>
        <w:kinsoku/>
        <w:wordWrap/>
        <w:overflowPunct/>
        <w:topLinePunct w:val="0"/>
        <w:bidi w:val="0"/>
        <w:adjustRightInd/>
        <w:snapToGrid w:val="0"/>
        <w:spacing w:line="360" w:lineRule="auto"/>
        <w:ind w:left="0" w:leftChars="0" w:firstLine="480" w:firstLineChars="200"/>
        <w:textAlignment w:val="auto"/>
        <w:rPr>
          <w:rFonts w:hint="eastAsia" w:ascii="仿宋" w:hAnsi="仿宋" w:eastAsia="仿宋" w:cs="仿宋"/>
          <w:color w:val="auto"/>
          <w:sz w:val="24"/>
          <w:szCs w:val="32"/>
        </w:rPr>
      </w:pPr>
      <w:r>
        <w:rPr>
          <w:rFonts w:hint="eastAsia" w:ascii="仿宋" w:hAnsi="仿宋" w:eastAsia="仿宋" w:cs="仿宋"/>
          <w:color w:val="auto"/>
          <w:sz w:val="24"/>
          <w:szCs w:val="32"/>
        </w:rPr>
        <w:t>制定项目竞赛规程，设立赛事奖金（包含竞赛项目、名次、奖金）</w:t>
      </w:r>
      <w:r>
        <w:rPr>
          <w:rFonts w:hint="eastAsia" w:ascii="仿宋" w:hAnsi="仿宋" w:eastAsia="仿宋" w:cs="仿宋"/>
          <w:color w:val="auto"/>
          <w:sz w:val="24"/>
          <w:szCs w:val="32"/>
          <w:lang w:val="en-US" w:eastAsia="zh-CN"/>
        </w:rPr>
        <w:t>总奖金不得低于</w:t>
      </w:r>
      <w:r>
        <w:rPr>
          <w:rFonts w:hint="eastAsia" w:cs="仿宋"/>
          <w:color w:val="auto"/>
          <w:sz w:val="24"/>
          <w:szCs w:val="32"/>
          <w:lang w:val="en-US" w:eastAsia="zh-CN"/>
        </w:rPr>
        <w:t>20万</w:t>
      </w:r>
      <w:r>
        <w:rPr>
          <w:rFonts w:hint="eastAsia" w:ascii="仿宋" w:hAnsi="仿宋" w:eastAsia="仿宋" w:cs="仿宋"/>
          <w:color w:val="auto"/>
          <w:sz w:val="24"/>
          <w:szCs w:val="32"/>
          <w:lang w:val="en-US" w:eastAsia="zh-CN"/>
        </w:rPr>
        <w:t>元(税前)。</w:t>
      </w:r>
    </w:p>
    <w:p w14:paraId="4A191279">
      <w:pPr>
        <w:keepNext w:val="0"/>
        <w:keepLines w:val="0"/>
        <w:pageBreakBefore w:val="0"/>
        <w:widowControl w:val="0"/>
        <w:numPr>
          <w:ilvl w:val="0"/>
          <w:numId w:val="7"/>
        </w:numPr>
        <w:kinsoku/>
        <w:wordWrap/>
        <w:overflowPunct/>
        <w:topLinePunct w:val="0"/>
        <w:bidi w:val="0"/>
        <w:adjustRightInd/>
        <w:snapToGrid w:val="0"/>
        <w:spacing w:line="360" w:lineRule="auto"/>
        <w:ind w:left="0" w:leftChars="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负责赛前察看场地、裁判员培训、技术会议等工作。</w:t>
      </w:r>
    </w:p>
    <w:p w14:paraId="4890CDDB">
      <w:pPr>
        <w:keepNext w:val="0"/>
        <w:keepLines w:val="0"/>
        <w:pageBreakBefore w:val="0"/>
        <w:widowControl w:val="0"/>
        <w:numPr>
          <w:ilvl w:val="0"/>
          <w:numId w:val="7"/>
        </w:numPr>
        <w:kinsoku/>
        <w:wordWrap/>
        <w:overflowPunct/>
        <w:topLinePunct w:val="0"/>
        <w:bidi w:val="0"/>
        <w:adjustRightInd/>
        <w:snapToGrid w:val="0"/>
        <w:spacing w:line="360" w:lineRule="auto"/>
        <w:ind w:left="0" w:leftChars="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负责参赛选手的报名、资格审查、登记注册等工作。</w:t>
      </w:r>
    </w:p>
    <w:p w14:paraId="16EF1538">
      <w:pPr>
        <w:keepNext w:val="0"/>
        <w:keepLines w:val="0"/>
        <w:pageBreakBefore w:val="0"/>
        <w:widowControl w:val="0"/>
        <w:numPr>
          <w:ilvl w:val="0"/>
          <w:numId w:val="7"/>
        </w:numPr>
        <w:kinsoku/>
        <w:wordWrap/>
        <w:overflowPunct/>
        <w:topLinePunct w:val="0"/>
        <w:bidi w:val="0"/>
        <w:adjustRightInd/>
        <w:snapToGrid w:val="0"/>
        <w:spacing w:line="360" w:lineRule="auto"/>
        <w:ind w:left="0" w:leftChars="0" w:firstLine="480" w:firstLineChars="200"/>
        <w:textAlignment w:val="auto"/>
        <w:rPr>
          <w:rFonts w:hint="eastAsia" w:ascii="仿宋" w:hAnsi="仿宋" w:eastAsia="仿宋" w:cs="仿宋"/>
          <w:color w:val="auto"/>
          <w:sz w:val="24"/>
          <w:szCs w:val="32"/>
        </w:rPr>
      </w:pPr>
      <w:r>
        <w:rPr>
          <w:rFonts w:hint="eastAsia" w:ascii="仿宋" w:hAnsi="仿宋" w:eastAsia="仿宋" w:cs="仿宋"/>
          <w:sz w:val="24"/>
          <w:szCs w:val="32"/>
        </w:rPr>
        <w:t>负责所有运动员的健康管理，对参赛人</w:t>
      </w:r>
      <w:r>
        <w:rPr>
          <w:rFonts w:hint="eastAsia" w:ascii="仿宋" w:hAnsi="仿宋" w:eastAsia="仿宋" w:cs="仿宋"/>
          <w:color w:val="auto"/>
          <w:sz w:val="24"/>
          <w:szCs w:val="32"/>
        </w:rPr>
        <w:t>员进行健康证明审定。</w:t>
      </w:r>
    </w:p>
    <w:p w14:paraId="013573C5">
      <w:pPr>
        <w:keepNext w:val="0"/>
        <w:keepLines w:val="0"/>
        <w:pageBreakBefore w:val="0"/>
        <w:widowControl w:val="0"/>
        <w:numPr>
          <w:ilvl w:val="0"/>
          <w:numId w:val="7"/>
        </w:numPr>
        <w:kinsoku/>
        <w:wordWrap/>
        <w:overflowPunct/>
        <w:topLinePunct w:val="0"/>
        <w:bidi w:val="0"/>
        <w:adjustRightInd/>
        <w:snapToGrid w:val="0"/>
        <w:spacing w:line="360" w:lineRule="auto"/>
        <w:ind w:left="0" w:leftChars="0" w:firstLine="480" w:firstLineChars="200"/>
        <w:textAlignment w:val="auto"/>
        <w:rPr>
          <w:rFonts w:hint="eastAsia" w:ascii="仿宋" w:hAnsi="仿宋" w:eastAsia="仿宋" w:cs="仿宋"/>
          <w:color w:val="auto"/>
          <w:sz w:val="24"/>
          <w:szCs w:val="32"/>
          <w:highlight w:val="none"/>
        </w:rPr>
      </w:pPr>
      <w:r>
        <w:rPr>
          <w:rFonts w:hint="eastAsia" w:ascii="仿宋" w:hAnsi="仿宋" w:eastAsia="仿宋" w:cs="仿宋"/>
          <w:color w:val="auto"/>
          <w:sz w:val="24"/>
          <w:szCs w:val="32"/>
        </w:rPr>
        <w:t>负责提供各项目与参赛运动员数量相匹配的参赛物资，赛事衍生品和</w:t>
      </w:r>
      <w:r>
        <w:rPr>
          <w:rFonts w:hint="eastAsia" w:cs="仿宋"/>
          <w:color w:val="auto"/>
          <w:sz w:val="24"/>
          <w:szCs w:val="32"/>
          <w:lang w:val="en-US" w:eastAsia="zh-CN"/>
        </w:rPr>
        <w:t>运动员</w:t>
      </w:r>
      <w:r>
        <w:rPr>
          <w:rFonts w:hint="eastAsia" w:ascii="仿宋" w:hAnsi="仿宋" w:eastAsia="仿宋" w:cs="仿宋"/>
          <w:color w:val="auto"/>
          <w:sz w:val="24"/>
          <w:szCs w:val="32"/>
        </w:rPr>
        <w:t>的奖牌、证书</w:t>
      </w:r>
      <w:r>
        <w:rPr>
          <w:rFonts w:hint="eastAsia" w:cs="仿宋"/>
          <w:color w:val="auto"/>
          <w:sz w:val="24"/>
          <w:szCs w:val="32"/>
          <w:lang w:eastAsia="zh-CN"/>
        </w:rPr>
        <w:t>、</w:t>
      </w:r>
      <w:r>
        <w:rPr>
          <w:rFonts w:hint="eastAsia" w:ascii="仿宋" w:hAnsi="仿宋" w:eastAsia="仿宋" w:cs="仿宋"/>
          <w:color w:val="auto"/>
          <w:sz w:val="24"/>
          <w:szCs w:val="32"/>
        </w:rPr>
        <w:t>奖金等物资。</w:t>
      </w:r>
    </w:p>
    <w:p w14:paraId="62A1CE78">
      <w:pPr>
        <w:keepNext w:val="0"/>
        <w:keepLines w:val="0"/>
        <w:pageBreakBefore w:val="0"/>
        <w:widowControl w:val="0"/>
        <w:numPr>
          <w:ilvl w:val="0"/>
          <w:numId w:val="7"/>
        </w:numPr>
        <w:kinsoku/>
        <w:wordWrap/>
        <w:overflowPunct/>
        <w:topLinePunct w:val="0"/>
        <w:bidi w:val="0"/>
        <w:adjustRightInd/>
        <w:snapToGrid w:val="0"/>
        <w:spacing w:line="360" w:lineRule="auto"/>
        <w:ind w:left="0" w:leftChars="0" w:firstLine="480" w:firstLineChars="200"/>
        <w:textAlignment w:val="auto"/>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负责提供符合比赛要求的电子棋盘和符合赛事要求规格的棋具</w:t>
      </w:r>
      <w:r>
        <w:rPr>
          <w:rFonts w:hint="eastAsia" w:cs="仿宋"/>
          <w:color w:val="auto"/>
          <w:sz w:val="24"/>
          <w:szCs w:val="32"/>
          <w:highlight w:val="none"/>
          <w:lang w:eastAsia="zh-CN"/>
        </w:rPr>
        <w:t>，棋钟</w:t>
      </w:r>
      <w:r>
        <w:rPr>
          <w:rFonts w:hint="eastAsia" w:ascii="仿宋" w:hAnsi="仿宋" w:eastAsia="仿宋" w:cs="仿宋"/>
          <w:color w:val="auto"/>
          <w:sz w:val="24"/>
          <w:szCs w:val="32"/>
          <w:highlight w:val="none"/>
        </w:rPr>
        <w:t>；提供满足比赛要求的无线通讯系统和电脑、打印机等相关设备。</w:t>
      </w:r>
    </w:p>
    <w:p w14:paraId="2AD0034A">
      <w:pPr>
        <w:keepNext w:val="0"/>
        <w:keepLines w:val="0"/>
        <w:pageBreakBefore w:val="0"/>
        <w:widowControl w:val="0"/>
        <w:numPr>
          <w:ilvl w:val="0"/>
          <w:numId w:val="7"/>
        </w:numPr>
        <w:kinsoku/>
        <w:wordWrap/>
        <w:overflowPunct/>
        <w:topLinePunct w:val="0"/>
        <w:bidi w:val="0"/>
        <w:adjustRightInd/>
        <w:snapToGrid w:val="0"/>
        <w:spacing w:line="360" w:lineRule="auto"/>
        <w:ind w:left="0" w:leftChars="0" w:firstLine="480" w:firstLineChars="200"/>
        <w:textAlignment w:val="auto"/>
        <w:rPr>
          <w:rFonts w:hint="eastAsia" w:ascii="仿宋" w:hAnsi="仿宋" w:eastAsia="仿宋" w:cs="仿宋"/>
          <w:color w:val="auto"/>
          <w:sz w:val="24"/>
          <w:szCs w:val="32"/>
        </w:rPr>
      </w:pPr>
      <w:r>
        <w:rPr>
          <w:rFonts w:hint="eastAsia" w:ascii="仿宋" w:hAnsi="仿宋" w:eastAsia="仿宋" w:cs="仿宋"/>
          <w:color w:val="auto"/>
          <w:sz w:val="24"/>
          <w:szCs w:val="32"/>
        </w:rPr>
        <w:t>负责提供本次赛事所需各类用车（包括但不限于小轿车、厢型货车、大客车等）保障和管理工作。</w:t>
      </w:r>
    </w:p>
    <w:p w14:paraId="1982C93D">
      <w:pPr>
        <w:keepNext w:val="0"/>
        <w:keepLines w:val="0"/>
        <w:pageBreakBefore w:val="0"/>
        <w:widowControl w:val="0"/>
        <w:numPr>
          <w:ilvl w:val="0"/>
          <w:numId w:val="7"/>
        </w:numPr>
        <w:kinsoku/>
        <w:wordWrap/>
        <w:overflowPunct/>
        <w:topLinePunct w:val="0"/>
        <w:bidi w:val="0"/>
        <w:adjustRightInd/>
        <w:snapToGrid w:val="0"/>
        <w:spacing w:line="360" w:lineRule="auto"/>
        <w:ind w:left="0" w:leftChars="0" w:firstLine="480" w:firstLineChars="200"/>
        <w:textAlignment w:val="auto"/>
        <w:rPr>
          <w:rFonts w:hint="eastAsia" w:ascii="仿宋" w:hAnsi="仿宋" w:eastAsia="仿宋" w:cs="仿宋"/>
          <w:color w:val="auto"/>
          <w:sz w:val="24"/>
          <w:szCs w:val="32"/>
        </w:rPr>
      </w:pPr>
      <w:r>
        <w:rPr>
          <w:rFonts w:hint="eastAsia" w:ascii="仿宋" w:hAnsi="仿宋" w:eastAsia="仿宋" w:cs="仿宋"/>
          <w:color w:val="auto"/>
          <w:sz w:val="24"/>
          <w:szCs w:val="32"/>
        </w:rPr>
        <w:t>负责赛事开幕、颁奖仪式的策划、实施工作。制定开幕、颁奖仪式活动方案；做好礼仪培训，落实颁奖嘉宾</w:t>
      </w:r>
      <w:r>
        <w:rPr>
          <w:rFonts w:hint="eastAsia" w:cs="仿宋"/>
          <w:color w:val="auto"/>
          <w:sz w:val="24"/>
          <w:szCs w:val="32"/>
          <w:lang w:eastAsia="zh-CN"/>
        </w:rPr>
        <w:t>；</w:t>
      </w:r>
      <w:r>
        <w:rPr>
          <w:rFonts w:hint="eastAsia" w:ascii="仿宋" w:hAnsi="仿宋" w:eastAsia="仿宋" w:cs="仿宋"/>
          <w:color w:val="auto"/>
          <w:sz w:val="24"/>
          <w:szCs w:val="32"/>
        </w:rPr>
        <w:t>负责赛事开/</w:t>
      </w:r>
      <w:r>
        <w:rPr>
          <w:rFonts w:hint="eastAsia" w:cs="仿宋"/>
          <w:color w:val="auto"/>
          <w:sz w:val="24"/>
          <w:szCs w:val="32"/>
          <w:lang w:eastAsia="zh-CN"/>
        </w:rPr>
        <w:t>闭幕</w:t>
      </w:r>
      <w:r>
        <w:rPr>
          <w:rFonts w:hint="eastAsia" w:ascii="仿宋" w:hAnsi="仿宋" w:eastAsia="仿宋" w:cs="仿宋"/>
          <w:color w:val="auto"/>
          <w:sz w:val="24"/>
          <w:szCs w:val="32"/>
        </w:rPr>
        <w:t>式及相关配套活动的主持工作</w:t>
      </w:r>
      <w:r>
        <w:rPr>
          <w:rFonts w:hint="eastAsia" w:cs="仿宋"/>
          <w:color w:val="auto"/>
          <w:sz w:val="24"/>
          <w:szCs w:val="32"/>
          <w:lang w:eastAsia="zh-CN"/>
        </w:rPr>
        <w:t>。</w:t>
      </w:r>
    </w:p>
    <w:p w14:paraId="53A803CC">
      <w:pPr>
        <w:keepNext w:val="0"/>
        <w:keepLines w:val="0"/>
        <w:pageBreakBefore w:val="0"/>
        <w:widowControl w:val="0"/>
        <w:numPr>
          <w:ilvl w:val="0"/>
          <w:numId w:val="7"/>
        </w:numPr>
        <w:kinsoku/>
        <w:wordWrap/>
        <w:overflowPunct/>
        <w:topLinePunct w:val="0"/>
        <w:bidi w:val="0"/>
        <w:adjustRightInd/>
        <w:snapToGrid w:val="0"/>
        <w:spacing w:line="360" w:lineRule="auto"/>
        <w:ind w:left="0" w:leftChars="0" w:firstLine="480" w:firstLineChars="200"/>
        <w:textAlignment w:val="auto"/>
        <w:rPr>
          <w:rFonts w:hint="eastAsia" w:ascii="仿宋" w:hAnsi="仿宋" w:eastAsia="仿宋" w:cs="仿宋"/>
          <w:color w:val="auto"/>
          <w:sz w:val="24"/>
          <w:szCs w:val="32"/>
        </w:rPr>
      </w:pPr>
      <w:r>
        <w:rPr>
          <w:rFonts w:hint="eastAsia" w:ascii="仿宋" w:hAnsi="仿宋" w:eastAsia="仿宋" w:cs="仿宋"/>
          <w:color w:val="auto"/>
          <w:sz w:val="24"/>
          <w:szCs w:val="32"/>
        </w:rPr>
        <w:t>负责各类证件设计制作、资料编印、后勤购买；负责赛事所有物品（包含比赛器材、工作服、参赛服、奖牌等）的设计制作及购买（包含所有物资的运输费）</w:t>
      </w:r>
      <w:r>
        <w:rPr>
          <w:rFonts w:hint="eastAsia" w:ascii="仿宋" w:hAnsi="仿宋" w:eastAsia="仿宋" w:cs="仿宋"/>
          <w:color w:val="auto"/>
          <w:sz w:val="24"/>
          <w:szCs w:val="32"/>
          <w:lang w:eastAsia="zh-CN"/>
        </w:rPr>
        <w:t>。</w:t>
      </w:r>
    </w:p>
    <w:p w14:paraId="3C70ADCC">
      <w:pPr>
        <w:numPr>
          <w:ilvl w:val="0"/>
          <w:numId w:val="6"/>
        </w:numPr>
        <w:spacing w:line="360" w:lineRule="auto"/>
        <w:ind w:left="0" w:leftChars="0" w:firstLine="420" w:firstLineChars="0"/>
        <w:rPr>
          <w:rFonts w:hint="eastAsia" w:ascii="宋体" w:hAnsi="宋体"/>
          <w:b/>
          <w:color w:val="auto"/>
          <w:sz w:val="24"/>
          <w:szCs w:val="32"/>
        </w:rPr>
      </w:pPr>
      <w:r>
        <w:rPr>
          <w:rFonts w:hint="eastAsia" w:ascii="宋体" w:hAnsi="宋体"/>
          <w:b/>
          <w:color w:val="auto"/>
          <w:sz w:val="24"/>
          <w:szCs w:val="32"/>
        </w:rPr>
        <w:t>志愿者管理</w:t>
      </w:r>
    </w:p>
    <w:p w14:paraId="039A8974">
      <w:pPr>
        <w:spacing w:line="360" w:lineRule="auto"/>
        <w:ind w:firstLine="480" w:firstLineChars="200"/>
        <w:rPr>
          <w:rFonts w:hint="eastAsia" w:ascii="宋体" w:hAnsi="宋体" w:cs="新宋体"/>
          <w:color w:val="auto"/>
          <w:sz w:val="24"/>
        </w:rPr>
      </w:pPr>
      <w:r>
        <w:rPr>
          <w:rFonts w:hint="eastAsia" w:ascii="宋体" w:hAnsi="宋体" w:cs="新宋体"/>
          <w:color w:val="auto"/>
          <w:sz w:val="24"/>
        </w:rPr>
        <w:t>本次赛事需招募志愿者，供应商根据要求负责志愿者的招募、培训、管理、用餐、车辆接送等工作，包括但不限于：</w:t>
      </w:r>
    </w:p>
    <w:p w14:paraId="05A6DB43">
      <w:pPr>
        <w:keepNext w:val="0"/>
        <w:keepLines w:val="0"/>
        <w:pageBreakBefore w:val="0"/>
        <w:numPr>
          <w:ilvl w:val="0"/>
          <w:numId w:val="8"/>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szCs w:val="32"/>
        </w:rPr>
      </w:pPr>
      <w:r>
        <w:rPr>
          <w:rFonts w:hint="eastAsia" w:ascii="仿宋" w:hAnsi="仿宋" w:eastAsia="仿宋" w:cs="仿宋"/>
          <w:color w:val="auto"/>
          <w:sz w:val="24"/>
          <w:szCs w:val="32"/>
        </w:rPr>
        <w:t>负责协助赛事组委会做好竞赛志愿者的招募；</w:t>
      </w:r>
      <w:r>
        <w:rPr>
          <w:rFonts w:hint="eastAsia" w:ascii="仿宋" w:hAnsi="仿宋" w:eastAsia="仿宋" w:cs="仿宋"/>
          <w:color w:val="auto"/>
          <w:sz w:val="24"/>
          <w:szCs w:val="32"/>
          <w:lang w:val="en-US" w:eastAsia="zh-CN"/>
        </w:rPr>
        <w:t>负责</w:t>
      </w:r>
      <w:r>
        <w:rPr>
          <w:rFonts w:hint="eastAsia" w:ascii="仿宋" w:hAnsi="仿宋" w:eastAsia="仿宋" w:cs="仿宋"/>
          <w:color w:val="auto"/>
          <w:sz w:val="24"/>
          <w:szCs w:val="32"/>
        </w:rPr>
        <w:t>竞赛志愿者的用餐、服装、交通等相关服务及费用。</w:t>
      </w:r>
    </w:p>
    <w:p w14:paraId="57C430D3">
      <w:pPr>
        <w:keepNext w:val="0"/>
        <w:keepLines w:val="0"/>
        <w:pageBreakBefore w:val="0"/>
        <w:numPr>
          <w:ilvl w:val="0"/>
          <w:numId w:val="8"/>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szCs w:val="32"/>
        </w:rPr>
      </w:pPr>
      <w:r>
        <w:rPr>
          <w:rFonts w:hint="eastAsia" w:ascii="仿宋" w:hAnsi="仿宋" w:eastAsia="仿宋" w:cs="仿宋"/>
          <w:color w:val="auto"/>
          <w:sz w:val="24"/>
          <w:szCs w:val="32"/>
        </w:rPr>
        <w:t>负责根据赛事要求，做好志愿者的培训、管理、岗位分配和比赛期间的集结与召集等工作。</w:t>
      </w:r>
    </w:p>
    <w:p w14:paraId="11900200">
      <w:pPr>
        <w:numPr>
          <w:ilvl w:val="0"/>
          <w:numId w:val="6"/>
        </w:numPr>
        <w:spacing w:line="360" w:lineRule="auto"/>
        <w:ind w:left="0" w:leftChars="0" w:firstLine="420" w:firstLineChars="0"/>
        <w:rPr>
          <w:rFonts w:hint="eastAsia" w:ascii="宋体" w:hAnsi="宋体"/>
          <w:b/>
          <w:color w:val="auto"/>
          <w:sz w:val="24"/>
          <w:szCs w:val="32"/>
        </w:rPr>
      </w:pPr>
      <w:r>
        <w:rPr>
          <w:rFonts w:hint="eastAsia" w:ascii="宋体" w:hAnsi="宋体"/>
          <w:b/>
          <w:color w:val="auto"/>
          <w:sz w:val="24"/>
          <w:szCs w:val="32"/>
        </w:rPr>
        <w:t>媒体宣传</w:t>
      </w:r>
    </w:p>
    <w:p w14:paraId="2AF58DB7">
      <w:pPr>
        <w:spacing w:line="360" w:lineRule="auto"/>
        <w:ind w:firstLine="480" w:firstLineChars="200"/>
        <w:rPr>
          <w:rFonts w:hint="eastAsia" w:ascii="宋体" w:hAnsi="宋体" w:cs="新宋体"/>
          <w:color w:val="auto"/>
          <w:sz w:val="24"/>
        </w:rPr>
      </w:pPr>
      <w:r>
        <w:rPr>
          <w:rFonts w:hint="eastAsia" w:ascii="宋体" w:hAnsi="宋体" w:cs="新宋体"/>
          <w:color w:val="auto"/>
          <w:sz w:val="24"/>
        </w:rPr>
        <w:t>要求对</w:t>
      </w:r>
      <w:r>
        <w:rPr>
          <w:rFonts w:hint="eastAsia" w:ascii="宋体" w:hAnsi="宋体" w:cs="新宋体"/>
          <w:color w:val="auto"/>
          <w:sz w:val="24"/>
          <w:lang w:val="en-US" w:eastAsia="zh-CN"/>
        </w:rPr>
        <w:t>比赛现场</w:t>
      </w:r>
      <w:r>
        <w:rPr>
          <w:rFonts w:hint="eastAsia" w:ascii="宋体" w:hAnsi="宋体" w:cs="新宋体"/>
          <w:color w:val="auto"/>
          <w:sz w:val="24"/>
        </w:rPr>
        <w:t>进行装扮、包装，集文化娱乐为一体，打造特色</w:t>
      </w:r>
      <w:r>
        <w:rPr>
          <w:rFonts w:hint="eastAsia" w:ascii="宋体" w:hAnsi="宋体" w:cs="新宋体"/>
          <w:color w:val="auto"/>
          <w:sz w:val="24"/>
          <w:lang w:val="en-US" w:eastAsia="zh-CN"/>
        </w:rPr>
        <w:t>比赛场所</w:t>
      </w:r>
      <w:r>
        <w:rPr>
          <w:rFonts w:hint="eastAsia" w:ascii="宋体" w:hAnsi="宋体" w:cs="新宋体"/>
          <w:color w:val="auto"/>
          <w:sz w:val="24"/>
        </w:rPr>
        <w:t>，调动全员积极性，充分展现</w:t>
      </w:r>
      <w:r>
        <w:rPr>
          <w:rFonts w:hint="eastAsia" w:ascii="宋体" w:hAnsi="宋体" w:cs="新宋体"/>
          <w:color w:val="auto"/>
          <w:sz w:val="24"/>
          <w:lang w:val="en-US" w:eastAsia="zh-CN"/>
        </w:rPr>
        <w:t>遂昌</w:t>
      </w:r>
      <w:r>
        <w:rPr>
          <w:rFonts w:hint="eastAsia" w:ascii="宋体" w:hAnsi="宋体" w:cs="新宋体"/>
          <w:color w:val="auto"/>
          <w:sz w:val="24"/>
        </w:rPr>
        <w:t>的地理风貌</w:t>
      </w:r>
      <w:r>
        <w:rPr>
          <w:rFonts w:hint="eastAsia" w:ascii="宋体" w:hAnsi="宋体" w:cs="新宋体"/>
          <w:color w:val="auto"/>
          <w:sz w:val="24"/>
          <w:lang w:eastAsia="zh-CN"/>
        </w:rPr>
        <w:t>、</w:t>
      </w:r>
      <w:r>
        <w:rPr>
          <w:rFonts w:hint="eastAsia" w:ascii="宋体" w:hAnsi="宋体" w:cs="新宋体"/>
          <w:color w:val="auto"/>
          <w:sz w:val="24"/>
          <w:lang w:val="en-US" w:eastAsia="zh-CN"/>
        </w:rPr>
        <w:t>文化特色</w:t>
      </w:r>
      <w:r>
        <w:rPr>
          <w:rFonts w:hint="eastAsia" w:ascii="宋体" w:hAnsi="宋体" w:cs="新宋体"/>
          <w:color w:val="auto"/>
          <w:sz w:val="24"/>
        </w:rPr>
        <w:t>，提高周边群众的参与度，营造火热的赛事氛围。</w:t>
      </w:r>
    </w:p>
    <w:p w14:paraId="49871EC1">
      <w:pPr>
        <w:spacing w:line="360" w:lineRule="auto"/>
        <w:ind w:firstLine="480" w:firstLineChars="200"/>
        <w:rPr>
          <w:rFonts w:hint="eastAsia" w:ascii="宋体" w:hAnsi="宋体" w:cs="新宋体"/>
          <w:color w:val="auto"/>
          <w:sz w:val="24"/>
        </w:rPr>
      </w:pPr>
      <w:r>
        <w:rPr>
          <w:rFonts w:hint="eastAsia" w:ascii="宋体" w:hAnsi="宋体" w:cs="新宋体"/>
          <w:color w:val="auto"/>
          <w:sz w:val="24"/>
          <w:lang w:val="en-US" w:eastAsia="zh-CN"/>
        </w:rPr>
        <w:t>宣传</w:t>
      </w:r>
      <w:r>
        <w:rPr>
          <w:rFonts w:hint="eastAsia" w:ascii="宋体" w:hAnsi="宋体" w:cs="新宋体"/>
          <w:color w:val="auto"/>
          <w:sz w:val="24"/>
        </w:rPr>
        <w:t>需充分整合、挖掘各类宣传资源，力求形式新颖多样、内容丰富有趣，为赛事成功举办营造良好的舆论氛围，助力赛事品牌打造和</w:t>
      </w:r>
      <w:r>
        <w:rPr>
          <w:rFonts w:hint="eastAsia" w:ascii="宋体" w:hAnsi="宋体" w:cs="新宋体"/>
          <w:color w:val="auto"/>
          <w:sz w:val="24"/>
          <w:lang w:val="en-US" w:eastAsia="zh-CN"/>
        </w:rPr>
        <w:t>地方</w:t>
      </w:r>
      <w:r>
        <w:rPr>
          <w:rFonts w:hint="eastAsia" w:ascii="宋体" w:hAnsi="宋体" w:cs="新宋体"/>
          <w:color w:val="auto"/>
          <w:sz w:val="24"/>
        </w:rPr>
        <w:t>知名度、美誉度的提升。供应商需制定赛前、赛中、赛后，涵盖中央、省级和地方等各级各类主流媒体（电视、网络和平面媒体等）的具体宣传推广计划，包括但不限于：</w:t>
      </w:r>
    </w:p>
    <w:p w14:paraId="7A53D479">
      <w:pPr>
        <w:keepNext w:val="0"/>
        <w:keepLines w:val="0"/>
        <w:pageBreakBefore w:val="0"/>
        <w:numPr>
          <w:ilvl w:val="0"/>
          <w:numId w:val="9"/>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szCs w:val="32"/>
          <w:lang w:val="zh-CN" w:eastAsia="zh-CN"/>
        </w:rPr>
      </w:pPr>
      <w:r>
        <w:rPr>
          <w:rFonts w:hint="eastAsia" w:ascii="仿宋" w:hAnsi="仿宋" w:eastAsia="仿宋" w:cs="仿宋"/>
          <w:color w:val="auto"/>
          <w:sz w:val="24"/>
          <w:szCs w:val="32"/>
          <w:lang w:val="zh-CN" w:eastAsia="zh-CN"/>
        </w:rPr>
        <w:t>以</w:t>
      </w:r>
      <w:r>
        <w:rPr>
          <w:rFonts w:hint="eastAsia" w:ascii="仿宋" w:hAnsi="仿宋" w:eastAsia="仿宋" w:cs="仿宋"/>
          <w:color w:val="auto"/>
          <w:sz w:val="24"/>
          <w:szCs w:val="32"/>
          <w:lang w:val="en-US" w:eastAsia="zh-CN"/>
        </w:rPr>
        <w:t>赛事</w:t>
      </w:r>
      <w:r>
        <w:rPr>
          <w:rFonts w:hint="eastAsia" w:ascii="仿宋" w:hAnsi="仿宋" w:eastAsia="仿宋" w:cs="仿宋"/>
          <w:color w:val="auto"/>
          <w:sz w:val="24"/>
          <w:szCs w:val="32"/>
          <w:lang w:val="zh-CN" w:eastAsia="zh-CN"/>
        </w:rPr>
        <w:t>为主题，结合</w:t>
      </w:r>
      <w:r>
        <w:rPr>
          <w:rFonts w:hint="eastAsia" w:ascii="仿宋" w:hAnsi="仿宋" w:eastAsia="仿宋" w:cs="仿宋"/>
          <w:color w:val="auto"/>
          <w:sz w:val="24"/>
          <w:szCs w:val="32"/>
          <w:lang w:val="en-US" w:eastAsia="zh-CN"/>
        </w:rPr>
        <w:t>遂昌当地</w:t>
      </w:r>
      <w:r>
        <w:rPr>
          <w:rFonts w:hint="eastAsia" w:ascii="仿宋" w:hAnsi="仿宋" w:eastAsia="仿宋" w:cs="仿宋"/>
          <w:color w:val="auto"/>
          <w:sz w:val="24"/>
          <w:szCs w:val="32"/>
          <w:lang w:val="zh-CN" w:eastAsia="zh-CN"/>
        </w:rPr>
        <w:t>特色元素，提供赛事VI设计并制作，包括但不限于赛事 Logo、赛事主题背景、赛事物料、印刷资料、秩序册、各类证件（嘉宾证、志愿者证、车辆通行证、安保人员证、媒体记者证、工作人员证等）和赛事纪念品等设计。</w:t>
      </w:r>
    </w:p>
    <w:p w14:paraId="5D764C6D">
      <w:pPr>
        <w:keepNext w:val="0"/>
        <w:keepLines w:val="0"/>
        <w:pageBreakBefore w:val="0"/>
        <w:numPr>
          <w:ilvl w:val="0"/>
          <w:numId w:val="9"/>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szCs w:val="32"/>
          <w:lang w:val="zh-CN" w:eastAsia="zh-CN"/>
        </w:rPr>
      </w:pPr>
      <w:r>
        <w:rPr>
          <w:rFonts w:hint="eastAsia" w:ascii="仿宋" w:hAnsi="仿宋" w:eastAsia="仿宋" w:cs="仿宋"/>
          <w:color w:val="auto"/>
          <w:sz w:val="24"/>
          <w:szCs w:val="32"/>
          <w:lang w:val="zh-CN" w:eastAsia="zh-CN"/>
        </w:rPr>
        <w:t>做好赛事的通讯工作（建立赛事通讯系统、赛事的照片和视频的拍摄等）。</w:t>
      </w:r>
    </w:p>
    <w:p w14:paraId="04A627A1">
      <w:pPr>
        <w:numPr>
          <w:ilvl w:val="0"/>
          <w:numId w:val="6"/>
        </w:numPr>
        <w:spacing w:line="360" w:lineRule="auto"/>
        <w:ind w:left="0" w:leftChars="0" w:firstLine="420" w:firstLineChars="0"/>
        <w:rPr>
          <w:rFonts w:hint="eastAsia" w:ascii="宋体" w:hAnsi="宋体"/>
          <w:b/>
          <w:color w:val="auto"/>
          <w:sz w:val="24"/>
          <w:szCs w:val="32"/>
        </w:rPr>
      </w:pPr>
      <w:r>
        <w:rPr>
          <w:rFonts w:hint="eastAsia" w:ascii="宋体" w:hAnsi="宋体"/>
          <w:b/>
          <w:color w:val="auto"/>
          <w:sz w:val="24"/>
          <w:szCs w:val="32"/>
        </w:rPr>
        <w:t>后勤保障</w:t>
      </w:r>
    </w:p>
    <w:p w14:paraId="69544AF4">
      <w:pPr>
        <w:keepNext w:val="0"/>
        <w:keepLines w:val="0"/>
        <w:pageBreakBefore w:val="0"/>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szCs w:val="32"/>
          <w:lang w:val="zh-CN" w:eastAsia="zh-CN"/>
        </w:rPr>
      </w:pPr>
      <w:r>
        <w:rPr>
          <w:rFonts w:hint="eastAsia" w:ascii="仿宋" w:hAnsi="仿宋" w:eastAsia="仿宋" w:cs="仿宋"/>
          <w:color w:val="auto"/>
          <w:sz w:val="24"/>
          <w:szCs w:val="32"/>
          <w:lang w:val="zh-CN" w:eastAsia="zh-CN"/>
        </w:rPr>
        <w:t>负责落实参加的嘉宾、裁判团队、新闻媒体等工作人员的食宿等服务保障工作。</w:t>
      </w:r>
    </w:p>
    <w:p w14:paraId="5C86DD35">
      <w:pPr>
        <w:keepNext w:val="0"/>
        <w:keepLines w:val="0"/>
        <w:pageBreakBefore w:val="0"/>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szCs w:val="32"/>
          <w:lang w:val="zh-CN" w:eastAsia="zh-CN"/>
        </w:rPr>
      </w:pPr>
      <w:r>
        <w:rPr>
          <w:rFonts w:hint="eastAsia" w:ascii="仿宋" w:hAnsi="仿宋" w:eastAsia="仿宋" w:cs="仿宋"/>
          <w:color w:val="auto"/>
          <w:sz w:val="24"/>
          <w:szCs w:val="32"/>
          <w:lang w:val="zh-CN" w:eastAsia="zh-CN"/>
        </w:rPr>
        <w:t>提供与参赛运动员数量相匹配的各类点心和茶水等。</w:t>
      </w:r>
    </w:p>
    <w:p w14:paraId="2B7ED6A4">
      <w:pPr>
        <w:keepNext w:val="0"/>
        <w:keepLines w:val="0"/>
        <w:pageBreakBefore w:val="0"/>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szCs w:val="32"/>
          <w:lang w:val="zh-CN" w:eastAsia="zh-CN"/>
        </w:rPr>
      </w:pPr>
      <w:r>
        <w:rPr>
          <w:rFonts w:hint="eastAsia" w:ascii="仿宋" w:hAnsi="仿宋" w:eastAsia="仿宋" w:cs="仿宋"/>
          <w:color w:val="auto"/>
          <w:sz w:val="24"/>
          <w:szCs w:val="32"/>
          <w:lang w:val="zh-CN" w:eastAsia="zh-CN"/>
        </w:rPr>
        <w:t>承担比赛期间的赛事技术代表、技术官员、裁判员、医疗安保人员、志愿者和赛事工作人员的工作用餐。</w:t>
      </w:r>
    </w:p>
    <w:p w14:paraId="1D6A5B9D">
      <w:pPr>
        <w:keepNext w:val="0"/>
        <w:keepLines w:val="0"/>
        <w:pageBreakBefore w:val="0"/>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szCs w:val="32"/>
          <w:lang w:val="zh-CN" w:eastAsia="zh-CN"/>
        </w:rPr>
      </w:pPr>
      <w:r>
        <w:rPr>
          <w:rFonts w:hint="eastAsia" w:ascii="仿宋" w:hAnsi="仿宋" w:eastAsia="仿宋" w:cs="仿宋"/>
          <w:color w:val="auto"/>
          <w:sz w:val="24"/>
          <w:szCs w:val="32"/>
          <w:lang w:val="zh-CN" w:eastAsia="zh-CN"/>
        </w:rPr>
        <w:t>提供符合赛事需要的各类车辆，具体数量按实际所需并经采购人确认同意后提供。</w:t>
      </w:r>
    </w:p>
    <w:p w14:paraId="7CE46B62">
      <w:pPr>
        <w:keepNext w:val="0"/>
        <w:keepLines w:val="0"/>
        <w:pageBreakBefore w:val="0"/>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szCs w:val="32"/>
          <w:lang w:val="zh-CN" w:eastAsia="zh-CN"/>
        </w:rPr>
      </w:pPr>
      <w:r>
        <w:rPr>
          <w:rFonts w:hint="eastAsia" w:ascii="仿宋" w:hAnsi="仿宋" w:eastAsia="仿宋" w:cs="仿宋"/>
          <w:color w:val="auto"/>
          <w:sz w:val="24"/>
          <w:szCs w:val="32"/>
          <w:lang w:val="zh-CN" w:eastAsia="zh-CN"/>
        </w:rPr>
        <w:t>配合市场</w:t>
      </w:r>
      <w:r>
        <w:rPr>
          <w:rFonts w:hint="eastAsia" w:cs="仿宋"/>
          <w:color w:val="auto"/>
          <w:sz w:val="24"/>
          <w:szCs w:val="32"/>
          <w:lang w:val="en-US" w:eastAsia="zh-CN"/>
        </w:rPr>
        <w:t>监督管理局</w:t>
      </w:r>
      <w:r>
        <w:rPr>
          <w:rFonts w:hint="eastAsia" w:ascii="仿宋" w:hAnsi="仿宋" w:eastAsia="仿宋" w:cs="仿宋"/>
          <w:color w:val="auto"/>
          <w:sz w:val="24"/>
          <w:szCs w:val="32"/>
          <w:lang w:val="zh-CN" w:eastAsia="zh-CN"/>
        </w:rPr>
        <w:t>做好食品安全管理相关工作。</w:t>
      </w:r>
    </w:p>
    <w:p w14:paraId="76B0C3C3">
      <w:pPr>
        <w:numPr>
          <w:ilvl w:val="0"/>
          <w:numId w:val="6"/>
        </w:numPr>
        <w:spacing w:line="360" w:lineRule="auto"/>
        <w:ind w:left="0" w:leftChars="0" w:firstLine="420" w:firstLineChars="0"/>
        <w:rPr>
          <w:rFonts w:hint="eastAsia" w:ascii="宋体" w:hAnsi="宋体"/>
          <w:b/>
          <w:color w:val="auto"/>
          <w:sz w:val="24"/>
          <w:szCs w:val="32"/>
        </w:rPr>
      </w:pPr>
      <w:r>
        <w:rPr>
          <w:rFonts w:hint="eastAsia" w:ascii="宋体" w:hAnsi="宋体"/>
          <w:b/>
          <w:color w:val="auto"/>
          <w:sz w:val="24"/>
          <w:szCs w:val="32"/>
        </w:rPr>
        <w:t>场地布置</w:t>
      </w:r>
    </w:p>
    <w:p w14:paraId="55B5BA52">
      <w:pPr>
        <w:keepNext w:val="0"/>
        <w:keepLines w:val="0"/>
        <w:pageBreakBefore w:val="0"/>
        <w:numPr>
          <w:ilvl w:val="0"/>
          <w:numId w:val="11"/>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szCs w:val="32"/>
          <w:lang w:val="zh-CN" w:eastAsia="zh-CN"/>
        </w:rPr>
      </w:pPr>
      <w:r>
        <w:rPr>
          <w:rFonts w:hint="eastAsia" w:ascii="仿宋" w:hAnsi="仿宋" w:eastAsia="仿宋" w:cs="仿宋"/>
          <w:color w:val="auto"/>
          <w:sz w:val="24"/>
          <w:szCs w:val="32"/>
          <w:lang w:val="zh-CN" w:eastAsia="zh-CN"/>
        </w:rPr>
        <w:t>按照竞赛要求进行场地布置。</w:t>
      </w:r>
    </w:p>
    <w:p w14:paraId="22F17996">
      <w:pPr>
        <w:keepNext w:val="0"/>
        <w:keepLines w:val="0"/>
        <w:pageBreakBefore w:val="0"/>
        <w:numPr>
          <w:ilvl w:val="0"/>
          <w:numId w:val="11"/>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szCs w:val="32"/>
          <w:lang w:val="zh-CN" w:eastAsia="zh-CN"/>
        </w:rPr>
      </w:pPr>
      <w:r>
        <w:rPr>
          <w:rFonts w:hint="eastAsia" w:ascii="仿宋" w:hAnsi="仿宋" w:eastAsia="仿宋" w:cs="仿宋"/>
          <w:color w:val="auto"/>
          <w:sz w:val="24"/>
          <w:szCs w:val="32"/>
          <w:lang w:val="zh-CN" w:eastAsia="zh-CN"/>
        </w:rPr>
        <w:t>场地布置方案要包含主席台背景设计、报到处设计、赛场门口指引、酒店门口指引及技术官员要求的其他设备。</w:t>
      </w:r>
    </w:p>
    <w:p w14:paraId="6B02F9CD">
      <w:pPr>
        <w:numPr>
          <w:ilvl w:val="0"/>
          <w:numId w:val="6"/>
        </w:numPr>
        <w:spacing w:line="360" w:lineRule="auto"/>
        <w:ind w:left="0" w:leftChars="0" w:firstLine="420" w:firstLineChars="0"/>
        <w:rPr>
          <w:rFonts w:hint="eastAsia" w:ascii="宋体" w:hAnsi="宋体"/>
          <w:b/>
          <w:color w:val="auto"/>
          <w:sz w:val="24"/>
          <w:szCs w:val="32"/>
        </w:rPr>
      </w:pPr>
      <w:r>
        <w:rPr>
          <w:rFonts w:hint="eastAsia" w:ascii="宋体" w:hAnsi="宋体"/>
          <w:b/>
          <w:color w:val="auto"/>
          <w:sz w:val="24"/>
          <w:szCs w:val="32"/>
          <w:lang w:val="en-US" w:eastAsia="zh-CN"/>
        </w:rPr>
        <w:t>安全保障</w:t>
      </w:r>
    </w:p>
    <w:p w14:paraId="08277C48">
      <w:pPr>
        <w:keepNext w:val="0"/>
        <w:keepLines w:val="0"/>
        <w:pageBreakBefore w:val="0"/>
        <w:numPr>
          <w:ilvl w:val="0"/>
          <w:numId w:val="12"/>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szCs w:val="32"/>
          <w:lang w:val="en-US" w:eastAsia="zh-CN"/>
        </w:rPr>
      </w:pPr>
      <w:bookmarkStart w:id="25" w:name="_Toc11712"/>
      <w:r>
        <w:rPr>
          <w:rFonts w:hint="eastAsia" w:ascii="仿宋" w:hAnsi="仿宋" w:eastAsia="仿宋" w:cs="仿宋"/>
          <w:b w:val="0"/>
          <w:bCs w:val="0"/>
          <w:color w:val="auto"/>
          <w:sz w:val="24"/>
          <w:szCs w:val="32"/>
          <w:lang w:val="zh-CN" w:eastAsia="zh-CN"/>
        </w:rPr>
        <w:t>为所有参赛选手、</w:t>
      </w:r>
      <w:r>
        <w:rPr>
          <w:rFonts w:hint="eastAsia" w:ascii="仿宋" w:hAnsi="仿宋" w:eastAsia="仿宋" w:cs="仿宋"/>
          <w:b w:val="0"/>
          <w:bCs w:val="0"/>
          <w:color w:val="auto"/>
          <w:sz w:val="24"/>
          <w:szCs w:val="32"/>
          <w:lang w:val="en-US" w:eastAsia="zh-CN"/>
        </w:rPr>
        <w:t>裁判长</w:t>
      </w:r>
      <w:r>
        <w:rPr>
          <w:rFonts w:hint="eastAsia" w:ascii="仿宋" w:hAnsi="仿宋" w:eastAsia="仿宋" w:cs="仿宋"/>
          <w:b w:val="0"/>
          <w:bCs w:val="0"/>
          <w:color w:val="auto"/>
          <w:sz w:val="24"/>
          <w:szCs w:val="32"/>
          <w:lang w:val="zh-CN" w:eastAsia="zh-CN"/>
        </w:rPr>
        <w:t>、</w:t>
      </w:r>
      <w:r>
        <w:rPr>
          <w:rFonts w:hint="eastAsia" w:ascii="仿宋" w:hAnsi="仿宋" w:eastAsia="仿宋" w:cs="仿宋"/>
          <w:b w:val="0"/>
          <w:bCs w:val="0"/>
          <w:color w:val="auto"/>
          <w:sz w:val="24"/>
          <w:szCs w:val="32"/>
          <w:lang w:val="en-US" w:eastAsia="zh-CN"/>
        </w:rPr>
        <w:t>其他技术仲裁、编排长、副裁判长、裁判员、</w:t>
      </w:r>
      <w:r>
        <w:rPr>
          <w:rFonts w:hint="eastAsia" w:ascii="仿宋" w:hAnsi="仿宋" w:eastAsia="仿宋" w:cs="仿宋"/>
          <w:b w:val="0"/>
          <w:bCs w:val="0"/>
          <w:color w:val="auto"/>
          <w:sz w:val="24"/>
          <w:szCs w:val="32"/>
          <w:lang w:val="zh-CN" w:eastAsia="zh-CN"/>
        </w:rPr>
        <w:t>志愿者、</w:t>
      </w:r>
      <w:r>
        <w:rPr>
          <w:rFonts w:hint="eastAsia" w:ascii="仿宋" w:hAnsi="仿宋" w:eastAsia="仿宋" w:cs="仿宋"/>
          <w:b w:val="0"/>
          <w:bCs w:val="0"/>
          <w:color w:val="auto"/>
          <w:sz w:val="24"/>
          <w:szCs w:val="32"/>
          <w:lang w:val="en-US" w:eastAsia="zh-CN"/>
        </w:rPr>
        <w:t>工作人员</w:t>
      </w:r>
      <w:r>
        <w:rPr>
          <w:rFonts w:hint="eastAsia" w:ascii="仿宋" w:hAnsi="仿宋" w:eastAsia="仿宋" w:cs="仿宋"/>
          <w:b w:val="0"/>
          <w:bCs w:val="0"/>
          <w:color w:val="auto"/>
          <w:sz w:val="24"/>
          <w:szCs w:val="32"/>
          <w:lang w:val="zh-CN" w:eastAsia="zh-CN"/>
        </w:rPr>
        <w:t>等有关人员投保人身意外险（含突发性死亡保险赔付）。</w:t>
      </w:r>
    </w:p>
    <w:p w14:paraId="5B7758B5">
      <w:pPr>
        <w:keepNext w:val="0"/>
        <w:keepLines w:val="0"/>
        <w:pageBreakBefore w:val="0"/>
        <w:numPr>
          <w:ilvl w:val="0"/>
          <w:numId w:val="12"/>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sz w:val="24"/>
          <w:szCs w:val="32"/>
          <w:lang w:val="zh-CN" w:eastAsia="zh-CN"/>
        </w:rPr>
      </w:pPr>
      <w:r>
        <w:rPr>
          <w:rFonts w:hint="eastAsia" w:ascii="仿宋" w:hAnsi="仿宋" w:eastAsia="仿宋" w:cs="仿宋"/>
          <w:b w:val="0"/>
          <w:bCs w:val="0"/>
          <w:color w:val="auto"/>
          <w:sz w:val="24"/>
          <w:szCs w:val="32"/>
          <w:lang w:val="zh-CN" w:eastAsia="zh-CN"/>
        </w:rPr>
        <w:t>供应商应负责本次活动的安全保</w:t>
      </w:r>
      <w:r>
        <w:rPr>
          <w:rFonts w:hint="eastAsia" w:ascii="仿宋" w:hAnsi="仿宋" w:eastAsia="仿宋" w:cs="仿宋"/>
          <w:b w:val="0"/>
          <w:bCs w:val="0"/>
          <w:sz w:val="24"/>
          <w:szCs w:val="32"/>
          <w:lang w:val="zh-CN" w:eastAsia="zh-CN"/>
        </w:rPr>
        <w:t>障工作，确保本次活动安全、有序进行，如本次活动参与人员（包括嘉宾、裁判员、工作人员、参赛选手、志愿者、救援人员等所有相关人员）在活动前期准备、正式举办、结束返程等期间发生任何人身伤亡事故或财产损失事故的，或造成第三方人身损害或财产损失的，由成交供应商负责处理，并由成交供应商承担相应的赔偿责任。</w:t>
      </w:r>
    </w:p>
    <w:p w14:paraId="7DF85EC3">
      <w:pPr>
        <w:numPr>
          <w:ilvl w:val="0"/>
          <w:numId w:val="6"/>
        </w:numPr>
        <w:spacing w:line="360" w:lineRule="auto"/>
        <w:ind w:left="0" w:leftChars="0" w:firstLine="420" w:firstLineChars="0"/>
        <w:rPr>
          <w:rFonts w:hint="eastAsia" w:ascii="宋体" w:hAnsi="宋体"/>
          <w:b/>
          <w:sz w:val="24"/>
          <w:szCs w:val="32"/>
          <w:lang w:val="zh-CN" w:eastAsia="zh-CN"/>
        </w:rPr>
      </w:pPr>
      <w:r>
        <w:rPr>
          <w:rFonts w:hint="eastAsia" w:ascii="宋体" w:hAnsi="宋体"/>
          <w:b/>
          <w:sz w:val="24"/>
          <w:szCs w:val="32"/>
          <w:lang w:val="en-US" w:eastAsia="zh-CN"/>
        </w:rPr>
        <w:t>应急保障</w:t>
      </w:r>
    </w:p>
    <w:p w14:paraId="3A529AE3">
      <w:pPr>
        <w:keepNext w:val="0"/>
        <w:keepLines w:val="0"/>
        <w:pageBreakBefore w:val="0"/>
        <w:numPr>
          <w:ilvl w:val="0"/>
          <w:numId w:val="13"/>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sz w:val="24"/>
          <w:szCs w:val="32"/>
          <w:lang w:val="zh-CN" w:eastAsia="zh-CN"/>
        </w:rPr>
      </w:pPr>
      <w:r>
        <w:rPr>
          <w:rFonts w:hint="eastAsia" w:ascii="仿宋" w:hAnsi="仿宋" w:eastAsia="仿宋" w:cs="仿宋"/>
          <w:b w:val="0"/>
          <w:bCs w:val="0"/>
          <w:sz w:val="24"/>
          <w:szCs w:val="32"/>
          <w:lang w:val="zh-CN" w:eastAsia="zh-CN"/>
        </w:rPr>
        <w:t>供应商需针对竞赛和器材保障、场地布置、志愿者招募管理、媒体宣传、后勤保障、医疗安保等工作可能遇到的突发性情况制定应急预案</w:t>
      </w:r>
      <w:bookmarkEnd w:id="25"/>
      <w:r>
        <w:rPr>
          <w:rFonts w:hint="eastAsia" w:ascii="仿宋" w:hAnsi="仿宋" w:eastAsia="仿宋" w:cs="仿宋"/>
          <w:b w:val="0"/>
          <w:bCs w:val="0"/>
          <w:sz w:val="24"/>
          <w:szCs w:val="32"/>
          <w:lang w:val="zh-CN" w:eastAsia="zh-CN"/>
        </w:rPr>
        <w:t>。</w:t>
      </w:r>
    </w:p>
    <w:p w14:paraId="64091F83">
      <w:pPr>
        <w:keepNext w:val="0"/>
        <w:keepLines w:val="0"/>
        <w:pageBreakBefore w:val="0"/>
        <w:numPr>
          <w:ilvl w:val="0"/>
          <w:numId w:val="13"/>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sz w:val="24"/>
          <w:szCs w:val="32"/>
          <w:lang w:val="zh-CN" w:eastAsia="zh-CN"/>
        </w:rPr>
      </w:pPr>
      <w:r>
        <w:rPr>
          <w:rFonts w:hint="eastAsia" w:ascii="仿宋" w:hAnsi="仿宋" w:eastAsia="仿宋" w:cs="仿宋"/>
          <w:b w:val="0"/>
          <w:bCs w:val="0"/>
          <w:sz w:val="24"/>
          <w:szCs w:val="32"/>
          <w:lang w:val="zh-CN" w:eastAsia="zh-CN"/>
        </w:rPr>
        <w:t>制定安保、后勤（含保洁员）、医疗（详细介绍专业急救医务人员的安排及布置点位和数量）、应急等方案，并全力配合公安、行政执法和卫生等部门做好相关工作，负责相关人员培训及制定实施方案。</w:t>
      </w:r>
    </w:p>
    <w:p w14:paraId="306F8158">
      <w:pPr>
        <w:keepNext w:val="0"/>
        <w:keepLines w:val="0"/>
        <w:pageBreakBefore w:val="0"/>
        <w:numPr>
          <w:ilvl w:val="0"/>
          <w:numId w:val="13"/>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sz w:val="24"/>
          <w:szCs w:val="32"/>
          <w:lang w:val="zh-CN" w:eastAsia="zh-CN"/>
        </w:rPr>
      </w:pPr>
      <w:r>
        <w:rPr>
          <w:rFonts w:hint="eastAsia" w:ascii="仿宋" w:hAnsi="仿宋" w:eastAsia="仿宋" w:cs="仿宋"/>
          <w:b w:val="0"/>
          <w:bCs w:val="0"/>
          <w:sz w:val="24"/>
          <w:szCs w:val="32"/>
          <w:lang w:val="zh-CN" w:eastAsia="zh-CN"/>
        </w:rPr>
        <w:t>负责补给点设置和物资充分供应（确保饮用水、饮料和食品质量安全，明确各类食品分装、发放流程、各类车辆分配和运输线路安排等，并根据比赛时间节点明确倒计时实施进度计划，以及相应的工作人员配备）。</w:t>
      </w:r>
    </w:p>
    <w:p w14:paraId="38C74355">
      <w:pPr>
        <w:keepNext w:val="0"/>
        <w:keepLines w:val="0"/>
        <w:pageBreakBefore w:val="0"/>
        <w:numPr>
          <w:ilvl w:val="0"/>
          <w:numId w:val="13"/>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sz w:val="24"/>
          <w:szCs w:val="32"/>
          <w:lang w:val="zh-CN" w:eastAsia="zh-CN"/>
        </w:rPr>
      </w:pPr>
      <w:r>
        <w:rPr>
          <w:rFonts w:hint="eastAsia" w:ascii="仿宋" w:hAnsi="仿宋" w:eastAsia="仿宋" w:cs="仿宋"/>
          <w:b w:val="0"/>
          <w:bCs w:val="0"/>
          <w:sz w:val="24"/>
          <w:szCs w:val="32"/>
          <w:lang w:val="zh-CN" w:eastAsia="zh-CN"/>
        </w:rPr>
        <w:t>明确赛事安保医疗工作的重点、难点等必须注意事项并制定对应方案。</w:t>
      </w:r>
    </w:p>
    <w:p w14:paraId="5411B94F">
      <w:pPr>
        <w:keepNext w:val="0"/>
        <w:keepLines w:val="0"/>
        <w:pageBreakBefore w:val="0"/>
        <w:numPr>
          <w:ilvl w:val="0"/>
          <w:numId w:val="13"/>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sz w:val="24"/>
          <w:szCs w:val="32"/>
          <w:lang w:val="zh-CN" w:eastAsia="zh-CN"/>
        </w:rPr>
      </w:pPr>
      <w:r>
        <w:rPr>
          <w:rFonts w:hint="eastAsia" w:ascii="仿宋" w:hAnsi="仿宋" w:eastAsia="仿宋" w:cs="仿宋"/>
          <w:b w:val="0"/>
          <w:bCs w:val="0"/>
          <w:sz w:val="24"/>
          <w:szCs w:val="32"/>
          <w:lang w:val="zh-CN" w:eastAsia="zh-CN"/>
        </w:rPr>
        <w:t>负责落实运动员安全协议、参赛声明等文字材料的起草和签订。</w:t>
      </w:r>
    </w:p>
    <w:p w14:paraId="35CAD5B6">
      <w:pPr>
        <w:keepNext w:val="0"/>
        <w:keepLines w:val="0"/>
        <w:pageBreakBefore w:val="0"/>
        <w:numPr>
          <w:ilvl w:val="0"/>
          <w:numId w:val="13"/>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sz w:val="24"/>
          <w:szCs w:val="32"/>
          <w:lang w:val="zh-CN" w:eastAsia="zh-CN"/>
        </w:rPr>
      </w:pPr>
      <w:r>
        <w:rPr>
          <w:rFonts w:hint="eastAsia" w:ascii="仿宋" w:hAnsi="仿宋" w:eastAsia="仿宋" w:cs="仿宋"/>
          <w:b w:val="0"/>
          <w:bCs w:val="0"/>
          <w:sz w:val="24"/>
          <w:szCs w:val="32"/>
          <w:lang w:val="zh-CN" w:eastAsia="zh-CN"/>
        </w:rPr>
        <w:t>供应商需根据赛事的特点，按照竞赛要求，在赛场配备医护人员。</w:t>
      </w:r>
    </w:p>
    <w:p w14:paraId="47CBD138">
      <w:pPr>
        <w:numPr>
          <w:ilvl w:val="0"/>
          <w:numId w:val="6"/>
        </w:numPr>
        <w:spacing w:line="360" w:lineRule="auto"/>
        <w:ind w:left="0" w:leftChars="0" w:firstLine="420" w:firstLineChars="0"/>
        <w:rPr>
          <w:rFonts w:hint="eastAsia" w:ascii="宋体" w:hAnsi="宋体"/>
          <w:b/>
          <w:sz w:val="24"/>
          <w:szCs w:val="32"/>
          <w:lang w:val="en-US" w:eastAsia="zh-CN"/>
        </w:rPr>
      </w:pPr>
      <w:r>
        <w:rPr>
          <w:rFonts w:hint="eastAsia" w:ascii="宋体" w:hAnsi="宋体"/>
          <w:b/>
          <w:sz w:val="24"/>
          <w:szCs w:val="32"/>
          <w:lang w:val="en-US" w:eastAsia="zh-CN"/>
        </w:rPr>
        <w:t>其他</w:t>
      </w:r>
    </w:p>
    <w:p w14:paraId="547D30B9">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赛事期间所发生的一切责任事故、突发事件等，以及所产生的费用均由供应商承担。</w:t>
      </w:r>
    </w:p>
    <w:p w14:paraId="066B388B">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全面配合采购人完成其他相应工作 。</w:t>
      </w:r>
    </w:p>
    <w:p w14:paraId="4A7C6155">
      <w:pPr>
        <w:pStyle w:val="3"/>
        <w:numPr>
          <w:ilvl w:val="0"/>
          <w:numId w:val="3"/>
        </w:numPr>
        <w:tabs>
          <w:tab w:val="left" w:pos="1291"/>
        </w:tabs>
        <w:spacing w:before="0" w:line="360" w:lineRule="auto"/>
        <w:jc w:val="left"/>
        <w:rPr>
          <w:rFonts w:hint="eastAsia" w:ascii="Times New Roman" w:hAnsi="Times New Roman"/>
          <w:highlight w:val="none"/>
          <w:lang w:val="en-US" w:eastAsia="zh-CN"/>
        </w:rPr>
      </w:pPr>
      <w:bookmarkStart w:id="26" w:name="_Toc31354"/>
      <w:r>
        <w:rPr>
          <w:rFonts w:hint="eastAsia" w:ascii="Times New Roman" w:hAnsi="Times New Roman"/>
          <w:highlight w:val="none"/>
          <w:lang w:val="en-US" w:eastAsia="zh-CN"/>
        </w:rPr>
        <w:t>验收要求</w:t>
      </w:r>
      <w:bookmarkEnd w:id="26"/>
    </w:p>
    <w:p w14:paraId="0C6938C5">
      <w:pPr>
        <w:keepNext w:val="0"/>
        <w:keepLines w:val="0"/>
        <w:pageBreakBefore w:val="0"/>
        <w:widowControl w:val="0"/>
        <w:numPr>
          <w:ilvl w:val="0"/>
          <w:numId w:val="15"/>
        </w:numPr>
        <w:kinsoku/>
        <w:wordWrap/>
        <w:overflowPunct/>
        <w:topLinePunct w:val="0"/>
        <w:bidi w:val="0"/>
        <w:adjustRightInd/>
        <w:snapToGrid w:val="0"/>
        <w:spacing w:line="360" w:lineRule="auto"/>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采购人按相关规定组织验收，验收资料由成交供应商准备；</w:t>
      </w:r>
    </w:p>
    <w:p w14:paraId="1949B265">
      <w:pPr>
        <w:keepNext w:val="0"/>
        <w:keepLines w:val="0"/>
        <w:pageBreakBefore w:val="0"/>
        <w:widowControl w:val="0"/>
        <w:numPr>
          <w:ilvl w:val="0"/>
          <w:numId w:val="15"/>
        </w:numPr>
        <w:kinsoku/>
        <w:wordWrap/>
        <w:overflowPunct/>
        <w:topLinePunct w:val="0"/>
        <w:bidi w:val="0"/>
        <w:adjustRightInd/>
        <w:snapToGrid w:val="0"/>
        <w:spacing w:line="360" w:lineRule="auto"/>
        <w:ind w:left="0" w:leftChars="0" w:firstLine="480" w:firstLineChars="200"/>
        <w:textAlignment w:val="auto"/>
        <w:rPr>
          <w:rFonts w:hint="eastAsia" w:ascii="仿宋" w:hAnsi="仿宋" w:eastAsia="仿宋" w:cs="仿宋"/>
          <w:sz w:val="24"/>
          <w:lang w:val="zh-CN" w:eastAsia="zh-CN"/>
        </w:rPr>
      </w:pPr>
      <w:r>
        <w:rPr>
          <w:rFonts w:hint="eastAsia" w:ascii="仿宋" w:hAnsi="仿宋" w:eastAsia="仿宋" w:cs="仿宋"/>
          <w:sz w:val="24"/>
          <w:lang w:val="zh-CN" w:eastAsia="zh-CN"/>
        </w:rPr>
        <w:t>本项目合同验收由采购人组织实施，验收过程中，成交供应商应派专业的技术人员协助采购人进行验收；</w:t>
      </w:r>
    </w:p>
    <w:p w14:paraId="004EAB92">
      <w:pPr>
        <w:keepNext w:val="0"/>
        <w:keepLines w:val="0"/>
        <w:pageBreakBefore w:val="0"/>
        <w:widowControl w:val="0"/>
        <w:numPr>
          <w:ilvl w:val="0"/>
          <w:numId w:val="15"/>
        </w:numPr>
        <w:kinsoku/>
        <w:wordWrap/>
        <w:overflowPunct/>
        <w:topLinePunct w:val="0"/>
        <w:bidi w:val="0"/>
        <w:adjustRightInd/>
        <w:snapToGrid w:val="0"/>
        <w:spacing w:line="360" w:lineRule="auto"/>
        <w:ind w:left="0" w:leftChars="0" w:firstLine="480" w:firstLineChars="200"/>
        <w:textAlignment w:val="auto"/>
        <w:rPr>
          <w:rFonts w:hint="eastAsia"/>
        </w:rPr>
      </w:pPr>
      <w:r>
        <w:rPr>
          <w:rFonts w:hint="eastAsia" w:ascii="仿宋" w:hAnsi="仿宋" w:eastAsia="仿宋" w:cs="仿宋"/>
          <w:sz w:val="24"/>
          <w:lang w:val="zh-CN" w:eastAsia="zh-CN"/>
        </w:rPr>
        <w:t>验收合格标准：符合采购文件约定的服务质量要求、完成合同全部约定。</w:t>
      </w:r>
    </w:p>
    <w:bookmarkEnd w:id="15"/>
    <w:bookmarkEnd w:id="16"/>
    <w:bookmarkEnd w:id="17"/>
    <w:bookmarkEnd w:id="18"/>
    <w:p w14:paraId="565F1638">
      <w:pPr>
        <w:pStyle w:val="3"/>
        <w:numPr>
          <w:ilvl w:val="0"/>
          <w:numId w:val="3"/>
        </w:numPr>
        <w:tabs>
          <w:tab w:val="left" w:pos="1291"/>
        </w:tabs>
        <w:spacing w:before="0" w:line="360" w:lineRule="auto"/>
        <w:jc w:val="left"/>
        <w:rPr>
          <w:rFonts w:hint="eastAsia" w:ascii="Times New Roman" w:hAnsi="Times New Roman"/>
          <w:highlight w:val="none"/>
          <w:lang w:val="en-US" w:eastAsia="zh-CN"/>
        </w:rPr>
      </w:pPr>
      <w:bookmarkStart w:id="27" w:name="_Toc16188"/>
      <w:r>
        <w:rPr>
          <w:rFonts w:hint="eastAsia" w:ascii="Times New Roman" w:hAnsi="Times New Roman"/>
          <w:highlight w:val="none"/>
          <w:lang w:val="en-US" w:eastAsia="zh-CN"/>
        </w:rPr>
        <w:t>其它要求</w:t>
      </w:r>
      <w:bookmarkEnd w:id="27"/>
    </w:p>
    <w:p w14:paraId="43E60B26">
      <w:pPr>
        <w:keepLines w:val="0"/>
        <w:pageBreakBefore w:val="0"/>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知识产权</w:t>
      </w:r>
    </w:p>
    <w:p w14:paraId="7ECECAAA">
      <w:pPr>
        <w:pStyle w:val="69"/>
        <w:keepLines w:val="0"/>
        <w:pageBreakBefore w:val="0"/>
        <w:numPr>
          <w:ilvl w:val="0"/>
          <w:numId w:val="0"/>
        </w:numPr>
        <w:kinsoku/>
        <w:overflowPunct/>
        <w:topLinePunct w:val="0"/>
        <w:bidi w:val="0"/>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highlight w:val="none"/>
        </w:rPr>
        <w:t>1）</w:t>
      </w:r>
      <w:r>
        <w:rPr>
          <w:rFonts w:hint="eastAsia" w:ascii="仿宋" w:hAnsi="仿宋" w:eastAsia="仿宋" w:cs="仿宋"/>
          <w:color w:val="auto"/>
          <w:kern w:val="2"/>
          <w:sz w:val="24"/>
          <w:szCs w:val="24"/>
          <w:highlight w:val="none"/>
          <w:lang w:eastAsia="zh-CN"/>
        </w:rPr>
        <w:t>供应商</w:t>
      </w:r>
      <w:r>
        <w:rPr>
          <w:rFonts w:hint="eastAsia" w:ascii="仿宋" w:hAnsi="仿宋" w:eastAsia="仿宋" w:cs="仿宋"/>
          <w:color w:val="auto"/>
          <w:kern w:val="2"/>
          <w:sz w:val="24"/>
          <w:szCs w:val="24"/>
          <w:highlight w:val="none"/>
        </w:rPr>
        <w:t>应保证所提供的</w:t>
      </w:r>
      <w:r>
        <w:rPr>
          <w:rFonts w:hint="eastAsia" w:ascii="仿宋" w:hAnsi="仿宋" w:eastAsia="仿宋" w:cs="仿宋"/>
          <w:color w:val="auto"/>
          <w:kern w:val="2"/>
          <w:sz w:val="24"/>
          <w:szCs w:val="24"/>
          <w:highlight w:val="none"/>
          <w:lang w:eastAsia="zh-CN"/>
        </w:rPr>
        <w:t>服务、货物</w:t>
      </w:r>
      <w:r>
        <w:rPr>
          <w:rFonts w:hint="eastAsia" w:ascii="仿宋" w:hAnsi="仿宋" w:eastAsia="仿宋" w:cs="仿宋"/>
          <w:color w:val="auto"/>
          <w:kern w:val="2"/>
          <w:sz w:val="24"/>
          <w:szCs w:val="24"/>
          <w:highlight w:val="none"/>
        </w:rPr>
        <w:t>或其任何一部分均不会侵犯任何第三方的知识产权。</w:t>
      </w:r>
    </w:p>
    <w:p w14:paraId="23EDA624">
      <w:pPr>
        <w:widowControl w:val="0"/>
        <w:wordWrap/>
        <w:adjustRightInd w:val="0"/>
        <w:snapToGrid/>
        <w:spacing w:line="360" w:lineRule="auto"/>
        <w:ind w:right="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（2）供应商提交的所有文本内容的知识产权归采购人所有，包括但不限于：著作权、版权、专利权、使用权、整体形象设计、色调、文字、</w:t>
      </w:r>
      <w:r>
        <w:rPr>
          <w:rFonts w:hint="eastAsia" w:cs="仿宋"/>
          <w:color w:val="auto"/>
          <w:kern w:val="2"/>
          <w:sz w:val="24"/>
          <w:szCs w:val="24"/>
          <w:highlight w:val="none"/>
          <w:lang w:val="en-US" w:eastAsia="zh-CN" w:bidi="ar-SA"/>
        </w:rPr>
        <w:t>图像</w:t>
      </w:r>
      <w:r>
        <w:rPr>
          <w:rFonts w:hint="eastAsia" w:ascii="仿宋" w:hAnsi="仿宋" w:eastAsia="仿宋" w:cs="仿宋"/>
          <w:color w:val="auto"/>
          <w:kern w:val="2"/>
          <w:sz w:val="24"/>
          <w:szCs w:val="24"/>
          <w:highlight w:val="none"/>
          <w:lang w:val="en-US" w:eastAsia="zh-CN" w:bidi="ar-SA"/>
        </w:rPr>
        <w:t>、音乐等，采购人有权在本次运动会中加以实际应用。成交供应商提供的有关设计方案的署名权归成交供应商所有，著作权、版权、专利权和使用权归采购人所有（署名权除外）。</w:t>
      </w:r>
    </w:p>
    <w:p w14:paraId="3703EC58">
      <w:pPr>
        <w:widowControl w:val="0"/>
        <w:wordWrap/>
        <w:adjustRightInd w:val="0"/>
        <w:snapToGrid/>
        <w:spacing w:line="360" w:lineRule="auto"/>
        <w:ind w:right="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成交供应商须保证响应文件及资料均未侵犯他人的知识产权，否则必须承担全部责任。</w:t>
      </w:r>
    </w:p>
    <w:p w14:paraId="39477A66">
      <w:pPr>
        <w:pStyle w:val="69"/>
        <w:keepLines w:val="0"/>
        <w:pageBreakBefore w:val="0"/>
        <w:numPr>
          <w:ilvl w:val="0"/>
          <w:numId w:val="0"/>
        </w:numPr>
        <w:kinsoku/>
        <w:overflowPunct/>
        <w:topLinePunct w:val="0"/>
        <w:bidi w:val="0"/>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保密要求</w:t>
      </w:r>
    </w:p>
    <w:p w14:paraId="77B1049E">
      <w:pPr>
        <w:pStyle w:val="69"/>
        <w:keepLines w:val="0"/>
        <w:pageBreakBefore w:val="0"/>
        <w:numPr>
          <w:ilvl w:val="0"/>
          <w:numId w:val="0"/>
        </w:numPr>
        <w:kinsoku/>
        <w:overflowPunct/>
        <w:topLinePunct w:val="0"/>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在项目实施过程中，遵循采购人的保密要求，项目涉及的业务资料、技术资料、</w:t>
      </w:r>
      <w:r>
        <w:rPr>
          <w:rFonts w:hint="eastAsia" w:ascii="仿宋" w:hAnsi="仿宋" w:eastAsia="仿宋" w:cs="仿宋"/>
          <w:color w:val="auto"/>
          <w:sz w:val="24"/>
          <w:szCs w:val="24"/>
          <w:highlight w:val="none"/>
          <w:lang w:val="en-US" w:eastAsia="zh-CN"/>
        </w:rPr>
        <w:t>人员资料、</w:t>
      </w:r>
      <w:r>
        <w:rPr>
          <w:rFonts w:hint="eastAsia" w:ascii="仿宋" w:hAnsi="仿宋" w:eastAsia="仿宋" w:cs="仿宋"/>
          <w:color w:val="auto"/>
          <w:sz w:val="24"/>
          <w:szCs w:val="24"/>
          <w:highlight w:val="none"/>
        </w:rPr>
        <w:t>数据等应严格保密，不得扩散。</w:t>
      </w:r>
      <w:r>
        <w:rPr>
          <w:rFonts w:hint="eastAsia" w:ascii="仿宋" w:hAnsi="仿宋" w:eastAsia="仿宋" w:cs="仿宋"/>
          <w:color w:val="auto"/>
          <w:sz w:val="24"/>
          <w:szCs w:val="24"/>
          <w:highlight w:val="none"/>
          <w:lang w:eastAsia="zh-CN"/>
        </w:rPr>
        <w:t>建立严格的保密制度，成交人应加强对工作人员的保密管理及保密知识教育。</w:t>
      </w:r>
    </w:p>
    <w:p w14:paraId="46B78DF9">
      <w:pPr>
        <w:pStyle w:val="3"/>
        <w:numPr>
          <w:ilvl w:val="0"/>
          <w:numId w:val="3"/>
        </w:numPr>
        <w:tabs>
          <w:tab w:val="left" w:pos="1291"/>
        </w:tabs>
        <w:spacing w:before="0" w:line="360" w:lineRule="auto"/>
        <w:jc w:val="left"/>
        <w:rPr>
          <w:rFonts w:hint="eastAsia" w:ascii="Times New Roman" w:hAnsi="Times New Roman"/>
          <w:highlight w:val="none"/>
          <w:lang w:val="en-US" w:eastAsia="zh-CN"/>
        </w:rPr>
      </w:pPr>
      <w:bookmarkStart w:id="28" w:name="_Toc493941718"/>
      <w:bookmarkStart w:id="29" w:name="_Toc492736919"/>
      <w:bookmarkStart w:id="30" w:name="_Toc7896"/>
      <w:r>
        <w:rPr>
          <w:rFonts w:hint="eastAsia" w:ascii="Times New Roman" w:hAnsi="Times New Roman"/>
          <w:highlight w:val="none"/>
          <w:lang w:val="en-US" w:eastAsia="zh-CN"/>
        </w:rPr>
        <w:t>付款方式</w:t>
      </w:r>
      <w:bookmarkEnd w:id="28"/>
      <w:bookmarkEnd w:id="29"/>
      <w:bookmarkEnd w:id="30"/>
    </w:p>
    <w:p w14:paraId="440D40E3">
      <w:pPr>
        <w:pStyle w:val="12"/>
        <w:widowControl/>
        <w:spacing w:after="0" w:line="360" w:lineRule="auto"/>
        <w:ind w:firstLine="480" w:firstLineChars="200"/>
        <w:rPr>
          <w:rFonts w:hint="eastAsia" w:ascii="仿宋" w:hAnsi="仿宋" w:eastAsia="仿宋" w:cs="仿宋"/>
          <w:color w:val="000000"/>
          <w:sz w:val="24"/>
        </w:rPr>
      </w:pPr>
      <w:r>
        <w:rPr>
          <w:rFonts w:hint="eastAsia"/>
          <w:bCs/>
          <w:color w:val="auto"/>
          <w:sz w:val="24"/>
          <w:szCs w:val="24"/>
          <w:highlight w:val="none"/>
          <w:lang w:val="en-US"/>
        </w:rPr>
        <w:t>合同生效以及具备实施条件后7个工作日内，采购人凭中标供应商开具的发票支付合同总额</w:t>
      </w:r>
      <w:r>
        <w:rPr>
          <w:rFonts w:hint="eastAsia"/>
          <w:bCs/>
          <w:color w:val="auto"/>
          <w:sz w:val="24"/>
          <w:szCs w:val="24"/>
          <w:highlight w:val="none"/>
          <w:lang w:val="en-US" w:eastAsia="zh-CN"/>
        </w:rPr>
        <w:t>的</w:t>
      </w:r>
      <w:r>
        <w:rPr>
          <w:rFonts w:hint="eastAsia" w:ascii="仿宋" w:hAnsi="仿宋" w:eastAsia="仿宋" w:cs="仿宋"/>
          <w:color w:val="auto"/>
          <w:sz w:val="24"/>
          <w:szCs w:val="24"/>
          <w:lang w:val="en-US" w:eastAsia="zh-CN"/>
        </w:rPr>
        <w:t>50%作为预付款</w:t>
      </w:r>
      <w:r>
        <w:rPr>
          <w:rFonts w:hint="eastAsia" w:ascii="仿宋" w:hAnsi="仿宋" w:eastAsia="仿宋" w:cs="仿宋"/>
          <w:color w:val="auto"/>
          <w:sz w:val="24"/>
          <w:szCs w:val="24"/>
          <w:highlight w:val="none"/>
          <w:lang w:val="en-US" w:eastAsia="zh-CN" w:bidi="zh-CN"/>
        </w:rPr>
        <w:t>（采购人在向供应商支付预付款之前，有权要求供应商提供与预付款金额相对应的担保措施，担保措施可以是银行、保险公司等金融机构出具的预付款保函或其他担保措施）</w:t>
      </w:r>
      <w:r>
        <w:rPr>
          <w:rFonts w:hint="eastAsia" w:ascii="仿宋" w:hAnsi="仿宋" w:eastAsia="仿宋" w:cs="仿宋"/>
          <w:color w:val="auto"/>
          <w:sz w:val="24"/>
          <w:szCs w:val="24"/>
          <w:lang w:val="en-US" w:eastAsia="zh-CN"/>
        </w:rPr>
        <w:t>；</w:t>
      </w:r>
      <w:r>
        <w:rPr>
          <w:rFonts w:hint="eastAsia" w:cs="仿宋"/>
          <w:color w:val="auto"/>
          <w:sz w:val="24"/>
          <w:szCs w:val="24"/>
          <w:lang w:val="en-US" w:eastAsia="zh-CN"/>
        </w:rPr>
        <w:t>项目结束后，</w:t>
      </w:r>
      <w:r>
        <w:rPr>
          <w:rFonts w:hint="eastAsia" w:ascii="宋体" w:hAnsi="宋体" w:cs="宋体"/>
          <w:color w:val="auto"/>
          <w:sz w:val="24"/>
          <w:highlight w:val="none"/>
          <w:shd w:val="clear" w:color="auto" w:fill="FFFFFF"/>
          <w:lang w:val="en-US" w:eastAsia="zh-CN"/>
        </w:rPr>
        <w:t>中标单位向采购人提交赛事后勤结案报告</w:t>
      </w:r>
      <w:r>
        <w:rPr>
          <w:rFonts w:hint="eastAsia" w:ascii="仿宋" w:hAnsi="仿宋" w:eastAsia="仿宋" w:cs="仿宋"/>
          <w:color w:val="auto"/>
          <w:sz w:val="24"/>
          <w:lang w:eastAsia="zh-CN"/>
        </w:rPr>
        <w:t>（</w:t>
      </w:r>
      <w:r>
        <w:rPr>
          <w:rFonts w:hint="eastAsia" w:ascii="仿宋" w:hAnsi="仿宋" w:eastAsia="仿宋" w:cs="仿宋"/>
          <w:color w:val="auto"/>
          <w:sz w:val="24"/>
        </w:rPr>
        <w:t>无相关违约及安全责任等情形</w:t>
      </w:r>
      <w:r>
        <w:rPr>
          <w:rFonts w:hint="eastAsia" w:ascii="仿宋" w:hAnsi="仿宋" w:eastAsia="仿宋" w:cs="仿宋"/>
          <w:color w:val="auto"/>
          <w:sz w:val="24"/>
          <w:lang w:eastAsia="zh-CN"/>
        </w:rPr>
        <w:t>）</w:t>
      </w:r>
      <w:r>
        <w:rPr>
          <w:rFonts w:hint="eastAsia" w:cs="仿宋"/>
          <w:color w:val="auto"/>
          <w:sz w:val="24"/>
          <w:lang w:val="en-US" w:eastAsia="zh-CN"/>
        </w:rPr>
        <w:t>,</w:t>
      </w:r>
      <w:r>
        <w:rPr>
          <w:rFonts w:hint="eastAsia"/>
          <w:bCs/>
          <w:color w:val="auto"/>
          <w:sz w:val="24"/>
          <w:szCs w:val="24"/>
          <w:highlight w:val="none"/>
          <w:lang w:val="en-US"/>
        </w:rPr>
        <w:t>采购人凭中标供应商开具的发票</w:t>
      </w:r>
      <w:r>
        <w:rPr>
          <w:rFonts w:hint="eastAsia"/>
          <w:bCs/>
          <w:color w:val="auto"/>
          <w:sz w:val="24"/>
          <w:szCs w:val="24"/>
          <w:highlight w:val="none"/>
          <w:lang w:val="en-US" w:eastAsia="zh-CN"/>
        </w:rPr>
        <w:t>于15个工作日内</w:t>
      </w:r>
      <w:r>
        <w:rPr>
          <w:rFonts w:hint="eastAsia"/>
          <w:bCs/>
          <w:color w:val="auto"/>
          <w:sz w:val="24"/>
          <w:szCs w:val="24"/>
          <w:highlight w:val="none"/>
          <w:lang w:val="en-US"/>
        </w:rPr>
        <w:t>支付合同总额</w:t>
      </w:r>
      <w:r>
        <w:rPr>
          <w:rFonts w:hint="eastAsia"/>
          <w:bCs/>
          <w:color w:val="auto"/>
          <w:sz w:val="24"/>
          <w:szCs w:val="24"/>
          <w:highlight w:val="none"/>
          <w:lang w:val="en-US" w:eastAsia="zh-CN"/>
        </w:rPr>
        <w:t>的</w:t>
      </w:r>
      <w:r>
        <w:rPr>
          <w:rFonts w:hint="eastAsia" w:ascii="仿宋" w:hAnsi="仿宋" w:eastAsia="仿宋" w:cs="仿宋"/>
          <w:color w:val="auto"/>
          <w:sz w:val="24"/>
          <w:szCs w:val="24"/>
          <w:lang w:val="en-US" w:eastAsia="zh-CN"/>
        </w:rPr>
        <w:t>50%</w:t>
      </w:r>
      <w:r>
        <w:rPr>
          <w:rFonts w:hint="eastAsia" w:ascii="仿宋" w:hAnsi="仿宋" w:eastAsia="仿宋" w:cs="仿宋"/>
          <w:color w:val="auto"/>
          <w:sz w:val="24"/>
        </w:rPr>
        <w:t>。</w:t>
      </w:r>
    </w:p>
    <w:p w14:paraId="74530846">
      <w:pPr>
        <w:spacing w:line="360" w:lineRule="auto"/>
        <w:ind w:firstLine="482" w:firstLineChars="200"/>
        <w:rPr>
          <w:rFonts w:hint="eastAsia"/>
          <w:color w:val="auto"/>
          <w:sz w:val="24"/>
          <w:szCs w:val="24"/>
          <w:highlight w:val="none"/>
        </w:rPr>
      </w:pPr>
      <w:r>
        <w:rPr>
          <w:rFonts w:hint="eastAsia"/>
          <w:b/>
          <w:bCs/>
          <w:sz w:val="24"/>
          <w:szCs w:val="24"/>
          <w:highlight w:val="none"/>
          <w:u w:val="single"/>
          <w:lang w:eastAsia="zh-CN"/>
        </w:rPr>
        <w:t>注：</w:t>
      </w:r>
      <w:r>
        <w:rPr>
          <w:rFonts w:hint="eastAsia"/>
          <w:b/>
          <w:bCs/>
          <w:sz w:val="24"/>
          <w:szCs w:val="24"/>
          <w:highlight w:val="none"/>
          <w:u w:val="single"/>
        </w:rPr>
        <w:t>供应商明确表示无需预付款或者主动要求降低预付款比例的，采购合同可不适用前述规定。</w:t>
      </w:r>
    </w:p>
    <w:p w14:paraId="79B5FC5E">
      <w:pPr>
        <w:pStyle w:val="39"/>
        <w:rPr>
          <w:rFonts w:hint="eastAsia"/>
          <w:color w:val="auto"/>
          <w:sz w:val="24"/>
          <w:szCs w:val="24"/>
          <w:highlight w:val="none"/>
        </w:rPr>
      </w:pPr>
    </w:p>
    <w:p w14:paraId="3B4CE4E2">
      <w:pPr>
        <w:pStyle w:val="39"/>
        <w:rPr>
          <w:rFonts w:hint="eastAsia"/>
          <w:color w:val="auto"/>
          <w:sz w:val="24"/>
          <w:szCs w:val="24"/>
          <w:highlight w:val="none"/>
        </w:rPr>
      </w:pPr>
    </w:p>
    <w:p w14:paraId="3E16B92D">
      <w:pPr>
        <w:pStyle w:val="39"/>
        <w:rPr>
          <w:rFonts w:hint="eastAsia"/>
          <w:color w:val="auto"/>
          <w:sz w:val="24"/>
          <w:szCs w:val="24"/>
          <w:highlight w:val="none"/>
        </w:rPr>
      </w:pPr>
    </w:p>
    <w:p w14:paraId="09EE35FA">
      <w:pPr>
        <w:pStyle w:val="39"/>
        <w:rPr>
          <w:rFonts w:hint="eastAsia"/>
          <w:color w:val="auto"/>
          <w:sz w:val="24"/>
          <w:szCs w:val="24"/>
          <w:highlight w:val="none"/>
        </w:rPr>
      </w:pPr>
    </w:p>
    <w:p w14:paraId="40D5ACF4">
      <w:pPr>
        <w:pStyle w:val="39"/>
        <w:rPr>
          <w:rFonts w:hint="eastAsia"/>
          <w:color w:val="auto"/>
          <w:sz w:val="24"/>
          <w:szCs w:val="24"/>
          <w:highlight w:val="none"/>
        </w:rPr>
      </w:pPr>
    </w:p>
    <w:p w14:paraId="664B225B">
      <w:pPr>
        <w:pStyle w:val="39"/>
        <w:rPr>
          <w:rFonts w:hint="eastAsia"/>
          <w:color w:val="auto"/>
          <w:sz w:val="24"/>
          <w:szCs w:val="24"/>
          <w:highlight w:val="none"/>
        </w:rPr>
      </w:pPr>
    </w:p>
    <w:p w14:paraId="31B67F17">
      <w:pPr>
        <w:pStyle w:val="39"/>
        <w:rPr>
          <w:rFonts w:hint="eastAsia"/>
          <w:color w:val="auto"/>
          <w:sz w:val="24"/>
          <w:szCs w:val="24"/>
          <w:highlight w:val="none"/>
        </w:rPr>
      </w:pPr>
    </w:p>
    <w:p w14:paraId="7A4B0C14">
      <w:pPr>
        <w:pStyle w:val="39"/>
        <w:rPr>
          <w:rFonts w:hint="eastAsia"/>
          <w:color w:val="auto"/>
          <w:sz w:val="24"/>
          <w:szCs w:val="24"/>
          <w:highlight w:val="none"/>
        </w:rPr>
      </w:pPr>
    </w:p>
    <w:p w14:paraId="4C849D9A">
      <w:pPr>
        <w:pStyle w:val="39"/>
        <w:rPr>
          <w:rFonts w:hint="eastAsia"/>
          <w:color w:val="auto"/>
          <w:sz w:val="24"/>
          <w:szCs w:val="24"/>
          <w:highlight w:val="none"/>
        </w:rPr>
      </w:pPr>
    </w:p>
    <w:p w14:paraId="78B0B973">
      <w:pPr>
        <w:pStyle w:val="39"/>
        <w:rPr>
          <w:rFonts w:hint="eastAsia"/>
          <w:color w:val="auto"/>
          <w:sz w:val="24"/>
          <w:szCs w:val="24"/>
          <w:highlight w:val="none"/>
        </w:rPr>
      </w:pPr>
    </w:p>
    <w:p w14:paraId="255736EC">
      <w:pPr>
        <w:pStyle w:val="39"/>
        <w:rPr>
          <w:rFonts w:hint="eastAsia"/>
          <w:color w:val="auto"/>
          <w:sz w:val="24"/>
          <w:szCs w:val="24"/>
          <w:highlight w:val="none"/>
        </w:rPr>
      </w:pPr>
    </w:p>
    <w:p w14:paraId="59D7FDD4">
      <w:pPr>
        <w:pStyle w:val="39"/>
        <w:rPr>
          <w:rFonts w:hint="eastAsia"/>
          <w:color w:val="auto"/>
          <w:sz w:val="24"/>
          <w:szCs w:val="24"/>
          <w:highlight w:val="none"/>
        </w:rPr>
      </w:pPr>
    </w:p>
    <w:p w14:paraId="0C695C36">
      <w:pPr>
        <w:pStyle w:val="39"/>
        <w:rPr>
          <w:rFonts w:hint="eastAsia"/>
          <w:color w:val="auto"/>
          <w:sz w:val="24"/>
          <w:szCs w:val="24"/>
          <w:highlight w:val="none"/>
        </w:rPr>
      </w:pPr>
    </w:p>
    <w:p w14:paraId="59FD583B">
      <w:pPr>
        <w:pStyle w:val="39"/>
        <w:rPr>
          <w:rFonts w:hint="eastAsia"/>
          <w:color w:val="auto"/>
          <w:sz w:val="24"/>
          <w:szCs w:val="24"/>
          <w:highlight w:val="none"/>
        </w:rPr>
      </w:pPr>
    </w:p>
    <w:p w14:paraId="7EEFB122">
      <w:pPr>
        <w:pStyle w:val="39"/>
        <w:rPr>
          <w:rFonts w:hint="eastAsia"/>
          <w:color w:val="auto"/>
          <w:sz w:val="24"/>
          <w:szCs w:val="24"/>
          <w:highlight w:val="none"/>
        </w:rPr>
      </w:pPr>
    </w:p>
    <w:p w14:paraId="7E2AF246">
      <w:pPr>
        <w:pStyle w:val="39"/>
        <w:rPr>
          <w:rFonts w:hint="eastAsia"/>
          <w:color w:val="auto"/>
          <w:sz w:val="24"/>
          <w:szCs w:val="24"/>
          <w:highlight w:val="none"/>
        </w:rPr>
      </w:pPr>
    </w:p>
    <w:p w14:paraId="6BAE12C7">
      <w:pPr>
        <w:pStyle w:val="39"/>
        <w:rPr>
          <w:rFonts w:hint="eastAsia"/>
          <w:color w:val="auto"/>
          <w:sz w:val="24"/>
          <w:szCs w:val="24"/>
          <w:highlight w:val="none"/>
        </w:rPr>
      </w:pPr>
    </w:p>
    <w:p w14:paraId="15730B7C">
      <w:pPr>
        <w:pStyle w:val="39"/>
        <w:rPr>
          <w:rFonts w:hint="eastAsia"/>
          <w:color w:val="auto"/>
          <w:sz w:val="24"/>
          <w:szCs w:val="24"/>
          <w:highlight w:val="none"/>
        </w:rPr>
      </w:pPr>
    </w:p>
    <w:p w14:paraId="5A6EB832">
      <w:pPr>
        <w:pStyle w:val="39"/>
        <w:rPr>
          <w:rFonts w:hint="eastAsia"/>
          <w:color w:val="auto"/>
          <w:sz w:val="24"/>
          <w:szCs w:val="24"/>
          <w:highlight w:val="none"/>
        </w:rPr>
      </w:pPr>
    </w:p>
    <w:p w14:paraId="0D15C09F">
      <w:pPr>
        <w:pStyle w:val="39"/>
        <w:rPr>
          <w:rFonts w:hint="eastAsia"/>
          <w:color w:val="auto"/>
          <w:sz w:val="24"/>
          <w:szCs w:val="24"/>
          <w:highlight w:val="none"/>
        </w:rPr>
      </w:pPr>
    </w:p>
    <w:p w14:paraId="074B711D">
      <w:pPr>
        <w:pStyle w:val="39"/>
        <w:rPr>
          <w:rFonts w:hint="eastAsia"/>
          <w:color w:val="auto"/>
          <w:sz w:val="24"/>
          <w:szCs w:val="24"/>
          <w:highlight w:val="none"/>
        </w:rPr>
      </w:pPr>
    </w:p>
    <w:p w14:paraId="7DCD725C">
      <w:pPr>
        <w:pStyle w:val="39"/>
        <w:rPr>
          <w:rFonts w:hint="eastAsia"/>
          <w:color w:val="auto"/>
          <w:sz w:val="24"/>
          <w:szCs w:val="24"/>
          <w:highlight w:val="none"/>
        </w:rPr>
      </w:pPr>
    </w:p>
    <w:p w14:paraId="398B293C">
      <w:pPr>
        <w:pStyle w:val="39"/>
        <w:rPr>
          <w:rFonts w:hint="eastAsia"/>
          <w:color w:val="auto"/>
          <w:sz w:val="24"/>
          <w:szCs w:val="24"/>
          <w:highlight w:val="none"/>
        </w:rPr>
      </w:pPr>
    </w:p>
    <w:p w14:paraId="27CDAF7F">
      <w:pPr>
        <w:pStyle w:val="39"/>
        <w:rPr>
          <w:rFonts w:hint="eastAsia"/>
          <w:color w:val="auto"/>
          <w:sz w:val="24"/>
          <w:szCs w:val="24"/>
          <w:highlight w:val="none"/>
        </w:rPr>
      </w:pPr>
    </w:p>
    <w:p w14:paraId="3C537BD5">
      <w:pPr>
        <w:pStyle w:val="39"/>
        <w:rPr>
          <w:rFonts w:hint="eastAsia"/>
          <w:color w:val="auto"/>
          <w:sz w:val="24"/>
          <w:szCs w:val="24"/>
          <w:highlight w:val="none"/>
        </w:rPr>
      </w:pPr>
    </w:p>
    <w:p w14:paraId="6813CE34">
      <w:pPr>
        <w:pStyle w:val="39"/>
        <w:rPr>
          <w:rFonts w:hint="eastAsia"/>
          <w:color w:val="auto"/>
          <w:sz w:val="24"/>
          <w:szCs w:val="24"/>
          <w:highlight w:val="none"/>
        </w:rPr>
      </w:pPr>
    </w:p>
    <w:p w14:paraId="671751B2">
      <w:pPr>
        <w:pStyle w:val="39"/>
        <w:rPr>
          <w:rFonts w:hint="eastAsia"/>
          <w:color w:val="auto"/>
          <w:sz w:val="24"/>
          <w:szCs w:val="24"/>
          <w:highlight w:val="none"/>
        </w:rPr>
      </w:pPr>
    </w:p>
    <w:p w14:paraId="3DA07194">
      <w:pPr>
        <w:pStyle w:val="39"/>
        <w:rPr>
          <w:rFonts w:hint="eastAsia"/>
          <w:color w:val="auto"/>
          <w:sz w:val="24"/>
          <w:szCs w:val="24"/>
          <w:highlight w:val="none"/>
        </w:rPr>
      </w:pPr>
    </w:p>
    <w:p w14:paraId="5548C44F">
      <w:pPr>
        <w:pStyle w:val="2"/>
        <w:tabs>
          <w:tab w:val="left" w:pos="1404"/>
        </w:tabs>
        <w:spacing w:before="54"/>
        <w:ind w:left="120"/>
        <w:jc w:val="center"/>
        <w:rPr>
          <w:color w:val="auto"/>
          <w:highlight w:val="none"/>
        </w:rPr>
      </w:pPr>
      <w:bookmarkStart w:id="31" w:name="_Toc14988"/>
      <w:r>
        <w:rPr>
          <w:rFonts w:hint="eastAsia"/>
          <w:color w:val="auto"/>
          <w:highlight w:val="none"/>
        </w:rPr>
        <w:t>第</w:t>
      </w:r>
      <w:r>
        <w:rPr>
          <w:rFonts w:hint="eastAsia"/>
          <w:color w:val="auto"/>
          <w:highlight w:val="none"/>
          <w:lang w:val="en-US"/>
        </w:rPr>
        <w:t>三</w:t>
      </w:r>
      <w:r>
        <w:rPr>
          <w:rFonts w:hint="eastAsia"/>
          <w:color w:val="auto"/>
          <w:highlight w:val="none"/>
        </w:rPr>
        <w:t>章</w:t>
      </w:r>
      <w:r>
        <w:rPr>
          <w:rFonts w:hint="eastAsia"/>
          <w:color w:val="auto"/>
          <w:highlight w:val="none"/>
          <w:lang w:val="en-US"/>
        </w:rPr>
        <w:t xml:space="preserve"> </w:t>
      </w:r>
      <w:r>
        <w:rPr>
          <w:rFonts w:hint="eastAsia"/>
          <w:color w:val="auto"/>
          <w:highlight w:val="none"/>
        </w:rPr>
        <w:t>供应商须知</w:t>
      </w:r>
      <w:bookmarkEnd w:id="31"/>
      <w:bookmarkStart w:id="32" w:name="前列表"/>
      <w:bookmarkEnd w:id="32"/>
    </w:p>
    <w:p w14:paraId="22E4F917">
      <w:pPr>
        <w:pStyle w:val="3"/>
        <w:tabs>
          <w:tab w:val="left" w:pos="1291"/>
        </w:tabs>
        <w:spacing w:before="120" w:beforeLines="50" w:after="120" w:afterLines="50"/>
        <w:ind w:left="0" w:firstLine="301" w:firstLineChars="100"/>
        <w:rPr>
          <w:color w:val="auto"/>
          <w:highlight w:val="none"/>
        </w:rPr>
      </w:pPr>
      <w:bookmarkStart w:id="33" w:name="_Toc11085"/>
      <w:r>
        <w:rPr>
          <w:rFonts w:hint="eastAsia"/>
          <w:color w:val="auto"/>
          <w:highlight w:val="none"/>
          <w:lang w:eastAsia="zh-CN"/>
        </w:rPr>
        <w:t>投标人</w:t>
      </w:r>
      <w:r>
        <w:rPr>
          <w:rFonts w:hint="eastAsia"/>
          <w:color w:val="auto"/>
          <w:highlight w:val="none"/>
        </w:rPr>
        <w:t>须知前附表</w:t>
      </w:r>
      <w:bookmarkEnd w:id="33"/>
    </w:p>
    <w:tbl>
      <w:tblPr>
        <w:tblStyle w:val="32"/>
        <w:tblW w:w="9516" w:type="dxa"/>
        <w:tblInd w:w="-140"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09"/>
        <w:gridCol w:w="1581"/>
        <w:gridCol w:w="2901"/>
        <w:gridCol w:w="1262"/>
        <w:gridCol w:w="3063"/>
      </w:tblGrid>
      <w:tr w14:paraId="593802CB">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93" w:hRule="atLeast"/>
        </w:trPr>
        <w:tc>
          <w:tcPr>
            <w:tcW w:w="709" w:type="dxa"/>
            <w:tcBorders>
              <w:bottom w:val="single" w:color="000000" w:sz="4" w:space="0"/>
              <w:right w:val="single" w:color="000000" w:sz="4" w:space="0"/>
            </w:tcBorders>
            <w:vAlign w:val="center"/>
          </w:tcPr>
          <w:p w14:paraId="2F508695">
            <w:pPr>
              <w:pStyle w:val="48"/>
              <w:spacing w:line="310" w:lineRule="atLeast"/>
              <w:jc w:val="center"/>
              <w:rPr>
                <w:b/>
                <w:color w:val="auto"/>
                <w:sz w:val="24"/>
                <w:szCs w:val="24"/>
                <w:highlight w:val="none"/>
              </w:rPr>
            </w:pPr>
            <w:r>
              <w:rPr>
                <w:rFonts w:hint="eastAsia"/>
                <w:b/>
                <w:color w:val="auto"/>
                <w:sz w:val="24"/>
                <w:szCs w:val="24"/>
                <w:highlight w:val="none"/>
              </w:rPr>
              <w:t>序号</w:t>
            </w:r>
          </w:p>
        </w:tc>
        <w:tc>
          <w:tcPr>
            <w:tcW w:w="1581" w:type="dxa"/>
            <w:tcBorders>
              <w:left w:val="single" w:color="000000" w:sz="4" w:space="0"/>
              <w:bottom w:val="single" w:color="000000" w:sz="4" w:space="0"/>
              <w:right w:val="single" w:color="000000" w:sz="4" w:space="0"/>
            </w:tcBorders>
            <w:vAlign w:val="center"/>
          </w:tcPr>
          <w:p w14:paraId="395E74BC">
            <w:pPr>
              <w:pStyle w:val="48"/>
              <w:jc w:val="center"/>
              <w:rPr>
                <w:b/>
                <w:color w:val="auto"/>
                <w:sz w:val="24"/>
                <w:szCs w:val="24"/>
                <w:highlight w:val="none"/>
              </w:rPr>
            </w:pPr>
            <w:r>
              <w:rPr>
                <w:rFonts w:hint="eastAsia"/>
                <w:b/>
                <w:color w:val="auto"/>
                <w:sz w:val="24"/>
                <w:szCs w:val="24"/>
                <w:highlight w:val="none"/>
              </w:rPr>
              <w:t>须知项目</w:t>
            </w:r>
          </w:p>
        </w:tc>
        <w:tc>
          <w:tcPr>
            <w:tcW w:w="7226" w:type="dxa"/>
            <w:gridSpan w:val="3"/>
            <w:tcBorders>
              <w:left w:val="single" w:color="000000" w:sz="4" w:space="0"/>
              <w:bottom w:val="single" w:color="000000" w:sz="4" w:space="0"/>
            </w:tcBorders>
            <w:vAlign w:val="center"/>
          </w:tcPr>
          <w:p w14:paraId="73182A87">
            <w:pPr>
              <w:pStyle w:val="48"/>
              <w:jc w:val="center"/>
              <w:rPr>
                <w:b/>
                <w:color w:val="auto"/>
                <w:sz w:val="24"/>
                <w:szCs w:val="24"/>
                <w:highlight w:val="none"/>
              </w:rPr>
            </w:pPr>
            <w:r>
              <w:rPr>
                <w:rFonts w:hint="eastAsia"/>
                <w:b/>
                <w:color w:val="auto"/>
                <w:sz w:val="24"/>
                <w:szCs w:val="24"/>
                <w:highlight w:val="none"/>
              </w:rPr>
              <w:t>内容、要求和时间</w:t>
            </w:r>
          </w:p>
        </w:tc>
      </w:tr>
      <w:tr w14:paraId="5D9829D5">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91" w:hRule="atLeast"/>
        </w:trPr>
        <w:tc>
          <w:tcPr>
            <w:tcW w:w="709" w:type="dxa"/>
            <w:tcBorders>
              <w:top w:val="single" w:color="000000" w:sz="4" w:space="0"/>
              <w:bottom w:val="single" w:color="000000" w:sz="4" w:space="0"/>
              <w:right w:val="single" w:color="000000" w:sz="4" w:space="0"/>
            </w:tcBorders>
            <w:vAlign w:val="center"/>
          </w:tcPr>
          <w:p w14:paraId="216F6B0B">
            <w:pPr>
              <w:pStyle w:val="48"/>
              <w:jc w:val="center"/>
              <w:rPr>
                <w:color w:val="auto"/>
                <w:sz w:val="24"/>
                <w:szCs w:val="24"/>
                <w:highlight w:val="none"/>
              </w:rPr>
            </w:pPr>
            <w:r>
              <w:rPr>
                <w:rFonts w:hint="eastAsia"/>
                <w:color w:val="auto"/>
                <w:sz w:val="24"/>
                <w:szCs w:val="24"/>
                <w:highlight w:val="none"/>
              </w:rPr>
              <w:t>1</w:t>
            </w:r>
          </w:p>
        </w:tc>
        <w:tc>
          <w:tcPr>
            <w:tcW w:w="1581" w:type="dxa"/>
            <w:tcBorders>
              <w:top w:val="single" w:color="000000" w:sz="4" w:space="0"/>
              <w:left w:val="single" w:color="000000" w:sz="4" w:space="0"/>
              <w:bottom w:val="single" w:color="000000" w:sz="4" w:space="0"/>
              <w:right w:val="single" w:color="000000" w:sz="4" w:space="0"/>
            </w:tcBorders>
            <w:vAlign w:val="center"/>
          </w:tcPr>
          <w:p w14:paraId="0CC03F33">
            <w:pPr>
              <w:pStyle w:val="48"/>
              <w:jc w:val="center"/>
              <w:rPr>
                <w:color w:val="auto"/>
                <w:sz w:val="24"/>
                <w:szCs w:val="24"/>
                <w:highlight w:val="none"/>
              </w:rPr>
            </w:pPr>
            <w:r>
              <w:rPr>
                <w:rFonts w:hint="eastAsia"/>
                <w:color w:val="auto"/>
                <w:sz w:val="24"/>
                <w:szCs w:val="24"/>
                <w:highlight w:val="none"/>
              </w:rPr>
              <w:t>项目名称</w:t>
            </w:r>
          </w:p>
        </w:tc>
        <w:tc>
          <w:tcPr>
            <w:tcW w:w="7226" w:type="dxa"/>
            <w:gridSpan w:val="3"/>
            <w:tcBorders>
              <w:top w:val="single" w:color="000000" w:sz="4" w:space="0"/>
              <w:left w:val="single" w:color="000000" w:sz="4" w:space="0"/>
              <w:bottom w:val="single" w:color="000000" w:sz="4" w:space="0"/>
            </w:tcBorders>
            <w:vAlign w:val="center"/>
          </w:tcPr>
          <w:p w14:paraId="41967A66">
            <w:pPr>
              <w:pStyle w:val="48"/>
              <w:spacing w:line="278" w:lineRule="auto"/>
              <w:ind w:left="107" w:right="88"/>
              <w:jc w:val="both"/>
              <w:rPr>
                <w:rFonts w:hint="eastAsia" w:eastAsia="仿宋"/>
                <w:color w:val="auto"/>
                <w:sz w:val="24"/>
                <w:szCs w:val="24"/>
                <w:highlight w:val="none"/>
                <w:lang w:eastAsia="zh-CN"/>
              </w:rPr>
            </w:pPr>
            <w:r>
              <w:rPr>
                <w:rFonts w:hint="eastAsia"/>
                <w:color w:val="auto"/>
                <w:sz w:val="24"/>
                <w:szCs w:val="24"/>
                <w:highlight w:val="none"/>
                <w:lang w:val="en-US" w:eastAsia="zh-CN"/>
              </w:rPr>
              <w:t>2025全国象棋俱乐部团体赛</w:t>
            </w:r>
          </w:p>
        </w:tc>
      </w:tr>
      <w:tr w14:paraId="5ADB715C">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40" w:hRule="atLeast"/>
        </w:trPr>
        <w:tc>
          <w:tcPr>
            <w:tcW w:w="709" w:type="dxa"/>
            <w:tcBorders>
              <w:top w:val="single" w:color="000000" w:sz="4" w:space="0"/>
              <w:bottom w:val="single" w:color="000000" w:sz="4" w:space="0"/>
              <w:right w:val="single" w:color="000000" w:sz="4" w:space="0"/>
            </w:tcBorders>
            <w:vAlign w:val="center"/>
          </w:tcPr>
          <w:p w14:paraId="0DB6B72F">
            <w:pPr>
              <w:pStyle w:val="48"/>
              <w:jc w:val="center"/>
              <w:rPr>
                <w:color w:val="auto"/>
                <w:sz w:val="24"/>
                <w:szCs w:val="24"/>
                <w:highlight w:val="none"/>
              </w:rPr>
            </w:pPr>
            <w:r>
              <w:rPr>
                <w:rFonts w:hint="eastAsia"/>
                <w:color w:val="auto"/>
                <w:sz w:val="24"/>
                <w:szCs w:val="24"/>
                <w:highlight w:val="none"/>
              </w:rPr>
              <w:t>2</w:t>
            </w:r>
          </w:p>
        </w:tc>
        <w:tc>
          <w:tcPr>
            <w:tcW w:w="1581" w:type="dxa"/>
            <w:tcBorders>
              <w:top w:val="single" w:color="000000" w:sz="4" w:space="0"/>
              <w:left w:val="single" w:color="000000" w:sz="4" w:space="0"/>
              <w:bottom w:val="single" w:color="000000" w:sz="4" w:space="0"/>
              <w:right w:val="single" w:color="000000" w:sz="4" w:space="0"/>
            </w:tcBorders>
            <w:vAlign w:val="center"/>
          </w:tcPr>
          <w:p w14:paraId="4539E75E">
            <w:pPr>
              <w:pStyle w:val="48"/>
              <w:jc w:val="center"/>
              <w:rPr>
                <w:color w:val="auto"/>
                <w:sz w:val="24"/>
                <w:szCs w:val="24"/>
                <w:highlight w:val="none"/>
              </w:rPr>
            </w:pPr>
            <w:r>
              <w:rPr>
                <w:rFonts w:hint="eastAsia"/>
                <w:color w:val="auto"/>
                <w:sz w:val="24"/>
                <w:szCs w:val="24"/>
                <w:highlight w:val="none"/>
              </w:rPr>
              <w:t>采购人</w:t>
            </w:r>
          </w:p>
        </w:tc>
        <w:tc>
          <w:tcPr>
            <w:tcW w:w="7226" w:type="dxa"/>
            <w:gridSpan w:val="3"/>
            <w:tcBorders>
              <w:top w:val="single" w:color="000000" w:sz="4" w:space="0"/>
              <w:left w:val="single" w:color="000000" w:sz="4" w:space="0"/>
              <w:bottom w:val="single" w:color="000000" w:sz="4" w:space="0"/>
            </w:tcBorders>
            <w:vAlign w:val="center"/>
          </w:tcPr>
          <w:p w14:paraId="2DE4EEA2">
            <w:pPr>
              <w:pStyle w:val="48"/>
              <w:spacing w:line="278" w:lineRule="auto"/>
              <w:ind w:left="107" w:right="88"/>
              <w:jc w:val="both"/>
              <w:rPr>
                <w:rFonts w:hint="eastAsia" w:eastAsia="仿宋"/>
                <w:color w:val="auto"/>
                <w:sz w:val="24"/>
                <w:szCs w:val="24"/>
                <w:highlight w:val="none"/>
                <w:lang w:eastAsia="zh-CN"/>
              </w:rPr>
            </w:pPr>
            <w:r>
              <w:rPr>
                <w:rFonts w:hint="eastAsia"/>
                <w:color w:val="auto"/>
                <w:sz w:val="24"/>
                <w:szCs w:val="24"/>
                <w:highlight w:val="none"/>
                <w:lang w:eastAsia="zh-CN"/>
              </w:rPr>
              <w:t>遂昌县体育事业发展中心</w:t>
            </w:r>
          </w:p>
        </w:tc>
      </w:tr>
      <w:tr w14:paraId="612AB293">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48" w:hRule="atLeast"/>
        </w:trPr>
        <w:tc>
          <w:tcPr>
            <w:tcW w:w="709" w:type="dxa"/>
            <w:tcBorders>
              <w:top w:val="single" w:color="000000" w:sz="4" w:space="0"/>
              <w:bottom w:val="single" w:color="000000" w:sz="4" w:space="0"/>
              <w:right w:val="single" w:color="000000" w:sz="4" w:space="0"/>
            </w:tcBorders>
            <w:vAlign w:val="center"/>
          </w:tcPr>
          <w:p w14:paraId="32130F15">
            <w:pPr>
              <w:pStyle w:val="48"/>
              <w:jc w:val="center"/>
              <w:rPr>
                <w:color w:val="auto"/>
                <w:sz w:val="24"/>
                <w:szCs w:val="24"/>
                <w:highlight w:val="none"/>
              </w:rPr>
            </w:pPr>
            <w:r>
              <w:rPr>
                <w:rFonts w:hint="eastAsia"/>
                <w:color w:val="auto"/>
                <w:sz w:val="24"/>
                <w:szCs w:val="24"/>
                <w:highlight w:val="none"/>
              </w:rPr>
              <w:t>3</w:t>
            </w:r>
          </w:p>
        </w:tc>
        <w:tc>
          <w:tcPr>
            <w:tcW w:w="1581" w:type="dxa"/>
            <w:tcBorders>
              <w:top w:val="single" w:color="000000" w:sz="4" w:space="0"/>
              <w:left w:val="single" w:color="000000" w:sz="4" w:space="0"/>
              <w:bottom w:val="single" w:color="000000" w:sz="4" w:space="0"/>
              <w:right w:val="single" w:color="000000" w:sz="4" w:space="0"/>
            </w:tcBorders>
            <w:vAlign w:val="center"/>
          </w:tcPr>
          <w:p w14:paraId="26E9960D">
            <w:pPr>
              <w:pStyle w:val="48"/>
              <w:jc w:val="center"/>
              <w:rPr>
                <w:color w:val="auto"/>
                <w:sz w:val="24"/>
                <w:szCs w:val="24"/>
                <w:highlight w:val="none"/>
              </w:rPr>
            </w:pPr>
            <w:r>
              <w:rPr>
                <w:rFonts w:hint="eastAsia"/>
                <w:color w:val="auto"/>
                <w:sz w:val="24"/>
                <w:szCs w:val="24"/>
                <w:highlight w:val="none"/>
              </w:rPr>
              <w:t>采购代理机构</w:t>
            </w:r>
          </w:p>
        </w:tc>
        <w:tc>
          <w:tcPr>
            <w:tcW w:w="7226" w:type="dxa"/>
            <w:gridSpan w:val="3"/>
            <w:tcBorders>
              <w:top w:val="single" w:color="000000" w:sz="4" w:space="0"/>
              <w:left w:val="single" w:color="000000" w:sz="4" w:space="0"/>
              <w:bottom w:val="single" w:color="000000" w:sz="4" w:space="0"/>
            </w:tcBorders>
            <w:vAlign w:val="center"/>
          </w:tcPr>
          <w:p w14:paraId="4DA84110">
            <w:pPr>
              <w:pStyle w:val="48"/>
              <w:spacing w:line="278" w:lineRule="auto"/>
              <w:ind w:left="107" w:right="88"/>
              <w:jc w:val="both"/>
              <w:rPr>
                <w:color w:val="auto"/>
                <w:sz w:val="24"/>
                <w:szCs w:val="24"/>
                <w:highlight w:val="none"/>
              </w:rPr>
            </w:pPr>
            <w:r>
              <w:rPr>
                <w:rFonts w:hint="eastAsia"/>
                <w:color w:val="auto"/>
                <w:sz w:val="24"/>
                <w:szCs w:val="24"/>
                <w:highlight w:val="none"/>
              </w:rPr>
              <w:t>浙江至诚工程咨询有限责任公司</w:t>
            </w:r>
          </w:p>
        </w:tc>
      </w:tr>
      <w:tr w14:paraId="3FD6A13B">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56" w:hRule="atLeast"/>
        </w:trPr>
        <w:tc>
          <w:tcPr>
            <w:tcW w:w="709" w:type="dxa"/>
            <w:tcBorders>
              <w:top w:val="single" w:color="000000" w:sz="4" w:space="0"/>
              <w:bottom w:val="single" w:color="000000" w:sz="4" w:space="0"/>
              <w:right w:val="single" w:color="000000" w:sz="4" w:space="0"/>
            </w:tcBorders>
            <w:vAlign w:val="center"/>
          </w:tcPr>
          <w:p w14:paraId="3BE6532F">
            <w:pPr>
              <w:pStyle w:val="48"/>
              <w:jc w:val="center"/>
              <w:rPr>
                <w:color w:val="auto"/>
                <w:sz w:val="24"/>
                <w:szCs w:val="24"/>
                <w:highlight w:val="none"/>
              </w:rPr>
            </w:pPr>
            <w:r>
              <w:rPr>
                <w:rFonts w:hint="eastAsia"/>
                <w:color w:val="auto"/>
                <w:sz w:val="24"/>
                <w:szCs w:val="24"/>
                <w:highlight w:val="none"/>
              </w:rPr>
              <w:t>4</w:t>
            </w:r>
          </w:p>
        </w:tc>
        <w:tc>
          <w:tcPr>
            <w:tcW w:w="1581" w:type="dxa"/>
            <w:tcBorders>
              <w:top w:val="single" w:color="000000" w:sz="4" w:space="0"/>
              <w:left w:val="single" w:color="000000" w:sz="4" w:space="0"/>
              <w:bottom w:val="single" w:color="000000" w:sz="4" w:space="0"/>
              <w:right w:val="single" w:color="000000" w:sz="4" w:space="0"/>
            </w:tcBorders>
            <w:vAlign w:val="center"/>
          </w:tcPr>
          <w:p w14:paraId="63333B9F">
            <w:pPr>
              <w:pStyle w:val="48"/>
              <w:jc w:val="center"/>
              <w:rPr>
                <w:color w:val="auto"/>
                <w:sz w:val="24"/>
                <w:szCs w:val="24"/>
                <w:highlight w:val="none"/>
              </w:rPr>
            </w:pPr>
            <w:r>
              <w:rPr>
                <w:rFonts w:hint="eastAsia"/>
                <w:color w:val="auto"/>
                <w:sz w:val="24"/>
                <w:szCs w:val="24"/>
                <w:highlight w:val="none"/>
              </w:rPr>
              <w:t>采购方式</w:t>
            </w:r>
          </w:p>
        </w:tc>
        <w:tc>
          <w:tcPr>
            <w:tcW w:w="2901" w:type="dxa"/>
            <w:tcBorders>
              <w:top w:val="single" w:color="000000" w:sz="4" w:space="0"/>
              <w:left w:val="single" w:color="000000" w:sz="4" w:space="0"/>
              <w:bottom w:val="single" w:color="000000" w:sz="4" w:space="0"/>
              <w:right w:val="single" w:color="000000" w:sz="4" w:space="0"/>
            </w:tcBorders>
            <w:vAlign w:val="center"/>
          </w:tcPr>
          <w:p w14:paraId="163A6E07">
            <w:pPr>
              <w:pStyle w:val="48"/>
              <w:spacing w:line="278" w:lineRule="auto"/>
              <w:ind w:left="107" w:right="88"/>
              <w:jc w:val="both"/>
              <w:rPr>
                <w:color w:val="auto"/>
                <w:sz w:val="24"/>
                <w:szCs w:val="24"/>
                <w:highlight w:val="none"/>
              </w:rPr>
            </w:pPr>
            <w:r>
              <w:rPr>
                <w:rFonts w:hint="eastAsia"/>
                <w:color w:val="auto"/>
                <w:sz w:val="24"/>
                <w:szCs w:val="24"/>
                <w:highlight w:val="none"/>
              </w:rPr>
              <w:t>竞争性磋商</w:t>
            </w:r>
          </w:p>
        </w:tc>
        <w:tc>
          <w:tcPr>
            <w:tcW w:w="1262" w:type="dxa"/>
            <w:tcBorders>
              <w:top w:val="single" w:color="000000" w:sz="4" w:space="0"/>
              <w:left w:val="single" w:color="000000" w:sz="4" w:space="0"/>
              <w:bottom w:val="single" w:color="000000" w:sz="4" w:space="0"/>
              <w:right w:val="single" w:color="000000" w:sz="4" w:space="0"/>
            </w:tcBorders>
            <w:vAlign w:val="center"/>
          </w:tcPr>
          <w:p w14:paraId="05F34B22">
            <w:pPr>
              <w:pStyle w:val="48"/>
              <w:spacing w:line="278" w:lineRule="auto"/>
              <w:ind w:left="107" w:right="88"/>
              <w:jc w:val="both"/>
              <w:rPr>
                <w:color w:val="auto"/>
                <w:sz w:val="24"/>
                <w:szCs w:val="24"/>
                <w:highlight w:val="none"/>
              </w:rPr>
            </w:pPr>
            <w:r>
              <w:rPr>
                <w:rFonts w:hint="eastAsia"/>
                <w:color w:val="auto"/>
                <w:sz w:val="24"/>
                <w:szCs w:val="24"/>
                <w:highlight w:val="none"/>
              </w:rPr>
              <w:t>组织方式</w:t>
            </w:r>
          </w:p>
        </w:tc>
        <w:tc>
          <w:tcPr>
            <w:tcW w:w="3063" w:type="dxa"/>
            <w:tcBorders>
              <w:top w:val="single" w:color="000000" w:sz="4" w:space="0"/>
              <w:left w:val="single" w:color="000000" w:sz="4" w:space="0"/>
              <w:bottom w:val="single" w:color="000000" w:sz="4" w:space="0"/>
            </w:tcBorders>
            <w:vAlign w:val="center"/>
          </w:tcPr>
          <w:p w14:paraId="5610E7FB">
            <w:pPr>
              <w:pStyle w:val="48"/>
              <w:spacing w:line="278" w:lineRule="auto"/>
              <w:ind w:left="107" w:right="88"/>
              <w:jc w:val="both"/>
              <w:rPr>
                <w:color w:val="auto"/>
                <w:sz w:val="24"/>
                <w:szCs w:val="24"/>
                <w:highlight w:val="none"/>
              </w:rPr>
            </w:pPr>
            <w:r>
              <w:rPr>
                <w:rFonts w:hint="eastAsia"/>
                <w:color w:val="auto"/>
                <w:sz w:val="24"/>
                <w:szCs w:val="24"/>
                <w:highlight w:val="none"/>
              </w:rPr>
              <w:t>分散委托采购</w:t>
            </w:r>
          </w:p>
        </w:tc>
      </w:tr>
      <w:tr w14:paraId="6CDD933B">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61" w:hRule="atLeast"/>
        </w:trPr>
        <w:tc>
          <w:tcPr>
            <w:tcW w:w="709" w:type="dxa"/>
            <w:tcBorders>
              <w:top w:val="single" w:color="000000" w:sz="4" w:space="0"/>
              <w:bottom w:val="single" w:color="000000" w:sz="4" w:space="0"/>
              <w:right w:val="single" w:color="000000" w:sz="4" w:space="0"/>
            </w:tcBorders>
            <w:vAlign w:val="center"/>
          </w:tcPr>
          <w:p w14:paraId="68C03C41">
            <w:pPr>
              <w:pStyle w:val="48"/>
              <w:jc w:val="center"/>
              <w:rPr>
                <w:color w:val="auto"/>
                <w:sz w:val="24"/>
                <w:szCs w:val="24"/>
                <w:highlight w:val="none"/>
              </w:rPr>
            </w:pPr>
            <w:r>
              <w:rPr>
                <w:rFonts w:hint="eastAsia"/>
                <w:color w:val="auto"/>
                <w:sz w:val="24"/>
                <w:szCs w:val="24"/>
                <w:highlight w:val="none"/>
              </w:rPr>
              <w:t>5</w:t>
            </w:r>
          </w:p>
        </w:tc>
        <w:tc>
          <w:tcPr>
            <w:tcW w:w="1581" w:type="dxa"/>
            <w:tcBorders>
              <w:top w:val="single" w:color="000000" w:sz="4" w:space="0"/>
              <w:left w:val="single" w:color="000000" w:sz="4" w:space="0"/>
              <w:bottom w:val="single" w:color="000000" w:sz="4" w:space="0"/>
              <w:right w:val="single" w:color="000000" w:sz="4" w:space="0"/>
            </w:tcBorders>
            <w:vAlign w:val="center"/>
          </w:tcPr>
          <w:p w14:paraId="6C884D74">
            <w:pPr>
              <w:pStyle w:val="48"/>
              <w:jc w:val="center"/>
              <w:rPr>
                <w:color w:val="auto"/>
                <w:sz w:val="24"/>
                <w:szCs w:val="24"/>
                <w:highlight w:val="none"/>
              </w:rPr>
            </w:pPr>
            <w:r>
              <w:rPr>
                <w:rFonts w:hint="eastAsia"/>
                <w:color w:val="auto"/>
                <w:sz w:val="24"/>
                <w:szCs w:val="24"/>
                <w:highlight w:val="none"/>
              </w:rPr>
              <w:t>资格审查方式</w:t>
            </w:r>
          </w:p>
        </w:tc>
        <w:tc>
          <w:tcPr>
            <w:tcW w:w="7226" w:type="dxa"/>
            <w:gridSpan w:val="3"/>
            <w:tcBorders>
              <w:top w:val="single" w:color="000000" w:sz="4" w:space="0"/>
              <w:left w:val="single" w:color="000000" w:sz="4" w:space="0"/>
              <w:bottom w:val="single" w:color="000000" w:sz="4" w:space="0"/>
            </w:tcBorders>
            <w:vAlign w:val="center"/>
          </w:tcPr>
          <w:p w14:paraId="3472F0B8">
            <w:pPr>
              <w:pStyle w:val="48"/>
              <w:ind w:left="107" w:right="88"/>
              <w:jc w:val="both"/>
              <w:rPr>
                <w:color w:val="auto"/>
                <w:sz w:val="24"/>
                <w:szCs w:val="24"/>
                <w:highlight w:val="none"/>
              </w:rPr>
            </w:pPr>
            <w:r>
              <w:rPr>
                <w:rFonts w:hint="eastAsia"/>
                <w:color w:val="auto"/>
                <w:sz w:val="24"/>
                <w:szCs w:val="24"/>
                <w:highlight w:val="none"/>
              </w:rPr>
              <w:t>采用资格后审，供应商获取竞争性磋商文件或提交响应文件不表明已获取磋商资格，磋商会上通过资格审查的供应商才具有磋商资格。</w:t>
            </w:r>
          </w:p>
        </w:tc>
      </w:tr>
      <w:tr w14:paraId="0161FCE2">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25" w:hRule="atLeast"/>
        </w:trPr>
        <w:tc>
          <w:tcPr>
            <w:tcW w:w="709" w:type="dxa"/>
            <w:tcBorders>
              <w:top w:val="single" w:color="000000" w:sz="4" w:space="0"/>
              <w:bottom w:val="single" w:color="000000" w:sz="4" w:space="0"/>
              <w:right w:val="single" w:color="000000" w:sz="4" w:space="0"/>
            </w:tcBorders>
            <w:vAlign w:val="center"/>
          </w:tcPr>
          <w:p w14:paraId="4575DA74">
            <w:pPr>
              <w:pStyle w:val="48"/>
              <w:jc w:val="center"/>
              <w:rPr>
                <w:color w:val="auto"/>
                <w:sz w:val="24"/>
                <w:szCs w:val="24"/>
                <w:highlight w:val="none"/>
              </w:rPr>
            </w:pPr>
            <w:r>
              <w:rPr>
                <w:rFonts w:hint="eastAsia"/>
                <w:color w:val="auto"/>
                <w:sz w:val="24"/>
                <w:szCs w:val="24"/>
                <w:highlight w:val="none"/>
              </w:rPr>
              <w:t>6</w:t>
            </w:r>
          </w:p>
        </w:tc>
        <w:tc>
          <w:tcPr>
            <w:tcW w:w="1581" w:type="dxa"/>
            <w:tcBorders>
              <w:top w:val="single" w:color="000000" w:sz="4" w:space="0"/>
              <w:left w:val="single" w:color="000000" w:sz="4" w:space="0"/>
              <w:bottom w:val="single" w:color="000000" w:sz="4" w:space="0"/>
              <w:right w:val="single" w:color="000000" w:sz="4" w:space="0"/>
            </w:tcBorders>
          </w:tcPr>
          <w:p w14:paraId="74260DCF">
            <w:pPr>
              <w:pStyle w:val="48"/>
              <w:jc w:val="center"/>
              <w:rPr>
                <w:color w:val="auto"/>
                <w:sz w:val="24"/>
                <w:szCs w:val="24"/>
                <w:highlight w:val="none"/>
              </w:rPr>
            </w:pPr>
            <w:r>
              <w:rPr>
                <w:color w:val="auto"/>
                <w:sz w:val="24"/>
                <w:szCs w:val="24"/>
                <w:highlight w:val="none"/>
              </w:rPr>
              <w:t>小型、微型企业的价格扣除</w:t>
            </w:r>
          </w:p>
        </w:tc>
        <w:tc>
          <w:tcPr>
            <w:tcW w:w="7226" w:type="dxa"/>
            <w:gridSpan w:val="3"/>
            <w:tcBorders>
              <w:top w:val="single" w:color="000000" w:sz="4" w:space="0"/>
              <w:left w:val="single" w:color="000000" w:sz="4" w:space="0"/>
              <w:bottom w:val="single" w:color="000000" w:sz="4" w:space="0"/>
            </w:tcBorders>
            <w:vAlign w:val="center"/>
          </w:tcPr>
          <w:p w14:paraId="38EF4E1D">
            <w:pPr>
              <w:pStyle w:val="48"/>
              <w:spacing w:line="278" w:lineRule="auto"/>
              <w:ind w:left="107" w:right="88"/>
              <w:jc w:val="both"/>
              <w:rPr>
                <w:color w:val="auto"/>
                <w:highlight w:val="none"/>
              </w:rPr>
            </w:pPr>
            <w:r>
              <w:rPr>
                <w:rFonts w:hint="eastAsia"/>
                <w:b/>
                <w:bCs/>
                <w:color w:val="auto"/>
                <w:sz w:val="24"/>
                <w:szCs w:val="24"/>
                <w:highlight w:val="none"/>
              </w:rPr>
              <w:t>本项目专门面向中小企业采购，不再进行小微企业报价优惠扣除。</w:t>
            </w:r>
          </w:p>
        </w:tc>
      </w:tr>
      <w:tr w14:paraId="19B85340">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13" w:hRule="atLeast"/>
        </w:trPr>
        <w:tc>
          <w:tcPr>
            <w:tcW w:w="709" w:type="dxa"/>
            <w:tcBorders>
              <w:top w:val="single" w:color="000000" w:sz="4" w:space="0"/>
              <w:bottom w:val="single" w:color="000000" w:sz="4" w:space="0"/>
              <w:right w:val="single" w:color="000000" w:sz="4" w:space="0"/>
            </w:tcBorders>
            <w:vAlign w:val="center"/>
          </w:tcPr>
          <w:p w14:paraId="4BD4ACD1">
            <w:pPr>
              <w:pStyle w:val="48"/>
              <w:jc w:val="center"/>
              <w:rPr>
                <w:color w:val="auto"/>
                <w:sz w:val="24"/>
                <w:szCs w:val="24"/>
                <w:highlight w:val="none"/>
              </w:rPr>
            </w:pPr>
            <w:r>
              <w:rPr>
                <w:rFonts w:hint="eastAsia"/>
                <w:color w:val="auto"/>
                <w:sz w:val="24"/>
                <w:szCs w:val="24"/>
                <w:highlight w:val="none"/>
              </w:rPr>
              <w:t>7</w:t>
            </w:r>
          </w:p>
        </w:tc>
        <w:tc>
          <w:tcPr>
            <w:tcW w:w="1581" w:type="dxa"/>
            <w:tcBorders>
              <w:top w:val="single" w:color="000000" w:sz="4" w:space="0"/>
              <w:left w:val="single" w:color="000000" w:sz="4" w:space="0"/>
              <w:bottom w:val="single" w:color="000000" w:sz="4" w:space="0"/>
              <w:right w:val="single" w:color="000000" w:sz="4" w:space="0"/>
            </w:tcBorders>
            <w:vAlign w:val="center"/>
          </w:tcPr>
          <w:p w14:paraId="2DCBB6BC">
            <w:pPr>
              <w:pStyle w:val="48"/>
              <w:jc w:val="center"/>
              <w:rPr>
                <w:color w:val="auto"/>
                <w:sz w:val="24"/>
                <w:szCs w:val="24"/>
                <w:highlight w:val="none"/>
              </w:rPr>
            </w:pPr>
            <w:r>
              <w:rPr>
                <w:rFonts w:hint="eastAsia"/>
                <w:color w:val="auto"/>
                <w:sz w:val="24"/>
                <w:szCs w:val="24"/>
                <w:highlight w:val="none"/>
              </w:rPr>
              <w:t>磋商有效期</w:t>
            </w:r>
          </w:p>
        </w:tc>
        <w:tc>
          <w:tcPr>
            <w:tcW w:w="7226" w:type="dxa"/>
            <w:gridSpan w:val="3"/>
            <w:tcBorders>
              <w:top w:val="single" w:color="000000" w:sz="4" w:space="0"/>
              <w:left w:val="single" w:color="000000" w:sz="4" w:space="0"/>
              <w:bottom w:val="single" w:color="000000" w:sz="4" w:space="0"/>
            </w:tcBorders>
            <w:vAlign w:val="center"/>
          </w:tcPr>
          <w:p w14:paraId="7858EA4A">
            <w:pPr>
              <w:pStyle w:val="48"/>
              <w:spacing w:line="278" w:lineRule="auto"/>
              <w:ind w:left="107" w:right="88"/>
              <w:jc w:val="both"/>
              <w:rPr>
                <w:color w:val="auto"/>
                <w:sz w:val="24"/>
                <w:szCs w:val="24"/>
                <w:highlight w:val="none"/>
              </w:rPr>
            </w:pPr>
            <w:r>
              <w:rPr>
                <w:rFonts w:hint="eastAsia"/>
                <w:color w:val="auto"/>
                <w:sz w:val="24"/>
                <w:szCs w:val="24"/>
                <w:highlight w:val="none"/>
              </w:rPr>
              <w:t>提交响应文件的截止之日起 90 天内有效</w:t>
            </w:r>
          </w:p>
        </w:tc>
      </w:tr>
      <w:tr w14:paraId="0B179A25">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81" w:hRule="atLeast"/>
        </w:trPr>
        <w:tc>
          <w:tcPr>
            <w:tcW w:w="709" w:type="dxa"/>
            <w:tcBorders>
              <w:top w:val="single" w:color="000000" w:sz="4" w:space="0"/>
              <w:bottom w:val="single" w:color="000000" w:sz="4" w:space="0"/>
              <w:right w:val="single" w:color="000000" w:sz="4" w:space="0"/>
            </w:tcBorders>
            <w:vAlign w:val="center"/>
          </w:tcPr>
          <w:p w14:paraId="289D8F1D">
            <w:pPr>
              <w:pStyle w:val="48"/>
              <w:jc w:val="center"/>
              <w:rPr>
                <w:color w:val="auto"/>
                <w:sz w:val="24"/>
                <w:szCs w:val="24"/>
                <w:highlight w:val="none"/>
              </w:rPr>
            </w:pPr>
            <w:r>
              <w:rPr>
                <w:rFonts w:hint="eastAsia"/>
                <w:color w:val="auto"/>
                <w:sz w:val="24"/>
                <w:szCs w:val="24"/>
                <w:highlight w:val="none"/>
              </w:rPr>
              <w:t>8</w:t>
            </w:r>
          </w:p>
        </w:tc>
        <w:tc>
          <w:tcPr>
            <w:tcW w:w="1581" w:type="dxa"/>
            <w:tcBorders>
              <w:top w:val="single" w:color="000000" w:sz="4" w:space="0"/>
              <w:left w:val="single" w:color="000000" w:sz="4" w:space="0"/>
              <w:bottom w:val="single" w:color="000000" w:sz="4" w:space="0"/>
              <w:right w:val="single" w:color="000000" w:sz="4" w:space="0"/>
            </w:tcBorders>
            <w:vAlign w:val="center"/>
          </w:tcPr>
          <w:p w14:paraId="6B975DFD">
            <w:pPr>
              <w:pStyle w:val="48"/>
              <w:jc w:val="center"/>
              <w:rPr>
                <w:color w:val="auto"/>
                <w:sz w:val="24"/>
                <w:szCs w:val="24"/>
                <w:highlight w:val="none"/>
              </w:rPr>
            </w:pPr>
            <w:r>
              <w:rPr>
                <w:rFonts w:hint="eastAsia"/>
                <w:color w:val="auto"/>
                <w:sz w:val="24"/>
                <w:szCs w:val="24"/>
                <w:highlight w:val="none"/>
              </w:rPr>
              <w:t>响应文件组成</w:t>
            </w:r>
          </w:p>
        </w:tc>
        <w:tc>
          <w:tcPr>
            <w:tcW w:w="7226" w:type="dxa"/>
            <w:gridSpan w:val="3"/>
            <w:tcBorders>
              <w:top w:val="single" w:color="000000" w:sz="4" w:space="0"/>
              <w:left w:val="single" w:color="000000" w:sz="4" w:space="0"/>
              <w:bottom w:val="single" w:color="000000" w:sz="4" w:space="0"/>
            </w:tcBorders>
            <w:vAlign w:val="center"/>
          </w:tcPr>
          <w:p w14:paraId="06436286">
            <w:pPr>
              <w:pStyle w:val="48"/>
              <w:spacing w:line="278" w:lineRule="auto"/>
              <w:ind w:left="107" w:right="88"/>
              <w:jc w:val="both"/>
              <w:rPr>
                <w:color w:val="auto"/>
                <w:sz w:val="24"/>
                <w:szCs w:val="24"/>
                <w:highlight w:val="none"/>
              </w:rPr>
            </w:pPr>
            <w:r>
              <w:rPr>
                <w:rFonts w:hint="eastAsia"/>
                <w:color w:val="auto"/>
                <w:sz w:val="24"/>
                <w:szCs w:val="24"/>
                <w:highlight w:val="none"/>
                <w:lang w:val="en-US"/>
              </w:rPr>
              <w:t>1.</w:t>
            </w:r>
            <w:r>
              <w:rPr>
                <w:rFonts w:hint="eastAsia"/>
                <w:color w:val="auto"/>
                <w:sz w:val="24"/>
                <w:szCs w:val="24"/>
                <w:highlight w:val="none"/>
              </w:rPr>
              <w:t>“电子加密响应文件”在线上传递交，</w:t>
            </w:r>
            <w:r>
              <w:rPr>
                <w:rFonts w:hint="eastAsia"/>
                <w:color w:val="auto"/>
                <w:sz w:val="24"/>
                <w:szCs w:val="24"/>
                <w:highlight w:val="none"/>
                <w:lang w:val="en-US" w:eastAsia="zh-CN"/>
              </w:rPr>
              <w:t xml:space="preserve">1 </w:t>
            </w:r>
            <w:r>
              <w:rPr>
                <w:rFonts w:hint="eastAsia"/>
                <w:color w:val="auto"/>
                <w:sz w:val="24"/>
                <w:szCs w:val="24"/>
                <w:highlight w:val="none"/>
              </w:rPr>
              <w:t>份。</w:t>
            </w:r>
          </w:p>
          <w:p w14:paraId="157D195B">
            <w:pPr>
              <w:pStyle w:val="48"/>
              <w:spacing w:line="278" w:lineRule="auto"/>
              <w:ind w:left="107" w:right="88"/>
              <w:jc w:val="both"/>
              <w:rPr>
                <w:color w:val="auto"/>
                <w:sz w:val="24"/>
                <w:szCs w:val="24"/>
                <w:highlight w:val="none"/>
              </w:rPr>
            </w:pPr>
            <w:r>
              <w:rPr>
                <w:rFonts w:hint="eastAsia"/>
                <w:color w:val="auto"/>
                <w:sz w:val="24"/>
                <w:szCs w:val="24"/>
                <w:highlight w:val="none"/>
                <w:lang w:val="en-US"/>
              </w:rPr>
              <w:t>2.</w:t>
            </w:r>
            <w:r>
              <w:rPr>
                <w:rFonts w:hint="eastAsia"/>
                <w:color w:val="auto"/>
                <w:sz w:val="24"/>
                <w:szCs w:val="24"/>
                <w:highlight w:val="none"/>
              </w:rPr>
              <w:t>以电子邮件提供的备份加密电子响应文件数量 1 份。（自行决定，非必须要求）</w:t>
            </w:r>
          </w:p>
        </w:tc>
      </w:tr>
      <w:tr w14:paraId="46F1D64D">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696" w:hRule="atLeast"/>
        </w:trPr>
        <w:tc>
          <w:tcPr>
            <w:tcW w:w="709" w:type="dxa"/>
            <w:tcBorders>
              <w:top w:val="single" w:color="000000" w:sz="4" w:space="0"/>
              <w:bottom w:val="single" w:color="000000" w:sz="4" w:space="0"/>
              <w:right w:val="single" w:color="000000" w:sz="4" w:space="0"/>
            </w:tcBorders>
            <w:vAlign w:val="center"/>
          </w:tcPr>
          <w:p w14:paraId="09CD9CCA">
            <w:pPr>
              <w:pStyle w:val="48"/>
              <w:jc w:val="center"/>
              <w:rPr>
                <w:color w:val="auto"/>
                <w:sz w:val="24"/>
                <w:szCs w:val="24"/>
                <w:highlight w:val="none"/>
              </w:rPr>
            </w:pPr>
            <w:r>
              <w:rPr>
                <w:rFonts w:hint="eastAsia"/>
                <w:color w:val="auto"/>
                <w:sz w:val="24"/>
                <w:szCs w:val="24"/>
                <w:highlight w:val="none"/>
              </w:rPr>
              <w:t>9</w:t>
            </w:r>
          </w:p>
        </w:tc>
        <w:tc>
          <w:tcPr>
            <w:tcW w:w="1581" w:type="dxa"/>
            <w:tcBorders>
              <w:top w:val="single" w:color="000000" w:sz="4" w:space="0"/>
              <w:left w:val="single" w:color="000000" w:sz="4" w:space="0"/>
              <w:bottom w:val="single" w:color="000000" w:sz="4" w:space="0"/>
              <w:right w:val="single" w:color="000000" w:sz="4" w:space="0"/>
            </w:tcBorders>
            <w:vAlign w:val="center"/>
          </w:tcPr>
          <w:p w14:paraId="454548C5">
            <w:pPr>
              <w:pStyle w:val="48"/>
              <w:jc w:val="center"/>
              <w:rPr>
                <w:color w:val="auto"/>
                <w:sz w:val="24"/>
                <w:szCs w:val="24"/>
                <w:highlight w:val="none"/>
              </w:rPr>
            </w:pPr>
            <w:r>
              <w:rPr>
                <w:rFonts w:hint="eastAsia"/>
                <w:color w:val="auto"/>
                <w:sz w:val="24"/>
                <w:szCs w:val="24"/>
                <w:highlight w:val="none"/>
              </w:rPr>
              <w:t>磋商文件质疑</w:t>
            </w:r>
          </w:p>
        </w:tc>
        <w:tc>
          <w:tcPr>
            <w:tcW w:w="7226" w:type="dxa"/>
            <w:gridSpan w:val="3"/>
            <w:tcBorders>
              <w:top w:val="single" w:color="000000" w:sz="4" w:space="0"/>
              <w:left w:val="single" w:color="000000" w:sz="4" w:space="0"/>
              <w:bottom w:val="single" w:color="000000" w:sz="4" w:space="0"/>
            </w:tcBorders>
            <w:vAlign w:val="center"/>
          </w:tcPr>
          <w:p w14:paraId="4D94019E">
            <w:pPr>
              <w:pStyle w:val="48"/>
              <w:spacing w:line="278" w:lineRule="auto"/>
              <w:ind w:left="107" w:right="88"/>
              <w:jc w:val="both"/>
              <w:rPr>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rPr>
              <w:t>.</w:t>
            </w:r>
            <w:r>
              <w:rPr>
                <w:rFonts w:hint="eastAsia"/>
                <w:color w:val="auto"/>
                <w:sz w:val="24"/>
                <w:szCs w:val="24"/>
                <w:highlight w:val="none"/>
              </w:rPr>
              <w:t>只有通过电子交易平台“潜在供应商”栏获取竞争性磋商文件的供应商才能对竞争性磋商文件提出质疑（质疑时间见前附表），否则不予受理。</w:t>
            </w:r>
          </w:p>
          <w:p w14:paraId="35D9B37E">
            <w:pPr>
              <w:pStyle w:val="48"/>
              <w:spacing w:line="278" w:lineRule="auto"/>
              <w:ind w:left="107" w:right="88"/>
              <w:jc w:val="both"/>
              <w:rPr>
                <w:color w:val="auto"/>
                <w:sz w:val="24"/>
                <w:szCs w:val="24"/>
                <w:highlight w:val="none"/>
              </w:rPr>
            </w:pPr>
            <w:r>
              <w:rPr>
                <w:rFonts w:hint="eastAsia"/>
                <w:color w:val="auto"/>
                <w:sz w:val="24"/>
                <w:szCs w:val="24"/>
                <w:highlight w:val="none"/>
              </w:rPr>
              <w:t>2</w:t>
            </w:r>
            <w:r>
              <w:rPr>
                <w:rFonts w:hint="eastAsia"/>
                <w:color w:val="auto"/>
                <w:sz w:val="24"/>
                <w:szCs w:val="24"/>
                <w:highlight w:val="none"/>
                <w:lang w:val="en-US"/>
              </w:rPr>
              <w:t>.</w:t>
            </w:r>
            <w:r>
              <w:rPr>
                <w:rFonts w:hint="eastAsia"/>
                <w:color w:val="auto"/>
                <w:sz w:val="24"/>
                <w:szCs w:val="24"/>
                <w:highlight w:val="none"/>
              </w:rPr>
              <w:t>质疑期限为自磋商公告期限届满之日（磋商公告届满日为公告发布后的第</w:t>
            </w:r>
            <w:r>
              <w:rPr>
                <w:rFonts w:hint="eastAsia"/>
                <w:color w:val="auto"/>
                <w:sz w:val="24"/>
                <w:szCs w:val="24"/>
                <w:highlight w:val="none"/>
                <w:lang w:val="en-US"/>
              </w:rPr>
              <w:t>4</w:t>
            </w:r>
            <w:r>
              <w:rPr>
                <w:rFonts w:hint="eastAsia"/>
                <w:color w:val="auto"/>
                <w:sz w:val="24"/>
                <w:szCs w:val="24"/>
                <w:highlight w:val="none"/>
              </w:rPr>
              <w:t>个工作日）起 7 个工作日内，以书面形式向采购人和采购代理机构一次性提出质疑。</w:t>
            </w:r>
          </w:p>
        </w:tc>
      </w:tr>
      <w:tr w14:paraId="4C3872A3">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71" w:hRule="atLeast"/>
        </w:trPr>
        <w:tc>
          <w:tcPr>
            <w:tcW w:w="709" w:type="dxa"/>
            <w:tcBorders>
              <w:top w:val="single" w:color="000000" w:sz="4" w:space="0"/>
              <w:bottom w:val="single" w:color="000000" w:sz="4" w:space="0"/>
              <w:right w:val="single" w:color="000000" w:sz="4" w:space="0"/>
            </w:tcBorders>
            <w:vAlign w:val="center"/>
          </w:tcPr>
          <w:p w14:paraId="09DF3497">
            <w:pPr>
              <w:pStyle w:val="48"/>
              <w:jc w:val="center"/>
              <w:rPr>
                <w:color w:val="auto"/>
                <w:sz w:val="24"/>
                <w:szCs w:val="24"/>
                <w:highlight w:val="none"/>
              </w:rPr>
            </w:pPr>
            <w:r>
              <w:rPr>
                <w:rFonts w:hint="eastAsia"/>
                <w:color w:val="auto"/>
                <w:sz w:val="24"/>
                <w:szCs w:val="24"/>
                <w:highlight w:val="none"/>
              </w:rPr>
              <w:t>10</w:t>
            </w:r>
          </w:p>
        </w:tc>
        <w:tc>
          <w:tcPr>
            <w:tcW w:w="1581" w:type="dxa"/>
            <w:tcBorders>
              <w:top w:val="single" w:color="000000" w:sz="4" w:space="0"/>
              <w:left w:val="single" w:color="000000" w:sz="4" w:space="0"/>
              <w:bottom w:val="single" w:color="000000" w:sz="4" w:space="0"/>
              <w:right w:val="single" w:color="000000" w:sz="4" w:space="0"/>
            </w:tcBorders>
            <w:vAlign w:val="center"/>
          </w:tcPr>
          <w:p w14:paraId="6C5B9CBF">
            <w:pPr>
              <w:pStyle w:val="48"/>
              <w:jc w:val="center"/>
              <w:rPr>
                <w:color w:val="auto"/>
                <w:sz w:val="24"/>
                <w:szCs w:val="24"/>
                <w:highlight w:val="none"/>
              </w:rPr>
            </w:pPr>
            <w:r>
              <w:rPr>
                <w:rFonts w:hint="eastAsia"/>
                <w:color w:val="auto"/>
                <w:sz w:val="24"/>
                <w:szCs w:val="24"/>
                <w:highlight w:val="none"/>
              </w:rPr>
              <w:t>现场踏勘</w:t>
            </w:r>
          </w:p>
        </w:tc>
        <w:tc>
          <w:tcPr>
            <w:tcW w:w="7226" w:type="dxa"/>
            <w:gridSpan w:val="3"/>
            <w:tcBorders>
              <w:top w:val="single" w:color="000000" w:sz="4" w:space="0"/>
              <w:left w:val="single" w:color="000000" w:sz="4" w:space="0"/>
              <w:bottom w:val="single" w:color="000000" w:sz="4" w:space="0"/>
            </w:tcBorders>
            <w:vAlign w:val="center"/>
          </w:tcPr>
          <w:p w14:paraId="40A07184">
            <w:pPr>
              <w:pStyle w:val="48"/>
              <w:spacing w:line="278" w:lineRule="auto"/>
              <w:ind w:left="107" w:right="88"/>
              <w:jc w:val="both"/>
              <w:rPr>
                <w:rFonts w:hint="eastAsia" w:eastAsia="仿宋"/>
                <w:color w:val="auto"/>
                <w:sz w:val="24"/>
                <w:szCs w:val="24"/>
                <w:highlight w:val="none"/>
                <w:lang w:val="en-US" w:eastAsia="zh-CN"/>
              </w:rPr>
            </w:pPr>
            <w:r>
              <w:rPr>
                <w:rFonts w:hint="eastAsia"/>
                <w:color w:val="auto"/>
                <w:sz w:val="24"/>
                <w:szCs w:val="24"/>
                <w:highlight w:val="none"/>
                <w:lang w:val="en-US"/>
              </w:rPr>
              <w:t>由供应商自行组织，自行承担相关费用</w:t>
            </w:r>
            <w:r>
              <w:rPr>
                <w:rFonts w:hint="eastAsia"/>
                <w:color w:val="auto"/>
                <w:sz w:val="24"/>
                <w:szCs w:val="24"/>
                <w:highlight w:val="none"/>
                <w:lang w:val="en-US" w:eastAsia="zh-CN"/>
              </w:rPr>
              <w:t>。</w:t>
            </w:r>
          </w:p>
        </w:tc>
      </w:tr>
      <w:tr w14:paraId="5898AD16">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12" w:hRule="atLeast"/>
        </w:trPr>
        <w:tc>
          <w:tcPr>
            <w:tcW w:w="709" w:type="dxa"/>
            <w:tcBorders>
              <w:top w:val="single" w:color="000000" w:sz="4" w:space="0"/>
              <w:bottom w:val="single" w:color="000000" w:sz="4" w:space="0"/>
              <w:right w:val="single" w:color="000000" w:sz="4" w:space="0"/>
            </w:tcBorders>
            <w:vAlign w:val="center"/>
          </w:tcPr>
          <w:p w14:paraId="7E76E054">
            <w:pPr>
              <w:pStyle w:val="48"/>
              <w:jc w:val="center"/>
              <w:rPr>
                <w:color w:val="auto"/>
                <w:sz w:val="24"/>
                <w:szCs w:val="24"/>
                <w:highlight w:val="none"/>
              </w:rPr>
            </w:pPr>
            <w:r>
              <w:rPr>
                <w:rFonts w:hint="eastAsia"/>
                <w:color w:val="auto"/>
                <w:sz w:val="24"/>
                <w:szCs w:val="24"/>
                <w:highlight w:val="none"/>
              </w:rPr>
              <w:t>11</w:t>
            </w:r>
          </w:p>
        </w:tc>
        <w:tc>
          <w:tcPr>
            <w:tcW w:w="1581" w:type="dxa"/>
            <w:tcBorders>
              <w:top w:val="single" w:color="000000" w:sz="4" w:space="0"/>
              <w:left w:val="single" w:color="000000" w:sz="4" w:space="0"/>
              <w:bottom w:val="single" w:color="000000" w:sz="4" w:space="0"/>
              <w:right w:val="single" w:color="000000" w:sz="4" w:space="0"/>
            </w:tcBorders>
            <w:vAlign w:val="center"/>
          </w:tcPr>
          <w:p w14:paraId="26A14D98">
            <w:pPr>
              <w:pStyle w:val="48"/>
              <w:spacing w:line="278" w:lineRule="auto"/>
              <w:jc w:val="center"/>
              <w:rPr>
                <w:color w:val="auto"/>
                <w:sz w:val="24"/>
                <w:szCs w:val="24"/>
                <w:highlight w:val="none"/>
              </w:rPr>
            </w:pPr>
            <w:r>
              <w:rPr>
                <w:rFonts w:hint="eastAsia"/>
                <w:color w:val="auto"/>
                <w:sz w:val="24"/>
                <w:szCs w:val="24"/>
                <w:highlight w:val="none"/>
              </w:rPr>
              <w:t>磋商文件澄清或修改时间</w:t>
            </w:r>
          </w:p>
        </w:tc>
        <w:tc>
          <w:tcPr>
            <w:tcW w:w="7226" w:type="dxa"/>
            <w:gridSpan w:val="3"/>
            <w:tcBorders>
              <w:top w:val="single" w:color="000000" w:sz="4" w:space="0"/>
              <w:left w:val="single" w:color="000000" w:sz="4" w:space="0"/>
              <w:bottom w:val="single" w:color="000000" w:sz="4" w:space="0"/>
            </w:tcBorders>
            <w:vAlign w:val="center"/>
          </w:tcPr>
          <w:p w14:paraId="043EBD9D">
            <w:pPr>
              <w:pStyle w:val="48"/>
              <w:spacing w:line="278" w:lineRule="auto"/>
              <w:ind w:left="107" w:right="88"/>
              <w:jc w:val="both"/>
              <w:rPr>
                <w:color w:val="auto"/>
                <w:sz w:val="24"/>
                <w:szCs w:val="24"/>
                <w:highlight w:val="none"/>
                <w:lang w:val="en-US"/>
              </w:rPr>
            </w:pPr>
            <w:r>
              <w:rPr>
                <w:rFonts w:hint="eastAsia"/>
                <w:color w:val="auto"/>
                <w:sz w:val="24"/>
                <w:szCs w:val="24"/>
                <w:highlight w:val="none"/>
                <w:lang w:val="en-US"/>
              </w:rPr>
              <w:t>磋商截止时间 5 天前，发布网址同招标公告发布网址。</w:t>
            </w:r>
          </w:p>
        </w:tc>
      </w:tr>
      <w:tr w14:paraId="2A926CA5">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5" w:hRule="atLeast"/>
        </w:trPr>
        <w:tc>
          <w:tcPr>
            <w:tcW w:w="709" w:type="dxa"/>
            <w:tcBorders>
              <w:top w:val="single" w:color="000000" w:sz="4" w:space="0"/>
              <w:bottom w:val="single" w:color="000000" w:sz="8" w:space="0"/>
              <w:right w:val="single" w:color="000000" w:sz="4" w:space="0"/>
            </w:tcBorders>
            <w:vAlign w:val="center"/>
          </w:tcPr>
          <w:p w14:paraId="0ED762C6">
            <w:pPr>
              <w:pStyle w:val="48"/>
              <w:jc w:val="center"/>
              <w:rPr>
                <w:color w:val="auto"/>
                <w:sz w:val="24"/>
                <w:szCs w:val="24"/>
                <w:highlight w:val="none"/>
                <w:lang w:val="en-US"/>
              </w:rPr>
            </w:pPr>
            <w:r>
              <w:rPr>
                <w:rFonts w:hint="eastAsia"/>
                <w:color w:val="auto"/>
                <w:sz w:val="24"/>
                <w:szCs w:val="24"/>
                <w:highlight w:val="none"/>
                <w:lang w:val="en-US"/>
              </w:rPr>
              <w:t>12</w:t>
            </w:r>
          </w:p>
        </w:tc>
        <w:tc>
          <w:tcPr>
            <w:tcW w:w="1581" w:type="dxa"/>
            <w:tcBorders>
              <w:top w:val="single" w:color="000000" w:sz="4" w:space="0"/>
              <w:left w:val="single" w:color="000000" w:sz="4" w:space="0"/>
              <w:bottom w:val="single" w:color="000000" w:sz="8" w:space="0"/>
              <w:right w:val="single" w:color="000000" w:sz="4" w:space="0"/>
            </w:tcBorders>
            <w:vAlign w:val="center"/>
          </w:tcPr>
          <w:p w14:paraId="70097693">
            <w:pPr>
              <w:pStyle w:val="48"/>
              <w:spacing w:line="278" w:lineRule="auto"/>
              <w:jc w:val="center"/>
              <w:rPr>
                <w:color w:val="auto"/>
                <w:sz w:val="24"/>
                <w:szCs w:val="24"/>
                <w:highlight w:val="none"/>
              </w:rPr>
            </w:pPr>
            <w:r>
              <w:rPr>
                <w:rFonts w:hint="eastAsia"/>
                <w:color w:val="auto"/>
                <w:sz w:val="24"/>
                <w:szCs w:val="24"/>
                <w:highlight w:val="none"/>
              </w:rPr>
              <w:t>响应文件提交</w:t>
            </w:r>
          </w:p>
          <w:p w14:paraId="2B88AF2D">
            <w:pPr>
              <w:pStyle w:val="48"/>
              <w:spacing w:line="278" w:lineRule="auto"/>
              <w:jc w:val="center"/>
              <w:rPr>
                <w:color w:val="auto"/>
                <w:sz w:val="24"/>
                <w:szCs w:val="24"/>
                <w:highlight w:val="none"/>
              </w:rPr>
            </w:pPr>
            <w:r>
              <w:rPr>
                <w:rFonts w:hint="eastAsia"/>
                <w:color w:val="auto"/>
                <w:sz w:val="24"/>
                <w:szCs w:val="24"/>
                <w:highlight w:val="none"/>
              </w:rPr>
              <w:t>方式</w:t>
            </w:r>
          </w:p>
        </w:tc>
        <w:tc>
          <w:tcPr>
            <w:tcW w:w="7226" w:type="dxa"/>
            <w:gridSpan w:val="3"/>
            <w:tcBorders>
              <w:top w:val="single" w:color="000000" w:sz="4" w:space="0"/>
              <w:left w:val="single" w:color="000000" w:sz="4" w:space="0"/>
              <w:bottom w:val="single" w:color="000000" w:sz="8" w:space="0"/>
            </w:tcBorders>
            <w:vAlign w:val="center"/>
          </w:tcPr>
          <w:p w14:paraId="4B6FC42C">
            <w:pPr>
              <w:pStyle w:val="48"/>
              <w:spacing w:line="278" w:lineRule="auto"/>
              <w:ind w:left="107" w:right="88"/>
              <w:jc w:val="both"/>
              <w:rPr>
                <w:color w:val="auto"/>
                <w:sz w:val="24"/>
                <w:szCs w:val="24"/>
                <w:highlight w:val="none"/>
                <w:lang w:val="en-US"/>
              </w:rPr>
            </w:pPr>
            <w:r>
              <w:rPr>
                <w:rFonts w:hint="eastAsia"/>
                <w:color w:val="auto"/>
                <w:sz w:val="24"/>
                <w:szCs w:val="24"/>
                <w:highlight w:val="none"/>
                <w:lang w:val="en-US"/>
              </w:rPr>
              <w:t>1.本项目实行电子招投标。供应商须在磋商截止时间前，前往“政采云平台”（</w:t>
            </w:r>
            <w:r>
              <w:rPr>
                <w:color w:val="auto"/>
                <w:highlight w:val="none"/>
              </w:rPr>
              <w:fldChar w:fldCharType="begin"/>
            </w:r>
            <w:r>
              <w:rPr>
                <w:color w:val="auto"/>
                <w:highlight w:val="none"/>
              </w:rPr>
              <w:instrText xml:space="preserve"> HYPERLINK "http://www.zcygov.cn/" \h </w:instrText>
            </w:r>
            <w:r>
              <w:rPr>
                <w:color w:val="auto"/>
                <w:highlight w:val="none"/>
              </w:rPr>
              <w:fldChar w:fldCharType="separate"/>
            </w:r>
            <w:r>
              <w:rPr>
                <w:rFonts w:hint="eastAsia"/>
                <w:color w:val="auto"/>
                <w:sz w:val="24"/>
                <w:szCs w:val="24"/>
                <w:highlight w:val="none"/>
                <w:lang w:val="en-US"/>
              </w:rPr>
              <w:t>www.zcygov.cn</w:t>
            </w:r>
            <w:r>
              <w:rPr>
                <w:rFonts w:hint="eastAsia"/>
                <w:color w:val="auto"/>
                <w:sz w:val="24"/>
                <w:szCs w:val="24"/>
                <w:highlight w:val="none"/>
                <w:lang w:val="en-US"/>
              </w:rPr>
              <w:fldChar w:fldCharType="end"/>
            </w:r>
            <w:r>
              <w:rPr>
                <w:rFonts w:hint="eastAsia"/>
                <w:color w:val="auto"/>
                <w:sz w:val="24"/>
                <w:szCs w:val="24"/>
                <w:highlight w:val="none"/>
                <w:lang w:val="en-US"/>
              </w:rPr>
              <w:t>）上传“电子加密响应文件”，无需到达现场提交响应文件。</w:t>
            </w:r>
          </w:p>
          <w:p w14:paraId="0CED8879">
            <w:pPr>
              <w:pStyle w:val="48"/>
              <w:spacing w:line="278" w:lineRule="auto"/>
              <w:ind w:left="107" w:right="88"/>
              <w:jc w:val="both"/>
              <w:rPr>
                <w:color w:val="auto"/>
                <w:sz w:val="24"/>
                <w:szCs w:val="24"/>
                <w:highlight w:val="none"/>
                <w:lang w:val="en-US"/>
              </w:rPr>
            </w:pPr>
            <w:r>
              <w:rPr>
                <w:rFonts w:hint="eastAsia"/>
                <w:color w:val="auto"/>
                <w:sz w:val="24"/>
                <w:szCs w:val="24"/>
                <w:highlight w:val="none"/>
                <w:lang w:val="en-US"/>
              </w:rPr>
              <w:t>2.“电子加密响应文件”是指通过“政采云电子交易客户端”完成响应文件编制后生成并加密的数据电文形式的电子加密响应文件。“电子加密响应文件”成功上传递交后，供应商可自行打印响应文件接收回执。</w:t>
            </w:r>
          </w:p>
        </w:tc>
      </w:tr>
    </w:tbl>
    <w:p w14:paraId="6502AF07">
      <w:pPr>
        <w:pStyle w:val="11"/>
        <w:spacing w:before="9"/>
        <w:rPr>
          <w:color w:val="auto"/>
          <w:sz w:val="3"/>
          <w:highlight w:val="none"/>
        </w:rPr>
      </w:pPr>
    </w:p>
    <w:tbl>
      <w:tblPr>
        <w:tblStyle w:val="32"/>
        <w:tblW w:w="9483" w:type="dxa"/>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0"/>
        <w:gridCol w:w="1567"/>
        <w:gridCol w:w="7216"/>
      </w:tblGrid>
      <w:tr w14:paraId="0A735B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4" w:hRule="atLeast"/>
        </w:trPr>
        <w:tc>
          <w:tcPr>
            <w:tcW w:w="700" w:type="dxa"/>
            <w:tcBorders>
              <w:left w:val="double" w:color="000000" w:sz="0" w:space="0"/>
              <w:bottom w:val="single" w:color="000000" w:sz="4" w:space="0"/>
              <w:right w:val="single" w:color="000000" w:sz="4" w:space="0"/>
            </w:tcBorders>
            <w:vAlign w:val="center"/>
          </w:tcPr>
          <w:p w14:paraId="54576A5B">
            <w:pPr>
              <w:pStyle w:val="48"/>
              <w:ind w:left="167" w:right="167"/>
              <w:jc w:val="center"/>
              <w:rPr>
                <w:color w:val="auto"/>
                <w:sz w:val="24"/>
                <w:szCs w:val="24"/>
                <w:highlight w:val="none"/>
              </w:rPr>
            </w:pPr>
            <w:r>
              <w:rPr>
                <w:rFonts w:hint="eastAsia"/>
                <w:color w:val="auto"/>
                <w:sz w:val="24"/>
                <w:szCs w:val="24"/>
                <w:highlight w:val="none"/>
              </w:rPr>
              <w:t>13</w:t>
            </w:r>
          </w:p>
        </w:tc>
        <w:tc>
          <w:tcPr>
            <w:tcW w:w="1567" w:type="dxa"/>
            <w:tcBorders>
              <w:left w:val="single" w:color="000000" w:sz="4" w:space="0"/>
              <w:bottom w:val="single" w:color="000000" w:sz="4" w:space="0"/>
              <w:right w:val="single" w:color="000000" w:sz="4" w:space="0"/>
            </w:tcBorders>
            <w:vAlign w:val="center"/>
          </w:tcPr>
          <w:p w14:paraId="61F32F6E">
            <w:pPr>
              <w:pStyle w:val="48"/>
              <w:spacing w:line="278" w:lineRule="auto"/>
              <w:ind w:left="117" w:right="105"/>
              <w:jc w:val="center"/>
              <w:rPr>
                <w:color w:val="auto"/>
                <w:sz w:val="24"/>
                <w:szCs w:val="24"/>
                <w:highlight w:val="none"/>
              </w:rPr>
            </w:pPr>
            <w:r>
              <w:rPr>
                <w:rFonts w:hint="eastAsia"/>
                <w:color w:val="auto"/>
                <w:sz w:val="24"/>
                <w:szCs w:val="24"/>
                <w:highlight w:val="none"/>
              </w:rPr>
              <w:t>电子加密响应文件的解密和异常情况处理</w:t>
            </w:r>
          </w:p>
        </w:tc>
        <w:tc>
          <w:tcPr>
            <w:tcW w:w="7216" w:type="dxa"/>
            <w:tcBorders>
              <w:left w:val="single" w:color="000000" w:sz="4" w:space="0"/>
              <w:bottom w:val="single" w:color="000000" w:sz="4" w:space="0"/>
              <w:right w:val="double" w:color="000000" w:sz="0" w:space="0"/>
            </w:tcBorders>
            <w:vAlign w:val="center"/>
          </w:tcPr>
          <w:p w14:paraId="55D2DF60">
            <w:pPr>
              <w:pStyle w:val="48"/>
              <w:spacing w:before="114" w:line="278" w:lineRule="auto"/>
              <w:ind w:left="107" w:right="86"/>
              <w:jc w:val="both"/>
              <w:rPr>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rPr>
              <w:t>.</w:t>
            </w:r>
            <w:r>
              <w:rPr>
                <w:rFonts w:hint="eastAsia"/>
                <w:color w:val="auto"/>
                <w:sz w:val="24"/>
                <w:szCs w:val="24"/>
                <w:highlight w:val="none"/>
              </w:rPr>
              <w:t>磋商后，采购组织机构将向各供应商发出“电子加密响应文件”的解密通知，各供应商代表应当在接到解密通知后 30 分钟内自行完成“电子加密响应文件”的在线解密。</w:t>
            </w:r>
          </w:p>
          <w:p w14:paraId="66D7574C">
            <w:pPr>
              <w:pStyle w:val="48"/>
              <w:spacing w:line="278" w:lineRule="auto"/>
              <w:ind w:left="107" w:right="76"/>
              <w:jc w:val="both"/>
              <w:rPr>
                <w:color w:val="auto"/>
                <w:sz w:val="24"/>
                <w:szCs w:val="24"/>
                <w:highlight w:val="none"/>
              </w:rPr>
            </w:pPr>
            <w:r>
              <w:rPr>
                <w:rFonts w:hint="eastAsia"/>
                <w:color w:val="auto"/>
                <w:sz w:val="24"/>
                <w:szCs w:val="24"/>
                <w:highlight w:val="none"/>
              </w:rPr>
              <w:t>2</w:t>
            </w:r>
            <w:r>
              <w:rPr>
                <w:rFonts w:hint="eastAsia"/>
                <w:color w:val="auto"/>
                <w:sz w:val="24"/>
                <w:szCs w:val="24"/>
                <w:highlight w:val="none"/>
                <w:lang w:val="en-US"/>
              </w:rPr>
              <w:t>.</w:t>
            </w:r>
            <w:r>
              <w:rPr>
                <w:rFonts w:hint="eastAsia"/>
                <w:color w:val="auto"/>
                <w:sz w:val="24"/>
                <w:szCs w:val="24"/>
                <w:highlight w:val="none"/>
              </w:rPr>
              <w:t>备份响应文件在“电子加密响应文件”在线解密失败后启用，否则不予以启用；供应商确认“电子加密响应文件”在线解密失败后，将打包压缩加密的备份响应文件的解密密码在解密规定的时间（磋商截止时间后</w:t>
            </w:r>
            <w:r>
              <w:rPr>
                <w:rFonts w:hint="eastAsia"/>
                <w:color w:val="auto"/>
                <w:sz w:val="24"/>
                <w:szCs w:val="24"/>
                <w:highlight w:val="none"/>
                <w:lang w:val="en-US"/>
              </w:rPr>
              <w:t>30</w:t>
            </w:r>
            <w:r>
              <w:rPr>
                <w:rFonts w:hint="eastAsia"/>
                <w:color w:val="auto"/>
                <w:sz w:val="24"/>
                <w:szCs w:val="24"/>
                <w:highlight w:val="none"/>
              </w:rPr>
              <w:t xml:space="preserve">分钟内）发送至邮箱 </w:t>
            </w:r>
            <w:r>
              <w:rPr>
                <w:rFonts w:hint="eastAsia"/>
                <w:b/>
                <w:color w:val="auto"/>
                <w:sz w:val="24"/>
                <w:szCs w:val="24"/>
                <w:highlight w:val="none"/>
                <w:u w:val="none"/>
                <w:lang w:val="en-US"/>
              </w:rPr>
              <w:t>779740329</w:t>
            </w:r>
            <w:r>
              <w:rPr>
                <w:rFonts w:hint="eastAsia"/>
                <w:b/>
                <w:color w:val="auto"/>
                <w:sz w:val="24"/>
                <w:szCs w:val="24"/>
                <w:highlight w:val="none"/>
                <w:u w:val="none"/>
              </w:rPr>
              <w:t>@qq.com</w:t>
            </w:r>
            <w:r>
              <w:rPr>
                <w:rFonts w:hint="eastAsia"/>
                <w:color w:val="auto"/>
                <w:sz w:val="24"/>
                <w:szCs w:val="24"/>
                <w:highlight w:val="none"/>
              </w:rPr>
              <w:t>内，未在规定时间内发送造成的磋商无效或失败由供应商自行承担后果。</w:t>
            </w:r>
          </w:p>
        </w:tc>
      </w:tr>
      <w:tr w14:paraId="6A2BAB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9"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4D40555A">
            <w:pPr>
              <w:pStyle w:val="48"/>
              <w:ind w:left="167" w:right="167"/>
              <w:jc w:val="center"/>
              <w:rPr>
                <w:color w:val="auto"/>
                <w:sz w:val="24"/>
                <w:szCs w:val="24"/>
                <w:highlight w:val="none"/>
              </w:rPr>
            </w:pPr>
            <w:r>
              <w:rPr>
                <w:rFonts w:hint="eastAsia"/>
                <w:color w:val="auto"/>
                <w:sz w:val="24"/>
                <w:szCs w:val="24"/>
                <w:highlight w:val="none"/>
              </w:rPr>
              <w:t>14</w:t>
            </w:r>
          </w:p>
        </w:tc>
        <w:tc>
          <w:tcPr>
            <w:tcW w:w="1567" w:type="dxa"/>
            <w:tcBorders>
              <w:top w:val="single" w:color="000000" w:sz="4" w:space="0"/>
              <w:left w:val="single" w:color="000000" w:sz="4" w:space="0"/>
              <w:bottom w:val="single" w:color="000000" w:sz="4" w:space="0"/>
              <w:right w:val="single" w:color="000000" w:sz="4" w:space="0"/>
            </w:tcBorders>
            <w:vAlign w:val="center"/>
          </w:tcPr>
          <w:p w14:paraId="3D792122">
            <w:pPr>
              <w:pStyle w:val="48"/>
              <w:spacing w:line="278" w:lineRule="auto"/>
              <w:ind w:left="117" w:right="105"/>
              <w:jc w:val="center"/>
              <w:rPr>
                <w:color w:val="auto"/>
                <w:sz w:val="24"/>
                <w:szCs w:val="24"/>
                <w:highlight w:val="none"/>
              </w:rPr>
            </w:pPr>
            <w:r>
              <w:rPr>
                <w:rFonts w:hint="eastAsia"/>
                <w:color w:val="auto"/>
                <w:sz w:val="24"/>
                <w:szCs w:val="24"/>
                <w:highlight w:val="none"/>
              </w:rPr>
              <w:t>磋商时间及</w:t>
            </w:r>
          </w:p>
          <w:p w14:paraId="28B3F6E9">
            <w:pPr>
              <w:pStyle w:val="48"/>
              <w:spacing w:line="278" w:lineRule="auto"/>
              <w:ind w:left="117" w:right="105"/>
              <w:jc w:val="center"/>
              <w:rPr>
                <w:color w:val="auto"/>
                <w:sz w:val="24"/>
                <w:szCs w:val="24"/>
                <w:highlight w:val="none"/>
              </w:rPr>
            </w:pPr>
            <w:r>
              <w:rPr>
                <w:rFonts w:hint="eastAsia"/>
                <w:color w:val="auto"/>
                <w:sz w:val="24"/>
                <w:szCs w:val="24"/>
                <w:highlight w:val="none"/>
              </w:rPr>
              <w:t>地点</w:t>
            </w:r>
          </w:p>
        </w:tc>
        <w:tc>
          <w:tcPr>
            <w:tcW w:w="7216" w:type="dxa"/>
            <w:tcBorders>
              <w:top w:val="single" w:color="000000" w:sz="4" w:space="0"/>
              <w:left w:val="single" w:color="000000" w:sz="4" w:space="0"/>
              <w:bottom w:val="single" w:color="000000" w:sz="4" w:space="0"/>
              <w:right w:val="double" w:color="000000" w:sz="0" w:space="0"/>
            </w:tcBorders>
            <w:vAlign w:val="center"/>
          </w:tcPr>
          <w:p w14:paraId="3AAE28D1">
            <w:pPr>
              <w:pStyle w:val="48"/>
              <w:spacing w:before="1"/>
              <w:ind w:left="107"/>
              <w:rPr>
                <w:rFonts w:hint="eastAsia"/>
                <w:color w:val="auto"/>
                <w:sz w:val="24"/>
                <w:szCs w:val="24"/>
                <w:highlight w:val="none"/>
              </w:rPr>
            </w:pPr>
            <w:r>
              <w:rPr>
                <w:rFonts w:hint="eastAsia"/>
                <w:color w:val="auto"/>
                <w:sz w:val="24"/>
                <w:szCs w:val="24"/>
                <w:highlight w:val="none"/>
              </w:rPr>
              <w:t>时间：</w:t>
            </w:r>
            <w:r>
              <w:rPr>
                <w:rFonts w:hint="eastAsia"/>
                <w:b/>
                <w:bCs/>
                <w:color w:val="auto"/>
                <w:sz w:val="24"/>
                <w:szCs w:val="24"/>
                <w:highlight w:val="none"/>
                <w:u w:val="single"/>
                <w:lang w:val="en-US" w:eastAsia="zh-CN"/>
              </w:rPr>
              <w:t>2025年7月15日09</w:t>
            </w:r>
            <w:r>
              <w:rPr>
                <w:rFonts w:hint="eastAsia"/>
                <w:b/>
                <w:bCs/>
                <w:color w:val="auto"/>
                <w:sz w:val="24"/>
                <w:szCs w:val="24"/>
                <w:highlight w:val="none"/>
                <w:u w:val="single"/>
                <w:lang w:val="en-US"/>
              </w:rPr>
              <w:t>时</w:t>
            </w:r>
            <w:r>
              <w:rPr>
                <w:rFonts w:hint="eastAsia"/>
                <w:b/>
                <w:bCs/>
                <w:color w:val="auto"/>
                <w:sz w:val="24"/>
                <w:szCs w:val="24"/>
                <w:highlight w:val="none"/>
                <w:u w:val="single"/>
                <w:lang w:val="en-US" w:eastAsia="zh-CN"/>
              </w:rPr>
              <w:t>00</w:t>
            </w:r>
            <w:r>
              <w:rPr>
                <w:rFonts w:hint="eastAsia"/>
                <w:b/>
                <w:bCs/>
                <w:color w:val="auto"/>
                <w:sz w:val="24"/>
                <w:szCs w:val="24"/>
                <w:highlight w:val="none"/>
                <w:u w:val="single"/>
                <w:lang w:val="en-US"/>
              </w:rPr>
              <w:t>分</w:t>
            </w:r>
            <w:r>
              <w:rPr>
                <w:rFonts w:hint="eastAsia"/>
                <w:b/>
                <w:bCs/>
                <w:color w:val="auto"/>
                <w:sz w:val="24"/>
                <w:szCs w:val="24"/>
                <w:highlight w:val="none"/>
                <w:u w:val="single"/>
              </w:rPr>
              <w:t>开始</w:t>
            </w:r>
          </w:p>
          <w:p w14:paraId="0116C2D1">
            <w:pPr>
              <w:pStyle w:val="48"/>
              <w:spacing w:before="1"/>
              <w:ind w:left="107"/>
              <w:rPr>
                <w:color w:val="auto"/>
                <w:sz w:val="24"/>
                <w:szCs w:val="24"/>
                <w:highlight w:val="none"/>
              </w:rPr>
            </w:pPr>
            <w:r>
              <w:rPr>
                <w:rFonts w:hint="eastAsia"/>
                <w:color w:val="auto"/>
                <w:sz w:val="24"/>
                <w:szCs w:val="24"/>
                <w:highlight w:val="none"/>
                <w:lang w:val="zh-CN" w:eastAsia="zh-CN"/>
              </w:rPr>
              <w:t>地点：浙江政府采购网—用户入驻/登录—用户登录—项目采购—开标评标—进入开标大厅</w:t>
            </w:r>
          </w:p>
        </w:tc>
      </w:tr>
      <w:tr w14:paraId="59A444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27"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58B7C82E">
            <w:pPr>
              <w:pStyle w:val="48"/>
              <w:ind w:left="167" w:right="167"/>
              <w:jc w:val="center"/>
              <w:rPr>
                <w:color w:val="auto"/>
                <w:sz w:val="24"/>
                <w:szCs w:val="24"/>
                <w:highlight w:val="none"/>
              </w:rPr>
            </w:pPr>
            <w:r>
              <w:rPr>
                <w:rFonts w:hint="eastAsia"/>
                <w:color w:val="auto"/>
                <w:sz w:val="24"/>
                <w:szCs w:val="24"/>
                <w:highlight w:val="none"/>
              </w:rPr>
              <w:t>15</w:t>
            </w:r>
          </w:p>
        </w:tc>
        <w:tc>
          <w:tcPr>
            <w:tcW w:w="1567" w:type="dxa"/>
            <w:tcBorders>
              <w:top w:val="single" w:color="000000" w:sz="4" w:space="0"/>
              <w:left w:val="single" w:color="000000" w:sz="4" w:space="0"/>
              <w:bottom w:val="single" w:color="000000" w:sz="4" w:space="0"/>
              <w:right w:val="single" w:color="000000" w:sz="4" w:space="0"/>
            </w:tcBorders>
            <w:vAlign w:val="center"/>
          </w:tcPr>
          <w:p w14:paraId="602A23B3">
            <w:pPr>
              <w:pStyle w:val="48"/>
              <w:spacing w:line="278" w:lineRule="auto"/>
              <w:ind w:left="117" w:right="105"/>
              <w:jc w:val="center"/>
              <w:rPr>
                <w:color w:val="auto"/>
                <w:sz w:val="24"/>
                <w:szCs w:val="24"/>
                <w:highlight w:val="none"/>
              </w:rPr>
            </w:pPr>
            <w:r>
              <w:rPr>
                <w:rFonts w:hint="eastAsia"/>
                <w:color w:val="auto"/>
                <w:sz w:val="24"/>
                <w:szCs w:val="24"/>
                <w:highlight w:val="none"/>
              </w:rPr>
              <w:t>成交结果公告及成交通知书</w:t>
            </w:r>
          </w:p>
        </w:tc>
        <w:tc>
          <w:tcPr>
            <w:tcW w:w="7216" w:type="dxa"/>
            <w:tcBorders>
              <w:top w:val="single" w:color="000000" w:sz="4" w:space="0"/>
              <w:left w:val="single" w:color="000000" w:sz="4" w:space="0"/>
              <w:bottom w:val="single" w:color="000000" w:sz="4" w:space="0"/>
              <w:right w:val="double" w:color="000000" w:sz="0" w:space="0"/>
            </w:tcBorders>
            <w:vAlign w:val="center"/>
          </w:tcPr>
          <w:p w14:paraId="2E89014D">
            <w:pPr>
              <w:pStyle w:val="48"/>
              <w:spacing w:line="278" w:lineRule="auto"/>
              <w:ind w:left="107" w:right="88"/>
              <w:jc w:val="both"/>
              <w:rPr>
                <w:color w:val="auto"/>
                <w:sz w:val="24"/>
                <w:szCs w:val="24"/>
                <w:highlight w:val="none"/>
              </w:rPr>
            </w:pPr>
            <w:r>
              <w:rPr>
                <w:rFonts w:hint="eastAsia"/>
                <w:color w:val="auto"/>
                <w:sz w:val="24"/>
                <w:szCs w:val="24"/>
                <w:highlight w:val="none"/>
              </w:rPr>
              <w:t>评标报告经采购人确认后2个工作日内，成交公告在丽水市公共资源交易网https://lssggzy.lishui.gov.cn/和浙江省政府采购网</w:t>
            </w:r>
            <w:r>
              <w:rPr>
                <w:rFonts w:hint="eastAsia"/>
                <w:color w:val="auto"/>
                <w:highlight w:val="none"/>
              </w:rPr>
              <w:t>https://zfcg.czt.zj.gov.cn/</w:t>
            </w:r>
            <w:r>
              <w:rPr>
                <w:rFonts w:hint="eastAsia"/>
                <w:color w:val="auto"/>
                <w:sz w:val="24"/>
                <w:szCs w:val="24"/>
                <w:highlight w:val="none"/>
              </w:rPr>
              <w:t>上发布，并发出</w:t>
            </w:r>
            <w:r>
              <w:rPr>
                <w:rFonts w:hint="eastAsia"/>
                <w:color w:val="auto"/>
                <w:sz w:val="24"/>
                <w:szCs w:val="24"/>
                <w:highlight w:val="none"/>
                <w:lang w:eastAsia="zh-CN"/>
              </w:rPr>
              <w:t>中标（</w:t>
            </w:r>
            <w:r>
              <w:rPr>
                <w:rFonts w:hint="eastAsia"/>
                <w:color w:val="auto"/>
                <w:sz w:val="24"/>
                <w:szCs w:val="24"/>
                <w:highlight w:val="none"/>
              </w:rPr>
              <w:t>成交</w:t>
            </w:r>
            <w:r>
              <w:rPr>
                <w:rFonts w:hint="eastAsia"/>
                <w:color w:val="auto"/>
                <w:sz w:val="24"/>
                <w:szCs w:val="24"/>
                <w:highlight w:val="none"/>
                <w:lang w:eastAsia="zh-CN"/>
              </w:rPr>
              <w:t>）</w:t>
            </w:r>
            <w:r>
              <w:rPr>
                <w:rFonts w:hint="eastAsia"/>
                <w:color w:val="auto"/>
                <w:sz w:val="24"/>
                <w:szCs w:val="24"/>
                <w:highlight w:val="none"/>
              </w:rPr>
              <w:t>通知书。</w:t>
            </w:r>
          </w:p>
        </w:tc>
      </w:tr>
      <w:tr w14:paraId="299A87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7"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135EE438">
            <w:pPr>
              <w:pStyle w:val="48"/>
              <w:spacing w:before="1"/>
              <w:ind w:left="167" w:right="167"/>
              <w:jc w:val="center"/>
              <w:rPr>
                <w:color w:val="auto"/>
                <w:sz w:val="24"/>
                <w:szCs w:val="24"/>
                <w:highlight w:val="none"/>
              </w:rPr>
            </w:pPr>
            <w:r>
              <w:rPr>
                <w:rFonts w:hint="eastAsia"/>
                <w:color w:val="auto"/>
                <w:sz w:val="24"/>
                <w:szCs w:val="24"/>
                <w:highlight w:val="none"/>
              </w:rPr>
              <w:t>16</w:t>
            </w:r>
          </w:p>
        </w:tc>
        <w:tc>
          <w:tcPr>
            <w:tcW w:w="1567" w:type="dxa"/>
            <w:tcBorders>
              <w:top w:val="single" w:color="000000" w:sz="4" w:space="0"/>
              <w:left w:val="single" w:color="000000" w:sz="4" w:space="0"/>
              <w:bottom w:val="single" w:color="000000" w:sz="4" w:space="0"/>
              <w:right w:val="single" w:color="000000" w:sz="4" w:space="0"/>
            </w:tcBorders>
            <w:vAlign w:val="center"/>
          </w:tcPr>
          <w:p w14:paraId="66F4512C">
            <w:pPr>
              <w:pStyle w:val="48"/>
              <w:spacing w:line="278" w:lineRule="auto"/>
              <w:ind w:left="117" w:right="105"/>
              <w:jc w:val="center"/>
              <w:rPr>
                <w:color w:val="auto"/>
                <w:sz w:val="24"/>
                <w:szCs w:val="24"/>
                <w:highlight w:val="none"/>
              </w:rPr>
            </w:pPr>
            <w:r>
              <w:rPr>
                <w:rFonts w:hint="eastAsia"/>
                <w:color w:val="auto"/>
                <w:sz w:val="24"/>
                <w:szCs w:val="24"/>
                <w:highlight w:val="none"/>
              </w:rPr>
              <w:t>评标办法和</w:t>
            </w:r>
          </w:p>
          <w:p w14:paraId="68F68928">
            <w:pPr>
              <w:pStyle w:val="48"/>
              <w:spacing w:line="278" w:lineRule="auto"/>
              <w:ind w:left="117" w:right="105"/>
              <w:jc w:val="center"/>
              <w:rPr>
                <w:color w:val="auto"/>
                <w:sz w:val="24"/>
                <w:szCs w:val="24"/>
                <w:highlight w:val="none"/>
              </w:rPr>
            </w:pPr>
            <w:r>
              <w:rPr>
                <w:rFonts w:hint="eastAsia"/>
                <w:color w:val="auto"/>
                <w:sz w:val="24"/>
                <w:szCs w:val="24"/>
                <w:highlight w:val="none"/>
              </w:rPr>
              <w:t>细则</w:t>
            </w:r>
          </w:p>
        </w:tc>
        <w:tc>
          <w:tcPr>
            <w:tcW w:w="7216" w:type="dxa"/>
            <w:tcBorders>
              <w:top w:val="single" w:color="000000" w:sz="4" w:space="0"/>
              <w:left w:val="single" w:color="000000" w:sz="4" w:space="0"/>
              <w:bottom w:val="single" w:color="000000" w:sz="4" w:space="0"/>
              <w:right w:val="double" w:color="000000" w:sz="0" w:space="0"/>
            </w:tcBorders>
            <w:vAlign w:val="center"/>
          </w:tcPr>
          <w:p w14:paraId="70B1579C">
            <w:pPr>
              <w:pStyle w:val="48"/>
              <w:ind w:left="107"/>
              <w:rPr>
                <w:color w:val="auto"/>
                <w:sz w:val="24"/>
                <w:szCs w:val="24"/>
                <w:highlight w:val="none"/>
              </w:rPr>
            </w:pPr>
            <w:r>
              <w:rPr>
                <w:rFonts w:hint="eastAsia"/>
                <w:color w:val="auto"/>
                <w:sz w:val="24"/>
                <w:szCs w:val="24"/>
                <w:highlight w:val="none"/>
              </w:rPr>
              <w:t>见本磋商文件第六章</w:t>
            </w:r>
          </w:p>
        </w:tc>
      </w:tr>
      <w:tr w14:paraId="4D3373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4E66D78E">
            <w:pPr>
              <w:pStyle w:val="48"/>
              <w:ind w:left="167" w:right="167"/>
              <w:jc w:val="center"/>
              <w:rPr>
                <w:color w:val="auto"/>
                <w:sz w:val="24"/>
                <w:szCs w:val="24"/>
                <w:highlight w:val="none"/>
              </w:rPr>
            </w:pPr>
            <w:r>
              <w:rPr>
                <w:rFonts w:hint="eastAsia"/>
                <w:color w:val="auto"/>
                <w:sz w:val="24"/>
                <w:szCs w:val="24"/>
                <w:highlight w:val="none"/>
              </w:rPr>
              <w:t>17</w:t>
            </w:r>
          </w:p>
        </w:tc>
        <w:tc>
          <w:tcPr>
            <w:tcW w:w="1567" w:type="dxa"/>
            <w:tcBorders>
              <w:top w:val="single" w:color="000000" w:sz="4" w:space="0"/>
              <w:left w:val="single" w:color="000000" w:sz="4" w:space="0"/>
              <w:bottom w:val="single" w:color="000000" w:sz="4" w:space="0"/>
              <w:right w:val="single" w:color="000000" w:sz="4" w:space="0"/>
            </w:tcBorders>
            <w:vAlign w:val="center"/>
          </w:tcPr>
          <w:p w14:paraId="21E5438A">
            <w:pPr>
              <w:pStyle w:val="48"/>
              <w:spacing w:line="278" w:lineRule="auto"/>
              <w:ind w:left="117" w:right="105"/>
              <w:jc w:val="center"/>
              <w:rPr>
                <w:color w:val="auto"/>
                <w:sz w:val="24"/>
                <w:szCs w:val="24"/>
                <w:highlight w:val="none"/>
              </w:rPr>
            </w:pPr>
            <w:r>
              <w:rPr>
                <w:rFonts w:hint="eastAsia"/>
                <w:color w:val="auto"/>
                <w:sz w:val="24"/>
                <w:szCs w:val="24"/>
                <w:highlight w:val="none"/>
              </w:rPr>
              <w:t>签订合同</w:t>
            </w:r>
          </w:p>
        </w:tc>
        <w:tc>
          <w:tcPr>
            <w:tcW w:w="7216" w:type="dxa"/>
            <w:tcBorders>
              <w:top w:val="single" w:color="000000" w:sz="4" w:space="0"/>
              <w:left w:val="single" w:color="000000" w:sz="4" w:space="0"/>
              <w:bottom w:val="single" w:color="000000" w:sz="4" w:space="0"/>
              <w:right w:val="double" w:color="000000" w:sz="0" w:space="0"/>
            </w:tcBorders>
            <w:vAlign w:val="center"/>
          </w:tcPr>
          <w:p w14:paraId="1395E7BB">
            <w:pPr>
              <w:pStyle w:val="48"/>
              <w:spacing w:before="1"/>
              <w:ind w:left="107"/>
              <w:rPr>
                <w:color w:val="auto"/>
                <w:sz w:val="24"/>
                <w:szCs w:val="24"/>
                <w:highlight w:val="none"/>
              </w:rPr>
            </w:pPr>
            <w:r>
              <w:rPr>
                <w:rFonts w:hint="eastAsia"/>
                <w:color w:val="auto"/>
                <w:sz w:val="24"/>
                <w:szCs w:val="24"/>
                <w:highlight w:val="none"/>
              </w:rPr>
              <w:t>成交通知书发出之日起 30 日内，按照采购文件确定的事项签订政府采购合同</w:t>
            </w:r>
          </w:p>
        </w:tc>
      </w:tr>
      <w:tr w14:paraId="3EAAEA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41143107">
            <w:pPr>
              <w:pStyle w:val="48"/>
              <w:ind w:left="167" w:right="167"/>
              <w:jc w:val="center"/>
              <w:rPr>
                <w:color w:val="auto"/>
                <w:sz w:val="24"/>
                <w:szCs w:val="24"/>
                <w:highlight w:val="none"/>
              </w:rPr>
            </w:pPr>
            <w:r>
              <w:rPr>
                <w:rFonts w:hint="eastAsia"/>
                <w:color w:val="auto"/>
                <w:sz w:val="24"/>
                <w:szCs w:val="24"/>
                <w:highlight w:val="none"/>
              </w:rPr>
              <w:t>18</w:t>
            </w:r>
          </w:p>
        </w:tc>
        <w:tc>
          <w:tcPr>
            <w:tcW w:w="1567" w:type="dxa"/>
            <w:tcBorders>
              <w:top w:val="single" w:color="000000" w:sz="4" w:space="0"/>
              <w:left w:val="single" w:color="000000" w:sz="4" w:space="0"/>
              <w:bottom w:val="single" w:color="000000" w:sz="4" w:space="0"/>
              <w:right w:val="single" w:color="000000" w:sz="4" w:space="0"/>
            </w:tcBorders>
            <w:vAlign w:val="center"/>
          </w:tcPr>
          <w:p w14:paraId="5AF6D498">
            <w:pPr>
              <w:pStyle w:val="48"/>
              <w:spacing w:line="278" w:lineRule="auto"/>
              <w:ind w:left="117" w:right="105"/>
              <w:jc w:val="center"/>
              <w:rPr>
                <w:color w:val="auto"/>
                <w:sz w:val="24"/>
                <w:szCs w:val="24"/>
                <w:highlight w:val="none"/>
              </w:rPr>
            </w:pPr>
            <w:r>
              <w:rPr>
                <w:rFonts w:hint="eastAsia"/>
                <w:color w:val="auto"/>
                <w:sz w:val="24"/>
                <w:szCs w:val="24"/>
                <w:highlight w:val="none"/>
              </w:rPr>
              <w:t>发布媒体</w:t>
            </w:r>
          </w:p>
        </w:tc>
        <w:tc>
          <w:tcPr>
            <w:tcW w:w="7216" w:type="dxa"/>
            <w:tcBorders>
              <w:top w:val="single" w:color="000000" w:sz="4" w:space="0"/>
              <w:left w:val="single" w:color="000000" w:sz="4" w:space="0"/>
              <w:bottom w:val="single" w:color="000000" w:sz="4" w:space="0"/>
              <w:right w:val="double" w:color="000000" w:sz="0" w:space="0"/>
            </w:tcBorders>
            <w:vAlign w:val="center"/>
          </w:tcPr>
          <w:p w14:paraId="64F1CB41">
            <w:pPr>
              <w:pStyle w:val="48"/>
              <w:spacing w:before="20" w:line="279" w:lineRule="auto"/>
              <w:ind w:left="108"/>
              <w:rPr>
                <w:color w:val="auto"/>
                <w:sz w:val="24"/>
                <w:szCs w:val="24"/>
                <w:highlight w:val="none"/>
              </w:rPr>
            </w:pPr>
            <w:r>
              <w:rPr>
                <w:rFonts w:hint="eastAsia"/>
                <w:color w:val="auto"/>
                <w:sz w:val="24"/>
                <w:szCs w:val="24"/>
                <w:highlight w:val="none"/>
              </w:rPr>
              <w:t>丽水市公共资源交易网</w:t>
            </w:r>
            <w:r>
              <w:rPr>
                <w:rFonts w:hint="eastAsia"/>
                <w:color w:val="auto"/>
                <w:sz w:val="24"/>
                <w:szCs w:val="24"/>
                <w:highlight w:val="none"/>
                <w:u w:val="none"/>
              </w:rPr>
              <w:t>http://lssggzy.lishui.gov.cn/</w:t>
            </w:r>
            <w:r>
              <w:rPr>
                <w:rFonts w:hint="eastAsia"/>
                <w:color w:val="auto"/>
                <w:sz w:val="24"/>
                <w:szCs w:val="24"/>
                <w:highlight w:val="none"/>
              </w:rPr>
              <w:t xml:space="preserve">； </w:t>
            </w:r>
          </w:p>
          <w:p w14:paraId="3B9F1296">
            <w:pPr>
              <w:pStyle w:val="48"/>
              <w:spacing w:before="20" w:line="279" w:lineRule="auto"/>
              <w:ind w:left="108"/>
              <w:rPr>
                <w:color w:val="auto"/>
                <w:sz w:val="24"/>
                <w:szCs w:val="24"/>
                <w:highlight w:val="none"/>
              </w:rPr>
            </w:pPr>
            <w:r>
              <w:rPr>
                <w:rFonts w:hint="eastAsia"/>
                <w:color w:val="auto"/>
                <w:sz w:val="24"/>
                <w:szCs w:val="24"/>
                <w:highlight w:val="none"/>
              </w:rPr>
              <w:t>浙江省政府采购网</w:t>
            </w:r>
            <w:r>
              <w:rPr>
                <w:rFonts w:hint="eastAsia"/>
                <w:color w:val="auto"/>
                <w:sz w:val="24"/>
                <w:szCs w:val="24"/>
                <w:highlight w:val="none"/>
                <w:u w:val="none"/>
              </w:rPr>
              <w:t xml:space="preserve"> https://zfcg.czt.zj.gov.cn/</w:t>
            </w:r>
            <w:r>
              <w:rPr>
                <w:rFonts w:hint="eastAsia"/>
                <w:color w:val="auto"/>
                <w:sz w:val="24"/>
                <w:szCs w:val="24"/>
                <w:highlight w:val="none"/>
              </w:rPr>
              <w:t>。</w:t>
            </w:r>
          </w:p>
        </w:tc>
      </w:tr>
      <w:tr w14:paraId="0AD7D0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8"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55C70767">
            <w:pPr>
              <w:pStyle w:val="48"/>
              <w:spacing w:before="173"/>
              <w:ind w:left="167" w:right="167"/>
              <w:jc w:val="center"/>
              <w:rPr>
                <w:color w:val="auto"/>
                <w:sz w:val="24"/>
                <w:szCs w:val="24"/>
                <w:highlight w:val="none"/>
              </w:rPr>
            </w:pPr>
            <w:r>
              <w:rPr>
                <w:rFonts w:hint="eastAsia"/>
                <w:color w:val="auto"/>
                <w:sz w:val="24"/>
                <w:szCs w:val="24"/>
                <w:highlight w:val="none"/>
              </w:rPr>
              <w:t>19</w:t>
            </w:r>
          </w:p>
        </w:tc>
        <w:tc>
          <w:tcPr>
            <w:tcW w:w="1567" w:type="dxa"/>
            <w:tcBorders>
              <w:top w:val="single" w:color="000000" w:sz="4" w:space="0"/>
              <w:left w:val="single" w:color="000000" w:sz="4" w:space="0"/>
              <w:bottom w:val="single" w:color="000000" w:sz="4" w:space="0"/>
              <w:right w:val="single" w:color="000000" w:sz="4" w:space="0"/>
            </w:tcBorders>
            <w:vAlign w:val="center"/>
          </w:tcPr>
          <w:p w14:paraId="6FDD3952">
            <w:pPr>
              <w:pStyle w:val="48"/>
              <w:ind w:left="114" w:right="105"/>
              <w:jc w:val="center"/>
              <w:rPr>
                <w:color w:val="auto"/>
                <w:sz w:val="24"/>
                <w:szCs w:val="24"/>
                <w:highlight w:val="none"/>
              </w:rPr>
            </w:pPr>
            <w:r>
              <w:rPr>
                <w:rFonts w:hint="eastAsia"/>
                <w:color w:val="auto"/>
                <w:sz w:val="24"/>
                <w:szCs w:val="24"/>
                <w:highlight w:val="none"/>
              </w:rPr>
              <w:t>采购文件解释</w:t>
            </w:r>
          </w:p>
        </w:tc>
        <w:tc>
          <w:tcPr>
            <w:tcW w:w="7216" w:type="dxa"/>
            <w:tcBorders>
              <w:top w:val="single" w:color="000000" w:sz="4" w:space="0"/>
              <w:left w:val="single" w:color="000000" w:sz="4" w:space="0"/>
              <w:bottom w:val="single" w:color="000000" w:sz="4" w:space="0"/>
              <w:right w:val="double" w:color="000000" w:sz="0" w:space="0"/>
            </w:tcBorders>
            <w:vAlign w:val="center"/>
          </w:tcPr>
          <w:p w14:paraId="7978FA26">
            <w:pPr>
              <w:pStyle w:val="48"/>
              <w:ind w:left="107"/>
              <w:rPr>
                <w:color w:val="auto"/>
                <w:sz w:val="24"/>
                <w:szCs w:val="24"/>
                <w:highlight w:val="none"/>
              </w:rPr>
            </w:pPr>
            <w:r>
              <w:rPr>
                <w:rFonts w:hint="eastAsia"/>
                <w:color w:val="auto"/>
                <w:sz w:val="24"/>
                <w:szCs w:val="24"/>
                <w:highlight w:val="none"/>
              </w:rPr>
              <w:t>本项目采购文件的解释权属于浙江至诚工程咨询有限责任公司</w:t>
            </w:r>
          </w:p>
        </w:tc>
      </w:tr>
      <w:tr w14:paraId="01CC5C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3"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47787118">
            <w:pPr>
              <w:pStyle w:val="48"/>
              <w:ind w:left="167" w:right="167"/>
              <w:jc w:val="center"/>
              <w:rPr>
                <w:color w:val="auto"/>
                <w:sz w:val="24"/>
                <w:szCs w:val="24"/>
                <w:highlight w:val="none"/>
              </w:rPr>
            </w:pPr>
            <w:r>
              <w:rPr>
                <w:rFonts w:hint="eastAsia"/>
                <w:color w:val="auto"/>
                <w:sz w:val="24"/>
                <w:szCs w:val="24"/>
                <w:highlight w:val="none"/>
              </w:rPr>
              <w:t>20</w:t>
            </w:r>
          </w:p>
        </w:tc>
        <w:tc>
          <w:tcPr>
            <w:tcW w:w="1567" w:type="dxa"/>
            <w:tcBorders>
              <w:top w:val="single" w:color="000000" w:sz="4" w:space="0"/>
              <w:left w:val="single" w:color="000000" w:sz="4" w:space="0"/>
              <w:bottom w:val="single" w:color="000000" w:sz="4" w:space="0"/>
              <w:right w:val="single" w:color="000000" w:sz="4" w:space="0"/>
            </w:tcBorders>
            <w:vAlign w:val="center"/>
          </w:tcPr>
          <w:p w14:paraId="0029F785">
            <w:pPr>
              <w:pStyle w:val="48"/>
              <w:spacing w:before="173"/>
              <w:ind w:left="114" w:right="105"/>
              <w:jc w:val="center"/>
              <w:rPr>
                <w:color w:val="auto"/>
                <w:sz w:val="24"/>
                <w:szCs w:val="24"/>
                <w:highlight w:val="none"/>
              </w:rPr>
            </w:pPr>
            <w:r>
              <w:rPr>
                <w:rFonts w:hint="eastAsia"/>
                <w:color w:val="auto"/>
                <w:sz w:val="24"/>
                <w:szCs w:val="24"/>
                <w:highlight w:val="none"/>
              </w:rPr>
              <w:t>招标代理费用</w:t>
            </w:r>
          </w:p>
        </w:tc>
        <w:tc>
          <w:tcPr>
            <w:tcW w:w="7216" w:type="dxa"/>
            <w:tcBorders>
              <w:top w:val="single" w:color="000000" w:sz="4" w:space="0"/>
              <w:left w:val="single" w:color="000000" w:sz="4" w:space="0"/>
              <w:bottom w:val="single" w:color="000000" w:sz="4" w:space="0"/>
              <w:right w:val="double" w:color="000000" w:sz="0" w:space="0"/>
            </w:tcBorders>
            <w:vAlign w:val="center"/>
          </w:tcPr>
          <w:p w14:paraId="0FC58FBC">
            <w:pPr>
              <w:pStyle w:val="48"/>
              <w:spacing w:before="173"/>
              <w:ind w:left="107"/>
              <w:rPr>
                <w:color w:val="auto"/>
                <w:sz w:val="24"/>
                <w:szCs w:val="24"/>
                <w:highlight w:val="none"/>
              </w:rPr>
            </w:pPr>
            <w:r>
              <w:rPr>
                <w:rFonts w:hint="eastAsia"/>
                <w:color w:val="auto"/>
                <w:sz w:val="24"/>
                <w:szCs w:val="24"/>
                <w:highlight w:val="none"/>
              </w:rPr>
              <w:t>本项目招标代理服务费由</w:t>
            </w:r>
            <w:r>
              <w:rPr>
                <w:rFonts w:hint="eastAsia"/>
                <w:color w:val="auto"/>
                <w:sz w:val="24"/>
                <w:szCs w:val="24"/>
                <w:highlight w:val="none"/>
                <w:lang w:eastAsia="zh-CN"/>
              </w:rPr>
              <w:t>中标供应商</w:t>
            </w:r>
            <w:r>
              <w:rPr>
                <w:rFonts w:hint="eastAsia"/>
                <w:color w:val="auto"/>
                <w:sz w:val="24"/>
                <w:szCs w:val="24"/>
                <w:highlight w:val="none"/>
              </w:rPr>
              <w:t>支付。</w:t>
            </w:r>
          </w:p>
        </w:tc>
      </w:tr>
      <w:tr w14:paraId="05A593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83" w:hRule="atLeast"/>
        </w:trPr>
        <w:tc>
          <w:tcPr>
            <w:tcW w:w="700" w:type="dxa"/>
            <w:tcBorders>
              <w:top w:val="single" w:color="000000" w:sz="4" w:space="0"/>
              <w:left w:val="double" w:color="000000" w:sz="0" w:space="0"/>
              <w:bottom w:val="double" w:color="000000" w:sz="0" w:space="0"/>
              <w:right w:val="single" w:color="000000" w:sz="4" w:space="0"/>
            </w:tcBorders>
            <w:vAlign w:val="center"/>
          </w:tcPr>
          <w:p w14:paraId="15DED3B4">
            <w:pPr>
              <w:pStyle w:val="48"/>
              <w:ind w:left="167" w:right="167"/>
              <w:jc w:val="center"/>
              <w:rPr>
                <w:color w:val="auto"/>
                <w:sz w:val="24"/>
                <w:szCs w:val="24"/>
                <w:highlight w:val="none"/>
                <w:lang w:val="en-US"/>
              </w:rPr>
            </w:pPr>
            <w:r>
              <w:rPr>
                <w:rFonts w:hint="eastAsia"/>
                <w:color w:val="auto"/>
                <w:sz w:val="24"/>
                <w:szCs w:val="24"/>
                <w:highlight w:val="none"/>
                <w:lang w:val="en-US"/>
              </w:rPr>
              <w:t>21</w:t>
            </w:r>
          </w:p>
        </w:tc>
        <w:tc>
          <w:tcPr>
            <w:tcW w:w="1567" w:type="dxa"/>
            <w:tcBorders>
              <w:top w:val="single" w:color="000000" w:sz="4" w:space="0"/>
              <w:left w:val="single" w:color="000000" w:sz="4" w:space="0"/>
              <w:bottom w:val="double" w:color="000000" w:sz="0" w:space="0"/>
              <w:right w:val="single" w:color="000000" w:sz="4" w:space="0"/>
            </w:tcBorders>
            <w:vAlign w:val="center"/>
          </w:tcPr>
          <w:p w14:paraId="48B25A7A">
            <w:pPr>
              <w:pStyle w:val="48"/>
              <w:ind w:left="116" w:right="105"/>
              <w:jc w:val="center"/>
              <w:rPr>
                <w:b/>
                <w:color w:val="auto"/>
                <w:sz w:val="24"/>
                <w:szCs w:val="24"/>
                <w:highlight w:val="none"/>
              </w:rPr>
            </w:pPr>
            <w:r>
              <w:rPr>
                <w:rFonts w:hint="eastAsia"/>
                <w:b/>
                <w:color w:val="auto"/>
                <w:sz w:val="24"/>
                <w:szCs w:val="24"/>
                <w:highlight w:val="none"/>
              </w:rPr>
              <w:t>特别提醒</w:t>
            </w:r>
          </w:p>
        </w:tc>
        <w:tc>
          <w:tcPr>
            <w:tcW w:w="7216" w:type="dxa"/>
            <w:tcBorders>
              <w:top w:val="single" w:color="000000" w:sz="4" w:space="0"/>
              <w:left w:val="single" w:color="000000" w:sz="4" w:space="0"/>
              <w:bottom w:val="double" w:color="000000" w:sz="0" w:space="0"/>
              <w:right w:val="double" w:color="000000" w:sz="0" w:space="0"/>
            </w:tcBorders>
            <w:vAlign w:val="center"/>
          </w:tcPr>
          <w:p w14:paraId="0797E49D">
            <w:pPr>
              <w:pStyle w:val="48"/>
              <w:spacing w:before="177" w:line="278" w:lineRule="auto"/>
              <w:ind w:left="107" w:right="59"/>
              <w:rPr>
                <w:b/>
                <w:color w:val="auto"/>
                <w:sz w:val="24"/>
                <w:szCs w:val="24"/>
                <w:highlight w:val="none"/>
              </w:rPr>
            </w:pPr>
            <w:r>
              <w:rPr>
                <w:rFonts w:hint="eastAsia"/>
                <w:b/>
                <w:color w:val="auto"/>
                <w:sz w:val="24"/>
                <w:szCs w:val="24"/>
                <w:highlight w:val="none"/>
              </w:rPr>
              <w:t>1</w:t>
            </w:r>
            <w:r>
              <w:rPr>
                <w:rFonts w:hint="eastAsia"/>
                <w:b/>
                <w:color w:val="auto"/>
                <w:sz w:val="24"/>
                <w:szCs w:val="24"/>
                <w:highlight w:val="none"/>
                <w:lang w:val="en-US"/>
              </w:rPr>
              <w:t>.</w:t>
            </w:r>
            <w:r>
              <w:rPr>
                <w:rFonts w:hint="eastAsia"/>
                <w:b/>
                <w:color w:val="auto"/>
                <w:sz w:val="24"/>
                <w:szCs w:val="24"/>
                <w:highlight w:val="none"/>
              </w:rPr>
              <w:t>请供应商根据资格审查要求和响应文件格式要求及评标办法要求提供相关原件扫描件，未提供原件扫描件所造成的风险由供应商自行承担。</w:t>
            </w:r>
          </w:p>
          <w:p w14:paraId="3C0269C8">
            <w:pPr>
              <w:pStyle w:val="48"/>
              <w:spacing w:line="278" w:lineRule="auto"/>
              <w:ind w:left="107" w:right="59"/>
              <w:rPr>
                <w:b/>
                <w:color w:val="auto"/>
                <w:sz w:val="24"/>
                <w:szCs w:val="24"/>
                <w:highlight w:val="none"/>
              </w:rPr>
            </w:pPr>
            <w:r>
              <w:rPr>
                <w:rFonts w:hint="eastAsia"/>
                <w:b/>
                <w:color w:val="auto"/>
                <w:sz w:val="24"/>
                <w:szCs w:val="24"/>
                <w:highlight w:val="none"/>
              </w:rPr>
              <w:t>2</w:t>
            </w:r>
            <w:r>
              <w:rPr>
                <w:rFonts w:hint="eastAsia"/>
                <w:b/>
                <w:color w:val="auto"/>
                <w:sz w:val="24"/>
                <w:szCs w:val="24"/>
                <w:highlight w:val="none"/>
                <w:lang w:val="en-US"/>
              </w:rPr>
              <w:t>.</w:t>
            </w:r>
            <w:r>
              <w:rPr>
                <w:rFonts w:hint="eastAsia"/>
                <w:b/>
                <w:color w:val="auto"/>
                <w:sz w:val="24"/>
                <w:szCs w:val="24"/>
                <w:highlight w:val="none"/>
              </w:rPr>
              <w:t>请务必确保响应文件制作客户端为最新版本，旧版本可能导致响应文件解密失败。</w:t>
            </w:r>
          </w:p>
          <w:p w14:paraId="2A3AB4BA">
            <w:pPr>
              <w:pStyle w:val="48"/>
              <w:spacing w:line="278" w:lineRule="auto"/>
              <w:ind w:left="107" w:right="59"/>
              <w:rPr>
                <w:b/>
                <w:color w:val="auto"/>
                <w:sz w:val="24"/>
                <w:szCs w:val="24"/>
                <w:highlight w:val="none"/>
              </w:rPr>
            </w:pPr>
            <w:r>
              <w:rPr>
                <w:rFonts w:hint="eastAsia"/>
                <w:b/>
                <w:color w:val="auto"/>
                <w:sz w:val="24"/>
                <w:szCs w:val="24"/>
                <w:highlight w:val="none"/>
              </w:rPr>
              <w:t>3</w:t>
            </w:r>
            <w:r>
              <w:rPr>
                <w:rFonts w:hint="eastAsia"/>
                <w:b/>
                <w:color w:val="auto"/>
                <w:sz w:val="24"/>
                <w:szCs w:val="24"/>
                <w:highlight w:val="none"/>
                <w:lang w:val="en-US"/>
              </w:rPr>
              <w:t>.</w:t>
            </w:r>
            <w:r>
              <w:rPr>
                <w:rFonts w:hint="eastAsia"/>
                <w:b/>
                <w:color w:val="auto"/>
                <w:sz w:val="24"/>
                <w:szCs w:val="24"/>
                <w:highlight w:val="none"/>
              </w:rPr>
              <w:t>请务必确保响应文件制作时所用的 CA 锁与响应文件解密时的 CA 锁为同一把，否则可能导致响应文件解密失败。</w:t>
            </w:r>
          </w:p>
        </w:tc>
      </w:tr>
    </w:tbl>
    <w:p w14:paraId="5FE277A1">
      <w:pPr>
        <w:spacing w:line="278" w:lineRule="auto"/>
        <w:rPr>
          <w:color w:val="auto"/>
          <w:sz w:val="21"/>
          <w:highlight w:val="none"/>
        </w:rPr>
        <w:sectPr>
          <w:footerReference r:id="rId4" w:type="default"/>
          <w:pgSz w:w="11910" w:h="16840"/>
          <w:pgMar w:top="1247" w:right="1247" w:bottom="1247" w:left="1587" w:header="884" w:footer="884" w:gutter="0"/>
          <w:pgNumType w:start="2"/>
          <w:cols w:space="0" w:num="1"/>
        </w:sectPr>
      </w:pPr>
    </w:p>
    <w:p w14:paraId="5FCDC957">
      <w:pPr>
        <w:pStyle w:val="3"/>
        <w:tabs>
          <w:tab w:val="left" w:pos="1291"/>
        </w:tabs>
        <w:spacing w:before="0" w:line="360" w:lineRule="auto"/>
        <w:ind w:left="0"/>
        <w:jc w:val="left"/>
        <w:rPr>
          <w:color w:val="auto"/>
          <w:highlight w:val="none"/>
          <w:lang w:val="en-US"/>
        </w:rPr>
      </w:pPr>
      <w:bookmarkStart w:id="34" w:name="_Toc29472"/>
      <w:r>
        <w:rPr>
          <w:rFonts w:hint="eastAsia"/>
          <w:color w:val="auto"/>
          <w:highlight w:val="none"/>
          <w:lang w:val="en-US"/>
        </w:rPr>
        <w:t>一  总则</w:t>
      </w:r>
      <w:bookmarkEnd w:id="34"/>
    </w:p>
    <w:p w14:paraId="50DC0F13">
      <w:pPr>
        <w:pStyle w:val="47"/>
        <w:tabs>
          <w:tab w:val="left" w:pos="1440"/>
        </w:tabs>
        <w:spacing w:before="0" w:line="360" w:lineRule="auto"/>
        <w:ind w:left="0" w:firstLine="482" w:firstLineChars="200"/>
        <w:rPr>
          <w:b/>
          <w:color w:val="auto"/>
          <w:sz w:val="24"/>
          <w:highlight w:val="none"/>
        </w:rPr>
      </w:pPr>
      <w:r>
        <w:rPr>
          <w:rFonts w:hint="eastAsia"/>
          <w:b/>
          <w:color w:val="auto"/>
          <w:sz w:val="24"/>
          <w:highlight w:val="none"/>
          <w:lang w:val="en-US"/>
        </w:rPr>
        <w:t>1.</w:t>
      </w:r>
      <w:r>
        <w:rPr>
          <w:rFonts w:hint="eastAsia"/>
          <w:b/>
          <w:color w:val="auto"/>
          <w:sz w:val="24"/>
          <w:highlight w:val="none"/>
        </w:rPr>
        <w:t>适用范围</w:t>
      </w:r>
    </w:p>
    <w:p w14:paraId="56A357CA">
      <w:pPr>
        <w:pStyle w:val="47"/>
        <w:numPr>
          <w:ilvl w:val="1"/>
          <w:numId w:val="16"/>
        </w:numPr>
        <w:tabs>
          <w:tab w:val="left" w:pos="1100"/>
        </w:tabs>
        <w:spacing w:before="0" w:line="360" w:lineRule="auto"/>
        <w:ind w:left="0" w:firstLine="480" w:firstLineChars="200"/>
        <w:rPr>
          <w:b/>
          <w:color w:val="auto"/>
          <w:sz w:val="24"/>
          <w:highlight w:val="none"/>
        </w:rPr>
      </w:pPr>
      <w:r>
        <w:rPr>
          <w:rFonts w:hint="eastAsia"/>
          <w:color w:val="auto"/>
          <w:sz w:val="24"/>
          <w:highlight w:val="none"/>
        </w:rPr>
        <w:t>磋商文件适用于本次所述项目的采购行为（法律、法规另有规定的，从其规定）。</w:t>
      </w:r>
    </w:p>
    <w:p w14:paraId="4AD59BD8">
      <w:pPr>
        <w:pStyle w:val="47"/>
        <w:tabs>
          <w:tab w:val="left" w:pos="1440"/>
        </w:tabs>
        <w:spacing w:before="0" w:line="360" w:lineRule="auto"/>
        <w:ind w:left="0" w:firstLine="482" w:firstLineChars="200"/>
        <w:rPr>
          <w:b/>
          <w:color w:val="auto"/>
          <w:sz w:val="24"/>
          <w:highlight w:val="none"/>
        </w:rPr>
      </w:pPr>
      <w:r>
        <w:rPr>
          <w:rFonts w:hint="eastAsia"/>
          <w:b/>
          <w:color w:val="auto"/>
          <w:sz w:val="24"/>
          <w:highlight w:val="none"/>
          <w:lang w:val="en-US"/>
        </w:rPr>
        <w:t>2.</w:t>
      </w:r>
      <w:r>
        <w:rPr>
          <w:rFonts w:hint="eastAsia"/>
          <w:b/>
          <w:color w:val="auto"/>
          <w:sz w:val="24"/>
          <w:highlight w:val="none"/>
        </w:rPr>
        <w:t>定义</w:t>
      </w:r>
    </w:p>
    <w:p w14:paraId="7E13A927">
      <w:pPr>
        <w:pStyle w:val="47"/>
        <w:numPr>
          <w:ilvl w:val="2"/>
          <w:numId w:val="17"/>
        </w:numPr>
        <w:spacing w:before="0" w:line="360" w:lineRule="auto"/>
        <w:ind w:left="0" w:firstLine="480" w:firstLineChars="200"/>
        <w:rPr>
          <w:color w:val="auto"/>
          <w:sz w:val="24"/>
          <w:highlight w:val="none"/>
        </w:rPr>
      </w:pPr>
      <w:r>
        <w:rPr>
          <w:rFonts w:hint="eastAsia"/>
          <w:color w:val="auto"/>
          <w:sz w:val="24"/>
          <w:highlight w:val="none"/>
        </w:rPr>
        <w:t>“采购人”系</w:t>
      </w:r>
      <w:r>
        <w:rPr>
          <w:rFonts w:hint="eastAsia"/>
          <w:color w:val="auto"/>
          <w:sz w:val="24"/>
          <w:highlight w:val="none"/>
          <w:lang w:eastAsia="zh-CN"/>
        </w:rPr>
        <w:t>遂昌县体育事业发展中心</w:t>
      </w:r>
      <w:r>
        <w:rPr>
          <w:rFonts w:hint="eastAsia"/>
          <w:color w:val="auto"/>
          <w:sz w:val="24"/>
          <w:highlight w:val="none"/>
        </w:rPr>
        <w:t>。</w:t>
      </w:r>
    </w:p>
    <w:p w14:paraId="05A39E44">
      <w:pPr>
        <w:pStyle w:val="47"/>
        <w:numPr>
          <w:ilvl w:val="2"/>
          <w:numId w:val="17"/>
        </w:numPr>
        <w:spacing w:before="0" w:line="360" w:lineRule="auto"/>
        <w:ind w:left="0" w:firstLine="480" w:firstLineChars="200"/>
        <w:rPr>
          <w:color w:val="auto"/>
          <w:sz w:val="24"/>
          <w:highlight w:val="none"/>
        </w:rPr>
      </w:pPr>
      <w:r>
        <w:rPr>
          <w:rFonts w:hint="eastAsia"/>
          <w:color w:val="auto"/>
          <w:sz w:val="24"/>
          <w:highlight w:val="none"/>
        </w:rPr>
        <w:t>“供应商”系指符合本项目供应商应具备的资格要求并报名参与项目磋商的供应商。</w:t>
      </w:r>
    </w:p>
    <w:p w14:paraId="2284581D">
      <w:pPr>
        <w:pStyle w:val="47"/>
        <w:numPr>
          <w:ilvl w:val="2"/>
          <w:numId w:val="17"/>
        </w:numPr>
        <w:spacing w:before="0" w:line="360" w:lineRule="auto"/>
        <w:ind w:left="0" w:firstLine="480" w:firstLineChars="200"/>
        <w:rPr>
          <w:color w:val="auto"/>
          <w:sz w:val="24"/>
          <w:highlight w:val="none"/>
        </w:rPr>
      </w:pPr>
      <w:r>
        <w:rPr>
          <w:rFonts w:hint="eastAsia"/>
          <w:color w:val="auto"/>
          <w:sz w:val="24"/>
          <w:highlight w:val="none"/>
        </w:rPr>
        <w:t>“采购代理机构”系指浙江至诚工程咨询有限责任公司。</w:t>
      </w:r>
    </w:p>
    <w:p w14:paraId="3DA7C27F">
      <w:pPr>
        <w:pStyle w:val="47"/>
        <w:numPr>
          <w:ilvl w:val="2"/>
          <w:numId w:val="17"/>
        </w:numPr>
        <w:spacing w:before="0" w:line="360" w:lineRule="auto"/>
        <w:ind w:left="0" w:firstLine="480" w:firstLineChars="200"/>
        <w:rPr>
          <w:color w:val="auto"/>
          <w:sz w:val="24"/>
          <w:highlight w:val="none"/>
        </w:rPr>
      </w:pPr>
      <w:r>
        <w:rPr>
          <w:rFonts w:hint="eastAsia"/>
          <w:color w:val="auto"/>
          <w:sz w:val="24"/>
          <w:highlight w:val="none"/>
        </w:rPr>
        <w:t>“负责人”系指法人企业的法定代表人，或其他组织为法律、行政法规规定代表单位行使职权的主要负责人。</w:t>
      </w:r>
    </w:p>
    <w:p w14:paraId="02D0CF6A">
      <w:pPr>
        <w:pStyle w:val="47"/>
        <w:numPr>
          <w:ilvl w:val="2"/>
          <w:numId w:val="17"/>
        </w:numPr>
        <w:spacing w:before="0" w:line="360" w:lineRule="auto"/>
        <w:ind w:left="0" w:firstLine="480" w:firstLineChars="200"/>
        <w:rPr>
          <w:color w:val="auto"/>
          <w:sz w:val="24"/>
          <w:highlight w:val="none"/>
        </w:rPr>
      </w:pPr>
      <w:r>
        <w:rPr>
          <w:rFonts w:hint="eastAsia"/>
          <w:color w:val="auto"/>
          <w:sz w:val="24"/>
          <w:highlight w:val="none"/>
        </w:rPr>
        <w:t>“合同”系指委托方、受托方双方签署的规定委托方、受托方双方权利与义务的协议，以及所有的附件、附录和磋商文件所提到的构成合同的所有文件。</w:t>
      </w:r>
    </w:p>
    <w:p w14:paraId="02026EF6">
      <w:pPr>
        <w:pStyle w:val="47"/>
        <w:numPr>
          <w:ilvl w:val="2"/>
          <w:numId w:val="17"/>
        </w:numPr>
        <w:spacing w:before="0" w:line="360" w:lineRule="auto"/>
        <w:ind w:left="0" w:firstLine="480" w:firstLineChars="200"/>
        <w:rPr>
          <w:color w:val="auto"/>
          <w:sz w:val="24"/>
          <w:highlight w:val="none"/>
        </w:rPr>
      </w:pPr>
      <w:r>
        <w:rPr>
          <w:rFonts w:hint="eastAsia"/>
          <w:color w:val="auto"/>
          <w:sz w:val="24"/>
          <w:highlight w:val="none"/>
        </w:rPr>
        <w:t>“产品”系指供应商按磋商文件规定，须向采购人提供的一切产品（包括： 虚拟产品），以及产品相关的保险、税金、备品备件、附件、耗材、工具、手册及其它有关技术资料和材料等。</w:t>
      </w:r>
    </w:p>
    <w:p w14:paraId="39473A9F">
      <w:pPr>
        <w:pStyle w:val="47"/>
        <w:numPr>
          <w:ilvl w:val="2"/>
          <w:numId w:val="17"/>
        </w:numPr>
        <w:spacing w:before="0" w:line="360" w:lineRule="auto"/>
        <w:ind w:left="0" w:firstLine="480" w:firstLineChars="200"/>
        <w:rPr>
          <w:color w:val="auto"/>
          <w:sz w:val="24"/>
          <w:highlight w:val="none"/>
        </w:rPr>
      </w:pPr>
      <w:r>
        <w:rPr>
          <w:rFonts w:hint="eastAsia"/>
          <w:color w:val="auto"/>
          <w:sz w:val="24"/>
          <w:highlight w:val="none"/>
        </w:rPr>
        <w:t>“服务”系指供应商按磋商文件规定应承担的送货上门、安装、调试、技术协助、校准、培训、技术指导以及其他类似的附随义务。</w:t>
      </w:r>
    </w:p>
    <w:p w14:paraId="3F8ACCC3">
      <w:pPr>
        <w:pStyle w:val="47"/>
        <w:numPr>
          <w:ilvl w:val="2"/>
          <w:numId w:val="17"/>
        </w:numPr>
        <w:spacing w:before="0" w:line="360" w:lineRule="auto"/>
        <w:ind w:left="0" w:firstLine="480" w:firstLineChars="200"/>
        <w:rPr>
          <w:color w:val="auto"/>
          <w:sz w:val="24"/>
          <w:highlight w:val="none"/>
        </w:rPr>
      </w:pPr>
      <w:r>
        <w:rPr>
          <w:rFonts w:hint="eastAsia"/>
          <w:color w:val="auto"/>
          <w:sz w:val="24"/>
          <w:szCs w:val="24"/>
          <w:highlight w:val="none"/>
        </w:rPr>
        <w:t>本文件所指的公章均指供应商的</w:t>
      </w:r>
      <w:r>
        <w:rPr>
          <w:rFonts w:hint="eastAsia"/>
          <w:b/>
          <w:color w:val="auto"/>
          <w:sz w:val="24"/>
          <w:szCs w:val="24"/>
          <w:highlight w:val="none"/>
        </w:rPr>
        <w:t>CA</w:t>
      </w:r>
      <w:r>
        <w:rPr>
          <w:rFonts w:hint="eastAsia"/>
          <w:color w:val="auto"/>
          <w:sz w:val="24"/>
          <w:szCs w:val="24"/>
          <w:highlight w:val="none"/>
        </w:rPr>
        <w:t>电子章；</w:t>
      </w:r>
    </w:p>
    <w:p w14:paraId="48CA6C1E">
      <w:pPr>
        <w:pStyle w:val="47"/>
        <w:numPr>
          <w:ilvl w:val="2"/>
          <w:numId w:val="17"/>
        </w:numPr>
        <w:spacing w:before="0" w:line="360" w:lineRule="auto"/>
        <w:ind w:left="0" w:firstLine="480" w:firstLineChars="200"/>
        <w:rPr>
          <w:color w:val="auto"/>
          <w:sz w:val="24"/>
          <w:highlight w:val="none"/>
        </w:rPr>
      </w:pPr>
      <w:r>
        <w:rPr>
          <w:rFonts w:hint="eastAsia"/>
          <w:color w:val="auto"/>
          <w:sz w:val="24"/>
          <w:highlight w:val="none"/>
        </w:rPr>
        <w:t>“▲” 系指实质性要求条款。</w:t>
      </w:r>
    </w:p>
    <w:p w14:paraId="7EA2C924">
      <w:pPr>
        <w:pStyle w:val="47"/>
        <w:tabs>
          <w:tab w:val="left" w:pos="1440"/>
        </w:tabs>
        <w:spacing w:before="0" w:line="360" w:lineRule="auto"/>
        <w:ind w:left="0" w:firstLine="482" w:firstLineChars="200"/>
        <w:rPr>
          <w:b/>
          <w:color w:val="auto"/>
          <w:sz w:val="24"/>
          <w:highlight w:val="none"/>
          <w:lang w:val="en-US"/>
        </w:rPr>
      </w:pPr>
      <w:r>
        <w:rPr>
          <w:rFonts w:hint="eastAsia"/>
          <w:b/>
          <w:color w:val="auto"/>
          <w:sz w:val="24"/>
          <w:highlight w:val="none"/>
          <w:lang w:val="en-US"/>
        </w:rPr>
        <w:t>3.供应商基本要求</w:t>
      </w:r>
    </w:p>
    <w:p w14:paraId="76CF534C">
      <w:pPr>
        <w:pStyle w:val="47"/>
        <w:numPr>
          <w:ilvl w:val="1"/>
          <w:numId w:val="0"/>
        </w:numPr>
        <w:tabs>
          <w:tab w:val="left" w:pos="1100"/>
        </w:tabs>
        <w:spacing w:before="0" w:line="360" w:lineRule="auto"/>
        <w:ind w:firstLine="480" w:firstLineChars="200"/>
        <w:rPr>
          <w:color w:val="auto"/>
          <w:sz w:val="24"/>
          <w:highlight w:val="none"/>
        </w:rPr>
      </w:pPr>
      <w:r>
        <w:rPr>
          <w:color w:val="auto"/>
          <w:sz w:val="24"/>
          <w:szCs w:val="24"/>
          <w:highlight w:val="none"/>
        </w:rPr>
        <w:t>3.1</w:t>
      </w:r>
      <w:r>
        <w:rPr>
          <w:rFonts w:hint="eastAsia"/>
          <w:color w:val="auto"/>
          <w:sz w:val="24"/>
          <w:highlight w:val="none"/>
        </w:rPr>
        <w:t>符合第一章第“二”条规定；</w:t>
      </w:r>
    </w:p>
    <w:p w14:paraId="011A3EE9">
      <w:pPr>
        <w:pStyle w:val="47"/>
        <w:numPr>
          <w:ilvl w:val="1"/>
          <w:numId w:val="0"/>
        </w:numPr>
        <w:tabs>
          <w:tab w:val="left" w:pos="1100"/>
        </w:tabs>
        <w:spacing w:before="0" w:line="360" w:lineRule="auto"/>
        <w:ind w:firstLine="482" w:firstLineChars="200"/>
        <w:rPr>
          <w:b/>
          <w:color w:val="auto"/>
          <w:sz w:val="24"/>
          <w:highlight w:val="none"/>
        </w:rPr>
      </w:pPr>
      <w:r>
        <w:rPr>
          <w:b/>
          <w:color w:val="auto"/>
          <w:sz w:val="24"/>
          <w:szCs w:val="24"/>
          <w:highlight w:val="none"/>
        </w:rPr>
        <w:t>3.2</w:t>
      </w:r>
      <w:r>
        <w:rPr>
          <w:rFonts w:hint="eastAsia"/>
          <w:color w:val="auto"/>
          <w:sz w:val="24"/>
          <w:highlight w:val="none"/>
        </w:rPr>
        <w:t>供应商应遵守有关的法律、法规和规章条例。</w:t>
      </w:r>
    </w:p>
    <w:p w14:paraId="158E8B42">
      <w:pPr>
        <w:pStyle w:val="47"/>
        <w:tabs>
          <w:tab w:val="left" w:pos="1100"/>
        </w:tabs>
        <w:spacing w:before="0" w:line="360" w:lineRule="auto"/>
        <w:ind w:left="440" w:leftChars="200" w:firstLine="0"/>
        <w:rPr>
          <w:b/>
          <w:color w:val="auto"/>
          <w:sz w:val="24"/>
          <w:highlight w:val="none"/>
        </w:rPr>
      </w:pPr>
      <w:r>
        <w:rPr>
          <w:rFonts w:hint="eastAsia"/>
          <w:b/>
          <w:color w:val="auto"/>
          <w:sz w:val="24"/>
          <w:highlight w:val="none"/>
        </w:rPr>
        <w:t>4.联合体说明</w:t>
      </w:r>
    </w:p>
    <w:p w14:paraId="38CB3440">
      <w:pPr>
        <w:spacing w:line="360" w:lineRule="auto"/>
        <w:ind w:firstLine="480" w:firstLineChars="200"/>
        <w:rPr>
          <w:color w:val="auto"/>
          <w:sz w:val="24"/>
          <w:highlight w:val="none"/>
        </w:rPr>
      </w:pPr>
      <w:r>
        <w:rPr>
          <w:rFonts w:hint="eastAsia"/>
          <w:color w:val="auto"/>
          <w:sz w:val="24"/>
          <w:highlight w:val="none"/>
        </w:rPr>
        <w:t>4.1 本项目不接受联合体磋商。</w:t>
      </w:r>
    </w:p>
    <w:p w14:paraId="44672BF2">
      <w:pPr>
        <w:spacing w:line="360" w:lineRule="auto"/>
        <w:ind w:firstLine="482" w:firstLineChars="200"/>
        <w:rPr>
          <w:b/>
          <w:color w:val="auto"/>
          <w:sz w:val="24"/>
          <w:highlight w:val="none"/>
        </w:rPr>
      </w:pPr>
      <w:r>
        <w:rPr>
          <w:rFonts w:hint="eastAsia"/>
          <w:b/>
          <w:color w:val="auto"/>
          <w:sz w:val="24"/>
          <w:highlight w:val="none"/>
        </w:rPr>
        <w:t>5.特别说明</w:t>
      </w:r>
    </w:p>
    <w:p w14:paraId="7589E340">
      <w:pPr>
        <w:pStyle w:val="11"/>
        <w:spacing w:line="360" w:lineRule="auto"/>
        <w:ind w:firstLine="480" w:firstLineChars="200"/>
        <w:rPr>
          <w:color w:val="auto"/>
          <w:highlight w:val="none"/>
        </w:rPr>
      </w:pPr>
      <w:r>
        <w:rPr>
          <w:rFonts w:hint="eastAsia"/>
          <w:color w:val="auto"/>
          <w:highlight w:val="none"/>
        </w:rPr>
        <w:t>▲5.1 单位负责人为同一人或者存在直接控股、管理关系的不同供应商，以及属于同一母公司或集团的不同供应商不得参加同一合同项下的政府采购活动。</w:t>
      </w:r>
    </w:p>
    <w:p w14:paraId="7B21A77F">
      <w:pPr>
        <w:pStyle w:val="11"/>
        <w:spacing w:line="360" w:lineRule="auto"/>
        <w:ind w:firstLine="482" w:firstLineChars="200"/>
        <w:rPr>
          <w:color w:val="auto"/>
          <w:highlight w:val="none"/>
        </w:rPr>
      </w:pPr>
      <w:r>
        <w:rPr>
          <w:rFonts w:hint="eastAsia"/>
          <w:b/>
          <w:color w:val="auto"/>
          <w:highlight w:val="none"/>
        </w:rPr>
        <w:t>▲</w:t>
      </w:r>
      <w:r>
        <w:rPr>
          <w:rFonts w:hint="eastAsia"/>
          <w:color w:val="auto"/>
          <w:highlight w:val="none"/>
        </w:rPr>
        <w:t>5.2 为采购项目提供整体设计、规范编制或者项目管理、监理、检测等服务的供应商，不得再参加该采购项目的其他采购活动。</w:t>
      </w:r>
    </w:p>
    <w:p w14:paraId="4D9B78AC">
      <w:pPr>
        <w:pStyle w:val="11"/>
        <w:spacing w:line="360" w:lineRule="auto"/>
        <w:ind w:firstLine="482" w:firstLineChars="200"/>
        <w:rPr>
          <w:b/>
          <w:bCs/>
          <w:color w:val="auto"/>
          <w:highlight w:val="none"/>
        </w:rPr>
      </w:pPr>
      <w:r>
        <w:rPr>
          <w:rFonts w:hint="eastAsia"/>
          <w:b/>
          <w:bCs/>
          <w:color w:val="auto"/>
          <w:highlight w:val="none"/>
        </w:rPr>
        <w:t>5.3 供应商自行踏勘现场，自行承担所有与磋商有关的费用。</w:t>
      </w:r>
    </w:p>
    <w:p w14:paraId="1365198D">
      <w:pPr>
        <w:pStyle w:val="3"/>
        <w:tabs>
          <w:tab w:val="left" w:pos="1291"/>
        </w:tabs>
        <w:spacing w:before="0" w:line="360" w:lineRule="auto"/>
        <w:ind w:left="0"/>
        <w:jc w:val="left"/>
        <w:rPr>
          <w:color w:val="auto"/>
          <w:highlight w:val="none"/>
          <w:lang w:val="en-US"/>
        </w:rPr>
      </w:pPr>
      <w:bookmarkStart w:id="35" w:name="二___磋商文件说明"/>
      <w:bookmarkEnd w:id="35"/>
      <w:bookmarkStart w:id="36" w:name="_Toc23634"/>
      <w:r>
        <w:rPr>
          <w:rFonts w:hint="eastAsia"/>
          <w:color w:val="auto"/>
          <w:highlight w:val="none"/>
          <w:lang w:val="en-US"/>
        </w:rPr>
        <w:t>二  磋商文件说明</w:t>
      </w:r>
      <w:bookmarkEnd w:id="36"/>
    </w:p>
    <w:p w14:paraId="503DB5BD">
      <w:pPr>
        <w:spacing w:line="360" w:lineRule="auto"/>
        <w:ind w:firstLine="482" w:firstLineChars="200"/>
        <w:rPr>
          <w:b/>
          <w:color w:val="auto"/>
          <w:sz w:val="24"/>
          <w:highlight w:val="none"/>
        </w:rPr>
      </w:pPr>
      <w:r>
        <w:rPr>
          <w:rFonts w:hint="eastAsia"/>
          <w:b/>
          <w:color w:val="auto"/>
          <w:sz w:val="24"/>
          <w:highlight w:val="none"/>
          <w:lang w:val="en-US"/>
        </w:rPr>
        <w:t>6.</w:t>
      </w:r>
      <w:r>
        <w:rPr>
          <w:rFonts w:hint="eastAsia"/>
          <w:b/>
          <w:color w:val="auto"/>
          <w:sz w:val="24"/>
          <w:highlight w:val="none"/>
        </w:rPr>
        <w:t>磋商文件的构成</w:t>
      </w:r>
    </w:p>
    <w:p w14:paraId="6235B500">
      <w:pPr>
        <w:pStyle w:val="47"/>
        <w:numPr>
          <w:ilvl w:val="1"/>
          <w:numId w:val="18"/>
        </w:numPr>
        <w:tabs>
          <w:tab w:val="left" w:pos="880"/>
        </w:tabs>
        <w:spacing w:before="0" w:line="360" w:lineRule="auto"/>
        <w:ind w:left="0" w:firstLine="480" w:firstLineChars="200"/>
        <w:rPr>
          <w:color w:val="auto"/>
          <w:sz w:val="24"/>
          <w:highlight w:val="none"/>
        </w:rPr>
      </w:pPr>
      <w:r>
        <w:rPr>
          <w:rFonts w:hint="eastAsia"/>
          <w:color w:val="auto"/>
          <w:sz w:val="24"/>
          <w:highlight w:val="none"/>
        </w:rPr>
        <w:t>磋商文件用以阐明所需货物及服务、招标、磋商程序和合同条款。磋商文件由下述部分组成：</w:t>
      </w:r>
    </w:p>
    <w:p w14:paraId="1A338C94">
      <w:pPr>
        <w:pStyle w:val="47"/>
        <w:numPr>
          <w:ilvl w:val="2"/>
          <w:numId w:val="18"/>
        </w:numPr>
        <w:spacing w:before="0" w:line="360" w:lineRule="auto"/>
        <w:ind w:left="0" w:firstLine="480" w:firstLineChars="200"/>
        <w:rPr>
          <w:color w:val="auto"/>
          <w:sz w:val="24"/>
          <w:highlight w:val="none"/>
        </w:rPr>
      </w:pPr>
      <w:r>
        <w:rPr>
          <w:rFonts w:hint="eastAsia"/>
          <w:color w:val="auto"/>
          <w:sz w:val="24"/>
          <w:highlight w:val="none"/>
        </w:rPr>
        <w:t>竞争性磋商公告</w:t>
      </w:r>
    </w:p>
    <w:p w14:paraId="3BC46596">
      <w:pPr>
        <w:pStyle w:val="47"/>
        <w:numPr>
          <w:ilvl w:val="2"/>
          <w:numId w:val="18"/>
        </w:numPr>
        <w:spacing w:before="0" w:line="360" w:lineRule="auto"/>
        <w:ind w:left="0" w:firstLine="480" w:firstLineChars="200"/>
        <w:rPr>
          <w:color w:val="auto"/>
          <w:sz w:val="24"/>
          <w:highlight w:val="none"/>
        </w:rPr>
      </w:pPr>
      <w:r>
        <w:rPr>
          <w:rFonts w:hint="eastAsia"/>
          <w:color w:val="auto"/>
          <w:sz w:val="24"/>
          <w:highlight w:val="none"/>
        </w:rPr>
        <w:t>供应商须知</w:t>
      </w:r>
    </w:p>
    <w:p w14:paraId="756F147E">
      <w:pPr>
        <w:pStyle w:val="47"/>
        <w:numPr>
          <w:ilvl w:val="2"/>
          <w:numId w:val="18"/>
        </w:numPr>
        <w:spacing w:before="0" w:line="360" w:lineRule="auto"/>
        <w:ind w:left="0" w:firstLine="480" w:firstLineChars="200"/>
        <w:rPr>
          <w:color w:val="auto"/>
          <w:sz w:val="24"/>
          <w:highlight w:val="none"/>
        </w:rPr>
      </w:pPr>
      <w:r>
        <w:rPr>
          <w:rFonts w:hint="eastAsia"/>
          <w:color w:val="auto"/>
          <w:sz w:val="24"/>
          <w:highlight w:val="none"/>
        </w:rPr>
        <w:t>采购需求</w:t>
      </w:r>
    </w:p>
    <w:p w14:paraId="0CC05474">
      <w:pPr>
        <w:pStyle w:val="47"/>
        <w:numPr>
          <w:ilvl w:val="2"/>
          <w:numId w:val="18"/>
        </w:numPr>
        <w:spacing w:before="0" w:line="360" w:lineRule="auto"/>
        <w:ind w:left="0" w:firstLine="480" w:firstLineChars="200"/>
        <w:rPr>
          <w:color w:val="auto"/>
          <w:sz w:val="24"/>
          <w:highlight w:val="none"/>
        </w:rPr>
      </w:pPr>
      <w:r>
        <w:rPr>
          <w:rFonts w:hint="eastAsia"/>
          <w:color w:val="auto"/>
          <w:sz w:val="24"/>
          <w:highlight w:val="none"/>
        </w:rPr>
        <w:t>政府采购合同格式</w:t>
      </w:r>
    </w:p>
    <w:p w14:paraId="7D9BAABF">
      <w:pPr>
        <w:pStyle w:val="47"/>
        <w:numPr>
          <w:ilvl w:val="2"/>
          <w:numId w:val="18"/>
        </w:numPr>
        <w:spacing w:before="0" w:line="360" w:lineRule="auto"/>
        <w:ind w:left="0" w:firstLine="480" w:firstLineChars="200"/>
        <w:rPr>
          <w:color w:val="auto"/>
          <w:sz w:val="24"/>
          <w:highlight w:val="none"/>
        </w:rPr>
      </w:pPr>
      <w:r>
        <w:rPr>
          <w:rFonts w:hint="eastAsia"/>
          <w:color w:val="auto"/>
          <w:sz w:val="24"/>
          <w:highlight w:val="none"/>
        </w:rPr>
        <w:t>磋商相关文件格式</w:t>
      </w:r>
    </w:p>
    <w:p w14:paraId="0A720C35">
      <w:pPr>
        <w:pStyle w:val="47"/>
        <w:numPr>
          <w:ilvl w:val="2"/>
          <w:numId w:val="18"/>
        </w:numPr>
        <w:spacing w:before="0" w:line="360" w:lineRule="auto"/>
        <w:ind w:left="0" w:firstLine="480" w:firstLineChars="200"/>
        <w:jc w:val="both"/>
        <w:rPr>
          <w:color w:val="auto"/>
          <w:sz w:val="24"/>
          <w:highlight w:val="none"/>
        </w:rPr>
      </w:pPr>
      <w:r>
        <w:rPr>
          <w:rFonts w:hint="eastAsia"/>
          <w:color w:val="auto"/>
          <w:sz w:val="24"/>
          <w:highlight w:val="none"/>
        </w:rPr>
        <w:t>评标办法和细则</w:t>
      </w:r>
    </w:p>
    <w:p w14:paraId="36334930">
      <w:pPr>
        <w:pStyle w:val="47"/>
        <w:numPr>
          <w:ilvl w:val="2"/>
          <w:numId w:val="18"/>
        </w:numPr>
        <w:spacing w:before="0" w:line="360" w:lineRule="auto"/>
        <w:ind w:left="0" w:firstLine="480" w:firstLineChars="200"/>
        <w:jc w:val="both"/>
        <w:rPr>
          <w:color w:val="auto"/>
          <w:sz w:val="24"/>
          <w:highlight w:val="none"/>
        </w:rPr>
      </w:pPr>
      <w:r>
        <w:rPr>
          <w:rFonts w:hint="eastAsia"/>
          <w:color w:val="auto"/>
          <w:sz w:val="24"/>
          <w:highlight w:val="none"/>
        </w:rPr>
        <w:t>与本项目有关的磋商文件澄清、答复、修改、补充的内容。</w:t>
      </w:r>
    </w:p>
    <w:p w14:paraId="27887D8D">
      <w:pPr>
        <w:pStyle w:val="47"/>
        <w:spacing w:before="0" w:line="360" w:lineRule="auto"/>
        <w:ind w:left="440" w:leftChars="200" w:firstLine="0"/>
        <w:jc w:val="both"/>
        <w:rPr>
          <w:b/>
          <w:color w:val="auto"/>
          <w:sz w:val="24"/>
          <w:highlight w:val="none"/>
        </w:rPr>
      </w:pPr>
      <w:r>
        <w:rPr>
          <w:rFonts w:hint="eastAsia"/>
          <w:b/>
          <w:color w:val="auto"/>
          <w:sz w:val="24"/>
          <w:highlight w:val="none"/>
        </w:rPr>
        <w:t>7.供应商的风险</w:t>
      </w:r>
    </w:p>
    <w:p w14:paraId="299E0085">
      <w:pPr>
        <w:pStyle w:val="11"/>
        <w:spacing w:line="360" w:lineRule="auto"/>
        <w:ind w:firstLine="480" w:firstLineChars="200"/>
        <w:jc w:val="both"/>
        <w:rPr>
          <w:color w:val="auto"/>
          <w:highlight w:val="none"/>
        </w:rPr>
      </w:pPr>
      <w:r>
        <w:rPr>
          <w:rFonts w:hint="eastAsia"/>
          <w:color w:val="auto"/>
          <w:highlight w:val="none"/>
        </w:rPr>
        <w:t>7.1 供应商应认真阅读磋商文件中的所有条款。供应商没有按照磋商文件的要求提供全部资料，或者供应商没有对磋商文件在各方面作出实质性响应是供应商的风险，并可能导致其磋商被拒绝。</w:t>
      </w:r>
    </w:p>
    <w:p w14:paraId="64D9DE44">
      <w:pPr>
        <w:spacing w:line="360" w:lineRule="auto"/>
        <w:ind w:firstLine="482" w:firstLineChars="200"/>
        <w:rPr>
          <w:b/>
          <w:color w:val="auto"/>
          <w:sz w:val="24"/>
          <w:highlight w:val="none"/>
          <w:lang w:val="en-US"/>
        </w:rPr>
      </w:pPr>
      <w:r>
        <w:rPr>
          <w:rFonts w:hint="eastAsia"/>
          <w:b/>
          <w:color w:val="auto"/>
          <w:sz w:val="24"/>
          <w:highlight w:val="none"/>
          <w:lang w:val="en-US"/>
        </w:rPr>
        <w:t>8.磋商文件的发布及澄清</w:t>
      </w:r>
    </w:p>
    <w:p w14:paraId="7DEC684A">
      <w:pPr>
        <w:pStyle w:val="47"/>
        <w:numPr>
          <w:ilvl w:val="1"/>
          <w:numId w:val="19"/>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磋商文件澄清、答复、修改、补充的内容为磋商文件的组成部分。</w:t>
      </w:r>
    </w:p>
    <w:p w14:paraId="423349B1">
      <w:pPr>
        <w:pStyle w:val="47"/>
        <w:numPr>
          <w:ilvl w:val="1"/>
          <w:numId w:val="19"/>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依法获取磋商文件的供应商应认真阅读磋商文件，如有疑问应于磋商文件规定的时间前向采购代理机构（传真）提出澄清申请。采购代理机构对已发出的磋商文件进行必要的澄清或者修改。澄清或者修改内容可能影响响应文件编制的，采购代理机构在磋商截止时间 5 日前,在 “浙江省政府采购网”和“丽水市公共资源交易网”</w:t>
      </w:r>
      <w:r>
        <w:rPr>
          <w:rFonts w:hint="eastAsia"/>
          <w:color w:val="auto"/>
          <w:sz w:val="24"/>
          <w:highlight w:val="none"/>
          <w:lang w:eastAsia="zh-CN"/>
        </w:rPr>
        <w:t>发布</w:t>
      </w:r>
      <w:r>
        <w:rPr>
          <w:rFonts w:hint="eastAsia"/>
          <w:color w:val="auto"/>
          <w:sz w:val="24"/>
          <w:highlight w:val="none"/>
        </w:rPr>
        <w:t>更正公告，并对其具有约束力。不足 5 日的，采购代理机构有权顺延提交响应文件的截止时间。</w:t>
      </w:r>
    </w:p>
    <w:p w14:paraId="5879CFAB">
      <w:pPr>
        <w:pStyle w:val="3"/>
        <w:tabs>
          <w:tab w:val="left" w:pos="1291"/>
        </w:tabs>
        <w:spacing w:before="0" w:line="360" w:lineRule="auto"/>
        <w:ind w:left="0"/>
        <w:jc w:val="left"/>
        <w:rPr>
          <w:color w:val="auto"/>
          <w:highlight w:val="none"/>
          <w:lang w:val="en-US"/>
        </w:rPr>
      </w:pPr>
      <w:bookmarkStart w:id="37" w:name="三___投标文件的编写"/>
      <w:bookmarkEnd w:id="37"/>
      <w:bookmarkStart w:id="38" w:name="_Toc29164"/>
      <w:r>
        <w:rPr>
          <w:rFonts w:hint="eastAsia"/>
          <w:color w:val="auto"/>
          <w:highlight w:val="none"/>
          <w:lang w:val="en-US"/>
        </w:rPr>
        <w:t>三  响应文件的编写</w:t>
      </w:r>
      <w:bookmarkEnd w:id="38"/>
    </w:p>
    <w:p w14:paraId="50822F12">
      <w:pPr>
        <w:spacing w:line="360" w:lineRule="auto"/>
        <w:ind w:firstLine="482" w:firstLineChars="200"/>
        <w:rPr>
          <w:b/>
          <w:color w:val="auto"/>
          <w:sz w:val="24"/>
          <w:highlight w:val="none"/>
          <w:lang w:val="en-US"/>
        </w:rPr>
      </w:pPr>
      <w:r>
        <w:rPr>
          <w:rFonts w:hint="eastAsia"/>
          <w:b/>
          <w:color w:val="auto"/>
          <w:sz w:val="24"/>
          <w:highlight w:val="none"/>
          <w:lang w:val="en-US"/>
        </w:rPr>
        <w:t>9.要求</w:t>
      </w:r>
    </w:p>
    <w:p w14:paraId="2E6DA04D">
      <w:pPr>
        <w:pStyle w:val="47"/>
        <w:tabs>
          <w:tab w:val="left" w:pos="880"/>
        </w:tabs>
        <w:spacing w:before="0" w:line="360" w:lineRule="auto"/>
        <w:ind w:left="0" w:firstLineChars="200"/>
        <w:rPr>
          <w:color w:val="auto"/>
          <w:sz w:val="24"/>
          <w:highlight w:val="none"/>
          <w:lang w:val="en-US"/>
        </w:rPr>
      </w:pPr>
      <w:r>
        <w:rPr>
          <w:rFonts w:hint="eastAsia"/>
          <w:color w:val="auto"/>
          <w:sz w:val="24"/>
          <w:highlight w:val="none"/>
          <w:lang w:val="en-US"/>
        </w:rPr>
        <w:t>9.1 供应商应仔细阅读磋商文件的所有内容，按照磋商文件的要求提交响应文件，并对所提供的全部资料的真实性承担法律责任。</w:t>
      </w:r>
    </w:p>
    <w:p w14:paraId="4F3684A2">
      <w:pPr>
        <w:pStyle w:val="47"/>
        <w:tabs>
          <w:tab w:val="left" w:pos="880"/>
        </w:tabs>
        <w:spacing w:before="0" w:line="360" w:lineRule="auto"/>
        <w:ind w:left="0" w:firstLineChars="200"/>
        <w:rPr>
          <w:color w:val="auto"/>
          <w:sz w:val="24"/>
          <w:highlight w:val="none"/>
        </w:rPr>
      </w:pPr>
      <w:r>
        <w:rPr>
          <w:rFonts w:hint="eastAsia"/>
          <w:color w:val="auto"/>
          <w:sz w:val="24"/>
          <w:highlight w:val="none"/>
          <w:lang w:val="en-US"/>
        </w:rPr>
        <w:t>9.2 响应文件、供应商与采购有关的往来通知、函件和文件均应使用中文。如涉及非中文内容的，供应商有义务将其内容翻译成中文，一切对非中文内容的误解，都将</w:t>
      </w:r>
      <w:r>
        <w:rPr>
          <w:rFonts w:hint="eastAsia"/>
          <w:color w:val="auto"/>
          <w:sz w:val="24"/>
          <w:highlight w:val="none"/>
        </w:rPr>
        <w:t>由供应商承担。</w:t>
      </w:r>
    </w:p>
    <w:p w14:paraId="308D8C23">
      <w:pPr>
        <w:pStyle w:val="47"/>
        <w:tabs>
          <w:tab w:val="left" w:pos="880"/>
        </w:tabs>
        <w:spacing w:before="0" w:line="360" w:lineRule="auto"/>
        <w:ind w:left="0" w:firstLine="482" w:firstLineChars="200"/>
        <w:rPr>
          <w:b/>
          <w:bCs/>
          <w:color w:val="auto"/>
          <w:sz w:val="24"/>
          <w:highlight w:val="none"/>
        </w:rPr>
      </w:pPr>
      <w:r>
        <w:rPr>
          <w:rFonts w:hint="eastAsia"/>
          <w:b/>
          <w:bCs/>
          <w:color w:val="auto"/>
          <w:sz w:val="24"/>
          <w:highlight w:val="none"/>
          <w:lang w:val="en-US"/>
        </w:rPr>
        <w:t xml:space="preserve">9.3 </w:t>
      </w:r>
      <w:r>
        <w:rPr>
          <w:rFonts w:hint="eastAsia"/>
          <w:b/>
          <w:bCs/>
          <w:color w:val="auto"/>
          <w:sz w:val="24"/>
          <w:highlight w:val="none"/>
        </w:rPr>
        <w:t>响应文件的形式和效力</w:t>
      </w:r>
    </w:p>
    <w:p w14:paraId="70511547">
      <w:pPr>
        <w:pStyle w:val="47"/>
        <w:tabs>
          <w:tab w:val="left" w:pos="880"/>
        </w:tabs>
        <w:spacing w:before="0" w:line="360" w:lineRule="auto"/>
        <w:ind w:left="0" w:firstLine="482" w:firstLineChars="200"/>
        <w:rPr>
          <w:b/>
          <w:bCs/>
          <w:color w:val="auto"/>
          <w:sz w:val="24"/>
          <w:highlight w:val="none"/>
        </w:rPr>
      </w:pPr>
      <w:r>
        <w:rPr>
          <w:rFonts w:hint="eastAsia"/>
          <w:b/>
          <w:bCs/>
          <w:color w:val="auto"/>
          <w:sz w:val="24"/>
          <w:highlight w:val="none"/>
          <w:lang w:val="en-US"/>
        </w:rPr>
        <w:t xml:space="preserve">9.3.1 </w:t>
      </w:r>
      <w:r>
        <w:rPr>
          <w:rFonts w:hint="eastAsia"/>
          <w:b/>
          <w:bCs/>
          <w:color w:val="auto"/>
          <w:sz w:val="24"/>
          <w:highlight w:val="none"/>
        </w:rPr>
        <w:t>响应文件的形式：响应文件分为电子响应文件、备份响应文件。</w:t>
      </w:r>
    </w:p>
    <w:p w14:paraId="5205793F">
      <w:pPr>
        <w:pStyle w:val="47"/>
        <w:tabs>
          <w:tab w:val="left" w:pos="880"/>
        </w:tabs>
        <w:spacing w:before="0" w:line="360" w:lineRule="auto"/>
        <w:ind w:left="0" w:firstLine="482" w:firstLineChars="200"/>
        <w:rPr>
          <w:b/>
          <w:bCs/>
          <w:color w:val="auto"/>
          <w:sz w:val="24"/>
          <w:highlight w:val="none"/>
        </w:rPr>
      </w:pPr>
      <w:r>
        <w:rPr>
          <w:rFonts w:hint="eastAsia"/>
          <w:b/>
          <w:bCs/>
          <w:color w:val="auto"/>
          <w:sz w:val="24"/>
          <w:highlight w:val="none"/>
          <w:lang w:val="en-US"/>
        </w:rPr>
        <w:t xml:space="preserve">9.3.2 </w:t>
      </w:r>
      <w:r>
        <w:rPr>
          <w:rFonts w:hint="eastAsia"/>
          <w:b/>
          <w:bCs/>
          <w:color w:val="auto"/>
          <w:sz w:val="24"/>
          <w:highlight w:val="none"/>
        </w:rPr>
        <w:t>响应文件的效力</w:t>
      </w:r>
    </w:p>
    <w:p w14:paraId="0AC47271">
      <w:pPr>
        <w:pStyle w:val="11"/>
        <w:spacing w:line="360" w:lineRule="auto"/>
        <w:ind w:firstLine="480" w:firstLineChars="200"/>
        <w:rPr>
          <w:color w:val="auto"/>
          <w:highlight w:val="none"/>
        </w:rPr>
      </w:pPr>
      <w:r>
        <w:rPr>
          <w:rFonts w:hint="eastAsia"/>
          <w:color w:val="auto"/>
          <w:highlight w:val="none"/>
        </w:rPr>
        <w:t>响应文件的启用，按先后顺位分别为电子响应文件、备份响应文件。</w:t>
      </w:r>
    </w:p>
    <w:p w14:paraId="3339165A">
      <w:pPr>
        <w:pStyle w:val="11"/>
        <w:spacing w:line="360" w:lineRule="auto"/>
        <w:ind w:firstLine="480" w:firstLineChars="200"/>
        <w:rPr>
          <w:color w:val="auto"/>
          <w:highlight w:val="none"/>
        </w:rPr>
      </w:pPr>
      <w:r>
        <w:rPr>
          <w:rFonts w:hint="eastAsia"/>
          <w:color w:val="auto"/>
          <w:highlight w:val="none"/>
        </w:rPr>
        <w:t>电子响应文件未按时解密，供应商已在规定时间内按规定方式提交了备份响应文件，且经代理机构工作人员通知后提供备份响应文件密码的，以备份响应文件为依据， 否则视为响应文件撤回；电子响应文件已按时解密的，备份响应文件自动失效。</w:t>
      </w:r>
    </w:p>
    <w:p w14:paraId="11F262C1">
      <w:pPr>
        <w:spacing w:line="360" w:lineRule="auto"/>
        <w:ind w:firstLine="482" w:firstLineChars="200"/>
        <w:rPr>
          <w:b/>
          <w:color w:val="auto"/>
          <w:sz w:val="24"/>
          <w:highlight w:val="none"/>
          <w:lang w:val="en-US"/>
        </w:rPr>
      </w:pPr>
      <w:r>
        <w:rPr>
          <w:rFonts w:hint="eastAsia"/>
          <w:b/>
          <w:color w:val="auto"/>
          <w:sz w:val="24"/>
          <w:highlight w:val="none"/>
          <w:lang w:val="en-US"/>
        </w:rPr>
        <w:t>10.响应文件的组成</w:t>
      </w:r>
    </w:p>
    <w:p w14:paraId="67BA78E7">
      <w:pPr>
        <w:pStyle w:val="11"/>
        <w:spacing w:line="360" w:lineRule="auto"/>
        <w:ind w:firstLine="480" w:firstLineChars="200"/>
        <w:rPr>
          <w:color w:val="auto"/>
          <w:highlight w:val="none"/>
        </w:rPr>
      </w:pPr>
      <w:r>
        <w:rPr>
          <w:rFonts w:hint="eastAsia"/>
          <w:color w:val="auto"/>
          <w:highlight w:val="none"/>
          <w:lang w:val="en-US"/>
        </w:rPr>
        <w:t xml:space="preserve">10.1 </w:t>
      </w:r>
      <w:r>
        <w:rPr>
          <w:rFonts w:hint="eastAsia"/>
          <w:color w:val="auto"/>
          <w:highlight w:val="none"/>
        </w:rPr>
        <w:t>响应文件应分为资格审查文件、资信商务及技术文件、报价文件三部分。资格审查文件、资信商务及技术文件如有报价的内容, 其响应文件无效。报价文件如有资信商务及技术内容, 其资信商务及技术内容评标时将作为无效内容。</w:t>
      </w:r>
    </w:p>
    <w:p w14:paraId="62F7297F">
      <w:pPr>
        <w:spacing w:line="360" w:lineRule="auto"/>
        <w:ind w:firstLine="482" w:firstLineChars="200"/>
        <w:rPr>
          <w:b/>
          <w:color w:val="auto"/>
          <w:sz w:val="24"/>
          <w:highlight w:val="none"/>
          <w:lang w:val="en-US"/>
        </w:rPr>
      </w:pPr>
      <w:r>
        <w:rPr>
          <w:rFonts w:hint="eastAsia"/>
          <w:b/>
          <w:color w:val="auto"/>
          <w:sz w:val="24"/>
          <w:highlight w:val="none"/>
          <w:lang w:val="en-US"/>
        </w:rPr>
        <w:t>11. 响应文件编制内容和要求</w:t>
      </w:r>
    </w:p>
    <w:p w14:paraId="61874EAD">
      <w:pPr>
        <w:pStyle w:val="47"/>
        <w:tabs>
          <w:tab w:val="left" w:pos="1625"/>
        </w:tabs>
        <w:spacing w:before="0" w:line="360" w:lineRule="auto"/>
        <w:ind w:left="0" w:firstLine="482" w:firstLineChars="200"/>
        <w:jc w:val="both"/>
        <w:rPr>
          <w:color w:val="auto"/>
          <w:sz w:val="24"/>
          <w:highlight w:val="none"/>
        </w:rPr>
      </w:pPr>
      <w:r>
        <w:rPr>
          <w:rFonts w:hint="eastAsia"/>
          <w:b/>
          <w:color w:val="auto"/>
          <w:sz w:val="24"/>
          <w:highlight w:val="none"/>
          <w:lang w:val="en-US"/>
        </w:rPr>
        <w:t xml:space="preserve">11.1 </w:t>
      </w:r>
      <w:r>
        <w:rPr>
          <w:rFonts w:hint="eastAsia"/>
          <w:b/>
          <w:color w:val="auto"/>
          <w:sz w:val="24"/>
          <w:highlight w:val="none"/>
        </w:rPr>
        <w:t>资格审查文件编制内容和要求：</w:t>
      </w:r>
      <w:r>
        <w:rPr>
          <w:rFonts w:hint="eastAsia"/>
          <w:color w:val="auto"/>
          <w:sz w:val="24"/>
          <w:highlight w:val="none"/>
        </w:rPr>
        <w:t>格式见第五章资格审查文件格式</w:t>
      </w:r>
    </w:p>
    <w:p w14:paraId="2827590D">
      <w:pPr>
        <w:pStyle w:val="11"/>
        <w:spacing w:line="360" w:lineRule="auto"/>
        <w:ind w:firstLine="480" w:firstLineChars="200"/>
        <w:rPr>
          <w:color w:val="auto"/>
          <w:highlight w:val="none"/>
        </w:rPr>
      </w:pPr>
      <w:r>
        <w:rPr>
          <w:rFonts w:hint="eastAsia"/>
          <w:color w:val="auto"/>
          <w:highlight w:val="none"/>
        </w:rPr>
        <w:t>▲11.1.1 公司有效营业执照扫描件；</w:t>
      </w:r>
    </w:p>
    <w:p w14:paraId="55707971">
      <w:pPr>
        <w:pStyle w:val="11"/>
        <w:spacing w:line="360" w:lineRule="auto"/>
        <w:ind w:firstLine="480" w:firstLineChars="200"/>
        <w:rPr>
          <w:color w:val="auto"/>
          <w:highlight w:val="none"/>
        </w:rPr>
      </w:pPr>
      <w:r>
        <w:rPr>
          <w:rFonts w:hint="eastAsia"/>
          <w:color w:val="auto"/>
          <w:highlight w:val="none"/>
        </w:rPr>
        <w:t>▲11.1.2 负责人身份证扫描件（委托代理人参加磋商的，提供负责人身份证扫描件，同时提供授权委托书及委托代理人身份证扫描件）；</w:t>
      </w:r>
    </w:p>
    <w:p w14:paraId="6A776C0E">
      <w:pPr>
        <w:pStyle w:val="11"/>
        <w:spacing w:line="360" w:lineRule="auto"/>
        <w:ind w:firstLine="480" w:firstLineChars="200"/>
        <w:rPr>
          <w:color w:val="auto"/>
          <w:highlight w:val="none"/>
        </w:rPr>
      </w:pPr>
      <w:r>
        <w:rPr>
          <w:rFonts w:hint="eastAsia"/>
          <w:color w:val="auto"/>
          <w:highlight w:val="none"/>
        </w:rPr>
        <w:t>▲11.1.3 政府采购资格承诺函，见资格审查文件格式；</w:t>
      </w:r>
    </w:p>
    <w:p w14:paraId="0BF4AB52">
      <w:pPr>
        <w:pStyle w:val="11"/>
        <w:spacing w:line="360" w:lineRule="auto"/>
        <w:ind w:firstLine="480" w:firstLineChars="200"/>
        <w:rPr>
          <w:color w:val="auto"/>
          <w:highlight w:val="none"/>
        </w:rPr>
      </w:pPr>
      <w:r>
        <w:rPr>
          <w:rFonts w:hint="eastAsia"/>
          <w:color w:val="auto"/>
          <w:highlight w:val="none"/>
        </w:rPr>
        <w:t>▲11.1.4 资格声明；</w:t>
      </w:r>
    </w:p>
    <w:p w14:paraId="3C153A51">
      <w:pPr>
        <w:pStyle w:val="11"/>
        <w:spacing w:line="360" w:lineRule="auto"/>
        <w:ind w:firstLine="480" w:firstLineChars="200"/>
        <w:rPr>
          <w:color w:val="auto"/>
          <w:highlight w:val="none"/>
        </w:rPr>
      </w:pPr>
      <w:r>
        <w:rPr>
          <w:rFonts w:hint="eastAsia"/>
          <w:color w:val="auto"/>
          <w:highlight w:val="none"/>
        </w:rPr>
        <w:t xml:space="preserve">▲11.1.5 </w:t>
      </w:r>
      <w:r>
        <w:rPr>
          <w:rFonts w:hint="eastAsia"/>
          <w:color w:val="auto"/>
          <w:highlight w:val="none"/>
          <w:lang w:val="en-US"/>
        </w:rPr>
        <w:t>中小企业声明函。</w:t>
      </w:r>
    </w:p>
    <w:p w14:paraId="6B268930">
      <w:pPr>
        <w:pStyle w:val="47"/>
        <w:tabs>
          <w:tab w:val="left" w:pos="1560"/>
        </w:tabs>
        <w:spacing w:before="0" w:line="360" w:lineRule="auto"/>
        <w:ind w:left="0" w:firstLine="482" w:firstLineChars="200"/>
        <w:rPr>
          <w:b/>
          <w:bCs/>
          <w:color w:val="auto"/>
          <w:sz w:val="24"/>
          <w:highlight w:val="none"/>
          <w:lang w:val="en-US"/>
        </w:rPr>
      </w:pPr>
      <w:r>
        <w:rPr>
          <w:rFonts w:hint="eastAsia"/>
          <w:b/>
          <w:bCs/>
          <w:color w:val="auto"/>
          <w:sz w:val="24"/>
          <w:highlight w:val="none"/>
          <w:lang w:val="en-US"/>
        </w:rPr>
        <w:t>注：资格审查不通过的，不进入下一阶段评标。</w:t>
      </w:r>
    </w:p>
    <w:p w14:paraId="00E95BA8">
      <w:pPr>
        <w:pStyle w:val="47"/>
        <w:tabs>
          <w:tab w:val="left" w:pos="1560"/>
        </w:tabs>
        <w:spacing w:before="0" w:line="360" w:lineRule="auto"/>
        <w:ind w:left="0" w:firstLine="482" w:firstLineChars="200"/>
        <w:rPr>
          <w:b/>
          <w:bCs/>
          <w:color w:val="auto"/>
          <w:sz w:val="24"/>
          <w:highlight w:val="none"/>
        </w:rPr>
      </w:pPr>
      <w:r>
        <w:rPr>
          <w:rFonts w:hint="eastAsia"/>
          <w:b/>
          <w:bCs/>
          <w:color w:val="auto"/>
          <w:sz w:val="24"/>
          <w:highlight w:val="none"/>
          <w:lang w:val="en-US"/>
        </w:rPr>
        <w:t xml:space="preserve">11.2 </w:t>
      </w:r>
      <w:r>
        <w:rPr>
          <w:rFonts w:hint="eastAsia"/>
          <w:b/>
          <w:bCs/>
          <w:color w:val="auto"/>
          <w:sz w:val="24"/>
          <w:highlight w:val="none"/>
        </w:rPr>
        <w:t>资信商务及技术文件编制内容和要求：</w:t>
      </w:r>
    </w:p>
    <w:p w14:paraId="26BDF18E">
      <w:pPr>
        <w:pStyle w:val="47"/>
        <w:tabs>
          <w:tab w:val="left" w:pos="1800"/>
        </w:tabs>
        <w:spacing w:before="0" w:line="360" w:lineRule="auto"/>
        <w:ind w:left="0" w:firstLineChars="200"/>
        <w:rPr>
          <w:color w:val="auto"/>
          <w:sz w:val="24"/>
          <w:highlight w:val="none"/>
        </w:rPr>
      </w:pPr>
      <w:r>
        <w:rPr>
          <w:rFonts w:hint="eastAsia"/>
          <w:color w:val="auto"/>
          <w:sz w:val="24"/>
          <w:highlight w:val="none"/>
          <w:lang w:val="en-US"/>
        </w:rPr>
        <w:t>11.2.1</w:t>
      </w:r>
      <w:r>
        <w:rPr>
          <w:rFonts w:hint="eastAsia"/>
          <w:color w:val="auto"/>
          <w:sz w:val="24"/>
          <w:highlight w:val="none"/>
        </w:rPr>
        <w:t>按磋商文件第五章磋商相关文件格式所列的内容、格式的要求,及供应商认为有必要提供的其它文件；</w:t>
      </w:r>
    </w:p>
    <w:p w14:paraId="3C87A862">
      <w:pPr>
        <w:pStyle w:val="47"/>
        <w:tabs>
          <w:tab w:val="left" w:pos="1800"/>
        </w:tabs>
        <w:spacing w:before="0" w:line="360" w:lineRule="auto"/>
        <w:ind w:left="0" w:firstLineChars="200"/>
        <w:rPr>
          <w:color w:val="auto"/>
          <w:sz w:val="24"/>
          <w:highlight w:val="none"/>
        </w:rPr>
      </w:pPr>
      <w:r>
        <w:rPr>
          <w:rFonts w:hint="eastAsia"/>
          <w:color w:val="auto"/>
          <w:sz w:val="24"/>
          <w:highlight w:val="none"/>
          <w:lang w:val="en-US"/>
        </w:rPr>
        <w:t xml:space="preserve">11.2.2 </w:t>
      </w:r>
      <w:r>
        <w:rPr>
          <w:rFonts w:hint="eastAsia"/>
          <w:color w:val="auto"/>
          <w:sz w:val="24"/>
          <w:highlight w:val="none"/>
        </w:rPr>
        <w:t>供应商需对照磋商文件第</w:t>
      </w:r>
      <w:r>
        <w:rPr>
          <w:rFonts w:hint="eastAsia"/>
          <w:color w:val="auto"/>
          <w:sz w:val="24"/>
          <w:highlight w:val="none"/>
          <w:lang w:val="en-US"/>
        </w:rPr>
        <w:t>二</w:t>
      </w:r>
      <w:r>
        <w:rPr>
          <w:rFonts w:hint="eastAsia"/>
          <w:color w:val="auto"/>
          <w:sz w:val="24"/>
          <w:highlight w:val="none"/>
        </w:rPr>
        <w:t>章招标要求所列的内容；</w:t>
      </w:r>
    </w:p>
    <w:p w14:paraId="63AA8C07">
      <w:pPr>
        <w:pStyle w:val="47"/>
        <w:tabs>
          <w:tab w:val="left" w:pos="1800"/>
        </w:tabs>
        <w:spacing w:before="0" w:line="360" w:lineRule="auto"/>
        <w:ind w:left="0" w:firstLineChars="200"/>
        <w:rPr>
          <w:color w:val="auto"/>
          <w:sz w:val="24"/>
          <w:highlight w:val="none"/>
        </w:rPr>
      </w:pPr>
      <w:r>
        <w:rPr>
          <w:rFonts w:hint="eastAsia"/>
          <w:color w:val="auto"/>
          <w:sz w:val="24"/>
          <w:highlight w:val="none"/>
          <w:lang w:val="en-US"/>
        </w:rPr>
        <w:t xml:space="preserve">11.2.3 </w:t>
      </w:r>
      <w:r>
        <w:rPr>
          <w:rFonts w:hint="eastAsia"/>
          <w:color w:val="auto"/>
          <w:sz w:val="24"/>
          <w:highlight w:val="none"/>
        </w:rPr>
        <w:t>资格证明文件及其他相关资料；</w:t>
      </w:r>
    </w:p>
    <w:p w14:paraId="4A776705">
      <w:pPr>
        <w:pStyle w:val="47"/>
        <w:tabs>
          <w:tab w:val="left" w:pos="1800"/>
        </w:tabs>
        <w:spacing w:before="0" w:line="360" w:lineRule="auto"/>
        <w:ind w:left="0" w:firstLineChars="200"/>
        <w:jc w:val="both"/>
        <w:rPr>
          <w:color w:val="auto"/>
          <w:sz w:val="24"/>
          <w:highlight w:val="none"/>
        </w:rPr>
      </w:pPr>
      <w:r>
        <w:rPr>
          <w:rFonts w:hint="eastAsia"/>
          <w:color w:val="auto"/>
          <w:sz w:val="24"/>
          <w:highlight w:val="none"/>
          <w:lang w:val="en-US"/>
        </w:rPr>
        <w:t xml:space="preserve">11.2.4 </w:t>
      </w:r>
      <w:r>
        <w:rPr>
          <w:rFonts w:hint="eastAsia"/>
          <w:color w:val="auto"/>
          <w:sz w:val="24"/>
          <w:highlight w:val="none"/>
        </w:rPr>
        <w:t>供应商认为有必要提交的其他资料文件；</w:t>
      </w:r>
    </w:p>
    <w:p w14:paraId="1ECF5EAD">
      <w:pPr>
        <w:pStyle w:val="47"/>
        <w:tabs>
          <w:tab w:val="left" w:pos="1560"/>
        </w:tabs>
        <w:spacing w:before="0" w:line="360" w:lineRule="auto"/>
        <w:ind w:left="0" w:firstLine="482" w:firstLineChars="200"/>
        <w:jc w:val="both"/>
        <w:rPr>
          <w:b/>
          <w:bCs/>
          <w:color w:val="auto"/>
          <w:sz w:val="24"/>
          <w:highlight w:val="none"/>
        </w:rPr>
      </w:pPr>
      <w:r>
        <w:rPr>
          <w:rFonts w:hint="eastAsia"/>
          <w:b/>
          <w:bCs/>
          <w:color w:val="auto"/>
          <w:sz w:val="24"/>
          <w:highlight w:val="none"/>
          <w:lang w:val="en-US"/>
        </w:rPr>
        <w:t xml:space="preserve">11.3 </w:t>
      </w:r>
      <w:r>
        <w:rPr>
          <w:rFonts w:hint="eastAsia"/>
          <w:b/>
          <w:bCs/>
          <w:color w:val="auto"/>
          <w:sz w:val="24"/>
          <w:highlight w:val="none"/>
        </w:rPr>
        <w:t>报价文件内容: 见第五章格式。</w:t>
      </w:r>
    </w:p>
    <w:p w14:paraId="4C8D85EC">
      <w:pPr>
        <w:pStyle w:val="47"/>
        <w:tabs>
          <w:tab w:val="left" w:pos="1800"/>
        </w:tabs>
        <w:spacing w:before="0" w:line="360" w:lineRule="auto"/>
        <w:ind w:left="0" w:firstLineChars="200"/>
        <w:jc w:val="both"/>
        <w:rPr>
          <w:color w:val="auto"/>
          <w:sz w:val="24"/>
          <w:highlight w:val="none"/>
        </w:rPr>
      </w:pPr>
      <w:r>
        <w:rPr>
          <w:rFonts w:hint="eastAsia"/>
          <w:color w:val="auto"/>
          <w:sz w:val="24"/>
          <w:highlight w:val="none"/>
          <w:lang w:val="en-US"/>
        </w:rPr>
        <w:t>11.3.1</w:t>
      </w:r>
      <w:r>
        <w:rPr>
          <w:rFonts w:hint="eastAsia"/>
          <w:color w:val="auto"/>
          <w:sz w:val="24"/>
          <w:highlight w:val="none"/>
        </w:rPr>
        <w:t>磋商报价要求</w:t>
      </w:r>
    </w:p>
    <w:p w14:paraId="57DE0CAE">
      <w:pPr>
        <w:pStyle w:val="11"/>
        <w:spacing w:line="360" w:lineRule="auto"/>
        <w:ind w:firstLine="482" w:firstLineChars="200"/>
        <w:rPr>
          <w:b/>
          <w:bCs/>
          <w:color w:val="auto"/>
          <w:highlight w:val="none"/>
          <w:lang w:val="en-US"/>
        </w:rPr>
      </w:pPr>
      <w:r>
        <w:rPr>
          <w:rFonts w:hint="eastAsia"/>
          <w:b/>
          <w:bCs/>
          <w:color w:val="auto"/>
          <w:highlight w:val="none"/>
          <w:lang w:val="en-US"/>
        </w:rPr>
        <w:t>▲供应商应在磋商文件所附的磋商价格表上写明磋商报价。供应商只允许有一个  报价,采购人不接受有任何选择的报价，磋商报价高于最高限价的作响应文件无效处  理。</w:t>
      </w:r>
    </w:p>
    <w:p w14:paraId="03B3ED5A">
      <w:pPr>
        <w:numPr>
          <w:ilvl w:val="0"/>
          <w:numId w:val="20"/>
        </w:numPr>
        <w:spacing w:line="360" w:lineRule="auto"/>
        <w:ind w:firstLine="482" w:firstLineChars="200"/>
        <w:rPr>
          <w:b/>
          <w:color w:val="auto"/>
          <w:sz w:val="24"/>
          <w:highlight w:val="none"/>
          <w:lang w:val="en-US"/>
        </w:rPr>
      </w:pPr>
      <w:r>
        <w:rPr>
          <w:rFonts w:hint="eastAsia"/>
          <w:b/>
          <w:color w:val="auto"/>
          <w:sz w:val="24"/>
          <w:highlight w:val="none"/>
          <w:lang w:val="en-US"/>
        </w:rPr>
        <w:t>排版</w:t>
      </w:r>
    </w:p>
    <w:p w14:paraId="3E3D64D6">
      <w:pPr>
        <w:pStyle w:val="11"/>
        <w:spacing w:line="360" w:lineRule="auto"/>
        <w:ind w:firstLine="480" w:firstLineChars="200"/>
        <w:rPr>
          <w:color w:val="auto"/>
          <w:highlight w:val="none"/>
          <w:lang w:val="en-US"/>
        </w:rPr>
      </w:pPr>
      <w:r>
        <w:rPr>
          <w:rFonts w:hint="eastAsia"/>
          <w:color w:val="auto"/>
          <w:highlight w:val="none"/>
          <w:lang w:val="en-US"/>
        </w:rPr>
        <w:t>12.1 供应商应当按照响应文件各部分的组成内容的相关顺序进行排版。</w:t>
      </w:r>
    </w:p>
    <w:p w14:paraId="73C4AE06">
      <w:pPr>
        <w:numPr>
          <w:ilvl w:val="0"/>
          <w:numId w:val="20"/>
        </w:numPr>
        <w:spacing w:line="360" w:lineRule="auto"/>
        <w:ind w:firstLine="482" w:firstLineChars="200"/>
        <w:rPr>
          <w:b/>
          <w:color w:val="auto"/>
          <w:sz w:val="24"/>
          <w:highlight w:val="none"/>
          <w:lang w:val="en-US"/>
        </w:rPr>
      </w:pPr>
      <w:r>
        <w:rPr>
          <w:rFonts w:hint="eastAsia"/>
          <w:b/>
          <w:color w:val="auto"/>
          <w:sz w:val="24"/>
          <w:highlight w:val="none"/>
          <w:lang w:val="en-US"/>
        </w:rPr>
        <w:t>磋商有效期</w:t>
      </w:r>
    </w:p>
    <w:p w14:paraId="37E580DC">
      <w:pPr>
        <w:spacing w:line="360" w:lineRule="auto"/>
        <w:ind w:firstLine="480" w:firstLineChars="200"/>
        <w:rPr>
          <w:color w:val="auto"/>
          <w:sz w:val="24"/>
          <w:highlight w:val="none"/>
        </w:rPr>
      </w:pPr>
      <w:r>
        <w:rPr>
          <w:rFonts w:hint="eastAsia"/>
          <w:color w:val="auto"/>
          <w:sz w:val="24"/>
          <w:highlight w:val="none"/>
        </w:rPr>
        <w:t>▲13.1 提交响应文件的截止之日起 90 天内有效。</w:t>
      </w:r>
    </w:p>
    <w:p w14:paraId="5224D7E2">
      <w:pPr>
        <w:numPr>
          <w:ilvl w:val="0"/>
          <w:numId w:val="20"/>
        </w:numPr>
        <w:spacing w:line="360" w:lineRule="auto"/>
        <w:ind w:firstLine="482" w:firstLineChars="200"/>
        <w:rPr>
          <w:b/>
          <w:color w:val="auto"/>
          <w:sz w:val="24"/>
          <w:highlight w:val="none"/>
        </w:rPr>
      </w:pPr>
      <w:r>
        <w:rPr>
          <w:rFonts w:hint="eastAsia"/>
          <w:b/>
          <w:color w:val="auto"/>
          <w:sz w:val="24"/>
          <w:highlight w:val="none"/>
        </w:rPr>
        <w:t>响应文件的签署及规定</w:t>
      </w:r>
    </w:p>
    <w:p w14:paraId="4A8C2C69">
      <w:pPr>
        <w:pStyle w:val="47"/>
        <w:tabs>
          <w:tab w:val="left" w:pos="1563"/>
        </w:tabs>
        <w:spacing w:before="0" w:line="360" w:lineRule="auto"/>
        <w:ind w:left="0" w:firstLineChars="200"/>
        <w:rPr>
          <w:color w:val="auto"/>
          <w:sz w:val="24"/>
          <w:highlight w:val="none"/>
        </w:rPr>
      </w:pPr>
      <w:r>
        <w:rPr>
          <w:rFonts w:hint="eastAsia"/>
          <w:color w:val="auto"/>
          <w:sz w:val="24"/>
          <w:highlight w:val="none"/>
          <w:lang w:val="en-US"/>
        </w:rPr>
        <w:t xml:space="preserve">14.1 </w:t>
      </w:r>
      <w:r>
        <w:rPr>
          <w:rFonts w:hint="eastAsia"/>
          <w:color w:val="auto"/>
          <w:sz w:val="24"/>
          <w:highlight w:val="none"/>
        </w:rPr>
        <w:t>供应商应按磋商文件规定的内容和要求编制响应文件，响应文件须清楚的标明“资格审查文件”、“资信商务及技术文件”、“报价文件”。</w:t>
      </w:r>
    </w:p>
    <w:p w14:paraId="27D2C7DE">
      <w:pPr>
        <w:pStyle w:val="47"/>
        <w:tabs>
          <w:tab w:val="left" w:pos="1560"/>
        </w:tabs>
        <w:spacing w:before="0" w:line="360" w:lineRule="auto"/>
        <w:ind w:left="0" w:firstLineChars="200"/>
        <w:rPr>
          <w:color w:val="auto"/>
          <w:sz w:val="24"/>
          <w:highlight w:val="none"/>
        </w:rPr>
      </w:pPr>
      <w:r>
        <w:rPr>
          <w:rFonts w:hint="eastAsia"/>
          <w:color w:val="auto"/>
          <w:sz w:val="24"/>
          <w:highlight w:val="none"/>
          <w:lang w:val="en-US"/>
        </w:rPr>
        <w:t xml:space="preserve">14.2 </w:t>
      </w:r>
      <w:r>
        <w:rPr>
          <w:rFonts w:hint="eastAsia"/>
          <w:color w:val="auto"/>
          <w:sz w:val="24"/>
          <w:highlight w:val="none"/>
        </w:rPr>
        <w:t xml:space="preserve">电子响应文件及备份响应文件中须加盖公章部分均采用 </w:t>
      </w:r>
      <w:r>
        <w:rPr>
          <w:rFonts w:hint="eastAsia"/>
          <w:b/>
          <w:color w:val="auto"/>
          <w:sz w:val="24"/>
          <w:highlight w:val="none"/>
        </w:rPr>
        <w:t>CA</w:t>
      </w:r>
      <w:r>
        <w:rPr>
          <w:rFonts w:hint="eastAsia"/>
          <w:color w:val="auto"/>
          <w:sz w:val="24"/>
          <w:highlight w:val="none"/>
        </w:rPr>
        <w:t>签章（响应文件格式有特殊要求的除外）。</w:t>
      </w:r>
    </w:p>
    <w:p w14:paraId="077F37E4">
      <w:pPr>
        <w:pStyle w:val="47"/>
        <w:tabs>
          <w:tab w:val="left" w:pos="1560"/>
        </w:tabs>
        <w:spacing w:before="0" w:line="360" w:lineRule="auto"/>
        <w:ind w:left="0" w:firstLineChars="200"/>
        <w:rPr>
          <w:color w:val="auto"/>
          <w:sz w:val="34"/>
          <w:highlight w:val="none"/>
        </w:rPr>
      </w:pPr>
      <w:r>
        <w:rPr>
          <w:rFonts w:hint="eastAsia"/>
          <w:color w:val="auto"/>
          <w:sz w:val="24"/>
          <w:highlight w:val="none"/>
          <w:lang w:val="en-US"/>
        </w:rPr>
        <w:t xml:space="preserve">14.3 </w:t>
      </w:r>
      <w:r>
        <w:rPr>
          <w:rFonts w:hint="eastAsia"/>
          <w:color w:val="auto"/>
          <w:sz w:val="24"/>
          <w:highlight w:val="none"/>
        </w:rPr>
        <w:t>电报、电话、传真形式的磋商概不接受。</w:t>
      </w:r>
    </w:p>
    <w:p w14:paraId="08400BB5">
      <w:pPr>
        <w:pStyle w:val="3"/>
        <w:tabs>
          <w:tab w:val="left" w:pos="1291"/>
        </w:tabs>
        <w:spacing w:before="0" w:line="360" w:lineRule="auto"/>
        <w:ind w:left="0"/>
        <w:jc w:val="left"/>
        <w:rPr>
          <w:color w:val="auto"/>
          <w:highlight w:val="none"/>
          <w:lang w:val="en-US"/>
        </w:rPr>
      </w:pPr>
      <w:bookmarkStart w:id="39" w:name="四___履约保证金"/>
      <w:bookmarkEnd w:id="39"/>
      <w:bookmarkStart w:id="40" w:name="_Toc17408"/>
      <w:r>
        <w:rPr>
          <w:rFonts w:hint="eastAsia"/>
          <w:color w:val="auto"/>
          <w:highlight w:val="none"/>
          <w:lang w:val="en-US"/>
        </w:rPr>
        <w:t>四  履约保证金</w:t>
      </w:r>
      <w:bookmarkEnd w:id="40"/>
    </w:p>
    <w:p w14:paraId="18F96E3A">
      <w:pPr>
        <w:pStyle w:val="47"/>
        <w:tabs>
          <w:tab w:val="left" w:pos="1560"/>
        </w:tabs>
        <w:spacing w:before="0" w:line="360" w:lineRule="auto"/>
        <w:ind w:left="0" w:firstLineChars="200"/>
        <w:rPr>
          <w:color w:val="auto"/>
          <w:sz w:val="24"/>
          <w:highlight w:val="none"/>
          <w:lang w:val="en-US"/>
        </w:rPr>
      </w:pPr>
      <w:bookmarkStart w:id="41" w:name="五___投标文件的加密、提交、修改和撤回"/>
      <w:bookmarkEnd w:id="41"/>
      <w:r>
        <w:rPr>
          <w:rFonts w:hint="eastAsia"/>
          <w:color w:val="auto"/>
          <w:sz w:val="24"/>
          <w:highlight w:val="none"/>
          <w:lang w:val="en-US"/>
        </w:rPr>
        <w:t>15.1 履约保证金：见投标人须知前附表。</w:t>
      </w:r>
    </w:p>
    <w:p w14:paraId="28E27AAC">
      <w:pPr>
        <w:pStyle w:val="3"/>
        <w:tabs>
          <w:tab w:val="left" w:pos="1291"/>
        </w:tabs>
        <w:spacing w:before="0" w:line="360" w:lineRule="auto"/>
        <w:ind w:left="0"/>
        <w:jc w:val="left"/>
        <w:rPr>
          <w:color w:val="auto"/>
          <w:highlight w:val="none"/>
          <w:lang w:val="en-US"/>
        </w:rPr>
      </w:pPr>
      <w:bookmarkStart w:id="42" w:name="_Toc16843"/>
      <w:r>
        <w:rPr>
          <w:rFonts w:hint="eastAsia"/>
          <w:color w:val="auto"/>
          <w:highlight w:val="none"/>
          <w:lang w:val="en-US"/>
        </w:rPr>
        <w:t>五  响应文件的加密、提交、修改和撤回</w:t>
      </w:r>
      <w:bookmarkEnd w:id="42"/>
    </w:p>
    <w:p w14:paraId="1D2509F1">
      <w:pPr>
        <w:pStyle w:val="11"/>
        <w:numPr>
          <w:ilvl w:val="0"/>
          <w:numId w:val="21"/>
        </w:numPr>
        <w:spacing w:line="360" w:lineRule="auto"/>
        <w:ind w:firstLine="482" w:firstLineChars="200"/>
        <w:rPr>
          <w:b/>
          <w:bCs/>
          <w:color w:val="auto"/>
          <w:highlight w:val="none"/>
          <w:lang w:val="en-US"/>
        </w:rPr>
      </w:pPr>
      <w:r>
        <w:rPr>
          <w:rFonts w:hint="eastAsia"/>
          <w:b/>
          <w:bCs/>
          <w:color w:val="auto"/>
          <w:highlight w:val="none"/>
          <w:lang w:val="en-US"/>
        </w:rPr>
        <w:t>响应文件的导入和加密</w:t>
      </w:r>
    </w:p>
    <w:p w14:paraId="5D4AC862">
      <w:pPr>
        <w:pStyle w:val="47"/>
        <w:numPr>
          <w:ilvl w:val="1"/>
          <w:numId w:val="21"/>
        </w:numPr>
        <w:tabs>
          <w:tab w:val="left" w:pos="1563"/>
        </w:tabs>
        <w:spacing w:before="0" w:line="360" w:lineRule="auto"/>
        <w:ind w:firstLine="480" w:firstLineChars="200"/>
        <w:rPr>
          <w:color w:val="auto"/>
          <w:sz w:val="24"/>
          <w:highlight w:val="none"/>
        </w:rPr>
      </w:pPr>
      <w:r>
        <w:rPr>
          <w:rFonts w:hint="eastAsia"/>
          <w:color w:val="auto"/>
          <w:sz w:val="24"/>
          <w:highlight w:val="none"/>
        </w:rPr>
        <w:t>供应商应当按照资格审查文件、资信商务及技术文件、报价文件三部分分别导入相应位置，各文件之间不得混装；</w:t>
      </w:r>
    </w:p>
    <w:p w14:paraId="09D41213">
      <w:pPr>
        <w:pStyle w:val="47"/>
        <w:numPr>
          <w:ilvl w:val="1"/>
          <w:numId w:val="21"/>
        </w:numPr>
        <w:tabs>
          <w:tab w:val="left" w:pos="1563"/>
        </w:tabs>
        <w:spacing w:before="0" w:line="360" w:lineRule="auto"/>
        <w:ind w:firstLine="480" w:firstLineChars="200"/>
        <w:rPr>
          <w:color w:val="auto"/>
          <w:sz w:val="24"/>
          <w:highlight w:val="none"/>
        </w:rPr>
      </w:pPr>
      <w:r>
        <w:rPr>
          <w:rFonts w:hint="eastAsia"/>
          <w:color w:val="auto"/>
          <w:sz w:val="24"/>
          <w:highlight w:val="none"/>
        </w:rPr>
        <w:t>电子响应文件按政采云平台供应商项目采购-电子招投标操作指南进行加密； 将最后生成的具有电子签章的备份响应文件进行压缩并加密。</w:t>
      </w:r>
    </w:p>
    <w:p w14:paraId="47A9DDC7">
      <w:pPr>
        <w:pStyle w:val="11"/>
        <w:numPr>
          <w:ilvl w:val="0"/>
          <w:numId w:val="21"/>
        </w:numPr>
        <w:spacing w:line="360" w:lineRule="auto"/>
        <w:ind w:firstLine="482" w:firstLineChars="200"/>
        <w:rPr>
          <w:b/>
          <w:bCs/>
          <w:color w:val="auto"/>
          <w:highlight w:val="none"/>
          <w:lang w:val="en-US"/>
        </w:rPr>
      </w:pPr>
      <w:r>
        <w:rPr>
          <w:rFonts w:hint="eastAsia"/>
          <w:b/>
          <w:bCs/>
          <w:color w:val="auto"/>
          <w:highlight w:val="none"/>
          <w:lang w:val="en-US"/>
        </w:rPr>
        <w:t>响应文件的提交</w:t>
      </w:r>
    </w:p>
    <w:p w14:paraId="135C8109">
      <w:pPr>
        <w:pStyle w:val="47"/>
        <w:numPr>
          <w:ilvl w:val="1"/>
          <w:numId w:val="22"/>
        </w:numPr>
        <w:tabs>
          <w:tab w:val="left" w:pos="1100"/>
        </w:tabs>
        <w:spacing w:before="0" w:line="360" w:lineRule="auto"/>
        <w:ind w:left="0" w:firstLine="480" w:firstLineChars="200"/>
        <w:rPr>
          <w:color w:val="auto"/>
          <w:sz w:val="24"/>
          <w:highlight w:val="none"/>
        </w:rPr>
      </w:pPr>
      <w:r>
        <w:rPr>
          <w:rFonts w:hint="eastAsia"/>
          <w:color w:val="auto"/>
          <w:sz w:val="24"/>
          <w:highlight w:val="none"/>
        </w:rPr>
        <w:t>响应文件提交截止时间：见供应商须知前列表。</w:t>
      </w:r>
    </w:p>
    <w:p w14:paraId="1B0E8BEB">
      <w:pPr>
        <w:pStyle w:val="47"/>
        <w:numPr>
          <w:ilvl w:val="1"/>
          <w:numId w:val="22"/>
        </w:numPr>
        <w:tabs>
          <w:tab w:val="left" w:pos="1100"/>
        </w:tabs>
        <w:spacing w:before="0" w:line="360" w:lineRule="auto"/>
        <w:ind w:left="0" w:firstLine="480" w:firstLineChars="200"/>
        <w:rPr>
          <w:color w:val="auto"/>
          <w:sz w:val="24"/>
          <w:highlight w:val="none"/>
        </w:rPr>
      </w:pPr>
      <w:r>
        <w:rPr>
          <w:rFonts w:hint="eastAsia"/>
          <w:color w:val="auto"/>
          <w:sz w:val="24"/>
          <w:highlight w:val="none"/>
        </w:rPr>
        <w:t>响应文件提交地点：见供应商须知前列表。</w:t>
      </w:r>
    </w:p>
    <w:p w14:paraId="3CA4F754">
      <w:pPr>
        <w:pStyle w:val="47"/>
        <w:numPr>
          <w:ilvl w:val="1"/>
          <w:numId w:val="22"/>
        </w:numPr>
        <w:tabs>
          <w:tab w:val="left" w:pos="1100"/>
        </w:tabs>
        <w:spacing w:before="0" w:line="360" w:lineRule="auto"/>
        <w:ind w:left="0" w:firstLine="480" w:firstLineChars="200"/>
        <w:rPr>
          <w:color w:val="auto"/>
          <w:sz w:val="24"/>
          <w:highlight w:val="none"/>
        </w:rPr>
      </w:pPr>
      <w:r>
        <w:rPr>
          <w:rFonts w:hint="eastAsia"/>
          <w:color w:val="auto"/>
          <w:sz w:val="24"/>
          <w:highlight w:val="none"/>
        </w:rPr>
        <w:t>不予接收的响应文件情形：</w:t>
      </w:r>
    </w:p>
    <w:p w14:paraId="7BBDB0D4">
      <w:pPr>
        <w:pStyle w:val="11"/>
        <w:spacing w:line="360" w:lineRule="auto"/>
        <w:ind w:firstLine="480" w:firstLineChars="200"/>
        <w:rPr>
          <w:color w:val="auto"/>
          <w:highlight w:val="none"/>
        </w:rPr>
      </w:pPr>
      <w:r>
        <w:rPr>
          <w:rFonts w:hint="eastAsia"/>
          <w:color w:val="auto"/>
          <w:highlight w:val="none"/>
        </w:rPr>
        <w:t>⑴磋商截止时间前未完成传输的电子响应文件；</w:t>
      </w:r>
    </w:p>
    <w:p w14:paraId="4B184E5D">
      <w:pPr>
        <w:pStyle w:val="11"/>
        <w:spacing w:line="360" w:lineRule="auto"/>
        <w:ind w:firstLine="480" w:firstLineChars="200"/>
        <w:rPr>
          <w:color w:val="auto"/>
          <w:highlight w:val="none"/>
        </w:rPr>
      </w:pPr>
      <w:r>
        <w:rPr>
          <w:rFonts w:hint="eastAsia"/>
          <w:color w:val="auto"/>
          <w:highlight w:val="none"/>
        </w:rPr>
        <w:t>⑵未生成加密的电子响应文件；</w:t>
      </w:r>
    </w:p>
    <w:p w14:paraId="37CA1C6A">
      <w:pPr>
        <w:pStyle w:val="11"/>
        <w:spacing w:line="360" w:lineRule="auto"/>
        <w:ind w:firstLine="480" w:firstLineChars="200"/>
        <w:rPr>
          <w:color w:val="auto"/>
          <w:highlight w:val="none"/>
        </w:rPr>
      </w:pPr>
      <w:r>
        <w:rPr>
          <w:rFonts w:hint="eastAsia"/>
          <w:color w:val="auto"/>
          <w:highlight w:val="none"/>
        </w:rPr>
        <w:t>⑶在规定时间内未解密的电子响应文件，或者解密不成功未提供备份响应文件的。</w:t>
      </w:r>
    </w:p>
    <w:p w14:paraId="318B2F9E">
      <w:pPr>
        <w:pStyle w:val="47"/>
        <w:numPr>
          <w:ilvl w:val="1"/>
          <w:numId w:val="22"/>
        </w:numPr>
        <w:tabs>
          <w:tab w:val="left" w:pos="1100"/>
        </w:tabs>
        <w:spacing w:before="0" w:line="360" w:lineRule="auto"/>
        <w:ind w:left="0" w:firstLine="480" w:firstLineChars="200"/>
        <w:rPr>
          <w:color w:val="auto"/>
          <w:sz w:val="24"/>
          <w:szCs w:val="24"/>
          <w:highlight w:val="none"/>
          <w:lang w:val="en-US"/>
        </w:rPr>
      </w:pPr>
      <w:r>
        <w:rPr>
          <w:rFonts w:hint="eastAsia"/>
          <w:color w:val="auto"/>
          <w:sz w:val="24"/>
          <w:highlight w:val="none"/>
        </w:rPr>
        <w:t>供应商所提交的响应文件不予退还。</w:t>
      </w:r>
    </w:p>
    <w:p w14:paraId="4B9265BD">
      <w:pPr>
        <w:pStyle w:val="11"/>
        <w:numPr>
          <w:ilvl w:val="0"/>
          <w:numId w:val="21"/>
        </w:numPr>
        <w:spacing w:line="360" w:lineRule="auto"/>
        <w:ind w:firstLine="482" w:firstLineChars="200"/>
        <w:rPr>
          <w:b/>
          <w:bCs/>
          <w:color w:val="auto"/>
          <w:highlight w:val="none"/>
          <w:lang w:val="en-US"/>
        </w:rPr>
      </w:pPr>
      <w:r>
        <w:rPr>
          <w:rFonts w:hint="eastAsia"/>
          <w:b/>
          <w:bCs/>
          <w:color w:val="auto"/>
          <w:highlight w:val="none"/>
          <w:lang w:val="en-US"/>
        </w:rPr>
        <w:t>响应文件的修改和撤销</w:t>
      </w:r>
    </w:p>
    <w:p w14:paraId="1E1A4F14">
      <w:pPr>
        <w:pStyle w:val="47"/>
        <w:numPr>
          <w:ilvl w:val="1"/>
          <w:numId w:val="23"/>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在磋商截止时间前，供应商可对已提交的电子响应文件进行补充、修改或撤回。补充、修改电子响应文件的，应当先行撤回原文件，补充、修改后重新生成加密的电子响应文件并重新传输递交；备份响应文件补充、修改或撤回的应以书面形式通知采购代理机构；</w:t>
      </w:r>
    </w:p>
    <w:p w14:paraId="47176AE7">
      <w:pPr>
        <w:pStyle w:val="47"/>
        <w:numPr>
          <w:ilvl w:val="1"/>
          <w:numId w:val="23"/>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补充、修改后重新提交的电子响应文件应按磋商文件的规定编制、导入、加密和提交；</w:t>
      </w:r>
    </w:p>
    <w:p w14:paraId="011BA9E2">
      <w:pPr>
        <w:pStyle w:val="11"/>
        <w:spacing w:line="360" w:lineRule="auto"/>
        <w:ind w:firstLine="482" w:firstLineChars="200"/>
        <w:jc w:val="both"/>
        <w:rPr>
          <w:color w:val="auto"/>
          <w:highlight w:val="none"/>
        </w:rPr>
      </w:pPr>
      <w:r>
        <w:rPr>
          <w:rFonts w:hint="eastAsia"/>
          <w:b/>
          <w:color w:val="auto"/>
          <w:highlight w:val="none"/>
        </w:rPr>
        <w:t>▲</w:t>
      </w:r>
      <w:r>
        <w:rPr>
          <w:rFonts w:hint="eastAsia"/>
          <w:color w:val="auto"/>
          <w:highlight w:val="none"/>
        </w:rPr>
        <w:t>18.3 在磋商截止时间后,供应商不得修改、撤回已提交的响应文件；</w:t>
      </w:r>
    </w:p>
    <w:p w14:paraId="7777A9A2">
      <w:pPr>
        <w:pStyle w:val="11"/>
        <w:spacing w:line="360" w:lineRule="auto"/>
        <w:ind w:firstLine="480" w:firstLineChars="200"/>
        <w:jc w:val="both"/>
        <w:rPr>
          <w:color w:val="auto"/>
          <w:sz w:val="28"/>
          <w:highlight w:val="none"/>
        </w:rPr>
      </w:pPr>
      <w:r>
        <w:rPr>
          <w:rFonts w:hint="eastAsia"/>
          <w:color w:val="auto"/>
          <w:highlight w:val="none"/>
        </w:rPr>
        <w:t>▲18.4 补充、修改后的电子响应文件、备份响应文件内容均应相同。</w:t>
      </w:r>
    </w:p>
    <w:p w14:paraId="08D62195">
      <w:pPr>
        <w:pStyle w:val="3"/>
        <w:tabs>
          <w:tab w:val="left" w:pos="1291"/>
        </w:tabs>
        <w:spacing w:before="0" w:line="360" w:lineRule="auto"/>
        <w:ind w:left="0"/>
        <w:jc w:val="left"/>
        <w:rPr>
          <w:color w:val="auto"/>
          <w:highlight w:val="none"/>
          <w:lang w:val="en-US"/>
        </w:rPr>
      </w:pPr>
      <w:bookmarkStart w:id="43" w:name="六___磋商和评审"/>
      <w:bookmarkEnd w:id="43"/>
      <w:bookmarkStart w:id="44" w:name="_Toc9800"/>
      <w:r>
        <w:rPr>
          <w:rFonts w:hint="eastAsia"/>
          <w:color w:val="auto"/>
          <w:highlight w:val="none"/>
          <w:lang w:val="en-US"/>
        </w:rPr>
        <w:t>六  磋商和评审</w:t>
      </w:r>
      <w:bookmarkEnd w:id="44"/>
    </w:p>
    <w:p w14:paraId="25D46E2A">
      <w:pPr>
        <w:pStyle w:val="11"/>
        <w:numPr>
          <w:ilvl w:val="0"/>
          <w:numId w:val="21"/>
        </w:numPr>
        <w:spacing w:line="360" w:lineRule="auto"/>
        <w:ind w:firstLine="482" w:firstLineChars="200"/>
        <w:rPr>
          <w:b/>
          <w:bCs/>
          <w:color w:val="auto"/>
          <w:highlight w:val="none"/>
        </w:rPr>
      </w:pPr>
      <w:r>
        <w:rPr>
          <w:rFonts w:hint="eastAsia"/>
          <w:b/>
          <w:bCs/>
          <w:color w:val="auto"/>
          <w:highlight w:val="none"/>
        </w:rPr>
        <w:t>磋商</w:t>
      </w:r>
    </w:p>
    <w:p w14:paraId="162D29EB">
      <w:pPr>
        <w:pStyle w:val="47"/>
        <w:numPr>
          <w:ilvl w:val="1"/>
          <w:numId w:val="24"/>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优先采用电子响应文件进行磋商、评审，电子响应文件未按时解密的，采用备份响应文件磋商、评审。</w:t>
      </w:r>
    </w:p>
    <w:p w14:paraId="5576A57E">
      <w:pPr>
        <w:pStyle w:val="47"/>
        <w:numPr>
          <w:ilvl w:val="1"/>
          <w:numId w:val="24"/>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采购代理机构在磋商文件规定的时间和地点组织磋商会，供应商可自行决定是否派代表参加磋商会议，供应商未安排人员到场的应准时在线参加，否则产生的风险由供应商自行承担。</w:t>
      </w:r>
    </w:p>
    <w:p w14:paraId="0556318E">
      <w:pPr>
        <w:pStyle w:val="47"/>
        <w:numPr>
          <w:ilvl w:val="1"/>
          <w:numId w:val="24"/>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磋商会议由采购代理机构主持，主持人介绍项目前期基本情况，宣布评审期间的有关事项。由代理机构工作人员开启电子响应文件解密通道，解密时限以政采云电子交易平台为准。</w:t>
      </w:r>
    </w:p>
    <w:p w14:paraId="6B32B505">
      <w:pPr>
        <w:pStyle w:val="47"/>
        <w:numPr>
          <w:ilvl w:val="1"/>
          <w:numId w:val="24"/>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电子响应文件无法解密的，代理机构通过电子交易平台“异常处理”通道上传备份响应文件，上传之前须由供应商代表提供备份响应文件密码进行解密。</w:t>
      </w:r>
    </w:p>
    <w:p w14:paraId="1CAEF451">
      <w:pPr>
        <w:pStyle w:val="47"/>
        <w:numPr>
          <w:ilvl w:val="1"/>
          <w:numId w:val="24"/>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解密成功的供应商不足三家的，按相关规定重新组织采购。</w:t>
      </w:r>
    </w:p>
    <w:p w14:paraId="109B1FD1">
      <w:pPr>
        <w:pStyle w:val="47"/>
        <w:numPr>
          <w:ilvl w:val="1"/>
          <w:numId w:val="24"/>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供应商根据解密后交易平台公布的供应商名单及信息，通过现场或邮件方式提交《政府采购活动现场确认声明书》（见第五章格式），提交时间在名单公布后的</w:t>
      </w:r>
      <w:r>
        <w:rPr>
          <w:rFonts w:hint="eastAsia"/>
          <w:color w:val="auto"/>
          <w:sz w:val="24"/>
          <w:highlight w:val="none"/>
          <w:lang w:val="en-US"/>
        </w:rPr>
        <w:t>3</w:t>
      </w:r>
      <w:r>
        <w:rPr>
          <w:rFonts w:hint="eastAsia"/>
          <w:color w:val="auto"/>
          <w:sz w:val="24"/>
          <w:highlight w:val="none"/>
        </w:rPr>
        <w:t>0 分钟内。</w:t>
      </w:r>
    </w:p>
    <w:p w14:paraId="64CA250C">
      <w:pPr>
        <w:pStyle w:val="47"/>
        <w:numPr>
          <w:ilvl w:val="1"/>
          <w:numId w:val="24"/>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供应商认为采购人员及相关人员与其他供应商有利害关系的，可向采购代理机构提出回避申请，并说明理由，申请须由供应商代表签字或盖章。</w:t>
      </w:r>
    </w:p>
    <w:p w14:paraId="3CDFD464">
      <w:pPr>
        <w:pStyle w:val="47"/>
        <w:numPr>
          <w:ilvl w:val="1"/>
          <w:numId w:val="24"/>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按规定提交《政府采购活动现场确认声明书》（见第五章格式）。</w:t>
      </w:r>
    </w:p>
    <w:p w14:paraId="3321D21F">
      <w:pPr>
        <w:pStyle w:val="47"/>
        <w:numPr>
          <w:ilvl w:val="1"/>
          <w:numId w:val="24"/>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供应商对记录表有疑义的，供应商代表在磋商会议结束前可以向采购代理机构通过现场或电子邮件的方式（</w:t>
      </w:r>
      <w:r>
        <w:rPr>
          <w:color w:val="auto"/>
          <w:highlight w:val="none"/>
        </w:rPr>
        <w:fldChar w:fldCharType="begin"/>
      </w:r>
      <w:r>
        <w:rPr>
          <w:color w:val="auto"/>
          <w:highlight w:val="none"/>
        </w:rPr>
        <w:instrText xml:space="preserve"> HYPERLINK "mailto:471334839@qq.com" \h </w:instrText>
      </w:r>
      <w:r>
        <w:rPr>
          <w:color w:val="auto"/>
          <w:highlight w:val="none"/>
        </w:rPr>
        <w:fldChar w:fldCharType="separate"/>
      </w:r>
      <w:r>
        <w:rPr>
          <w:rFonts w:hint="eastAsia"/>
          <w:color w:val="auto"/>
          <w:sz w:val="24"/>
          <w:highlight w:val="none"/>
          <w:u w:val="single"/>
          <w:lang w:val="en-US"/>
        </w:rPr>
        <w:t>779740329</w:t>
      </w:r>
      <w:r>
        <w:rPr>
          <w:rFonts w:hint="eastAsia"/>
          <w:color w:val="auto"/>
          <w:sz w:val="24"/>
          <w:highlight w:val="none"/>
          <w:u w:val="single"/>
        </w:rPr>
        <w:t>@qq.com</w:t>
      </w:r>
      <w:r>
        <w:rPr>
          <w:rFonts w:hint="eastAsia"/>
          <w:color w:val="auto"/>
          <w:sz w:val="24"/>
          <w:highlight w:val="none"/>
          <w:u w:val="single"/>
        </w:rPr>
        <w:fldChar w:fldCharType="end"/>
      </w:r>
      <w:r>
        <w:rPr>
          <w:rFonts w:hint="eastAsia"/>
          <w:color w:val="auto"/>
          <w:sz w:val="24"/>
          <w:highlight w:val="none"/>
        </w:rPr>
        <w:t>）提出申请，并说明理由，申请须由供应商代表签字或盖章。</w:t>
      </w:r>
    </w:p>
    <w:p w14:paraId="72DD2C5C">
      <w:pPr>
        <w:pStyle w:val="47"/>
        <w:numPr>
          <w:ilvl w:val="1"/>
          <w:numId w:val="24"/>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磋商会议结束。</w:t>
      </w:r>
    </w:p>
    <w:p w14:paraId="0D5C8130">
      <w:pPr>
        <w:pStyle w:val="11"/>
        <w:numPr>
          <w:ilvl w:val="0"/>
          <w:numId w:val="21"/>
        </w:numPr>
        <w:spacing w:line="360" w:lineRule="auto"/>
        <w:ind w:firstLine="482" w:firstLineChars="200"/>
        <w:rPr>
          <w:b/>
          <w:bCs/>
          <w:color w:val="auto"/>
          <w:highlight w:val="none"/>
        </w:rPr>
      </w:pPr>
      <w:r>
        <w:rPr>
          <w:rFonts w:hint="eastAsia"/>
          <w:b/>
          <w:bCs/>
          <w:color w:val="auto"/>
          <w:highlight w:val="none"/>
        </w:rPr>
        <w:t>资格审查</w:t>
      </w:r>
    </w:p>
    <w:p w14:paraId="385D18DC">
      <w:pPr>
        <w:pStyle w:val="11"/>
        <w:spacing w:line="360" w:lineRule="auto"/>
        <w:ind w:firstLine="480" w:firstLineChars="200"/>
        <w:rPr>
          <w:color w:val="auto"/>
          <w:highlight w:val="none"/>
          <w:lang w:val="en-US"/>
        </w:rPr>
      </w:pPr>
      <w:r>
        <w:rPr>
          <w:rFonts w:hint="eastAsia"/>
          <w:color w:val="auto"/>
          <w:highlight w:val="none"/>
          <w:lang w:val="en-US"/>
        </w:rPr>
        <w:t>20.1 采购人或采购代理机构按资格要求和资格审查文件要求对供应商进行资格审查及记录, 并通过政采云平台公布审查结果。</w:t>
      </w:r>
    </w:p>
    <w:p w14:paraId="5E2B3944">
      <w:pPr>
        <w:pStyle w:val="11"/>
        <w:spacing w:line="360" w:lineRule="auto"/>
        <w:ind w:firstLine="482" w:firstLineChars="200"/>
        <w:rPr>
          <w:b/>
          <w:bCs/>
          <w:color w:val="auto"/>
          <w:highlight w:val="none"/>
          <w:lang w:val="en-US"/>
        </w:rPr>
      </w:pPr>
      <w:r>
        <w:rPr>
          <w:rFonts w:hint="eastAsia"/>
          <w:b/>
          <w:bCs/>
          <w:color w:val="auto"/>
          <w:highlight w:val="none"/>
          <w:lang w:val="en-US"/>
        </w:rPr>
        <w:t>20.2 经资格审查后合格的供应商不足三家的，不得进入评审，并按相关规定重新组织招标。</w:t>
      </w:r>
    </w:p>
    <w:p w14:paraId="417F45BA">
      <w:pPr>
        <w:pStyle w:val="11"/>
        <w:numPr>
          <w:ilvl w:val="0"/>
          <w:numId w:val="21"/>
        </w:numPr>
        <w:spacing w:line="360" w:lineRule="auto"/>
        <w:ind w:firstLine="482" w:firstLineChars="200"/>
        <w:rPr>
          <w:b/>
          <w:bCs/>
          <w:color w:val="auto"/>
          <w:highlight w:val="none"/>
        </w:rPr>
      </w:pPr>
      <w:r>
        <w:rPr>
          <w:rFonts w:hint="eastAsia"/>
          <w:b/>
          <w:bCs/>
          <w:color w:val="auto"/>
          <w:highlight w:val="none"/>
        </w:rPr>
        <w:t>评审流程</w:t>
      </w:r>
    </w:p>
    <w:p w14:paraId="5E3DCCA7">
      <w:pPr>
        <w:pStyle w:val="11"/>
        <w:spacing w:line="360" w:lineRule="auto"/>
        <w:ind w:firstLine="480" w:firstLineChars="200"/>
        <w:rPr>
          <w:color w:val="auto"/>
          <w:highlight w:val="none"/>
          <w:lang w:val="en-US"/>
        </w:rPr>
      </w:pPr>
      <w:r>
        <w:rPr>
          <w:rFonts w:hint="eastAsia"/>
          <w:color w:val="auto"/>
          <w:highlight w:val="none"/>
          <w:lang w:val="en-US"/>
        </w:rPr>
        <w:t>21.1评标委员会由采购代理机构组建：评标委员会由评审专家或采购人代表和评审专家组成，成员人数为 3 人以上单数，其中评审专家不少于成员总数的三分之二，评审专家按规定从评审专家库中随机抽取。如有特殊情况的，按相关规定组建评标委员会。</w:t>
      </w:r>
    </w:p>
    <w:p w14:paraId="0E270693">
      <w:pPr>
        <w:pStyle w:val="11"/>
        <w:spacing w:line="360" w:lineRule="auto"/>
        <w:ind w:firstLine="482" w:firstLineChars="200"/>
        <w:rPr>
          <w:b/>
          <w:bCs/>
          <w:color w:val="auto"/>
          <w:highlight w:val="none"/>
        </w:rPr>
      </w:pPr>
      <w:r>
        <w:rPr>
          <w:rFonts w:hint="eastAsia"/>
          <w:b/>
          <w:bCs/>
          <w:color w:val="auto"/>
          <w:highlight w:val="none"/>
          <w:lang w:val="en-US"/>
        </w:rPr>
        <w:t>21.1.1</w:t>
      </w:r>
      <w:r>
        <w:rPr>
          <w:rFonts w:hint="eastAsia"/>
          <w:b/>
          <w:bCs/>
          <w:color w:val="auto"/>
          <w:highlight w:val="none"/>
        </w:rPr>
        <w:t>符合性审查</w:t>
      </w:r>
    </w:p>
    <w:p w14:paraId="714D860C">
      <w:pPr>
        <w:pStyle w:val="11"/>
        <w:spacing w:line="360" w:lineRule="auto"/>
        <w:ind w:firstLine="480" w:firstLineChars="200"/>
        <w:rPr>
          <w:b/>
          <w:bCs/>
          <w:color w:val="auto"/>
          <w:highlight w:val="none"/>
          <w:lang w:val="en-US"/>
        </w:rPr>
      </w:pPr>
      <w:r>
        <w:rPr>
          <w:rFonts w:hint="eastAsia"/>
          <w:color w:val="auto"/>
          <w:highlight w:val="none"/>
          <w:lang w:val="en-US"/>
        </w:rPr>
        <w:t>根据磋商文件的规定，从响应文件的有效性、完整性和对磋商文件的响应程度进行审查，以确定是否对磋商文件的实质性要求作出响应。</w:t>
      </w:r>
      <w:r>
        <w:rPr>
          <w:rFonts w:hint="eastAsia"/>
          <w:b/>
          <w:bCs/>
          <w:color w:val="auto"/>
          <w:highlight w:val="none"/>
          <w:lang w:val="en-US"/>
        </w:rPr>
        <w:t>通过符合性审查不足三家的，除采购任务取消情形外，按相关规定重新组织招标。</w:t>
      </w:r>
    </w:p>
    <w:p w14:paraId="2BA2BA82">
      <w:pPr>
        <w:pStyle w:val="11"/>
        <w:spacing w:line="360" w:lineRule="auto"/>
        <w:ind w:firstLine="482" w:firstLineChars="200"/>
        <w:rPr>
          <w:b/>
          <w:bCs/>
          <w:color w:val="auto"/>
          <w:highlight w:val="none"/>
          <w:lang w:val="en-US"/>
        </w:rPr>
      </w:pPr>
      <w:r>
        <w:rPr>
          <w:rFonts w:hint="eastAsia"/>
          <w:b/>
          <w:bCs/>
          <w:color w:val="auto"/>
          <w:highlight w:val="none"/>
          <w:lang w:val="en-US"/>
        </w:rPr>
        <w:t>21.1.2</w:t>
      </w:r>
      <w:r>
        <w:rPr>
          <w:rFonts w:hint="eastAsia"/>
          <w:b/>
          <w:bCs/>
          <w:color w:val="auto"/>
          <w:highlight w:val="none"/>
          <w:lang w:val="en-US" w:eastAsia="zh-CN"/>
        </w:rPr>
        <w:t xml:space="preserve"> </w:t>
      </w:r>
      <w:r>
        <w:rPr>
          <w:rFonts w:hint="eastAsia"/>
          <w:b/>
          <w:bCs/>
          <w:color w:val="auto"/>
          <w:highlight w:val="none"/>
          <w:lang w:val="en-US"/>
        </w:rPr>
        <w:t>资信商务及技术文件评审</w:t>
      </w:r>
    </w:p>
    <w:p w14:paraId="513AD207">
      <w:pPr>
        <w:pStyle w:val="11"/>
        <w:spacing w:line="360" w:lineRule="auto"/>
        <w:ind w:firstLine="482" w:firstLineChars="200"/>
        <w:rPr>
          <w:color w:val="auto"/>
          <w:highlight w:val="none"/>
        </w:rPr>
      </w:pPr>
      <w:r>
        <w:rPr>
          <w:rFonts w:hint="eastAsia"/>
          <w:b/>
          <w:color w:val="auto"/>
          <w:highlight w:val="none"/>
          <w:lang w:val="en-US"/>
        </w:rPr>
        <w:t>21.1.2.1</w:t>
      </w:r>
      <w:r>
        <w:rPr>
          <w:rFonts w:hint="eastAsia"/>
          <w:b/>
          <w:color w:val="auto"/>
          <w:highlight w:val="none"/>
        </w:rPr>
        <w:t>资信商务文件评审：</w:t>
      </w:r>
      <w:r>
        <w:rPr>
          <w:rFonts w:hint="eastAsia"/>
          <w:color w:val="auto"/>
          <w:highlight w:val="none"/>
        </w:rPr>
        <w:t>评标委员会依据磋商文件的规定，对各供应商的资信商务文件进行评审，对客观分应统一意见后统一给分。</w:t>
      </w:r>
    </w:p>
    <w:p w14:paraId="3890472A">
      <w:pPr>
        <w:pStyle w:val="11"/>
        <w:spacing w:line="360" w:lineRule="auto"/>
        <w:ind w:firstLine="482" w:firstLineChars="200"/>
        <w:rPr>
          <w:color w:val="auto"/>
          <w:highlight w:val="none"/>
        </w:rPr>
      </w:pPr>
      <w:r>
        <w:rPr>
          <w:rFonts w:hint="eastAsia"/>
          <w:b/>
          <w:color w:val="auto"/>
          <w:highlight w:val="none"/>
          <w:lang w:val="en-US"/>
        </w:rPr>
        <w:t>21.1.2.2</w:t>
      </w:r>
      <w:r>
        <w:rPr>
          <w:rFonts w:hint="eastAsia"/>
          <w:b/>
          <w:color w:val="auto"/>
          <w:highlight w:val="none"/>
        </w:rPr>
        <w:t>技术文件评审：</w:t>
      </w:r>
      <w:r>
        <w:rPr>
          <w:rFonts w:hint="eastAsia"/>
          <w:color w:val="auto"/>
          <w:highlight w:val="none"/>
        </w:rPr>
        <w:t>评标委员会依据磋商文件的规定，对各供应商的技术文件进行独立评审。对各响应文件进行比较和必要的澄清，</w:t>
      </w:r>
    </w:p>
    <w:p w14:paraId="60796654">
      <w:pPr>
        <w:pStyle w:val="11"/>
        <w:spacing w:line="360" w:lineRule="auto"/>
        <w:ind w:firstLine="482" w:firstLineChars="200"/>
        <w:rPr>
          <w:b/>
          <w:color w:val="auto"/>
          <w:highlight w:val="none"/>
        </w:rPr>
      </w:pPr>
      <w:r>
        <w:rPr>
          <w:rFonts w:hint="eastAsia"/>
          <w:b/>
          <w:bCs/>
          <w:color w:val="auto"/>
          <w:highlight w:val="none"/>
        </w:rPr>
        <w:t>21.2.3</w:t>
      </w:r>
      <w:r>
        <w:rPr>
          <w:rFonts w:hint="eastAsia"/>
          <w:b/>
          <w:color w:val="auto"/>
          <w:highlight w:val="none"/>
        </w:rPr>
        <w:t>报价文件评审</w:t>
      </w:r>
    </w:p>
    <w:p w14:paraId="65EB87E0">
      <w:pPr>
        <w:pStyle w:val="11"/>
        <w:spacing w:line="360" w:lineRule="auto"/>
        <w:ind w:firstLine="480" w:firstLineChars="200"/>
        <w:rPr>
          <w:color w:val="auto"/>
          <w:highlight w:val="none"/>
        </w:rPr>
      </w:pPr>
      <w:r>
        <w:rPr>
          <w:rFonts w:hint="eastAsia"/>
          <w:color w:val="auto"/>
          <w:highlight w:val="none"/>
        </w:rPr>
        <w:t>评标委员会依据磋商文件的规定，对各供应商的报价的合理性进行审查，必要时可要求供应商对其报价做出澄清、说明。</w:t>
      </w:r>
    </w:p>
    <w:p w14:paraId="449B2856">
      <w:pPr>
        <w:pStyle w:val="11"/>
        <w:numPr>
          <w:ilvl w:val="0"/>
          <w:numId w:val="21"/>
        </w:numPr>
        <w:spacing w:line="360" w:lineRule="auto"/>
        <w:ind w:firstLine="482" w:firstLineChars="200"/>
        <w:rPr>
          <w:b/>
          <w:bCs/>
          <w:color w:val="auto"/>
          <w:highlight w:val="none"/>
        </w:rPr>
      </w:pPr>
      <w:r>
        <w:rPr>
          <w:rFonts w:hint="eastAsia"/>
          <w:b/>
          <w:bCs/>
          <w:color w:val="auto"/>
          <w:highlight w:val="none"/>
        </w:rPr>
        <w:t>响应文件的澄清</w:t>
      </w:r>
    </w:p>
    <w:p w14:paraId="14A1AF52">
      <w:pPr>
        <w:pStyle w:val="11"/>
        <w:spacing w:line="360" w:lineRule="auto"/>
        <w:ind w:firstLine="480" w:firstLineChars="200"/>
        <w:rPr>
          <w:color w:val="auto"/>
          <w:highlight w:val="none"/>
        </w:rPr>
      </w:pPr>
      <w:r>
        <w:rPr>
          <w:rFonts w:hint="eastAsia"/>
          <w:color w:val="auto"/>
          <w:highlight w:val="none"/>
          <w:lang w:val="en-US"/>
        </w:rPr>
        <w:t xml:space="preserve">22.1 </w:t>
      </w:r>
      <w:r>
        <w:rPr>
          <w:rFonts w:hint="eastAsia"/>
          <w:color w:val="auto"/>
          <w:highlight w:val="none"/>
        </w:rPr>
        <w:t>⑴对响应文件中含义不明确、同类问题表述不一致或者有明显文字和计算错误的内容，评标委员会通过政采云平台要求供应商作出必要的澄清、说明或者补正。电子响应文件的澄清、说明或者补正采用政采云平台交换数据电文，供应商提交的澄清、说明或补正的时间为 30 分钟。供应商的澄清、说明或者补正不得超出响应文件的范围或者改变响应文件的实质性内容；</w:t>
      </w:r>
    </w:p>
    <w:p w14:paraId="0AEFABE6">
      <w:pPr>
        <w:pStyle w:val="11"/>
        <w:spacing w:line="360" w:lineRule="auto"/>
        <w:ind w:firstLine="480" w:firstLineChars="200"/>
        <w:rPr>
          <w:color w:val="auto"/>
          <w:highlight w:val="none"/>
        </w:rPr>
      </w:pPr>
      <w:r>
        <w:rPr>
          <w:rFonts w:hint="eastAsia"/>
          <w:color w:val="auto"/>
          <w:highlight w:val="none"/>
        </w:rPr>
        <w:t>⑵供应商的澄清、说明或补正将作为响应文件的一部分。</w:t>
      </w:r>
    </w:p>
    <w:p w14:paraId="64984323">
      <w:pPr>
        <w:pStyle w:val="11"/>
        <w:spacing w:line="360" w:lineRule="auto"/>
        <w:ind w:firstLine="480" w:firstLineChars="200"/>
        <w:rPr>
          <w:color w:val="auto"/>
          <w:highlight w:val="none"/>
          <w:lang w:val="en-US"/>
        </w:rPr>
      </w:pPr>
      <w:r>
        <w:rPr>
          <w:rFonts w:hint="eastAsia"/>
          <w:color w:val="auto"/>
          <w:highlight w:val="none"/>
          <w:lang w:val="en-US"/>
        </w:rPr>
        <w:t>22.2评审时评标委员会认为供应商的报价明显低于其他通过符合性审查供应商的报价，有可能影响产品质量或者不能诚信履约的，在评标现场合理的时间内通过政采云平台交换数据电文要求供应商进行说明原因和提供证明材料。</w:t>
      </w:r>
    </w:p>
    <w:p w14:paraId="3340CD4A">
      <w:pPr>
        <w:pStyle w:val="11"/>
        <w:spacing w:line="360" w:lineRule="auto"/>
        <w:ind w:firstLine="480" w:firstLineChars="200"/>
        <w:rPr>
          <w:color w:val="auto"/>
          <w:highlight w:val="none"/>
          <w:lang w:val="en-US"/>
        </w:rPr>
      </w:pPr>
      <w:r>
        <w:rPr>
          <w:rFonts w:hint="eastAsia"/>
          <w:color w:val="auto"/>
          <w:highlight w:val="none"/>
          <w:lang w:val="en-US"/>
        </w:rPr>
        <w:t>22.3不接受供应商主动对响应文件的澄清、说明或者补正。</w:t>
      </w:r>
    </w:p>
    <w:p w14:paraId="314AE8A2">
      <w:pPr>
        <w:pStyle w:val="11"/>
        <w:spacing w:line="360" w:lineRule="auto"/>
        <w:ind w:firstLine="480" w:firstLineChars="200"/>
        <w:rPr>
          <w:color w:val="auto"/>
          <w:highlight w:val="none"/>
          <w:lang w:val="en-US"/>
        </w:rPr>
      </w:pPr>
      <w:r>
        <w:rPr>
          <w:rFonts w:hint="eastAsia"/>
          <w:color w:val="auto"/>
          <w:highlight w:val="none"/>
          <w:lang w:val="en-US"/>
        </w:rPr>
        <w:t>22.4报价算术错误将按以下方法修正：</w:t>
      </w:r>
    </w:p>
    <w:p w14:paraId="69620267">
      <w:pPr>
        <w:pStyle w:val="11"/>
        <w:numPr>
          <w:ilvl w:val="0"/>
          <w:numId w:val="25"/>
        </w:numPr>
        <w:spacing w:line="360" w:lineRule="auto"/>
        <w:ind w:firstLine="480" w:firstLineChars="200"/>
        <w:rPr>
          <w:color w:val="auto"/>
          <w:highlight w:val="none"/>
        </w:rPr>
      </w:pPr>
      <w:r>
        <w:rPr>
          <w:rFonts w:hint="eastAsia"/>
          <w:color w:val="auto"/>
          <w:highlight w:val="none"/>
        </w:rPr>
        <w:t>报价文件中开标一览表（报价表）内容与报价明细表相应内容不一致的，以开标一览表（报价表）为准（政采云系统开启报价若与报价文件不一致以报价文件为准）；</w:t>
      </w:r>
    </w:p>
    <w:p w14:paraId="43D0F6A4">
      <w:pPr>
        <w:pStyle w:val="11"/>
        <w:numPr>
          <w:ilvl w:val="0"/>
          <w:numId w:val="25"/>
        </w:numPr>
        <w:spacing w:line="360" w:lineRule="auto"/>
        <w:ind w:firstLine="480" w:firstLineChars="200"/>
        <w:rPr>
          <w:color w:val="auto"/>
          <w:highlight w:val="none"/>
        </w:rPr>
      </w:pPr>
      <w:r>
        <w:rPr>
          <w:rFonts w:hint="eastAsia"/>
          <w:color w:val="auto"/>
          <w:highlight w:val="none"/>
        </w:rPr>
        <w:t>报价文件的大写金额和小写金额不一致的，以大写金额为准；</w:t>
      </w:r>
    </w:p>
    <w:p w14:paraId="79626FAF">
      <w:pPr>
        <w:pStyle w:val="11"/>
        <w:numPr>
          <w:ilvl w:val="0"/>
          <w:numId w:val="25"/>
        </w:numPr>
        <w:spacing w:line="360" w:lineRule="auto"/>
        <w:ind w:firstLine="480" w:firstLineChars="200"/>
        <w:rPr>
          <w:color w:val="auto"/>
          <w:highlight w:val="none"/>
        </w:rPr>
      </w:pPr>
      <w:r>
        <w:rPr>
          <w:rFonts w:hint="eastAsia"/>
          <w:color w:val="auto"/>
          <w:highlight w:val="none"/>
        </w:rPr>
        <w:t>单价金额小数点或者百分比有明显错位的，以磋商一览表（报价表）的总价为准，并修改单价；</w:t>
      </w:r>
    </w:p>
    <w:p w14:paraId="58236385">
      <w:pPr>
        <w:pStyle w:val="11"/>
        <w:numPr>
          <w:ilvl w:val="0"/>
          <w:numId w:val="25"/>
        </w:numPr>
        <w:spacing w:line="360" w:lineRule="auto"/>
        <w:ind w:firstLine="480" w:firstLineChars="200"/>
        <w:rPr>
          <w:color w:val="auto"/>
          <w:highlight w:val="none"/>
        </w:rPr>
      </w:pPr>
      <w:r>
        <w:rPr>
          <w:rFonts w:hint="eastAsia"/>
          <w:color w:val="auto"/>
          <w:highlight w:val="none"/>
        </w:rPr>
        <w:t>总价金额与按单价汇总金额不一致的，以单价金额计算结果为准；</w:t>
      </w:r>
    </w:p>
    <w:p w14:paraId="11550AE5">
      <w:pPr>
        <w:pStyle w:val="11"/>
        <w:numPr>
          <w:ilvl w:val="0"/>
          <w:numId w:val="25"/>
        </w:numPr>
        <w:spacing w:line="360" w:lineRule="auto"/>
        <w:ind w:firstLine="480" w:firstLineChars="200"/>
        <w:rPr>
          <w:color w:val="auto"/>
          <w:highlight w:val="none"/>
        </w:rPr>
      </w:pPr>
      <w:r>
        <w:rPr>
          <w:rFonts w:hint="eastAsia"/>
          <w:color w:val="auto"/>
          <w:highlight w:val="none"/>
        </w:rPr>
        <w:t>同时出现两种以上不一致的，按上述顺序修正；</w:t>
      </w:r>
    </w:p>
    <w:p w14:paraId="6C0D38AF">
      <w:pPr>
        <w:pStyle w:val="11"/>
        <w:numPr>
          <w:ilvl w:val="0"/>
          <w:numId w:val="25"/>
        </w:numPr>
        <w:spacing w:line="360" w:lineRule="auto"/>
        <w:ind w:firstLine="480" w:firstLineChars="200"/>
        <w:rPr>
          <w:b/>
          <w:color w:val="auto"/>
          <w:highlight w:val="none"/>
        </w:rPr>
      </w:pPr>
      <w:r>
        <w:rPr>
          <w:rFonts w:hint="eastAsia"/>
          <w:color w:val="auto"/>
          <w:highlight w:val="none"/>
        </w:rPr>
        <w:t>对不同文字文本响应文件的解释发生异议的，以中文文本为准；</w:t>
      </w:r>
    </w:p>
    <w:p w14:paraId="0E271A38">
      <w:pPr>
        <w:pStyle w:val="11"/>
        <w:numPr>
          <w:ilvl w:val="0"/>
          <w:numId w:val="25"/>
        </w:numPr>
        <w:spacing w:line="360" w:lineRule="auto"/>
        <w:ind w:firstLine="482" w:firstLineChars="200"/>
        <w:rPr>
          <w:b/>
          <w:bCs/>
          <w:color w:val="auto"/>
          <w:highlight w:val="none"/>
        </w:rPr>
      </w:pPr>
      <w:r>
        <w:rPr>
          <w:rFonts w:hint="eastAsia"/>
          <w:b/>
          <w:bCs/>
          <w:color w:val="auto"/>
          <w:highlight w:val="none"/>
        </w:rPr>
        <w:t>电子响应文件修正错误的磋商报价，通过电子交易平台，经供应商同意签章确认后产生约束力；若供应商不接受修正后的磋商报价，则其磋商将作为无效磋商处  理。</w:t>
      </w:r>
    </w:p>
    <w:p w14:paraId="1E00EF66">
      <w:pPr>
        <w:pStyle w:val="11"/>
        <w:numPr>
          <w:ilvl w:val="0"/>
          <w:numId w:val="21"/>
        </w:numPr>
        <w:spacing w:line="360" w:lineRule="auto"/>
        <w:ind w:firstLine="482" w:firstLineChars="200"/>
        <w:rPr>
          <w:b/>
          <w:bCs/>
          <w:color w:val="auto"/>
          <w:highlight w:val="none"/>
        </w:rPr>
      </w:pPr>
      <w:r>
        <w:rPr>
          <w:rFonts w:hint="eastAsia"/>
          <w:b/>
          <w:bCs/>
          <w:color w:val="auto"/>
          <w:highlight w:val="none"/>
        </w:rPr>
        <w:t>对响应文件的比较和评估</w:t>
      </w:r>
    </w:p>
    <w:p w14:paraId="73009FE9">
      <w:pPr>
        <w:pStyle w:val="11"/>
        <w:spacing w:line="360" w:lineRule="auto"/>
        <w:ind w:firstLine="480" w:firstLineChars="200"/>
        <w:rPr>
          <w:color w:val="auto"/>
          <w:highlight w:val="none"/>
          <w:lang w:val="en-US"/>
        </w:rPr>
      </w:pPr>
      <w:r>
        <w:rPr>
          <w:rFonts w:hint="eastAsia"/>
          <w:color w:val="auto"/>
          <w:highlight w:val="none"/>
          <w:lang w:val="en-US"/>
        </w:rPr>
        <w:t>23.1评标委员会根据磋商文件规定的评审办法和标准、对符合性审查合格供应商的响应文件及澄清答复内容进行商务和技术评估，综合比较与评价，并按照平等、客观、公正的原则对响应文件进行综合评审和评分。</w:t>
      </w:r>
    </w:p>
    <w:p w14:paraId="3ED5BD10">
      <w:pPr>
        <w:pStyle w:val="11"/>
        <w:numPr>
          <w:ilvl w:val="0"/>
          <w:numId w:val="21"/>
        </w:numPr>
        <w:spacing w:line="360" w:lineRule="auto"/>
        <w:ind w:firstLine="482" w:firstLineChars="200"/>
        <w:rPr>
          <w:b/>
          <w:bCs/>
          <w:color w:val="auto"/>
          <w:highlight w:val="none"/>
        </w:rPr>
      </w:pPr>
      <w:r>
        <w:rPr>
          <w:rFonts w:hint="eastAsia"/>
          <w:b/>
          <w:bCs/>
          <w:color w:val="auto"/>
          <w:highlight w:val="none"/>
        </w:rPr>
        <w:t>评标报告</w:t>
      </w:r>
    </w:p>
    <w:p w14:paraId="2DFA3646">
      <w:pPr>
        <w:pStyle w:val="11"/>
        <w:spacing w:line="360" w:lineRule="auto"/>
        <w:ind w:firstLine="480" w:firstLineChars="200"/>
        <w:rPr>
          <w:color w:val="auto"/>
          <w:highlight w:val="none"/>
          <w:lang w:val="en-US"/>
        </w:rPr>
      </w:pPr>
      <w:r>
        <w:rPr>
          <w:rFonts w:hint="eastAsia"/>
          <w:color w:val="auto"/>
          <w:highlight w:val="none"/>
          <w:lang w:val="en-US"/>
        </w:rPr>
        <w:t>24.1磋商小组根据磋商记录、全体磋商小组成员签字的原始评审记录、评审结果编写评审报告，并推荐3名及以上成交候选人，评审报告由磋商小组成员签字确认后提交。</w:t>
      </w:r>
    </w:p>
    <w:p w14:paraId="5242E1E9">
      <w:pPr>
        <w:pStyle w:val="11"/>
        <w:spacing w:line="360" w:lineRule="auto"/>
        <w:ind w:firstLine="480" w:firstLineChars="200"/>
        <w:rPr>
          <w:color w:val="auto"/>
          <w:highlight w:val="none"/>
          <w:lang w:val="en-US"/>
        </w:rPr>
      </w:pPr>
      <w:r>
        <w:rPr>
          <w:rFonts w:hint="eastAsia"/>
          <w:color w:val="auto"/>
          <w:highlight w:val="none"/>
          <w:lang w:val="en-US"/>
        </w:rPr>
        <w:t>24.2评审报告由评标委员会成员签字确认提交，持不同意见的评标委员会成员应当在评标报告上签署不同意见及理由，否则视为同意评标报告。</w:t>
      </w:r>
    </w:p>
    <w:p w14:paraId="10AE384C">
      <w:pPr>
        <w:pStyle w:val="11"/>
        <w:spacing w:line="360" w:lineRule="auto"/>
        <w:ind w:firstLine="480" w:firstLineChars="200"/>
        <w:rPr>
          <w:color w:val="auto"/>
          <w:highlight w:val="none"/>
          <w:lang w:val="en-US"/>
        </w:rPr>
      </w:pPr>
      <w:r>
        <w:rPr>
          <w:rFonts w:hint="eastAsia"/>
          <w:color w:val="auto"/>
          <w:highlight w:val="none"/>
          <w:lang w:val="en-US"/>
        </w:rPr>
        <w:t>24.3评标结束后，采购代理机构公布评标结果。</w:t>
      </w:r>
    </w:p>
    <w:p w14:paraId="42898E82">
      <w:pPr>
        <w:spacing w:line="360" w:lineRule="auto"/>
        <w:ind w:firstLine="482" w:firstLineChars="200"/>
        <w:rPr>
          <w:b/>
          <w:color w:val="auto"/>
          <w:sz w:val="24"/>
          <w:highlight w:val="none"/>
        </w:rPr>
      </w:pPr>
      <w:r>
        <w:rPr>
          <w:rFonts w:hint="eastAsia"/>
          <w:b/>
          <w:color w:val="auto"/>
          <w:sz w:val="24"/>
          <w:highlight w:val="none"/>
        </w:rPr>
        <w:t>25.采购过程中出现以下情形，导致电子交易平台无法正常运行，或者无法保证电子交易的公平、公正和安全时，可中止电子交易活动：</w:t>
      </w:r>
    </w:p>
    <w:p w14:paraId="71DF0246">
      <w:pPr>
        <w:spacing w:line="360" w:lineRule="auto"/>
        <w:ind w:firstLine="240" w:firstLineChars="100"/>
        <w:rPr>
          <w:color w:val="auto"/>
          <w:sz w:val="24"/>
          <w:highlight w:val="none"/>
        </w:rPr>
      </w:pPr>
      <w:r>
        <w:rPr>
          <w:rFonts w:hint="eastAsia"/>
          <w:color w:val="auto"/>
          <w:sz w:val="24"/>
          <w:highlight w:val="none"/>
        </w:rPr>
        <w:t>（一）电子交易平台发生故障而无法登录访问的； </w:t>
      </w:r>
    </w:p>
    <w:p w14:paraId="14CC19D0">
      <w:pPr>
        <w:spacing w:line="360" w:lineRule="auto"/>
        <w:ind w:firstLine="240" w:firstLineChars="100"/>
        <w:rPr>
          <w:color w:val="auto"/>
          <w:sz w:val="24"/>
          <w:highlight w:val="none"/>
        </w:rPr>
      </w:pPr>
      <w:r>
        <w:rPr>
          <w:rFonts w:hint="eastAsia"/>
          <w:color w:val="auto"/>
          <w:sz w:val="24"/>
          <w:highlight w:val="none"/>
        </w:rPr>
        <w:t>（二）电子交易平台应用或数据库出现错误，不能进行正常操作的；</w:t>
      </w:r>
    </w:p>
    <w:p w14:paraId="763E2054">
      <w:pPr>
        <w:spacing w:line="360" w:lineRule="auto"/>
        <w:ind w:firstLine="240" w:firstLineChars="100"/>
        <w:rPr>
          <w:color w:val="auto"/>
          <w:sz w:val="24"/>
          <w:highlight w:val="none"/>
        </w:rPr>
      </w:pPr>
      <w:r>
        <w:rPr>
          <w:rFonts w:hint="eastAsia"/>
          <w:color w:val="auto"/>
          <w:sz w:val="24"/>
          <w:highlight w:val="none"/>
        </w:rPr>
        <w:t>（三）电子交易平台发现严重安全漏洞，有潜在泄密危险的；</w:t>
      </w:r>
    </w:p>
    <w:p w14:paraId="07F18D36">
      <w:pPr>
        <w:spacing w:line="360" w:lineRule="auto"/>
        <w:ind w:firstLine="240" w:firstLineChars="100"/>
        <w:rPr>
          <w:color w:val="auto"/>
          <w:sz w:val="24"/>
          <w:highlight w:val="none"/>
        </w:rPr>
      </w:pPr>
      <w:r>
        <w:rPr>
          <w:rFonts w:hint="eastAsia"/>
          <w:color w:val="auto"/>
          <w:sz w:val="24"/>
          <w:highlight w:val="none"/>
        </w:rPr>
        <w:t>（四）病毒发作导致不能进行正常操作的； </w:t>
      </w:r>
    </w:p>
    <w:p w14:paraId="436A264D">
      <w:pPr>
        <w:spacing w:line="360" w:lineRule="auto"/>
        <w:ind w:firstLine="240" w:firstLineChars="100"/>
        <w:rPr>
          <w:color w:val="auto"/>
          <w:sz w:val="24"/>
          <w:highlight w:val="none"/>
        </w:rPr>
      </w:pPr>
      <w:r>
        <w:rPr>
          <w:rFonts w:hint="eastAsia"/>
          <w:color w:val="auto"/>
          <w:sz w:val="24"/>
          <w:highlight w:val="none"/>
        </w:rPr>
        <w:t>（五）其他无法保证电子交易的公平、公正和安全的情况。</w:t>
      </w:r>
    </w:p>
    <w:p w14:paraId="1AB67BA7">
      <w:pPr>
        <w:spacing w:line="360" w:lineRule="auto"/>
        <w:rPr>
          <w:color w:val="auto"/>
          <w:sz w:val="24"/>
          <w:highlight w:val="none"/>
        </w:rPr>
      </w:pPr>
      <w:r>
        <w:rPr>
          <w:rFonts w:hint="eastAsia"/>
          <w:color w:val="auto"/>
          <w:sz w:val="24"/>
          <w:highlight w:val="none"/>
        </w:rPr>
        <w:t>出现前款规定情形，不影响采购公平、公正性的，采购代理机构可以待上述情形消除后继续组织电子交易活动；影响或可能影响采购公平、公正性的，重新组织采购。</w:t>
      </w:r>
    </w:p>
    <w:p w14:paraId="61A3FD26">
      <w:pPr>
        <w:spacing w:line="360" w:lineRule="auto"/>
        <w:rPr>
          <w:color w:val="auto"/>
          <w:sz w:val="24"/>
          <w:highlight w:val="none"/>
        </w:rPr>
      </w:pPr>
      <w:r>
        <w:rPr>
          <w:rFonts w:hint="eastAsia"/>
          <w:color w:val="auto"/>
          <w:sz w:val="24"/>
          <w:highlight w:val="none"/>
        </w:rPr>
        <w:t xml:space="preserve">   26.采购代理机构或评审小组因不可抗力（不可抗力包括但不限于自然灾害、断电、传播疫病等）原因造成电子交易活动无法正常运行的，将采取以下措施：</w:t>
      </w:r>
    </w:p>
    <w:p w14:paraId="79804706">
      <w:pPr>
        <w:spacing w:line="360" w:lineRule="auto"/>
        <w:ind w:firstLine="360" w:firstLineChars="150"/>
        <w:rPr>
          <w:color w:val="auto"/>
          <w:sz w:val="24"/>
          <w:highlight w:val="none"/>
        </w:rPr>
      </w:pPr>
      <w:r>
        <w:rPr>
          <w:rFonts w:hint="eastAsia"/>
          <w:color w:val="auto"/>
          <w:sz w:val="24"/>
          <w:highlight w:val="none"/>
        </w:rPr>
        <w:t>⑴短时间内能消除不可抗力因素的，采购代理机构或评审小组在消除不可抗力因素后继续组织电子交易活动。</w:t>
      </w:r>
    </w:p>
    <w:p w14:paraId="3F48AE83">
      <w:pPr>
        <w:spacing w:line="360" w:lineRule="auto"/>
        <w:ind w:firstLine="360" w:firstLineChars="150"/>
        <w:rPr>
          <w:color w:val="auto"/>
          <w:sz w:val="24"/>
          <w:highlight w:val="none"/>
        </w:rPr>
      </w:pPr>
      <w:r>
        <w:rPr>
          <w:rFonts w:hint="eastAsia"/>
          <w:color w:val="auto"/>
          <w:sz w:val="24"/>
          <w:highlight w:val="none"/>
        </w:rPr>
        <w:t>⑵长时间内无法消除不可抗力因素的，采购代理机构或评审小组将中止电子交易活动。中止电子交易活动的，采购人应当重新组织政府采购活动。</w:t>
      </w:r>
    </w:p>
    <w:p w14:paraId="5C627D63">
      <w:pPr>
        <w:pStyle w:val="11"/>
        <w:spacing w:line="360" w:lineRule="auto"/>
        <w:ind w:firstLine="482" w:firstLineChars="200"/>
        <w:rPr>
          <w:b/>
          <w:bCs/>
          <w:color w:val="auto"/>
          <w:highlight w:val="none"/>
        </w:rPr>
      </w:pPr>
      <w:r>
        <w:rPr>
          <w:rFonts w:hint="eastAsia"/>
          <w:b/>
          <w:bCs/>
          <w:color w:val="auto"/>
          <w:highlight w:val="none"/>
          <w:lang w:val="en-US"/>
        </w:rPr>
        <w:t>27.</w:t>
      </w:r>
      <w:r>
        <w:rPr>
          <w:rFonts w:hint="eastAsia"/>
          <w:b/>
          <w:bCs/>
          <w:color w:val="auto"/>
          <w:highlight w:val="none"/>
        </w:rPr>
        <w:t>保密和评审过程的监控</w:t>
      </w:r>
    </w:p>
    <w:p w14:paraId="75D62882">
      <w:pPr>
        <w:pStyle w:val="11"/>
        <w:spacing w:line="360" w:lineRule="auto"/>
        <w:ind w:firstLine="480" w:firstLineChars="200"/>
        <w:rPr>
          <w:color w:val="auto"/>
          <w:highlight w:val="none"/>
          <w:lang w:val="en-US"/>
        </w:rPr>
      </w:pPr>
      <w:r>
        <w:rPr>
          <w:rFonts w:hint="eastAsia"/>
          <w:color w:val="auto"/>
          <w:highlight w:val="none"/>
          <w:lang w:val="en-US"/>
        </w:rPr>
        <w:t>27.1自磋商时间起至成交结果公告发布时间止，凡属于审查、澄清、评估和比较磋商的有关资料，且与授予合同有关的信息都不得向任何供应商或与上述评审过程无关的人员透露。</w:t>
      </w:r>
    </w:p>
    <w:p w14:paraId="6ECE2041">
      <w:pPr>
        <w:pStyle w:val="11"/>
        <w:spacing w:line="360" w:lineRule="auto"/>
        <w:ind w:firstLine="480" w:firstLineChars="200"/>
        <w:rPr>
          <w:color w:val="auto"/>
          <w:highlight w:val="none"/>
          <w:lang w:val="en-US"/>
        </w:rPr>
      </w:pPr>
      <w:r>
        <w:rPr>
          <w:rFonts w:hint="eastAsia"/>
          <w:color w:val="auto"/>
          <w:highlight w:val="none"/>
          <w:lang w:val="en-US"/>
        </w:rPr>
        <w:t>27.2本项目磋商、评审过程实行全程录音、录像监控，供应商在磋商、评审过程中所进行的试图影响评审结果的不公正行为或授予合同决定的过程施加影响的企图和行为，可能导致其磋商被拒绝。</w:t>
      </w:r>
    </w:p>
    <w:p w14:paraId="01BE7FFE">
      <w:pPr>
        <w:pStyle w:val="3"/>
        <w:tabs>
          <w:tab w:val="left" w:pos="1291"/>
        </w:tabs>
        <w:spacing w:before="0" w:line="360" w:lineRule="auto"/>
        <w:ind w:left="0"/>
        <w:jc w:val="left"/>
        <w:rPr>
          <w:color w:val="auto"/>
          <w:highlight w:val="none"/>
          <w:lang w:val="en-US"/>
        </w:rPr>
      </w:pPr>
      <w:bookmarkStart w:id="45" w:name="_Toc29030"/>
      <w:r>
        <w:rPr>
          <w:rFonts w:hint="eastAsia"/>
          <w:color w:val="auto"/>
          <w:highlight w:val="none"/>
          <w:lang w:val="en-US"/>
        </w:rPr>
        <w:t>七  磋商无效的情形</w:t>
      </w:r>
      <w:bookmarkEnd w:id="45"/>
    </w:p>
    <w:p w14:paraId="1308EEE4">
      <w:pPr>
        <w:pStyle w:val="11"/>
        <w:spacing w:line="360" w:lineRule="auto"/>
        <w:ind w:firstLine="480" w:firstLineChars="200"/>
        <w:rPr>
          <w:color w:val="auto"/>
          <w:highlight w:val="none"/>
        </w:rPr>
      </w:pPr>
      <w:bookmarkStart w:id="46" w:name="八___法律责任"/>
      <w:bookmarkEnd w:id="46"/>
      <w:r>
        <w:rPr>
          <w:rFonts w:hint="eastAsia"/>
          <w:color w:val="auto"/>
          <w:highlight w:val="none"/>
          <w:lang w:val="en-US"/>
        </w:rPr>
        <w:t>28.</w:t>
      </w:r>
      <w:r>
        <w:rPr>
          <w:rFonts w:hint="eastAsia"/>
          <w:color w:val="auto"/>
          <w:highlight w:val="none"/>
        </w:rPr>
        <w:t>实质上没有响应磋商文件要求的磋商将被视为无效磋商。供应商不得通过修正或撤销不合要求的偏离或保留从而使其磋商成为实质上响应的磋商。供应商如有下列情形之一的，其磋商将被拒绝，响应文件无效：</w:t>
      </w:r>
    </w:p>
    <w:p w14:paraId="624B3AF4">
      <w:pPr>
        <w:pStyle w:val="11"/>
        <w:spacing w:line="360" w:lineRule="auto"/>
        <w:ind w:firstLine="480" w:firstLineChars="200"/>
        <w:rPr>
          <w:color w:val="auto"/>
          <w:highlight w:val="none"/>
          <w:lang w:val="en-US"/>
        </w:rPr>
      </w:pPr>
      <w:r>
        <w:rPr>
          <w:rFonts w:hint="eastAsia"/>
          <w:color w:val="auto"/>
          <w:highlight w:val="none"/>
          <w:lang w:val="en-US"/>
        </w:rPr>
        <w:t>28.1电报、电话、传真形式提交响应文件的；</w:t>
      </w:r>
    </w:p>
    <w:p w14:paraId="69694C46">
      <w:pPr>
        <w:pStyle w:val="11"/>
        <w:spacing w:line="360" w:lineRule="auto"/>
        <w:ind w:firstLine="480" w:firstLineChars="200"/>
        <w:rPr>
          <w:color w:val="auto"/>
          <w:highlight w:val="none"/>
          <w:lang w:val="en-US"/>
        </w:rPr>
      </w:pPr>
      <w:r>
        <w:rPr>
          <w:rFonts w:hint="eastAsia"/>
          <w:color w:val="auto"/>
          <w:highlight w:val="none"/>
          <w:lang w:val="en-US"/>
        </w:rPr>
        <w:t>28.2供应商未按磋商文件规定的时间和地点提交电子响应文件的；</w:t>
      </w:r>
    </w:p>
    <w:p w14:paraId="6D3DF53A">
      <w:pPr>
        <w:pStyle w:val="11"/>
        <w:spacing w:line="360" w:lineRule="auto"/>
        <w:ind w:firstLine="480" w:firstLineChars="200"/>
        <w:rPr>
          <w:color w:val="auto"/>
          <w:highlight w:val="none"/>
          <w:lang w:val="en-US"/>
        </w:rPr>
      </w:pPr>
      <w:r>
        <w:rPr>
          <w:rFonts w:hint="eastAsia"/>
          <w:color w:val="auto"/>
          <w:highlight w:val="none"/>
          <w:lang w:val="en-US"/>
        </w:rPr>
        <w:t>28.3未按磋商文件规定要求签署、盖章的；</w:t>
      </w:r>
    </w:p>
    <w:p w14:paraId="65EF5307">
      <w:pPr>
        <w:pStyle w:val="11"/>
        <w:spacing w:line="360" w:lineRule="auto"/>
        <w:ind w:firstLine="480" w:firstLineChars="200"/>
        <w:rPr>
          <w:color w:val="auto"/>
          <w:highlight w:val="none"/>
          <w:lang w:val="en-US"/>
        </w:rPr>
      </w:pPr>
      <w:r>
        <w:rPr>
          <w:rFonts w:hint="eastAsia"/>
          <w:color w:val="auto"/>
          <w:highlight w:val="none"/>
          <w:lang w:val="en-US"/>
        </w:rPr>
        <w:t>28.4不具备响应文件规定资格要求的；</w:t>
      </w:r>
    </w:p>
    <w:p w14:paraId="156413AD">
      <w:pPr>
        <w:pStyle w:val="11"/>
        <w:spacing w:line="360" w:lineRule="auto"/>
        <w:ind w:firstLine="480" w:firstLineChars="200"/>
        <w:rPr>
          <w:color w:val="auto"/>
          <w:highlight w:val="none"/>
          <w:lang w:val="en-US"/>
        </w:rPr>
      </w:pPr>
      <w:r>
        <w:rPr>
          <w:rFonts w:hint="eastAsia"/>
          <w:color w:val="auto"/>
          <w:highlight w:val="none"/>
          <w:lang w:val="en-US"/>
        </w:rPr>
        <w:t>28.5磋商有效期不足的；</w:t>
      </w:r>
    </w:p>
    <w:p w14:paraId="508DDF21">
      <w:pPr>
        <w:pStyle w:val="11"/>
        <w:spacing w:line="360" w:lineRule="auto"/>
        <w:ind w:firstLine="480" w:firstLineChars="200"/>
        <w:rPr>
          <w:color w:val="auto"/>
          <w:highlight w:val="none"/>
          <w:lang w:val="en-US"/>
        </w:rPr>
      </w:pPr>
      <w:r>
        <w:rPr>
          <w:rFonts w:hint="eastAsia"/>
          <w:color w:val="auto"/>
          <w:highlight w:val="none"/>
          <w:lang w:val="en-US"/>
        </w:rPr>
        <w:t>28.6评审委员会评定有实质上“▲”条款的负偏离的 ；</w:t>
      </w:r>
    </w:p>
    <w:p w14:paraId="4942187F">
      <w:pPr>
        <w:pStyle w:val="11"/>
        <w:spacing w:line="360" w:lineRule="auto"/>
        <w:ind w:firstLine="480" w:firstLineChars="200"/>
        <w:rPr>
          <w:color w:val="auto"/>
          <w:highlight w:val="none"/>
          <w:lang w:val="en-US"/>
        </w:rPr>
      </w:pPr>
      <w:r>
        <w:rPr>
          <w:rFonts w:hint="eastAsia"/>
          <w:color w:val="auto"/>
          <w:highlight w:val="none"/>
          <w:lang w:val="en-US"/>
        </w:rPr>
        <w:t>28.7响应文件含有采购人不能接受的附加条款的；</w:t>
      </w:r>
    </w:p>
    <w:p w14:paraId="3A9F4468">
      <w:pPr>
        <w:pStyle w:val="11"/>
        <w:spacing w:line="360" w:lineRule="auto"/>
        <w:ind w:firstLine="480" w:firstLineChars="200"/>
        <w:rPr>
          <w:color w:val="auto"/>
          <w:highlight w:val="none"/>
          <w:lang w:val="en-US"/>
        </w:rPr>
      </w:pPr>
      <w:r>
        <w:rPr>
          <w:rFonts w:hint="eastAsia"/>
          <w:color w:val="auto"/>
          <w:highlight w:val="none"/>
          <w:lang w:val="en-US"/>
        </w:rPr>
        <w:t>28.8磋商报价高于磋商文件中规定的预算金额或者最高限价的；</w:t>
      </w:r>
    </w:p>
    <w:p w14:paraId="4FF8156A">
      <w:pPr>
        <w:pStyle w:val="11"/>
        <w:spacing w:line="360" w:lineRule="auto"/>
        <w:ind w:firstLine="480" w:firstLineChars="200"/>
        <w:rPr>
          <w:color w:val="auto"/>
          <w:highlight w:val="none"/>
          <w:lang w:val="en-US"/>
        </w:rPr>
      </w:pPr>
      <w:r>
        <w:rPr>
          <w:rFonts w:hint="eastAsia"/>
          <w:color w:val="auto"/>
          <w:highlight w:val="none"/>
          <w:lang w:val="en-US"/>
        </w:rPr>
        <w:t>28.9磋商文件中未要求，但供应商给予赠品、回扣或与采购无关的其他商品、服务的；</w:t>
      </w:r>
    </w:p>
    <w:p w14:paraId="4291EE44">
      <w:pPr>
        <w:pStyle w:val="11"/>
        <w:spacing w:line="360" w:lineRule="auto"/>
        <w:ind w:firstLine="480" w:firstLineChars="200"/>
        <w:rPr>
          <w:color w:val="auto"/>
          <w:highlight w:val="none"/>
          <w:lang w:val="en-US"/>
        </w:rPr>
      </w:pPr>
      <w:r>
        <w:rPr>
          <w:rFonts w:hint="eastAsia"/>
          <w:color w:val="auto"/>
          <w:highlight w:val="none"/>
          <w:lang w:val="en-US"/>
        </w:rPr>
        <w:t>28.10磋商报价存在漏项或报价数量少于采购要求的；</w:t>
      </w:r>
    </w:p>
    <w:p w14:paraId="1F9E0E1B">
      <w:pPr>
        <w:pStyle w:val="11"/>
        <w:spacing w:line="360" w:lineRule="auto"/>
        <w:ind w:firstLine="480" w:firstLineChars="200"/>
        <w:rPr>
          <w:color w:val="auto"/>
          <w:highlight w:val="none"/>
          <w:lang w:val="en-US"/>
        </w:rPr>
      </w:pPr>
      <w:r>
        <w:rPr>
          <w:rFonts w:hint="eastAsia"/>
          <w:color w:val="auto"/>
          <w:highlight w:val="none"/>
          <w:lang w:val="en-US"/>
        </w:rPr>
        <w:t>28.11评审委员会认为供应商的报价明显低于其他通过符合性审查供应商的报价， 有可能影响产品质量或者不能诚信履约的，供应商代表应在评审委员会规定的时间内通过电子交易平台提交说明，必要时提交相关证明材料；供应商不能证明其报价合理性的， 评审委员会应当将其作为无效磋商处理；</w:t>
      </w:r>
    </w:p>
    <w:p w14:paraId="17371F3D">
      <w:pPr>
        <w:pStyle w:val="11"/>
        <w:spacing w:line="360" w:lineRule="auto"/>
        <w:ind w:firstLine="480" w:firstLineChars="200"/>
        <w:rPr>
          <w:color w:val="auto"/>
          <w:highlight w:val="none"/>
          <w:lang w:val="en-US"/>
        </w:rPr>
      </w:pPr>
      <w:r>
        <w:rPr>
          <w:rFonts w:hint="eastAsia"/>
          <w:color w:val="auto"/>
          <w:highlight w:val="none"/>
          <w:lang w:val="en-US"/>
        </w:rPr>
        <w:t>28.12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14:paraId="79EF0A68">
      <w:pPr>
        <w:pStyle w:val="11"/>
        <w:spacing w:line="360" w:lineRule="auto"/>
        <w:ind w:firstLine="480" w:firstLineChars="200"/>
        <w:rPr>
          <w:color w:val="auto"/>
          <w:highlight w:val="none"/>
          <w:lang w:val="en-US"/>
        </w:rPr>
      </w:pPr>
      <w:r>
        <w:rPr>
          <w:rFonts w:hint="eastAsia"/>
          <w:color w:val="auto"/>
          <w:highlight w:val="none"/>
          <w:lang w:val="en-US"/>
        </w:rPr>
        <w:t>28.13提供虚假材料谋取成交的；</w:t>
      </w:r>
    </w:p>
    <w:p w14:paraId="0B177B84">
      <w:pPr>
        <w:pStyle w:val="11"/>
        <w:spacing w:line="360" w:lineRule="auto"/>
        <w:ind w:firstLine="480" w:firstLineChars="200"/>
        <w:rPr>
          <w:color w:val="auto"/>
          <w:highlight w:val="none"/>
          <w:lang w:val="en-US"/>
        </w:rPr>
      </w:pPr>
      <w:r>
        <w:rPr>
          <w:rFonts w:hint="eastAsia"/>
          <w:color w:val="auto"/>
          <w:highlight w:val="none"/>
          <w:lang w:val="en-US"/>
        </w:rPr>
        <w:t>28.14在招标过程中与采购人进行协商谈判、不按磋商文件和成交人的响应文件订立合同，或者与采购人另行订立背离合同实质性内容的协议的；</w:t>
      </w:r>
    </w:p>
    <w:p w14:paraId="412CD9B6">
      <w:pPr>
        <w:pStyle w:val="11"/>
        <w:spacing w:line="360" w:lineRule="auto"/>
        <w:ind w:firstLine="480" w:firstLineChars="200"/>
        <w:rPr>
          <w:rFonts w:hint="eastAsia"/>
          <w:color w:val="auto"/>
          <w:highlight w:val="none"/>
          <w:lang w:val="en-US"/>
        </w:rPr>
      </w:pPr>
      <w:r>
        <w:rPr>
          <w:rFonts w:hint="eastAsia"/>
          <w:color w:val="auto"/>
          <w:highlight w:val="none"/>
          <w:lang w:val="en-US" w:eastAsia="zh-CN"/>
        </w:rPr>
        <w:t>28.15</w:t>
      </w:r>
      <w:r>
        <w:rPr>
          <w:rFonts w:hint="eastAsia"/>
          <w:color w:val="auto"/>
          <w:highlight w:val="none"/>
          <w:lang w:val="en-US"/>
        </w:rPr>
        <w:t>不同</w:t>
      </w:r>
      <w:r>
        <w:rPr>
          <w:rFonts w:hint="eastAsia"/>
          <w:color w:val="auto"/>
          <w:highlight w:val="none"/>
          <w:lang w:val="en-US" w:eastAsia="zh-CN"/>
        </w:rPr>
        <w:t>供应商</w:t>
      </w:r>
      <w:r>
        <w:rPr>
          <w:rFonts w:hint="eastAsia"/>
          <w:color w:val="auto"/>
          <w:highlight w:val="none"/>
          <w:lang w:val="en-US"/>
        </w:rPr>
        <w:t>IP地址相同的，</w:t>
      </w:r>
      <w:r>
        <w:rPr>
          <w:rFonts w:hint="eastAsia"/>
          <w:color w:val="auto"/>
          <w:highlight w:val="none"/>
          <w:lang w:val="en-US" w:eastAsia="zh-CN"/>
        </w:rPr>
        <w:t>供应商</w:t>
      </w:r>
      <w:r>
        <w:rPr>
          <w:rFonts w:hint="eastAsia"/>
          <w:color w:val="auto"/>
          <w:highlight w:val="none"/>
          <w:lang w:val="en-US"/>
        </w:rPr>
        <w:t>未作合理说明，或理由不充分的，作无效响应处理。</w:t>
      </w:r>
    </w:p>
    <w:p w14:paraId="5C4D02AE">
      <w:pPr>
        <w:pStyle w:val="11"/>
        <w:spacing w:line="360" w:lineRule="auto"/>
        <w:ind w:firstLine="480" w:firstLineChars="200"/>
        <w:rPr>
          <w:rFonts w:hint="eastAsia"/>
          <w:color w:val="auto"/>
          <w:highlight w:val="none"/>
          <w:lang w:val="en-US"/>
        </w:rPr>
      </w:pPr>
      <w:r>
        <w:rPr>
          <w:rFonts w:hint="eastAsia"/>
          <w:color w:val="auto"/>
          <w:highlight w:val="none"/>
          <w:lang w:val="en-US" w:eastAsia="zh-CN"/>
        </w:rPr>
        <w:t>28.16</w:t>
      </w:r>
      <w:r>
        <w:rPr>
          <w:rFonts w:hint="eastAsia"/>
          <w:color w:val="auto"/>
          <w:highlight w:val="none"/>
          <w:lang w:val="en-US"/>
        </w:rPr>
        <w:t>不同</w:t>
      </w:r>
      <w:r>
        <w:rPr>
          <w:rFonts w:hint="eastAsia"/>
          <w:color w:val="auto"/>
          <w:highlight w:val="none"/>
          <w:lang w:val="en-US" w:eastAsia="zh-CN"/>
        </w:rPr>
        <w:t>供应商</w:t>
      </w:r>
      <w:r>
        <w:rPr>
          <w:rFonts w:hint="eastAsia"/>
          <w:color w:val="auto"/>
          <w:highlight w:val="none"/>
          <w:lang w:val="en-US"/>
        </w:rPr>
        <w:t>MAC、设备硬件信息相同的，作无效响应处理，经核实存在串围标情形的，由财政部门按规定处理。</w:t>
      </w:r>
    </w:p>
    <w:p w14:paraId="79921397">
      <w:pPr>
        <w:pStyle w:val="11"/>
        <w:spacing w:line="360" w:lineRule="auto"/>
        <w:ind w:firstLine="480" w:firstLineChars="200"/>
        <w:rPr>
          <w:rFonts w:hint="eastAsia"/>
          <w:color w:val="auto"/>
          <w:highlight w:val="none"/>
          <w:lang w:val="en-US"/>
        </w:rPr>
      </w:pPr>
      <w:r>
        <w:rPr>
          <w:rFonts w:hint="eastAsia"/>
          <w:color w:val="auto"/>
          <w:highlight w:val="none"/>
          <w:lang w:val="en-US"/>
        </w:rPr>
        <w:t>2</w:t>
      </w:r>
      <w:r>
        <w:rPr>
          <w:rFonts w:hint="eastAsia"/>
          <w:color w:val="auto"/>
          <w:highlight w:val="none"/>
          <w:lang w:val="en-US" w:eastAsia="zh-CN"/>
        </w:rPr>
        <w:t>8</w:t>
      </w:r>
      <w:r>
        <w:rPr>
          <w:rFonts w:hint="eastAsia"/>
          <w:color w:val="auto"/>
          <w:highlight w:val="none"/>
          <w:lang w:val="en-US"/>
        </w:rPr>
        <w:t>.1</w:t>
      </w:r>
      <w:r>
        <w:rPr>
          <w:rFonts w:hint="eastAsia"/>
          <w:color w:val="auto"/>
          <w:highlight w:val="none"/>
          <w:lang w:val="en-US" w:eastAsia="zh-CN"/>
        </w:rPr>
        <w:t>7</w:t>
      </w:r>
      <w:r>
        <w:rPr>
          <w:rFonts w:hint="eastAsia"/>
          <w:color w:val="auto"/>
          <w:highlight w:val="none"/>
          <w:lang w:val="en-US"/>
        </w:rPr>
        <w:t>磋商文件规定的其他响应文件无效情形。</w:t>
      </w:r>
    </w:p>
    <w:p w14:paraId="7F7BB8CD">
      <w:pPr>
        <w:pStyle w:val="3"/>
        <w:tabs>
          <w:tab w:val="left" w:pos="1291"/>
        </w:tabs>
        <w:spacing w:before="0" w:line="360" w:lineRule="auto"/>
        <w:ind w:left="0"/>
        <w:jc w:val="left"/>
        <w:rPr>
          <w:color w:val="auto"/>
          <w:highlight w:val="none"/>
          <w:lang w:val="en-US"/>
        </w:rPr>
      </w:pPr>
      <w:bookmarkStart w:id="47" w:name="_Toc12224"/>
      <w:r>
        <w:rPr>
          <w:rFonts w:hint="eastAsia"/>
          <w:color w:val="auto"/>
          <w:highlight w:val="none"/>
          <w:lang w:val="en-US"/>
        </w:rPr>
        <w:t>八  法律责任</w:t>
      </w:r>
      <w:bookmarkEnd w:id="47"/>
    </w:p>
    <w:p w14:paraId="265C80BD">
      <w:pPr>
        <w:pStyle w:val="11"/>
        <w:spacing w:line="360" w:lineRule="auto"/>
        <w:ind w:firstLine="482" w:firstLineChars="200"/>
        <w:rPr>
          <w:b/>
          <w:bCs/>
          <w:color w:val="auto"/>
          <w:highlight w:val="none"/>
        </w:rPr>
      </w:pPr>
      <w:bookmarkStart w:id="48" w:name="九___询问"/>
      <w:bookmarkEnd w:id="48"/>
      <w:r>
        <w:rPr>
          <w:rFonts w:hint="eastAsia"/>
          <w:b/>
          <w:bCs/>
          <w:color w:val="auto"/>
          <w:highlight w:val="none"/>
          <w:lang w:val="en-US"/>
        </w:rPr>
        <w:t>29.</w:t>
      </w:r>
      <w:r>
        <w:rPr>
          <w:rFonts w:hint="eastAsia"/>
          <w:b/>
          <w:bCs/>
          <w:color w:val="auto"/>
          <w:highlight w:val="none"/>
        </w:rPr>
        <w:t>供应商有下列情形之一的，处以政府采购项目成交金额千分之五以上千分之  十以下的罚款，列入不良行为记录名单，在一至三年内禁止参加政府采购活动，并予  以公告，有违法所得的，并处没收违法所得，情节严重的，由工商行政管理机关吊销  营业执照；构成犯罪的，依法追究刑事责任：</w:t>
      </w:r>
    </w:p>
    <w:p w14:paraId="3476CA4D">
      <w:pPr>
        <w:pStyle w:val="11"/>
        <w:spacing w:line="360" w:lineRule="auto"/>
        <w:ind w:firstLine="480" w:firstLineChars="200"/>
        <w:rPr>
          <w:color w:val="auto"/>
          <w:highlight w:val="none"/>
          <w:lang w:val="en-US"/>
        </w:rPr>
      </w:pPr>
      <w:r>
        <w:rPr>
          <w:rFonts w:hint="eastAsia"/>
          <w:color w:val="auto"/>
          <w:highlight w:val="none"/>
          <w:lang w:val="en-US"/>
        </w:rPr>
        <w:t>29.1提供虚假材料谋取成交的；</w:t>
      </w:r>
    </w:p>
    <w:p w14:paraId="2C5315F8">
      <w:pPr>
        <w:pStyle w:val="11"/>
        <w:spacing w:line="360" w:lineRule="auto"/>
        <w:ind w:firstLine="480" w:firstLineChars="200"/>
        <w:rPr>
          <w:color w:val="auto"/>
          <w:highlight w:val="none"/>
          <w:lang w:val="en-US"/>
        </w:rPr>
      </w:pPr>
      <w:r>
        <w:rPr>
          <w:rFonts w:hint="eastAsia"/>
          <w:color w:val="auto"/>
          <w:highlight w:val="none"/>
          <w:lang w:val="en-US"/>
        </w:rPr>
        <w:t>29.2采取不正当手段诋毁、排挤其他供应商的；</w:t>
      </w:r>
    </w:p>
    <w:p w14:paraId="0496EB32">
      <w:pPr>
        <w:pStyle w:val="11"/>
        <w:spacing w:line="360" w:lineRule="auto"/>
        <w:ind w:firstLine="480" w:firstLineChars="200"/>
        <w:rPr>
          <w:color w:val="auto"/>
          <w:highlight w:val="none"/>
          <w:lang w:val="en-US"/>
        </w:rPr>
      </w:pPr>
      <w:r>
        <w:rPr>
          <w:rFonts w:hint="eastAsia"/>
          <w:color w:val="auto"/>
          <w:highlight w:val="none"/>
          <w:lang w:val="en-US"/>
        </w:rPr>
        <w:t>29.3与采购人、其他供应商或者采购代理机构恶意串通的；</w:t>
      </w:r>
    </w:p>
    <w:p w14:paraId="54D567F1">
      <w:pPr>
        <w:pStyle w:val="11"/>
        <w:spacing w:line="360" w:lineRule="auto"/>
        <w:ind w:firstLine="480" w:firstLineChars="200"/>
        <w:rPr>
          <w:color w:val="auto"/>
          <w:highlight w:val="none"/>
          <w:lang w:val="en-US"/>
        </w:rPr>
      </w:pPr>
      <w:r>
        <w:rPr>
          <w:rFonts w:hint="eastAsia"/>
          <w:color w:val="auto"/>
          <w:highlight w:val="none"/>
          <w:lang w:val="en-US"/>
        </w:rPr>
        <w:t>29.4向采购人、采购代理机构行贿或者提供其他不正当利益的；</w:t>
      </w:r>
    </w:p>
    <w:p w14:paraId="3357D213">
      <w:pPr>
        <w:pStyle w:val="11"/>
        <w:spacing w:line="360" w:lineRule="auto"/>
        <w:ind w:firstLine="480" w:firstLineChars="200"/>
        <w:rPr>
          <w:color w:val="auto"/>
          <w:highlight w:val="none"/>
          <w:lang w:val="en-US"/>
        </w:rPr>
      </w:pPr>
      <w:r>
        <w:rPr>
          <w:rFonts w:hint="eastAsia"/>
          <w:color w:val="auto"/>
          <w:highlight w:val="none"/>
          <w:lang w:val="en-US"/>
        </w:rPr>
        <w:t>29.5在招标采购过程中与采购人进行协商谈判的；</w:t>
      </w:r>
    </w:p>
    <w:p w14:paraId="3CCC326C">
      <w:pPr>
        <w:pStyle w:val="11"/>
        <w:spacing w:line="360" w:lineRule="auto"/>
        <w:ind w:firstLine="480" w:firstLineChars="200"/>
        <w:rPr>
          <w:color w:val="auto"/>
          <w:highlight w:val="none"/>
          <w:lang w:val="en-US"/>
        </w:rPr>
      </w:pPr>
      <w:r>
        <w:rPr>
          <w:rFonts w:hint="eastAsia"/>
          <w:color w:val="auto"/>
          <w:highlight w:val="none"/>
          <w:lang w:val="en-US"/>
        </w:rPr>
        <w:t>29.6拒绝有关部门监督检查或者提供虚假情况的；</w:t>
      </w:r>
    </w:p>
    <w:p w14:paraId="4B4034A4">
      <w:pPr>
        <w:pStyle w:val="11"/>
        <w:spacing w:line="360" w:lineRule="auto"/>
        <w:ind w:firstLine="480" w:firstLineChars="200"/>
        <w:rPr>
          <w:color w:val="auto"/>
          <w:highlight w:val="none"/>
          <w:lang w:val="en-US"/>
        </w:rPr>
      </w:pPr>
      <w:r>
        <w:rPr>
          <w:rFonts w:hint="eastAsia"/>
          <w:color w:val="auto"/>
          <w:highlight w:val="none"/>
          <w:lang w:val="en-US"/>
        </w:rPr>
        <w:t>供应商有前款 29.1 至 29.6 项情形之一的，成交无效。</w:t>
      </w:r>
    </w:p>
    <w:p w14:paraId="0AE9F239">
      <w:pPr>
        <w:pStyle w:val="11"/>
        <w:spacing w:line="360" w:lineRule="auto"/>
        <w:ind w:firstLine="482" w:firstLineChars="200"/>
        <w:rPr>
          <w:b/>
          <w:bCs/>
          <w:color w:val="auto"/>
          <w:highlight w:val="none"/>
        </w:rPr>
      </w:pPr>
      <w:r>
        <w:rPr>
          <w:rFonts w:hint="eastAsia"/>
          <w:b/>
          <w:bCs/>
          <w:color w:val="auto"/>
          <w:highlight w:val="none"/>
          <w:lang w:val="en-US"/>
        </w:rPr>
        <w:t>30.</w:t>
      </w:r>
      <w:r>
        <w:rPr>
          <w:rFonts w:hint="eastAsia"/>
          <w:b/>
          <w:bCs/>
          <w:color w:val="auto"/>
          <w:highlight w:val="none"/>
        </w:rPr>
        <w:t>供应商有下列情形之一的，依照政府采购法第七十七条第一款的规定追究法  律责任：</w:t>
      </w:r>
    </w:p>
    <w:p w14:paraId="078BB13F">
      <w:pPr>
        <w:pStyle w:val="11"/>
        <w:spacing w:line="360" w:lineRule="auto"/>
        <w:ind w:firstLine="480" w:firstLineChars="200"/>
        <w:rPr>
          <w:color w:val="auto"/>
          <w:highlight w:val="none"/>
          <w:lang w:val="en-US"/>
        </w:rPr>
      </w:pPr>
      <w:r>
        <w:rPr>
          <w:rFonts w:hint="eastAsia"/>
          <w:color w:val="auto"/>
          <w:highlight w:val="none"/>
          <w:lang w:val="en-US"/>
        </w:rPr>
        <w:t>30.1向评标委员会或者评标委员会成员行贿或者提供其他不正当利益；</w:t>
      </w:r>
    </w:p>
    <w:p w14:paraId="0B333F8F">
      <w:pPr>
        <w:pStyle w:val="11"/>
        <w:spacing w:line="360" w:lineRule="auto"/>
        <w:ind w:firstLine="480" w:firstLineChars="200"/>
        <w:rPr>
          <w:color w:val="auto"/>
          <w:highlight w:val="none"/>
          <w:lang w:val="en-US"/>
        </w:rPr>
      </w:pPr>
      <w:r>
        <w:rPr>
          <w:rFonts w:hint="eastAsia"/>
          <w:color w:val="auto"/>
          <w:highlight w:val="none"/>
          <w:lang w:val="en-US"/>
        </w:rPr>
        <w:t>30.2中标或者成交后无正当理由拒不与采购人签订政府采购合同；</w:t>
      </w:r>
    </w:p>
    <w:p w14:paraId="34DF9284">
      <w:pPr>
        <w:pStyle w:val="11"/>
        <w:spacing w:line="360" w:lineRule="auto"/>
        <w:ind w:firstLine="480" w:firstLineChars="200"/>
        <w:rPr>
          <w:color w:val="auto"/>
          <w:highlight w:val="none"/>
          <w:lang w:val="en-US"/>
        </w:rPr>
      </w:pPr>
      <w:r>
        <w:rPr>
          <w:rFonts w:hint="eastAsia"/>
          <w:color w:val="auto"/>
          <w:highlight w:val="none"/>
          <w:lang w:val="en-US"/>
        </w:rPr>
        <w:t>30.3未按照磋商文件确定的事项签订政府采购合同；</w:t>
      </w:r>
    </w:p>
    <w:p w14:paraId="4FC4AAEE">
      <w:pPr>
        <w:pStyle w:val="11"/>
        <w:spacing w:line="360" w:lineRule="auto"/>
        <w:ind w:firstLine="480" w:firstLineChars="200"/>
        <w:rPr>
          <w:color w:val="auto"/>
          <w:highlight w:val="none"/>
          <w:lang w:val="en-US"/>
        </w:rPr>
      </w:pPr>
      <w:r>
        <w:rPr>
          <w:rFonts w:hint="eastAsia"/>
          <w:color w:val="auto"/>
          <w:highlight w:val="none"/>
          <w:lang w:val="en-US"/>
        </w:rPr>
        <w:t>30.4将政府采购合同转包；</w:t>
      </w:r>
    </w:p>
    <w:p w14:paraId="27C08379">
      <w:pPr>
        <w:pStyle w:val="11"/>
        <w:spacing w:line="360" w:lineRule="auto"/>
        <w:ind w:firstLine="480" w:firstLineChars="200"/>
        <w:rPr>
          <w:color w:val="auto"/>
          <w:highlight w:val="none"/>
          <w:lang w:val="en-US"/>
        </w:rPr>
      </w:pPr>
      <w:r>
        <w:rPr>
          <w:rFonts w:hint="eastAsia"/>
          <w:color w:val="auto"/>
          <w:highlight w:val="none"/>
          <w:lang w:val="en-US"/>
        </w:rPr>
        <w:t>30.5提供假冒伪劣产品；</w:t>
      </w:r>
    </w:p>
    <w:p w14:paraId="010C5C42">
      <w:pPr>
        <w:pStyle w:val="11"/>
        <w:spacing w:line="360" w:lineRule="auto"/>
        <w:ind w:firstLine="480" w:firstLineChars="200"/>
        <w:rPr>
          <w:color w:val="auto"/>
          <w:highlight w:val="none"/>
          <w:lang w:val="en-US"/>
        </w:rPr>
      </w:pPr>
      <w:r>
        <w:rPr>
          <w:rFonts w:hint="eastAsia"/>
          <w:color w:val="auto"/>
          <w:highlight w:val="none"/>
          <w:lang w:val="en-US"/>
        </w:rPr>
        <w:t>30.6擅自变更、中止或者终止政府采购合同。</w:t>
      </w:r>
    </w:p>
    <w:p w14:paraId="6477859F">
      <w:pPr>
        <w:pStyle w:val="11"/>
        <w:spacing w:line="360" w:lineRule="auto"/>
        <w:ind w:firstLine="480" w:firstLineChars="200"/>
        <w:rPr>
          <w:color w:val="auto"/>
          <w:highlight w:val="none"/>
          <w:lang w:val="en-US"/>
        </w:rPr>
      </w:pPr>
      <w:r>
        <w:rPr>
          <w:rFonts w:hint="eastAsia"/>
          <w:color w:val="auto"/>
          <w:highlight w:val="none"/>
          <w:lang w:val="en-US"/>
        </w:rPr>
        <w:t>供应商有前款第一项规定情形的，成交无效。评审阶段资格发生变化，供应商未依照《中华人民共和国政府采购法实施条例》第二十一条的规定通知采购人和采购代理机构的，处以采购金额 5‰的罚款，列入不良行为记录名单，成交无效。</w:t>
      </w:r>
    </w:p>
    <w:p w14:paraId="1617FE1E">
      <w:pPr>
        <w:pStyle w:val="11"/>
        <w:spacing w:line="360" w:lineRule="auto"/>
        <w:ind w:firstLine="482" w:firstLineChars="200"/>
        <w:rPr>
          <w:b/>
          <w:bCs/>
          <w:color w:val="auto"/>
          <w:highlight w:val="none"/>
        </w:rPr>
      </w:pPr>
      <w:r>
        <w:rPr>
          <w:rFonts w:hint="eastAsia"/>
          <w:b/>
          <w:bCs/>
          <w:color w:val="auto"/>
          <w:highlight w:val="none"/>
          <w:lang w:val="en-US"/>
        </w:rPr>
        <w:t>31.</w:t>
      </w:r>
      <w:r>
        <w:rPr>
          <w:rFonts w:hint="eastAsia"/>
          <w:b/>
          <w:bCs/>
          <w:color w:val="auto"/>
          <w:highlight w:val="none"/>
        </w:rPr>
        <w:t>供应商捏造事实、提供虚假材料或者以非法手段取得证明材料进行投诉的，  由财政部门列入不良行为记录名单，禁止其 1 至 3 年内参加政府采购活动。</w:t>
      </w:r>
    </w:p>
    <w:p w14:paraId="18AAAA01">
      <w:pPr>
        <w:pStyle w:val="11"/>
        <w:spacing w:line="360" w:lineRule="auto"/>
        <w:ind w:firstLine="482" w:firstLineChars="200"/>
        <w:rPr>
          <w:b/>
          <w:bCs/>
          <w:color w:val="auto"/>
          <w:highlight w:val="none"/>
        </w:rPr>
      </w:pPr>
      <w:r>
        <w:rPr>
          <w:rFonts w:hint="eastAsia"/>
          <w:b/>
          <w:bCs/>
          <w:color w:val="auto"/>
          <w:highlight w:val="none"/>
          <w:lang w:val="en-US"/>
        </w:rPr>
        <w:t>32.</w:t>
      </w:r>
      <w:r>
        <w:rPr>
          <w:rFonts w:hint="eastAsia"/>
          <w:b/>
          <w:bCs/>
          <w:color w:val="auto"/>
          <w:highlight w:val="none"/>
        </w:rPr>
        <w:t>有下列情形之一的，属于恶意串通，对供应商依照政府采购法第七十七条第  一款的规定追究法律责任，对采购人、采购代理机构及其工作人员依照政府采购法第  七十二条的规定追究法律责任：</w:t>
      </w:r>
    </w:p>
    <w:p w14:paraId="00226A8D">
      <w:pPr>
        <w:pStyle w:val="11"/>
        <w:spacing w:line="360" w:lineRule="auto"/>
        <w:ind w:firstLine="480" w:firstLineChars="200"/>
        <w:rPr>
          <w:color w:val="auto"/>
          <w:highlight w:val="none"/>
          <w:lang w:val="en-US"/>
        </w:rPr>
      </w:pPr>
      <w:r>
        <w:rPr>
          <w:rFonts w:hint="eastAsia"/>
          <w:color w:val="auto"/>
          <w:highlight w:val="none"/>
          <w:lang w:val="en-US"/>
        </w:rPr>
        <w:t>32.1供应商直接或者间接从采购人或者采购代理机构处获得其他供应商的相关情况并修改其响应文件；</w:t>
      </w:r>
    </w:p>
    <w:p w14:paraId="2ACE6A34">
      <w:pPr>
        <w:pStyle w:val="11"/>
        <w:spacing w:line="360" w:lineRule="auto"/>
        <w:ind w:firstLine="480" w:firstLineChars="200"/>
        <w:rPr>
          <w:color w:val="auto"/>
          <w:highlight w:val="none"/>
          <w:lang w:val="en-US"/>
        </w:rPr>
      </w:pPr>
      <w:r>
        <w:rPr>
          <w:rFonts w:hint="eastAsia"/>
          <w:color w:val="auto"/>
          <w:highlight w:val="none"/>
          <w:lang w:val="en-US"/>
        </w:rPr>
        <w:t>32.2供应商按照采购人或者采购代理机构的授意撤换、修改响应文件；</w:t>
      </w:r>
    </w:p>
    <w:p w14:paraId="23F77652">
      <w:pPr>
        <w:pStyle w:val="11"/>
        <w:spacing w:line="360" w:lineRule="auto"/>
        <w:ind w:firstLine="480" w:firstLineChars="200"/>
        <w:rPr>
          <w:color w:val="auto"/>
          <w:highlight w:val="none"/>
          <w:lang w:val="en-US"/>
        </w:rPr>
      </w:pPr>
      <w:r>
        <w:rPr>
          <w:rFonts w:hint="eastAsia"/>
          <w:color w:val="auto"/>
          <w:highlight w:val="none"/>
          <w:lang w:val="en-US"/>
        </w:rPr>
        <w:t>32.3供应商之间协商报价、技术方案等响应文件的实质性内容；</w:t>
      </w:r>
    </w:p>
    <w:p w14:paraId="7745838D">
      <w:pPr>
        <w:pStyle w:val="11"/>
        <w:spacing w:line="360" w:lineRule="auto"/>
        <w:ind w:firstLine="480" w:firstLineChars="200"/>
        <w:rPr>
          <w:color w:val="auto"/>
          <w:highlight w:val="none"/>
          <w:lang w:val="en-US"/>
        </w:rPr>
      </w:pPr>
      <w:r>
        <w:rPr>
          <w:rFonts w:hint="eastAsia"/>
          <w:color w:val="auto"/>
          <w:highlight w:val="none"/>
          <w:lang w:val="en-US"/>
        </w:rPr>
        <w:t>32.4属于同一集团、协会、商会等组织成员的供应商按照该组织要求协同参加政府采购活动；</w:t>
      </w:r>
    </w:p>
    <w:p w14:paraId="66EBB9F3">
      <w:pPr>
        <w:pStyle w:val="11"/>
        <w:spacing w:line="360" w:lineRule="auto"/>
        <w:ind w:firstLine="480" w:firstLineChars="200"/>
        <w:rPr>
          <w:color w:val="auto"/>
          <w:highlight w:val="none"/>
          <w:lang w:val="en-US"/>
        </w:rPr>
      </w:pPr>
      <w:r>
        <w:rPr>
          <w:rFonts w:hint="eastAsia"/>
          <w:color w:val="auto"/>
          <w:highlight w:val="none"/>
          <w:lang w:val="en-US"/>
        </w:rPr>
        <w:t>32.5供应商之间事先约定由某一特定供应商中标、成交；</w:t>
      </w:r>
    </w:p>
    <w:p w14:paraId="19881B08">
      <w:pPr>
        <w:pStyle w:val="11"/>
        <w:spacing w:line="360" w:lineRule="auto"/>
        <w:ind w:firstLine="480" w:firstLineChars="200"/>
        <w:rPr>
          <w:color w:val="auto"/>
          <w:highlight w:val="none"/>
          <w:lang w:val="en-US"/>
        </w:rPr>
      </w:pPr>
      <w:r>
        <w:rPr>
          <w:rFonts w:hint="eastAsia"/>
          <w:color w:val="auto"/>
          <w:highlight w:val="none"/>
          <w:lang w:val="en-US"/>
        </w:rPr>
        <w:t>32.6供应商之间商定部分供应商放弃参加政府采购活动或者放弃中标、成交；</w:t>
      </w:r>
    </w:p>
    <w:p w14:paraId="403F92ED">
      <w:pPr>
        <w:pStyle w:val="11"/>
        <w:spacing w:line="360" w:lineRule="auto"/>
        <w:ind w:firstLine="480" w:firstLineChars="200"/>
        <w:rPr>
          <w:color w:val="auto"/>
          <w:highlight w:val="none"/>
          <w:lang w:val="en-US"/>
        </w:rPr>
      </w:pPr>
      <w:r>
        <w:rPr>
          <w:rFonts w:hint="eastAsia"/>
          <w:color w:val="auto"/>
          <w:highlight w:val="none"/>
          <w:lang w:val="en-US"/>
        </w:rPr>
        <w:t>32.7供应商与采购人或者采购代理机构之间、供应商相互之间，为谋求特定供应商中标、成交或者排斥其他供应商的其他串通行为；</w:t>
      </w:r>
    </w:p>
    <w:p w14:paraId="23877994">
      <w:pPr>
        <w:pStyle w:val="11"/>
        <w:spacing w:line="360" w:lineRule="auto"/>
        <w:ind w:firstLine="480" w:firstLineChars="200"/>
        <w:rPr>
          <w:color w:val="auto"/>
          <w:highlight w:val="none"/>
          <w:lang w:val="en-US"/>
        </w:rPr>
      </w:pPr>
      <w:r>
        <w:rPr>
          <w:rFonts w:hint="eastAsia"/>
          <w:color w:val="auto"/>
          <w:highlight w:val="none"/>
          <w:lang w:val="en-US"/>
        </w:rPr>
        <w:t>32.8不同供应商的响应文件由同一单位或者个人编制；</w:t>
      </w:r>
    </w:p>
    <w:p w14:paraId="71DC38A1">
      <w:pPr>
        <w:pStyle w:val="11"/>
        <w:spacing w:line="360" w:lineRule="auto"/>
        <w:ind w:firstLine="480" w:firstLineChars="200"/>
        <w:rPr>
          <w:color w:val="auto"/>
          <w:highlight w:val="none"/>
          <w:lang w:val="en-US"/>
        </w:rPr>
      </w:pPr>
      <w:r>
        <w:rPr>
          <w:rFonts w:hint="eastAsia"/>
          <w:color w:val="auto"/>
          <w:highlight w:val="none"/>
          <w:lang w:val="en-US"/>
        </w:rPr>
        <w:t>32.9不同供应商委托同一单位或者个人办理磋商事宜；</w:t>
      </w:r>
    </w:p>
    <w:p w14:paraId="45AA28DF">
      <w:pPr>
        <w:pStyle w:val="11"/>
        <w:spacing w:line="360" w:lineRule="auto"/>
        <w:ind w:firstLine="480" w:firstLineChars="200"/>
        <w:rPr>
          <w:color w:val="auto"/>
          <w:highlight w:val="none"/>
          <w:lang w:val="en-US"/>
        </w:rPr>
      </w:pPr>
      <w:r>
        <w:rPr>
          <w:rFonts w:hint="eastAsia"/>
          <w:color w:val="auto"/>
          <w:highlight w:val="none"/>
          <w:lang w:val="en-US"/>
        </w:rPr>
        <w:t>32.10不同供应商的响应文件载明的项目管理成员或者联系人员为同一人；</w:t>
      </w:r>
    </w:p>
    <w:p w14:paraId="35B808F2">
      <w:pPr>
        <w:pStyle w:val="11"/>
        <w:spacing w:line="360" w:lineRule="auto"/>
        <w:ind w:firstLine="480" w:firstLineChars="200"/>
        <w:rPr>
          <w:color w:val="auto"/>
          <w:highlight w:val="none"/>
          <w:lang w:val="en-US"/>
        </w:rPr>
      </w:pPr>
      <w:r>
        <w:rPr>
          <w:rFonts w:hint="eastAsia"/>
          <w:color w:val="auto"/>
          <w:highlight w:val="none"/>
          <w:lang w:val="en-US"/>
        </w:rPr>
        <w:t>32.11不同供应商的响应文件异常一致或者磋商报价呈规律性差异；</w:t>
      </w:r>
    </w:p>
    <w:p w14:paraId="3D3579E3">
      <w:pPr>
        <w:pStyle w:val="11"/>
        <w:spacing w:line="360" w:lineRule="auto"/>
        <w:ind w:firstLine="480" w:firstLineChars="200"/>
        <w:rPr>
          <w:color w:val="auto"/>
          <w:highlight w:val="none"/>
          <w:lang w:val="en-US"/>
        </w:rPr>
      </w:pPr>
      <w:r>
        <w:rPr>
          <w:rFonts w:hint="eastAsia"/>
          <w:color w:val="auto"/>
          <w:highlight w:val="none"/>
          <w:lang w:val="en-US"/>
        </w:rPr>
        <w:t>32.12不同供应商的响应文件相互混装。</w:t>
      </w:r>
    </w:p>
    <w:p w14:paraId="22932B42">
      <w:pPr>
        <w:pStyle w:val="3"/>
        <w:tabs>
          <w:tab w:val="left" w:pos="1291"/>
        </w:tabs>
        <w:spacing w:before="0" w:line="360" w:lineRule="auto"/>
        <w:ind w:left="0"/>
        <w:jc w:val="left"/>
        <w:rPr>
          <w:color w:val="auto"/>
          <w:highlight w:val="none"/>
          <w:lang w:val="en-US"/>
        </w:rPr>
      </w:pPr>
      <w:bookmarkStart w:id="49" w:name="_Toc14657"/>
      <w:r>
        <w:rPr>
          <w:rFonts w:hint="eastAsia"/>
          <w:color w:val="auto"/>
          <w:highlight w:val="none"/>
          <w:lang w:val="en-US"/>
        </w:rPr>
        <w:t>九  询问</w:t>
      </w:r>
      <w:bookmarkEnd w:id="49"/>
    </w:p>
    <w:p w14:paraId="689CC0DC">
      <w:pPr>
        <w:pStyle w:val="11"/>
        <w:spacing w:line="360" w:lineRule="auto"/>
        <w:ind w:firstLine="480" w:firstLineChars="200"/>
        <w:rPr>
          <w:color w:val="auto"/>
          <w:highlight w:val="none"/>
        </w:rPr>
      </w:pPr>
      <w:bookmarkStart w:id="50" w:name="十___质疑"/>
      <w:bookmarkEnd w:id="50"/>
      <w:r>
        <w:rPr>
          <w:rFonts w:hint="eastAsia"/>
          <w:color w:val="auto"/>
          <w:highlight w:val="none"/>
          <w:lang w:val="en-US"/>
        </w:rPr>
        <w:t>33.</w:t>
      </w:r>
      <w:r>
        <w:rPr>
          <w:rFonts w:hint="eastAsia"/>
          <w:color w:val="auto"/>
          <w:highlight w:val="none"/>
        </w:rPr>
        <w:t>供应商有权就采购活动的事项在有效时限内提出询问。</w:t>
      </w:r>
    </w:p>
    <w:p w14:paraId="27D33457">
      <w:pPr>
        <w:pStyle w:val="11"/>
        <w:spacing w:line="360" w:lineRule="auto"/>
        <w:ind w:firstLine="480" w:firstLineChars="200"/>
        <w:rPr>
          <w:color w:val="auto"/>
          <w:highlight w:val="none"/>
          <w:lang w:val="en-US"/>
        </w:rPr>
      </w:pPr>
      <w:r>
        <w:rPr>
          <w:rFonts w:hint="eastAsia"/>
          <w:color w:val="auto"/>
          <w:highlight w:val="none"/>
          <w:lang w:val="en-US"/>
        </w:rPr>
        <w:t>33.1供应商对采购活动事项有疑问的，可向采购代理机构提出询问，采购代理机构将在 3 个工作日内对供应商依法提出的询问作出答复，但答复的内容不涉及商业秘密。</w:t>
      </w:r>
    </w:p>
    <w:p w14:paraId="4C72E8D8">
      <w:pPr>
        <w:pStyle w:val="11"/>
        <w:spacing w:line="360" w:lineRule="auto"/>
        <w:ind w:firstLine="480" w:firstLineChars="200"/>
        <w:rPr>
          <w:color w:val="auto"/>
          <w:highlight w:val="none"/>
          <w:lang w:val="en-US"/>
        </w:rPr>
      </w:pPr>
      <w:r>
        <w:rPr>
          <w:rFonts w:hint="eastAsia"/>
          <w:color w:val="auto"/>
          <w:highlight w:val="none"/>
          <w:lang w:val="en-US"/>
        </w:rPr>
        <w:t>33.2对磋商文件有疑问的，应在规定的时间内向采购代理机构书面提出。</w:t>
      </w:r>
    </w:p>
    <w:p w14:paraId="2FC90A6F">
      <w:pPr>
        <w:pStyle w:val="11"/>
        <w:spacing w:line="360" w:lineRule="auto"/>
        <w:ind w:firstLine="480" w:firstLineChars="200"/>
        <w:rPr>
          <w:color w:val="auto"/>
          <w:highlight w:val="none"/>
          <w:lang w:val="en-US"/>
        </w:rPr>
      </w:pPr>
      <w:r>
        <w:rPr>
          <w:rFonts w:hint="eastAsia"/>
          <w:color w:val="auto"/>
          <w:highlight w:val="none"/>
          <w:lang w:val="en-US"/>
        </w:rPr>
        <w:t>33.2.1采购代理机构为合理安排工作进度，建议供应商在规定时间前，准备好需答疑、澄清的内容（内容包括：磋商文件内容、技术参数是否具有排他性或独有性以及是否有违反三公原则的内容等），以书面形式送达或传真至采购代理机构项目负责人。</w:t>
      </w:r>
    </w:p>
    <w:p w14:paraId="157AC61A">
      <w:pPr>
        <w:pStyle w:val="11"/>
        <w:spacing w:line="360" w:lineRule="auto"/>
        <w:ind w:firstLine="480" w:firstLineChars="200"/>
        <w:rPr>
          <w:color w:val="auto"/>
          <w:highlight w:val="none"/>
          <w:lang w:val="en-US"/>
        </w:rPr>
      </w:pPr>
      <w:r>
        <w:rPr>
          <w:rFonts w:hint="eastAsia"/>
          <w:color w:val="auto"/>
          <w:highlight w:val="none"/>
          <w:lang w:val="en-US"/>
        </w:rPr>
        <w:t>33.2.2采购代理机构将在磋商截止时间</w:t>
      </w:r>
      <w:r>
        <w:rPr>
          <w:rFonts w:hint="eastAsia"/>
          <w:color w:val="auto"/>
          <w:highlight w:val="none"/>
          <w:lang w:val="en-US" w:eastAsia="zh-CN"/>
        </w:rPr>
        <w:t>5日前</w:t>
      </w:r>
      <w:r>
        <w:rPr>
          <w:rFonts w:hint="eastAsia"/>
          <w:color w:val="auto"/>
          <w:highlight w:val="none"/>
          <w:lang w:val="en-US"/>
        </w:rPr>
        <w:t>对供应商澄清的要求予以答复，答复内容将在丽水市公共资源交易网（</w:t>
      </w:r>
      <w:r>
        <w:rPr>
          <w:rFonts w:hint="eastAsia"/>
          <w:color w:val="auto"/>
          <w:highlight w:val="none"/>
        </w:rPr>
        <w:t>https://lssggzy.lishui.gov.cn/</w:t>
      </w:r>
      <w:r>
        <w:rPr>
          <w:rFonts w:hint="eastAsia"/>
          <w:color w:val="auto"/>
          <w:highlight w:val="none"/>
          <w:lang w:val="en-US"/>
        </w:rPr>
        <w:t>） 和浙江省政府采购网（https://zfcg.czt.zj.gov.cn/）上予以公布，请供应商务必关注相关网站，供应商因自身贻误行为导致磋商失败的，责任自负。</w:t>
      </w:r>
    </w:p>
    <w:p w14:paraId="33A65F59">
      <w:pPr>
        <w:pStyle w:val="11"/>
        <w:spacing w:line="360" w:lineRule="auto"/>
        <w:ind w:firstLine="480" w:firstLineChars="200"/>
        <w:rPr>
          <w:color w:val="auto"/>
          <w:highlight w:val="none"/>
          <w:lang w:val="en-US"/>
        </w:rPr>
      </w:pPr>
      <w:r>
        <w:rPr>
          <w:rFonts w:hint="eastAsia"/>
          <w:color w:val="auto"/>
          <w:highlight w:val="none"/>
          <w:lang w:val="en-US"/>
        </w:rPr>
        <w:t>33.3供应商提出的询问超出采购人对采购代理机构委托授权范围的，采购代理机构应当告知供应商向采购人提出。</w:t>
      </w:r>
    </w:p>
    <w:p w14:paraId="38D48720">
      <w:pPr>
        <w:pStyle w:val="11"/>
        <w:spacing w:line="360" w:lineRule="auto"/>
        <w:ind w:firstLine="480" w:firstLineChars="200"/>
        <w:rPr>
          <w:color w:val="auto"/>
          <w:highlight w:val="none"/>
          <w:lang w:val="en-US"/>
        </w:rPr>
      </w:pPr>
      <w:r>
        <w:rPr>
          <w:rFonts w:hint="eastAsia"/>
          <w:color w:val="auto"/>
          <w:highlight w:val="none"/>
          <w:lang w:val="en-US"/>
        </w:rPr>
        <w:t>33.4政府采购评审专家应当配合采购人或者采购代理机构答复供应商的询问。</w:t>
      </w:r>
    </w:p>
    <w:p w14:paraId="3208D32D">
      <w:pPr>
        <w:pStyle w:val="3"/>
        <w:tabs>
          <w:tab w:val="left" w:pos="1291"/>
        </w:tabs>
        <w:spacing w:before="0" w:line="360" w:lineRule="auto"/>
        <w:ind w:left="0"/>
        <w:jc w:val="left"/>
        <w:rPr>
          <w:color w:val="auto"/>
          <w:highlight w:val="none"/>
          <w:lang w:val="en-US"/>
        </w:rPr>
      </w:pPr>
      <w:bookmarkStart w:id="51" w:name="_Toc9213"/>
      <w:r>
        <w:rPr>
          <w:rFonts w:hint="eastAsia"/>
          <w:color w:val="auto"/>
          <w:highlight w:val="none"/>
          <w:lang w:val="en-US"/>
        </w:rPr>
        <w:t>十  质疑</w:t>
      </w:r>
      <w:bookmarkEnd w:id="51"/>
    </w:p>
    <w:p w14:paraId="40FEA62B">
      <w:pPr>
        <w:pStyle w:val="11"/>
        <w:spacing w:line="360" w:lineRule="auto"/>
        <w:ind w:firstLine="480" w:firstLineChars="200"/>
        <w:rPr>
          <w:color w:val="auto"/>
          <w:highlight w:val="none"/>
          <w:lang w:val="en-US"/>
        </w:rPr>
      </w:pPr>
      <w:bookmarkStart w:id="52" w:name="十一__投诉"/>
      <w:bookmarkEnd w:id="52"/>
      <w:r>
        <w:rPr>
          <w:rFonts w:hint="eastAsia"/>
          <w:color w:val="auto"/>
          <w:highlight w:val="none"/>
          <w:lang w:val="en-US"/>
        </w:rPr>
        <w:t>34.1供应商认为采购文件、采购过程、中标或者成交结果使自己的权益受到损害的，可以在知道或者应知其权益受到损害之日起 7 个工作日内，以书面形式向采购人、采购代理机构一次性提出各采购程序环节的质疑。</w:t>
      </w:r>
    </w:p>
    <w:p w14:paraId="23ECAFA7">
      <w:pPr>
        <w:pStyle w:val="11"/>
        <w:spacing w:line="360" w:lineRule="auto"/>
        <w:ind w:firstLine="480" w:firstLineChars="200"/>
        <w:rPr>
          <w:color w:val="auto"/>
          <w:highlight w:val="none"/>
          <w:lang w:val="en-US"/>
        </w:rPr>
      </w:pPr>
      <w:r>
        <w:rPr>
          <w:rFonts w:hint="eastAsia"/>
          <w:color w:val="auto"/>
          <w:highlight w:val="none"/>
          <w:lang w:val="en-US"/>
        </w:rPr>
        <w:t>34.2质疑的主要内容应符合《政府采购质疑和投诉办法》规定以及浙江省和丽水市相关文件的规定。质疑内容涉及保密事项，质疑供应商应提供有效的信息来源或有效证据。</w:t>
      </w:r>
    </w:p>
    <w:p w14:paraId="67A2AE20">
      <w:pPr>
        <w:pStyle w:val="11"/>
        <w:spacing w:line="360" w:lineRule="auto"/>
        <w:ind w:firstLine="480" w:firstLineChars="200"/>
        <w:rPr>
          <w:color w:val="auto"/>
          <w:highlight w:val="none"/>
          <w:lang w:val="en-US"/>
        </w:rPr>
      </w:pPr>
      <w:r>
        <w:rPr>
          <w:rFonts w:hint="eastAsia"/>
          <w:color w:val="auto"/>
          <w:highlight w:val="none"/>
          <w:lang w:val="en-US"/>
        </w:rPr>
        <w:t>34.3质疑供应商可直接提交、传真或邮寄方式提交质疑书（一式三份以上）。以其他方式提出的质疑，采购代理机构可不予接受、答复。</w:t>
      </w:r>
    </w:p>
    <w:p w14:paraId="48BDB91E">
      <w:pPr>
        <w:pStyle w:val="11"/>
        <w:spacing w:line="360" w:lineRule="auto"/>
        <w:ind w:firstLine="480" w:firstLineChars="200"/>
        <w:rPr>
          <w:color w:val="auto"/>
          <w:highlight w:val="none"/>
          <w:lang w:val="en-US"/>
        </w:rPr>
      </w:pPr>
      <w:r>
        <w:rPr>
          <w:rFonts w:hint="eastAsia"/>
          <w:color w:val="auto"/>
          <w:highlight w:val="none"/>
          <w:lang w:val="en-US"/>
        </w:rPr>
        <w:t>34.3.1邮寄方式送达质疑书的，以采购代理机构实际收到邮件之日作为收到质疑的日期。</w:t>
      </w:r>
    </w:p>
    <w:p w14:paraId="42078185">
      <w:pPr>
        <w:pStyle w:val="11"/>
        <w:spacing w:line="360" w:lineRule="auto"/>
        <w:ind w:firstLine="480" w:firstLineChars="200"/>
        <w:rPr>
          <w:color w:val="auto"/>
          <w:highlight w:val="none"/>
          <w:lang w:val="en-US"/>
        </w:rPr>
      </w:pPr>
      <w:r>
        <w:rPr>
          <w:rFonts w:hint="eastAsia"/>
          <w:color w:val="auto"/>
          <w:highlight w:val="none"/>
          <w:lang w:val="en-US"/>
        </w:rPr>
        <w:t>34.3.2传真方式送达质疑书的，质疑供应商应当取得采购代理机构确认收到传真的意见，并及时将质疑书原件送达采购代理机构。采购代理机构以实际收到原件之日作为收到质疑的日期。</w:t>
      </w:r>
    </w:p>
    <w:p w14:paraId="2B576D1F">
      <w:pPr>
        <w:pStyle w:val="11"/>
        <w:spacing w:line="360" w:lineRule="auto"/>
        <w:ind w:firstLine="480" w:firstLineChars="200"/>
        <w:rPr>
          <w:color w:val="auto"/>
          <w:highlight w:val="none"/>
          <w:lang w:val="en-US"/>
        </w:rPr>
      </w:pPr>
      <w:r>
        <w:rPr>
          <w:rFonts w:hint="eastAsia"/>
          <w:color w:val="auto"/>
          <w:highlight w:val="none"/>
          <w:lang w:val="en-US"/>
        </w:rPr>
        <w:t>34.3.3在质疑期限届满前，质疑书已经邮寄或传真成功的，质疑不视为过期。</w:t>
      </w:r>
    </w:p>
    <w:p w14:paraId="0AFB44F2">
      <w:pPr>
        <w:pStyle w:val="11"/>
        <w:spacing w:line="360" w:lineRule="auto"/>
        <w:ind w:firstLine="480" w:firstLineChars="200"/>
        <w:rPr>
          <w:color w:val="auto"/>
          <w:highlight w:val="none"/>
          <w:lang w:val="en-US"/>
        </w:rPr>
      </w:pPr>
      <w:r>
        <w:rPr>
          <w:rFonts w:hint="eastAsia"/>
          <w:color w:val="auto"/>
          <w:highlight w:val="none"/>
          <w:lang w:val="en-US"/>
        </w:rPr>
        <w:t>34.4质疑供应商提供的相关材料中有外文资料的，应将与质疑相关的外文资料完整、客观、真实地翻译为中文，并注明翻译人员姓名、工作单位、联系方式等信息。</w:t>
      </w:r>
    </w:p>
    <w:p w14:paraId="48D83446">
      <w:pPr>
        <w:pStyle w:val="11"/>
        <w:spacing w:line="360" w:lineRule="auto"/>
        <w:ind w:firstLine="480" w:firstLineChars="200"/>
        <w:rPr>
          <w:color w:val="auto"/>
          <w:highlight w:val="none"/>
          <w:lang w:val="en-US"/>
        </w:rPr>
      </w:pPr>
      <w:r>
        <w:rPr>
          <w:rFonts w:hint="eastAsia"/>
          <w:color w:val="auto"/>
          <w:highlight w:val="none"/>
          <w:lang w:val="en-US"/>
        </w:rPr>
        <w:t>34.5采购代理机构在收到质疑供应商的书面质疑后 7 个工作日内作出答复，并以书面形式答复质疑供应商。</w:t>
      </w:r>
    </w:p>
    <w:p w14:paraId="735AAC23">
      <w:pPr>
        <w:pStyle w:val="11"/>
        <w:spacing w:line="360" w:lineRule="auto"/>
        <w:ind w:firstLine="480" w:firstLineChars="200"/>
        <w:rPr>
          <w:color w:val="auto"/>
          <w:highlight w:val="none"/>
          <w:lang w:val="en-US"/>
        </w:rPr>
      </w:pPr>
      <w:r>
        <w:rPr>
          <w:rFonts w:hint="eastAsia"/>
          <w:color w:val="auto"/>
          <w:highlight w:val="none"/>
          <w:lang w:val="en-US"/>
        </w:rPr>
        <w:t>34.6质疑供应商捏造事实、提供虚假材料进行质疑的，采购代理机构报告同级财政部门，由同级财政部门审查，情况属实的，应列入不良行为记录，并在指定的媒体上公告。</w:t>
      </w:r>
    </w:p>
    <w:p w14:paraId="344762AF">
      <w:pPr>
        <w:pStyle w:val="3"/>
        <w:tabs>
          <w:tab w:val="left" w:pos="1291"/>
        </w:tabs>
        <w:spacing w:before="0" w:line="360" w:lineRule="auto"/>
        <w:ind w:left="0"/>
        <w:jc w:val="left"/>
        <w:rPr>
          <w:color w:val="auto"/>
          <w:highlight w:val="none"/>
          <w:lang w:val="en-US"/>
        </w:rPr>
      </w:pPr>
      <w:bookmarkStart w:id="53" w:name="_Toc3901"/>
      <w:r>
        <w:rPr>
          <w:rFonts w:hint="eastAsia"/>
          <w:color w:val="auto"/>
          <w:highlight w:val="none"/>
          <w:lang w:val="en-US"/>
        </w:rPr>
        <w:t>十一  投诉</w:t>
      </w:r>
      <w:bookmarkEnd w:id="53"/>
    </w:p>
    <w:p w14:paraId="6F545CC5">
      <w:pPr>
        <w:pStyle w:val="11"/>
        <w:spacing w:line="360" w:lineRule="auto"/>
        <w:ind w:firstLine="480" w:firstLineChars="200"/>
        <w:rPr>
          <w:color w:val="auto"/>
          <w:highlight w:val="none"/>
          <w:lang w:val="en-US"/>
        </w:rPr>
      </w:pPr>
      <w:bookmarkStart w:id="54" w:name="十二__授予合同"/>
      <w:bookmarkEnd w:id="54"/>
      <w:r>
        <w:rPr>
          <w:rFonts w:hint="eastAsia"/>
          <w:color w:val="auto"/>
          <w:highlight w:val="none"/>
          <w:lang w:val="en-US"/>
        </w:rPr>
        <w:t>35.质疑供应商对采购代理机构的答复不满意或者采购代理机构未在规定时间内答复的，可以在答复期满后十五个工作日内按有关规定，向同级政府采购管理部门投诉。</w:t>
      </w:r>
    </w:p>
    <w:p w14:paraId="1A84A974">
      <w:pPr>
        <w:pStyle w:val="3"/>
        <w:tabs>
          <w:tab w:val="left" w:pos="1291"/>
        </w:tabs>
        <w:spacing w:before="0" w:line="360" w:lineRule="auto"/>
        <w:ind w:left="0"/>
        <w:jc w:val="left"/>
        <w:rPr>
          <w:color w:val="auto"/>
          <w:highlight w:val="none"/>
          <w:lang w:val="en-US"/>
        </w:rPr>
      </w:pPr>
      <w:bookmarkStart w:id="55" w:name="_Toc18321"/>
      <w:r>
        <w:rPr>
          <w:rFonts w:hint="eastAsia"/>
          <w:color w:val="auto"/>
          <w:highlight w:val="none"/>
          <w:lang w:val="en-US"/>
        </w:rPr>
        <w:t>十二  授予合同</w:t>
      </w:r>
      <w:bookmarkEnd w:id="55"/>
    </w:p>
    <w:p w14:paraId="6728128D">
      <w:pPr>
        <w:pStyle w:val="11"/>
        <w:spacing w:line="360" w:lineRule="auto"/>
        <w:ind w:firstLine="482" w:firstLineChars="200"/>
        <w:rPr>
          <w:b/>
          <w:bCs/>
          <w:color w:val="auto"/>
          <w:highlight w:val="none"/>
          <w:lang w:val="en-US"/>
        </w:rPr>
      </w:pPr>
      <w:bookmarkStart w:id="56" w:name="十三__验收"/>
      <w:bookmarkEnd w:id="56"/>
      <w:bookmarkStart w:id="57" w:name="十四__政府采购政策"/>
      <w:bookmarkEnd w:id="57"/>
      <w:r>
        <w:rPr>
          <w:rFonts w:hint="eastAsia"/>
          <w:b/>
          <w:bCs/>
          <w:color w:val="auto"/>
          <w:highlight w:val="none"/>
          <w:lang w:val="en-US"/>
        </w:rPr>
        <w:t>36. 成交结果公告及中标（成交）通知书</w:t>
      </w:r>
    </w:p>
    <w:p w14:paraId="2BB9EA69">
      <w:pPr>
        <w:pStyle w:val="11"/>
        <w:spacing w:line="360" w:lineRule="auto"/>
        <w:ind w:firstLine="480" w:firstLineChars="200"/>
        <w:rPr>
          <w:color w:val="auto"/>
          <w:highlight w:val="none"/>
          <w:lang w:val="en-US"/>
        </w:rPr>
      </w:pPr>
      <w:r>
        <w:rPr>
          <w:rFonts w:hint="eastAsia"/>
          <w:color w:val="auto"/>
          <w:highlight w:val="none"/>
          <w:lang w:val="en-US"/>
        </w:rPr>
        <w:t>36.1采购代理机构将在“丽水市公共资源交易网”和“浙江省政府采购网”上发布成交结果公告。成交结果公告内容不包括国家秘密、商业秘密。</w:t>
      </w:r>
    </w:p>
    <w:p w14:paraId="3FA53438">
      <w:pPr>
        <w:pStyle w:val="11"/>
        <w:spacing w:line="360" w:lineRule="auto"/>
        <w:ind w:firstLine="480" w:firstLineChars="200"/>
        <w:rPr>
          <w:color w:val="auto"/>
          <w:highlight w:val="none"/>
          <w:lang w:val="en-US"/>
        </w:rPr>
      </w:pPr>
      <w:r>
        <w:rPr>
          <w:rFonts w:hint="eastAsia"/>
          <w:color w:val="auto"/>
          <w:highlight w:val="none"/>
          <w:lang w:val="en-US"/>
        </w:rPr>
        <w:t>36.2发布成交公告的同时，采购代理机构向成交人书面发出中标（成交）通知书。</w:t>
      </w:r>
    </w:p>
    <w:p w14:paraId="7F2CD0E4">
      <w:pPr>
        <w:pStyle w:val="11"/>
        <w:spacing w:line="360" w:lineRule="auto"/>
        <w:ind w:firstLine="482" w:firstLineChars="200"/>
        <w:rPr>
          <w:b/>
          <w:bCs/>
          <w:color w:val="auto"/>
          <w:highlight w:val="none"/>
          <w:lang w:val="en-US"/>
        </w:rPr>
      </w:pPr>
      <w:r>
        <w:rPr>
          <w:rFonts w:hint="eastAsia"/>
          <w:b/>
          <w:bCs/>
          <w:color w:val="auto"/>
          <w:highlight w:val="none"/>
          <w:lang w:val="en-US"/>
        </w:rPr>
        <w:t>37.授予合同时变更数量的权利</w:t>
      </w:r>
    </w:p>
    <w:p w14:paraId="01E45C1C">
      <w:pPr>
        <w:pStyle w:val="11"/>
        <w:spacing w:line="360" w:lineRule="auto"/>
        <w:ind w:firstLine="480" w:firstLineChars="200"/>
        <w:rPr>
          <w:color w:val="auto"/>
          <w:highlight w:val="none"/>
          <w:lang w:val="en-US"/>
        </w:rPr>
      </w:pPr>
      <w:r>
        <w:rPr>
          <w:rFonts w:hint="eastAsia"/>
          <w:color w:val="auto"/>
          <w:highlight w:val="none"/>
          <w:lang w:val="en-US"/>
        </w:rPr>
        <w:t>37.1 采购人需追加与合同标的相同的货物、工程或者服务的，在不改变合同其他条款的前提下，可经同级政府采购管理部门批准直接与成交人签订补充合同，补充合同需交由同级政府采购管理部门备案，但所补充合同的采购金额不得超过原合同采购金额的10%。</w:t>
      </w:r>
    </w:p>
    <w:p w14:paraId="7AE91CE0">
      <w:pPr>
        <w:pStyle w:val="11"/>
        <w:spacing w:line="360" w:lineRule="auto"/>
        <w:ind w:firstLine="482" w:firstLineChars="200"/>
        <w:rPr>
          <w:b/>
          <w:bCs/>
          <w:color w:val="auto"/>
          <w:highlight w:val="none"/>
          <w:lang w:val="en-US"/>
        </w:rPr>
      </w:pPr>
      <w:r>
        <w:rPr>
          <w:rFonts w:hint="eastAsia"/>
          <w:b/>
          <w:bCs/>
          <w:color w:val="auto"/>
          <w:highlight w:val="none"/>
          <w:lang w:val="en-US"/>
        </w:rPr>
        <w:t>38. 签订合同</w:t>
      </w:r>
    </w:p>
    <w:p w14:paraId="4C6F72AF">
      <w:pPr>
        <w:pStyle w:val="47"/>
        <w:tabs>
          <w:tab w:val="left" w:pos="1100"/>
        </w:tabs>
        <w:spacing w:before="0" w:line="360" w:lineRule="auto"/>
        <w:ind w:left="462" w:firstLine="0"/>
        <w:jc w:val="both"/>
        <w:rPr>
          <w:color w:val="auto"/>
          <w:sz w:val="24"/>
          <w:highlight w:val="none"/>
        </w:rPr>
      </w:pPr>
      <w:r>
        <w:rPr>
          <w:rFonts w:hint="eastAsia"/>
          <w:color w:val="auto"/>
          <w:sz w:val="24"/>
          <w:highlight w:val="none"/>
          <w:lang w:val="en-US"/>
        </w:rPr>
        <w:t>38.1</w:t>
      </w:r>
      <w:r>
        <w:rPr>
          <w:rFonts w:hint="eastAsia"/>
          <w:color w:val="auto"/>
          <w:sz w:val="24"/>
          <w:highlight w:val="none"/>
        </w:rPr>
        <w:t>成交人自中标（成交）通知书发出之日起 30 天内与采购人签订合同。</w:t>
      </w:r>
    </w:p>
    <w:p w14:paraId="500C15E2">
      <w:pPr>
        <w:pStyle w:val="47"/>
        <w:tabs>
          <w:tab w:val="left" w:pos="1100"/>
        </w:tabs>
        <w:spacing w:before="0" w:line="360" w:lineRule="auto"/>
        <w:ind w:left="462" w:firstLine="0"/>
        <w:jc w:val="both"/>
        <w:rPr>
          <w:color w:val="auto"/>
          <w:sz w:val="24"/>
          <w:highlight w:val="none"/>
        </w:rPr>
      </w:pPr>
      <w:r>
        <w:rPr>
          <w:rFonts w:hint="eastAsia"/>
          <w:color w:val="auto"/>
          <w:sz w:val="24"/>
          <w:highlight w:val="none"/>
          <w:lang w:val="en-US"/>
        </w:rPr>
        <w:t>38.2</w:t>
      </w:r>
      <w:r>
        <w:rPr>
          <w:rFonts w:hint="eastAsia"/>
          <w:color w:val="auto"/>
          <w:sz w:val="24"/>
          <w:highlight w:val="none"/>
        </w:rPr>
        <w:t>磋商文件、成交人的响应文件及其澄清文件等，均为签订合同的依据。</w:t>
      </w:r>
    </w:p>
    <w:p w14:paraId="2EC76E45">
      <w:pPr>
        <w:pStyle w:val="47"/>
        <w:tabs>
          <w:tab w:val="left" w:pos="1100"/>
        </w:tabs>
        <w:spacing w:before="0" w:line="360" w:lineRule="auto"/>
        <w:ind w:left="0" w:firstLineChars="200"/>
        <w:jc w:val="both"/>
        <w:rPr>
          <w:color w:val="auto"/>
          <w:sz w:val="24"/>
          <w:highlight w:val="none"/>
        </w:rPr>
      </w:pPr>
      <w:r>
        <w:rPr>
          <w:rFonts w:hint="eastAsia"/>
          <w:color w:val="auto"/>
          <w:sz w:val="24"/>
          <w:highlight w:val="none"/>
          <w:lang w:val="en-US"/>
        </w:rPr>
        <w:t>38.3</w:t>
      </w:r>
      <w:r>
        <w:rPr>
          <w:rFonts w:hint="eastAsia"/>
          <w:color w:val="auto"/>
          <w:sz w:val="24"/>
          <w:highlight w:val="none"/>
        </w:rPr>
        <w:t>成交人不遵守磋商文件和响应文件的要约条款及所作的承诺，擅自修改报价或在中标（成交）通知书发出之日起 30 天内，借故拖延、拒签合同者，采购人有权取消该供应商的成交资格。</w:t>
      </w:r>
    </w:p>
    <w:p w14:paraId="749256B1">
      <w:pPr>
        <w:pStyle w:val="11"/>
        <w:spacing w:line="360" w:lineRule="auto"/>
        <w:ind w:firstLine="480" w:firstLineChars="200"/>
        <w:rPr>
          <w:color w:val="auto"/>
          <w:highlight w:val="none"/>
        </w:rPr>
      </w:pPr>
      <w:r>
        <w:rPr>
          <w:rFonts w:hint="eastAsia"/>
          <w:color w:val="auto"/>
          <w:highlight w:val="none"/>
        </w:rPr>
        <w:t>按有关法律法规成交人拒绝与采购人签订合同的，采购人重新开展政府采购活动。</w:t>
      </w:r>
    </w:p>
    <w:p w14:paraId="306D33F3">
      <w:pPr>
        <w:pStyle w:val="47"/>
        <w:tabs>
          <w:tab w:val="left" w:pos="1100"/>
        </w:tabs>
        <w:spacing w:before="0" w:line="360" w:lineRule="auto"/>
        <w:ind w:left="0" w:firstLineChars="200"/>
        <w:jc w:val="both"/>
        <w:rPr>
          <w:color w:val="auto"/>
          <w:sz w:val="24"/>
          <w:highlight w:val="none"/>
        </w:rPr>
      </w:pPr>
      <w:r>
        <w:rPr>
          <w:rFonts w:hint="eastAsia"/>
          <w:color w:val="auto"/>
          <w:sz w:val="24"/>
          <w:highlight w:val="none"/>
          <w:lang w:val="en-US"/>
        </w:rPr>
        <w:t>38.4</w:t>
      </w:r>
      <w:r>
        <w:rPr>
          <w:rFonts w:hint="eastAsia"/>
          <w:color w:val="auto"/>
          <w:sz w:val="24"/>
          <w:highlight w:val="none"/>
        </w:rPr>
        <w:t>询问或者质疑事项可能影响成交结果的，采购人应当暂停签订合同，已经签订合同的，应当中止履行合同。（成交结果的质疑期为成交结果公告期限届满之日起七个工作日）。</w:t>
      </w:r>
    </w:p>
    <w:p w14:paraId="524FBD0D">
      <w:pPr>
        <w:pStyle w:val="47"/>
        <w:tabs>
          <w:tab w:val="left" w:pos="1100"/>
        </w:tabs>
        <w:spacing w:before="0" w:line="360" w:lineRule="auto"/>
        <w:ind w:left="0" w:firstLineChars="200"/>
        <w:jc w:val="both"/>
        <w:rPr>
          <w:color w:val="auto"/>
          <w:highlight w:val="none"/>
        </w:rPr>
      </w:pPr>
      <w:r>
        <w:rPr>
          <w:rFonts w:hint="eastAsia"/>
          <w:color w:val="auto"/>
          <w:sz w:val="24"/>
          <w:highlight w:val="none"/>
          <w:lang w:val="en-US"/>
        </w:rPr>
        <w:t>38.5</w:t>
      </w:r>
      <w:r>
        <w:rPr>
          <w:rFonts w:hint="eastAsia"/>
          <w:color w:val="auto"/>
          <w:sz w:val="24"/>
          <w:highlight w:val="none"/>
        </w:rPr>
        <w:t>采购人应当自政府采购合同签订之日起 2 个工作日内，将政府采购合同在省级以上人民政府财政部门指定的媒体上公告，但政府采购合同中涉及国家秘密、商业秘密的内容除外。</w:t>
      </w:r>
    </w:p>
    <w:p w14:paraId="7BA28FC8">
      <w:pPr>
        <w:pStyle w:val="3"/>
        <w:tabs>
          <w:tab w:val="left" w:pos="1291"/>
        </w:tabs>
        <w:spacing w:before="0" w:line="360" w:lineRule="auto"/>
        <w:ind w:left="0"/>
        <w:jc w:val="left"/>
        <w:rPr>
          <w:color w:val="auto"/>
          <w:highlight w:val="none"/>
          <w:lang w:val="en-US"/>
        </w:rPr>
      </w:pPr>
      <w:bookmarkStart w:id="58" w:name="_Toc31501"/>
      <w:r>
        <w:rPr>
          <w:rFonts w:hint="eastAsia"/>
          <w:color w:val="auto"/>
          <w:highlight w:val="none"/>
          <w:lang w:val="en-US"/>
        </w:rPr>
        <w:t xml:space="preserve">十三 </w:t>
      </w:r>
      <w:bookmarkStart w:id="59" w:name="_Toc495479104"/>
      <w:bookmarkStart w:id="60" w:name="_Toc494558365"/>
      <w:bookmarkStart w:id="61" w:name="_Toc73349340"/>
      <w:bookmarkStart w:id="62" w:name="_Toc15728"/>
      <w:bookmarkStart w:id="63" w:name="_Toc16571"/>
      <w:bookmarkStart w:id="64" w:name="_Toc493955970"/>
      <w:r>
        <w:rPr>
          <w:rFonts w:hint="eastAsia"/>
          <w:color w:val="auto"/>
          <w:highlight w:val="none"/>
          <w:lang w:val="en-US"/>
        </w:rPr>
        <w:t xml:space="preserve"> 验收</w:t>
      </w:r>
      <w:bookmarkEnd w:id="58"/>
      <w:bookmarkEnd w:id="59"/>
      <w:bookmarkEnd w:id="60"/>
      <w:bookmarkEnd w:id="61"/>
      <w:bookmarkEnd w:id="62"/>
      <w:bookmarkEnd w:id="63"/>
      <w:bookmarkEnd w:id="64"/>
    </w:p>
    <w:p w14:paraId="2553B4C0">
      <w:pPr>
        <w:spacing w:line="360" w:lineRule="auto"/>
        <w:ind w:firstLine="480" w:firstLineChars="200"/>
        <w:rPr>
          <w:color w:val="auto"/>
          <w:sz w:val="24"/>
          <w:highlight w:val="none"/>
        </w:rPr>
      </w:pPr>
      <w:r>
        <w:rPr>
          <w:rFonts w:hint="eastAsia"/>
          <w:color w:val="auto"/>
          <w:sz w:val="24"/>
          <w:highlight w:val="none"/>
        </w:rPr>
        <w:t>39. 采购人应当按照政府采购合同规定的技术、服务、安全标准组织对供应商履约情况进行验收，并出具验收书。验收书应当包括每一项技术、服务、安全标准的履约情况。</w:t>
      </w:r>
    </w:p>
    <w:p w14:paraId="30FED93B">
      <w:pPr>
        <w:pStyle w:val="28"/>
        <w:snapToGrid w:val="0"/>
        <w:spacing w:line="360" w:lineRule="auto"/>
        <w:ind w:firstLine="480" w:firstLineChars="200"/>
        <w:rPr>
          <w:rFonts w:ascii="仿宋"/>
          <w:color w:val="auto"/>
          <w:kern w:val="2"/>
          <w:highlight w:val="none"/>
        </w:rPr>
      </w:pPr>
      <w:r>
        <w:rPr>
          <w:rFonts w:hint="eastAsia" w:ascii="仿宋"/>
          <w:color w:val="auto"/>
          <w:kern w:val="2"/>
          <w:highlight w:val="none"/>
        </w:rPr>
        <w:t>39.1 如本项目采购人将邀请其他供应商或者第三方机构参与验收、核对成交标的的技术指标、承诺等内容，是否和磋商文件、成交人响应文件的内容相符合。</w:t>
      </w:r>
    </w:p>
    <w:p w14:paraId="0CB622E1">
      <w:pPr>
        <w:pStyle w:val="28"/>
        <w:snapToGrid w:val="0"/>
        <w:spacing w:line="360" w:lineRule="auto"/>
        <w:ind w:firstLine="480" w:firstLineChars="200"/>
        <w:rPr>
          <w:rFonts w:ascii="仿宋"/>
          <w:color w:val="auto"/>
          <w:kern w:val="2"/>
          <w:highlight w:val="none"/>
        </w:rPr>
      </w:pPr>
      <w:r>
        <w:rPr>
          <w:rFonts w:hint="eastAsia" w:ascii="仿宋"/>
          <w:color w:val="auto"/>
          <w:kern w:val="2"/>
          <w:highlight w:val="none"/>
        </w:rPr>
        <w:t>39.2其他供应商如要参与验收，在项目成交结果公告前将参与验收的人员名单、联系方式等相关信息书面告知采购人。采购人在验收二日前告知其参加验收的具体时间和地址。参加验收工作的人员，应提供供应商出具的授权委托书。</w:t>
      </w:r>
    </w:p>
    <w:p w14:paraId="7EEF18F0">
      <w:pPr>
        <w:spacing w:line="360" w:lineRule="auto"/>
        <w:ind w:firstLine="480" w:firstLineChars="200"/>
        <w:rPr>
          <w:color w:val="auto"/>
          <w:sz w:val="24"/>
          <w:highlight w:val="none"/>
        </w:rPr>
      </w:pPr>
      <w:r>
        <w:rPr>
          <w:rFonts w:hint="eastAsia"/>
          <w:color w:val="auto"/>
          <w:sz w:val="24"/>
          <w:highlight w:val="none"/>
        </w:rPr>
        <w:t>39.3其他供应商应遵守诚实信用、实事求是的原则，在验收期间积极配合采购人组织的验收工作，不得影响或阻扰验收工作的正常进行。参与验收的一切费用，原则上由供应商自行承担。</w:t>
      </w:r>
    </w:p>
    <w:p w14:paraId="3AD9CE0F">
      <w:pPr>
        <w:pStyle w:val="3"/>
        <w:tabs>
          <w:tab w:val="left" w:pos="1291"/>
        </w:tabs>
        <w:spacing w:before="0" w:line="360" w:lineRule="auto"/>
        <w:ind w:left="0"/>
        <w:jc w:val="left"/>
        <w:rPr>
          <w:color w:val="auto"/>
          <w:highlight w:val="none"/>
          <w:lang w:val="en-US"/>
        </w:rPr>
      </w:pPr>
      <w:bookmarkStart w:id="65" w:name="_Toc11044"/>
      <w:bookmarkStart w:id="66" w:name="_Toc3495"/>
      <w:bookmarkStart w:id="67" w:name="_Toc73349341"/>
      <w:bookmarkStart w:id="68" w:name="_Toc6384"/>
      <w:r>
        <w:rPr>
          <w:rFonts w:hint="eastAsia"/>
          <w:color w:val="auto"/>
          <w:highlight w:val="none"/>
          <w:lang w:val="en-US"/>
        </w:rPr>
        <w:t>十四  政府采购政策</w:t>
      </w:r>
      <w:bookmarkEnd w:id="65"/>
      <w:bookmarkEnd w:id="66"/>
      <w:bookmarkEnd w:id="67"/>
      <w:bookmarkEnd w:id="68"/>
    </w:p>
    <w:p w14:paraId="7AA60C83">
      <w:pPr>
        <w:pStyle w:val="47"/>
        <w:tabs>
          <w:tab w:val="left" w:pos="1100"/>
        </w:tabs>
        <w:spacing w:before="0" w:line="360" w:lineRule="auto"/>
        <w:ind w:left="440" w:leftChars="200" w:firstLine="0"/>
        <w:rPr>
          <w:color w:val="auto"/>
          <w:sz w:val="24"/>
          <w:highlight w:val="none"/>
        </w:rPr>
      </w:pPr>
      <w:r>
        <w:rPr>
          <w:rFonts w:hint="eastAsia"/>
          <w:color w:val="auto"/>
          <w:sz w:val="24"/>
          <w:highlight w:val="none"/>
          <w:lang w:val="en-US"/>
        </w:rPr>
        <w:t>40.</w:t>
      </w:r>
      <w:r>
        <w:rPr>
          <w:rFonts w:hint="eastAsia"/>
          <w:color w:val="auto"/>
          <w:sz w:val="24"/>
          <w:highlight w:val="none"/>
        </w:rPr>
        <w:t>关于中小企业参与政府采购活动的规定</w:t>
      </w:r>
    </w:p>
    <w:p w14:paraId="77C456CC">
      <w:pPr>
        <w:pStyle w:val="47"/>
        <w:tabs>
          <w:tab w:val="left" w:pos="1100"/>
        </w:tabs>
        <w:spacing w:before="0" w:line="360" w:lineRule="auto"/>
        <w:ind w:left="440" w:leftChars="200" w:firstLine="0"/>
        <w:rPr>
          <w:rFonts w:ascii="宋体" w:hAnsi="宋体"/>
          <w:b/>
          <w:color w:val="auto"/>
          <w:sz w:val="24"/>
          <w:highlight w:val="none"/>
        </w:rPr>
      </w:pPr>
      <w:r>
        <w:rPr>
          <w:rFonts w:hint="eastAsia"/>
          <w:color w:val="auto"/>
          <w:sz w:val="24"/>
          <w:highlight w:val="none"/>
          <w:lang w:val="en-US"/>
        </w:rPr>
        <w:t xml:space="preserve">40.1 </w:t>
      </w:r>
      <w:r>
        <w:rPr>
          <w:rFonts w:hint="eastAsia"/>
          <w:color w:val="auto"/>
          <w:sz w:val="24"/>
          <w:highlight w:val="none"/>
        </w:rPr>
        <w:t>本项目</w:t>
      </w:r>
      <w:r>
        <w:rPr>
          <w:rFonts w:hint="eastAsia"/>
          <w:color w:val="auto"/>
          <w:sz w:val="24"/>
          <w:highlight w:val="none"/>
          <w:u w:val="single"/>
          <w:lang w:val="en-US"/>
        </w:rPr>
        <w:t xml:space="preserve"> </w:t>
      </w:r>
      <w:r>
        <w:rPr>
          <w:rFonts w:hint="eastAsia"/>
          <w:b/>
          <w:color w:val="auto"/>
          <w:sz w:val="24"/>
          <w:highlight w:val="none"/>
          <w:u w:val="single"/>
          <w:lang w:val="en-US"/>
        </w:rPr>
        <w:t xml:space="preserve">是 </w:t>
      </w:r>
      <w:r>
        <w:rPr>
          <w:rFonts w:hint="eastAsia"/>
          <w:color w:val="auto"/>
          <w:sz w:val="24"/>
          <w:highlight w:val="none"/>
        </w:rPr>
        <w:t>专门面向中小企业采购，</w:t>
      </w:r>
      <w:r>
        <w:rPr>
          <w:rFonts w:hint="eastAsia" w:ascii="宋体" w:hAnsi="宋体"/>
          <w:b/>
          <w:color w:val="auto"/>
          <w:sz w:val="24"/>
          <w:highlight w:val="none"/>
        </w:rPr>
        <w:t>不再进行小微企业报价优惠扣除。</w:t>
      </w:r>
    </w:p>
    <w:p w14:paraId="5262332E">
      <w:pPr>
        <w:pStyle w:val="47"/>
        <w:tabs>
          <w:tab w:val="left" w:pos="1100"/>
        </w:tabs>
        <w:adjustRightInd w:val="0"/>
        <w:snapToGrid w:val="0"/>
        <w:spacing w:before="0" w:line="360" w:lineRule="auto"/>
        <w:ind w:left="440" w:leftChars="200" w:firstLine="0"/>
        <w:rPr>
          <w:b/>
          <w:color w:val="auto"/>
          <w:sz w:val="24"/>
          <w:highlight w:val="none"/>
          <w:u w:val="single"/>
        </w:rPr>
      </w:pPr>
      <w:r>
        <w:rPr>
          <w:rFonts w:hint="eastAsia"/>
          <w:color w:val="auto"/>
          <w:sz w:val="24"/>
          <w:highlight w:val="none"/>
          <w:lang w:val="en-US"/>
        </w:rPr>
        <w:t xml:space="preserve">40.2 </w:t>
      </w:r>
      <w:r>
        <w:rPr>
          <w:rFonts w:hint="eastAsia"/>
          <w:color w:val="auto"/>
          <w:sz w:val="24"/>
          <w:highlight w:val="none"/>
        </w:rPr>
        <w:t>本项目对应的中小企业划分标准所属行业：</w:t>
      </w:r>
      <w:r>
        <w:rPr>
          <w:rFonts w:hint="eastAsia"/>
          <w:b/>
          <w:bCs/>
          <w:color w:val="auto"/>
          <w:sz w:val="24"/>
          <w:highlight w:val="none"/>
          <w:u w:val="single"/>
        </w:rPr>
        <w:t>其他未列明行业</w:t>
      </w:r>
      <w:r>
        <w:rPr>
          <w:rFonts w:hint="eastAsia"/>
          <w:b/>
          <w:color w:val="auto"/>
          <w:sz w:val="24"/>
          <w:highlight w:val="none"/>
          <w:u w:val="single"/>
        </w:rPr>
        <w:t>。</w:t>
      </w:r>
    </w:p>
    <w:p w14:paraId="40310D41">
      <w:pPr>
        <w:pStyle w:val="47"/>
        <w:tabs>
          <w:tab w:val="left" w:pos="1100"/>
        </w:tabs>
        <w:adjustRightInd w:val="0"/>
        <w:snapToGrid w:val="0"/>
        <w:spacing w:before="0" w:line="360" w:lineRule="auto"/>
        <w:ind w:left="0" w:firstLineChars="200"/>
        <w:rPr>
          <w:color w:val="auto"/>
          <w:sz w:val="24"/>
          <w:szCs w:val="24"/>
          <w:highlight w:val="none"/>
        </w:rPr>
      </w:pPr>
      <w:r>
        <w:rPr>
          <w:rFonts w:hint="eastAsia"/>
          <w:color w:val="auto"/>
          <w:sz w:val="24"/>
          <w:szCs w:val="24"/>
          <w:highlight w:val="none"/>
          <w:lang w:val="en-US"/>
        </w:rPr>
        <w:t xml:space="preserve">40.3 </w:t>
      </w:r>
      <w:r>
        <w:rPr>
          <w:color w:val="auto"/>
          <w:sz w:val="24"/>
          <w:szCs w:val="24"/>
          <w:highlight w:val="none"/>
        </w:rPr>
        <w:t>中小企业是指在中华人民共和国境内依法设立，依据国务院批准的中小企业划分标准确定的中型企业、小型企业和微型企业，但与大企业的负责人为同一人，或者与 大企业存在直接控股、管理关系的除外。</w:t>
      </w:r>
    </w:p>
    <w:p w14:paraId="7770C5EE">
      <w:pPr>
        <w:pStyle w:val="11"/>
        <w:adjustRightInd w:val="0"/>
        <w:snapToGrid w:val="0"/>
        <w:spacing w:line="360" w:lineRule="auto"/>
        <w:ind w:firstLine="480" w:firstLineChars="200"/>
        <w:rPr>
          <w:color w:val="auto"/>
          <w:highlight w:val="none"/>
        </w:rPr>
      </w:pPr>
      <w:r>
        <w:rPr>
          <w:color w:val="auto"/>
          <w:highlight w:val="none"/>
        </w:rPr>
        <w:t>符合中小企业划分标准的个体工商户，在政府采购活动中视同中小企业。</w:t>
      </w:r>
    </w:p>
    <w:p w14:paraId="73F0D725">
      <w:pPr>
        <w:pStyle w:val="11"/>
        <w:adjustRightInd w:val="0"/>
        <w:snapToGrid w:val="0"/>
        <w:spacing w:line="360" w:lineRule="auto"/>
        <w:ind w:firstLine="480" w:firstLineChars="200"/>
        <w:rPr>
          <w:color w:val="auto"/>
          <w:highlight w:val="none"/>
        </w:rPr>
      </w:pPr>
      <w:r>
        <w:rPr>
          <w:rFonts w:hint="eastAsia"/>
          <w:color w:val="auto"/>
          <w:highlight w:val="none"/>
        </w:rPr>
        <w:t>国务院批准的中小企业划分标准：具体见工信部联企业</w:t>
      </w:r>
      <w:r>
        <w:rPr>
          <w:rFonts w:hint="eastAsia"/>
          <w:color w:val="auto"/>
          <w:highlight w:val="none"/>
          <w:lang w:eastAsia="zh-CN"/>
        </w:rPr>
        <w:t>〔2011〕</w:t>
      </w:r>
      <w:r>
        <w:rPr>
          <w:rFonts w:hint="eastAsia"/>
          <w:color w:val="auto"/>
          <w:highlight w:val="none"/>
        </w:rPr>
        <w:t>300 号。</w:t>
      </w:r>
    </w:p>
    <w:p w14:paraId="466C52AE">
      <w:pPr>
        <w:adjustRightInd w:val="0"/>
        <w:snapToGrid w:val="0"/>
        <w:spacing w:line="360" w:lineRule="auto"/>
        <w:ind w:firstLine="480" w:firstLineChars="200"/>
        <w:rPr>
          <w:color w:val="auto"/>
          <w:sz w:val="24"/>
          <w:highlight w:val="none"/>
        </w:rPr>
      </w:pPr>
      <w:bookmarkStart w:id="69" w:name="十五__其他事项"/>
      <w:bookmarkEnd w:id="69"/>
      <w:r>
        <w:rPr>
          <w:rFonts w:hint="eastAsia"/>
          <w:color w:val="auto"/>
          <w:sz w:val="24"/>
          <w:highlight w:val="none"/>
        </w:rPr>
        <w:t>40.4</w:t>
      </w:r>
      <w:r>
        <w:rPr>
          <w:rFonts w:hint="eastAsia"/>
          <w:color w:val="auto"/>
          <w:sz w:val="24"/>
          <w:highlight w:val="none"/>
          <w:lang w:val="en-US"/>
        </w:rPr>
        <w:t xml:space="preserve"> </w:t>
      </w:r>
      <w:r>
        <w:rPr>
          <w:rFonts w:hint="eastAsia"/>
          <w:color w:val="auto"/>
          <w:sz w:val="24"/>
          <w:highlight w:val="none"/>
        </w:rPr>
        <w:t>在政府采购活动中，供应商提供的货物、工程或者服务符合下列情形的，视为本办法规定的中小企业：</w:t>
      </w:r>
    </w:p>
    <w:p w14:paraId="1D8852CE">
      <w:pPr>
        <w:adjustRightInd w:val="0"/>
        <w:snapToGrid w:val="0"/>
        <w:spacing w:line="360" w:lineRule="auto"/>
        <w:ind w:firstLine="480" w:firstLineChars="200"/>
        <w:rPr>
          <w:color w:val="auto"/>
          <w:sz w:val="24"/>
          <w:highlight w:val="none"/>
        </w:rPr>
      </w:pPr>
      <w:r>
        <w:rPr>
          <w:rFonts w:hint="eastAsia"/>
          <w:color w:val="auto"/>
          <w:sz w:val="24"/>
          <w:highlight w:val="none"/>
        </w:rPr>
        <w:t>（一）在货物采购项目中，货物由中小企业制造，即货物由中小企业生产且使用该中小企业商号或者注册商标；</w:t>
      </w:r>
    </w:p>
    <w:p w14:paraId="4A8399E3">
      <w:pPr>
        <w:adjustRightInd w:val="0"/>
        <w:snapToGrid w:val="0"/>
        <w:spacing w:line="360" w:lineRule="auto"/>
        <w:ind w:firstLine="480" w:firstLineChars="200"/>
        <w:rPr>
          <w:color w:val="auto"/>
          <w:sz w:val="24"/>
          <w:highlight w:val="none"/>
        </w:rPr>
      </w:pPr>
      <w:r>
        <w:rPr>
          <w:rFonts w:hint="eastAsia"/>
          <w:color w:val="auto"/>
          <w:sz w:val="24"/>
          <w:highlight w:val="none"/>
        </w:rPr>
        <w:t>（二）在工程采购项目中，工程由中小企业承建，即工程施工单位为中小企业；</w:t>
      </w:r>
    </w:p>
    <w:p w14:paraId="2F9281FF">
      <w:pPr>
        <w:adjustRightInd w:val="0"/>
        <w:snapToGrid w:val="0"/>
        <w:spacing w:line="360" w:lineRule="auto"/>
        <w:ind w:firstLine="480" w:firstLineChars="200"/>
        <w:rPr>
          <w:color w:val="auto"/>
          <w:sz w:val="24"/>
          <w:highlight w:val="none"/>
        </w:rPr>
      </w:pPr>
      <w:r>
        <w:rPr>
          <w:rFonts w:hint="eastAsia"/>
          <w:color w:val="auto"/>
          <w:sz w:val="24"/>
          <w:highlight w:val="none"/>
        </w:rPr>
        <w:t>（三）在服务采购项目中，服务由中小企业承接，即提供服务的人员为中小企业依照《中华人民共和国劳动合同法》订立劳动合同的从业人员。</w:t>
      </w:r>
    </w:p>
    <w:p w14:paraId="4DF5A734">
      <w:pPr>
        <w:adjustRightInd w:val="0"/>
        <w:snapToGrid w:val="0"/>
        <w:spacing w:line="360" w:lineRule="auto"/>
        <w:ind w:firstLine="480" w:firstLineChars="200"/>
        <w:rPr>
          <w:color w:val="auto"/>
          <w:sz w:val="24"/>
          <w:highlight w:val="none"/>
        </w:rPr>
      </w:pPr>
      <w:r>
        <w:rPr>
          <w:rFonts w:hint="eastAsia"/>
          <w:color w:val="auto"/>
          <w:sz w:val="24"/>
          <w:highlight w:val="none"/>
        </w:rPr>
        <w:t>在货物采购项目中，供应商提供的货物既有中小企业制造货物，也有大型企业制造货物的，视为非中小企业。</w:t>
      </w:r>
    </w:p>
    <w:p w14:paraId="3943EB44">
      <w:pPr>
        <w:adjustRightInd w:val="0"/>
        <w:snapToGrid w:val="0"/>
        <w:spacing w:line="360" w:lineRule="auto"/>
        <w:ind w:firstLine="480" w:firstLineChars="200"/>
        <w:rPr>
          <w:color w:val="auto"/>
          <w:sz w:val="24"/>
          <w:highlight w:val="none"/>
        </w:rPr>
      </w:pPr>
      <w:r>
        <w:rPr>
          <w:rFonts w:hint="eastAsia"/>
          <w:color w:val="auto"/>
          <w:sz w:val="24"/>
          <w:highlight w:val="none"/>
        </w:rPr>
        <w:t>以联合体形式参加政府采购活动，联合体各方均为中小企业的，联合体视同中小企业。其中，联合体各方均为小微企业的，联合体视同小微企业。</w:t>
      </w:r>
    </w:p>
    <w:p w14:paraId="63279F30">
      <w:pPr>
        <w:adjustRightInd w:val="0"/>
        <w:snapToGrid w:val="0"/>
        <w:spacing w:line="360" w:lineRule="auto"/>
        <w:ind w:firstLine="480" w:firstLineChars="200"/>
        <w:rPr>
          <w:color w:val="auto"/>
          <w:sz w:val="24"/>
          <w:highlight w:val="none"/>
        </w:rPr>
      </w:pPr>
      <w:r>
        <w:rPr>
          <w:rFonts w:hint="eastAsia"/>
          <w:color w:val="auto"/>
          <w:sz w:val="24"/>
          <w:highlight w:val="none"/>
        </w:rPr>
        <w:t>40.5</w:t>
      </w:r>
      <w:r>
        <w:rPr>
          <w:rFonts w:hint="eastAsia"/>
          <w:color w:val="auto"/>
          <w:sz w:val="24"/>
          <w:highlight w:val="none"/>
          <w:lang w:val="en-US"/>
        </w:rPr>
        <w:t xml:space="preserve"> </w:t>
      </w:r>
      <w:r>
        <w:rPr>
          <w:rFonts w:hint="eastAsia"/>
          <w:color w:val="auto"/>
          <w:sz w:val="24"/>
          <w:highlight w:val="none"/>
        </w:rPr>
        <w:t>中小企业应按照采购文件格式要求提供《中小企业声明函》</w:t>
      </w:r>
      <w:r>
        <w:rPr>
          <w:rFonts w:hint="eastAsia"/>
          <w:color w:val="auto"/>
          <w:spacing w:val="8"/>
          <w:sz w:val="24"/>
          <w:szCs w:val="28"/>
          <w:highlight w:val="none"/>
        </w:rPr>
        <w:t>，否则</w:t>
      </w:r>
      <w:r>
        <w:rPr>
          <w:rFonts w:hint="eastAsia"/>
          <w:color w:val="auto"/>
          <w:sz w:val="24"/>
          <w:highlight w:val="none"/>
        </w:rPr>
        <w:t>视为非中小企业。</w:t>
      </w:r>
    </w:p>
    <w:p w14:paraId="527A986B">
      <w:pPr>
        <w:pStyle w:val="47"/>
        <w:tabs>
          <w:tab w:val="left" w:pos="1100"/>
        </w:tabs>
        <w:adjustRightInd w:val="0"/>
        <w:snapToGrid w:val="0"/>
        <w:spacing w:before="0" w:line="360" w:lineRule="auto"/>
        <w:ind w:left="0" w:firstLineChars="200"/>
        <w:rPr>
          <w:color w:val="auto"/>
          <w:sz w:val="24"/>
          <w:szCs w:val="24"/>
          <w:highlight w:val="none"/>
        </w:rPr>
      </w:pPr>
      <w:r>
        <w:rPr>
          <w:rFonts w:hint="eastAsia"/>
          <w:color w:val="auto"/>
          <w:sz w:val="24"/>
          <w:szCs w:val="24"/>
          <w:highlight w:val="none"/>
          <w:lang w:val="en-US"/>
        </w:rPr>
        <w:t xml:space="preserve">40.6 </w:t>
      </w:r>
      <w:r>
        <w:rPr>
          <w:rFonts w:hint="eastAsia"/>
          <w:color w:val="auto"/>
          <w:sz w:val="24"/>
          <w:szCs w:val="24"/>
          <w:highlight w:val="none"/>
        </w:rPr>
        <w:t>供应商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6C9218F4">
      <w:pPr>
        <w:pStyle w:val="47"/>
        <w:tabs>
          <w:tab w:val="left" w:pos="1100"/>
        </w:tabs>
        <w:adjustRightInd w:val="0"/>
        <w:snapToGrid w:val="0"/>
        <w:spacing w:before="0" w:line="360" w:lineRule="auto"/>
        <w:ind w:left="0" w:firstLineChars="200"/>
        <w:rPr>
          <w:color w:val="auto"/>
          <w:sz w:val="24"/>
          <w:szCs w:val="24"/>
          <w:highlight w:val="none"/>
        </w:rPr>
      </w:pPr>
      <w:r>
        <w:rPr>
          <w:rFonts w:hint="eastAsia"/>
          <w:color w:val="auto"/>
          <w:sz w:val="24"/>
          <w:szCs w:val="24"/>
          <w:highlight w:val="none"/>
          <w:lang w:val="en-US"/>
        </w:rPr>
        <w:t xml:space="preserve">40.7 </w:t>
      </w:r>
      <w:r>
        <w:rPr>
          <w:rFonts w:hint="eastAsia"/>
          <w:color w:val="auto"/>
          <w:sz w:val="24"/>
          <w:szCs w:val="24"/>
          <w:highlight w:val="none"/>
        </w:rPr>
        <w:t>供应商符合《三部门联合发布关于促进残疾人就业政府采购政策的通知》（财库〔2017〕141号）文件要求，并提供《残疾人福利性单位声明函》的，则视同小型、微型企业。</w:t>
      </w:r>
    </w:p>
    <w:p w14:paraId="371E55BE">
      <w:pPr>
        <w:adjustRightInd w:val="0"/>
        <w:snapToGrid w:val="0"/>
        <w:spacing w:line="360" w:lineRule="auto"/>
        <w:ind w:firstLine="480" w:firstLineChars="200"/>
        <w:rPr>
          <w:color w:val="auto"/>
          <w:sz w:val="24"/>
          <w:highlight w:val="none"/>
        </w:rPr>
      </w:pPr>
      <w:r>
        <w:rPr>
          <w:rFonts w:hint="eastAsia"/>
          <w:color w:val="auto"/>
          <w:sz w:val="24"/>
          <w:highlight w:val="none"/>
        </w:rPr>
        <w:t>40.</w:t>
      </w:r>
      <w:r>
        <w:rPr>
          <w:rFonts w:hint="eastAsia"/>
          <w:color w:val="auto"/>
          <w:sz w:val="24"/>
          <w:highlight w:val="none"/>
          <w:lang w:val="en-US"/>
        </w:rPr>
        <w:t xml:space="preserve">8 </w:t>
      </w:r>
      <w:r>
        <w:rPr>
          <w:rFonts w:hint="eastAsia"/>
          <w:color w:val="auto"/>
          <w:sz w:val="24"/>
          <w:highlight w:val="none"/>
        </w:rPr>
        <w:t>按规定享受扶持政策获得政府采购合同的，小微企业不得将合同分包给大中型企业，中型企业不得将合同分包给大型企业。</w:t>
      </w:r>
    </w:p>
    <w:p w14:paraId="07D5EAD1">
      <w:pPr>
        <w:spacing w:line="360" w:lineRule="auto"/>
        <w:ind w:firstLine="480" w:firstLineChars="200"/>
        <w:rPr>
          <w:color w:val="auto"/>
          <w:sz w:val="24"/>
          <w:szCs w:val="24"/>
          <w:highlight w:val="none"/>
        </w:rPr>
      </w:pPr>
      <w:r>
        <w:rPr>
          <w:rFonts w:hint="eastAsia"/>
          <w:color w:val="auto"/>
          <w:sz w:val="24"/>
          <w:highlight w:val="none"/>
        </w:rPr>
        <w:t>40.</w:t>
      </w:r>
      <w:r>
        <w:rPr>
          <w:rFonts w:hint="eastAsia"/>
          <w:color w:val="auto"/>
          <w:sz w:val="24"/>
          <w:highlight w:val="none"/>
          <w:lang w:val="en-US"/>
        </w:rPr>
        <w:t xml:space="preserve">9 </w:t>
      </w:r>
      <w:r>
        <w:rPr>
          <w:rFonts w:hint="eastAsia"/>
          <w:color w:val="auto"/>
          <w:sz w:val="24"/>
          <w:highlight w:val="none"/>
        </w:rPr>
        <w:t>供应商按照《政府采购促进中小企业发展管理办法》（财库﹝2020﹞46号）规定提供声明函内容不实的，属于提供虚假材料谋取中标、成交，依照《中华人民共和国政府采购法》等国家有关规定追究相应责任。</w:t>
      </w:r>
    </w:p>
    <w:p w14:paraId="1F813167">
      <w:pPr>
        <w:pStyle w:val="3"/>
        <w:tabs>
          <w:tab w:val="left" w:pos="1291"/>
        </w:tabs>
        <w:spacing w:before="0" w:line="360" w:lineRule="auto"/>
        <w:ind w:left="0"/>
        <w:jc w:val="left"/>
        <w:rPr>
          <w:color w:val="auto"/>
          <w:highlight w:val="none"/>
          <w:lang w:val="en-US"/>
        </w:rPr>
      </w:pPr>
      <w:bookmarkStart w:id="70" w:name="_Toc23407"/>
      <w:r>
        <w:rPr>
          <w:rFonts w:hint="eastAsia"/>
          <w:color w:val="auto"/>
          <w:highlight w:val="none"/>
          <w:lang w:val="en-US"/>
        </w:rPr>
        <w:t>十</w:t>
      </w:r>
      <w:r>
        <w:rPr>
          <w:rFonts w:hint="eastAsia"/>
          <w:color w:val="auto"/>
          <w:highlight w:val="none"/>
          <w:lang w:val="en-US" w:eastAsia="zh-CN"/>
        </w:rPr>
        <w:t>五</w:t>
      </w:r>
      <w:r>
        <w:rPr>
          <w:rFonts w:hint="eastAsia"/>
          <w:color w:val="auto"/>
          <w:highlight w:val="none"/>
          <w:lang w:val="en-US"/>
        </w:rPr>
        <w:t xml:space="preserve">  其他事项</w:t>
      </w:r>
      <w:bookmarkEnd w:id="70"/>
    </w:p>
    <w:p w14:paraId="3EBBC083">
      <w:pPr>
        <w:spacing w:line="360" w:lineRule="auto"/>
        <w:ind w:firstLine="480" w:firstLineChars="200"/>
        <w:rPr>
          <w:color w:val="auto"/>
          <w:sz w:val="24"/>
          <w:highlight w:val="none"/>
        </w:rPr>
      </w:pPr>
      <w:r>
        <w:rPr>
          <w:rFonts w:hint="eastAsia"/>
          <w:bCs/>
          <w:color w:val="auto"/>
          <w:sz w:val="24"/>
          <w:highlight w:val="none"/>
        </w:rPr>
        <w:t>41.</w:t>
      </w:r>
      <w:r>
        <w:rPr>
          <w:rFonts w:hint="eastAsia"/>
          <w:color w:val="auto"/>
          <w:sz w:val="24"/>
          <w:highlight w:val="none"/>
        </w:rPr>
        <w:t xml:space="preserve"> 解释权 </w:t>
      </w:r>
    </w:p>
    <w:p w14:paraId="0B19B7B2">
      <w:pPr>
        <w:spacing w:line="360" w:lineRule="auto"/>
        <w:ind w:firstLine="480" w:firstLineChars="200"/>
        <w:rPr>
          <w:bCs/>
          <w:color w:val="auto"/>
          <w:sz w:val="24"/>
          <w:highlight w:val="none"/>
        </w:rPr>
      </w:pPr>
      <w:r>
        <w:rPr>
          <w:rFonts w:hint="eastAsia"/>
          <w:bCs/>
          <w:color w:val="auto"/>
          <w:sz w:val="24"/>
          <w:highlight w:val="none"/>
        </w:rPr>
        <w:t>41.1本磋商文件是根据国家有关法律、法规、规章和有关规定编制的，解释权属采购代理机构。</w:t>
      </w:r>
    </w:p>
    <w:p w14:paraId="33C06EB8">
      <w:pPr>
        <w:spacing w:line="360" w:lineRule="auto"/>
        <w:ind w:firstLine="480" w:firstLineChars="200"/>
        <w:rPr>
          <w:rFonts w:hint="eastAsia"/>
          <w:bCs/>
          <w:color w:val="auto"/>
          <w:sz w:val="24"/>
          <w:highlight w:val="none"/>
        </w:rPr>
      </w:pPr>
      <w:r>
        <w:rPr>
          <w:rFonts w:hint="eastAsia"/>
          <w:bCs/>
          <w:color w:val="auto"/>
          <w:sz w:val="24"/>
          <w:highlight w:val="none"/>
        </w:rPr>
        <w:t>41.2.采购代理机构对决标结果不负责解释。</w:t>
      </w:r>
    </w:p>
    <w:p w14:paraId="65A0F2BE">
      <w:pPr>
        <w:spacing w:line="360" w:lineRule="auto"/>
        <w:ind w:firstLine="480" w:firstLineChars="200"/>
        <w:rPr>
          <w:rFonts w:hint="eastAsia"/>
          <w:bCs/>
          <w:color w:val="auto"/>
          <w:sz w:val="24"/>
          <w:highlight w:val="none"/>
        </w:rPr>
      </w:pPr>
      <w:r>
        <w:rPr>
          <w:rFonts w:hint="eastAsia"/>
          <w:bCs/>
          <w:color w:val="auto"/>
          <w:sz w:val="24"/>
          <w:highlight w:val="none"/>
          <w:lang w:val="en-US"/>
        </w:rPr>
        <w:t>42.</w:t>
      </w:r>
      <w:r>
        <w:rPr>
          <w:rFonts w:hint="eastAsia"/>
          <w:bCs/>
          <w:color w:val="auto"/>
          <w:sz w:val="24"/>
          <w:highlight w:val="none"/>
        </w:rPr>
        <w:t>采购代理服务费：</w:t>
      </w:r>
    </w:p>
    <w:p w14:paraId="6D86A98C">
      <w:pPr>
        <w:pStyle w:val="11"/>
        <w:tabs>
          <w:tab w:val="left" w:pos="208"/>
        </w:tabs>
        <w:spacing w:before="105" w:line="365" w:lineRule="auto"/>
        <w:ind w:firstLine="480" w:firstLineChars="200"/>
        <w:rPr>
          <w:rFonts w:hint="eastAsia" w:ascii="仿宋" w:hAnsi="仿宋" w:eastAsia="仿宋" w:cs="仿宋"/>
          <w:color w:val="auto"/>
          <w:sz w:val="24"/>
          <w:szCs w:val="24"/>
        </w:rPr>
      </w:pPr>
      <w:r>
        <w:rPr>
          <w:rFonts w:hint="eastAsia"/>
          <w:b w:val="0"/>
          <w:bCs w:val="0"/>
          <w:color w:val="auto"/>
          <w:spacing w:val="0"/>
          <w:sz w:val="24"/>
          <w:szCs w:val="24"/>
          <w:highlight w:val="none"/>
        </w:rPr>
        <w:t>由成交人</w:t>
      </w:r>
      <w:r>
        <w:rPr>
          <w:rFonts w:hint="eastAsia" w:ascii="仿宋" w:hAnsi="仿宋" w:eastAsia="仿宋" w:cs="仿宋"/>
          <w:b w:val="0"/>
          <w:bCs w:val="0"/>
          <w:caps w:val="0"/>
          <w:color w:val="auto"/>
          <w:spacing w:val="0"/>
          <w:sz w:val="24"/>
          <w:highlight w:val="none"/>
        </w:rPr>
        <w:t>支付采</w:t>
      </w:r>
      <w:r>
        <w:rPr>
          <w:rFonts w:hint="eastAsia" w:ascii="仿宋" w:hAnsi="仿宋" w:eastAsia="仿宋" w:cs="仿宋"/>
          <w:caps w:val="0"/>
          <w:color w:val="auto"/>
          <w:spacing w:val="0"/>
          <w:sz w:val="24"/>
          <w:highlight w:val="none"/>
        </w:rPr>
        <w:t>购代理服务费，</w:t>
      </w:r>
      <w:r>
        <w:rPr>
          <w:rFonts w:hint="eastAsia" w:ascii="仿宋" w:hAnsi="仿宋" w:eastAsia="仿宋" w:cs="仿宋"/>
          <w:color w:val="auto"/>
          <w:sz w:val="24"/>
          <w:szCs w:val="24"/>
        </w:rPr>
        <w:t>费用以中标价为基数按下表</w:t>
      </w:r>
      <w:r>
        <w:rPr>
          <w:rFonts w:hint="eastAsia" w:ascii="仿宋" w:hAnsi="仿宋" w:eastAsia="仿宋" w:cs="仿宋"/>
          <w:color w:val="auto"/>
          <w:sz w:val="24"/>
          <w:szCs w:val="24"/>
          <w:lang w:eastAsia="zh-CN"/>
        </w:rPr>
        <w:t>服务招标</w:t>
      </w:r>
      <w:r>
        <w:rPr>
          <w:rFonts w:hint="eastAsia" w:ascii="仿宋" w:hAnsi="仿宋" w:eastAsia="仿宋" w:cs="仿宋"/>
          <w:color w:val="auto"/>
          <w:sz w:val="24"/>
          <w:szCs w:val="24"/>
        </w:rPr>
        <w:t>收费标准计取</w:t>
      </w:r>
      <w:r>
        <w:rPr>
          <w:rFonts w:hint="eastAsia" w:cs="仿宋"/>
          <w:color w:val="auto"/>
          <w:sz w:val="24"/>
          <w:szCs w:val="24"/>
          <w:lang w:eastAsia="zh-CN"/>
        </w:rPr>
        <w:t>，</w:t>
      </w:r>
      <w:r>
        <w:rPr>
          <w:rFonts w:hint="eastAsia" w:cs="仿宋"/>
          <w:color w:val="auto"/>
          <w:sz w:val="24"/>
          <w:szCs w:val="24"/>
          <w:lang w:val="en-US" w:eastAsia="zh-CN"/>
        </w:rPr>
        <w:t>不足4500元按4500计取</w:t>
      </w:r>
      <w:r>
        <w:rPr>
          <w:rFonts w:hint="eastAsia" w:ascii="仿宋" w:hAnsi="仿宋" w:eastAsia="仿宋" w:cs="仿宋"/>
          <w:caps w:val="0"/>
          <w:color w:val="auto"/>
          <w:spacing w:val="0"/>
          <w:sz w:val="24"/>
          <w:highlight w:val="none"/>
        </w:rPr>
        <w:t>。成交人在成交结果公告发出后5个工作日内向采购代理机构缴纳代理服务费</w:t>
      </w:r>
      <w:r>
        <w:rPr>
          <w:rFonts w:hint="eastAsia" w:ascii="仿宋" w:hAnsi="仿宋" w:eastAsia="仿宋" w:cs="仿宋"/>
          <w:color w:val="auto"/>
          <w:sz w:val="24"/>
          <w:szCs w:val="24"/>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8"/>
        <w:gridCol w:w="3021"/>
      </w:tblGrid>
      <w:tr w14:paraId="6195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998" w:type="dxa"/>
            <w:tcBorders>
              <w:top w:val="single" w:color="auto" w:sz="4" w:space="0"/>
              <w:left w:val="single" w:color="auto" w:sz="4" w:space="0"/>
              <w:bottom w:val="single" w:color="auto" w:sz="4" w:space="0"/>
              <w:right w:val="single" w:color="auto" w:sz="4" w:space="0"/>
            </w:tcBorders>
            <w:noWrap w:val="0"/>
            <w:vAlign w:val="center"/>
          </w:tcPr>
          <w:p w14:paraId="7FFA1AC7">
            <w:pPr>
              <w:ind w:left="960" w:hanging="960" w:hangingChars="400"/>
              <w:jc w:val="center"/>
              <w:rPr>
                <w:rFonts w:hint="eastAsia" w:ascii="仿宋" w:hAnsi="仿宋" w:eastAsia="仿宋" w:cs="仿宋"/>
                <w:color w:val="auto"/>
                <w:sz w:val="24"/>
              </w:rPr>
            </w:pPr>
            <w:r>
              <w:rPr>
                <w:rFonts w:hint="eastAsia" w:ascii="仿宋" w:hAnsi="仿宋" w:eastAsia="仿宋" w:cs="仿宋"/>
                <w:color w:val="auto"/>
                <w:sz w:val="24"/>
              </w:rPr>
              <w:t>中标金额（万元）</w:t>
            </w:r>
          </w:p>
        </w:tc>
        <w:tc>
          <w:tcPr>
            <w:tcW w:w="3021" w:type="dxa"/>
            <w:tcBorders>
              <w:top w:val="single" w:color="auto" w:sz="4" w:space="0"/>
              <w:left w:val="single" w:color="auto" w:sz="4" w:space="0"/>
              <w:bottom w:val="single" w:color="auto" w:sz="4" w:space="0"/>
              <w:right w:val="single" w:color="auto" w:sz="4" w:space="0"/>
            </w:tcBorders>
            <w:noWrap w:val="0"/>
            <w:vAlign w:val="center"/>
          </w:tcPr>
          <w:p w14:paraId="3B20A15D">
            <w:pPr>
              <w:ind w:left="960" w:hanging="960" w:hangingChars="400"/>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lang w:eastAsia="zh-CN"/>
              </w:rPr>
              <w:t>服务</w:t>
            </w:r>
            <w:r>
              <w:rPr>
                <w:rFonts w:hint="eastAsia" w:ascii="仿宋" w:hAnsi="仿宋" w:eastAsia="仿宋" w:cs="仿宋"/>
                <w:b w:val="0"/>
                <w:bCs w:val="0"/>
                <w:color w:val="auto"/>
                <w:sz w:val="24"/>
              </w:rPr>
              <w:t>招标</w:t>
            </w:r>
          </w:p>
        </w:tc>
      </w:tr>
      <w:tr w14:paraId="1434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998" w:type="dxa"/>
            <w:tcBorders>
              <w:top w:val="single" w:color="auto" w:sz="4" w:space="0"/>
              <w:left w:val="single" w:color="auto" w:sz="4" w:space="0"/>
              <w:bottom w:val="single" w:color="auto" w:sz="4" w:space="0"/>
              <w:right w:val="single" w:color="auto" w:sz="4" w:space="0"/>
            </w:tcBorders>
            <w:noWrap w:val="0"/>
            <w:vAlign w:val="center"/>
          </w:tcPr>
          <w:p w14:paraId="1BAA458D">
            <w:pPr>
              <w:ind w:left="960" w:hanging="960" w:hangingChars="400"/>
              <w:jc w:val="center"/>
              <w:rPr>
                <w:rFonts w:hint="eastAsia" w:ascii="仿宋" w:hAnsi="仿宋" w:eastAsia="仿宋" w:cs="仿宋"/>
                <w:color w:val="auto"/>
                <w:sz w:val="24"/>
              </w:rPr>
            </w:pPr>
            <w:r>
              <w:rPr>
                <w:rFonts w:hint="eastAsia" w:ascii="仿宋" w:hAnsi="仿宋" w:eastAsia="仿宋" w:cs="仿宋"/>
                <w:color w:val="auto"/>
                <w:sz w:val="24"/>
              </w:rPr>
              <w:t>100以下</w:t>
            </w:r>
          </w:p>
        </w:tc>
        <w:tc>
          <w:tcPr>
            <w:tcW w:w="3021" w:type="dxa"/>
            <w:tcBorders>
              <w:top w:val="single" w:color="auto" w:sz="4" w:space="0"/>
              <w:left w:val="single" w:color="auto" w:sz="4" w:space="0"/>
              <w:bottom w:val="single" w:color="auto" w:sz="4" w:space="0"/>
              <w:right w:val="single" w:color="auto" w:sz="4" w:space="0"/>
            </w:tcBorders>
            <w:noWrap w:val="0"/>
            <w:vAlign w:val="center"/>
          </w:tcPr>
          <w:p w14:paraId="15C97D60">
            <w:pPr>
              <w:ind w:left="960" w:hanging="960" w:hangingChars="400"/>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1.5%</w:t>
            </w:r>
          </w:p>
        </w:tc>
      </w:tr>
    </w:tbl>
    <w:p w14:paraId="73073536">
      <w:pPr>
        <w:pStyle w:val="12"/>
        <w:rPr>
          <w:color w:val="auto"/>
          <w:sz w:val="9"/>
          <w:highlight w:val="none"/>
        </w:rPr>
      </w:pPr>
    </w:p>
    <w:p w14:paraId="207A0D8E">
      <w:pPr>
        <w:rPr>
          <w:color w:val="auto"/>
          <w:sz w:val="9"/>
          <w:highlight w:val="none"/>
        </w:rPr>
      </w:pPr>
    </w:p>
    <w:p w14:paraId="0D72FFA9">
      <w:pPr>
        <w:pStyle w:val="39"/>
        <w:rPr>
          <w:color w:val="auto"/>
          <w:sz w:val="9"/>
          <w:highlight w:val="none"/>
        </w:rPr>
      </w:pPr>
    </w:p>
    <w:p w14:paraId="1904D0A9">
      <w:pPr>
        <w:pStyle w:val="11"/>
        <w:spacing w:before="9"/>
        <w:rPr>
          <w:color w:val="auto"/>
          <w:sz w:val="9"/>
          <w:highlight w:val="none"/>
        </w:rPr>
      </w:pPr>
    </w:p>
    <w:p w14:paraId="38ADA500">
      <w:pPr>
        <w:pStyle w:val="11"/>
        <w:spacing w:before="9"/>
        <w:rPr>
          <w:color w:val="auto"/>
          <w:sz w:val="9"/>
          <w:highlight w:val="none"/>
        </w:rPr>
      </w:pPr>
    </w:p>
    <w:p w14:paraId="0F0AE08A">
      <w:pPr>
        <w:pStyle w:val="2"/>
        <w:tabs>
          <w:tab w:val="left" w:pos="1404"/>
        </w:tabs>
        <w:spacing w:before="54"/>
        <w:ind w:left="120"/>
        <w:jc w:val="center"/>
        <w:rPr>
          <w:color w:val="auto"/>
          <w:highlight w:val="none"/>
        </w:rPr>
      </w:pPr>
      <w:bookmarkStart w:id="71" w:name="_Toc26698"/>
      <w:r>
        <w:rPr>
          <w:rFonts w:hint="eastAsia"/>
          <w:color w:val="auto"/>
          <w:highlight w:val="none"/>
        </w:rPr>
        <w:t>第四章 政府采购合同格式</w:t>
      </w:r>
      <w:bookmarkEnd w:id="71"/>
    </w:p>
    <w:p w14:paraId="78FC8F2A">
      <w:pPr>
        <w:widowControl/>
        <w:jc w:val="center"/>
        <w:rPr>
          <w:color w:val="auto"/>
          <w:sz w:val="32"/>
          <w:szCs w:val="20"/>
          <w:highlight w:val="none"/>
        </w:rPr>
      </w:pPr>
    </w:p>
    <w:p w14:paraId="2BAA91A7">
      <w:pPr>
        <w:widowControl/>
        <w:jc w:val="center"/>
        <w:rPr>
          <w:color w:val="auto"/>
          <w:sz w:val="32"/>
          <w:szCs w:val="20"/>
          <w:highlight w:val="none"/>
        </w:rPr>
      </w:pPr>
      <w:r>
        <w:rPr>
          <w:rFonts w:hint="eastAsia"/>
          <w:color w:val="auto"/>
          <w:sz w:val="32"/>
          <w:szCs w:val="20"/>
          <w:highlight w:val="none"/>
        </w:rPr>
        <w:t>政 府 采 购 合 同</w:t>
      </w:r>
    </w:p>
    <w:p w14:paraId="120D9437">
      <w:pPr>
        <w:widowControl/>
        <w:rPr>
          <w:color w:val="auto"/>
          <w:sz w:val="24"/>
          <w:szCs w:val="20"/>
          <w:highlight w:val="none"/>
        </w:rPr>
      </w:pPr>
    </w:p>
    <w:p w14:paraId="717F6CBF">
      <w:pPr>
        <w:widowControl/>
        <w:rPr>
          <w:color w:val="auto"/>
          <w:sz w:val="24"/>
          <w:szCs w:val="20"/>
          <w:highlight w:val="none"/>
        </w:rPr>
      </w:pPr>
    </w:p>
    <w:p w14:paraId="1B206575">
      <w:pPr>
        <w:widowControl/>
        <w:rPr>
          <w:color w:val="auto"/>
          <w:sz w:val="24"/>
          <w:szCs w:val="21"/>
          <w:highlight w:val="none"/>
        </w:rPr>
      </w:pPr>
      <w:r>
        <w:rPr>
          <w:rFonts w:hint="eastAsia"/>
          <w:b/>
          <w:color w:val="auto"/>
          <w:sz w:val="24"/>
          <w:szCs w:val="21"/>
          <w:highlight w:val="none"/>
        </w:rPr>
        <w:t xml:space="preserve">       </w:t>
      </w:r>
      <w:r>
        <w:rPr>
          <w:rFonts w:hint="eastAsia"/>
          <w:b/>
          <w:color w:val="auto"/>
          <w:sz w:val="24"/>
          <w:szCs w:val="21"/>
          <w:highlight w:val="none"/>
          <w:lang w:val="en-US" w:eastAsia="zh-CN"/>
        </w:rPr>
        <w:t xml:space="preserve">                                           </w:t>
      </w:r>
      <w:r>
        <w:rPr>
          <w:rFonts w:hint="eastAsia"/>
          <w:b/>
          <w:color w:val="auto"/>
          <w:sz w:val="24"/>
          <w:szCs w:val="21"/>
          <w:highlight w:val="none"/>
        </w:rPr>
        <w:t>合同编号：</w:t>
      </w:r>
    </w:p>
    <w:p w14:paraId="2A3B9AC8">
      <w:pPr>
        <w:widowControl/>
        <w:rPr>
          <w:color w:val="auto"/>
          <w:sz w:val="24"/>
          <w:szCs w:val="21"/>
          <w:highlight w:val="none"/>
        </w:rPr>
      </w:pPr>
    </w:p>
    <w:p w14:paraId="43E10052">
      <w:pPr>
        <w:widowControl/>
        <w:rPr>
          <w:color w:val="auto"/>
          <w:sz w:val="24"/>
          <w:szCs w:val="21"/>
          <w:highlight w:val="none"/>
        </w:rPr>
      </w:pPr>
    </w:p>
    <w:p w14:paraId="15696BBB">
      <w:pPr>
        <w:widowControl/>
        <w:ind w:firstLine="960" w:firstLineChars="400"/>
        <w:rPr>
          <w:color w:val="auto"/>
          <w:sz w:val="24"/>
          <w:szCs w:val="21"/>
          <w:highlight w:val="none"/>
        </w:rPr>
      </w:pPr>
      <w:r>
        <w:rPr>
          <w:rFonts w:hint="eastAsia"/>
          <w:color w:val="auto"/>
          <w:sz w:val="24"/>
          <w:szCs w:val="21"/>
          <w:highlight w:val="none"/>
        </w:rPr>
        <w:t>项目名称：</w:t>
      </w:r>
    </w:p>
    <w:p w14:paraId="66BC6ABD">
      <w:pPr>
        <w:widowControl/>
        <w:snapToGrid w:val="0"/>
        <w:spacing w:before="119" w:line="272" w:lineRule="atLeast"/>
        <w:ind w:left="958"/>
        <w:rPr>
          <w:color w:val="auto"/>
          <w:sz w:val="24"/>
          <w:szCs w:val="21"/>
          <w:highlight w:val="none"/>
        </w:rPr>
      </w:pPr>
    </w:p>
    <w:p w14:paraId="19B75EAE">
      <w:pPr>
        <w:widowControl/>
        <w:snapToGrid w:val="0"/>
        <w:spacing w:before="119" w:line="272" w:lineRule="atLeast"/>
        <w:ind w:left="958"/>
        <w:rPr>
          <w:color w:val="auto"/>
          <w:sz w:val="24"/>
          <w:szCs w:val="21"/>
          <w:highlight w:val="none"/>
        </w:rPr>
      </w:pPr>
      <w:r>
        <w:rPr>
          <w:rFonts w:hint="eastAsia"/>
          <w:color w:val="auto"/>
          <w:sz w:val="24"/>
          <w:szCs w:val="21"/>
          <w:highlight w:val="none"/>
        </w:rPr>
        <w:t>服务内容：</w:t>
      </w:r>
    </w:p>
    <w:p w14:paraId="6FF2563E">
      <w:pPr>
        <w:widowControl/>
        <w:snapToGrid w:val="0"/>
        <w:spacing w:before="119" w:line="272" w:lineRule="atLeast"/>
        <w:ind w:left="958"/>
        <w:rPr>
          <w:color w:val="auto"/>
          <w:sz w:val="24"/>
          <w:szCs w:val="21"/>
          <w:highlight w:val="none"/>
        </w:rPr>
      </w:pPr>
    </w:p>
    <w:p w14:paraId="4570D96B">
      <w:pPr>
        <w:widowControl/>
        <w:snapToGrid w:val="0"/>
        <w:spacing w:before="119" w:line="272" w:lineRule="atLeast"/>
        <w:rPr>
          <w:color w:val="auto"/>
          <w:sz w:val="24"/>
          <w:szCs w:val="21"/>
          <w:highlight w:val="none"/>
        </w:rPr>
      </w:pPr>
    </w:p>
    <w:p w14:paraId="53035379">
      <w:pPr>
        <w:widowControl/>
        <w:snapToGrid w:val="0"/>
        <w:spacing w:before="119" w:line="272" w:lineRule="atLeast"/>
        <w:rPr>
          <w:color w:val="auto"/>
          <w:sz w:val="24"/>
          <w:szCs w:val="21"/>
          <w:highlight w:val="none"/>
        </w:rPr>
      </w:pPr>
    </w:p>
    <w:p w14:paraId="3C2D271D">
      <w:pPr>
        <w:widowControl/>
        <w:snapToGrid w:val="0"/>
        <w:spacing w:before="119" w:line="272" w:lineRule="atLeast"/>
        <w:ind w:left="958"/>
        <w:rPr>
          <w:color w:val="auto"/>
          <w:sz w:val="24"/>
          <w:szCs w:val="21"/>
          <w:highlight w:val="none"/>
        </w:rPr>
      </w:pPr>
      <w:r>
        <w:rPr>
          <w:rFonts w:hint="eastAsia"/>
          <w:color w:val="auto"/>
          <w:sz w:val="24"/>
          <w:szCs w:val="21"/>
          <w:highlight w:val="none"/>
        </w:rPr>
        <w:t>服务需求方：</w:t>
      </w:r>
    </w:p>
    <w:p w14:paraId="61AC3A05">
      <w:pPr>
        <w:widowControl/>
        <w:snapToGrid w:val="0"/>
        <w:spacing w:before="119" w:line="272" w:lineRule="atLeast"/>
        <w:ind w:left="958"/>
        <w:rPr>
          <w:color w:val="auto"/>
          <w:sz w:val="24"/>
          <w:szCs w:val="21"/>
          <w:highlight w:val="none"/>
        </w:rPr>
      </w:pPr>
    </w:p>
    <w:p w14:paraId="480FDEE8">
      <w:pPr>
        <w:widowControl/>
        <w:snapToGrid w:val="0"/>
        <w:spacing w:before="119" w:line="272" w:lineRule="atLeast"/>
        <w:ind w:left="958"/>
        <w:rPr>
          <w:color w:val="auto"/>
          <w:sz w:val="24"/>
          <w:szCs w:val="21"/>
          <w:highlight w:val="none"/>
        </w:rPr>
      </w:pPr>
      <w:r>
        <w:rPr>
          <w:rFonts w:hint="eastAsia"/>
          <w:color w:val="auto"/>
          <w:sz w:val="24"/>
          <w:szCs w:val="21"/>
          <w:highlight w:val="none"/>
        </w:rPr>
        <w:t>提供服务方：</w:t>
      </w:r>
    </w:p>
    <w:p w14:paraId="4CD01F58">
      <w:pPr>
        <w:widowControl/>
        <w:snapToGrid w:val="0"/>
        <w:spacing w:before="119" w:line="272" w:lineRule="atLeast"/>
        <w:rPr>
          <w:color w:val="auto"/>
          <w:sz w:val="24"/>
          <w:szCs w:val="21"/>
          <w:highlight w:val="none"/>
        </w:rPr>
      </w:pPr>
    </w:p>
    <w:p w14:paraId="0D5DFD53">
      <w:pPr>
        <w:widowControl/>
        <w:snapToGrid w:val="0"/>
        <w:spacing w:before="119" w:line="272" w:lineRule="atLeast"/>
        <w:ind w:left="958"/>
        <w:jc w:val="center"/>
        <w:rPr>
          <w:color w:val="auto"/>
          <w:sz w:val="24"/>
          <w:szCs w:val="21"/>
          <w:highlight w:val="none"/>
        </w:rPr>
      </w:pPr>
    </w:p>
    <w:p w14:paraId="34D9EEF9">
      <w:pPr>
        <w:widowControl/>
        <w:snapToGrid w:val="0"/>
        <w:spacing w:before="119" w:line="272" w:lineRule="atLeast"/>
        <w:ind w:left="958"/>
        <w:jc w:val="center"/>
        <w:rPr>
          <w:color w:val="auto"/>
          <w:sz w:val="24"/>
          <w:szCs w:val="21"/>
          <w:highlight w:val="none"/>
        </w:rPr>
      </w:pPr>
    </w:p>
    <w:p w14:paraId="527C632A">
      <w:pPr>
        <w:widowControl/>
        <w:snapToGrid w:val="0"/>
        <w:spacing w:before="119" w:line="272" w:lineRule="atLeast"/>
        <w:ind w:left="958"/>
        <w:rPr>
          <w:color w:val="auto"/>
          <w:sz w:val="24"/>
          <w:szCs w:val="21"/>
          <w:highlight w:val="none"/>
        </w:rPr>
      </w:pPr>
      <w:r>
        <w:rPr>
          <w:rFonts w:hint="eastAsia"/>
          <w:color w:val="auto"/>
          <w:sz w:val="24"/>
          <w:szCs w:val="21"/>
          <w:highlight w:val="none"/>
        </w:rPr>
        <w:t>签署地点：</w:t>
      </w:r>
    </w:p>
    <w:p w14:paraId="29A42717">
      <w:pPr>
        <w:widowControl/>
        <w:snapToGrid w:val="0"/>
        <w:spacing w:before="119" w:line="272" w:lineRule="atLeast"/>
        <w:ind w:left="958"/>
        <w:rPr>
          <w:color w:val="auto"/>
          <w:sz w:val="24"/>
          <w:szCs w:val="21"/>
          <w:highlight w:val="none"/>
        </w:rPr>
      </w:pPr>
    </w:p>
    <w:p w14:paraId="0B118DCA">
      <w:pPr>
        <w:widowControl/>
        <w:snapToGrid w:val="0"/>
        <w:spacing w:before="119" w:line="272" w:lineRule="atLeast"/>
        <w:ind w:left="958"/>
        <w:rPr>
          <w:color w:val="auto"/>
          <w:sz w:val="24"/>
          <w:szCs w:val="21"/>
          <w:highlight w:val="none"/>
        </w:rPr>
      </w:pPr>
      <w:r>
        <w:rPr>
          <w:rFonts w:hint="eastAsia"/>
          <w:color w:val="auto"/>
          <w:sz w:val="24"/>
          <w:szCs w:val="21"/>
          <w:highlight w:val="none"/>
        </w:rPr>
        <w:t>签署日期：</w:t>
      </w:r>
    </w:p>
    <w:p w14:paraId="046B2BA4">
      <w:pPr>
        <w:widowControl/>
        <w:snapToGrid w:val="0"/>
        <w:spacing w:before="119" w:line="272" w:lineRule="atLeast"/>
        <w:ind w:left="958"/>
        <w:rPr>
          <w:color w:val="auto"/>
          <w:sz w:val="24"/>
          <w:szCs w:val="21"/>
          <w:highlight w:val="none"/>
        </w:rPr>
      </w:pPr>
    </w:p>
    <w:p w14:paraId="40C496A3">
      <w:pPr>
        <w:widowControl/>
        <w:snapToGrid w:val="0"/>
        <w:spacing w:before="120" w:after="120" w:line="540" w:lineRule="exact"/>
        <w:rPr>
          <w:color w:val="auto"/>
          <w:szCs w:val="20"/>
          <w:highlight w:val="none"/>
        </w:rPr>
      </w:pPr>
    </w:p>
    <w:p w14:paraId="73ADF8D8">
      <w:pPr>
        <w:widowControl/>
        <w:rPr>
          <w:color w:val="auto"/>
          <w:szCs w:val="20"/>
          <w:highlight w:val="none"/>
        </w:rPr>
      </w:pPr>
    </w:p>
    <w:p w14:paraId="23A1FB63">
      <w:pPr>
        <w:pStyle w:val="12"/>
        <w:ind w:firstLine="210"/>
        <w:rPr>
          <w:color w:val="auto"/>
          <w:highlight w:val="none"/>
        </w:rPr>
      </w:pPr>
    </w:p>
    <w:p w14:paraId="186CE529">
      <w:pPr>
        <w:widowControl/>
        <w:rPr>
          <w:color w:val="auto"/>
          <w:szCs w:val="20"/>
          <w:highlight w:val="none"/>
        </w:rPr>
      </w:pPr>
    </w:p>
    <w:p w14:paraId="2911DF51">
      <w:pPr>
        <w:rPr>
          <w:color w:val="auto"/>
          <w:sz w:val="24"/>
          <w:highlight w:val="none"/>
        </w:rPr>
      </w:pPr>
      <w:bookmarkStart w:id="72" w:name="_Toc13758"/>
      <w:r>
        <w:rPr>
          <w:rFonts w:hint="eastAsia"/>
          <w:color w:val="auto"/>
          <w:sz w:val="24"/>
          <w:highlight w:val="none"/>
        </w:rPr>
        <w:br w:type="page"/>
      </w:r>
    </w:p>
    <w:bookmarkEnd w:id="72"/>
    <w:p w14:paraId="02929EFB">
      <w:pPr>
        <w:snapToGrid w:val="0"/>
        <w:spacing w:line="329" w:lineRule="auto"/>
        <w:rPr>
          <w:color w:val="auto"/>
          <w:sz w:val="24"/>
          <w:highlight w:val="none"/>
          <w:u w:val="single"/>
        </w:rPr>
      </w:pPr>
      <w:bookmarkStart w:id="73" w:name="_Toc8352"/>
      <w:bookmarkStart w:id="74" w:name="_Toc21028"/>
      <w:bookmarkStart w:id="75" w:name="_Toc3831"/>
      <w:bookmarkStart w:id="76" w:name="_Toc24069"/>
      <w:bookmarkStart w:id="77" w:name="_Toc6345"/>
      <w:r>
        <w:rPr>
          <w:rFonts w:hint="eastAsia"/>
          <w:color w:val="auto"/>
          <w:sz w:val="24"/>
          <w:highlight w:val="none"/>
        </w:rPr>
        <w:t>甲方（采购人）：</w:t>
      </w:r>
    </w:p>
    <w:p w14:paraId="668AD03E">
      <w:pPr>
        <w:snapToGrid w:val="0"/>
        <w:spacing w:line="329" w:lineRule="auto"/>
        <w:rPr>
          <w:rFonts w:hint="eastAsia"/>
          <w:color w:val="auto"/>
          <w:sz w:val="24"/>
          <w:highlight w:val="none"/>
        </w:rPr>
      </w:pPr>
      <w:r>
        <w:rPr>
          <w:rFonts w:hint="eastAsia"/>
          <w:color w:val="auto"/>
          <w:sz w:val="24"/>
          <w:highlight w:val="none"/>
        </w:rPr>
        <w:t>乙方（成交供应商）：</w:t>
      </w:r>
    </w:p>
    <w:p w14:paraId="1433C3C4">
      <w:pPr>
        <w:snapToGrid w:val="0"/>
        <w:spacing w:before="120" w:beforeLines="50" w:after="120" w:afterLines="50" w:line="476" w:lineRule="atLeast"/>
        <w:ind w:firstLine="719"/>
        <w:rPr>
          <w:rFonts w:hint="eastAsia" w:ascii="仿宋" w:hAnsi="仿宋" w:eastAsia="仿宋" w:cs="仿宋"/>
          <w:sz w:val="24"/>
          <w:szCs w:val="24"/>
        </w:rPr>
      </w:pPr>
      <w:r>
        <w:rPr>
          <w:rFonts w:hint="eastAsia" w:ascii="仿宋" w:hAnsi="仿宋" w:eastAsia="仿宋" w:cs="仿宋"/>
          <w:sz w:val="24"/>
          <w:szCs w:val="24"/>
          <w:u w:val="single"/>
        </w:rPr>
        <w:t xml:space="preserve">         　 (甲方)      　　　(项目名称)</w:t>
      </w:r>
      <w:r>
        <w:rPr>
          <w:rFonts w:hint="eastAsia" w:ascii="仿宋" w:hAnsi="仿宋" w:eastAsia="仿宋" w:cs="仿宋"/>
          <w:sz w:val="24"/>
          <w:szCs w:val="24"/>
        </w:rPr>
        <w:t>中所需</w:t>
      </w:r>
      <w:r>
        <w:rPr>
          <w:rFonts w:hint="eastAsia" w:ascii="仿宋" w:hAnsi="仿宋" w:eastAsia="仿宋" w:cs="仿宋"/>
          <w:sz w:val="24"/>
          <w:szCs w:val="24"/>
          <w:u w:val="single"/>
        </w:rPr>
        <w:t xml:space="preserve"> 　　    　(服务名称)</w:t>
      </w:r>
      <w:r>
        <w:rPr>
          <w:rFonts w:hint="eastAsia" w:ascii="仿宋" w:hAnsi="仿宋" w:eastAsia="仿宋" w:cs="仿宋"/>
          <w:sz w:val="24"/>
          <w:szCs w:val="24"/>
        </w:rPr>
        <w:t>经</w:t>
      </w:r>
    </w:p>
    <w:p w14:paraId="473F6EA3">
      <w:pPr>
        <w:snapToGrid w:val="0"/>
        <w:spacing w:before="120" w:beforeLines="50" w:after="120" w:afterLines="50" w:line="476" w:lineRule="atLeast"/>
      </w:pPr>
      <w:r>
        <w:rPr>
          <w:rFonts w:hint="eastAsia" w:ascii="仿宋" w:hAnsi="仿宋" w:eastAsia="仿宋" w:cs="仿宋"/>
          <w:sz w:val="24"/>
          <w:szCs w:val="24"/>
          <w:u w:val="single"/>
        </w:rPr>
        <w:t xml:space="preserve">          (采购代理机构)</w:t>
      </w:r>
      <w:r>
        <w:rPr>
          <w:rFonts w:hint="eastAsia" w:ascii="仿宋" w:hAnsi="仿宋" w:eastAsia="仿宋" w:cs="仿宋"/>
          <w:sz w:val="24"/>
          <w:szCs w:val="24"/>
        </w:rPr>
        <w:t>以</w:t>
      </w:r>
      <w:r>
        <w:rPr>
          <w:rFonts w:hint="eastAsia" w:ascii="仿宋" w:hAnsi="仿宋" w:eastAsia="仿宋" w:cs="仿宋"/>
          <w:sz w:val="24"/>
          <w:szCs w:val="24"/>
          <w:u w:val="single"/>
        </w:rPr>
        <w:t>　　　  　</w:t>
      </w:r>
      <w:r>
        <w:rPr>
          <w:rFonts w:hint="eastAsia" w:ascii="仿宋" w:hAnsi="仿宋" w:eastAsia="仿宋" w:cs="仿宋"/>
          <w:sz w:val="24"/>
          <w:szCs w:val="24"/>
        </w:rPr>
        <w:t>号竞争性磋商文件在</w:t>
      </w:r>
      <w:r>
        <w:rPr>
          <w:rFonts w:hint="eastAsia" w:ascii="仿宋" w:hAnsi="仿宋" w:eastAsia="仿宋" w:cs="仿宋"/>
          <w:sz w:val="24"/>
          <w:szCs w:val="24"/>
          <w:u w:val="single"/>
        </w:rPr>
        <w:t xml:space="preserve">    年   月   日</w:t>
      </w:r>
      <w:r>
        <w:rPr>
          <w:rFonts w:hint="eastAsia" w:ascii="仿宋" w:hAnsi="仿宋" w:eastAsia="仿宋" w:cs="仿宋"/>
          <w:sz w:val="24"/>
          <w:szCs w:val="24"/>
        </w:rPr>
        <w:t>进行采购。确定</w:t>
      </w:r>
      <w:r>
        <w:rPr>
          <w:rFonts w:hint="eastAsia" w:ascii="仿宋" w:hAnsi="仿宋" w:eastAsia="仿宋" w:cs="仿宋"/>
          <w:sz w:val="24"/>
          <w:szCs w:val="24"/>
          <w:u w:val="single"/>
        </w:rPr>
        <w:t xml:space="preserve"> 　　　　  　  </w:t>
      </w:r>
      <w:r>
        <w:rPr>
          <w:rFonts w:hint="eastAsia" w:ascii="仿宋" w:hAnsi="仿宋" w:eastAsia="仿宋" w:cs="仿宋"/>
          <w:sz w:val="24"/>
          <w:szCs w:val="24"/>
        </w:rPr>
        <w:t>(乙方)为成交人。甲乙双方依据《中华人民共和国政府采购法》、《中华人民共和国民法典》，在平等自愿的基础上，同意按照下面的条款和条件，签署本合同。</w:t>
      </w:r>
    </w:p>
    <w:p w14:paraId="7F3198A2">
      <w:pPr>
        <w:bidi w:val="0"/>
      </w:pPr>
    </w:p>
    <w:p w14:paraId="0AFA982E">
      <w:pPr>
        <w:numPr>
          <w:ilvl w:val="0"/>
          <w:numId w:val="26"/>
        </w:numPr>
        <w:autoSpaceDE/>
        <w:autoSpaceDN/>
        <w:snapToGrid w:val="0"/>
        <w:spacing w:line="360" w:lineRule="auto"/>
        <w:ind w:left="-420" w:leftChars="0" w:firstLine="420" w:firstLineChars="0"/>
        <w:rPr>
          <w:b/>
          <w:color w:val="auto"/>
          <w:sz w:val="24"/>
          <w:szCs w:val="24"/>
          <w:highlight w:val="none"/>
        </w:rPr>
      </w:pPr>
      <w:r>
        <w:rPr>
          <w:rFonts w:hint="eastAsia"/>
          <w:b/>
          <w:color w:val="auto"/>
          <w:sz w:val="24"/>
          <w:szCs w:val="24"/>
          <w:highlight w:val="none"/>
        </w:rPr>
        <w:t>合同文件</w:t>
      </w:r>
    </w:p>
    <w:p w14:paraId="720CD1A2">
      <w:pPr>
        <w:autoSpaceDE/>
        <w:autoSpaceDN/>
        <w:snapToGrid w:val="0"/>
        <w:spacing w:line="360" w:lineRule="auto"/>
        <w:ind w:firstLine="480" w:firstLineChars="200"/>
        <w:rPr>
          <w:color w:val="auto"/>
          <w:sz w:val="24"/>
          <w:szCs w:val="24"/>
          <w:highlight w:val="none"/>
        </w:rPr>
      </w:pPr>
      <w:r>
        <w:rPr>
          <w:rFonts w:hint="eastAsia"/>
          <w:color w:val="auto"/>
          <w:sz w:val="24"/>
          <w:szCs w:val="24"/>
          <w:highlight w:val="none"/>
        </w:rPr>
        <w:t>下列文件构成本合同的组成部分，应该认为是一个整体，彼此相互解释，相互补充。组成合同的多个文件的优先支配地位的次序如下：</w:t>
      </w:r>
    </w:p>
    <w:p w14:paraId="5BF31016">
      <w:pPr>
        <w:autoSpaceDE/>
        <w:autoSpaceDN/>
        <w:snapToGrid w:val="0"/>
        <w:spacing w:line="360" w:lineRule="auto"/>
        <w:ind w:firstLine="538"/>
        <w:rPr>
          <w:color w:val="auto"/>
          <w:sz w:val="24"/>
          <w:szCs w:val="24"/>
          <w:highlight w:val="none"/>
        </w:rPr>
      </w:pPr>
      <w:r>
        <w:rPr>
          <w:rFonts w:hint="eastAsia"/>
          <w:color w:val="auto"/>
          <w:sz w:val="24"/>
          <w:szCs w:val="24"/>
          <w:highlight w:val="none"/>
        </w:rPr>
        <w:t>a.本合同书　</w:t>
      </w:r>
    </w:p>
    <w:p w14:paraId="047B45E3">
      <w:pPr>
        <w:autoSpaceDE/>
        <w:autoSpaceDN/>
        <w:snapToGrid w:val="0"/>
        <w:spacing w:line="360" w:lineRule="auto"/>
        <w:ind w:firstLine="538"/>
        <w:rPr>
          <w:color w:val="auto"/>
          <w:sz w:val="24"/>
          <w:szCs w:val="24"/>
          <w:highlight w:val="none"/>
        </w:rPr>
      </w:pPr>
      <w:r>
        <w:rPr>
          <w:rFonts w:hint="eastAsia"/>
          <w:color w:val="auto"/>
          <w:sz w:val="24"/>
          <w:szCs w:val="24"/>
          <w:highlight w:val="none"/>
        </w:rPr>
        <w:t>b.成交通知书</w:t>
      </w:r>
      <w:r>
        <w:rPr>
          <w:rFonts w:hint="eastAsia"/>
          <w:color w:val="auto"/>
          <w:sz w:val="24"/>
          <w:szCs w:val="24"/>
          <w:highlight w:val="none"/>
        </w:rPr>
        <w:tab/>
      </w:r>
    </w:p>
    <w:p w14:paraId="1F119025">
      <w:pPr>
        <w:autoSpaceDE/>
        <w:autoSpaceDN/>
        <w:snapToGrid w:val="0"/>
        <w:spacing w:line="360" w:lineRule="auto"/>
        <w:ind w:firstLine="538"/>
        <w:rPr>
          <w:color w:val="auto"/>
          <w:sz w:val="24"/>
          <w:szCs w:val="24"/>
          <w:highlight w:val="none"/>
        </w:rPr>
      </w:pPr>
      <w:r>
        <w:rPr>
          <w:rFonts w:hint="eastAsia"/>
          <w:color w:val="auto"/>
          <w:sz w:val="24"/>
          <w:szCs w:val="24"/>
          <w:highlight w:val="none"/>
        </w:rPr>
        <w:t>c.成交人响应文件</w:t>
      </w:r>
      <w:r>
        <w:rPr>
          <w:rFonts w:hint="eastAsia"/>
          <w:color w:val="auto"/>
          <w:sz w:val="24"/>
          <w:szCs w:val="24"/>
          <w:highlight w:val="none"/>
        </w:rPr>
        <w:tab/>
      </w:r>
      <w:r>
        <w:rPr>
          <w:rFonts w:hint="eastAsia"/>
          <w:color w:val="auto"/>
          <w:sz w:val="24"/>
          <w:szCs w:val="24"/>
          <w:highlight w:val="none"/>
        </w:rPr>
        <w:t xml:space="preserve">        (含澄清内容)</w:t>
      </w:r>
    </w:p>
    <w:p w14:paraId="0C30A7EC">
      <w:pPr>
        <w:autoSpaceDE/>
        <w:autoSpaceDN/>
        <w:snapToGrid w:val="0"/>
        <w:spacing w:line="360" w:lineRule="auto"/>
        <w:ind w:firstLine="538"/>
        <w:rPr>
          <w:color w:val="auto"/>
          <w:sz w:val="24"/>
          <w:szCs w:val="24"/>
          <w:highlight w:val="none"/>
        </w:rPr>
      </w:pPr>
      <w:r>
        <w:rPr>
          <w:rFonts w:hint="eastAsia"/>
          <w:color w:val="auto"/>
          <w:sz w:val="24"/>
          <w:szCs w:val="24"/>
          <w:highlight w:val="none"/>
        </w:rPr>
        <w:t>d.变更补充文件。</w:t>
      </w:r>
    </w:p>
    <w:p w14:paraId="11D35090">
      <w:pPr>
        <w:autoSpaceDE/>
        <w:autoSpaceDN/>
        <w:snapToGrid w:val="0"/>
        <w:spacing w:line="360" w:lineRule="auto"/>
        <w:ind w:firstLine="538"/>
        <w:rPr>
          <w:color w:val="auto"/>
          <w:sz w:val="24"/>
          <w:szCs w:val="24"/>
          <w:highlight w:val="none"/>
        </w:rPr>
      </w:pPr>
      <w:r>
        <w:rPr>
          <w:rFonts w:hint="eastAsia"/>
          <w:color w:val="auto"/>
          <w:sz w:val="24"/>
          <w:szCs w:val="24"/>
          <w:highlight w:val="none"/>
        </w:rPr>
        <w:t>e.竞争性磋商文件</w:t>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 xml:space="preserve"> (含澄清修改文件)</w:t>
      </w:r>
    </w:p>
    <w:p w14:paraId="36492253">
      <w:pPr>
        <w:numPr>
          <w:ilvl w:val="0"/>
          <w:numId w:val="26"/>
        </w:numPr>
        <w:autoSpaceDE/>
        <w:autoSpaceDN/>
        <w:snapToGrid w:val="0"/>
        <w:spacing w:line="360" w:lineRule="auto"/>
        <w:ind w:left="-420" w:leftChars="0" w:firstLine="420" w:firstLineChars="0"/>
        <w:rPr>
          <w:rFonts w:hint="eastAsia"/>
          <w:b/>
          <w:color w:val="auto"/>
          <w:sz w:val="24"/>
          <w:szCs w:val="24"/>
          <w:highlight w:val="none"/>
        </w:rPr>
      </w:pPr>
      <w:r>
        <w:rPr>
          <w:rFonts w:hint="eastAsia"/>
          <w:b/>
          <w:color w:val="auto"/>
          <w:sz w:val="24"/>
          <w:szCs w:val="24"/>
          <w:highlight w:val="none"/>
          <w:rtl w:val="0"/>
          <w:lang w:val="en-US" w:eastAsia="zh-CN"/>
        </w:rPr>
        <w:t>赛事服务要求</w:t>
      </w:r>
    </w:p>
    <w:p w14:paraId="42BDBC26">
      <w:pPr>
        <w:pStyle w:val="11"/>
        <w:spacing w:line="360" w:lineRule="auto"/>
        <w:ind w:firstLine="720" w:firstLineChars="300"/>
        <w:rPr>
          <w:rFonts w:hint="eastAsia"/>
        </w:rPr>
      </w:pPr>
      <w:r>
        <w:rPr>
          <w:rFonts w:hint="eastAsia"/>
          <w:color w:val="auto"/>
          <w:sz w:val="24"/>
          <w:szCs w:val="24"/>
          <w:highlight w:val="none"/>
          <w:u w:val="single"/>
          <w:lang w:val="en-US" w:eastAsia="zh-CN"/>
        </w:rPr>
        <w:t>详见竞争性磋商文件第二章《采购需求》</w:t>
      </w:r>
      <w:r>
        <w:rPr>
          <w:rFonts w:hint="eastAsia"/>
          <w:color w:val="auto"/>
          <w:sz w:val="24"/>
          <w:szCs w:val="24"/>
          <w:highlight w:val="none"/>
          <w:u w:val="single"/>
        </w:rPr>
        <w:t xml:space="preserve">    　</w:t>
      </w:r>
    </w:p>
    <w:p w14:paraId="26988B27">
      <w:pPr>
        <w:numPr>
          <w:ilvl w:val="0"/>
          <w:numId w:val="26"/>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合同总价</w:t>
      </w:r>
    </w:p>
    <w:p w14:paraId="0EE6AA47">
      <w:pPr>
        <w:autoSpaceDE/>
        <w:autoSpaceDN/>
        <w:snapToGrid w:val="0"/>
        <w:spacing w:line="360" w:lineRule="auto"/>
        <w:ind w:firstLine="453"/>
        <w:rPr>
          <w:color w:val="auto"/>
          <w:sz w:val="24"/>
          <w:szCs w:val="24"/>
          <w:highlight w:val="none"/>
        </w:rPr>
      </w:pPr>
      <w:r>
        <w:rPr>
          <w:rFonts w:hint="eastAsia"/>
          <w:color w:val="auto"/>
          <w:sz w:val="24"/>
          <w:szCs w:val="24"/>
          <w:highlight w:val="none"/>
          <w:lang w:val="en-US"/>
        </w:rPr>
        <w:t>3.1</w:t>
      </w:r>
      <w:r>
        <w:rPr>
          <w:rFonts w:hint="eastAsia"/>
          <w:color w:val="auto"/>
          <w:sz w:val="24"/>
          <w:szCs w:val="24"/>
          <w:highlight w:val="none"/>
        </w:rPr>
        <w:t>本合同总价为</w:t>
      </w:r>
      <w:r>
        <w:rPr>
          <w:rFonts w:hint="eastAsia"/>
          <w:color w:val="auto"/>
          <w:sz w:val="24"/>
          <w:szCs w:val="24"/>
          <w:highlight w:val="none"/>
          <w:u w:val="single"/>
        </w:rPr>
        <w:t xml:space="preserve">    　          　   </w:t>
      </w:r>
      <w:r>
        <w:rPr>
          <w:rFonts w:hint="eastAsia"/>
          <w:color w:val="auto"/>
          <w:sz w:val="24"/>
          <w:szCs w:val="24"/>
          <w:highlight w:val="none"/>
        </w:rPr>
        <w:t>元人民币。</w:t>
      </w:r>
    </w:p>
    <w:p w14:paraId="05C5B4FD">
      <w:pPr>
        <w:autoSpaceDE/>
        <w:autoSpaceDN/>
        <w:snapToGrid w:val="0"/>
        <w:spacing w:line="360" w:lineRule="auto"/>
        <w:ind w:firstLine="453"/>
        <w:rPr>
          <w:color w:val="auto"/>
          <w:sz w:val="24"/>
          <w:szCs w:val="24"/>
          <w:highlight w:val="none"/>
        </w:rPr>
      </w:pPr>
      <w:r>
        <w:rPr>
          <w:rFonts w:hint="eastAsia"/>
          <w:color w:val="auto"/>
          <w:sz w:val="24"/>
          <w:szCs w:val="24"/>
          <w:highlight w:val="none"/>
          <w:lang w:val="en-US"/>
        </w:rPr>
        <w:t>3.2</w:t>
      </w:r>
      <w:r>
        <w:rPr>
          <w:rFonts w:hint="eastAsia"/>
          <w:color w:val="auto"/>
          <w:sz w:val="24"/>
          <w:szCs w:val="24"/>
          <w:highlight w:val="none"/>
        </w:rPr>
        <w:t>分项价格：</w:t>
      </w:r>
      <w:r>
        <w:rPr>
          <w:rFonts w:hint="eastAsia"/>
          <w:color w:val="auto"/>
          <w:sz w:val="24"/>
          <w:szCs w:val="24"/>
          <w:highlight w:val="none"/>
          <w:u w:val="single"/>
        </w:rPr>
        <w:t>　　　　　　　       　　　　　</w:t>
      </w:r>
    </w:p>
    <w:p w14:paraId="29E23FBE">
      <w:pPr>
        <w:numPr>
          <w:ilvl w:val="0"/>
          <w:numId w:val="26"/>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付款方式</w:t>
      </w:r>
    </w:p>
    <w:p w14:paraId="5758C268">
      <w:pPr>
        <w:autoSpaceDE/>
        <w:autoSpaceDN/>
        <w:snapToGrid w:val="0"/>
        <w:spacing w:line="360" w:lineRule="auto"/>
        <w:ind w:firstLine="480" w:firstLineChars="200"/>
        <w:rPr>
          <w:color w:val="auto"/>
          <w:sz w:val="24"/>
          <w:szCs w:val="24"/>
          <w:highlight w:val="none"/>
          <w:lang w:val="en-US"/>
        </w:rPr>
      </w:pPr>
      <w:r>
        <w:rPr>
          <w:rFonts w:hint="eastAsia"/>
          <w:bCs/>
          <w:color w:val="auto"/>
          <w:sz w:val="24"/>
          <w:szCs w:val="24"/>
          <w:highlight w:val="none"/>
          <w:lang w:val="en-US"/>
        </w:rPr>
        <w:t>4.1合同生效以及具备实施条件后7个工作日内，采购人凭中标供应商开具的发票支付合同总额</w:t>
      </w:r>
      <w:r>
        <w:rPr>
          <w:rFonts w:hint="eastAsia"/>
          <w:bCs/>
          <w:color w:val="auto"/>
          <w:sz w:val="24"/>
          <w:szCs w:val="24"/>
          <w:highlight w:val="none"/>
          <w:lang w:val="en-US" w:eastAsia="zh-CN"/>
        </w:rPr>
        <w:t>的</w:t>
      </w:r>
      <w:r>
        <w:rPr>
          <w:rFonts w:hint="eastAsia" w:ascii="仿宋" w:hAnsi="仿宋" w:eastAsia="仿宋" w:cs="仿宋"/>
          <w:color w:val="auto"/>
          <w:sz w:val="24"/>
          <w:szCs w:val="24"/>
          <w:lang w:val="en-US" w:eastAsia="zh-CN"/>
        </w:rPr>
        <w:t>50%作为预付款</w:t>
      </w:r>
      <w:r>
        <w:rPr>
          <w:rFonts w:hint="eastAsia" w:ascii="仿宋" w:hAnsi="仿宋" w:eastAsia="仿宋" w:cs="仿宋"/>
          <w:color w:val="auto"/>
          <w:sz w:val="24"/>
          <w:szCs w:val="24"/>
          <w:highlight w:val="none"/>
          <w:lang w:val="en-US" w:eastAsia="zh-CN" w:bidi="zh-CN"/>
        </w:rPr>
        <w:t>（采购人在向供应商支付预付款之前，有权要求供应商提供与预付款金额相对应的担保措施，担保措施可以是银行、保险公司等金融机构出具的预付款保函或其他担保措施）</w:t>
      </w:r>
      <w:r>
        <w:rPr>
          <w:rFonts w:hint="eastAsia" w:ascii="仿宋" w:hAnsi="仿宋" w:eastAsia="仿宋" w:cs="仿宋"/>
          <w:color w:val="auto"/>
          <w:sz w:val="24"/>
          <w:szCs w:val="24"/>
          <w:lang w:val="en-US" w:eastAsia="zh-CN"/>
        </w:rPr>
        <w:t>；</w:t>
      </w:r>
      <w:r>
        <w:rPr>
          <w:rFonts w:hint="eastAsia" w:cs="仿宋"/>
          <w:color w:val="auto"/>
          <w:sz w:val="24"/>
          <w:szCs w:val="24"/>
          <w:lang w:val="en-US" w:eastAsia="zh-CN"/>
        </w:rPr>
        <w:t>项目结束后，</w:t>
      </w:r>
      <w:r>
        <w:rPr>
          <w:rFonts w:hint="eastAsia" w:ascii="宋体" w:hAnsi="宋体" w:cs="宋体"/>
          <w:color w:val="auto"/>
          <w:sz w:val="24"/>
          <w:highlight w:val="none"/>
          <w:shd w:val="clear" w:color="auto" w:fill="FFFFFF"/>
          <w:lang w:val="en-US" w:eastAsia="zh-CN"/>
        </w:rPr>
        <w:t>中标单位向采购人提交赛事后勤结案报告</w:t>
      </w:r>
      <w:r>
        <w:rPr>
          <w:rFonts w:hint="eastAsia" w:ascii="仿宋" w:hAnsi="仿宋" w:eastAsia="仿宋" w:cs="仿宋"/>
          <w:color w:val="auto"/>
          <w:sz w:val="24"/>
          <w:lang w:eastAsia="zh-CN"/>
        </w:rPr>
        <w:t>（</w:t>
      </w:r>
      <w:r>
        <w:rPr>
          <w:rFonts w:hint="eastAsia" w:ascii="仿宋" w:hAnsi="仿宋" w:eastAsia="仿宋" w:cs="仿宋"/>
          <w:color w:val="auto"/>
          <w:sz w:val="24"/>
        </w:rPr>
        <w:t>无相关违约及安全责任等情形</w:t>
      </w:r>
      <w:r>
        <w:rPr>
          <w:rFonts w:hint="eastAsia" w:ascii="仿宋" w:hAnsi="仿宋" w:eastAsia="仿宋" w:cs="仿宋"/>
          <w:color w:val="auto"/>
          <w:sz w:val="24"/>
          <w:lang w:eastAsia="zh-CN"/>
        </w:rPr>
        <w:t>）</w:t>
      </w:r>
      <w:r>
        <w:rPr>
          <w:rFonts w:hint="eastAsia" w:cs="仿宋"/>
          <w:color w:val="auto"/>
          <w:sz w:val="24"/>
          <w:lang w:val="en-US" w:eastAsia="zh-CN"/>
        </w:rPr>
        <w:t>,</w:t>
      </w:r>
      <w:r>
        <w:rPr>
          <w:rFonts w:hint="eastAsia"/>
          <w:bCs/>
          <w:color w:val="auto"/>
          <w:sz w:val="24"/>
          <w:szCs w:val="24"/>
          <w:highlight w:val="none"/>
          <w:lang w:val="en-US"/>
        </w:rPr>
        <w:t>采购人凭中标供应商开具的发票</w:t>
      </w:r>
      <w:r>
        <w:rPr>
          <w:rFonts w:hint="eastAsia"/>
          <w:bCs/>
          <w:color w:val="auto"/>
          <w:sz w:val="24"/>
          <w:szCs w:val="24"/>
          <w:highlight w:val="none"/>
          <w:lang w:val="en-US" w:eastAsia="zh-CN"/>
        </w:rPr>
        <w:t>于15个工作日内</w:t>
      </w:r>
      <w:r>
        <w:rPr>
          <w:rFonts w:hint="eastAsia"/>
          <w:bCs/>
          <w:color w:val="auto"/>
          <w:sz w:val="24"/>
          <w:szCs w:val="24"/>
          <w:highlight w:val="none"/>
          <w:lang w:val="en-US"/>
        </w:rPr>
        <w:t>支付合同总额</w:t>
      </w:r>
      <w:r>
        <w:rPr>
          <w:rFonts w:hint="eastAsia"/>
          <w:bCs/>
          <w:color w:val="auto"/>
          <w:sz w:val="24"/>
          <w:szCs w:val="24"/>
          <w:highlight w:val="none"/>
          <w:lang w:val="en-US" w:eastAsia="zh-CN"/>
        </w:rPr>
        <w:t>的</w:t>
      </w:r>
      <w:r>
        <w:rPr>
          <w:rFonts w:hint="eastAsia" w:ascii="仿宋" w:hAnsi="仿宋" w:eastAsia="仿宋" w:cs="仿宋"/>
          <w:color w:val="auto"/>
          <w:sz w:val="24"/>
          <w:szCs w:val="24"/>
          <w:lang w:val="en-US" w:eastAsia="zh-CN"/>
        </w:rPr>
        <w:t>50%</w:t>
      </w:r>
      <w:r>
        <w:rPr>
          <w:rFonts w:hint="eastAsia"/>
          <w:bCs/>
          <w:color w:val="auto"/>
          <w:sz w:val="24"/>
          <w:szCs w:val="24"/>
          <w:highlight w:val="none"/>
          <w:lang w:val="en-US" w:eastAsia="zh-CN"/>
        </w:rPr>
        <w:t>。</w:t>
      </w:r>
    </w:p>
    <w:p w14:paraId="2F167271">
      <w:pPr>
        <w:numPr>
          <w:ilvl w:val="0"/>
          <w:numId w:val="26"/>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赛事时间、地点及规模</w:t>
      </w:r>
    </w:p>
    <w:p w14:paraId="19AC7D7E">
      <w:pPr>
        <w:widowControl/>
        <w:numPr>
          <w:ilvl w:val="0"/>
          <w:numId w:val="0"/>
        </w:numPr>
        <w:spacing w:line="360" w:lineRule="auto"/>
        <w:ind w:left="420" w:leftChars="0"/>
        <w:jc w:val="left"/>
        <w:rPr>
          <w:rFonts w:hint="eastAsia" w:ascii="仿宋" w:hAnsi="仿宋" w:eastAsia="仿宋" w:cs="仿宋"/>
          <w:b w:val="0"/>
          <w:bCs w:val="0"/>
          <w:sz w:val="24"/>
          <w:highlight w:val="none"/>
          <w:lang w:val="en-US" w:eastAsia="zh-CN"/>
        </w:rPr>
      </w:pPr>
      <w:r>
        <w:rPr>
          <w:rFonts w:hint="eastAsia" w:cs="仿宋"/>
          <w:b w:val="0"/>
          <w:bCs w:val="0"/>
          <w:kern w:val="0"/>
          <w:sz w:val="24"/>
          <w:szCs w:val="24"/>
          <w:highlight w:val="none"/>
          <w:lang w:val="en-US" w:eastAsia="zh-CN"/>
        </w:rPr>
        <w:t>5.1</w:t>
      </w:r>
      <w:r>
        <w:rPr>
          <w:rFonts w:hint="eastAsia" w:ascii="仿宋" w:hAnsi="仿宋" w:eastAsia="仿宋" w:cs="仿宋"/>
          <w:b w:val="0"/>
          <w:bCs w:val="0"/>
          <w:kern w:val="0"/>
          <w:sz w:val="24"/>
          <w:szCs w:val="24"/>
          <w:highlight w:val="none"/>
          <w:lang w:val="en-US" w:eastAsia="zh-CN"/>
        </w:rPr>
        <w:t>时间</w:t>
      </w:r>
      <w:r>
        <w:rPr>
          <w:rFonts w:hint="eastAsia" w:ascii="仿宋" w:hAnsi="仿宋" w:eastAsia="仿宋" w:cs="仿宋"/>
          <w:b w:val="0"/>
          <w:bCs w:val="0"/>
          <w:sz w:val="24"/>
          <w:highlight w:val="none"/>
          <w:lang w:val="en-US" w:eastAsia="zh-CN"/>
        </w:rPr>
        <w:t>：暂定</w:t>
      </w:r>
      <w:r>
        <w:rPr>
          <w:rFonts w:hint="eastAsia" w:ascii="仿宋" w:hAnsi="仿宋" w:eastAsia="仿宋" w:cs="仿宋"/>
          <w:b w:val="0"/>
          <w:bCs w:val="0"/>
          <w:sz w:val="24"/>
          <w:highlight w:val="none"/>
        </w:rPr>
        <w:t>2025年8月2日</w:t>
      </w:r>
      <w:r>
        <w:rPr>
          <w:rFonts w:hint="eastAsia" w:cs="仿宋"/>
          <w:b w:val="0"/>
          <w:bCs w:val="0"/>
          <w:sz w:val="24"/>
          <w:highlight w:val="none"/>
          <w:lang w:eastAsia="zh-CN"/>
        </w:rPr>
        <w:t>——</w:t>
      </w:r>
      <w:r>
        <w:rPr>
          <w:rFonts w:hint="eastAsia" w:cs="仿宋"/>
          <w:b w:val="0"/>
          <w:bCs w:val="0"/>
          <w:sz w:val="24"/>
          <w:highlight w:val="none"/>
          <w:lang w:val="en-US" w:eastAsia="zh-CN"/>
        </w:rPr>
        <w:t>2025年8月5日</w:t>
      </w:r>
      <w:r>
        <w:rPr>
          <w:rFonts w:hint="eastAsia" w:ascii="仿宋" w:hAnsi="仿宋" w:eastAsia="仿宋" w:cs="仿宋"/>
          <w:b w:val="0"/>
          <w:bCs w:val="0"/>
          <w:sz w:val="24"/>
          <w:highlight w:val="none"/>
          <w:lang w:val="en-US" w:eastAsia="zh-CN"/>
        </w:rPr>
        <w:t>（具体时间按采购人要求执行）</w:t>
      </w:r>
    </w:p>
    <w:p w14:paraId="2261D582">
      <w:pPr>
        <w:widowControl/>
        <w:numPr>
          <w:ilvl w:val="0"/>
          <w:numId w:val="0"/>
        </w:numPr>
        <w:spacing w:line="360" w:lineRule="auto"/>
        <w:ind w:left="420" w:leftChars="0"/>
        <w:jc w:val="left"/>
        <w:rPr>
          <w:rFonts w:hint="eastAsia" w:ascii="仿宋" w:hAnsi="仿宋" w:eastAsia="仿宋" w:cs="仿宋"/>
          <w:b w:val="0"/>
          <w:bCs w:val="0"/>
          <w:color w:val="auto"/>
          <w:sz w:val="24"/>
          <w:highlight w:val="none"/>
          <w:lang w:val="en-US" w:eastAsia="zh-CN"/>
        </w:rPr>
      </w:pPr>
      <w:r>
        <w:rPr>
          <w:rFonts w:hint="eastAsia" w:cs="仿宋"/>
          <w:b w:val="0"/>
          <w:bCs w:val="0"/>
          <w:sz w:val="24"/>
          <w:highlight w:val="none"/>
          <w:lang w:val="en-US" w:eastAsia="zh-CN"/>
        </w:rPr>
        <w:t>5.2</w:t>
      </w:r>
      <w:r>
        <w:rPr>
          <w:rFonts w:hint="eastAsia" w:ascii="仿宋" w:hAnsi="仿宋" w:eastAsia="仿宋" w:cs="仿宋"/>
          <w:b w:val="0"/>
          <w:bCs w:val="0"/>
          <w:sz w:val="24"/>
          <w:highlight w:val="none"/>
          <w:lang w:val="en-US" w:eastAsia="zh-CN"/>
        </w:rPr>
        <w:t>比赛地点：</w:t>
      </w:r>
      <w:r>
        <w:rPr>
          <w:rFonts w:hint="eastAsia" w:ascii="仿宋" w:hAnsi="仿宋" w:eastAsia="仿宋" w:cs="仿宋"/>
          <w:b w:val="0"/>
          <w:bCs w:val="0"/>
          <w:color w:val="auto"/>
          <w:sz w:val="24"/>
          <w:highlight w:val="none"/>
          <w:lang w:val="en-US" w:eastAsia="zh-CN"/>
        </w:rPr>
        <w:t>浙江省丽水市遂昌县</w:t>
      </w:r>
    </w:p>
    <w:p w14:paraId="6D9E1BCB">
      <w:pPr>
        <w:widowControl/>
        <w:numPr>
          <w:ilvl w:val="0"/>
          <w:numId w:val="0"/>
        </w:numPr>
        <w:spacing w:line="360" w:lineRule="auto"/>
        <w:ind w:left="420" w:leftChars="0"/>
        <w:jc w:val="left"/>
        <w:rPr>
          <w:rFonts w:hint="eastAsia" w:ascii="仿宋" w:hAnsi="仿宋" w:eastAsia="仿宋" w:cs="仿宋"/>
          <w:b w:val="0"/>
          <w:bCs w:val="0"/>
          <w:color w:val="auto"/>
          <w:sz w:val="24"/>
          <w:highlight w:val="none"/>
          <w:lang w:val="en-US" w:eastAsia="zh-CN"/>
        </w:rPr>
      </w:pPr>
      <w:r>
        <w:rPr>
          <w:rFonts w:hint="eastAsia" w:cs="仿宋"/>
          <w:b w:val="0"/>
          <w:bCs w:val="0"/>
          <w:color w:val="auto"/>
          <w:sz w:val="24"/>
          <w:highlight w:val="none"/>
          <w:lang w:val="en-US" w:eastAsia="zh-CN"/>
        </w:rPr>
        <w:t>5.3</w:t>
      </w:r>
      <w:r>
        <w:rPr>
          <w:rFonts w:hint="eastAsia" w:ascii="仿宋" w:hAnsi="仿宋" w:eastAsia="仿宋" w:cs="仿宋"/>
          <w:b w:val="0"/>
          <w:bCs w:val="0"/>
          <w:color w:val="auto"/>
          <w:sz w:val="24"/>
          <w:highlight w:val="none"/>
          <w:lang w:val="en-US" w:eastAsia="zh-CN"/>
        </w:rPr>
        <w:t>竞赛规模：</w:t>
      </w:r>
    </w:p>
    <w:p w14:paraId="3981B873">
      <w:pPr>
        <w:widowControl/>
        <w:numPr>
          <w:ilvl w:val="0"/>
          <w:numId w:val="27"/>
        </w:numPr>
        <w:spacing w:line="360" w:lineRule="auto"/>
        <w:ind w:left="1265" w:leftChars="0" w:hanging="425" w:firstLineChars="0"/>
        <w:jc w:val="left"/>
        <w:rPr>
          <w:rFonts w:hint="eastAsia" w:ascii="仿宋" w:hAnsi="仿宋" w:eastAsia="仿宋" w:cs="仿宋"/>
          <w:b w:val="0"/>
          <w:bCs w:val="0"/>
          <w:color w:val="auto"/>
          <w:sz w:val="24"/>
          <w:highlight w:val="none"/>
          <w:lang w:val="en-US" w:eastAsia="zh-CN"/>
        </w:rPr>
      </w:pPr>
      <w:r>
        <w:rPr>
          <w:rFonts w:hint="eastAsia" w:cs="仿宋"/>
          <w:b w:val="0"/>
          <w:bCs w:val="0"/>
          <w:color w:val="auto"/>
          <w:sz w:val="24"/>
          <w:highlight w:val="none"/>
          <w:lang w:val="en-US" w:eastAsia="zh-CN"/>
        </w:rPr>
        <w:t>队伍数量：组织参赛队伍50队；</w:t>
      </w:r>
    </w:p>
    <w:p w14:paraId="5D3E4E5D">
      <w:pPr>
        <w:widowControl/>
        <w:numPr>
          <w:ilvl w:val="0"/>
          <w:numId w:val="27"/>
        </w:numPr>
        <w:spacing w:line="360" w:lineRule="auto"/>
        <w:ind w:left="1265" w:leftChars="0" w:hanging="425" w:firstLineChars="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运动员数量：总参赛运动员人数约500人。</w:t>
      </w:r>
    </w:p>
    <w:p w14:paraId="764AA519">
      <w:pPr>
        <w:numPr>
          <w:ilvl w:val="0"/>
          <w:numId w:val="26"/>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验收要求</w:t>
      </w:r>
    </w:p>
    <w:p w14:paraId="12267145">
      <w:pPr>
        <w:pStyle w:val="82"/>
        <w:rPr>
          <w:rFonts w:hint="eastAsia" w:ascii="仿宋" w:hAnsi="仿宋" w:eastAsia="仿宋" w:cs="仿宋"/>
          <w:color w:val="auto"/>
          <w:sz w:val="24"/>
          <w:highlight w:val="none"/>
          <w:lang w:val="en-US" w:eastAsia="zh-CN"/>
        </w:rPr>
      </w:pPr>
      <w:r>
        <w:rPr>
          <w:rFonts w:hint="eastAsia" w:cs="仿宋"/>
          <w:color w:val="auto"/>
          <w:sz w:val="24"/>
          <w:highlight w:val="none"/>
          <w:lang w:val="en-US" w:eastAsia="zh-CN"/>
        </w:rPr>
        <w:t>6.1</w:t>
      </w:r>
      <w:r>
        <w:rPr>
          <w:rFonts w:hint="eastAsia" w:ascii="仿宋" w:hAnsi="仿宋" w:eastAsia="仿宋" w:cs="仿宋"/>
          <w:color w:val="auto"/>
          <w:sz w:val="24"/>
          <w:highlight w:val="none"/>
          <w:lang w:val="en-US" w:eastAsia="zh-CN"/>
        </w:rPr>
        <w:t>采购人按相关规定组织验收，验收资料由成交供应商准备；</w:t>
      </w:r>
    </w:p>
    <w:p w14:paraId="04485B11">
      <w:pPr>
        <w:pStyle w:val="82"/>
        <w:rPr>
          <w:rFonts w:hint="eastAsia" w:ascii="仿宋" w:hAnsi="仿宋" w:eastAsia="仿宋" w:cs="仿宋"/>
          <w:color w:val="auto"/>
          <w:sz w:val="24"/>
          <w:highlight w:val="none"/>
          <w:lang w:val="en-US" w:eastAsia="zh-CN"/>
        </w:rPr>
      </w:pPr>
      <w:r>
        <w:rPr>
          <w:rFonts w:hint="eastAsia" w:cs="仿宋"/>
          <w:color w:val="auto"/>
          <w:sz w:val="24"/>
          <w:highlight w:val="none"/>
          <w:lang w:val="en-US" w:eastAsia="zh-CN"/>
        </w:rPr>
        <w:t>6.2</w:t>
      </w:r>
      <w:r>
        <w:rPr>
          <w:rFonts w:hint="eastAsia" w:ascii="仿宋" w:hAnsi="仿宋" w:eastAsia="仿宋" w:cs="仿宋"/>
          <w:color w:val="auto"/>
          <w:sz w:val="24"/>
          <w:highlight w:val="none"/>
          <w:lang w:val="en-US" w:eastAsia="zh-CN"/>
        </w:rPr>
        <w:t>本项目合同验收由采购人组织实施，验收过程中，成交供应商应派专业的技术人员协助采购人进行验收；</w:t>
      </w:r>
    </w:p>
    <w:p w14:paraId="42C17068">
      <w:pPr>
        <w:pStyle w:val="82"/>
        <w:rPr>
          <w:rFonts w:hint="eastAsia" w:ascii="仿宋" w:hAnsi="仿宋" w:eastAsia="仿宋" w:cs="仿宋"/>
          <w:color w:val="auto"/>
          <w:sz w:val="24"/>
          <w:highlight w:val="none"/>
          <w:lang w:val="en-US" w:eastAsia="zh-CN"/>
        </w:rPr>
      </w:pPr>
      <w:r>
        <w:rPr>
          <w:rFonts w:hint="eastAsia" w:cs="仿宋"/>
          <w:color w:val="auto"/>
          <w:sz w:val="24"/>
          <w:highlight w:val="none"/>
          <w:lang w:val="en-US" w:eastAsia="zh-CN"/>
        </w:rPr>
        <w:t>6.3</w:t>
      </w:r>
      <w:r>
        <w:rPr>
          <w:rFonts w:hint="eastAsia" w:ascii="仿宋" w:hAnsi="仿宋" w:eastAsia="仿宋" w:cs="仿宋"/>
          <w:color w:val="auto"/>
          <w:sz w:val="24"/>
          <w:highlight w:val="none"/>
          <w:lang w:val="en-US" w:eastAsia="zh-CN"/>
        </w:rPr>
        <w:t>验收合格标准：符合采购文件约定的服务质量要求、完成合同全部约定。</w:t>
      </w:r>
    </w:p>
    <w:p w14:paraId="05D15BB7">
      <w:pPr>
        <w:numPr>
          <w:ilvl w:val="0"/>
          <w:numId w:val="26"/>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使用合同文件和资料</w:t>
      </w:r>
    </w:p>
    <w:p w14:paraId="413B3C5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1"/>
          <w:highlight w:val="none"/>
        </w:rPr>
      </w:pPr>
      <w:r>
        <w:rPr>
          <w:rFonts w:hint="eastAsia" w:cs="仿宋"/>
          <w:color w:val="auto"/>
          <w:sz w:val="24"/>
          <w:szCs w:val="21"/>
          <w:highlight w:val="none"/>
          <w:lang w:val="en-US" w:eastAsia="zh-CN"/>
        </w:rPr>
        <w:t>7</w:t>
      </w:r>
      <w:r>
        <w:rPr>
          <w:rFonts w:hint="eastAsia" w:ascii="仿宋" w:hAnsi="仿宋" w:eastAsia="仿宋" w:cs="仿宋"/>
          <w:color w:val="auto"/>
          <w:sz w:val="24"/>
          <w:szCs w:val="21"/>
          <w:highlight w:val="none"/>
        </w:rPr>
        <w:t>.1 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14:paraId="3EBA14F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1"/>
          <w:highlight w:val="none"/>
        </w:rPr>
      </w:pPr>
      <w:r>
        <w:rPr>
          <w:rFonts w:hint="eastAsia" w:cs="仿宋"/>
          <w:color w:val="auto"/>
          <w:sz w:val="24"/>
          <w:szCs w:val="21"/>
          <w:highlight w:val="none"/>
          <w:lang w:val="en-US" w:eastAsia="zh-CN"/>
        </w:rPr>
        <w:t>7</w:t>
      </w:r>
      <w:r>
        <w:rPr>
          <w:rFonts w:hint="eastAsia" w:ascii="仿宋" w:hAnsi="仿宋" w:eastAsia="仿宋" w:cs="仿宋"/>
          <w:color w:val="auto"/>
          <w:sz w:val="24"/>
          <w:szCs w:val="21"/>
          <w:highlight w:val="none"/>
        </w:rPr>
        <w:t>.2 没有甲方事先书面同意，除了履行本合同之外，乙方不应使用</w:t>
      </w:r>
      <w:r>
        <w:rPr>
          <w:rFonts w:hint="eastAsia" w:cs="仿宋"/>
          <w:color w:val="auto"/>
          <w:sz w:val="24"/>
          <w:szCs w:val="21"/>
          <w:highlight w:val="none"/>
          <w:lang w:val="en-US" w:eastAsia="zh-CN"/>
        </w:rPr>
        <w:t>7</w:t>
      </w:r>
      <w:r>
        <w:rPr>
          <w:rFonts w:hint="eastAsia" w:ascii="仿宋" w:hAnsi="仿宋" w:eastAsia="仿宋" w:cs="仿宋"/>
          <w:color w:val="auto"/>
          <w:sz w:val="24"/>
          <w:szCs w:val="21"/>
          <w:highlight w:val="none"/>
        </w:rPr>
        <w:t>.1条款所列举的任何文件和资料。</w:t>
      </w:r>
    </w:p>
    <w:p w14:paraId="219EDB9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1"/>
          <w:highlight w:val="none"/>
        </w:rPr>
      </w:pPr>
      <w:r>
        <w:rPr>
          <w:rFonts w:hint="eastAsia" w:cs="仿宋"/>
          <w:color w:val="auto"/>
          <w:sz w:val="24"/>
          <w:szCs w:val="21"/>
          <w:highlight w:val="none"/>
          <w:lang w:val="en-US" w:eastAsia="zh-CN"/>
        </w:rPr>
        <w:t>7</w:t>
      </w:r>
      <w:r>
        <w:rPr>
          <w:rFonts w:hint="eastAsia" w:ascii="仿宋" w:hAnsi="仿宋" w:eastAsia="仿宋" w:cs="仿宋"/>
          <w:color w:val="auto"/>
          <w:sz w:val="24"/>
          <w:szCs w:val="21"/>
          <w:highlight w:val="none"/>
        </w:rPr>
        <w:t>.3 除了合同本身外，</w:t>
      </w:r>
      <w:r>
        <w:rPr>
          <w:rFonts w:hint="eastAsia" w:cs="仿宋"/>
          <w:color w:val="auto"/>
          <w:sz w:val="24"/>
          <w:szCs w:val="21"/>
          <w:highlight w:val="none"/>
          <w:lang w:val="en-US" w:eastAsia="zh-CN"/>
        </w:rPr>
        <w:t>7</w:t>
      </w:r>
      <w:r>
        <w:rPr>
          <w:rFonts w:hint="eastAsia" w:ascii="仿宋" w:hAnsi="仿宋" w:eastAsia="仿宋" w:cs="仿宋"/>
          <w:color w:val="auto"/>
          <w:sz w:val="24"/>
          <w:szCs w:val="21"/>
          <w:highlight w:val="none"/>
        </w:rPr>
        <w:t>.1条款所列举的任何文件是甲方的财产。如果甲方有要求，乙方应在完成合同后将这些文件及全部复制件归还给甲方。</w:t>
      </w:r>
    </w:p>
    <w:p w14:paraId="621600F0">
      <w:pPr>
        <w:numPr>
          <w:ilvl w:val="0"/>
          <w:numId w:val="26"/>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知识产权</w:t>
      </w:r>
    </w:p>
    <w:p w14:paraId="2F4DC47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1"/>
          <w:highlight w:val="none"/>
        </w:rPr>
      </w:pPr>
      <w:r>
        <w:rPr>
          <w:rFonts w:hint="eastAsia" w:cs="仿宋"/>
          <w:color w:val="auto"/>
          <w:sz w:val="24"/>
          <w:szCs w:val="21"/>
          <w:highlight w:val="none"/>
          <w:lang w:val="en-US" w:eastAsia="zh-CN"/>
        </w:rPr>
        <w:t>8.1</w:t>
      </w:r>
      <w:r>
        <w:rPr>
          <w:rFonts w:hint="eastAsia" w:ascii="仿宋" w:hAnsi="仿宋" w:eastAsia="仿宋" w:cs="仿宋"/>
          <w:color w:val="auto"/>
          <w:sz w:val="24"/>
          <w:szCs w:val="21"/>
          <w:highlight w:val="none"/>
        </w:rPr>
        <w:t>乙方应保证提供服务过程中不会侵犯任何第三方的知识产权，如果任何第三方提出侵权指控，乙方须与第三方交涉并承担可能发生的一切法律责任和费用。</w:t>
      </w:r>
    </w:p>
    <w:p w14:paraId="76A32A28">
      <w:pPr>
        <w:numPr>
          <w:ilvl w:val="0"/>
          <w:numId w:val="26"/>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不可抗力</w:t>
      </w:r>
    </w:p>
    <w:p w14:paraId="4A4A662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w:t>
      </w:r>
      <w:r>
        <w:rPr>
          <w:rFonts w:hint="eastAsia" w:cs="仿宋"/>
          <w:color w:val="auto"/>
          <w:sz w:val="24"/>
          <w:szCs w:val="21"/>
          <w:highlight w:val="none"/>
          <w:lang w:val="en-US" w:eastAsia="zh-CN"/>
        </w:rPr>
        <w:t xml:space="preserve"> 9</w:t>
      </w:r>
      <w:r>
        <w:rPr>
          <w:rFonts w:hint="eastAsia" w:ascii="仿宋" w:hAnsi="仿宋" w:eastAsia="仿宋" w:cs="仿宋"/>
          <w:color w:val="auto"/>
          <w:sz w:val="24"/>
          <w:szCs w:val="21"/>
          <w:highlight w:val="none"/>
        </w:rPr>
        <w:t>.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563BD76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1"/>
          <w:highlight w:val="none"/>
        </w:rPr>
      </w:pPr>
      <w:r>
        <w:rPr>
          <w:rFonts w:hint="eastAsia" w:cs="仿宋"/>
          <w:color w:val="auto"/>
          <w:sz w:val="24"/>
          <w:szCs w:val="21"/>
          <w:highlight w:val="none"/>
          <w:lang w:val="en-US" w:eastAsia="zh-CN"/>
        </w:rPr>
        <w:t>9</w:t>
      </w:r>
      <w:r>
        <w:rPr>
          <w:rFonts w:hint="eastAsia" w:ascii="仿宋" w:hAnsi="仿宋" w:eastAsia="仿宋" w:cs="仿宋"/>
          <w:color w:val="auto"/>
          <w:sz w:val="24"/>
          <w:szCs w:val="21"/>
          <w:highlight w:val="none"/>
        </w:rPr>
        <w:t>.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4F569AC4">
      <w:pPr>
        <w:numPr>
          <w:ilvl w:val="0"/>
          <w:numId w:val="26"/>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税费</w:t>
      </w:r>
    </w:p>
    <w:p w14:paraId="72C9C2F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w:t>
      </w:r>
      <w:r>
        <w:rPr>
          <w:rFonts w:hint="eastAsia" w:cs="仿宋"/>
          <w:color w:val="auto"/>
          <w:sz w:val="24"/>
          <w:szCs w:val="21"/>
          <w:highlight w:val="none"/>
          <w:lang w:val="en-US" w:eastAsia="zh-CN"/>
        </w:rPr>
        <w:t>10</w:t>
      </w:r>
      <w:r>
        <w:rPr>
          <w:rFonts w:hint="eastAsia" w:ascii="仿宋" w:hAnsi="仿宋" w:eastAsia="仿宋" w:cs="仿宋"/>
          <w:color w:val="auto"/>
          <w:sz w:val="24"/>
          <w:szCs w:val="21"/>
          <w:highlight w:val="none"/>
        </w:rPr>
        <w:t>.1根据国家现行税法对乙方征收的与合同有关的一切税费均由乙方负担。</w:t>
      </w:r>
    </w:p>
    <w:p w14:paraId="53F334FA">
      <w:pPr>
        <w:numPr>
          <w:ilvl w:val="0"/>
          <w:numId w:val="26"/>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违约终止合同</w:t>
      </w:r>
    </w:p>
    <w:p w14:paraId="51F7B90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1</w:t>
      </w:r>
      <w:r>
        <w:rPr>
          <w:rFonts w:hint="eastAsia" w:cs="仿宋"/>
          <w:color w:val="auto"/>
          <w:sz w:val="24"/>
          <w:szCs w:val="21"/>
          <w:highlight w:val="none"/>
          <w:lang w:val="en-US" w:eastAsia="zh-CN"/>
        </w:rPr>
        <w:t>1</w:t>
      </w:r>
      <w:r>
        <w:rPr>
          <w:rFonts w:hint="eastAsia" w:ascii="仿宋" w:hAnsi="仿宋" w:eastAsia="仿宋" w:cs="仿宋"/>
          <w:color w:val="auto"/>
          <w:sz w:val="24"/>
          <w:szCs w:val="21"/>
          <w:highlight w:val="none"/>
        </w:rPr>
        <w:t>.1如果乙方有下述违约行为或采购文件中规定的其它违约行为的情况，甲方可以向乙方发出书面违约通知，全部或部分地终止合同，在这些情况下，并不影响甲方向乙方提出的索赔：</w:t>
      </w:r>
    </w:p>
    <w:p w14:paraId="4F07F0ED">
      <w:pPr>
        <w:keepNext w:val="0"/>
        <w:keepLines w:val="0"/>
        <w:pageBreakBefore w:val="0"/>
        <w:widowControl w:val="0"/>
        <w:numPr>
          <w:ilvl w:val="0"/>
          <w:numId w:val="28"/>
        </w:numPr>
        <w:tabs>
          <w:tab w:val="left" w:pos="875"/>
        </w:tabs>
        <w:kinsoku/>
        <w:wordWrap/>
        <w:overflowPunct/>
        <w:topLinePunct w:val="0"/>
        <w:autoSpaceDE/>
        <w:autoSpaceDN/>
        <w:bidi w:val="0"/>
        <w:adjustRightInd/>
        <w:snapToGrid w:val="0"/>
        <w:spacing w:line="360" w:lineRule="auto"/>
        <w:ind w:left="-40" w:leftChars="0" w:firstLine="48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乙方未能在合同规定的限期或甲方同意延长的最终限期内提供全部或部分服务项目、技术文件；</w:t>
      </w:r>
    </w:p>
    <w:p w14:paraId="72044B6A">
      <w:pPr>
        <w:keepNext w:val="0"/>
        <w:keepLines w:val="0"/>
        <w:pageBreakBefore w:val="0"/>
        <w:widowControl w:val="0"/>
        <w:numPr>
          <w:ilvl w:val="0"/>
          <w:numId w:val="28"/>
        </w:numPr>
        <w:tabs>
          <w:tab w:val="left" w:pos="875"/>
        </w:tabs>
        <w:kinsoku/>
        <w:wordWrap/>
        <w:overflowPunct/>
        <w:topLinePunct w:val="0"/>
        <w:autoSpaceDE/>
        <w:autoSpaceDN/>
        <w:bidi w:val="0"/>
        <w:adjustRightInd/>
        <w:snapToGrid w:val="0"/>
        <w:spacing w:line="360" w:lineRule="auto"/>
        <w:ind w:left="-40" w:leftChars="0" w:firstLine="48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乙方未能使合同的服务项目达到合同附件规定的最低技术要求；</w:t>
      </w:r>
    </w:p>
    <w:p w14:paraId="4F46E5A4">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（3）乙方未能履行合同规定的其它义务（细微义务除外），且乙方在收到甲方发出的违约通知后30天内或经甲方书面认可延长的时间内未能纠正其违约行为。 </w:t>
      </w:r>
    </w:p>
    <w:p w14:paraId="3C45B38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1</w:t>
      </w:r>
      <w:r>
        <w:rPr>
          <w:rFonts w:hint="eastAsia" w:cs="仿宋"/>
          <w:color w:val="auto"/>
          <w:sz w:val="24"/>
          <w:szCs w:val="21"/>
          <w:highlight w:val="none"/>
          <w:lang w:val="en-US" w:eastAsia="zh-CN"/>
        </w:rPr>
        <w:t>1</w:t>
      </w:r>
      <w:r>
        <w:rPr>
          <w:rFonts w:hint="eastAsia" w:ascii="仿宋" w:hAnsi="仿宋" w:eastAsia="仿宋" w:cs="仿宋"/>
          <w:color w:val="auto"/>
          <w:sz w:val="24"/>
          <w:szCs w:val="21"/>
          <w:highlight w:val="none"/>
        </w:rPr>
        <w:t>.2在甲方根据第1</w:t>
      </w:r>
      <w:r>
        <w:rPr>
          <w:rFonts w:hint="eastAsia" w:cs="仿宋"/>
          <w:color w:val="auto"/>
          <w:sz w:val="24"/>
          <w:szCs w:val="21"/>
          <w:highlight w:val="none"/>
          <w:lang w:val="en-US" w:eastAsia="zh-CN"/>
        </w:rPr>
        <w:t>1</w:t>
      </w:r>
      <w:r>
        <w:rPr>
          <w:rFonts w:hint="eastAsia" w:ascii="仿宋" w:hAnsi="仿宋" w:eastAsia="仿宋" w:cs="仿宋"/>
          <w:color w:val="auto"/>
          <w:sz w:val="24"/>
          <w:szCs w:val="21"/>
          <w:highlight w:val="none"/>
        </w:rPr>
        <w:t>.1条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14:paraId="0163EE38">
      <w:pPr>
        <w:numPr>
          <w:ilvl w:val="0"/>
          <w:numId w:val="26"/>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其他情况终止合同</w:t>
      </w:r>
    </w:p>
    <w:p w14:paraId="124811E3">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w:t>
      </w:r>
      <w:r>
        <w:rPr>
          <w:rFonts w:hint="eastAsia" w:cs="仿宋"/>
          <w:color w:val="auto"/>
          <w:sz w:val="24"/>
          <w:szCs w:val="21"/>
          <w:highlight w:val="none"/>
          <w:lang w:val="en-US" w:eastAsia="zh-CN"/>
        </w:rPr>
        <w:t>2</w:t>
      </w:r>
      <w:r>
        <w:rPr>
          <w:rFonts w:hint="eastAsia" w:ascii="仿宋" w:hAnsi="仿宋" w:eastAsia="仿宋" w:cs="仿宋"/>
          <w:color w:val="auto"/>
          <w:sz w:val="24"/>
          <w:szCs w:val="21"/>
          <w:highlight w:val="none"/>
        </w:rPr>
        <w:t>.1如果乙方破产或发生资不抵债的情况，甲方可在任何时候以书面通知终止合同，而不给对方补偿。该终止合同将不损害或影响甲方已经采取或将要采取的补救措施的权利。</w:t>
      </w:r>
    </w:p>
    <w:p w14:paraId="230A82E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1</w:t>
      </w:r>
      <w:r>
        <w:rPr>
          <w:rFonts w:hint="eastAsia" w:cs="仿宋"/>
          <w:color w:val="auto"/>
          <w:sz w:val="24"/>
          <w:szCs w:val="21"/>
          <w:highlight w:val="none"/>
          <w:lang w:val="en-US" w:eastAsia="zh-CN"/>
        </w:rPr>
        <w:t>2</w:t>
      </w:r>
      <w:r>
        <w:rPr>
          <w:rFonts w:hint="eastAsia" w:ascii="仿宋" w:hAnsi="仿宋" w:eastAsia="仿宋" w:cs="仿宋"/>
          <w:color w:val="auto"/>
          <w:sz w:val="24"/>
          <w:szCs w:val="21"/>
          <w:highlight w:val="none"/>
        </w:rPr>
        <w:t>.2 如果甲方认定乙方在竞标、采购和合同执行等过程中有腐败或欺诈行为，甲方有权在任何时候发出书面通知终止合同。</w:t>
      </w:r>
    </w:p>
    <w:p w14:paraId="2936543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1</w:t>
      </w:r>
      <w:r>
        <w:rPr>
          <w:rFonts w:hint="eastAsia" w:cs="仿宋"/>
          <w:color w:val="auto"/>
          <w:sz w:val="24"/>
          <w:szCs w:val="21"/>
          <w:highlight w:val="none"/>
          <w:lang w:val="en-US" w:eastAsia="zh-CN"/>
        </w:rPr>
        <w:t>2</w:t>
      </w:r>
      <w:r>
        <w:rPr>
          <w:rFonts w:hint="eastAsia" w:ascii="仿宋" w:hAnsi="仿宋" w:eastAsia="仿宋" w:cs="仿宋"/>
          <w:color w:val="auto"/>
          <w:sz w:val="24"/>
          <w:szCs w:val="21"/>
          <w:highlight w:val="none"/>
        </w:rPr>
        <w:t>.3如果合同履行过程中出现危害国家利益和社会公众利益的，甲方有权在任何时候发出书面通知终止合同。</w:t>
      </w:r>
    </w:p>
    <w:p w14:paraId="69967EF2">
      <w:pPr>
        <w:numPr>
          <w:ilvl w:val="0"/>
          <w:numId w:val="26"/>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转让和分包</w:t>
      </w:r>
    </w:p>
    <w:p w14:paraId="38300BC8">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w:t>
      </w:r>
      <w:r>
        <w:rPr>
          <w:rFonts w:hint="eastAsia" w:cs="仿宋"/>
          <w:color w:val="auto"/>
          <w:sz w:val="24"/>
          <w:szCs w:val="21"/>
          <w:highlight w:val="none"/>
          <w:lang w:val="en-US" w:eastAsia="zh-CN"/>
        </w:rPr>
        <w:t>3</w:t>
      </w:r>
      <w:r>
        <w:rPr>
          <w:rFonts w:hint="eastAsia" w:ascii="仿宋" w:hAnsi="仿宋" w:eastAsia="仿宋" w:cs="仿宋"/>
          <w:color w:val="auto"/>
          <w:sz w:val="24"/>
          <w:szCs w:val="21"/>
          <w:highlight w:val="none"/>
        </w:rPr>
        <w:t>.1乙方不得部分转让、分包或全部转让其应履行的合同义务。</w:t>
      </w:r>
    </w:p>
    <w:p w14:paraId="61155FDB">
      <w:pPr>
        <w:numPr>
          <w:ilvl w:val="0"/>
          <w:numId w:val="26"/>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合同的协商变更与修改</w:t>
      </w:r>
    </w:p>
    <w:p w14:paraId="17832B39">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w:t>
      </w:r>
      <w:r>
        <w:rPr>
          <w:rFonts w:hint="eastAsia" w:cs="仿宋"/>
          <w:color w:val="auto"/>
          <w:sz w:val="24"/>
          <w:szCs w:val="21"/>
          <w:highlight w:val="none"/>
          <w:lang w:val="en-US" w:eastAsia="zh-CN"/>
        </w:rPr>
        <w:t>4</w:t>
      </w:r>
      <w:r>
        <w:rPr>
          <w:rFonts w:hint="eastAsia" w:ascii="仿宋" w:hAnsi="仿宋" w:eastAsia="仿宋" w:cs="仿宋"/>
          <w:color w:val="auto"/>
          <w:sz w:val="24"/>
          <w:szCs w:val="21"/>
          <w:highlight w:val="none"/>
        </w:rPr>
        <w:t>.1 甲方可以以书面方式向乙方发出变更要求，协商在本合同的一般范围内变更事项，合同修改书应由双方授权代表签字，具有合同的法律效力。</w:t>
      </w:r>
    </w:p>
    <w:p w14:paraId="0C9325AB">
      <w:pPr>
        <w:numPr>
          <w:ilvl w:val="0"/>
          <w:numId w:val="26"/>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争端的解决</w:t>
      </w:r>
    </w:p>
    <w:p w14:paraId="4C0BF3E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w:t>
      </w:r>
      <w:r>
        <w:rPr>
          <w:rFonts w:hint="eastAsia" w:cs="仿宋"/>
          <w:color w:val="auto"/>
          <w:sz w:val="24"/>
          <w:szCs w:val="21"/>
          <w:highlight w:val="none"/>
          <w:lang w:val="en-US" w:eastAsia="zh-CN"/>
        </w:rPr>
        <w:t>5</w:t>
      </w:r>
      <w:r>
        <w:rPr>
          <w:rFonts w:hint="eastAsia" w:ascii="仿宋" w:hAnsi="仿宋" w:eastAsia="仿宋" w:cs="仿宋"/>
          <w:color w:val="auto"/>
          <w:sz w:val="24"/>
          <w:szCs w:val="21"/>
          <w:highlight w:val="none"/>
        </w:rPr>
        <w:t>.1 合同实施或与合同有关的一切争端应依据《中华人民共和国民法典》并通过双方协商解决。如果协商不能解决争议，则采取以下第</w:t>
      </w:r>
      <w:r>
        <w:rPr>
          <w:rFonts w:hint="eastAsia" w:ascii="仿宋" w:hAnsi="仿宋" w:eastAsia="仿宋" w:cs="仿宋"/>
          <w:color w:val="auto"/>
          <w:sz w:val="24"/>
          <w:szCs w:val="21"/>
          <w:highlight w:val="none"/>
          <w:u w:val="single"/>
        </w:rPr>
        <w:t xml:space="preserve"> </w:t>
      </w:r>
      <w:r>
        <w:rPr>
          <w:rFonts w:hint="eastAsia" w:cs="仿宋"/>
          <w:color w:val="auto"/>
          <w:sz w:val="24"/>
          <w:szCs w:val="21"/>
          <w:highlight w:val="none"/>
          <w:u w:val="single"/>
          <w:lang w:val="en-US" w:eastAsia="zh-CN"/>
        </w:rPr>
        <w:t>15.1.1</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种方式解决争议：</w:t>
      </w:r>
    </w:p>
    <w:p w14:paraId="25EE8CB6">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w:t>
      </w:r>
      <w:r>
        <w:rPr>
          <w:rFonts w:hint="eastAsia" w:cs="仿宋"/>
          <w:color w:val="auto"/>
          <w:sz w:val="24"/>
          <w:szCs w:val="21"/>
          <w:highlight w:val="none"/>
          <w:lang w:val="en-US" w:eastAsia="zh-CN"/>
        </w:rPr>
        <w:t>5</w:t>
      </w:r>
      <w:r>
        <w:rPr>
          <w:rFonts w:hint="eastAsia" w:ascii="仿宋" w:hAnsi="仿宋" w:eastAsia="仿宋" w:cs="仿宋"/>
          <w:color w:val="auto"/>
          <w:sz w:val="24"/>
          <w:szCs w:val="21"/>
          <w:highlight w:val="none"/>
        </w:rPr>
        <w:t>.1.1向甲方所在地有管辖权的人民法院提起诉讼；</w:t>
      </w:r>
    </w:p>
    <w:p w14:paraId="4135A9EC">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w:t>
      </w:r>
      <w:r>
        <w:rPr>
          <w:rFonts w:hint="eastAsia" w:cs="仿宋"/>
          <w:color w:val="auto"/>
          <w:sz w:val="24"/>
          <w:szCs w:val="21"/>
          <w:highlight w:val="none"/>
          <w:lang w:val="en-US" w:eastAsia="zh-CN"/>
        </w:rPr>
        <w:t>5</w:t>
      </w:r>
      <w:r>
        <w:rPr>
          <w:rFonts w:hint="eastAsia" w:ascii="仿宋" w:hAnsi="仿宋" w:eastAsia="仿宋" w:cs="仿宋"/>
          <w:color w:val="auto"/>
          <w:sz w:val="24"/>
          <w:szCs w:val="21"/>
          <w:highlight w:val="none"/>
        </w:rPr>
        <w:t>.1.2向</w:t>
      </w:r>
      <w:r>
        <w:rPr>
          <w:rFonts w:hint="eastAsia" w:ascii="仿宋" w:hAnsi="仿宋" w:eastAsia="仿宋" w:cs="仿宋"/>
          <w:color w:val="auto"/>
          <w:sz w:val="24"/>
          <w:szCs w:val="21"/>
          <w:highlight w:val="none"/>
          <w:u w:val="single"/>
        </w:rPr>
        <w:t xml:space="preserve"> 丽水 </w:t>
      </w:r>
      <w:r>
        <w:rPr>
          <w:rFonts w:hint="eastAsia" w:ascii="仿宋" w:hAnsi="仿宋" w:eastAsia="仿宋" w:cs="仿宋"/>
          <w:color w:val="auto"/>
          <w:sz w:val="24"/>
          <w:szCs w:val="21"/>
          <w:highlight w:val="none"/>
        </w:rPr>
        <w:t>仲裁委员会按其仲裁规则申请仲裁。</w:t>
      </w:r>
    </w:p>
    <w:p w14:paraId="456954D2">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w:t>
      </w:r>
      <w:r>
        <w:rPr>
          <w:rFonts w:hint="eastAsia" w:cs="仿宋"/>
          <w:color w:val="auto"/>
          <w:sz w:val="24"/>
          <w:szCs w:val="21"/>
          <w:highlight w:val="none"/>
          <w:lang w:val="en-US" w:eastAsia="zh-CN"/>
        </w:rPr>
        <w:t>5</w:t>
      </w:r>
      <w:r>
        <w:rPr>
          <w:rFonts w:hint="eastAsia" w:ascii="仿宋" w:hAnsi="仿宋" w:eastAsia="仿宋" w:cs="仿宋"/>
          <w:color w:val="auto"/>
          <w:sz w:val="24"/>
          <w:szCs w:val="21"/>
          <w:highlight w:val="none"/>
        </w:rPr>
        <w:t>.2在诉讼期间，本合同应继续履行。</w:t>
      </w:r>
    </w:p>
    <w:p w14:paraId="5E80A085">
      <w:pPr>
        <w:numPr>
          <w:ilvl w:val="0"/>
          <w:numId w:val="26"/>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通知</w:t>
      </w:r>
    </w:p>
    <w:p w14:paraId="299AAD2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1</w:t>
      </w:r>
      <w:r>
        <w:rPr>
          <w:rFonts w:hint="eastAsia" w:cs="仿宋"/>
          <w:color w:val="auto"/>
          <w:sz w:val="24"/>
          <w:szCs w:val="21"/>
          <w:highlight w:val="none"/>
          <w:lang w:val="en-US" w:eastAsia="zh-CN"/>
        </w:rPr>
        <w:t>6</w:t>
      </w:r>
      <w:r>
        <w:rPr>
          <w:rFonts w:hint="eastAsia" w:ascii="仿宋" w:hAnsi="仿宋" w:eastAsia="仿宋" w:cs="仿宋"/>
          <w:color w:val="auto"/>
          <w:sz w:val="24"/>
          <w:szCs w:val="21"/>
          <w:highlight w:val="none"/>
        </w:rPr>
        <w:t>.1本合同任何一方给另一方的通知，都应以书面或传真的形式发送，而另一方应以书面或传真形式确认，回复对方。</w:t>
      </w:r>
    </w:p>
    <w:p w14:paraId="0811C7A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1</w:t>
      </w:r>
      <w:r>
        <w:rPr>
          <w:rFonts w:hint="eastAsia" w:cs="仿宋"/>
          <w:color w:val="auto"/>
          <w:sz w:val="24"/>
          <w:szCs w:val="21"/>
          <w:highlight w:val="none"/>
          <w:lang w:val="en-US" w:eastAsia="zh-CN"/>
        </w:rPr>
        <w:t>6</w:t>
      </w:r>
      <w:r>
        <w:rPr>
          <w:rFonts w:hint="eastAsia" w:ascii="仿宋" w:hAnsi="仿宋" w:eastAsia="仿宋" w:cs="仿宋"/>
          <w:color w:val="auto"/>
          <w:sz w:val="24"/>
          <w:szCs w:val="21"/>
          <w:highlight w:val="none"/>
        </w:rPr>
        <w:t>.2 通知以送到日期或通知书的生效日起为生效日期，两者中以较晚的一个日期为准。</w:t>
      </w:r>
    </w:p>
    <w:p w14:paraId="3BA766BD">
      <w:pPr>
        <w:numPr>
          <w:ilvl w:val="0"/>
          <w:numId w:val="26"/>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val="0"/>
          <w:bCs/>
          <w:color w:val="auto"/>
          <w:sz w:val="24"/>
          <w:szCs w:val="24"/>
          <w:highlight w:val="none"/>
          <w:rtl w:val="0"/>
          <w:lang w:val="en-US" w:eastAsia="zh-CN"/>
        </w:rPr>
        <w:t>鉴于甲方将按照本合同向乙方支付款项，乙方在此保证全部按照合同的规定向甲方提供服务并修补缺陷。</w:t>
      </w:r>
    </w:p>
    <w:p w14:paraId="4F34934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鉴于乙方将按本合同规定提供服务并修补缺陷，甲方在此保证按照合同规定的时间和方式向甲方支付合同价或其它按合同应支付的金额。</w:t>
      </w:r>
    </w:p>
    <w:p w14:paraId="415484F0">
      <w:pPr>
        <w:numPr>
          <w:ilvl w:val="0"/>
          <w:numId w:val="26"/>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其他约定事项：</w:t>
      </w:r>
    </w:p>
    <w:p w14:paraId="01F60CBC">
      <w:pPr>
        <w:keepLines w:val="0"/>
        <w:pageBreakBefore w:val="0"/>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18.1</w:t>
      </w:r>
      <w:r>
        <w:rPr>
          <w:rFonts w:hint="eastAsia" w:ascii="仿宋" w:hAnsi="仿宋" w:eastAsia="仿宋" w:cs="仿宋"/>
          <w:color w:val="auto"/>
          <w:sz w:val="24"/>
          <w:szCs w:val="24"/>
          <w:highlight w:val="none"/>
        </w:rPr>
        <w:t>知识产权</w:t>
      </w:r>
    </w:p>
    <w:p w14:paraId="6E4B0469">
      <w:pPr>
        <w:pStyle w:val="69"/>
        <w:keepLines w:val="0"/>
        <w:pageBreakBefore w:val="0"/>
        <w:numPr>
          <w:ilvl w:val="0"/>
          <w:numId w:val="0"/>
        </w:numPr>
        <w:kinsoku/>
        <w:overflowPunct/>
        <w:topLinePunct w:val="0"/>
        <w:bidi w:val="0"/>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highlight w:val="none"/>
        </w:rPr>
        <w:t>1）</w:t>
      </w:r>
      <w:r>
        <w:rPr>
          <w:rFonts w:hint="eastAsia" w:ascii="仿宋" w:hAnsi="仿宋" w:eastAsia="仿宋" w:cs="仿宋"/>
          <w:color w:val="auto"/>
          <w:kern w:val="2"/>
          <w:sz w:val="24"/>
          <w:szCs w:val="24"/>
          <w:highlight w:val="none"/>
          <w:lang w:eastAsia="zh-CN"/>
        </w:rPr>
        <w:t>供应商</w:t>
      </w:r>
      <w:r>
        <w:rPr>
          <w:rFonts w:hint="eastAsia" w:ascii="仿宋" w:hAnsi="仿宋" w:eastAsia="仿宋" w:cs="仿宋"/>
          <w:color w:val="auto"/>
          <w:kern w:val="2"/>
          <w:sz w:val="24"/>
          <w:szCs w:val="24"/>
          <w:highlight w:val="none"/>
        </w:rPr>
        <w:t>应保证所提供的</w:t>
      </w:r>
      <w:r>
        <w:rPr>
          <w:rFonts w:hint="eastAsia" w:ascii="仿宋" w:hAnsi="仿宋" w:eastAsia="仿宋" w:cs="仿宋"/>
          <w:color w:val="auto"/>
          <w:kern w:val="2"/>
          <w:sz w:val="24"/>
          <w:szCs w:val="24"/>
          <w:highlight w:val="none"/>
          <w:lang w:eastAsia="zh-CN"/>
        </w:rPr>
        <w:t>服务、货物</w:t>
      </w:r>
      <w:r>
        <w:rPr>
          <w:rFonts w:hint="eastAsia" w:ascii="仿宋" w:hAnsi="仿宋" w:eastAsia="仿宋" w:cs="仿宋"/>
          <w:color w:val="auto"/>
          <w:kern w:val="2"/>
          <w:sz w:val="24"/>
          <w:szCs w:val="24"/>
          <w:highlight w:val="none"/>
        </w:rPr>
        <w:t>或其任何一部分均不会侵犯任何第三方的知识产权。</w:t>
      </w:r>
    </w:p>
    <w:p w14:paraId="6DD6F1AC">
      <w:pPr>
        <w:widowControl w:val="0"/>
        <w:wordWrap/>
        <w:adjustRightInd w:val="0"/>
        <w:snapToGrid/>
        <w:spacing w:line="360" w:lineRule="auto"/>
        <w:ind w:right="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（2）供应商提交的所有文本内容的知识产权归采购人所有，包括但不限于：著作权、版权、专利权、使用权、整体形象设计、色调、文字、</w:t>
      </w:r>
      <w:r>
        <w:rPr>
          <w:rFonts w:hint="eastAsia" w:cs="仿宋"/>
          <w:color w:val="auto"/>
          <w:kern w:val="2"/>
          <w:sz w:val="24"/>
          <w:szCs w:val="24"/>
          <w:highlight w:val="none"/>
          <w:lang w:val="en-US" w:eastAsia="zh-CN" w:bidi="ar-SA"/>
        </w:rPr>
        <w:t>图像</w:t>
      </w:r>
      <w:r>
        <w:rPr>
          <w:rFonts w:hint="eastAsia" w:ascii="仿宋" w:hAnsi="仿宋" w:eastAsia="仿宋" w:cs="仿宋"/>
          <w:color w:val="auto"/>
          <w:kern w:val="2"/>
          <w:sz w:val="24"/>
          <w:szCs w:val="24"/>
          <w:highlight w:val="none"/>
          <w:lang w:val="en-US" w:eastAsia="zh-CN" w:bidi="ar-SA"/>
        </w:rPr>
        <w:t>、音乐等，采购人有权在本次运动会中加以实际应用。成交供应商提供的有关设计方案的署名权归成交供应商所有，著作权、版权、专利权和使用权归采购人所有（署名权除外）。</w:t>
      </w:r>
    </w:p>
    <w:p w14:paraId="1581EB80">
      <w:pPr>
        <w:widowControl w:val="0"/>
        <w:wordWrap/>
        <w:adjustRightInd w:val="0"/>
        <w:snapToGrid/>
        <w:spacing w:line="360" w:lineRule="auto"/>
        <w:ind w:right="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成交供应商须保证响应文件及资料均未侵犯他人的知识产权，否则必须承担全部责任。</w:t>
      </w:r>
    </w:p>
    <w:p w14:paraId="6D004FED">
      <w:pPr>
        <w:pStyle w:val="69"/>
        <w:keepLines w:val="0"/>
        <w:pageBreakBefore w:val="0"/>
        <w:numPr>
          <w:ilvl w:val="0"/>
          <w:numId w:val="0"/>
        </w:numPr>
        <w:kinsoku/>
        <w:overflowPunct/>
        <w:topLinePunct w:val="0"/>
        <w:bidi w:val="0"/>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18.2</w:t>
      </w:r>
      <w:r>
        <w:rPr>
          <w:rFonts w:hint="eastAsia" w:ascii="仿宋" w:hAnsi="仿宋" w:eastAsia="仿宋" w:cs="仿宋"/>
          <w:color w:val="auto"/>
          <w:kern w:val="2"/>
          <w:sz w:val="24"/>
          <w:szCs w:val="24"/>
          <w:highlight w:val="none"/>
        </w:rPr>
        <w:t>保密要求</w:t>
      </w:r>
    </w:p>
    <w:p w14:paraId="3F5F3396">
      <w:pPr>
        <w:pStyle w:val="69"/>
        <w:keepLines w:val="0"/>
        <w:pageBreakBefore w:val="0"/>
        <w:numPr>
          <w:ilvl w:val="0"/>
          <w:numId w:val="0"/>
        </w:numPr>
        <w:kinsoku/>
        <w:overflowPunct/>
        <w:topLinePunct w:val="0"/>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在项目实施过程中，遵循采购人的保密要求，项目涉及的业务资料、技术资料、</w:t>
      </w:r>
      <w:r>
        <w:rPr>
          <w:rFonts w:hint="eastAsia" w:ascii="仿宋" w:hAnsi="仿宋" w:eastAsia="仿宋" w:cs="仿宋"/>
          <w:color w:val="auto"/>
          <w:sz w:val="24"/>
          <w:szCs w:val="24"/>
          <w:highlight w:val="none"/>
          <w:lang w:val="en-US" w:eastAsia="zh-CN"/>
        </w:rPr>
        <w:t>人员资料、</w:t>
      </w:r>
      <w:r>
        <w:rPr>
          <w:rFonts w:hint="eastAsia" w:ascii="仿宋" w:hAnsi="仿宋" w:eastAsia="仿宋" w:cs="仿宋"/>
          <w:color w:val="auto"/>
          <w:sz w:val="24"/>
          <w:szCs w:val="24"/>
          <w:highlight w:val="none"/>
        </w:rPr>
        <w:t>数据等应严格保密，不得扩散。</w:t>
      </w:r>
      <w:r>
        <w:rPr>
          <w:rFonts w:hint="eastAsia" w:ascii="仿宋" w:hAnsi="仿宋" w:eastAsia="仿宋" w:cs="仿宋"/>
          <w:color w:val="auto"/>
          <w:sz w:val="24"/>
          <w:szCs w:val="24"/>
          <w:highlight w:val="none"/>
          <w:lang w:eastAsia="zh-CN"/>
        </w:rPr>
        <w:t>建立严格的保密制度，成交人应加强对工作人员的保密管理及保密知识教育。</w:t>
      </w:r>
    </w:p>
    <w:p w14:paraId="11369AEF">
      <w:pPr>
        <w:numPr>
          <w:ilvl w:val="0"/>
          <w:numId w:val="26"/>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本合同未尽事宜，遵照《中华人民共和国民法典》有关条文执行。</w:t>
      </w:r>
    </w:p>
    <w:p w14:paraId="07FC8BCB">
      <w:pPr>
        <w:numPr>
          <w:ilvl w:val="0"/>
          <w:numId w:val="26"/>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本合同一式六份，甲乙双方各执二份，一份交代理公司存档，一份报送采购监督管理部门备案。</w:t>
      </w:r>
    </w:p>
    <w:p w14:paraId="07807FFB">
      <w:pPr>
        <w:pStyle w:val="39"/>
        <w:rPr>
          <w:rFonts w:hint="eastAsia"/>
          <w:b/>
          <w:color w:val="auto"/>
          <w:sz w:val="24"/>
          <w:szCs w:val="24"/>
          <w:highlight w:val="none"/>
        </w:rPr>
      </w:pPr>
    </w:p>
    <w:p w14:paraId="6650F066">
      <w:pPr>
        <w:pStyle w:val="39"/>
        <w:rPr>
          <w:rFonts w:hint="eastAsia"/>
          <w:b/>
          <w:color w:val="auto"/>
          <w:sz w:val="24"/>
          <w:szCs w:val="24"/>
          <w:highlight w:val="none"/>
        </w:rPr>
      </w:pPr>
    </w:p>
    <w:p w14:paraId="4B58EBE5">
      <w:pPr>
        <w:pStyle w:val="39"/>
        <w:rPr>
          <w:rFonts w:hint="eastAsia"/>
          <w:b/>
          <w:color w:val="auto"/>
          <w:sz w:val="24"/>
          <w:szCs w:val="24"/>
          <w:highlight w:val="none"/>
        </w:rPr>
      </w:pPr>
    </w:p>
    <w:p w14:paraId="6DCCB35D">
      <w:pPr>
        <w:pStyle w:val="39"/>
        <w:rPr>
          <w:rFonts w:hint="eastAsia"/>
          <w:b/>
          <w:color w:val="auto"/>
          <w:sz w:val="24"/>
          <w:szCs w:val="24"/>
          <w:highlight w:val="none"/>
        </w:rPr>
      </w:pPr>
    </w:p>
    <w:p w14:paraId="38FCF034">
      <w:pPr>
        <w:pStyle w:val="39"/>
        <w:rPr>
          <w:rFonts w:hint="eastAsia"/>
          <w:b/>
          <w:color w:val="auto"/>
          <w:sz w:val="24"/>
          <w:szCs w:val="24"/>
          <w:highlight w:val="none"/>
        </w:rPr>
      </w:pPr>
    </w:p>
    <w:p w14:paraId="3CD166D7">
      <w:pPr>
        <w:pStyle w:val="39"/>
        <w:rPr>
          <w:rFonts w:hint="eastAsia"/>
          <w:b/>
          <w:color w:val="auto"/>
          <w:sz w:val="24"/>
          <w:szCs w:val="24"/>
          <w:highlight w:val="none"/>
        </w:rPr>
      </w:pPr>
    </w:p>
    <w:p w14:paraId="6F6EBBCA">
      <w:pPr>
        <w:pStyle w:val="39"/>
        <w:rPr>
          <w:rFonts w:hint="eastAsia"/>
          <w:b/>
          <w:color w:val="auto"/>
          <w:sz w:val="24"/>
          <w:szCs w:val="24"/>
          <w:highlight w:val="none"/>
        </w:rPr>
      </w:pPr>
    </w:p>
    <w:p w14:paraId="68E02108">
      <w:pPr>
        <w:pStyle w:val="39"/>
        <w:rPr>
          <w:rFonts w:hint="eastAsia"/>
          <w:b/>
          <w:color w:val="auto"/>
          <w:sz w:val="24"/>
          <w:szCs w:val="24"/>
          <w:highlight w:val="none"/>
        </w:rPr>
      </w:pPr>
    </w:p>
    <w:p w14:paraId="35559862">
      <w:pPr>
        <w:pStyle w:val="39"/>
        <w:rPr>
          <w:rFonts w:hint="eastAsia"/>
          <w:b/>
          <w:color w:val="auto"/>
          <w:sz w:val="24"/>
          <w:szCs w:val="24"/>
          <w:highlight w:val="none"/>
        </w:rPr>
      </w:pPr>
    </w:p>
    <w:bookmarkEnd w:id="73"/>
    <w:bookmarkEnd w:id="74"/>
    <w:bookmarkEnd w:id="75"/>
    <w:bookmarkEnd w:id="76"/>
    <w:bookmarkEnd w:id="77"/>
    <w:tbl>
      <w:tblPr>
        <w:tblStyle w:val="32"/>
        <w:tblW w:w="9219" w:type="dxa"/>
        <w:jc w:val="center"/>
        <w:tblLayout w:type="fixed"/>
        <w:tblCellMar>
          <w:top w:w="0" w:type="dxa"/>
          <w:left w:w="108" w:type="dxa"/>
          <w:bottom w:w="0" w:type="dxa"/>
          <w:right w:w="108" w:type="dxa"/>
        </w:tblCellMar>
      </w:tblPr>
      <w:tblGrid>
        <w:gridCol w:w="4610"/>
        <w:gridCol w:w="4609"/>
      </w:tblGrid>
      <w:tr w14:paraId="68E9BB61">
        <w:tblPrEx>
          <w:tblCellMar>
            <w:top w:w="0" w:type="dxa"/>
            <w:left w:w="108" w:type="dxa"/>
            <w:bottom w:w="0" w:type="dxa"/>
            <w:right w:w="108" w:type="dxa"/>
          </w:tblCellMar>
        </w:tblPrEx>
        <w:trPr>
          <w:trHeight w:val="553" w:hRule="atLeast"/>
          <w:jc w:val="center"/>
        </w:trPr>
        <w:tc>
          <w:tcPr>
            <w:tcW w:w="4610" w:type="dxa"/>
            <w:noWrap/>
            <w:vAlign w:val="center"/>
          </w:tcPr>
          <w:p w14:paraId="1D625FB6">
            <w:pPr>
              <w:widowControl/>
              <w:rPr>
                <w:color w:val="auto"/>
                <w:sz w:val="24"/>
                <w:highlight w:val="none"/>
                <w:u w:val="single"/>
              </w:rPr>
            </w:pPr>
            <w:r>
              <w:rPr>
                <w:rFonts w:hint="eastAsia"/>
                <w:color w:val="auto"/>
                <w:sz w:val="24"/>
                <w:highlight w:val="none"/>
              </w:rPr>
              <w:t>甲方（盖单位章）：</w:t>
            </w:r>
          </w:p>
        </w:tc>
        <w:tc>
          <w:tcPr>
            <w:tcW w:w="4609" w:type="dxa"/>
            <w:noWrap/>
            <w:vAlign w:val="center"/>
          </w:tcPr>
          <w:p w14:paraId="77607598">
            <w:pPr>
              <w:widowControl/>
              <w:rPr>
                <w:color w:val="auto"/>
                <w:sz w:val="24"/>
                <w:highlight w:val="none"/>
                <w:u w:val="single"/>
              </w:rPr>
            </w:pPr>
            <w:r>
              <w:rPr>
                <w:rFonts w:hint="eastAsia"/>
                <w:color w:val="auto"/>
                <w:sz w:val="24"/>
                <w:highlight w:val="none"/>
              </w:rPr>
              <w:t>乙方（盖单位章）：</w:t>
            </w:r>
          </w:p>
        </w:tc>
      </w:tr>
      <w:tr w14:paraId="52D5F1CE">
        <w:tblPrEx>
          <w:tblCellMar>
            <w:top w:w="0" w:type="dxa"/>
            <w:left w:w="108" w:type="dxa"/>
            <w:bottom w:w="0" w:type="dxa"/>
            <w:right w:w="108" w:type="dxa"/>
          </w:tblCellMar>
        </w:tblPrEx>
        <w:trPr>
          <w:trHeight w:val="1106" w:hRule="atLeast"/>
          <w:jc w:val="center"/>
        </w:trPr>
        <w:tc>
          <w:tcPr>
            <w:tcW w:w="4610" w:type="dxa"/>
            <w:noWrap/>
            <w:vAlign w:val="center"/>
          </w:tcPr>
          <w:p w14:paraId="4E94C678">
            <w:pPr>
              <w:widowControl/>
              <w:rPr>
                <w:color w:val="auto"/>
                <w:sz w:val="24"/>
                <w:highlight w:val="none"/>
              </w:rPr>
            </w:pPr>
            <w:r>
              <w:rPr>
                <w:rFonts w:hint="eastAsia"/>
                <w:color w:val="auto"/>
                <w:sz w:val="24"/>
                <w:highlight w:val="none"/>
              </w:rPr>
              <w:t>法定代表人或</w:t>
            </w:r>
          </w:p>
          <w:p w14:paraId="7C3B360F">
            <w:pPr>
              <w:widowControl/>
              <w:rPr>
                <w:color w:val="auto"/>
                <w:sz w:val="24"/>
                <w:highlight w:val="none"/>
              </w:rPr>
            </w:pPr>
            <w:r>
              <w:rPr>
                <w:rFonts w:hint="eastAsia"/>
                <w:color w:val="auto"/>
                <w:sz w:val="24"/>
                <w:highlight w:val="none"/>
              </w:rPr>
              <w:t>授权代表（签字或盖章）</w:t>
            </w:r>
            <w:r>
              <w:rPr>
                <w:rFonts w:hint="eastAsia"/>
                <w:color w:val="auto"/>
                <w:sz w:val="24"/>
                <w:highlight w:val="none"/>
                <w:lang w:val="en-US"/>
              </w:rPr>
              <w:t>:</w:t>
            </w:r>
          </w:p>
        </w:tc>
        <w:tc>
          <w:tcPr>
            <w:tcW w:w="4609" w:type="dxa"/>
            <w:noWrap/>
            <w:vAlign w:val="center"/>
          </w:tcPr>
          <w:p w14:paraId="3927CFC7">
            <w:pPr>
              <w:widowControl/>
              <w:rPr>
                <w:color w:val="auto"/>
                <w:sz w:val="24"/>
                <w:highlight w:val="none"/>
              </w:rPr>
            </w:pPr>
            <w:r>
              <w:rPr>
                <w:rFonts w:hint="eastAsia"/>
                <w:color w:val="auto"/>
                <w:sz w:val="24"/>
                <w:highlight w:val="none"/>
              </w:rPr>
              <w:t>法定代表人或</w:t>
            </w:r>
          </w:p>
          <w:p w14:paraId="0ED72F5A">
            <w:pPr>
              <w:widowControl/>
              <w:rPr>
                <w:color w:val="auto"/>
                <w:sz w:val="24"/>
                <w:highlight w:val="none"/>
                <w:u w:val="single"/>
              </w:rPr>
            </w:pPr>
            <w:r>
              <w:rPr>
                <w:rFonts w:hint="eastAsia"/>
                <w:color w:val="auto"/>
                <w:sz w:val="24"/>
                <w:highlight w:val="none"/>
              </w:rPr>
              <w:t>授权代表（签字或盖章）</w:t>
            </w:r>
            <w:r>
              <w:rPr>
                <w:rFonts w:hint="eastAsia"/>
                <w:color w:val="auto"/>
                <w:sz w:val="24"/>
                <w:highlight w:val="none"/>
                <w:lang w:val="en-US"/>
              </w:rPr>
              <w:t>:</w:t>
            </w:r>
          </w:p>
        </w:tc>
      </w:tr>
      <w:tr w14:paraId="575CDA44">
        <w:tblPrEx>
          <w:tblCellMar>
            <w:top w:w="0" w:type="dxa"/>
            <w:left w:w="108" w:type="dxa"/>
            <w:bottom w:w="0" w:type="dxa"/>
            <w:right w:w="108" w:type="dxa"/>
          </w:tblCellMar>
        </w:tblPrEx>
        <w:trPr>
          <w:trHeight w:val="553" w:hRule="atLeast"/>
          <w:jc w:val="center"/>
        </w:trPr>
        <w:tc>
          <w:tcPr>
            <w:tcW w:w="4610" w:type="dxa"/>
            <w:noWrap/>
            <w:vAlign w:val="center"/>
          </w:tcPr>
          <w:p w14:paraId="0BDD6E35">
            <w:pPr>
              <w:widowControl/>
              <w:rPr>
                <w:color w:val="auto"/>
                <w:sz w:val="24"/>
                <w:highlight w:val="none"/>
                <w:u w:val="single"/>
              </w:rPr>
            </w:pPr>
            <w:r>
              <w:rPr>
                <w:rFonts w:hint="eastAsia"/>
                <w:color w:val="auto"/>
                <w:sz w:val="24"/>
                <w:highlight w:val="none"/>
              </w:rPr>
              <w:t>地　　址：</w:t>
            </w:r>
          </w:p>
        </w:tc>
        <w:tc>
          <w:tcPr>
            <w:tcW w:w="4609" w:type="dxa"/>
            <w:noWrap/>
            <w:vAlign w:val="center"/>
          </w:tcPr>
          <w:p w14:paraId="02077080">
            <w:pPr>
              <w:widowControl/>
              <w:rPr>
                <w:color w:val="auto"/>
                <w:sz w:val="24"/>
                <w:highlight w:val="none"/>
                <w:u w:val="single"/>
              </w:rPr>
            </w:pPr>
            <w:r>
              <w:rPr>
                <w:rFonts w:hint="eastAsia"/>
                <w:color w:val="auto"/>
                <w:sz w:val="24"/>
                <w:highlight w:val="none"/>
              </w:rPr>
              <w:t>地　　址：</w:t>
            </w:r>
          </w:p>
        </w:tc>
      </w:tr>
      <w:tr w14:paraId="7B549812">
        <w:tblPrEx>
          <w:tblCellMar>
            <w:top w:w="0" w:type="dxa"/>
            <w:left w:w="108" w:type="dxa"/>
            <w:bottom w:w="0" w:type="dxa"/>
            <w:right w:w="108" w:type="dxa"/>
          </w:tblCellMar>
        </w:tblPrEx>
        <w:trPr>
          <w:trHeight w:val="553" w:hRule="atLeast"/>
          <w:jc w:val="center"/>
        </w:trPr>
        <w:tc>
          <w:tcPr>
            <w:tcW w:w="4610" w:type="dxa"/>
            <w:noWrap/>
            <w:vAlign w:val="center"/>
          </w:tcPr>
          <w:p w14:paraId="210FDBDC">
            <w:pPr>
              <w:widowControl/>
              <w:rPr>
                <w:color w:val="auto"/>
                <w:sz w:val="24"/>
                <w:highlight w:val="none"/>
                <w:u w:val="single"/>
              </w:rPr>
            </w:pPr>
            <w:r>
              <w:rPr>
                <w:rFonts w:hint="eastAsia"/>
                <w:color w:val="auto"/>
                <w:sz w:val="24"/>
                <w:highlight w:val="none"/>
              </w:rPr>
              <w:t>邮政编码：</w:t>
            </w:r>
          </w:p>
        </w:tc>
        <w:tc>
          <w:tcPr>
            <w:tcW w:w="4609" w:type="dxa"/>
            <w:noWrap/>
            <w:vAlign w:val="center"/>
          </w:tcPr>
          <w:p w14:paraId="1A356CFD">
            <w:pPr>
              <w:widowControl/>
              <w:rPr>
                <w:color w:val="auto"/>
                <w:sz w:val="24"/>
                <w:highlight w:val="none"/>
                <w:u w:val="single"/>
              </w:rPr>
            </w:pPr>
            <w:r>
              <w:rPr>
                <w:rFonts w:hint="eastAsia"/>
                <w:color w:val="auto"/>
                <w:sz w:val="24"/>
                <w:highlight w:val="none"/>
              </w:rPr>
              <w:t>邮政编码：</w:t>
            </w:r>
          </w:p>
        </w:tc>
      </w:tr>
      <w:tr w14:paraId="3A0D5AD9">
        <w:tblPrEx>
          <w:tblCellMar>
            <w:top w:w="0" w:type="dxa"/>
            <w:left w:w="108" w:type="dxa"/>
            <w:bottom w:w="0" w:type="dxa"/>
            <w:right w:w="108" w:type="dxa"/>
          </w:tblCellMar>
        </w:tblPrEx>
        <w:trPr>
          <w:trHeight w:val="553" w:hRule="atLeast"/>
          <w:jc w:val="center"/>
        </w:trPr>
        <w:tc>
          <w:tcPr>
            <w:tcW w:w="4610" w:type="dxa"/>
            <w:noWrap/>
            <w:vAlign w:val="center"/>
          </w:tcPr>
          <w:p w14:paraId="799682DE">
            <w:pPr>
              <w:widowControl/>
              <w:rPr>
                <w:color w:val="auto"/>
                <w:sz w:val="24"/>
                <w:highlight w:val="none"/>
              </w:rPr>
            </w:pPr>
            <w:r>
              <w:rPr>
                <w:rFonts w:hint="eastAsia"/>
                <w:color w:val="auto"/>
                <w:sz w:val="24"/>
                <w:highlight w:val="none"/>
              </w:rPr>
              <w:t>电　　话：</w:t>
            </w:r>
          </w:p>
        </w:tc>
        <w:tc>
          <w:tcPr>
            <w:tcW w:w="4609" w:type="dxa"/>
            <w:noWrap/>
            <w:vAlign w:val="center"/>
          </w:tcPr>
          <w:p w14:paraId="76DE69C0">
            <w:pPr>
              <w:widowControl/>
              <w:rPr>
                <w:color w:val="auto"/>
                <w:sz w:val="24"/>
                <w:highlight w:val="none"/>
              </w:rPr>
            </w:pPr>
            <w:r>
              <w:rPr>
                <w:rFonts w:hint="eastAsia"/>
                <w:color w:val="auto"/>
                <w:sz w:val="24"/>
                <w:highlight w:val="none"/>
              </w:rPr>
              <w:t>电　　话：</w:t>
            </w:r>
          </w:p>
        </w:tc>
      </w:tr>
      <w:tr w14:paraId="33B4EB63">
        <w:tblPrEx>
          <w:tblCellMar>
            <w:top w:w="0" w:type="dxa"/>
            <w:left w:w="108" w:type="dxa"/>
            <w:bottom w:w="0" w:type="dxa"/>
            <w:right w:w="108" w:type="dxa"/>
          </w:tblCellMar>
        </w:tblPrEx>
        <w:trPr>
          <w:trHeight w:val="553" w:hRule="atLeast"/>
          <w:jc w:val="center"/>
        </w:trPr>
        <w:tc>
          <w:tcPr>
            <w:tcW w:w="4610" w:type="dxa"/>
            <w:noWrap/>
            <w:vAlign w:val="center"/>
          </w:tcPr>
          <w:p w14:paraId="6C5F7DC6">
            <w:pPr>
              <w:widowControl/>
              <w:rPr>
                <w:color w:val="auto"/>
                <w:sz w:val="24"/>
                <w:highlight w:val="none"/>
                <w:u w:val="single"/>
              </w:rPr>
            </w:pPr>
            <w:r>
              <w:rPr>
                <w:rFonts w:hint="eastAsia"/>
                <w:color w:val="auto"/>
                <w:sz w:val="24"/>
                <w:highlight w:val="none"/>
              </w:rPr>
              <w:t>开户银行：</w:t>
            </w:r>
          </w:p>
        </w:tc>
        <w:tc>
          <w:tcPr>
            <w:tcW w:w="4609" w:type="dxa"/>
            <w:noWrap/>
            <w:vAlign w:val="center"/>
          </w:tcPr>
          <w:p w14:paraId="0AFECE04">
            <w:pPr>
              <w:widowControl/>
              <w:rPr>
                <w:color w:val="auto"/>
                <w:sz w:val="24"/>
                <w:highlight w:val="none"/>
                <w:u w:val="single"/>
              </w:rPr>
            </w:pPr>
            <w:r>
              <w:rPr>
                <w:rFonts w:hint="eastAsia"/>
                <w:color w:val="auto"/>
                <w:sz w:val="24"/>
                <w:highlight w:val="none"/>
              </w:rPr>
              <w:t>开户银行：</w:t>
            </w:r>
          </w:p>
        </w:tc>
      </w:tr>
      <w:tr w14:paraId="28FDFF77">
        <w:tblPrEx>
          <w:tblCellMar>
            <w:top w:w="0" w:type="dxa"/>
            <w:left w:w="108" w:type="dxa"/>
            <w:bottom w:w="0" w:type="dxa"/>
            <w:right w:w="108" w:type="dxa"/>
          </w:tblCellMar>
        </w:tblPrEx>
        <w:trPr>
          <w:trHeight w:val="553" w:hRule="atLeast"/>
          <w:jc w:val="center"/>
        </w:trPr>
        <w:tc>
          <w:tcPr>
            <w:tcW w:w="4610" w:type="dxa"/>
            <w:noWrap/>
            <w:vAlign w:val="center"/>
          </w:tcPr>
          <w:p w14:paraId="29442CFE">
            <w:pPr>
              <w:widowControl/>
              <w:rPr>
                <w:color w:val="auto"/>
                <w:sz w:val="24"/>
                <w:highlight w:val="none"/>
                <w:u w:val="single"/>
              </w:rPr>
            </w:pPr>
            <w:r>
              <w:rPr>
                <w:rFonts w:hint="eastAsia"/>
                <w:color w:val="auto"/>
                <w:sz w:val="24"/>
                <w:highlight w:val="none"/>
              </w:rPr>
              <w:t>账　　号：</w:t>
            </w:r>
          </w:p>
        </w:tc>
        <w:tc>
          <w:tcPr>
            <w:tcW w:w="4609" w:type="dxa"/>
            <w:noWrap/>
            <w:vAlign w:val="center"/>
          </w:tcPr>
          <w:p w14:paraId="26F127EB">
            <w:pPr>
              <w:widowControl/>
              <w:rPr>
                <w:color w:val="auto"/>
                <w:sz w:val="24"/>
                <w:highlight w:val="none"/>
                <w:u w:val="single"/>
              </w:rPr>
            </w:pPr>
            <w:r>
              <w:rPr>
                <w:rFonts w:hint="eastAsia"/>
                <w:color w:val="auto"/>
                <w:sz w:val="24"/>
                <w:highlight w:val="none"/>
              </w:rPr>
              <w:t>账　　号：</w:t>
            </w:r>
          </w:p>
        </w:tc>
      </w:tr>
      <w:tr w14:paraId="51348EEB">
        <w:tblPrEx>
          <w:tblCellMar>
            <w:top w:w="0" w:type="dxa"/>
            <w:left w:w="108" w:type="dxa"/>
            <w:bottom w:w="0" w:type="dxa"/>
            <w:right w:w="108" w:type="dxa"/>
          </w:tblCellMar>
        </w:tblPrEx>
        <w:trPr>
          <w:trHeight w:val="553" w:hRule="atLeast"/>
          <w:jc w:val="center"/>
        </w:trPr>
        <w:tc>
          <w:tcPr>
            <w:tcW w:w="4610" w:type="dxa"/>
            <w:noWrap/>
            <w:vAlign w:val="center"/>
          </w:tcPr>
          <w:p w14:paraId="2D25135D">
            <w:pPr>
              <w:widowControl/>
              <w:rPr>
                <w:color w:val="auto"/>
                <w:sz w:val="24"/>
                <w:highlight w:val="none"/>
              </w:rPr>
            </w:pPr>
            <w:r>
              <w:rPr>
                <w:rFonts w:hint="eastAsia"/>
                <w:color w:val="auto"/>
                <w:sz w:val="24"/>
                <w:highlight w:val="none"/>
              </w:rPr>
              <w:t>签订时间：      年　 月　 日</w:t>
            </w:r>
          </w:p>
        </w:tc>
        <w:tc>
          <w:tcPr>
            <w:tcW w:w="4609" w:type="dxa"/>
            <w:noWrap/>
            <w:vAlign w:val="center"/>
          </w:tcPr>
          <w:p w14:paraId="200E4FC1">
            <w:pPr>
              <w:widowControl/>
              <w:rPr>
                <w:color w:val="auto"/>
                <w:sz w:val="24"/>
                <w:highlight w:val="none"/>
              </w:rPr>
            </w:pPr>
            <w:r>
              <w:rPr>
                <w:rFonts w:hint="eastAsia"/>
                <w:color w:val="auto"/>
                <w:sz w:val="24"/>
                <w:highlight w:val="none"/>
              </w:rPr>
              <w:t>签订时间：      年 　 月　 日</w:t>
            </w:r>
          </w:p>
        </w:tc>
      </w:tr>
    </w:tbl>
    <w:p w14:paraId="79560CCA">
      <w:pPr>
        <w:rPr>
          <w:color w:val="auto"/>
          <w:highlight w:val="none"/>
        </w:rPr>
      </w:pPr>
    </w:p>
    <w:p w14:paraId="0C976DEB">
      <w:pPr>
        <w:pStyle w:val="13"/>
        <w:spacing w:line="360" w:lineRule="auto"/>
        <w:ind w:firstLine="0"/>
        <w:rPr>
          <w:rFonts w:hint="eastAsia"/>
          <w:b/>
          <w:color w:val="auto"/>
          <w:sz w:val="24"/>
          <w:szCs w:val="24"/>
          <w:highlight w:val="none"/>
        </w:rPr>
      </w:pPr>
      <w:r>
        <w:rPr>
          <w:rFonts w:hint="eastAsia"/>
          <w:b/>
          <w:color w:val="auto"/>
          <w:sz w:val="24"/>
          <w:szCs w:val="24"/>
          <w:highlight w:val="none"/>
        </w:rPr>
        <w:t>注：本合同仅作示范文本，具体以双方</w:t>
      </w:r>
      <w:r>
        <w:rPr>
          <w:rFonts w:hint="eastAsia"/>
          <w:b/>
          <w:color w:val="auto"/>
          <w:sz w:val="24"/>
          <w:szCs w:val="24"/>
          <w:highlight w:val="none"/>
          <w:lang w:eastAsia="zh-CN"/>
        </w:rPr>
        <w:t>签订的</w:t>
      </w:r>
      <w:r>
        <w:rPr>
          <w:rFonts w:hint="eastAsia"/>
          <w:b/>
          <w:color w:val="auto"/>
          <w:sz w:val="24"/>
          <w:szCs w:val="24"/>
          <w:highlight w:val="none"/>
        </w:rPr>
        <w:t>正式合同为准，合同内容不得违背竞争性磋商文件、供应商响应文件及磋商现场承诺内容等实质性要求。</w:t>
      </w:r>
    </w:p>
    <w:p w14:paraId="5DCE98E3">
      <w:pPr>
        <w:pStyle w:val="8"/>
        <w:widowControl w:val="0"/>
        <w:numPr>
          <w:ilvl w:val="0"/>
          <w:numId w:val="0"/>
        </w:numPr>
        <w:autoSpaceDE w:val="0"/>
        <w:autoSpaceDN w:val="0"/>
        <w:rPr>
          <w:rFonts w:hint="eastAsia"/>
          <w:b/>
          <w:color w:val="auto"/>
          <w:sz w:val="24"/>
          <w:szCs w:val="24"/>
          <w:highlight w:val="none"/>
        </w:rPr>
      </w:pPr>
    </w:p>
    <w:p w14:paraId="689CF142">
      <w:pPr>
        <w:pStyle w:val="8"/>
        <w:widowControl w:val="0"/>
        <w:numPr>
          <w:ilvl w:val="0"/>
          <w:numId w:val="0"/>
        </w:numPr>
        <w:autoSpaceDE w:val="0"/>
        <w:autoSpaceDN w:val="0"/>
        <w:rPr>
          <w:rFonts w:hint="eastAsia"/>
          <w:b/>
          <w:color w:val="auto"/>
          <w:sz w:val="24"/>
          <w:szCs w:val="24"/>
          <w:highlight w:val="none"/>
        </w:rPr>
      </w:pPr>
    </w:p>
    <w:p w14:paraId="28C6113F">
      <w:pPr>
        <w:pStyle w:val="8"/>
        <w:widowControl w:val="0"/>
        <w:numPr>
          <w:ilvl w:val="0"/>
          <w:numId w:val="0"/>
        </w:numPr>
        <w:autoSpaceDE w:val="0"/>
        <w:autoSpaceDN w:val="0"/>
        <w:rPr>
          <w:rFonts w:hint="eastAsia"/>
          <w:b/>
          <w:color w:val="auto"/>
          <w:sz w:val="24"/>
          <w:szCs w:val="24"/>
          <w:highlight w:val="none"/>
        </w:rPr>
      </w:pPr>
    </w:p>
    <w:p w14:paraId="6117E197">
      <w:pPr>
        <w:pStyle w:val="8"/>
        <w:widowControl w:val="0"/>
        <w:numPr>
          <w:ilvl w:val="0"/>
          <w:numId w:val="0"/>
        </w:numPr>
        <w:autoSpaceDE w:val="0"/>
        <w:autoSpaceDN w:val="0"/>
        <w:rPr>
          <w:rFonts w:hint="eastAsia"/>
          <w:b/>
          <w:color w:val="auto"/>
          <w:sz w:val="24"/>
          <w:szCs w:val="24"/>
          <w:highlight w:val="none"/>
        </w:rPr>
      </w:pPr>
    </w:p>
    <w:p w14:paraId="40847C4A">
      <w:pPr>
        <w:pStyle w:val="8"/>
        <w:widowControl w:val="0"/>
        <w:numPr>
          <w:ilvl w:val="0"/>
          <w:numId w:val="0"/>
        </w:numPr>
        <w:autoSpaceDE w:val="0"/>
        <w:autoSpaceDN w:val="0"/>
        <w:rPr>
          <w:rFonts w:hint="eastAsia"/>
          <w:b/>
          <w:color w:val="auto"/>
          <w:sz w:val="24"/>
          <w:szCs w:val="24"/>
          <w:highlight w:val="none"/>
        </w:rPr>
      </w:pPr>
    </w:p>
    <w:p w14:paraId="4DAFCB6E">
      <w:pPr>
        <w:pStyle w:val="8"/>
        <w:widowControl w:val="0"/>
        <w:numPr>
          <w:ilvl w:val="0"/>
          <w:numId w:val="0"/>
        </w:numPr>
        <w:autoSpaceDE w:val="0"/>
        <w:autoSpaceDN w:val="0"/>
        <w:rPr>
          <w:rFonts w:hint="eastAsia"/>
          <w:b/>
          <w:color w:val="auto"/>
          <w:sz w:val="24"/>
          <w:szCs w:val="24"/>
          <w:highlight w:val="none"/>
        </w:rPr>
      </w:pPr>
    </w:p>
    <w:p w14:paraId="3799E8CA">
      <w:pPr>
        <w:pStyle w:val="8"/>
        <w:widowControl w:val="0"/>
        <w:numPr>
          <w:ilvl w:val="0"/>
          <w:numId w:val="0"/>
        </w:numPr>
        <w:autoSpaceDE w:val="0"/>
        <w:autoSpaceDN w:val="0"/>
        <w:rPr>
          <w:rFonts w:hint="eastAsia"/>
          <w:b/>
          <w:color w:val="auto"/>
          <w:sz w:val="24"/>
          <w:szCs w:val="24"/>
          <w:highlight w:val="none"/>
        </w:rPr>
      </w:pPr>
    </w:p>
    <w:p w14:paraId="1036972B">
      <w:pPr>
        <w:pStyle w:val="8"/>
        <w:widowControl w:val="0"/>
        <w:numPr>
          <w:ilvl w:val="0"/>
          <w:numId w:val="0"/>
        </w:numPr>
        <w:autoSpaceDE w:val="0"/>
        <w:autoSpaceDN w:val="0"/>
        <w:rPr>
          <w:rFonts w:hint="eastAsia"/>
          <w:b/>
          <w:color w:val="auto"/>
          <w:sz w:val="24"/>
          <w:szCs w:val="24"/>
          <w:highlight w:val="none"/>
        </w:rPr>
      </w:pPr>
    </w:p>
    <w:p w14:paraId="54D56366">
      <w:pPr>
        <w:pStyle w:val="8"/>
        <w:widowControl w:val="0"/>
        <w:numPr>
          <w:ilvl w:val="0"/>
          <w:numId w:val="0"/>
        </w:numPr>
        <w:autoSpaceDE w:val="0"/>
        <w:autoSpaceDN w:val="0"/>
        <w:rPr>
          <w:rFonts w:hint="eastAsia"/>
          <w:b/>
          <w:color w:val="auto"/>
          <w:sz w:val="24"/>
          <w:szCs w:val="24"/>
          <w:highlight w:val="none"/>
        </w:rPr>
      </w:pPr>
    </w:p>
    <w:p w14:paraId="3F26A7D5">
      <w:pPr>
        <w:pStyle w:val="8"/>
        <w:widowControl w:val="0"/>
        <w:numPr>
          <w:ilvl w:val="0"/>
          <w:numId w:val="0"/>
        </w:numPr>
        <w:autoSpaceDE w:val="0"/>
        <w:autoSpaceDN w:val="0"/>
        <w:rPr>
          <w:rFonts w:hint="eastAsia"/>
          <w:b/>
          <w:color w:val="auto"/>
          <w:sz w:val="24"/>
          <w:szCs w:val="24"/>
          <w:highlight w:val="none"/>
        </w:rPr>
      </w:pPr>
    </w:p>
    <w:p w14:paraId="2BC865DC">
      <w:pPr>
        <w:pStyle w:val="8"/>
        <w:widowControl w:val="0"/>
        <w:numPr>
          <w:ilvl w:val="0"/>
          <w:numId w:val="0"/>
        </w:numPr>
        <w:autoSpaceDE w:val="0"/>
        <w:autoSpaceDN w:val="0"/>
        <w:rPr>
          <w:rFonts w:hint="eastAsia"/>
          <w:b/>
          <w:color w:val="auto"/>
          <w:sz w:val="24"/>
          <w:szCs w:val="24"/>
          <w:highlight w:val="none"/>
        </w:rPr>
      </w:pPr>
    </w:p>
    <w:p w14:paraId="7E966C2F">
      <w:pPr>
        <w:pStyle w:val="8"/>
        <w:widowControl w:val="0"/>
        <w:numPr>
          <w:ilvl w:val="0"/>
          <w:numId w:val="0"/>
        </w:numPr>
        <w:autoSpaceDE w:val="0"/>
        <w:autoSpaceDN w:val="0"/>
        <w:rPr>
          <w:rFonts w:hint="eastAsia"/>
          <w:b/>
          <w:color w:val="auto"/>
          <w:sz w:val="24"/>
          <w:szCs w:val="24"/>
          <w:highlight w:val="none"/>
        </w:rPr>
      </w:pPr>
    </w:p>
    <w:p w14:paraId="33EDCAFE">
      <w:pPr>
        <w:pStyle w:val="8"/>
        <w:widowControl w:val="0"/>
        <w:numPr>
          <w:ilvl w:val="0"/>
          <w:numId w:val="0"/>
        </w:numPr>
        <w:autoSpaceDE w:val="0"/>
        <w:autoSpaceDN w:val="0"/>
        <w:rPr>
          <w:rFonts w:hint="eastAsia"/>
          <w:b/>
          <w:color w:val="auto"/>
          <w:sz w:val="24"/>
          <w:szCs w:val="24"/>
          <w:highlight w:val="none"/>
        </w:rPr>
      </w:pPr>
    </w:p>
    <w:p w14:paraId="69E965F9">
      <w:pPr>
        <w:pStyle w:val="8"/>
        <w:widowControl w:val="0"/>
        <w:numPr>
          <w:ilvl w:val="0"/>
          <w:numId w:val="0"/>
        </w:numPr>
        <w:autoSpaceDE w:val="0"/>
        <w:autoSpaceDN w:val="0"/>
        <w:rPr>
          <w:rFonts w:hint="eastAsia"/>
          <w:b/>
          <w:color w:val="auto"/>
          <w:sz w:val="24"/>
          <w:szCs w:val="24"/>
          <w:highlight w:val="none"/>
        </w:rPr>
      </w:pPr>
    </w:p>
    <w:p w14:paraId="56B90770">
      <w:pPr>
        <w:pStyle w:val="8"/>
        <w:widowControl w:val="0"/>
        <w:numPr>
          <w:ilvl w:val="0"/>
          <w:numId w:val="0"/>
        </w:numPr>
        <w:autoSpaceDE w:val="0"/>
        <w:autoSpaceDN w:val="0"/>
        <w:rPr>
          <w:rFonts w:hint="eastAsia"/>
          <w:b/>
          <w:color w:val="auto"/>
          <w:sz w:val="24"/>
          <w:szCs w:val="24"/>
          <w:highlight w:val="none"/>
        </w:rPr>
      </w:pPr>
    </w:p>
    <w:p w14:paraId="53D5478B">
      <w:pPr>
        <w:pStyle w:val="8"/>
        <w:widowControl w:val="0"/>
        <w:numPr>
          <w:ilvl w:val="0"/>
          <w:numId w:val="0"/>
        </w:numPr>
        <w:autoSpaceDE w:val="0"/>
        <w:autoSpaceDN w:val="0"/>
        <w:rPr>
          <w:rFonts w:hint="eastAsia"/>
          <w:b/>
          <w:color w:val="auto"/>
          <w:sz w:val="24"/>
          <w:szCs w:val="24"/>
          <w:highlight w:val="none"/>
        </w:rPr>
      </w:pPr>
    </w:p>
    <w:p w14:paraId="55FF217E">
      <w:pPr>
        <w:pStyle w:val="8"/>
        <w:widowControl w:val="0"/>
        <w:numPr>
          <w:ilvl w:val="0"/>
          <w:numId w:val="0"/>
        </w:numPr>
        <w:autoSpaceDE w:val="0"/>
        <w:autoSpaceDN w:val="0"/>
        <w:rPr>
          <w:rFonts w:hint="eastAsia"/>
          <w:b/>
          <w:color w:val="auto"/>
          <w:sz w:val="24"/>
          <w:szCs w:val="24"/>
          <w:highlight w:val="none"/>
        </w:rPr>
      </w:pPr>
    </w:p>
    <w:p w14:paraId="53D5DF89">
      <w:pPr>
        <w:pStyle w:val="8"/>
        <w:widowControl w:val="0"/>
        <w:numPr>
          <w:ilvl w:val="0"/>
          <w:numId w:val="0"/>
        </w:numPr>
        <w:autoSpaceDE w:val="0"/>
        <w:autoSpaceDN w:val="0"/>
        <w:rPr>
          <w:rFonts w:hint="eastAsia"/>
          <w:b/>
          <w:color w:val="auto"/>
          <w:sz w:val="24"/>
          <w:szCs w:val="24"/>
          <w:highlight w:val="none"/>
        </w:rPr>
      </w:pPr>
    </w:p>
    <w:p w14:paraId="38A44FFD">
      <w:pPr>
        <w:pStyle w:val="8"/>
        <w:widowControl w:val="0"/>
        <w:numPr>
          <w:ilvl w:val="0"/>
          <w:numId w:val="0"/>
        </w:numPr>
        <w:autoSpaceDE w:val="0"/>
        <w:autoSpaceDN w:val="0"/>
        <w:rPr>
          <w:rFonts w:hint="eastAsia"/>
          <w:b/>
          <w:color w:val="auto"/>
          <w:sz w:val="24"/>
          <w:szCs w:val="24"/>
          <w:highlight w:val="none"/>
        </w:rPr>
      </w:pPr>
    </w:p>
    <w:p w14:paraId="4F8A6E6D">
      <w:pPr>
        <w:pStyle w:val="8"/>
        <w:widowControl w:val="0"/>
        <w:numPr>
          <w:ilvl w:val="0"/>
          <w:numId w:val="0"/>
        </w:numPr>
        <w:autoSpaceDE w:val="0"/>
        <w:autoSpaceDN w:val="0"/>
        <w:rPr>
          <w:rFonts w:hint="eastAsia"/>
          <w:b/>
          <w:color w:val="auto"/>
          <w:sz w:val="24"/>
          <w:szCs w:val="24"/>
          <w:highlight w:val="none"/>
        </w:rPr>
      </w:pPr>
    </w:p>
    <w:p w14:paraId="331782F8">
      <w:pPr>
        <w:pStyle w:val="8"/>
        <w:widowControl w:val="0"/>
        <w:numPr>
          <w:ilvl w:val="0"/>
          <w:numId w:val="0"/>
        </w:numPr>
        <w:autoSpaceDE w:val="0"/>
        <w:autoSpaceDN w:val="0"/>
        <w:rPr>
          <w:rFonts w:hint="eastAsia"/>
          <w:b/>
          <w:color w:val="auto"/>
          <w:sz w:val="24"/>
          <w:szCs w:val="24"/>
          <w:highlight w:val="none"/>
        </w:rPr>
      </w:pPr>
    </w:p>
    <w:p w14:paraId="3A252B75">
      <w:pPr>
        <w:pStyle w:val="8"/>
        <w:widowControl w:val="0"/>
        <w:numPr>
          <w:ilvl w:val="0"/>
          <w:numId w:val="0"/>
        </w:numPr>
        <w:autoSpaceDE w:val="0"/>
        <w:autoSpaceDN w:val="0"/>
        <w:rPr>
          <w:rFonts w:hint="eastAsia"/>
          <w:b/>
          <w:color w:val="auto"/>
          <w:sz w:val="24"/>
          <w:szCs w:val="24"/>
          <w:highlight w:val="none"/>
        </w:rPr>
      </w:pPr>
    </w:p>
    <w:p w14:paraId="0E08707E">
      <w:pPr>
        <w:pStyle w:val="8"/>
        <w:widowControl w:val="0"/>
        <w:numPr>
          <w:ilvl w:val="0"/>
          <w:numId w:val="0"/>
        </w:numPr>
        <w:autoSpaceDE w:val="0"/>
        <w:autoSpaceDN w:val="0"/>
        <w:rPr>
          <w:rFonts w:hint="eastAsia"/>
          <w:b/>
          <w:color w:val="auto"/>
          <w:sz w:val="24"/>
          <w:szCs w:val="24"/>
          <w:highlight w:val="none"/>
        </w:rPr>
      </w:pPr>
    </w:p>
    <w:p w14:paraId="1F51502A">
      <w:pPr>
        <w:pStyle w:val="8"/>
        <w:widowControl w:val="0"/>
        <w:numPr>
          <w:ilvl w:val="0"/>
          <w:numId w:val="0"/>
        </w:numPr>
        <w:autoSpaceDE w:val="0"/>
        <w:autoSpaceDN w:val="0"/>
        <w:rPr>
          <w:rFonts w:hint="eastAsia"/>
          <w:b/>
          <w:color w:val="auto"/>
          <w:sz w:val="24"/>
          <w:szCs w:val="24"/>
          <w:highlight w:val="none"/>
        </w:rPr>
      </w:pPr>
    </w:p>
    <w:p w14:paraId="0B77CE65">
      <w:pPr>
        <w:pStyle w:val="2"/>
        <w:tabs>
          <w:tab w:val="left" w:pos="1404"/>
        </w:tabs>
        <w:spacing w:before="54"/>
        <w:ind w:left="120"/>
        <w:jc w:val="center"/>
        <w:rPr>
          <w:color w:val="auto"/>
          <w:highlight w:val="none"/>
        </w:rPr>
      </w:pPr>
      <w:bookmarkStart w:id="78" w:name="_Toc2610"/>
      <w:r>
        <w:rPr>
          <w:rFonts w:hint="eastAsia"/>
          <w:color w:val="auto"/>
          <w:highlight w:val="none"/>
        </w:rPr>
        <w:t>第五章</w:t>
      </w:r>
      <w:r>
        <w:rPr>
          <w:rFonts w:hint="eastAsia"/>
          <w:color w:val="auto"/>
          <w:highlight w:val="none"/>
          <w:lang w:val="en-US"/>
        </w:rPr>
        <w:t xml:space="preserve"> </w:t>
      </w:r>
      <w:r>
        <w:rPr>
          <w:rFonts w:hint="eastAsia"/>
          <w:color w:val="auto"/>
          <w:highlight w:val="none"/>
        </w:rPr>
        <w:t>磋商相关文件格式</w:t>
      </w:r>
      <w:bookmarkEnd w:id="78"/>
    </w:p>
    <w:p w14:paraId="2CCF9660">
      <w:pPr>
        <w:pStyle w:val="11"/>
        <w:rPr>
          <w:b/>
          <w:color w:val="auto"/>
          <w:sz w:val="32"/>
          <w:highlight w:val="none"/>
        </w:rPr>
      </w:pPr>
    </w:p>
    <w:p w14:paraId="4EC795D6">
      <w:pPr>
        <w:pStyle w:val="11"/>
        <w:spacing w:before="11"/>
        <w:rPr>
          <w:b/>
          <w:color w:val="auto"/>
          <w:sz w:val="27"/>
          <w:highlight w:val="none"/>
        </w:rPr>
      </w:pPr>
    </w:p>
    <w:p w14:paraId="39D1AB37">
      <w:pPr>
        <w:rPr>
          <w:b/>
          <w:color w:val="auto"/>
          <w:sz w:val="27"/>
          <w:highlight w:val="none"/>
        </w:rPr>
      </w:pPr>
    </w:p>
    <w:p w14:paraId="68F7992A">
      <w:pPr>
        <w:pStyle w:val="15"/>
        <w:spacing w:before="120" w:after="120"/>
        <w:rPr>
          <w:rFonts w:ascii="仿宋" w:hAnsi="仿宋"/>
          <w:b/>
          <w:color w:val="auto"/>
          <w:sz w:val="27"/>
          <w:highlight w:val="none"/>
        </w:rPr>
      </w:pPr>
    </w:p>
    <w:p w14:paraId="36BDFE9E">
      <w:pPr>
        <w:rPr>
          <w:b/>
          <w:color w:val="auto"/>
          <w:sz w:val="27"/>
          <w:highlight w:val="none"/>
        </w:rPr>
      </w:pPr>
    </w:p>
    <w:p w14:paraId="1857648E">
      <w:pPr>
        <w:pStyle w:val="15"/>
        <w:spacing w:before="120" w:after="120"/>
        <w:rPr>
          <w:rFonts w:ascii="仿宋" w:hAnsi="仿宋"/>
          <w:b/>
          <w:color w:val="auto"/>
          <w:sz w:val="27"/>
          <w:highlight w:val="none"/>
        </w:rPr>
      </w:pPr>
    </w:p>
    <w:p w14:paraId="712744F1">
      <w:pPr>
        <w:rPr>
          <w:color w:val="auto"/>
          <w:highlight w:val="none"/>
        </w:rPr>
      </w:pPr>
    </w:p>
    <w:p w14:paraId="2E97B7B3">
      <w:pPr>
        <w:pStyle w:val="3"/>
        <w:tabs>
          <w:tab w:val="left" w:pos="991"/>
        </w:tabs>
        <w:ind w:left="240"/>
        <w:rPr>
          <w:color w:val="auto"/>
          <w:highlight w:val="none"/>
        </w:rPr>
      </w:pPr>
      <w:bookmarkStart w:id="79" w:name="一___资格审查文件格式"/>
      <w:bookmarkEnd w:id="79"/>
      <w:bookmarkStart w:id="80" w:name="_Toc9725"/>
      <w:r>
        <w:rPr>
          <w:rFonts w:hint="eastAsia"/>
          <w:color w:val="auto"/>
          <w:highlight w:val="none"/>
        </w:rPr>
        <w:t>一</w:t>
      </w:r>
      <w:r>
        <w:rPr>
          <w:rFonts w:hint="eastAsia"/>
          <w:color w:val="auto"/>
          <w:highlight w:val="none"/>
          <w:lang w:val="en-US"/>
        </w:rPr>
        <w:t xml:space="preserve"> </w:t>
      </w:r>
      <w:r>
        <w:rPr>
          <w:rFonts w:hint="eastAsia"/>
          <w:color w:val="auto"/>
          <w:highlight w:val="none"/>
        </w:rPr>
        <w:t>资格审查文件格式</w:t>
      </w:r>
      <w:bookmarkEnd w:id="80"/>
    </w:p>
    <w:p w14:paraId="738D145E">
      <w:pPr>
        <w:pStyle w:val="3"/>
        <w:tabs>
          <w:tab w:val="left" w:pos="991"/>
        </w:tabs>
        <w:ind w:left="240"/>
        <w:rPr>
          <w:color w:val="auto"/>
          <w:highlight w:val="none"/>
        </w:rPr>
        <w:sectPr>
          <w:headerReference r:id="rId5" w:type="default"/>
          <w:pgSz w:w="11910" w:h="16840"/>
          <w:pgMar w:top="1247" w:right="1247" w:bottom="1247" w:left="1587" w:header="884" w:footer="884" w:gutter="0"/>
          <w:cols w:space="0" w:num="1"/>
        </w:sectPr>
      </w:pPr>
    </w:p>
    <w:p w14:paraId="4E66161C">
      <w:pPr>
        <w:spacing w:before="124"/>
        <w:ind w:left="561" w:right="439"/>
        <w:jc w:val="center"/>
        <w:rPr>
          <w:b/>
          <w:color w:val="auto"/>
          <w:sz w:val="36"/>
          <w:highlight w:val="none"/>
        </w:rPr>
      </w:pPr>
      <w:r>
        <w:rPr>
          <w:rFonts w:hint="eastAsia"/>
          <w:b/>
          <w:color w:val="auto"/>
          <w:sz w:val="36"/>
          <w:highlight w:val="none"/>
        </w:rPr>
        <w:t>资格审查文件封面</w:t>
      </w:r>
    </w:p>
    <w:p w14:paraId="7009CC14">
      <w:pPr>
        <w:pStyle w:val="11"/>
        <w:rPr>
          <w:b/>
          <w:color w:val="auto"/>
          <w:sz w:val="36"/>
          <w:highlight w:val="none"/>
        </w:rPr>
      </w:pPr>
    </w:p>
    <w:p w14:paraId="318F8310">
      <w:pPr>
        <w:pStyle w:val="11"/>
        <w:rPr>
          <w:b/>
          <w:color w:val="auto"/>
          <w:sz w:val="36"/>
          <w:highlight w:val="none"/>
        </w:rPr>
      </w:pPr>
    </w:p>
    <w:p w14:paraId="47BE7824">
      <w:pPr>
        <w:pStyle w:val="11"/>
        <w:spacing w:before="1"/>
        <w:rPr>
          <w:b/>
          <w:color w:val="auto"/>
          <w:sz w:val="38"/>
          <w:highlight w:val="none"/>
        </w:rPr>
      </w:pPr>
    </w:p>
    <w:p w14:paraId="1F6BA521">
      <w:pPr>
        <w:spacing w:before="1"/>
        <w:ind w:left="2037"/>
        <w:rPr>
          <w:color w:val="auto"/>
          <w:sz w:val="36"/>
          <w:highlight w:val="none"/>
        </w:rPr>
      </w:pPr>
      <w:r>
        <w:rPr>
          <w:rFonts w:hint="eastAsia"/>
          <w:color w:val="auto"/>
          <w:sz w:val="36"/>
          <w:highlight w:val="none"/>
        </w:rPr>
        <w:t>项目编号：</w:t>
      </w:r>
    </w:p>
    <w:p w14:paraId="37A680AF">
      <w:pPr>
        <w:pStyle w:val="11"/>
        <w:rPr>
          <w:color w:val="auto"/>
          <w:sz w:val="36"/>
          <w:highlight w:val="none"/>
        </w:rPr>
      </w:pPr>
    </w:p>
    <w:p w14:paraId="17D1A885">
      <w:pPr>
        <w:pStyle w:val="11"/>
        <w:rPr>
          <w:color w:val="auto"/>
          <w:sz w:val="36"/>
          <w:highlight w:val="none"/>
        </w:rPr>
      </w:pPr>
    </w:p>
    <w:p w14:paraId="77CA134D">
      <w:pPr>
        <w:pStyle w:val="11"/>
        <w:rPr>
          <w:color w:val="auto"/>
          <w:sz w:val="36"/>
          <w:highlight w:val="none"/>
        </w:rPr>
      </w:pPr>
    </w:p>
    <w:p w14:paraId="05283F79">
      <w:pPr>
        <w:pStyle w:val="11"/>
        <w:spacing w:before="10"/>
        <w:rPr>
          <w:color w:val="auto"/>
          <w:sz w:val="50"/>
          <w:highlight w:val="none"/>
        </w:rPr>
      </w:pPr>
    </w:p>
    <w:p w14:paraId="0C38448C">
      <w:pPr>
        <w:ind w:left="2037"/>
        <w:rPr>
          <w:color w:val="auto"/>
          <w:sz w:val="36"/>
          <w:highlight w:val="none"/>
        </w:rPr>
      </w:pPr>
      <w:r>
        <w:rPr>
          <w:rFonts w:hint="eastAsia"/>
          <w:color w:val="auto"/>
          <w:sz w:val="36"/>
          <w:highlight w:val="none"/>
        </w:rPr>
        <w:t>项目名称：</w:t>
      </w:r>
    </w:p>
    <w:p w14:paraId="243C9082">
      <w:pPr>
        <w:pStyle w:val="11"/>
        <w:rPr>
          <w:color w:val="auto"/>
          <w:sz w:val="36"/>
          <w:highlight w:val="none"/>
        </w:rPr>
      </w:pPr>
    </w:p>
    <w:p w14:paraId="6A794F21">
      <w:pPr>
        <w:pStyle w:val="11"/>
        <w:rPr>
          <w:color w:val="auto"/>
          <w:sz w:val="36"/>
          <w:highlight w:val="none"/>
        </w:rPr>
      </w:pPr>
    </w:p>
    <w:p w14:paraId="29265F9A">
      <w:pPr>
        <w:pStyle w:val="11"/>
        <w:spacing w:before="1"/>
        <w:rPr>
          <w:color w:val="auto"/>
          <w:sz w:val="38"/>
          <w:highlight w:val="none"/>
        </w:rPr>
      </w:pPr>
    </w:p>
    <w:p w14:paraId="3960710D">
      <w:pPr>
        <w:ind w:left="2037"/>
        <w:rPr>
          <w:color w:val="auto"/>
          <w:sz w:val="36"/>
          <w:highlight w:val="none"/>
        </w:rPr>
      </w:pPr>
      <w:r>
        <w:rPr>
          <w:rFonts w:hint="eastAsia"/>
          <w:color w:val="auto"/>
          <w:sz w:val="36"/>
          <w:highlight w:val="none"/>
        </w:rPr>
        <w:t>响应文件名称：资格审查文件</w:t>
      </w:r>
    </w:p>
    <w:p w14:paraId="256D9376">
      <w:pPr>
        <w:pStyle w:val="11"/>
        <w:rPr>
          <w:color w:val="auto"/>
          <w:sz w:val="36"/>
          <w:highlight w:val="none"/>
        </w:rPr>
      </w:pPr>
    </w:p>
    <w:p w14:paraId="5EB2E4E7">
      <w:pPr>
        <w:pStyle w:val="11"/>
        <w:rPr>
          <w:color w:val="auto"/>
          <w:sz w:val="36"/>
          <w:highlight w:val="none"/>
        </w:rPr>
      </w:pPr>
    </w:p>
    <w:p w14:paraId="159D5C3E">
      <w:pPr>
        <w:pStyle w:val="11"/>
        <w:rPr>
          <w:color w:val="auto"/>
          <w:sz w:val="36"/>
          <w:highlight w:val="none"/>
        </w:rPr>
      </w:pPr>
    </w:p>
    <w:p w14:paraId="43B20D48">
      <w:pPr>
        <w:pStyle w:val="11"/>
        <w:spacing w:before="11"/>
        <w:rPr>
          <w:color w:val="auto"/>
          <w:sz w:val="50"/>
          <w:highlight w:val="none"/>
        </w:rPr>
      </w:pPr>
    </w:p>
    <w:p w14:paraId="54A8B70C">
      <w:pPr>
        <w:ind w:left="2037"/>
        <w:rPr>
          <w:color w:val="auto"/>
          <w:sz w:val="36"/>
          <w:highlight w:val="none"/>
        </w:rPr>
      </w:pPr>
      <w:r>
        <w:rPr>
          <w:rFonts w:hint="eastAsia"/>
          <w:color w:val="auto"/>
          <w:sz w:val="36"/>
          <w:highlight w:val="none"/>
        </w:rPr>
        <w:t>供应商名称（CA 签章）：</w:t>
      </w:r>
    </w:p>
    <w:p w14:paraId="0CC7D720">
      <w:pPr>
        <w:pStyle w:val="11"/>
        <w:rPr>
          <w:color w:val="auto"/>
          <w:sz w:val="36"/>
          <w:highlight w:val="none"/>
        </w:rPr>
      </w:pPr>
    </w:p>
    <w:p w14:paraId="555E026B">
      <w:pPr>
        <w:pStyle w:val="11"/>
        <w:rPr>
          <w:color w:val="auto"/>
          <w:sz w:val="36"/>
          <w:highlight w:val="none"/>
        </w:rPr>
      </w:pPr>
    </w:p>
    <w:p w14:paraId="737F863D">
      <w:pPr>
        <w:pStyle w:val="11"/>
        <w:spacing w:before="1"/>
        <w:rPr>
          <w:color w:val="auto"/>
          <w:sz w:val="38"/>
          <w:highlight w:val="none"/>
        </w:rPr>
      </w:pPr>
    </w:p>
    <w:p w14:paraId="5E9C8FC9">
      <w:pPr>
        <w:ind w:left="2037"/>
        <w:rPr>
          <w:color w:val="auto"/>
          <w:sz w:val="36"/>
          <w:highlight w:val="none"/>
        </w:rPr>
      </w:pPr>
      <w:r>
        <w:rPr>
          <w:rFonts w:hint="eastAsia"/>
          <w:color w:val="auto"/>
          <w:sz w:val="36"/>
          <w:highlight w:val="none"/>
        </w:rPr>
        <w:t>供应商地址：</w:t>
      </w:r>
    </w:p>
    <w:p w14:paraId="7BCAFD14">
      <w:pPr>
        <w:rPr>
          <w:color w:val="auto"/>
          <w:sz w:val="36"/>
          <w:highlight w:val="none"/>
        </w:rPr>
        <w:sectPr>
          <w:pgSz w:w="11910" w:h="16840"/>
          <w:pgMar w:top="1247" w:right="1247" w:bottom="1247" w:left="1587" w:header="884" w:footer="884" w:gutter="0"/>
          <w:cols w:space="0" w:num="1"/>
        </w:sectPr>
      </w:pPr>
    </w:p>
    <w:p w14:paraId="14D9DBC6">
      <w:pPr>
        <w:pStyle w:val="11"/>
        <w:spacing w:before="4"/>
        <w:rPr>
          <w:color w:val="auto"/>
          <w:sz w:val="16"/>
          <w:highlight w:val="none"/>
        </w:rPr>
      </w:pPr>
    </w:p>
    <w:p w14:paraId="2057DB96">
      <w:pPr>
        <w:spacing w:before="55" w:line="480" w:lineRule="auto"/>
        <w:ind w:left="540"/>
        <w:jc w:val="center"/>
        <w:rPr>
          <w:b/>
          <w:color w:val="auto"/>
          <w:sz w:val="32"/>
          <w:highlight w:val="none"/>
        </w:rPr>
      </w:pPr>
      <w:r>
        <w:rPr>
          <w:rFonts w:hint="eastAsia"/>
          <w:b/>
          <w:color w:val="auto"/>
          <w:sz w:val="32"/>
          <w:highlight w:val="none"/>
        </w:rPr>
        <w:t>目 录</w:t>
      </w:r>
    </w:p>
    <w:p w14:paraId="7205985D">
      <w:pPr>
        <w:pStyle w:val="2"/>
        <w:spacing w:line="360" w:lineRule="auto"/>
        <w:rPr>
          <w:b w:val="0"/>
          <w:bCs w:val="0"/>
          <w:color w:val="auto"/>
          <w:sz w:val="30"/>
          <w:szCs w:val="30"/>
          <w:highlight w:val="none"/>
          <w:lang w:val="en-US"/>
        </w:rPr>
      </w:pPr>
      <w:bookmarkStart w:id="81" w:name="_Toc14291"/>
      <w:bookmarkStart w:id="82" w:name="_Toc14921"/>
      <w:bookmarkStart w:id="83" w:name="_Toc25769"/>
      <w:bookmarkStart w:id="84" w:name="_Toc15293"/>
      <w:bookmarkStart w:id="85" w:name="_Toc3770"/>
      <w:bookmarkStart w:id="86" w:name="_Toc10425"/>
      <w:bookmarkStart w:id="87" w:name="_Toc14809"/>
      <w:bookmarkStart w:id="88" w:name="_Toc20163"/>
      <w:bookmarkStart w:id="89" w:name="_Toc28331"/>
      <w:bookmarkStart w:id="90" w:name="_Toc13139"/>
      <w:bookmarkStart w:id="91" w:name="_Toc32069"/>
      <w:bookmarkStart w:id="92" w:name="_Toc15241"/>
      <w:bookmarkStart w:id="93" w:name="_Toc4574"/>
      <w:r>
        <w:rPr>
          <w:rFonts w:hint="eastAsia"/>
          <w:b w:val="0"/>
          <w:bCs w:val="0"/>
          <w:color w:val="auto"/>
          <w:sz w:val="30"/>
          <w:szCs w:val="30"/>
          <w:highlight w:val="none"/>
          <w:lang w:val="en-US"/>
        </w:rPr>
        <w:t>1.</w:t>
      </w:r>
      <w:bookmarkEnd w:id="81"/>
      <w:bookmarkEnd w:id="82"/>
      <w:r>
        <w:rPr>
          <w:rFonts w:hint="eastAsia"/>
          <w:b w:val="0"/>
          <w:bCs w:val="0"/>
          <w:color w:val="auto"/>
          <w:sz w:val="30"/>
          <w:szCs w:val="30"/>
          <w:highlight w:val="none"/>
          <w:lang w:val="en-US"/>
        </w:rPr>
        <w:t>公司有效营业执照扫描件</w:t>
      </w:r>
      <w:bookmarkEnd w:id="83"/>
      <w:bookmarkEnd w:id="84"/>
      <w:bookmarkEnd w:id="85"/>
      <w:bookmarkEnd w:id="86"/>
      <w:bookmarkEnd w:id="87"/>
      <w:bookmarkEnd w:id="88"/>
      <w:bookmarkEnd w:id="89"/>
      <w:bookmarkEnd w:id="90"/>
      <w:bookmarkEnd w:id="91"/>
      <w:bookmarkEnd w:id="92"/>
      <w:bookmarkEnd w:id="93"/>
    </w:p>
    <w:p w14:paraId="5E529F86">
      <w:pPr>
        <w:pStyle w:val="2"/>
        <w:spacing w:line="360" w:lineRule="auto"/>
        <w:rPr>
          <w:b w:val="0"/>
          <w:bCs w:val="0"/>
          <w:color w:val="auto"/>
          <w:sz w:val="30"/>
          <w:szCs w:val="30"/>
          <w:highlight w:val="none"/>
          <w:lang w:val="en-US"/>
        </w:rPr>
      </w:pPr>
      <w:bookmarkStart w:id="94" w:name="_Toc7067"/>
      <w:bookmarkStart w:id="95" w:name="_Toc1399"/>
      <w:bookmarkStart w:id="96" w:name="_Toc6804"/>
      <w:bookmarkStart w:id="97" w:name="_Toc29878"/>
      <w:bookmarkStart w:id="98" w:name="_Toc29765"/>
      <w:bookmarkStart w:id="99" w:name="_Toc18012"/>
      <w:bookmarkStart w:id="100" w:name="_Toc11208"/>
      <w:bookmarkStart w:id="101" w:name="_Toc19764"/>
      <w:bookmarkStart w:id="102" w:name="_Toc28657"/>
      <w:bookmarkStart w:id="103" w:name="_Toc3218"/>
      <w:bookmarkStart w:id="104" w:name="_Toc19163"/>
      <w:bookmarkStart w:id="105" w:name="_Toc15015"/>
      <w:bookmarkStart w:id="106" w:name="_Toc10721"/>
      <w:r>
        <w:rPr>
          <w:rFonts w:hint="eastAsia"/>
          <w:b w:val="0"/>
          <w:bCs w:val="0"/>
          <w:color w:val="auto"/>
          <w:sz w:val="30"/>
          <w:szCs w:val="30"/>
          <w:highlight w:val="none"/>
          <w:lang w:val="en-US"/>
        </w:rPr>
        <w:t>2.法定代表人资格证明书或授权委托书</w:t>
      </w:r>
      <w:bookmarkEnd w:id="94"/>
      <w:bookmarkEnd w:id="95"/>
      <w:bookmarkEnd w:id="96"/>
      <w:bookmarkEnd w:id="97"/>
      <w:bookmarkEnd w:id="98"/>
      <w:bookmarkEnd w:id="99"/>
      <w:bookmarkEnd w:id="100"/>
      <w:bookmarkEnd w:id="101"/>
      <w:bookmarkEnd w:id="102"/>
      <w:bookmarkEnd w:id="103"/>
      <w:bookmarkEnd w:id="104"/>
      <w:bookmarkEnd w:id="105"/>
      <w:bookmarkEnd w:id="106"/>
    </w:p>
    <w:p w14:paraId="2B3291AD">
      <w:pPr>
        <w:pStyle w:val="2"/>
        <w:spacing w:line="360" w:lineRule="auto"/>
        <w:rPr>
          <w:b w:val="0"/>
          <w:bCs w:val="0"/>
          <w:color w:val="auto"/>
          <w:sz w:val="30"/>
          <w:szCs w:val="30"/>
          <w:highlight w:val="none"/>
          <w:lang w:val="en-US"/>
        </w:rPr>
      </w:pPr>
      <w:bookmarkStart w:id="107" w:name="_Toc9171"/>
      <w:bookmarkStart w:id="108" w:name="_Toc12877"/>
      <w:bookmarkStart w:id="109" w:name="_Toc16582"/>
      <w:bookmarkStart w:id="110" w:name="_Toc29049"/>
      <w:bookmarkStart w:id="111" w:name="_Toc3546"/>
      <w:bookmarkStart w:id="112" w:name="_Toc9684"/>
      <w:bookmarkStart w:id="113" w:name="_Toc10622"/>
      <w:bookmarkStart w:id="114" w:name="_Toc19181"/>
      <w:bookmarkStart w:id="115" w:name="_Toc15218"/>
      <w:bookmarkStart w:id="116" w:name="_Toc23203"/>
      <w:bookmarkStart w:id="117" w:name="_Toc15973"/>
      <w:bookmarkStart w:id="118" w:name="_Toc13668"/>
      <w:bookmarkStart w:id="119" w:name="_Toc1581"/>
      <w:r>
        <w:rPr>
          <w:rFonts w:hint="eastAsia"/>
          <w:b w:val="0"/>
          <w:bCs w:val="0"/>
          <w:color w:val="auto"/>
          <w:sz w:val="30"/>
          <w:szCs w:val="30"/>
          <w:highlight w:val="none"/>
          <w:lang w:val="en-US"/>
        </w:rPr>
        <w:t>3.政府采购资格承诺函</w:t>
      </w:r>
      <w:bookmarkEnd w:id="107"/>
      <w:bookmarkEnd w:id="108"/>
      <w:bookmarkEnd w:id="109"/>
      <w:bookmarkEnd w:id="110"/>
      <w:bookmarkEnd w:id="111"/>
      <w:bookmarkEnd w:id="112"/>
      <w:bookmarkEnd w:id="113"/>
      <w:bookmarkEnd w:id="114"/>
      <w:bookmarkEnd w:id="115"/>
      <w:bookmarkEnd w:id="116"/>
      <w:bookmarkEnd w:id="117"/>
      <w:bookmarkEnd w:id="118"/>
      <w:bookmarkEnd w:id="119"/>
    </w:p>
    <w:p w14:paraId="5438AF0A">
      <w:pPr>
        <w:pStyle w:val="2"/>
        <w:spacing w:line="360" w:lineRule="auto"/>
        <w:rPr>
          <w:b w:val="0"/>
          <w:bCs w:val="0"/>
          <w:color w:val="auto"/>
          <w:sz w:val="30"/>
          <w:szCs w:val="30"/>
          <w:highlight w:val="none"/>
          <w:lang w:val="en-US"/>
        </w:rPr>
      </w:pPr>
      <w:bookmarkStart w:id="120" w:name="_Toc5526"/>
      <w:bookmarkStart w:id="121" w:name="_Toc21544"/>
      <w:bookmarkStart w:id="122" w:name="_Toc12473"/>
      <w:bookmarkStart w:id="123" w:name="_Toc10886"/>
      <w:bookmarkStart w:id="124" w:name="_Toc32527"/>
      <w:bookmarkStart w:id="125" w:name="_Toc3624"/>
      <w:bookmarkStart w:id="126" w:name="_Toc17397"/>
      <w:bookmarkStart w:id="127" w:name="_Toc9410"/>
      <w:bookmarkStart w:id="128" w:name="_Toc14225"/>
      <w:bookmarkStart w:id="129" w:name="_Toc30310"/>
      <w:bookmarkStart w:id="130" w:name="_Toc15687"/>
      <w:bookmarkStart w:id="131" w:name="_Toc18971"/>
      <w:bookmarkStart w:id="132" w:name="_Toc25932"/>
      <w:r>
        <w:rPr>
          <w:rFonts w:hint="eastAsia"/>
          <w:b w:val="0"/>
          <w:bCs w:val="0"/>
          <w:color w:val="auto"/>
          <w:sz w:val="30"/>
          <w:szCs w:val="30"/>
          <w:highlight w:val="none"/>
          <w:lang w:val="en-US"/>
        </w:rPr>
        <w:t>4.资格声明</w:t>
      </w:r>
      <w:bookmarkEnd w:id="120"/>
      <w:bookmarkEnd w:id="121"/>
      <w:bookmarkEnd w:id="122"/>
      <w:bookmarkEnd w:id="123"/>
      <w:bookmarkEnd w:id="124"/>
      <w:bookmarkEnd w:id="125"/>
      <w:bookmarkEnd w:id="126"/>
      <w:bookmarkEnd w:id="127"/>
      <w:bookmarkEnd w:id="128"/>
      <w:bookmarkEnd w:id="129"/>
      <w:bookmarkEnd w:id="130"/>
      <w:bookmarkEnd w:id="131"/>
      <w:bookmarkEnd w:id="132"/>
    </w:p>
    <w:p w14:paraId="68AA841C">
      <w:pPr>
        <w:pStyle w:val="2"/>
        <w:spacing w:line="360" w:lineRule="auto"/>
        <w:rPr>
          <w:b w:val="0"/>
          <w:bCs w:val="0"/>
          <w:color w:val="auto"/>
          <w:sz w:val="30"/>
          <w:szCs w:val="30"/>
          <w:highlight w:val="none"/>
          <w:lang w:val="en-US"/>
        </w:rPr>
      </w:pPr>
      <w:bookmarkStart w:id="133" w:name="_Toc10918"/>
      <w:bookmarkStart w:id="134" w:name="_Toc28593"/>
      <w:bookmarkStart w:id="135" w:name="_Toc1197"/>
      <w:bookmarkStart w:id="136" w:name="_Toc13094"/>
      <w:bookmarkStart w:id="137" w:name="_Toc10628"/>
      <w:bookmarkStart w:id="138" w:name="_Toc29847"/>
      <w:bookmarkStart w:id="139" w:name="_Toc5739"/>
      <w:bookmarkStart w:id="140" w:name="_Toc3880"/>
      <w:bookmarkStart w:id="141" w:name="_Toc26236"/>
      <w:bookmarkStart w:id="142" w:name="_Toc27778"/>
      <w:bookmarkStart w:id="143" w:name="_Toc19956"/>
      <w:bookmarkStart w:id="144" w:name="_Toc16593"/>
      <w:bookmarkStart w:id="145" w:name="_Toc15840"/>
      <w:r>
        <w:rPr>
          <w:rFonts w:hint="eastAsia"/>
          <w:b w:val="0"/>
          <w:bCs w:val="0"/>
          <w:color w:val="auto"/>
          <w:sz w:val="30"/>
          <w:szCs w:val="30"/>
          <w:highlight w:val="none"/>
          <w:lang w:val="en-US"/>
        </w:rPr>
        <w:t>5.中小企业声明函</w:t>
      </w:r>
      <w:bookmarkEnd w:id="133"/>
      <w:bookmarkEnd w:id="134"/>
      <w:bookmarkEnd w:id="135"/>
      <w:bookmarkEnd w:id="136"/>
      <w:bookmarkEnd w:id="137"/>
      <w:bookmarkEnd w:id="138"/>
      <w:bookmarkEnd w:id="139"/>
      <w:bookmarkEnd w:id="140"/>
      <w:bookmarkEnd w:id="141"/>
      <w:bookmarkEnd w:id="142"/>
      <w:bookmarkEnd w:id="143"/>
      <w:bookmarkEnd w:id="144"/>
      <w:bookmarkEnd w:id="145"/>
    </w:p>
    <w:p w14:paraId="0BB65A1F">
      <w:pPr>
        <w:spacing w:line="360" w:lineRule="auto"/>
        <w:rPr>
          <w:color w:val="auto"/>
          <w:sz w:val="30"/>
          <w:szCs w:val="30"/>
          <w:highlight w:val="none"/>
          <w:lang w:val="en-US"/>
        </w:rPr>
      </w:pPr>
    </w:p>
    <w:p w14:paraId="3AC1F217">
      <w:pPr>
        <w:rPr>
          <w:color w:val="auto"/>
          <w:highlight w:val="none"/>
          <w:lang w:val="en-US"/>
        </w:rPr>
        <w:sectPr>
          <w:pgSz w:w="11910" w:h="16840"/>
          <w:pgMar w:top="1247" w:right="1247" w:bottom="1247" w:left="1587" w:header="884" w:footer="884" w:gutter="0"/>
          <w:cols w:space="0" w:num="1"/>
        </w:sectPr>
      </w:pPr>
    </w:p>
    <w:p w14:paraId="0D530DBA">
      <w:pPr>
        <w:pStyle w:val="11"/>
        <w:spacing w:before="1"/>
        <w:rPr>
          <w:color w:val="auto"/>
          <w:sz w:val="17"/>
          <w:highlight w:val="none"/>
        </w:rPr>
      </w:pPr>
    </w:p>
    <w:p w14:paraId="5A365DBB">
      <w:pPr>
        <w:spacing w:before="58"/>
        <w:ind w:left="561" w:right="127"/>
        <w:jc w:val="center"/>
        <w:rPr>
          <w:b/>
          <w:color w:val="auto"/>
          <w:sz w:val="30"/>
          <w:highlight w:val="none"/>
        </w:rPr>
      </w:pPr>
      <w:r>
        <w:rPr>
          <w:rFonts w:hint="eastAsia"/>
          <w:color w:val="auto"/>
          <w:sz w:val="24"/>
          <w:highlight w:val="none"/>
        </w:rPr>
        <w:t>▲</w:t>
      </w:r>
      <w:r>
        <w:rPr>
          <w:rFonts w:hint="eastAsia"/>
          <w:b/>
          <w:color w:val="auto"/>
          <w:sz w:val="30"/>
          <w:highlight w:val="none"/>
        </w:rPr>
        <w:t>1</w:t>
      </w:r>
      <w:r>
        <w:rPr>
          <w:rFonts w:hint="eastAsia"/>
          <w:b/>
          <w:color w:val="auto"/>
          <w:sz w:val="30"/>
          <w:highlight w:val="none"/>
          <w:lang w:val="en-US"/>
        </w:rPr>
        <w:t>.公司有效营业执照扫描件</w:t>
      </w:r>
    </w:p>
    <w:p w14:paraId="22A1BB5B">
      <w:pPr>
        <w:pStyle w:val="11"/>
        <w:spacing w:before="11"/>
        <w:rPr>
          <w:b/>
          <w:color w:val="auto"/>
          <w:sz w:val="14"/>
          <w:highlight w:val="none"/>
        </w:rPr>
      </w:pPr>
    </w:p>
    <w:p w14:paraId="3AAE2B69">
      <w:pPr>
        <w:spacing w:line="480" w:lineRule="auto"/>
        <w:rPr>
          <w:color w:val="auto"/>
          <w:sz w:val="24"/>
          <w:szCs w:val="24"/>
          <w:highlight w:val="none"/>
        </w:rPr>
      </w:pPr>
      <w:r>
        <w:rPr>
          <w:rFonts w:hint="eastAsia"/>
          <w:color w:val="auto"/>
          <w:sz w:val="24"/>
          <w:szCs w:val="24"/>
          <w:highlight w:val="none"/>
        </w:rPr>
        <w:t>要求：</w:t>
      </w:r>
    </w:p>
    <w:p w14:paraId="66DEBBFE">
      <w:pPr>
        <w:spacing w:line="480" w:lineRule="auto"/>
        <w:ind w:firstLine="480" w:firstLineChars="200"/>
        <w:rPr>
          <w:color w:val="auto"/>
          <w:sz w:val="24"/>
          <w:szCs w:val="24"/>
          <w:highlight w:val="none"/>
        </w:rPr>
      </w:pPr>
      <w:r>
        <w:rPr>
          <w:rFonts w:hint="eastAsia"/>
          <w:color w:val="auto"/>
          <w:sz w:val="24"/>
          <w:szCs w:val="24"/>
          <w:highlight w:val="none"/>
        </w:rPr>
        <w:t>提供有效的</w:t>
      </w:r>
      <w:r>
        <w:rPr>
          <w:rFonts w:hint="eastAsia"/>
          <w:color w:val="auto"/>
          <w:sz w:val="24"/>
          <w:szCs w:val="24"/>
          <w:highlight w:val="none"/>
          <w:lang w:val="en-US"/>
        </w:rPr>
        <w:t>公司有效营业执照扫描件</w:t>
      </w:r>
      <w:r>
        <w:rPr>
          <w:rFonts w:hint="eastAsia"/>
          <w:color w:val="auto"/>
          <w:sz w:val="24"/>
          <w:szCs w:val="24"/>
          <w:highlight w:val="none"/>
        </w:rPr>
        <w:t>并加盖电子公章。</w:t>
      </w:r>
    </w:p>
    <w:p w14:paraId="4C442C1E">
      <w:pPr>
        <w:spacing w:line="480" w:lineRule="auto"/>
        <w:rPr>
          <w:color w:val="auto"/>
          <w:sz w:val="24"/>
          <w:szCs w:val="24"/>
          <w:highlight w:val="none"/>
        </w:rPr>
        <w:sectPr>
          <w:pgSz w:w="11910" w:h="16840"/>
          <w:pgMar w:top="1247" w:right="1247" w:bottom="1247" w:left="1587" w:header="884" w:footer="884" w:gutter="0"/>
          <w:cols w:space="0" w:num="1"/>
        </w:sectPr>
      </w:pPr>
    </w:p>
    <w:p w14:paraId="487291C6">
      <w:pPr>
        <w:pStyle w:val="11"/>
        <w:spacing w:before="5"/>
        <w:rPr>
          <w:color w:val="auto"/>
          <w:sz w:val="8"/>
          <w:highlight w:val="none"/>
        </w:rPr>
      </w:pPr>
    </w:p>
    <w:p w14:paraId="30561E95">
      <w:pPr>
        <w:spacing w:before="58"/>
        <w:ind w:left="561" w:right="439"/>
        <w:jc w:val="center"/>
        <w:rPr>
          <w:b/>
          <w:color w:val="auto"/>
          <w:sz w:val="30"/>
          <w:highlight w:val="none"/>
        </w:rPr>
      </w:pPr>
      <w:r>
        <w:rPr>
          <w:rFonts w:hint="eastAsia"/>
          <w:color w:val="auto"/>
          <w:sz w:val="24"/>
          <w:highlight w:val="none"/>
        </w:rPr>
        <w:t>▲</w:t>
      </w:r>
      <w:r>
        <w:rPr>
          <w:rFonts w:hint="eastAsia"/>
          <w:b/>
          <w:color w:val="auto"/>
          <w:sz w:val="30"/>
          <w:highlight w:val="none"/>
        </w:rPr>
        <w:t>2</w:t>
      </w:r>
      <w:r>
        <w:rPr>
          <w:rFonts w:hint="eastAsia"/>
          <w:b/>
          <w:color w:val="auto"/>
          <w:sz w:val="30"/>
          <w:highlight w:val="none"/>
          <w:lang w:val="en-US"/>
        </w:rPr>
        <w:t>.</w:t>
      </w:r>
      <w:r>
        <w:rPr>
          <w:rFonts w:hint="eastAsia"/>
          <w:b/>
          <w:color w:val="auto"/>
          <w:sz w:val="30"/>
          <w:highlight w:val="none"/>
        </w:rPr>
        <w:t>法定代表人资格证明书或授权委托书</w:t>
      </w:r>
    </w:p>
    <w:p w14:paraId="0FC5BBBE">
      <w:pPr>
        <w:pStyle w:val="47"/>
        <w:numPr>
          <w:ilvl w:val="1"/>
          <w:numId w:val="29"/>
        </w:numPr>
        <w:tabs>
          <w:tab w:val="left" w:pos="3812"/>
        </w:tabs>
        <w:spacing w:before="239"/>
        <w:ind w:hanging="529"/>
        <w:jc w:val="left"/>
        <w:rPr>
          <w:b/>
          <w:color w:val="auto"/>
          <w:sz w:val="30"/>
          <w:highlight w:val="none"/>
        </w:rPr>
      </w:pPr>
      <w:r>
        <w:rPr>
          <w:rFonts w:hint="eastAsia"/>
          <w:b/>
          <w:color w:val="auto"/>
          <w:sz w:val="30"/>
          <w:highlight w:val="none"/>
        </w:rPr>
        <w:t>法定代表人资格证明书</w:t>
      </w:r>
    </w:p>
    <w:p w14:paraId="755A2DC4">
      <w:pPr>
        <w:pStyle w:val="11"/>
        <w:rPr>
          <w:b/>
          <w:color w:val="auto"/>
          <w:sz w:val="20"/>
          <w:highlight w:val="none"/>
        </w:rPr>
      </w:pPr>
    </w:p>
    <w:p w14:paraId="031B7863">
      <w:pPr>
        <w:pStyle w:val="11"/>
        <w:rPr>
          <w:b/>
          <w:color w:val="auto"/>
          <w:sz w:val="20"/>
          <w:highlight w:val="none"/>
        </w:rPr>
      </w:pPr>
    </w:p>
    <w:p w14:paraId="01D94501">
      <w:pPr>
        <w:pStyle w:val="11"/>
        <w:spacing w:before="5"/>
        <w:rPr>
          <w:b/>
          <w:color w:val="auto"/>
          <w:sz w:val="17"/>
          <w:highlight w:val="none"/>
        </w:rPr>
      </w:pPr>
    </w:p>
    <w:p w14:paraId="0D83FBEC">
      <w:pPr>
        <w:pStyle w:val="11"/>
        <w:spacing w:before="66" w:line="608" w:lineRule="auto"/>
        <w:ind w:firstLine="240" w:firstLineChars="100"/>
        <w:rPr>
          <w:color w:val="auto"/>
          <w:highlight w:val="none"/>
          <w:lang w:val="en-US"/>
        </w:rPr>
      </w:pPr>
      <w:r>
        <w:rPr>
          <w:rFonts w:hint="eastAsia"/>
          <w:color w:val="auto"/>
          <w:highlight w:val="none"/>
        </w:rPr>
        <w:t xml:space="preserve">单位名称： </w:t>
      </w:r>
    </w:p>
    <w:p w14:paraId="47A24871">
      <w:pPr>
        <w:pStyle w:val="11"/>
        <w:spacing w:before="66" w:line="608" w:lineRule="auto"/>
        <w:ind w:firstLine="240" w:firstLineChars="100"/>
        <w:rPr>
          <w:color w:val="auto"/>
          <w:highlight w:val="none"/>
        </w:rPr>
      </w:pPr>
      <w:r>
        <w:rPr>
          <w:rFonts w:hint="eastAsia"/>
          <w:color w:val="auto"/>
          <w:highlight w:val="none"/>
        </w:rPr>
        <w:t>地址：</w:t>
      </w:r>
    </w:p>
    <w:p w14:paraId="12BFF178">
      <w:pPr>
        <w:pStyle w:val="11"/>
        <w:tabs>
          <w:tab w:val="left" w:pos="3239"/>
          <w:tab w:val="left" w:pos="5159"/>
          <w:tab w:val="left" w:pos="7079"/>
        </w:tabs>
        <w:spacing w:line="307" w:lineRule="exact"/>
        <w:ind w:firstLine="240" w:firstLineChars="100"/>
        <w:rPr>
          <w:color w:val="auto"/>
          <w:highlight w:val="none"/>
        </w:rPr>
      </w:pPr>
      <w:r>
        <w:rPr>
          <w:rFonts w:hint="eastAsia"/>
          <w:color w:val="auto"/>
          <w:highlight w:val="none"/>
        </w:rPr>
        <w:t>姓名：</w:t>
      </w:r>
      <w:r>
        <w:rPr>
          <w:rFonts w:hint="eastAsia"/>
          <w:color w:val="auto"/>
          <w:highlight w:val="none"/>
        </w:rPr>
        <w:tab/>
      </w:r>
      <w:r>
        <w:rPr>
          <w:rFonts w:hint="eastAsia"/>
          <w:color w:val="auto"/>
          <w:highlight w:val="none"/>
        </w:rPr>
        <w:t>性别：</w:t>
      </w:r>
      <w:r>
        <w:rPr>
          <w:rFonts w:hint="eastAsia"/>
          <w:color w:val="auto"/>
          <w:highlight w:val="none"/>
        </w:rPr>
        <w:tab/>
      </w:r>
      <w:r>
        <w:rPr>
          <w:rFonts w:hint="eastAsia"/>
          <w:color w:val="auto"/>
          <w:highlight w:val="none"/>
        </w:rPr>
        <w:t>年龄：</w:t>
      </w:r>
      <w:r>
        <w:rPr>
          <w:rFonts w:hint="eastAsia"/>
          <w:color w:val="auto"/>
          <w:highlight w:val="none"/>
        </w:rPr>
        <w:tab/>
      </w:r>
      <w:r>
        <w:rPr>
          <w:rFonts w:hint="eastAsia"/>
          <w:color w:val="auto"/>
          <w:highlight w:val="none"/>
        </w:rPr>
        <w:t>职务：</w:t>
      </w:r>
    </w:p>
    <w:p w14:paraId="0D97ED4B">
      <w:pPr>
        <w:pStyle w:val="11"/>
        <w:rPr>
          <w:color w:val="auto"/>
          <w:highlight w:val="none"/>
        </w:rPr>
      </w:pPr>
    </w:p>
    <w:p w14:paraId="6808A6C3">
      <w:pPr>
        <w:pStyle w:val="11"/>
        <w:tabs>
          <w:tab w:val="left" w:pos="3251"/>
        </w:tabs>
        <w:spacing w:line="360" w:lineRule="auto"/>
        <w:ind w:firstLine="480" w:firstLineChars="200"/>
        <w:rPr>
          <w:color w:val="auto"/>
          <w:highlight w:val="none"/>
        </w:rPr>
      </w:pPr>
      <w:r>
        <w:rPr>
          <w:rFonts w:hint="eastAsia"/>
          <w:color w:val="auto"/>
          <w:highlight w:val="none"/>
        </w:rPr>
        <w:t>系</w:t>
      </w:r>
      <w:r>
        <w:rPr>
          <w:rFonts w:hint="eastAsia"/>
          <w:color w:val="auto"/>
          <w:highlight w:val="none"/>
          <w:u w:val="single"/>
        </w:rPr>
        <w:tab/>
      </w:r>
      <w:r>
        <w:rPr>
          <w:rFonts w:hint="eastAsia"/>
          <w:color w:val="auto"/>
          <w:highlight w:val="none"/>
          <w:u w:val="single"/>
        </w:rPr>
        <w:t>（供应商全称）</w:t>
      </w:r>
      <w:r>
        <w:rPr>
          <w:rFonts w:hint="eastAsia"/>
          <w:color w:val="auto"/>
          <w:highlight w:val="none"/>
        </w:rPr>
        <w:t>的法定代表人。为参加就贵方组织的有关</w:t>
      </w:r>
      <w:r>
        <w:rPr>
          <w:rFonts w:hint="eastAsia"/>
          <w:color w:val="auto"/>
          <w:highlight w:val="none"/>
          <w:u w:val="single"/>
        </w:rPr>
        <w:t>（采购项目名称）（项目编号：</w:t>
      </w:r>
      <w:r>
        <w:rPr>
          <w:rFonts w:hint="eastAsia"/>
          <w:color w:val="auto"/>
          <w:highlight w:val="none"/>
          <w:u w:val="single"/>
        </w:rPr>
        <w:tab/>
      </w:r>
      <w:r>
        <w:rPr>
          <w:rFonts w:hint="eastAsia"/>
          <w:color w:val="auto"/>
          <w:highlight w:val="none"/>
          <w:u w:val="single"/>
        </w:rPr>
        <w:t>）</w:t>
      </w:r>
      <w:r>
        <w:rPr>
          <w:rFonts w:hint="eastAsia"/>
          <w:color w:val="auto"/>
          <w:highlight w:val="none"/>
        </w:rPr>
        <w:t>项目的磋商活动，签署并全权办理针对上述项目的磋商、评标、签约等具体事务和签署相关文件。</w:t>
      </w:r>
    </w:p>
    <w:p w14:paraId="19FB2A37">
      <w:pPr>
        <w:pStyle w:val="11"/>
        <w:spacing w:before="7"/>
        <w:rPr>
          <w:color w:val="auto"/>
          <w:sz w:val="30"/>
          <w:highlight w:val="none"/>
        </w:rPr>
      </w:pPr>
    </w:p>
    <w:p w14:paraId="0603754B">
      <w:pPr>
        <w:pStyle w:val="11"/>
        <w:spacing w:before="1"/>
        <w:ind w:left="960"/>
        <w:rPr>
          <w:color w:val="auto"/>
          <w:highlight w:val="none"/>
        </w:rPr>
      </w:pPr>
      <w:r>
        <w:rPr>
          <w:rFonts w:hint="eastAsia"/>
          <w:color w:val="auto"/>
          <w:highlight w:val="none"/>
        </w:rPr>
        <w:t>特此证明。</w:t>
      </w:r>
    </w:p>
    <w:p w14:paraId="19B3B6EA">
      <w:pPr>
        <w:pStyle w:val="11"/>
        <w:rPr>
          <w:color w:val="auto"/>
          <w:highlight w:val="none"/>
        </w:rPr>
      </w:pPr>
    </w:p>
    <w:p w14:paraId="3E263D34">
      <w:pPr>
        <w:pStyle w:val="11"/>
        <w:spacing w:before="162"/>
        <w:ind w:left="4860"/>
        <w:rPr>
          <w:color w:val="auto"/>
          <w:highlight w:val="none"/>
        </w:rPr>
      </w:pPr>
      <w:r>
        <w:rPr>
          <w:rFonts w:hint="eastAsia"/>
          <w:color w:val="auto"/>
          <w:highlight w:val="none"/>
        </w:rPr>
        <w:t>供应商：(盖章)</w:t>
      </w:r>
    </w:p>
    <w:p w14:paraId="781A88E7">
      <w:pPr>
        <w:pStyle w:val="11"/>
        <w:rPr>
          <w:color w:val="auto"/>
          <w:highlight w:val="none"/>
        </w:rPr>
      </w:pPr>
    </w:p>
    <w:p w14:paraId="6EE597D6">
      <w:pPr>
        <w:pStyle w:val="11"/>
        <w:tabs>
          <w:tab w:val="left" w:pos="6419"/>
          <w:tab w:val="left" w:pos="7379"/>
          <w:tab w:val="left" w:pos="8159"/>
        </w:tabs>
        <w:spacing w:before="163"/>
        <w:ind w:left="4860"/>
        <w:rPr>
          <w:color w:val="auto"/>
          <w:highlight w:val="none"/>
        </w:rPr>
      </w:pPr>
      <w:r>
        <w:rPr>
          <w:rFonts w:hint="eastAsia"/>
          <w:color w:val="auto"/>
          <w:highlight w:val="none"/>
        </w:rPr>
        <w:t>日期：</w:t>
      </w:r>
      <w:r>
        <w:rPr>
          <w:rFonts w:hint="eastAsia"/>
          <w:color w:val="auto"/>
          <w:highlight w:val="none"/>
          <w:u w:val="single"/>
        </w:rPr>
        <w:tab/>
      </w:r>
      <w:r>
        <w:rPr>
          <w:rFonts w:hint="eastAsia"/>
          <w:color w:val="auto"/>
          <w:highlight w:val="none"/>
        </w:rPr>
        <w:t>年</w:t>
      </w:r>
      <w:r>
        <w:rPr>
          <w:rFonts w:hint="eastAsia"/>
          <w:color w:val="auto"/>
          <w:highlight w:val="none"/>
          <w:u w:val="single"/>
        </w:rPr>
        <w:tab/>
      </w:r>
      <w:r>
        <w:rPr>
          <w:rFonts w:hint="eastAsia"/>
          <w:color w:val="auto"/>
          <w:highlight w:val="none"/>
        </w:rPr>
        <w:t>月</w:t>
      </w:r>
      <w:r>
        <w:rPr>
          <w:rFonts w:hint="eastAsia"/>
          <w:color w:val="auto"/>
          <w:highlight w:val="none"/>
          <w:u w:val="single"/>
        </w:rPr>
        <w:tab/>
      </w:r>
      <w:r>
        <w:rPr>
          <w:rFonts w:hint="eastAsia"/>
          <w:color w:val="auto"/>
          <w:highlight w:val="none"/>
        </w:rPr>
        <w:t>日</w:t>
      </w:r>
    </w:p>
    <w:p w14:paraId="10996F39">
      <w:pPr>
        <w:pStyle w:val="11"/>
        <w:spacing w:before="81" w:line="302" w:lineRule="auto"/>
        <w:ind w:left="115" w:right="508" w:firstLine="240"/>
        <w:rPr>
          <w:color w:val="auto"/>
          <w:highlight w:val="none"/>
        </w:rPr>
      </w:pPr>
      <w:r>
        <w:rPr>
          <w:rFonts w:hint="eastAsia"/>
          <w:color w:val="auto"/>
          <w:highlight w:val="none"/>
        </w:rPr>
        <w:t>▲本“法定代表人资格证明书”需附法定代表人身份证件扫描件，如扫描件不清晰或错误的，后果由供应商承担。</w:t>
      </w:r>
    </w:p>
    <w:p w14:paraId="2DFE9443">
      <w:pPr>
        <w:spacing w:before="116" w:after="19"/>
        <w:ind w:left="540"/>
        <w:rPr>
          <w:color w:val="auto"/>
          <w:sz w:val="24"/>
          <w:highlight w:val="none"/>
        </w:rPr>
      </w:pPr>
      <w:r>
        <w:rPr>
          <w:rFonts w:hint="eastAsia"/>
          <w:b/>
          <w:color w:val="auto"/>
          <w:sz w:val="24"/>
          <w:highlight w:val="none"/>
        </w:rPr>
        <w:t>法定代表人</w:t>
      </w:r>
      <w:r>
        <w:rPr>
          <w:rFonts w:hint="eastAsia"/>
          <w:color w:val="auto"/>
          <w:sz w:val="24"/>
          <w:highlight w:val="none"/>
        </w:rPr>
        <w:t>身份证件扫描件：</w:t>
      </w:r>
    </w:p>
    <w:p w14:paraId="6122D711">
      <w:pPr>
        <w:pStyle w:val="11"/>
        <w:rPr>
          <w:color w:val="auto"/>
          <w:sz w:val="20"/>
          <w:highlight w:val="none"/>
        </w:rPr>
      </w:pPr>
      <w:r>
        <w:rPr>
          <w:color w:val="auto"/>
          <w:sz w:val="20"/>
          <w:highlight w:val="none"/>
          <w:lang w:val="en-US" w:bidi="ar-SA"/>
        </w:rPr>
        <mc:AlternateContent>
          <mc:Choice Requires="wps">
            <w:drawing>
              <wp:inline distT="0" distB="0" distL="114300" distR="114300">
                <wp:extent cx="5415280" cy="2214880"/>
                <wp:effectExtent l="4445" t="4445" r="9525" b="9525"/>
                <wp:docPr id="1" name="1027"/>
                <wp:cNvGraphicFramePr/>
                <a:graphic xmlns:a="http://schemas.openxmlformats.org/drawingml/2006/main">
                  <a:graphicData uri="http://schemas.microsoft.com/office/word/2010/wordprocessingShape">
                    <wps:wsp>
                      <wps:cNvSpPr/>
                      <wps:spPr>
                        <a:xfrm>
                          <a:off x="0" y="0"/>
                          <a:ext cx="5415280" cy="2214880"/>
                        </a:xfrm>
                        <a:prstGeom prst="rect">
                          <a:avLst/>
                        </a:prstGeom>
                        <a:noFill/>
                        <a:ln w="6096" cap="flat" cmpd="sng">
                          <a:solidFill>
                            <a:srgbClr val="000000"/>
                          </a:solidFill>
                          <a:prstDash val="solid"/>
                          <a:miter/>
                          <a:headEnd type="none" w="med" len="med"/>
                          <a:tailEnd type="none" w="med" len="med"/>
                        </a:ln>
                        <a:effectLst/>
                      </wps:spPr>
                      <wps:txbx>
                        <w:txbxContent>
                          <w:p w14:paraId="0999F0B1">
                            <w:pPr>
                              <w:pStyle w:val="11"/>
                              <w:tabs>
                                <w:tab w:val="left" w:pos="4903"/>
                              </w:tabs>
                              <w:spacing w:before="111"/>
                              <w:ind w:left="223"/>
                              <w:jc w:val="both"/>
                            </w:pPr>
                            <w:r>
                              <w:t>正面：</w:t>
                            </w:r>
                            <w:r>
                              <w:tab/>
                            </w:r>
                            <w:r>
                              <w:t>反面：</w:t>
                            </w:r>
                          </w:p>
                        </w:txbxContent>
                      </wps:txbx>
                      <wps:bodyPr lIns="0" tIns="0" rIns="0" bIns="0" upright="1"/>
                    </wps:wsp>
                  </a:graphicData>
                </a:graphic>
              </wp:inline>
            </w:drawing>
          </mc:Choice>
          <mc:Fallback>
            <w:pict>
              <v:rect id="1027" o:spid="_x0000_s1026" o:spt="1" style="height:174.4pt;width:426.4pt;" filled="f" stroked="t" coordsize="21600,21600" o:gfxdata="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0rDtUAAAAFAQAADwAAAAAAAAABACAAAAAiAAAAZHJzL2Rvd25y&#10;ZXYueG1sUEsBAhQAFAAAAAgAh07iQPQtypABAgAALwQAAA4AAAAAAAAAAQAgAAAAJAEAAGRycy9l&#10;Mm9Eb2MueG1sUEsFBgAAAAAGAAYAWQEAAJcFAAAAAA==&#10;">
                <v:fill on="f" focussize="0,0"/>
                <v:stroke weight="0.48pt" color="#000000" joinstyle="miter"/>
                <v:imagedata o:title=""/>
                <o:lock v:ext="edit" aspectratio="f"/>
                <v:textbox inset="0mm,0mm,0mm,0mm">
                  <w:txbxContent>
                    <w:p w14:paraId="0999F0B1">
                      <w:pPr>
                        <w:pStyle w:val="11"/>
                        <w:tabs>
                          <w:tab w:val="left" w:pos="4903"/>
                        </w:tabs>
                        <w:spacing w:before="111"/>
                        <w:ind w:left="223"/>
                        <w:jc w:val="both"/>
                      </w:pPr>
                      <w:r>
                        <w:t>正面：</w:t>
                      </w:r>
                      <w:r>
                        <w:tab/>
                      </w:r>
                      <w:r>
                        <w:t>反面：</w:t>
                      </w:r>
                    </w:p>
                  </w:txbxContent>
                </v:textbox>
                <w10:wrap type="none"/>
                <w10:anchorlock/>
              </v:rect>
            </w:pict>
          </mc:Fallback>
        </mc:AlternateContent>
      </w:r>
    </w:p>
    <w:p w14:paraId="7B8C532D">
      <w:pPr>
        <w:rPr>
          <w:color w:val="auto"/>
          <w:sz w:val="20"/>
          <w:highlight w:val="none"/>
        </w:rPr>
        <w:sectPr>
          <w:pgSz w:w="11910" w:h="16840"/>
          <w:pgMar w:top="1247" w:right="1247" w:bottom="1247" w:left="1587" w:header="884" w:footer="884" w:gutter="0"/>
          <w:cols w:space="0" w:num="1"/>
        </w:sectPr>
      </w:pPr>
    </w:p>
    <w:p w14:paraId="1DFF1E79">
      <w:pPr>
        <w:pStyle w:val="11"/>
        <w:spacing w:before="5"/>
        <w:rPr>
          <w:color w:val="auto"/>
          <w:sz w:val="8"/>
          <w:highlight w:val="none"/>
        </w:rPr>
      </w:pPr>
    </w:p>
    <w:p w14:paraId="1FCEBD4E">
      <w:pPr>
        <w:pStyle w:val="47"/>
        <w:numPr>
          <w:ilvl w:val="1"/>
          <w:numId w:val="29"/>
        </w:numPr>
        <w:tabs>
          <w:tab w:val="left" w:pos="4428"/>
        </w:tabs>
        <w:spacing w:before="58"/>
        <w:ind w:left="4428"/>
        <w:jc w:val="left"/>
        <w:rPr>
          <w:b/>
          <w:color w:val="auto"/>
          <w:sz w:val="30"/>
          <w:highlight w:val="none"/>
        </w:rPr>
      </w:pPr>
      <w:r>
        <w:rPr>
          <w:rFonts w:hint="eastAsia"/>
          <w:b/>
          <w:color w:val="auto"/>
          <w:sz w:val="30"/>
          <w:highlight w:val="none"/>
        </w:rPr>
        <w:t>授权委托书</w:t>
      </w:r>
    </w:p>
    <w:p w14:paraId="68939613">
      <w:pPr>
        <w:pStyle w:val="11"/>
        <w:spacing w:before="232" w:line="360" w:lineRule="auto"/>
        <w:rPr>
          <w:color w:val="auto"/>
          <w:highlight w:val="none"/>
        </w:rPr>
      </w:pPr>
      <w:r>
        <w:rPr>
          <w:rFonts w:hint="eastAsia"/>
          <w:color w:val="auto"/>
          <w:highlight w:val="none"/>
          <w:u w:val="single"/>
        </w:rPr>
        <w:t xml:space="preserve">（代理机构名称） </w:t>
      </w:r>
      <w:r>
        <w:rPr>
          <w:rFonts w:hint="eastAsia"/>
          <w:color w:val="auto"/>
          <w:highlight w:val="none"/>
        </w:rPr>
        <w:t>：</w:t>
      </w:r>
    </w:p>
    <w:p w14:paraId="670181B1">
      <w:pPr>
        <w:pStyle w:val="11"/>
        <w:tabs>
          <w:tab w:val="left" w:pos="3004"/>
          <w:tab w:val="left" w:pos="4984"/>
          <w:tab w:val="left" w:pos="6227"/>
        </w:tabs>
        <w:spacing w:line="360" w:lineRule="auto"/>
        <w:ind w:firstLine="480" w:firstLineChars="200"/>
        <w:rPr>
          <w:color w:val="auto"/>
          <w:highlight w:val="none"/>
        </w:rPr>
      </w:pPr>
      <w:r>
        <w:rPr>
          <w:rFonts w:hint="eastAsia"/>
          <w:color w:val="auto"/>
          <w:highlight w:val="none"/>
        </w:rPr>
        <w:t>我</w:t>
      </w:r>
      <w:r>
        <w:rPr>
          <w:rFonts w:hint="eastAsia"/>
          <w:color w:val="auto"/>
          <w:highlight w:val="none"/>
          <w:u w:val="single"/>
        </w:rPr>
        <w:tab/>
      </w:r>
      <w:r>
        <w:rPr>
          <w:rFonts w:hint="eastAsia"/>
          <w:color w:val="auto"/>
          <w:highlight w:val="none"/>
          <w:u w:val="single"/>
        </w:rPr>
        <w:t>（</w:t>
      </w:r>
      <w:r>
        <w:rPr>
          <w:rFonts w:hint="eastAsia"/>
          <w:color w:val="auto"/>
          <w:highlight w:val="none"/>
        </w:rPr>
        <w:t>负责人姓名）系</w:t>
      </w:r>
      <w:r>
        <w:rPr>
          <w:rFonts w:hint="eastAsia"/>
          <w:color w:val="auto"/>
          <w:highlight w:val="none"/>
          <w:u w:val="single"/>
        </w:rPr>
        <w:tab/>
      </w:r>
      <w:r>
        <w:rPr>
          <w:rFonts w:hint="eastAsia"/>
          <w:color w:val="auto"/>
          <w:highlight w:val="none"/>
        </w:rPr>
        <w:t>（供应商全称）的负责人，现授权委托本单位在职职工</w:t>
      </w:r>
      <w:r>
        <w:rPr>
          <w:rFonts w:hint="eastAsia"/>
          <w:color w:val="auto"/>
          <w:highlight w:val="none"/>
          <w:u w:val="single"/>
        </w:rPr>
        <w:tab/>
      </w:r>
      <w:r>
        <w:rPr>
          <w:rFonts w:hint="eastAsia"/>
          <w:color w:val="auto"/>
          <w:highlight w:val="none"/>
        </w:rPr>
        <w:t>（姓名）以我方的名义参加就贵方组织的</w:t>
      </w:r>
      <w:r>
        <w:rPr>
          <w:rFonts w:hint="eastAsia"/>
          <w:color w:val="auto"/>
          <w:highlight w:val="none"/>
          <w:u w:val="single"/>
        </w:rPr>
        <w:t>（采购项目名称）</w:t>
      </w:r>
      <w:r>
        <w:rPr>
          <w:rFonts w:hint="eastAsia"/>
          <w:color w:val="auto"/>
          <w:highlight w:val="none"/>
        </w:rPr>
        <w:t>（项目编号：</w:t>
      </w:r>
      <w:r>
        <w:rPr>
          <w:rFonts w:hint="eastAsia"/>
          <w:color w:val="auto"/>
          <w:highlight w:val="none"/>
          <w:u w:val="single"/>
        </w:rPr>
        <w:tab/>
      </w:r>
      <w:r>
        <w:rPr>
          <w:rFonts w:hint="eastAsia"/>
          <w:color w:val="auto"/>
          <w:highlight w:val="none"/>
        </w:rPr>
        <w:t>）项目的招标活动，并代表我方全权办理针对上述项目的招标、磋商、评审、签约等具体事务和签署相关文件。</w:t>
      </w:r>
    </w:p>
    <w:p w14:paraId="63D4D91A">
      <w:pPr>
        <w:pStyle w:val="11"/>
        <w:spacing w:line="360" w:lineRule="auto"/>
        <w:ind w:firstLine="480" w:firstLineChars="200"/>
        <w:rPr>
          <w:color w:val="auto"/>
          <w:highlight w:val="none"/>
        </w:rPr>
      </w:pPr>
      <w:r>
        <w:rPr>
          <w:rFonts w:hint="eastAsia"/>
          <w:color w:val="auto"/>
          <w:highlight w:val="none"/>
        </w:rPr>
        <w:t>我方对委托代理人的签字或盖章事项负全部责任。</w:t>
      </w:r>
    </w:p>
    <w:p w14:paraId="0AC84765">
      <w:pPr>
        <w:pStyle w:val="11"/>
        <w:spacing w:line="360" w:lineRule="auto"/>
        <w:ind w:firstLine="480" w:firstLineChars="200"/>
        <w:rPr>
          <w:color w:val="auto"/>
          <w:highlight w:val="none"/>
        </w:rPr>
      </w:pPr>
      <w:r>
        <w:rPr>
          <w:rFonts w:hint="eastAsia"/>
          <w:color w:val="auto"/>
          <w:highlight w:val="none"/>
        </w:rPr>
        <w:t>本授权书自签署之日起生效，在撤销授权的书面通知送达贵方以前，本授权委托书一直有效。委托代理人在授权书有效期内签署的所有文件不因授权的撤销而失效。</w:t>
      </w:r>
    </w:p>
    <w:p w14:paraId="5E97E907">
      <w:pPr>
        <w:pStyle w:val="11"/>
        <w:spacing w:line="360" w:lineRule="auto"/>
        <w:ind w:firstLine="480" w:firstLineChars="200"/>
        <w:rPr>
          <w:color w:val="auto"/>
          <w:highlight w:val="none"/>
        </w:rPr>
      </w:pPr>
      <w:r>
        <w:rPr>
          <w:rFonts w:hint="eastAsia"/>
          <w:color w:val="auto"/>
          <w:highlight w:val="none"/>
        </w:rPr>
        <w:t>委托代理人无转委托权，特此声明。</w:t>
      </w:r>
    </w:p>
    <w:p w14:paraId="2418CD93">
      <w:pPr>
        <w:pStyle w:val="11"/>
        <w:rPr>
          <w:color w:val="auto"/>
          <w:highlight w:val="none"/>
        </w:rPr>
      </w:pPr>
    </w:p>
    <w:p w14:paraId="7F2AA3CA">
      <w:pPr>
        <w:pStyle w:val="11"/>
        <w:spacing w:before="10"/>
        <w:rPr>
          <w:color w:val="auto"/>
          <w:sz w:val="20"/>
          <w:highlight w:val="none"/>
        </w:rPr>
      </w:pPr>
    </w:p>
    <w:p w14:paraId="58AA13FC">
      <w:pPr>
        <w:pStyle w:val="11"/>
        <w:tabs>
          <w:tab w:val="left" w:pos="3899"/>
        </w:tabs>
        <w:ind w:right="1224"/>
        <w:jc w:val="right"/>
        <w:rPr>
          <w:color w:val="auto"/>
          <w:highlight w:val="none"/>
        </w:rPr>
      </w:pPr>
      <w:r>
        <w:rPr>
          <w:rFonts w:hint="eastAsia"/>
          <w:color w:val="auto"/>
          <w:highlight w:val="none"/>
        </w:rPr>
        <w:t>负责人签字/盖章：</w:t>
      </w:r>
      <w:r>
        <w:rPr>
          <w:rFonts w:hint="eastAsia"/>
          <w:color w:val="auto"/>
          <w:highlight w:val="none"/>
          <w:u w:val="single"/>
        </w:rPr>
        <w:tab/>
      </w:r>
    </w:p>
    <w:p w14:paraId="28DC3212">
      <w:pPr>
        <w:pStyle w:val="11"/>
        <w:tabs>
          <w:tab w:val="left" w:pos="3500"/>
        </w:tabs>
        <w:spacing w:before="131"/>
        <w:ind w:right="1184"/>
        <w:jc w:val="right"/>
        <w:rPr>
          <w:color w:val="auto"/>
          <w:highlight w:val="none"/>
        </w:rPr>
      </w:pPr>
      <w:r>
        <w:rPr>
          <w:rFonts w:hint="eastAsia"/>
          <w:color w:val="auto"/>
          <w:highlight w:val="none"/>
        </w:rPr>
        <w:t>供应商盖章：</w:t>
      </w:r>
      <w:r>
        <w:rPr>
          <w:rFonts w:hint="eastAsia"/>
          <w:color w:val="auto"/>
          <w:highlight w:val="none"/>
          <w:u w:val="single"/>
        </w:rPr>
        <w:tab/>
      </w:r>
    </w:p>
    <w:p w14:paraId="5A50DA82">
      <w:pPr>
        <w:pStyle w:val="11"/>
        <w:tabs>
          <w:tab w:val="left" w:pos="760"/>
          <w:tab w:val="left" w:pos="3299"/>
        </w:tabs>
        <w:spacing w:before="135"/>
        <w:ind w:right="1104"/>
        <w:jc w:val="right"/>
        <w:rPr>
          <w:color w:val="auto"/>
          <w:highlight w:val="none"/>
        </w:rPr>
      </w:pPr>
      <w:r>
        <w:rPr>
          <w:rFonts w:hint="eastAsia"/>
          <w:color w:val="auto"/>
          <w:highlight w:val="none"/>
        </w:rPr>
        <w:t>日</w:t>
      </w:r>
      <w:r>
        <w:rPr>
          <w:rFonts w:hint="eastAsia"/>
          <w:color w:val="auto"/>
          <w:highlight w:val="none"/>
        </w:rPr>
        <w:tab/>
      </w:r>
      <w:r>
        <w:rPr>
          <w:rFonts w:hint="eastAsia"/>
          <w:color w:val="auto"/>
          <w:highlight w:val="none"/>
        </w:rPr>
        <w:t>期：</w:t>
      </w:r>
      <w:r>
        <w:rPr>
          <w:rFonts w:hint="eastAsia"/>
          <w:color w:val="auto"/>
          <w:highlight w:val="none"/>
          <w:u w:val="single"/>
        </w:rPr>
        <w:tab/>
      </w:r>
    </w:p>
    <w:p w14:paraId="5ACE2DE4">
      <w:pPr>
        <w:pStyle w:val="11"/>
        <w:spacing w:line="360" w:lineRule="auto"/>
        <w:rPr>
          <w:color w:val="auto"/>
          <w:sz w:val="20"/>
          <w:highlight w:val="none"/>
        </w:rPr>
      </w:pPr>
    </w:p>
    <w:p w14:paraId="2B745CBE">
      <w:pPr>
        <w:pStyle w:val="11"/>
        <w:spacing w:before="2" w:line="360" w:lineRule="auto"/>
        <w:rPr>
          <w:color w:val="auto"/>
          <w:sz w:val="11"/>
          <w:highlight w:val="none"/>
        </w:rPr>
      </w:pPr>
    </w:p>
    <w:p w14:paraId="637C5858">
      <w:pPr>
        <w:pStyle w:val="11"/>
        <w:pBdr>
          <w:bottom w:val="single" w:color="auto" w:sz="4" w:space="0"/>
        </w:pBdr>
        <w:spacing w:before="2" w:line="360" w:lineRule="auto"/>
        <w:rPr>
          <w:color w:val="auto"/>
          <w:sz w:val="6"/>
          <w:highlight w:val="none"/>
        </w:rPr>
      </w:pPr>
    </w:p>
    <w:p w14:paraId="5F12EB81">
      <w:pPr>
        <w:pStyle w:val="11"/>
        <w:tabs>
          <w:tab w:val="left" w:pos="5999"/>
        </w:tabs>
        <w:spacing w:before="67" w:line="345" w:lineRule="auto"/>
        <w:ind w:right="3265"/>
        <w:rPr>
          <w:color w:val="auto"/>
          <w:highlight w:val="none"/>
        </w:rPr>
      </w:pPr>
      <w:r>
        <w:rPr>
          <w:rFonts w:hint="eastAsia"/>
          <w:color w:val="auto"/>
          <w:highlight w:val="none"/>
        </w:rPr>
        <w:t>附：委托代理人工作单位：</w:t>
      </w:r>
    </w:p>
    <w:p w14:paraId="6FA7B105">
      <w:pPr>
        <w:pStyle w:val="11"/>
        <w:tabs>
          <w:tab w:val="left" w:pos="5999"/>
        </w:tabs>
        <w:spacing w:line="346" w:lineRule="auto"/>
        <w:ind w:firstLine="720" w:firstLineChars="300"/>
        <w:rPr>
          <w:color w:val="auto"/>
          <w:highlight w:val="none"/>
        </w:rPr>
      </w:pPr>
      <w:r>
        <w:rPr>
          <w:rFonts w:hint="eastAsia"/>
          <w:color w:val="auto"/>
          <w:highlight w:val="none"/>
        </w:rPr>
        <w:t>职务：</w:t>
      </w:r>
      <w:r>
        <w:rPr>
          <w:rFonts w:hint="eastAsia"/>
          <w:color w:val="auto"/>
          <w:highlight w:val="none"/>
          <w:lang w:val="en-US"/>
        </w:rPr>
        <w:t xml:space="preserve">                </w:t>
      </w:r>
      <w:r>
        <w:rPr>
          <w:rFonts w:hint="eastAsia"/>
          <w:color w:val="auto"/>
          <w:highlight w:val="none"/>
        </w:rPr>
        <w:t xml:space="preserve"> 身份证号码： </w:t>
      </w:r>
      <w:r>
        <w:rPr>
          <w:rFonts w:hint="eastAsia"/>
          <w:color w:val="auto"/>
          <w:highlight w:val="none"/>
          <w:lang w:val="en-US"/>
        </w:rPr>
        <w:t xml:space="preserve">               </w:t>
      </w:r>
      <w:r>
        <w:rPr>
          <w:rFonts w:hint="eastAsia"/>
          <w:color w:val="auto"/>
          <w:highlight w:val="none"/>
        </w:rPr>
        <w:t>性别：</w:t>
      </w:r>
    </w:p>
    <w:p w14:paraId="09CF20CC">
      <w:pPr>
        <w:pStyle w:val="11"/>
        <w:spacing w:before="9"/>
        <w:rPr>
          <w:color w:val="auto"/>
          <w:sz w:val="33"/>
          <w:highlight w:val="none"/>
        </w:rPr>
      </w:pPr>
    </w:p>
    <w:p w14:paraId="0717B592">
      <w:pPr>
        <w:pStyle w:val="11"/>
        <w:spacing w:line="364" w:lineRule="auto"/>
        <w:ind w:right="417"/>
        <w:rPr>
          <w:color w:val="auto"/>
          <w:highlight w:val="none"/>
        </w:rPr>
      </w:pPr>
      <w:r>
        <w:rPr>
          <w:rFonts w:hint="eastAsia"/>
          <w:bCs/>
          <w:color w:val="auto"/>
          <w:highlight w:val="none"/>
        </w:rPr>
        <w:t>注：1</w:t>
      </w:r>
      <w:r>
        <w:rPr>
          <w:rFonts w:hint="eastAsia"/>
          <w:bCs/>
          <w:color w:val="auto"/>
          <w:highlight w:val="none"/>
          <w:lang w:val="en-US"/>
        </w:rPr>
        <w:t>.</w:t>
      </w:r>
      <w:r>
        <w:rPr>
          <w:rFonts w:hint="eastAsia"/>
          <w:bCs/>
          <w:color w:val="auto"/>
          <w:highlight w:val="none"/>
        </w:rPr>
        <w:t>供应</w:t>
      </w:r>
      <w:r>
        <w:rPr>
          <w:rFonts w:hint="eastAsia"/>
          <w:color w:val="auto"/>
          <w:highlight w:val="none"/>
        </w:rPr>
        <w:t>商为法人企业的，其负责人为其法定代表人；供应商为其他组织的， 其负责人为法律、行政法规规定代表单位行使职权的主要负责人。</w:t>
      </w:r>
    </w:p>
    <w:p w14:paraId="4FA5F0C6">
      <w:pPr>
        <w:pStyle w:val="11"/>
        <w:spacing w:before="1"/>
        <w:ind w:firstLine="480" w:firstLineChars="200"/>
        <w:rPr>
          <w:color w:val="auto"/>
          <w:highlight w:val="none"/>
        </w:rPr>
      </w:pPr>
      <w:r>
        <w:rPr>
          <w:rFonts w:hint="eastAsia"/>
          <w:color w:val="auto"/>
          <w:highlight w:val="none"/>
        </w:rPr>
        <w:t>2</w:t>
      </w:r>
      <w:r>
        <w:rPr>
          <w:rFonts w:hint="eastAsia"/>
          <w:color w:val="auto"/>
          <w:highlight w:val="none"/>
          <w:lang w:val="en-US"/>
        </w:rPr>
        <w:t>.</w:t>
      </w:r>
      <w:r>
        <w:rPr>
          <w:rFonts w:hint="eastAsia"/>
          <w:color w:val="auto"/>
          <w:highlight w:val="none"/>
        </w:rPr>
        <w:t>委托人为上述条款中的负责人。</w:t>
      </w:r>
    </w:p>
    <w:p w14:paraId="581713E0">
      <w:pPr>
        <w:pStyle w:val="11"/>
        <w:spacing w:before="161" w:line="364" w:lineRule="auto"/>
        <w:ind w:right="417" w:firstLine="240" w:firstLineChars="100"/>
        <w:rPr>
          <w:color w:val="auto"/>
          <w:highlight w:val="none"/>
        </w:rPr>
      </w:pPr>
      <w:r>
        <w:rPr>
          <w:rFonts w:hint="eastAsia"/>
          <w:color w:val="auto"/>
          <w:highlight w:val="none"/>
        </w:rPr>
        <w:t>▲3</w:t>
      </w:r>
      <w:r>
        <w:rPr>
          <w:rFonts w:hint="eastAsia"/>
          <w:color w:val="auto"/>
          <w:highlight w:val="none"/>
          <w:lang w:val="en-US"/>
        </w:rPr>
        <w:t>.</w:t>
      </w:r>
      <w:r>
        <w:rPr>
          <w:rFonts w:hint="eastAsia"/>
          <w:color w:val="auto"/>
          <w:highlight w:val="none"/>
        </w:rPr>
        <w:t>本“授权委托书”需附负责人和委托代理人身份证件扫描件，如扫描件不清晰或错误的，后果由供应商承担。</w:t>
      </w:r>
    </w:p>
    <w:p w14:paraId="112DBD6A">
      <w:pPr>
        <w:spacing w:line="364" w:lineRule="auto"/>
        <w:rPr>
          <w:color w:val="auto"/>
          <w:highlight w:val="none"/>
        </w:rPr>
        <w:sectPr>
          <w:pgSz w:w="11910" w:h="16840"/>
          <w:pgMar w:top="1247" w:right="1247" w:bottom="1247" w:left="1587" w:header="884" w:footer="884" w:gutter="0"/>
          <w:cols w:space="0" w:num="1"/>
        </w:sectPr>
      </w:pPr>
    </w:p>
    <w:p w14:paraId="730FB4FF">
      <w:pPr>
        <w:pStyle w:val="11"/>
        <w:spacing w:before="158" w:after="19"/>
        <w:rPr>
          <w:color w:val="auto"/>
          <w:highlight w:val="none"/>
        </w:rPr>
      </w:pPr>
      <w:r>
        <w:rPr>
          <w:rFonts w:hint="eastAsia"/>
          <w:color w:val="auto"/>
          <w:highlight w:val="none"/>
        </w:rPr>
        <w:t>负责人身份证件扫描件：</w:t>
      </w:r>
    </w:p>
    <w:p w14:paraId="3C1B6D28">
      <w:pPr>
        <w:pStyle w:val="11"/>
        <w:rPr>
          <w:color w:val="auto"/>
          <w:sz w:val="20"/>
          <w:highlight w:val="none"/>
        </w:rPr>
      </w:pPr>
      <w:r>
        <w:rPr>
          <w:color w:val="auto"/>
          <w:sz w:val="20"/>
          <w:highlight w:val="none"/>
          <w:lang w:val="en-US" w:bidi="ar-SA"/>
        </w:rPr>
        <mc:AlternateContent>
          <mc:Choice Requires="wps">
            <w:drawing>
              <wp:inline distT="0" distB="0" distL="114300" distR="114300">
                <wp:extent cx="5846445" cy="3061970"/>
                <wp:effectExtent l="4445" t="4445" r="16510" b="19685"/>
                <wp:docPr id="2" name="1029"/>
                <wp:cNvGraphicFramePr/>
                <a:graphic xmlns:a="http://schemas.openxmlformats.org/drawingml/2006/main">
                  <a:graphicData uri="http://schemas.microsoft.com/office/word/2010/wordprocessingShape">
                    <wps:wsp>
                      <wps:cNvSpPr/>
                      <wps:spPr>
                        <a:xfrm>
                          <a:off x="0" y="0"/>
                          <a:ext cx="5846445" cy="3061970"/>
                        </a:xfrm>
                        <a:prstGeom prst="rect">
                          <a:avLst/>
                        </a:prstGeom>
                        <a:noFill/>
                        <a:ln w="6096" cap="flat" cmpd="sng">
                          <a:solidFill>
                            <a:srgbClr val="000000"/>
                          </a:solidFill>
                          <a:prstDash val="solid"/>
                          <a:miter/>
                          <a:headEnd type="none" w="med" len="med"/>
                          <a:tailEnd type="none" w="med" len="med"/>
                        </a:ln>
                        <a:effectLst/>
                      </wps:spPr>
                      <wps:txbx>
                        <w:txbxContent>
                          <w:p w14:paraId="03885A99">
                            <w:pPr>
                              <w:pStyle w:val="11"/>
                              <w:tabs>
                                <w:tab w:val="left" w:pos="4782"/>
                              </w:tabs>
                              <w:spacing w:before="113"/>
                              <w:ind w:left="102"/>
                            </w:pPr>
                            <w:r>
                              <w:t>正面：</w:t>
                            </w:r>
                            <w:r>
                              <w:tab/>
                            </w:r>
                            <w:r>
                              <w:t>反面：</w:t>
                            </w:r>
                          </w:p>
                        </w:txbxContent>
                      </wps:txbx>
                      <wps:bodyPr lIns="0" tIns="0" rIns="0" bIns="0" upright="1"/>
                    </wps:wsp>
                  </a:graphicData>
                </a:graphic>
              </wp:inline>
            </w:drawing>
          </mc:Choice>
          <mc:Fallback>
            <w:pict>
              <v:rect id="1029" o:spid="_x0000_s1026" o:spt="1" style="height:241.1pt;width:460.35pt;" filled="f" stroked="t" coordsize="21600,21600" o:gfxdata="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V2VAtYAAAAFAQAADwAAAAAAAAABACAAAAAiAAAAZHJzL2Rv&#10;d25yZXYueG1sUEsBAhQAFAAAAAgAh07iQPmdCFkDAgAALwQAAA4AAAAAAAAAAQAgAAAAJQEAAGRy&#10;cy9lMm9Eb2MueG1sUEsFBgAAAAAGAAYAWQEAAJoFAAAAAA==&#10;">
                <v:fill on="f" focussize="0,0"/>
                <v:stroke weight="0.48pt" color="#000000" joinstyle="miter"/>
                <v:imagedata o:title=""/>
                <o:lock v:ext="edit" aspectratio="f"/>
                <v:textbox inset="0mm,0mm,0mm,0mm">
                  <w:txbxContent>
                    <w:p w14:paraId="03885A99">
                      <w:pPr>
                        <w:pStyle w:val="11"/>
                        <w:tabs>
                          <w:tab w:val="left" w:pos="4782"/>
                        </w:tabs>
                        <w:spacing w:before="113"/>
                        <w:ind w:left="102"/>
                      </w:pPr>
                      <w:r>
                        <w:t>正面：</w:t>
                      </w:r>
                      <w:r>
                        <w:tab/>
                      </w:r>
                      <w:r>
                        <w:t>反面：</w:t>
                      </w:r>
                    </w:p>
                  </w:txbxContent>
                </v:textbox>
                <w10:wrap type="none"/>
                <w10:anchorlock/>
              </v:rect>
            </w:pict>
          </mc:Fallback>
        </mc:AlternateContent>
      </w:r>
    </w:p>
    <w:p w14:paraId="638DD87C">
      <w:pPr>
        <w:pStyle w:val="11"/>
        <w:spacing w:before="74" w:after="19"/>
        <w:rPr>
          <w:color w:val="auto"/>
          <w:highlight w:val="none"/>
        </w:rPr>
      </w:pPr>
      <w:r>
        <w:rPr>
          <w:rFonts w:hint="eastAsia"/>
          <w:color w:val="auto"/>
          <w:highlight w:val="none"/>
        </w:rPr>
        <w:t>委托代理人身份证件扫描件：</w:t>
      </w:r>
    </w:p>
    <w:p w14:paraId="1F12778D">
      <w:pPr>
        <w:pStyle w:val="11"/>
        <w:rPr>
          <w:color w:val="auto"/>
          <w:sz w:val="20"/>
          <w:highlight w:val="none"/>
        </w:rPr>
      </w:pPr>
      <w:r>
        <w:rPr>
          <w:color w:val="auto"/>
          <w:sz w:val="20"/>
          <w:highlight w:val="none"/>
          <w:lang w:val="en-US" w:bidi="ar-SA"/>
        </w:rPr>
        <mc:AlternateContent>
          <mc:Choice Requires="wps">
            <w:drawing>
              <wp:inline distT="0" distB="0" distL="114300" distR="114300">
                <wp:extent cx="5846445" cy="3061970"/>
                <wp:effectExtent l="4445" t="4445" r="16510" b="19685"/>
                <wp:docPr id="3" name="1031"/>
                <wp:cNvGraphicFramePr/>
                <a:graphic xmlns:a="http://schemas.openxmlformats.org/drawingml/2006/main">
                  <a:graphicData uri="http://schemas.microsoft.com/office/word/2010/wordprocessingShape">
                    <wps:wsp>
                      <wps:cNvSpPr/>
                      <wps:spPr>
                        <a:xfrm>
                          <a:off x="0" y="0"/>
                          <a:ext cx="5846445" cy="3061970"/>
                        </a:xfrm>
                        <a:prstGeom prst="rect">
                          <a:avLst/>
                        </a:prstGeom>
                        <a:noFill/>
                        <a:ln w="6096" cap="flat" cmpd="sng">
                          <a:solidFill>
                            <a:srgbClr val="000000"/>
                          </a:solidFill>
                          <a:prstDash val="solid"/>
                          <a:miter/>
                          <a:headEnd type="none" w="med" len="med"/>
                          <a:tailEnd type="none" w="med" len="med"/>
                        </a:ln>
                        <a:effectLst/>
                      </wps:spPr>
                      <wps:txbx>
                        <w:txbxContent>
                          <w:p w14:paraId="72D4EDF5">
                            <w:pPr>
                              <w:pStyle w:val="11"/>
                              <w:tabs>
                                <w:tab w:val="left" w:pos="4782"/>
                              </w:tabs>
                              <w:spacing w:before="113"/>
                              <w:ind w:left="102"/>
                            </w:pPr>
                            <w:r>
                              <w:t>正面：</w:t>
                            </w:r>
                            <w:r>
                              <w:tab/>
                            </w:r>
                            <w:r>
                              <w:t>反面：</w:t>
                            </w:r>
                          </w:p>
                        </w:txbxContent>
                      </wps:txbx>
                      <wps:bodyPr lIns="0" tIns="0" rIns="0" bIns="0" upright="1"/>
                    </wps:wsp>
                  </a:graphicData>
                </a:graphic>
              </wp:inline>
            </w:drawing>
          </mc:Choice>
          <mc:Fallback>
            <w:pict>
              <v:rect id="1031" o:spid="_x0000_s1026" o:spt="1" style="height:241.1pt;width:460.35pt;" filled="f" stroked="t" coordsize="21600,21600" o:gfxdata="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VdlQLWAAAABQEAAA8AAAAAAAAAAQAgAAAAIgAAAGRycy9k&#10;b3ducmV2LnhtbFBLAQIUABQAAAAIAIdO4kAgC4/iBAIAAC8EAAAOAAAAAAAAAAEAIAAAACUBAABk&#10;cnMvZTJvRG9jLnhtbFBLBQYAAAAABgAGAFkBAACbBQAAAAA=&#10;">
                <v:fill on="f" focussize="0,0"/>
                <v:stroke weight="0.48pt" color="#000000" joinstyle="miter"/>
                <v:imagedata o:title=""/>
                <o:lock v:ext="edit" aspectratio="f"/>
                <v:textbox inset="0mm,0mm,0mm,0mm">
                  <w:txbxContent>
                    <w:p w14:paraId="72D4EDF5">
                      <w:pPr>
                        <w:pStyle w:val="11"/>
                        <w:tabs>
                          <w:tab w:val="left" w:pos="4782"/>
                        </w:tabs>
                        <w:spacing w:before="113"/>
                        <w:ind w:left="102"/>
                      </w:pPr>
                      <w:r>
                        <w:t>正面：</w:t>
                      </w:r>
                      <w:r>
                        <w:tab/>
                      </w:r>
                      <w:r>
                        <w:t>反面：</w:t>
                      </w:r>
                    </w:p>
                  </w:txbxContent>
                </v:textbox>
                <w10:wrap type="none"/>
                <w10:anchorlock/>
              </v:rect>
            </w:pict>
          </mc:Fallback>
        </mc:AlternateContent>
      </w:r>
    </w:p>
    <w:p w14:paraId="3655C621">
      <w:pPr>
        <w:rPr>
          <w:color w:val="auto"/>
          <w:sz w:val="20"/>
          <w:highlight w:val="none"/>
        </w:rPr>
        <w:sectPr>
          <w:pgSz w:w="11910" w:h="16840"/>
          <w:pgMar w:top="1247" w:right="1247" w:bottom="1247" w:left="1587" w:header="884" w:footer="884" w:gutter="0"/>
          <w:cols w:space="0" w:num="1"/>
        </w:sectPr>
      </w:pPr>
    </w:p>
    <w:p w14:paraId="5A7B2E32">
      <w:pPr>
        <w:pStyle w:val="11"/>
        <w:spacing w:before="10"/>
        <w:rPr>
          <w:color w:val="auto"/>
          <w:sz w:val="13"/>
          <w:highlight w:val="none"/>
        </w:rPr>
      </w:pPr>
    </w:p>
    <w:p w14:paraId="7B13C9E7">
      <w:pPr>
        <w:spacing w:before="58"/>
        <w:ind w:left="561" w:right="547"/>
        <w:jc w:val="center"/>
        <w:rPr>
          <w:b/>
          <w:color w:val="auto"/>
          <w:sz w:val="30"/>
          <w:highlight w:val="none"/>
        </w:rPr>
      </w:pPr>
      <w:r>
        <w:rPr>
          <w:rFonts w:hint="eastAsia"/>
          <w:color w:val="auto"/>
          <w:sz w:val="24"/>
          <w:highlight w:val="none"/>
        </w:rPr>
        <w:t>▲</w:t>
      </w:r>
      <w:r>
        <w:rPr>
          <w:rFonts w:hint="eastAsia"/>
          <w:b/>
          <w:color w:val="auto"/>
          <w:sz w:val="30"/>
          <w:highlight w:val="none"/>
        </w:rPr>
        <w:t>3</w:t>
      </w:r>
      <w:r>
        <w:rPr>
          <w:rFonts w:hint="eastAsia"/>
          <w:b/>
          <w:color w:val="auto"/>
          <w:sz w:val="30"/>
          <w:highlight w:val="none"/>
          <w:lang w:val="en-US"/>
        </w:rPr>
        <w:t>.</w:t>
      </w:r>
      <w:r>
        <w:rPr>
          <w:rFonts w:hint="eastAsia"/>
          <w:b/>
          <w:color w:val="auto"/>
          <w:sz w:val="30"/>
          <w:highlight w:val="none"/>
        </w:rPr>
        <w:t>政府采购资格承诺函</w:t>
      </w:r>
    </w:p>
    <w:p w14:paraId="58E9D46B">
      <w:pPr>
        <w:pStyle w:val="11"/>
        <w:rPr>
          <w:b/>
          <w:color w:val="auto"/>
          <w:sz w:val="30"/>
          <w:highlight w:val="none"/>
        </w:rPr>
      </w:pPr>
    </w:p>
    <w:p w14:paraId="278384C1">
      <w:pPr>
        <w:pStyle w:val="11"/>
        <w:spacing w:before="11"/>
        <w:rPr>
          <w:b/>
          <w:color w:val="auto"/>
          <w:sz w:val="27"/>
          <w:highlight w:val="none"/>
        </w:rPr>
      </w:pPr>
    </w:p>
    <w:p w14:paraId="51A7366E">
      <w:pPr>
        <w:pStyle w:val="11"/>
        <w:tabs>
          <w:tab w:val="left" w:pos="4391"/>
          <w:tab w:val="left" w:pos="8603"/>
        </w:tabs>
        <w:spacing w:line="360" w:lineRule="auto"/>
        <w:ind w:firstLine="480" w:firstLineChars="200"/>
        <w:rPr>
          <w:color w:val="auto"/>
          <w:highlight w:val="none"/>
        </w:rPr>
      </w:pPr>
      <w:r>
        <w:rPr>
          <w:rFonts w:hint="eastAsia"/>
          <w:color w:val="auto"/>
          <w:highlight w:val="none"/>
        </w:rPr>
        <w:t>我单位</w:t>
      </w:r>
      <w:r>
        <w:rPr>
          <w:rFonts w:hint="eastAsia"/>
          <w:color w:val="auto"/>
          <w:highlight w:val="none"/>
          <w:u w:val="single"/>
        </w:rPr>
        <w:tab/>
      </w:r>
      <w:r>
        <w:rPr>
          <w:rFonts w:hint="eastAsia"/>
          <w:color w:val="auto"/>
          <w:highlight w:val="none"/>
          <w:u w:val="single"/>
        </w:rPr>
        <w:t>（供应商全称）</w:t>
      </w:r>
      <w:r>
        <w:rPr>
          <w:rFonts w:hint="eastAsia"/>
          <w:color w:val="auto"/>
          <w:highlight w:val="none"/>
        </w:rPr>
        <w:t>参与</w:t>
      </w:r>
      <w:r>
        <w:rPr>
          <w:rFonts w:hint="eastAsia"/>
          <w:color w:val="auto"/>
          <w:highlight w:val="none"/>
          <w:u w:val="single"/>
        </w:rPr>
        <w:tab/>
      </w:r>
      <w:r>
        <w:rPr>
          <w:rFonts w:hint="eastAsia"/>
          <w:color w:val="auto"/>
          <w:highlight w:val="none"/>
        </w:rPr>
        <w:t>采购项目（项目编号：</w:t>
      </w:r>
      <w:r>
        <w:rPr>
          <w:rFonts w:hint="eastAsia"/>
          <w:color w:val="auto"/>
          <w:highlight w:val="none"/>
          <w:u w:val="single"/>
        </w:rPr>
        <w:tab/>
      </w:r>
      <w:r>
        <w:rPr>
          <w:rFonts w:hint="eastAsia"/>
          <w:color w:val="auto"/>
          <w:highlight w:val="none"/>
        </w:rPr>
        <w:t xml:space="preserve">）磋商，郑重承诺具备下列条件： </w:t>
      </w:r>
    </w:p>
    <w:p w14:paraId="492CB382">
      <w:pPr>
        <w:pStyle w:val="11"/>
        <w:tabs>
          <w:tab w:val="left" w:pos="4391"/>
          <w:tab w:val="left" w:pos="8603"/>
        </w:tabs>
        <w:spacing w:line="360" w:lineRule="auto"/>
        <w:ind w:firstLine="480" w:firstLineChars="200"/>
        <w:rPr>
          <w:color w:val="auto"/>
          <w:highlight w:val="none"/>
        </w:rPr>
      </w:pPr>
      <w:r>
        <w:rPr>
          <w:rFonts w:hint="eastAsia"/>
          <w:color w:val="auto"/>
          <w:highlight w:val="none"/>
        </w:rPr>
        <w:t>1</w:t>
      </w:r>
      <w:r>
        <w:rPr>
          <w:rFonts w:hint="eastAsia"/>
          <w:color w:val="auto"/>
          <w:highlight w:val="none"/>
          <w:lang w:val="en-US"/>
        </w:rPr>
        <w:t>.</w:t>
      </w:r>
      <w:r>
        <w:rPr>
          <w:rFonts w:hint="eastAsia"/>
          <w:color w:val="auto"/>
          <w:highlight w:val="none"/>
        </w:rPr>
        <w:t>具有独立承担民事责任的能力；</w:t>
      </w:r>
    </w:p>
    <w:p w14:paraId="07D8F6F0">
      <w:pPr>
        <w:pStyle w:val="47"/>
        <w:tabs>
          <w:tab w:val="left" w:pos="1261"/>
        </w:tabs>
        <w:spacing w:before="0" w:line="360" w:lineRule="auto"/>
        <w:ind w:left="0" w:firstLineChars="200"/>
        <w:rPr>
          <w:color w:val="auto"/>
          <w:highlight w:val="none"/>
        </w:rPr>
      </w:pPr>
      <w:r>
        <w:rPr>
          <w:rFonts w:hint="eastAsia"/>
          <w:color w:val="auto"/>
          <w:sz w:val="24"/>
          <w:highlight w:val="none"/>
          <w:lang w:val="en-US"/>
        </w:rPr>
        <w:t>2.</w:t>
      </w:r>
      <w:r>
        <w:rPr>
          <w:rFonts w:hint="eastAsia"/>
          <w:color w:val="auto"/>
          <w:sz w:val="24"/>
          <w:highlight w:val="none"/>
        </w:rPr>
        <w:t>具有良好的商业信誉和健全的财务会计制度；</w:t>
      </w:r>
    </w:p>
    <w:p w14:paraId="2BBDC41F">
      <w:pPr>
        <w:pStyle w:val="47"/>
        <w:tabs>
          <w:tab w:val="left" w:pos="1261"/>
        </w:tabs>
        <w:spacing w:before="0" w:line="360" w:lineRule="auto"/>
        <w:ind w:left="0" w:firstLineChars="200"/>
        <w:rPr>
          <w:color w:val="auto"/>
          <w:highlight w:val="none"/>
        </w:rPr>
      </w:pPr>
      <w:r>
        <w:rPr>
          <w:rFonts w:hint="eastAsia"/>
          <w:color w:val="auto"/>
          <w:sz w:val="24"/>
          <w:highlight w:val="none"/>
          <w:lang w:val="en-US"/>
        </w:rPr>
        <w:t>3.</w:t>
      </w:r>
      <w:r>
        <w:rPr>
          <w:rFonts w:hint="eastAsia"/>
          <w:color w:val="auto"/>
          <w:sz w:val="24"/>
          <w:highlight w:val="none"/>
        </w:rPr>
        <w:t>具有履行合同所必需的设备和专业技术能力；</w:t>
      </w:r>
    </w:p>
    <w:p w14:paraId="7B5E6580">
      <w:pPr>
        <w:pStyle w:val="47"/>
        <w:tabs>
          <w:tab w:val="left" w:pos="1261"/>
        </w:tabs>
        <w:spacing w:before="0" w:line="360" w:lineRule="auto"/>
        <w:ind w:left="0" w:firstLineChars="200"/>
        <w:rPr>
          <w:color w:val="auto"/>
          <w:highlight w:val="none"/>
        </w:rPr>
      </w:pPr>
      <w:r>
        <w:rPr>
          <w:rFonts w:hint="eastAsia"/>
          <w:color w:val="auto"/>
          <w:sz w:val="24"/>
          <w:highlight w:val="none"/>
          <w:lang w:val="en-US"/>
        </w:rPr>
        <w:t>4.</w:t>
      </w:r>
      <w:r>
        <w:rPr>
          <w:rFonts w:hint="eastAsia"/>
          <w:color w:val="auto"/>
          <w:sz w:val="24"/>
          <w:highlight w:val="none"/>
        </w:rPr>
        <w:t>有依法缴纳税收和社会保障资金的良好记录；</w:t>
      </w:r>
    </w:p>
    <w:p w14:paraId="5E5EC1AF">
      <w:pPr>
        <w:pStyle w:val="47"/>
        <w:tabs>
          <w:tab w:val="left" w:pos="1261"/>
        </w:tabs>
        <w:spacing w:before="0" w:line="360" w:lineRule="auto"/>
        <w:ind w:left="0" w:firstLineChars="200"/>
        <w:rPr>
          <w:color w:val="auto"/>
          <w:highlight w:val="none"/>
        </w:rPr>
      </w:pPr>
      <w:r>
        <w:rPr>
          <w:rFonts w:hint="eastAsia"/>
          <w:color w:val="auto"/>
          <w:sz w:val="24"/>
          <w:highlight w:val="none"/>
          <w:lang w:val="en-US"/>
        </w:rPr>
        <w:t>5.</w:t>
      </w:r>
      <w:r>
        <w:rPr>
          <w:rFonts w:hint="eastAsia"/>
          <w:color w:val="auto"/>
          <w:sz w:val="24"/>
          <w:highlight w:val="none"/>
        </w:rPr>
        <w:t>参加本项目采购活动前三年内,在经营活动中没有重大违法记录（包括行贿犯罪记录）。</w:t>
      </w:r>
    </w:p>
    <w:p w14:paraId="3B6383D7">
      <w:pPr>
        <w:pStyle w:val="47"/>
        <w:tabs>
          <w:tab w:val="left" w:pos="1380"/>
        </w:tabs>
        <w:spacing w:before="0" w:line="360" w:lineRule="auto"/>
        <w:ind w:left="0" w:firstLineChars="200"/>
        <w:rPr>
          <w:b/>
          <w:color w:val="auto"/>
          <w:sz w:val="24"/>
          <w:highlight w:val="none"/>
        </w:rPr>
      </w:pPr>
      <w:r>
        <w:rPr>
          <w:rFonts w:hint="eastAsia"/>
          <w:color w:val="auto"/>
          <w:sz w:val="24"/>
          <w:highlight w:val="none"/>
          <w:lang w:val="en-US"/>
        </w:rPr>
        <w:t>6.</w:t>
      </w:r>
      <w:r>
        <w:rPr>
          <w:rFonts w:hint="eastAsia"/>
          <w:color w:val="auto"/>
          <w:sz w:val="24"/>
          <w:highlight w:val="none"/>
        </w:rPr>
        <w:t>磋商截止时间前未被“信用中国”网站（</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Fonts w:hint="eastAsia"/>
          <w:color w:val="auto"/>
          <w:sz w:val="24"/>
          <w:highlight w:val="none"/>
        </w:rPr>
        <w:t>www.creditchina.gov.cn</w:t>
      </w:r>
      <w:r>
        <w:rPr>
          <w:rFonts w:hint="eastAsia"/>
          <w:color w:val="auto"/>
          <w:sz w:val="24"/>
          <w:highlight w:val="none"/>
        </w:rPr>
        <w:fldChar w:fldCharType="end"/>
      </w:r>
      <w:r>
        <w:rPr>
          <w:rFonts w:hint="eastAsia"/>
          <w:color w:val="auto"/>
          <w:sz w:val="24"/>
          <w:highlight w:val="none"/>
        </w:rPr>
        <w:t>）、中国政府采购网（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4"/>
          <w:highlight w:val="none"/>
        </w:rPr>
        <w:t>www.ccgp.gov.cn</w:t>
      </w:r>
      <w:r>
        <w:rPr>
          <w:rFonts w:hint="eastAsia"/>
          <w:color w:val="auto"/>
          <w:sz w:val="24"/>
          <w:highlight w:val="none"/>
        </w:rPr>
        <w:fldChar w:fldCharType="end"/>
      </w:r>
      <w:r>
        <w:rPr>
          <w:rFonts w:hint="eastAsia"/>
          <w:color w:val="auto"/>
          <w:sz w:val="24"/>
          <w:highlight w:val="none"/>
        </w:rPr>
        <w:t>）列入失信被执行人、重大税收违法当事人名单、政府采购严重违法失信行为记录名单</w:t>
      </w:r>
      <w:r>
        <w:rPr>
          <w:rFonts w:hint="eastAsia"/>
          <w:b/>
          <w:color w:val="auto"/>
          <w:sz w:val="24"/>
          <w:highlight w:val="none"/>
        </w:rPr>
        <w:t>（注：本项内容以代理机构在资格审查现场查询为准）。</w:t>
      </w:r>
    </w:p>
    <w:p w14:paraId="54AE2242">
      <w:pPr>
        <w:pStyle w:val="11"/>
        <w:spacing w:line="360" w:lineRule="auto"/>
        <w:ind w:firstLine="402" w:firstLineChars="200"/>
        <w:rPr>
          <w:b/>
          <w:color w:val="auto"/>
          <w:sz w:val="20"/>
          <w:highlight w:val="none"/>
        </w:rPr>
      </w:pPr>
    </w:p>
    <w:p w14:paraId="6C44DBC7">
      <w:pPr>
        <w:spacing w:line="360" w:lineRule="auto"/>
        <w:ind w:firstLine="482" w:firstLineChars="200"/>
        <w:rPr>
          <w:b/>
          <w:bCs/>
          <w:color w:val="auto"/>
          <w:sz w:val="24"/>
          <w:szCs w:val="24"/>
          <w:highlight w:val="none"/>
        </w:rPr>
      </w:pPr>
      <w:r>
        <w:rPr>
          <w:rFonts w:hint="eastAsia"/>
          <w:b/>
          <w:bCs/>
          <w:color w:val="auto"/>
          <w:sz w:val="24"/>
          <w:szCs w:val="24"/>
          <w:highlight w:val="none"/>
        </w:rPr>
        <w:t>如有虚假，采购人可取消我单位任何资格（磋商/中标（成交）/签订合同），我  单位对此无任何异议。</w:t>
      </w:r>
    </w:p>
    <w:p w14:paraId="6235BC41">
      <w:pPr>
        <w:pStyle w:val="11"/>
        <w:spacing w:line="360" w:lineRule="auto"/>
        <w:ind w:firstLine="622" w:firstLineChars="200"/>
        <w:rPr>
          <w:b/>
          <w:color w:val="auto"/>
          <w:sz w:val="31"/>
          <w:highlight w:val="none"/>
        </w:rPr>
      </w:pPr>
    </w:p>
    <w:p w14:paraId="495151D1">
      <w:pPr>
        <w:spacing w:line="360" w:lineRule="auto"/>
        <w:ind w:firstLine="482" w:firstLineChars="200"/>
        <w:rPr>
          <w:b/>
          <w:bCs/>
          <w:color w:val="auto"/>
          <w:sz w:val="24"/>
          <w:szCs w:val="24"/>
          <w:highlight w:val="none"/>
        </w:rPr>
      </w:pPr>
      <w:r>
        <w:rPr>
          <w:rFonts w:hint="eastAsia"/>
          <w:b/>
          <w:bCs/>
          <w:color w:val="auto"/>
          <w:sz w:val="24"/>
          <w:szCs w:val="24"/>
          <w:highlight w:val="none"/>
        </w:rPr>
        <w:t>特此承诺！</w:t>
      </w:r>
    </w:p>
    <w:p w14:paraId="1F40A47B">
      <w:pPr>
        <w:pStyle w:val="11"/>
        <w:spacing w:line="360" w:lineRule="auto"/>
        <w:ind w:firstLine="381" w:firstLineChars="200"/>
        <w:rPr>
          <w:b/>
          <w:color w:val="auto"/>
          <w:sz w:val="19"/>
          <w:highlight w:val="none"/>
        </w:rPr>
      </w:pPr>
    </w:p>
    <w:p w14:paraId="159A1A88">
      <w:pPr>
        <w:pStyle w:val="11"/>
        <w:spacing w:line="360" w:lineRule="auto"/>
        <w:ind w:firstLine="480" w:firstLineChars="200"/>
        <w:rPr>
          <w:color w:val="auto"/>
          <w:highlight w:val="none"/>
        </w:rPr>
      </w:pPr>
      <w:r>
        <w:rPr>
          <w:rFonts w:hint="eastAsia"/>
          <w:color w:val="auto"/>
          <w:highlight w:val="none"/>
        </w:rPr>
        <w:t>注：（1）参加政府采购活动的时间是指供应商参加本项目的政府采购活动时间（具体以磋商截止时间为准）。</w:t>
      </w:r>
    </w:p>
    <w:p w14:paraId="0E13C05C">
      <w:pPr>
        <w:pStyle w:val="11"/>
        <w:spacing w:line="360" w:lineRule="auto"/>
        <w:ind w:firstLine="480" w:firstLineChars="200"/>
        <w:rPr>
          <w:color w:val="auto"/>
          <w:highlight w:val="none"/>
        </w:rPr>
      </w:pPr>
      <w:r>
        <w:rPr>
          <w:rFonts w:hint="eastAsia"/>
          <w:color w:val="auto"/>
          <w:highlight w:val="none"/>
        </w:rPr>
        <w:t>（2）本承诺函必须提供。</w:t>
      </w:r>
    </w:p>
    <w:p w14:paraId="34A07FB4">
      <w:pPr>
        <w:pStyle w:val="31"/>
        <w:spacing w:line="360" w:lineRule="auto"/>
        <w:ind w:firstLine="560"/>
        <w:rPr>
          <w:color w:val="auto"/>
          <w:highlight w:val="none"/>
        </w:rPr>
      </w:pPr>
    </w:p>
    <w:p w14:paraId="5A8A66E2">
      <w:pPr>
        <w:pStyle w:val="12"/>
        <w:spacing w:after="0" w:line="360" w:lineRule="auto"/>
        <w:ind w:firstLine="480" w:firstLineChars="200"/>
        <w:rPr>
          <w:color w:val="auto"/>
          <w:highlight w:val="none"/>
        </w:rPr>
      </w:pPr>
    </w:p>
    <w:p w14:paraId="1D5E9A3D">
      <w:pPr>
        <w:pStyle w:val="11"/>
        <w:tabs>
          <w:tab w:val="left" w:pos="8679"/>
        </w:tabs>
        <w:ind w:left="5020"/>
        <w:rPr>
          <w:color w:val="auto"/>
          <w:highlight w:val="none"/>
        </w:rPr>
      </w:pPr>
      <w:r>
        <w:rPr>
          <w:rFonts w:hint="eastAsia"/>
          <w:color w:val="auto"/>
          <w:highlight w:val="none"/>
        </w:rPr>
        <w:t>供应商盖章：</w:t>
      </w:r>
      <w:r>
        <w:rPr>
          <w:rFonts w:hint="eastAsia"/>
          <w:color w:val="auto"/>
          <w:highlight w:val="none"/>
          <w:u w:val="single"/>
        </w:rPr>
        <w:tab/>
      </w:r>
    </w:p>
    <w:p w14:paraId="4EE10552">
      <w:pPr>
        <w:pStyle w:val="11"/>
        <w:spacing w:before="11"/>
        <w:rPr>
          <w:color w:val="auto"/>
          <w:sz w:val="11"/>
          <w:highlight w:val="none"/>
        </w:rPr>
      </w:pPr>
    </w:p>
    <w:p w14:paraId="4A6897CE">
      <w:pPr>
        <w:ind w:firstLine="5060" w:firstLineChars="2300"/>
        <w:rPr>
          <w:color w:val="auto"/>
          <w:highlight w:val="none"/>
          <w:lang w:val="en-US"/>
        </w:rPr>
        <w:sectPr>
          <w:pgSz w:w="11910" w:h="16840"/>
          <w:pgMar w:top="1247" w:right="1247" w:bottom="1247" w:left="1587" w:header="884" w:footer="884" w:gutter="0"/>
          <w:cols w:space="0" w:num="1"/>
        </w:sectPr>
      </w:pPr>
      <w:r>
        <w:rPr>
          <w:rFonts w:hint="eastAsia"/>
          <w:color w:val="auto"/>
          <w:highlight w:val="none"/>
        </w:rPr>
        <w:t>日</w:t>
      </w:r>
      <w:r>
        <w:rPr>
          <w:rFonts w:hint="eastAsia"/>
          <w:color w:val="auto"/>
          <w:highlight w:val="none"/>
        </w:rPr>
        <w:tab/>
      </w:r>
      <w:r>
        <w:rPr>
          <w:rFonts w:hint="eastAsia"/>
          <w:color w:val="auto"/>
          <w:highlight w:val="none"/>
        </w:rPr>
        <w:t>期：</w:t>
      </w:r>
      <w:r>
        <w:rPr>
          <w:rFonts w:hint="eastAsia"/>
          <w:color w:val="auto"/>
          <w:highlight w:val="none"/>
          <w:u w:val="single"/>
        </w:rPr>
        <w:tab/>
      </w:r>
      <w:r>
        <w:rPr>
          <w:rFonts w:hint="eastAsia"/>
          <w:color w:val="auto"/>
          <w:highlight w:val="none"/>
          <w:u w:val="single"/>
          <w:lang w:val="en-US"/>
        </w:rPr>
        <w:t xml:space="preserve">                    </w:t>
      </w:r>
    </w:p>
    <w:p w14:paraId="175553A8">
      <w:pPr>
        <w:pStyle w:val="11"/>
        <w:spacing w:before="5"/>
        <w:rPr>
          <w:color w:val="auto"/>
          <w:sz w:val="8"/>
          <w:highlight w:val="none"/>
        </w:rPr>
      </w:pPr>
    </w:p>
    <w:p w14:paraId="58E490BF">
      <w:pPr>
        <w:spacing w:before="58"/>
        <w:ind w:left="2067" w:right="1470"/>
        <w:jc w:val="center"/>
        <w:rPr>
          <w:b/>
          <w:color w:val="auto"/>
          <w:sz w:val="30"/>
          <w:highlight w:val="none"/>
        </w:rPr>
      </w:pPr>
      <w:r>
        <w:rPr>
          <w:rFonts w:hint="eastAsia"/>
          <w:color w:val="auto"/>
          <w:sz w:val="24"/>
          <w:highlight w:val="none"/>
        </w:rPr>
        <w:t>▲</w:t>
      </w:r>
      <w:r>
        <w:rPr>
          <w:rFonts w:hint="eastAsia"/>
          <w:b/>
          <w:color w:val="auto"/>
          <w:sz w:val="30"/>
          <w:highlight w:val="none"/>
        </w:rPr>
        <w:t>4</w:t>
      </w:r>
      <w:r>
        <w:rPr>
          <w:rFonts w:hint="eastAsia"/>
          <w:b/>
          <w:color w:val="auto"/>
          <w:sz w:val="30"/>
          <w:highlight w:val="none"/>
          <w:lang w:val="en-US"/>
        </w:rPr>
        <w:t>.</w:t>
      </w:r>
      <w:r>
        <w:rPr>
          <w:rFonts w:hint="eastAsia"/>
          <w:b/>
          <w:color w:val="auto"/>
          <w:sz w:val="30"/>
          <w:highlight w:val="none"/>
        </w:rPr>
        <w:t>资格声明</w:t>
      </w:r>
    </w:p>
    <w:p w14:paraId="09F98FB3">
      <w:pPr>
        <w:pStyle w:val="11"/>
        <w:rPr>
          <w:b/>
          <w:color w:val="auto"/>
          <w:sz w:val="23"/>
          <w:highlight w:val="none"/>
        </w:rPr>
      </w:pPr>
    </w:p>
    <w:p w14:paraId="2FF61BF8">
      <w:pPr>
        <w:pStyle w:val="11"/>
        <w:spacing w:line="300" w:lineRule="auto"/>
        <w:rPr>
          <w:color w:val="auto"/>
          <w:highlight w:val="none"/>
        </w:rPr>
      </w:pPr>
      <w:r>
        <w:rPr>
          <w:rFonts w:hint="eastAsia"/>
          <w:color w:val="auto"/>
          <w:highlight w:val="none"/>
          <w:u w:val="single"/>
        </w:rPr>
        <w:t>（代理机构名称）</w:t>
      </w:r>
      <w:r>
        <w:rPr>
          <w:rFonts w:hint="eastAsia"/>
          <w:color w:val="auto"/>
          <w:highlight w:val="none"/>
        </w:rPr>
        <w:t>：</w:t>
      </w:r>
    </w:p>
    <w:p w14:paraId="3E570395">
      <w:pPr>
        <w:pStyle w:val="11"/>
        <w:tabs>
          <w:tab w:val="left" w:pos="1019"/>
          <w:tab w:val="left" w:pos="2699"/>
          <w:tab w:val="left" w:pos="7859"/>
        </w:tabs>
        <w:spacing w:line="300" w:lineRule="auto"/>
        <w:ind w:firstLine="480" w:firstLineChars="200"/>
        <w:rPr>
          <w:color w:val="auto"/>
          <w:highlight w:val="none"/>
        </w:rPr>
      </w:pPr>
      <w:r>
        <w:rPr>
          <w:rFonts w:hint="eastAsia"/>
          <w:color w:val="auto"/>
          <w:highlight w:val="none"/>
          <w:u w:val="single"/>
        </w:rPr>
        <w:tab/>
      </w:r>
      <w:r>
        <w:rPr>
          <w:rFonts w:hint="eastAsia"/>
          <w:color w:val="auto"/>
          <w:highlight w:val="none"/>
          <w:u w:val="single"/>
        </w:rPr>
        <w:t>(供应商全称)</w:t>
      </w:r>
      <w:r>
        <w:rPr>
          <w:rFonts w:hint="eastAsia"/>
          <w:color w:val="auto"/>
          <w:highlight w:val="none"/>
          <w:u w:val="single"/>
        </w:rPr>
        <w:tab/>
      </w:r>
      <w:r>
        <w:rPr>
          <w:rFonts w:hint="eastAsia"/>
          <w:color w:val="auto"/>
          <w:highlight w:val="none"/>
        </w:rPr>
        <w:t>系中华人民共和国合法企业，经营地址</w:t>
      </w:r>
      <w:r>
        <w:rPr>
          <w:rFonts w:hint="eastAsia"/>
          <w:color w:val="auto"/>
          <w:highlight w:val="none"/>
          <w:u w:val="single"/>
        </w:rPr>
        <w:tab/>
      </w:r>
      <w:r>
        <w:rPr>
          <w:rFonts w:hint="eastAsia"/>
          <w:color w:val="auto"/>
          <w:highlight w:val="none"/>
        </w:rPr>
        <w:t>。</w:t>
      </w:r>
    </w:p>
    <w:p w14:paraId="4AB3CFE6">
      <w:pPr>
        <w:pStyle w:val="11"/>
        <w:spacing w:line="300" w:lineRule="auto"/>
        <w:ind w:firstLine="480" w:firstLineChars="200"/>
        <w:jc w:val="both"/>
        <w:rPr>
          <w:color w:val="auto"/>
          <w:highlight w:val="none"/>
        </w:rPr>
      </w:pPr>
      <w:r>
        <w:rPr>
          <w:rFonts w:hint="eastAsia"/>
          <w:color w:val="auto"/>
          <w:highlight w:val="none"/>
        </w:rPr>
        <w:t>我</w:t>
      </w:r>
      <w:r>
        <w:rPr>
          <w:rFonts w:hint="eastAsia"/>
          <w:color w:val="auto"/>
          <w:highlight w:val="none"/>
          <w:u w:val="single"/>
        </w:rPr>
        <w:t>(法定代表人或负责人名字)</w:t>
      </w:r>
      <w:r>
        <w:rPr>
          <w:rFonts w:hint="eastAsia"/>
          <w:color w:val="auto"/>
          <w:highlight w:val="none"/>
        </w:rPr>
        <w:t>系</w:t>
      </w:r>
      <w:r>
        <w:rPr>
          <w:rFonts w:hint="eastAsia"/>
          <w:color w:val="auto"/>
          <w:highlight w:val="none"/>
          <w:u w:val="single"/>
        </w:rPr>
        <w:t xml:space="preserve">    (供应商名称)      </w:t>
      </w:r>
      <w:r>
        <w:rPr>
          <w:rFonts w:hint="eastAsia"/>
          <w:color w:val="auto"/>
          <w:highlight w:val="none"/>
        </w:rPr>
        <w:t>为负责人，我方愿意参加贵方组织的</w:t>
      </w:r>
      <w:r>
        <w:rPr>
          <w:rFonts w:hint="eastAsia"/>
          <w:color w:val="auto"/>
          <w:highlight w:val="none"/>
          <w:u w:val="single"/>
        </w:rPr>
        <w:t xml:space="preserve">   （项目名称）（项目编号：   ）</w:t>
      </w:r>
      <w:r>
        <w:rPr>
          <w:rFonts w:hint="eastAsia"/>
          <w:color w:val="auto"/>
          <w:highlight w:val="none"/>
        </w:rPr>
        <w:t>的磋商。为便于贵方公正、择优地确定</w:t>
      </w:r>
      <w:r>
        <w:rPr>
          <w:rFonts w:hint="eastAsia"/>
          <w:color w:val="auto"/>
          <w:highlight w:val="none"/>
          <w:lang w:val="en-US"/>
        </w:rPr>
        <w:t>成交</w:t>
      </w:r>
      <w:r>
        <w:rPr>
          <w:rFonts w:hint="eastAsia"/>
          <w:color w:val="auto"/>
          <w:highlight w:val="none"/>
        </w:rPr>
        <w:t>人以及磋商产品和服务，我方就本次磋商有关事项证明如下：</w:t>
      </w:r>
    </w:p>
    <w:p w14:paraId="28DBC82D">
      <w:pPr>
        <w:pStyle w:val="11"/>
        <w:spacing w:line="300" w:lineRule="auto"/>
        <w:ind w:firstLine="480" w:firstLineChars="200"/>
        <w:rPr>
          <w:color w:val="auto"/>
          <w:highlight w:val="none"/>
        </w:rPr>
      </w:pPr>
      <w:r>
        <w:rPr>
          <w:rFonts w:hint="eastAsia"/>
          <w:color w:val="auto"/>
          <w:highlight w:val="none"/>
        </w:rPr>
        <w:t>（一）名称及概况：</w:t>
      </w:r>
    </w:p>
    <w:p w14:paraId="0C316840">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1．企业名称：________________________________________________ </w:t>
      </w:r>
    </w:p>
    <w:p w14:paraId="7E21D8F7">
      <w:pPr>
        <w:pStyle w:val="53"/>
        <w:spacing w:line="30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szCs w:val="21"/>
          <w:highlight w:val="none"/>
        </w:rPr>
        <w:t>银行开户名称：________________________________________________</w:t>
      </w:r>
    </w:p>
    <w:p w14:paraId="797BB6AC">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开户银行：_________________________________________________ </w:t>
      </w:r>
    </w:p>
    <w:p w14:paraId="22D32AC5">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账    号：________________________________________________ </w:t>
      </w:r>
    </w:p>
    <w:p w14:paraId="6BE1EDD3">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企业详细地址：________________________________________________ </w:t>
      </w:r>
    </w:p>
    <w:p w14:paraId="3B9BB10A">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传    真： ________________________________________________</w:t>
      </w:r>
    </w:p>
    <w:p w14:paraId="764F00F0">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电    话： ________________________________________________</w:t>
      </w:r>
    </w:p>
    <w:p w14:paraId="0489DFCE">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2．负责人姓名：___________________________________________ </w:t>
      </w:r>
    </w:p>
    <w:p w14:paraId="5A869A3D">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3．项目联系人：姓名__________职务：______电话______手机______</w:t>
      </w:r>
    </w:p>
    <w:p w14:paraId="065A6DD0">
      <w:pPr>
        <w:pStyle w:val="53"/>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1"/>
          <w:highlight w:val="none"/>
        </w:rPr>
        <w:t>4．注册地址：________________________________________________</w:t>
      </w:r>
    </w:p>
    <w:p w14:paraId="545FEAEF">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5．注册资金：________________________________________________ </w:t>
      </w:r>
    </w:p>
    <w:p w14:paraId="2FC1C75D">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自有资金：______________________________________________________</w:t>
      </w:r>
    </w:p>
    <w:p w14:paraId="2AA579A4">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企业人数：______</w:t>
      </w:r>
      <w:r>
        <w:rPr>
          <w:rFonts w:hint="eastAsia" w:ascii="仿宋" w:hAnsi="仿宋" w:eastAsia="仿宋" w:cs="仿宋"/>
          <w:b/>
          <w:bCs/>
          <w:color w:val="auto"/>
          <w:sz w:val="24"/>
          <w:szCs w:val="21"/>
          <w:highlight w:val="none"/>
        </w:rPr>
        <w:t>_</w:t>
      </w:r>
      <w:r>
        <w:rPr>
          <w:rFonts w:hint="eastAsia" w:ascii="仿宋" w:hAnsi="仿宋" w:eastAsia="仿宋" w:cs="仿宋"/>
          <w:color w:val="auto"/>
          <w:sz w:val="24"/>
          <w:szCs w:val="21"/>
          <w:highlight w:val="none"/>
        </w:rPr>
        <w:t>人</w:t>
      </w:r>
    </w:p>
    <w:p w14:paraId="79E7345E">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6．企业性质：____________</w:t>
      </w:r>
    </w:p>
    <w:p w14:paraId="16B687B7">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7．主要经营地点：________________________________________________ </w:t>
      </w:r>
    </w:p>
    <w:p w14:paraId="5C698440">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如有派出机构，请列出名称及</w:t>
      </w:r>
      <w:r>
        <w:rPr>
          <w:rFonts w:hint="eastAsia" w:ascii="仿宋" w:hAnsi="仿宋" w:eastAsia="仿宋" w:cs="仿宋"/>
          <w:color w:val="auto"/>
          <w:sz w:val="24"/>
          <w:szCs w:val="21"/>
          <w:highlight w:val="none"/>
          <w:lang w:eastAsia="zh-CN"/>
        </w:rPr>
        <w:t>详细通信地址</w:t>
      </w:r>
      <w:r>
        <w:rPr>
          <w:rFonts w:hint="eastAsia" w:ascii="仿宋" w:hAnsi="仿宋" w:eastAsia="仿宋" w:cs="仿宋"/>
          <w:color w:val="auto"/>
          <w:sz w:val="24"/>
          <w:szCs w:val="21"/>
          <w:highlight w:val="none"/>
        </w:rPr>
        <w:t>如下：</w:t>
      </w:r>
    </w:p>
    <w:p w14:paraId="62450AF2">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8.必需的设备：_______________________________________________</w:t>
      </w:r>
    </w:p>
    <w:p w14:paraId="6C373CB5">
      <w:pPr>
        <w:pStyle w:val="53"/>
        <w:spacing w:line="300" w:lineRule="auto"/>
        <w:ind w:firstLine="480" w:firstLineChars="200"/>
        <w:jc w:val="lef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9.专业技术能力的证明材料：__________________________</w:t>
      </w:r>
    </w:p>
    <w:p w14:paraId="0F35F19A">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兹证明上述声明是真实、正确的，并提供了全部能提供的资料和数据，我们同意遵照贵方要求出示有关证明文件。</w:t>
      </w:r>
    </w:p>
    <w:p w14:paraId="341DC63B">
      <w:pPr>
        <w:pStyle w:val="11"/>
        <w:spacing w:line="300" w:lineRule="auto"/>
        <w:ind w:firstLine="480" w:firstLineChars="200"/>
        <w:rPr>
          <w:color w:val="auto"/>
          <w:highlight w:val="none"/>
        </w:rPr>
      </w:pPr>
    </w:p>
    <w:p w14:paraId="654C8D4F">
      <w:pPr>
        <w:pStyle w:val="11"/>
        <w:spacing w:line="300" w:lineRule="auto"/>
        <w:ind w:firstLine="560" w:firstLineChars="200"/>
        <w:rPr>
          <w:color w:val="auto"/>
          <w:sz w:val="28"/>
          <w:highlight w:val="none"/>
        </w:rPr>
      </w:pPr>
    </w:p>
    <w:p w14:paraId="4D5CA77C">
      <w:pPr>
        <w:pStyle w:val="11"/>
        <w:tabs>
          <w:tab w:val="left" w:pos="8679"/>
        </w:tabs>
        <w:ind w:left="5020"/>
        <w:rPr>
          <w:color w:val="auto"/>
          <w:highlight w:val="none"/>
        </w:rPr>
      </w:pPr>
      <w:r>
        <w:rPr>
          <w:rFonts w:hint="eastAsia"/>
          <w:color w:val="auto"/>
          <w:highlight w:val="none"/>
        </w:rPr>
        <w:t>供应商盖章：</w:t>
      </w:r>
      <w:r>
        <w:rPr>
          <w:rFonts w:hint="eastAsia"/>
          <w:color w:val="auto"/>
          <w:highlight w:val="none"/>
          <w:u w:val="single"/>
        </w:rPr>
        <w:tab/>
      </w:r>
    </w:p>
    <w:p w14:paraId="663AA41E">
      <w:pPr>
        <w:pStyle w:val="11"/>
        <w:spacing w:before="11"/>
        <w:rPr>
          <w:color w:val="auto"/>
          <w:sz w:val="11"/>
          <w:highlight w:val="none"/>
        </w:rPr>
      </w:pPr>
    </w:p>
    <w:p w14:paraId="6A089937">
      <w:pPr>
        <w:pStyle w:val="11"/>
        <w:tabs>
          <w:tab w:val="left" w:pos="6100"/>
          <w:tab w:val="left" w:pos="8639"/>
        </w:tabs>
        <w:spacing w:before="74"/>
        <w:ind w:left="5020"/>
        <w:rPr>
          <w:color w:val="auto"/>
          <w:highlight w:val="none"/>
        </w:rPr>
      </w:pPr>
      <w:r>
        <w:rPr>
          <w:rFonts w:hint="eastAsia"/>
          <w:color w:val="auto"/>
          <w:highlight w:val="none"/>
        </w:rPr>
        <w:t>日</w:t>
      </w:r>
      <w:r>
        <w:rPr>
          <w:rFonts w:hint="eastAsia"/>
          <w:color w:val="auto"/>
          <w:highlight w:val="none"/>
        </w:rPr>
        <w:tab/>
      </w:r>
      <w:r>
        <w:rPr>
          <w:rFonts w:hint="eastAsia"/>
          <w:color w:val="auto"/>
          <w:highlight w:val="none"/>
        </w:rPr>
        <w:t>期：</w:t>
      </w:r>
      <w:r>
        <w:rPr>
          <w:rFonts w:hint="eastAsia"/>
          <w:color w:val="auto"/>
          <w:highlight w:val="none"/>
          <w:u w:val="single"/>
        </w:rPr>
        <w:tab/>
      </w:r>
    </w:p>
    <w:p w14:paraId="4530B2BD">
      <w:pPr>
        <w:pStyle w:val="11"/>
        <w:rPr>
          <w:color w:val="auto"/>
          <w:sz w:val="20"/>
          <w:highlight w:val="none"/>
        </w:rPr>
      </w:pPr>
    </w:p>
    <w:p w14:paraId="743FC5C1">
      <w:pPr>
        <w:pStyle w:val="11"/>
        <w:rPr>
          <w:color w:val="auto"/>
          <w:sz w:val="20"/>
          <w:highlight w:val="none"/>
        </w:rPr>
      </w:pPr>
    </w:p>
    <w:p w14:paraId="3C2DFF20">
      <w:pPr>
        <w:pStyle w:val="11"/>
        <w:rPr>
          <w:color w:val="auto"/>
          <w:sz w:val="18"/>
          <w:highlight w:val="none"/>
        </w:rPr>
      </w:pPr>
    </w:p>
    <w:p w14:paraId="24D0AA3D">
      <w:pPr>
        <w:pStyle w:val="53"/>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1"/>
          <w:highlight w:val="none"/>
        </w:rPr>
        <w:t>注：</w:t>
      </w:r>
      <w:r>
        <w:rPr>
          <w:rFonts w:hint="eastAsia" w:ascii="仿宋" w:hAnsi="仿宋" w:eastAsia="仿宋" w:cs="仿宋"/>
          <w:color w:val="auto"/>
          <w:sz w:val="24"/>
          <w:highlight w:val="none"/>
        </w:rPr>
        <w:t>上表 8、9 项内容可自行添加（格式自拟）。</w:t>
      </w:r>
    </w:p>
    <w:p w14:paraId="767E456B">
      <w:pPr>
        <w:pStyle w:val="11"/>
        <w:spacing w:before="5"/>
        <w:rPr>
          <w:color w:val="auto"/>
          <w:sz w:val="8"/>
          <w:highlight w:val="none"/>
        </w:rPr>
      </w:pPr>
    </w:p>
    <w:p w14:paraId="19AF5E5F">
      <w:pPr>
        <w:spacing w:before="58" w:line="360" w:lineRule="auto"/>
        <w:jc w:val="center"/>
        <w:rPr>
          <w:b/>
          <w:bCs/>
          <w:color w:val="auto"/>
          <w:sz w:val="30"/>
          <w:szCs w:val="30"/>
          <w:highlight w:val="none"/>
        </w:rPr>
      </w:pPr>
      <w:r>
        <w:rPr>
          <w:rFonts w:hint="eastAsia"/>
          <w:color w:val="auto"/>
          <w:sz w:val="24"/>
          <w:highlight w:val="none"/>
        </w:rPr>
        <w:t>▲</w:t>
      </w:r>
      <w:r>
        <w:rPr>
          <w:rFonts w:hint="eastAsia"/>
          <w:b/>
          <w:bCs/>
          <w:color w:val="auto"/>
          <w:sz w:val="30"/>
          <w:szCs w:val="30"/>
          <w:highlight w:val="none"/>
          <w:lang w:val="en-US"/>
        </w:rPr>
        <w:t>5.</w:t>
      </w:r>
      <w:r>
        <w:rPr>
          <w:rFonts w:hint="eastAsia"/>
          <w:b/>
          <w:bCs/>
          <w:color w:val="auto"/>
          <w:sz w:val="30"/>
          <w:szCs w:val="30"/>
          <w:highlight w:val="none"/>
        </w:rPr>
        <w:t>中小企业声明函</w:t>
      </w:r>
    </w:p>
    <w:p w14:paraId="64FA9D20">
      <w:pPr>
        <w:widowControl/>
        <w:spacing w:line="480" w:lineRule="auto"/>
        <w:jc w:val="center"/>
        <w:rPr>
          <w:color w:val="auto"/>
          <w:sz w:val="28"/>
          <w:highlight w:val="none"/>
        </w:rPr>
      </w:pPr>
      <w:r>
        <w:rPr>
          <w:rFonts w:hint="eastAsia"/>
          <w:b/>
          <w:bCs/>
          <w:color w:val="auto"/>
          <w:sz w:val="28"/>
          <w:highlight w:val="none"/>
          <w:lang w:val="en-US"/>
        </w:rPr>
        <w:t>5</w:t>
      </w:r>
      <w:r>
        <w:rPr>
          <w:rFonts w:hint="eastAsia"/>
          <w:b/>
          <w:bCs/>
          <w:color w:val="auto"/>
          <w:sz w:val="28"/>
          <w:highlight w:val="none"/>
        </w:rPr>
        <w:t>.1中小企业声明函（服务）</w:t>
      </w:r>
    </w:p>
    <w:p w14:paraId="2DAA3574">
      <w:pPr>
        <w:spacing w:line="360" w:lineRule="auto"/>
        <w:ind w:firstLine="480" w:firstLineChars="200"/>
        <w:rPr>
          <w:color w:val="auto"/>
          <w:sz w:val="24"/>
          <w:highlight w:val="none"/>
        </w:rPr>
      </w:pPr>
      <w:r>
        <w:rPr>
          <w:rFonts w:hint="eastAsia"/>
          <w:color w:val="auto"/>
          <w:sz w:val="24"/>
          <w:highlight w:val="none"/>
        </w:rPr>
        <w:t>本公司（联合体）郑重声明，根据《政府采购促进中小企业发展管理办法》（财库﹝2020﹞46 号）的规定，本公司（联合体）参加</w:t>
      </w:r>
      <w:r>
        <w:rPr>
          <w:rFonts w:hint="eastAsia"/>
          <w:color w:val="auto"/>
          <w:sz w:val="24"/>
          <w:highlight w:val="none"/>
          <w:u w:val="single"/>
        </w:rPr>
        <w:t>（单位名称）</w:t>
      </w:r>
      <w:r>
        <w:rPr>
          <w:rFonts w:hint="eastAsia"/>
          <w:color w:val="auto"/>
          <w:sz w:val="24"/>
          <w:highlight w:val="none"/>
        </w:rPr>
        <w:t>的</w:t>
      </w:r>
      <w:r>
        <w:rPr>
          <w:rFonts w:hint="eastAsia"/>
          <w:color w:val="auto"/>
          <w:sz w:val="24"/>
          <w:highlight w:val="none"/>
          <w:u w:val="single"/>
        </w:rPr>
        <w:t xml:space="preserve">  （项目名称）</w:t>
      </w:r>
      <w:r>
        <w:rPr>
          <w:rFonts w:hint="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41F8510">
      <w:pPr>
        <w:spacing w:line="360" w:lineRule="auto"/>
        <w:ind w:firstLine="480" w:firstLineChars="200"/>
        <w:rPr>
          <w:color w:val="auto"/>
          <w:sz w:val="24"/>
          <w:highlight w:val="none"/>
        </w:rPr>
      </w:pPr>
      <w:r>
        <w:rPr>
          <w:rFonts w:hint="eastAsia"/>
          <w:color w:val="auto"/>
          <w:sz w:val="24"/>
          <w:highlight w:val="none"/>
        </w:rPr>
        <w:t>1.</w:t>
      </w:r>
      <w:r>
        <w:rPr>
          <w:rFonts w:hint="eastAsia"/>
          <w:color w:val="auto"/>
          <w:sz w:val="24"/>
          <w:highlight w:val="none"/>
          <w:u w:val="single"/>
        </w:rPr>
        <w:t xml:space="preserve"> （标的名称） </w:t>
      </w:r>
      <w:r>
        <w:rPr>
          <w:rFonts w:hint="eastAsia"/>
          <w:color w:val="auto"/>
          <w:sz w:val="24"/>
          <w:highlight w:val="none"/>
        </w:rPr>
        <w:t>，属于</w:t>
      </w:r>
      <w:r>
        <w:rPr>
          <w:rFonts w:hint="eastAsia"/>
          <w:b/>
          <w:bCs/>
          <w:color w:val="auto"/>
          <w:sz w:val="24"/>
          <w:highlight w:val="none"/>
          <w:u w:val="single"/>
        </w:rPr>
        <w:t>其他未列明行业</w:t>
      </w:r>
      <w:r>
        <w:rPr>
          <w:rFonts w:hint="eastAsia"/>
          <w:color w:val="auto"/>
          <w:sz w:val="24"/>
          <w:highlight w:val="none"/>
          <w:u w:val="single"/>
        </w:rPr>
        <w:t>（采购文件中明确的所属行业）</w:t>
      </w:r>
      <w:r>
        <w:rPr>
          <w:rFonts w:hint="eastAsia"/>
          <w:color w:val="auto"/>
          <w:sz w:val="24"/>
          <w:highlight w:val="none"/>
        </w:rPr>
        <w:t>； 承建（承接）企业为</w:t>
      </w:r>
      <w:r>
        <w:rPr>
          <w:rFonts w:hint="eastAsia"/>
          <w:color w:val="auto"/>
          <w:sz w:val="24"/>
          <w:highlight w:val="none"/>
          <w:u w:val="single"/>
        </w:rPr>
        <w:t>（企业名称）</w:t>
      </w:r>
      <w:r>
        <w:rPr>
          <w:rFonts w:hint="eastAsia"/>
          <w:color w:val="auto"/>
          <w:sz w:val="24"/>
          <w:highlight w:val="none"/>
        </w:rPr>
        <w:t>，从业人员</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人，营业收入为</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万元，资产总额为</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万元，属于</w:t>
      </w:r>
      <w:r>
        <w:rPr>
          <w:rFonts w:hint="eastAsia"/>
          <w:color w:val="auto"/>
          <w:sz w:val="24"/>
          <w:highlight w:val="none"/>
          <w:u w:val="single"/>
        </w:rPr>
        <w:t>（中型企业、小型企业、微型企业</w:t>
      </w:r>
      <w:r>
        <w:rPr>
          <w:rFonts w:hint="eastAsia"/>
          <w:color w:val="auto"/>
          <w:sz w:val="24"/>
          <w:highlight w:val="none"/>
          <w:u w:val="single"/>
          <w:lang w:val="en-US" w:eastAsia="zh-CN"/>
        </w:rPr>
        <w:t>三选一</w:t>
      </w:r>
      <w:r>
        <w:rPr>
          <w:rFonts w:hint="eastAsia"/>
          <w:color w:val="auto"/>
          <w:sz w:val="24"/>
          <w:highlight w:val="none"/>
          <w:u w:val="single"/>
        </w:rPr>
        <w:t>）</w:t>
      </w:r>
      <w:r>
        <w:rPr>
          <w:rFonts w:hint="eastAsia"/>
          <w:color w:val="auto"/>
          <w:sz w:val="24"/>
          <w:highlight w:val="none"/>
        </w:rPr>
        <w:t xml:space="preserve">； </w:t>
      </w:r>
    </w:p>
    <w:p w14:paraId="09060A64">
      <w:pPr>
        <w:spacing w:line="360" w:lineRule="auto"/>
        <w:ind w:firstLine="480" w:firstLineChars="200"/>
        <w:rPr>
          <w:color w:val="auto"/>
          <w:sz w:val="24"/>
          <w:highlight w:val="none"/>
        </w:rPr>
      </w:pPr>
      <w:r>
        <w:rPr>
          <w:rFonts w:hint="eastAsia"/>
          <w:color w:val="auto"/>
          <w:sz w:val="24"/>
          <w:highlight w:val="none"/>
        </w:rPr>
        <w:t>2.</w:t>
      </w:r>
      <w:r>
        <w:rPr>
          <w:rFonts w:hint="eastAsia"/>
          <w:color w:val="auto"/>
          <w:sz w:val="24"/>
          <w:highlight w:val="none"/>
          <w:u w:val="single"/>
        </w:rPr>
        <w:t xml:space="preserve"> （标的名称） </w:t>
      </w:r>
      <w:r>
        <w:rPr>
          <w:rFonts w:hint="eastAsia"/>
          <w:color w:val="auto"/>
          <w:sz w:val="24"/>
          <w:highlight w:val="none"/>
        </w:rPr>
        <w:t>，属于</w:t>
      </w:r>
      <w:r>
        <w:rPr>
          <w:rFonts w:hint="eastAsia"/>
          <w:color w:val="auto"/>
          <w:sz w:val="24"/>
          <w:highlight w:val="none"/>
          <w:u w:val="single"/>
        </w:rPr>
        <w:t>（采购文件中明确的所属行业）</w:t>
      </w:r>
      <w:r>
        <w:rPr>
          <w:rFonts w:hint="eastAsia"/>
          <w:color w:val="auto"/>
          <w:sz w:val="24"/>
          <w:highlight w:val="none"/>
        </w:rPr>
        <w:t>；承建（承接）企业为</w:t>
      </w:r>
      <w:r>
        <w:rPr>
          <w:rFonts w:hint="eastAsia"/>
          <w:color w:val="auto"/>
          <w:sz w:val="24"/>
          <w:highlight w:val="none"/>
          <w:u w:val="single"/>
        </w:rPr>
        <w:t>（企业名称）</w:t>
      </w:r>
      <w:r>
        <w:rPr>
          <w:rFonts w:hint="eastAsia"/>
          <w:color w:val="auto"/>
          <w:sz w:val="24"/>
          <w:highlight w:val="none"/>
        </w:rPr>
        <w:t>，从业人员</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rPr>
        <w:t>人，营业收入为</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万元，资产总额为</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万元，属于</w:t>
      </w:r>
      <w:r>
        <w:rPr>
          <w:rFonts w:hint="eastAsia"/>
          <w:color w:val="auto"/>
          <w:sz w:val="24"/>
          <w:highlight w:val="none"/>
          <w:u w:val="single"/>
        </w:rPr>
        <w:t>（中型企业、小型企业、微型企业</w:t>
      </w:r>
      <w:r>
        <w:rPr>
          <w:rFonts w:hint="eastAsia"/>
          <w:color w:val="auto"/>
          <w:sz w:val="24"/>
          <w:highlight w:val="none"/>
          <w:u w:val="single"/>
          <w:lang w:val="en-US" w:eastAsia="zh-CN"/>
        </w:rPr>
        <w:t>三选一</w:t>
      </w:r>
      <w:r>
        <w:rPr>
          <w:rFonts w:hint="eastAsia"/>
          <w:color w:val="auto"/>
          <w:sz w:val="24"/>
          <w:highlight w:val="none"/>
          <w:u w:val="single"/>
        </w:rPr>
        <w:t xml:space="preserve">）； </w:t>
      </w:r>
    </w:p>
    <w:p w14:paraId="78F0AC7B">
      <w:pPr>
        <w:spacing w:line="360" w:lineRule="auto"/>
        <w:rPr>
          <w:color w:val="auto"/>
          <w:sz w:val="24"/>
          <w:highlight w:val="none"/>
        </w:rPr>
      </w:pPr>
      <w:r>
        <w:rPr>
          <w:rFonts w:hint="eastAsia"/>
          <w:color w:val="auto"/>
          <w:sz w:val="24"/>
          <w:highlight w:val="none"/>
        </w:rPr>
        <w:t>……</w:t>
      </w:r>
    </w:p>
    <w:p w14:paraId="63DA5B93">
      <w:pPr>
        <w:spacing w:line="360" w:lineRule="auto"/>
        <w:ind w:firstLine="480" w:firstLineChars="200"/>
        <w:rPr>
          <w:color w:val="auto"/>
          <w:sz w:val="24"/>
          <w:highlight w:val="none"/>
        </w:rPr>
      </w:pPr>
      <w:r>
        <w:rPr>
          <w:rFonts w:hint="eastAsia"/>
          <w:color w:val="auto"/>
          <w:sz w:val="24"/>
          <w:highlight w:val="none"/>
        </w:rPr>
        <w:t>以上企业，不属于大企业的分支机构，不存在控股股东为大企业的情形，也不存在与大企业的负责人为同一人的情形。</w:t>
      </w:r>
    </w:p>
    <w:p w14:paraId="12E755BC">
      <w:pPr>
        <w:spacing w:line="360" w:lineRule="auto"/>
        <w:ind w:firstLine="480" w:firstLineChars="200"/>
        <w:rPr>
          <w:color w:val="auto"/>
          <w:sz w:val="24"/>
          <w:highlight w:val="none"/>
        </w:rPr>
      </w:pPr>
      <w:r>
        <w:rPr>
          <w:rFonts w:hint="eastAsia"/>
          <w:color w:val="auto"/>
          <w:sz w:val="24"/>
          <w:highlight w:val="none"/>
        </w:rPr>
        <w:t>本企业对上述声明内容的真实性负责。如有虚假，将依法承担相应责任。</w:t>
      </w:r>
    </w:p>
    <w:p w14:paraId="14BB12DA">
      <w:pPr>
        <w:widowControl/>
        <w:spacing w:line="360" w:lineRule="auto"/>
        <w:rPr>
          <w:color w:val="auto"/>
          <w:sz w:val="24"/>
          <w:highlight w:val="none"/>
        </w:rPr>
      </w:pPr>
    </w:p>
    <w:p w14:paraId="5F20153D">
      <w:pPr>
        <w:pStyle w:val="58"/>
        <w:wordWrap w:val="0"/>
        <w:spacing w:line="360" w:lineRule="auto"/>
        <w:ind w:firstLine="480"/>
        <w:jc w:val="center"/>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供应商盖章（电子章）：</w:t>
      </w:r>
    </w:p>
    <w:p w14:paraId="1F5E690B">
      <w:pPr>
        <w:widowControl/>
        <w:spacing w:line="360" w:lineRule="auto"/>
        <w:ind w:firstLine="4800" w:firstLineChars="2000"/>
        <w:rPr>
          <w:rFonts w:cs="宋体"/>
          <w:color w:val="auto"/>
          <w:sz w:val="24"/>
          <w:highlight w:val="none"/>
        </w:rPr>
      </w:pPr>
      <w:r>
        <w:rPr>
          <w:rFonts w:hint="eastAsia"/>
          <w:color w:val="auto"/>
          <w:sz w:val="24"/>
          <w:szCs w:val="21"/>
          <w:highlight w:val="none"/>
        </w:rPr>
        <w:t>日      期：</w:t>
      </w:r>
    </w:p>
    <w:p w14:paraId="6D2C7051">
      <w:pPr>
        <w:spacing w:line="360" w:lineRule="auto"/>
        <w:rPr>
          <w:rFonts w:hint="eastAsia" w:ascii="仿宋" w:hAnsi="仿宋" w:eastAsia="仿宋" w:cs="仿宋"/>
          <w:color w:val="auto"/>
          <w:szCs w:val="21"/>
          <w:highlight w:val="none"/>
        </w:rPr>
      </w:pPr>
    </w:p>
    <w:p w14:paraId="1243C00C">
      <w:pPr>
        <w:spacing w:line="360" w:lineRule="auto"/>
        <w:rPr>
          <w:rFonts w:hint="eastAsia" w:ascii="仿宋" w:hAnsi="仿宋" w:eastAsia="仿宋" w:cs="仿宋"/>
          <w:color w:val="auto"/>
          <w:szCs w:val="21"/>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207010</wp:posOffset>
                </wp:positionV>
                <wp:extent cx="2984500" cy="0"/>
                <wp:effectExtent l="0" t="7620" r="0" b="8255"/>
                <wp:wrapNone/>
                <wp:docPr id="276" name="直接连接符 276"/>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3pt;height:0pt;width:235pt;z-index:251661312;mso-width-relative:page;mso-height-relative:page;" filled="f" stroked="t" coordsize="21600,21600" o:gfxdata="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8QhJNIAAAAGAQAADwAAAAAAAAABACAAAAAiAAAAZHJzL2Rvd25yZXYueG1sUEsBAhQA&#10;FAAAAAgAh07iQG1jGe/4AQAA2AMAAA4AAAAAAAAAAQAgAAAAIQEAAGRycy9lMm9Eb2MueG1sUEsF&#10;BgAAAAAGAAYAWQEAAIsFAAAAAA==&#10;">
                <v:fill on="f" focussize="0,0"/>
                <v:stroke weight="1.25pt" color="#000000" miterlimit="8" joinstyle="miter"/>
                <v:imagedata o:title=""/>
                <o:lock v:ext="edit" aspectratio="f"/>
              </v:line>
            </w:pict>
          </mc:Fallback>
        </mc:AlternateContent>
      </w:r>
    </w:p>
    <w:p w14:paraId="082A010D">
      <w:pPr>
        <w:spacing w:line="360" w:lineRule="auto"/>
        <w:ind w:firstLine="44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1.填写要求：①“标的名称”“采购文件中明确的所属行业”依据招标文件《第三章 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r>
        <w:rPr>
          <w:rFonts w:hint="eastAsia" w:ascii="仿宋" w:hAnsi="仿宋" w:eastAsia="仿宋" w:cs="仿宋"/>
          <w:b/>
          <w:bCs/>
          <w:color w:val="auto"/>
          <w:szCs w:val="21"/>
          <w:highlight w:val="none"/>
          <w:lang w:eastAsia="zh-CN"/>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p>
    <w:p w14:paraId="4F217400">
      <w:pPr>
        <w:spacing w:line="360" w:lineRule="auto"/>
        <w:ind w:firstLine="44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符合《关于促进残疾人就业政府采购政策的通知》（财库〔2017〕141号）规定的条件并提供《残疾人福利性单位声明函》（格式详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6750E5C">
      <w:pPr>
        <w:spacing w:line="360" w:lineRule="auto"/>
        <w:ind w:firstLine="440" w:firstLineChars="200"/>
        <w:rPr>
          <w:rFonts w:hint="eastAsia" w:ascii="仿宋" w:hAnsi="仿宋" w:eastAsia="仿宋" w:cs="仿宋"/>
          <w:b/>
          <w:bCs/>
          <w:color w:val="auto"/>
          <w:spacing w:val="6"/>
          <w:sz w:val="32"/>
          <w:szCs w:val="32"/>
          <w:highlight w:val="none"/>
          <w:lang w:eastAsia="zh-CN"/>
        </w:rPr>
      </w:pPr>
      <w:r>
        <w:rPr>
          <w:rFonts w:hint="eastAsia" w:ascii="仿宋" w:hAnsi="仿宋" w:eastAsia="仿宋" w:cs="仿宋"/>
          <w:color w:val="auto"/>
          <w:szCs w:val="21"/>
          <w:highlight w:val="none"/>
          <w:lang w:eastAsia="zh-CN"/>
        </w:rPr>
        <w:t>3.行业划型标准为：其他未列明行业。从业人员300人以下的为中小微型企业。其中，从业人员100人及以上的为中型企业；从业人员10人及以上的为小型企业；从业人员10人以下的为微型企业。</w:t>
      </w:r>
    </w:p>
    <w:p w14:paraId="00DFA399">
      <w:pPr>
        <w:widowControl/>
        <w:spacing w:line="480" w:lineRule="auto"/>
        <w:jc w:val="center"/>
        <w:rPr>
          <w:b/>
          <w:bCs/>
          <w:color w:val="auto"/>
          <w:sz w:val="28"/>
          <w:szCs w:val="28"/>
          <w:highlight w:val="none"/>
        </w:rPr>
      </w:pPr>
    </w:p>
    <w:p w14:paraId="46D1017C">
      <w:pPr>
        <w:widowControl/>
        <w:spacing w:line="480" w:lineRule="auto"/>
        <w:jc w:val="center"/>
        <w:rPr>
          <w:b/>
          <w:bCs/>
          <w:color w:val="auto"/>
          <w:sz w:val="28"/>
          <w:szCs w:val="28"/>
          <w:highlight w:val="none"/>
        </w:rPr>
      </w:pPr>
    </w:p>
    <w:p w14:paraId="7D8E5AA8">
      <w:pPr>
        <w:widowControl/>
        <w:spacing w:line="480" w:lineRule="auto"/>
        <w:jc w:val="center"/>
        <w:rPr>
          <w:b/>
          <w:bCs/>
          <w:color w:val="auto"/>
          <w:sz w:val="28"/>
          <w:szCs w:val="28"/>
          <w:highlight w:val="none"/>
        </w:rPr>
      </w:pPr>
    </w:p>
    <w:p w14:paraId="7B2511AA">
      <w:pPr>
        <w:widowControl/>
        <w:spacing w:line="480" w:lineRule="auto"/>
        <w:jc w:val="center"/>
        <w:rPr>
          <w:b/>
          <w:bCs/>
          <w:color w:val="auto"/>
          <w:sz w:val="28"/>
          <w:szCs w:val="28"/>
          <w:highlight w:val="none"/>
        </w:rPr>
      </w:pPr>
    </w:p>
    <w:p w14:paraId="7D06C9DA">
      <w:pPr>
        <w:widowControl/>
        <w:spacing w:line="480" w:lineRule="auto"/>
        <w:jc w:val="center"/>
        <w:rPr>
          <w:b/>
          <w:bCs/>
          <w:color w:val="auto"/>
          <w:sz w:val="28"/>
          <w:szCs w:val="28"/>
          <w:highlight w:val="none"/>
        </w:rPr>
      </w:pPr>
    </w:p>
    <w:p w14:paraId="387F9DB9">
      <w:pPr>
        <w:widowControl/>
        <w:spacing w:line="480" w:lineRule="auto"/>
        <w:jc w:val="center"/>
        <w:rPr>
          <w:b/>
          <w:bCs/>
          <w:color w:val="auto"/>
          <w:sz w:val="28"/>
          <w:szCs w:val="28"/>
          <w:highlight w:val="none"/>
        </w:rPr>
      </w:pPr>
    </w:p>
    <w:p w14:paraId="184100D9">
      <w:pPr>
        <w:widowControl/>
        <w:spacing w:line="480" w:lineRule="auto"/>
        <w:jc w:val="center"/>
        <w:rPr>
          <w:b/>
          <w:bCs/>
          <w:color w:val="auto"/>
          <w:sz w:val="28"/>
          <w:szCs w:val="28"/>
          <w:highlight w:val="none"/>
        </w:rPr>
      </w:pPr>
    </w:p>
    <w:p w14:paraId="7014BE4D">
      <w:pPr>
        <w:widowControl/>
        <w:spacing w:line="480" w:lineRule="auto"/>
        <w:jc w:val="center"/>
        <w:rPr>
          <w:b/>
          <w:bCs/>
          <w:color w:val="auto"/>
          <w:sz w:val="28"/>
          <w:szCs w:val="28"/>
          <w:highlight w:val="none"/>
        </w:rPr>
      </w:pPr>
    </w:p>
    <w:p w14:paraId="3A4C6419">
      <w:pPr>
        <w:widowControl/>
        <w:spacing w:line="480" w:lineRule="auto"/>
        <w:jc w:val="center"/>
        <w:rPr>
          <w:b/>
          <w:bCs/>
          <w:color w:val="auto"/>
          <w:sz w:val="28"/>
          <w:szCs w:val="28"/>
          <w:highlight w:val="none"/>
        </w:rPr>
      </w:pPr>
    </w:p>
    <w:p w14:paraId="6CC7A0D5">
      <w:pPr>
        <w:widowControl/>
        <w:spacing w:line="480" w:lineRule="auto"/>
        <w:jc w:val="center"/>
        <w:rPr>
          <w:b/>
          <w:bCs/>
          <w:color w:val="auto"/>
          <w:sz w:val="28"/>
          <w:szCs w:val="28"/>
          <w:highlight w:val="none"/>
        </w:rPr>
      </w:pPr>
    </w:p>
    <w:p w14:paraId="22D55971">
      <w:pPr>
        <w:widowControl/>
        <w:spacing w:line="480" w:lineRule="auto"/>
        <w:jc w:val="center"/>
        <w:rPr>
          <w:b/>
          <w:bCs/>
          <w:color w:val="auto"/>
          <w:sz w:val="28"/>
          <w:szCs w:val="28"/>
          <w:highlight w:val="none"/>
        </w:rPr>
      </w:pPr>
    </w:p>
    <w:p w14:paraId="3087EADB">
      <w:pPr>
        <w:widowControl/>
        <w:spacing w:line="480" w:lineRule="auto"/>
        <w:jc w:val="center"/>
        <w:rPr>
          <w:b/>
          <w:bCs/>
          <w:color w:val="auto"/>
          <w:sz w:val="28"/>
          <w:szCs w:val="28"/>
          <w:highlight w:val="none"/>
        </w:rPr>
      </w:pPr>
    </w:p>
    <w:p w14:paraId="04ED6C61">
      <w:pPr>
        <w:widowControl/>
        <w:spacing w:line="480" w:lineRule="auto"/>
        <w:jc w:val="center"/>
        <w:rPr>
          <w:b/>
          <w:bCs/>
          <w:color w:val="auto"/>
          <w:sz w:val="28"/>
          <w:szCs w:val="28"/>
          <w:highlight w:val="none"/>
        </w:rPr>
      </w:pPr>
    </w:p>
    <w:p w14:paraId="62AA099E">
      <w:pPr>
        <w:bidi w:val="0"/>
        <w:rPr>
          <w:color w:val="auto"/>
          <w:highlight w:val="none"/>
        </w:rPr>
      </w:pPr>
    </w:p>
    <w:p w14:paraId="4561D1AA">
      <w:pPr>
        <w:rPr>
          <w:color w:val="auto"/>
          <w:highlight w:val="none"/>
        </w:rPr>
      </w:pPr>
    </w:p>
    <w:p w14:paraId="3AB97893">
      <w:pPr>
        <w:pStyle w:val="31"/>
        <w:rPr>
          <w:color w:val="auto"/>
          <w:highlight w:val="none"/>
        </w:rPr>
      </w:pPr>
    </w:p>
    <w:p w14:paraId="147ABBFD">
      <w:pPr>
        <w:pStyle w:val="12"/>
        <w:rPr>
          <w:color w:val="auto"/>
          <w:highlight w:val="none"/>
        </w:rPr>
      </w:pPr>
    </w:p>
    <w:p w14:paraId="672B4BFD">
      <w:pPr>
        <w:widowControl/>
        <w:spacing w:line="480" w:lineRule="auto"/>
        <w:jc w:val="center"/>
        <w:rPr>
          <w:bCs/>
          <w:color w:val="auto"/>
          <w:sz w:val="28"/>
          <w:szCs w:val="28"/>
          <w:highlight w:val="none"/>
        </w:rPr>
      </w:pPr>
      <w:r>
        <w:rPr>
          <w:rFonts w:hint="eastAsia"/>
          <w:b/>
          <w:bCs/>
          <w:color w:val="auto"/>
          <w:sz w:val="28"/>
          <w:szCs w:val="28"/>
          <w:highlight w:val="none"/>
          <w:lang w:val="en-US"/>
        </w:rPr>
        <w:t>5</w:t>
      </w:r>
      <w:r>
        <w:rPr>
          <w:rFonts w:hint="eastAsia"/>
          <w:b/>
          <w:bCs/>
          <w:color w:val="auto"/>
          <w:sz w:val="28"/>
          <w:szCs w:val="28"/>
          <w:highlight w:val="none"/>
        </w:rPr>
        <w:t>.2残疾人福利性单位声明函</w:t>
      </w:r>
    </w:p>
    <w:p w14:paraId="03B4A2E5">
      <w:pPr>
        <w:pStyle w:val="74"/>
        <w:spacing w:line="360" w:lineRule="auto"/>
        <w:ind w:firstLine="601"/>
        <w:rPr>
          <w:rFonts w:ascii="仿宋" w:hAnsi="仿宋" w:cs="仿宋"/>
          <w:color w:val="auto"/>
          <w:kern w:val="2"/>
          <w:highlight w:val="none"/>
        </w:rPr>
      </w:pPr>
      <w:r>
        <w:rPr>
          <w:rFonts w:hint="eastAsia" w:ascii="仿宋" w:hAnsi="仿宋" w:cs="仿宋"/>
          <w:color w:val="auto"/>
          <w:kern w:val="2"/>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4D1B87B">
      <w:pPr>
        <w:pStyle w:val="74"/>
        <w:spacing w:line="360" w:lineRule="auto"/>
        <w:ind w:firstLine="600"/>
        <w:rPr>
          <w:rFonts w:ascii="仿宋" w:hAnsi="仿宋" w:cs="仿宋"/>
          <w:color w:val="auto"/>
          <w:kern w:val="2"/>
          <w:highlight w:val="none"/>
        </w:rPr>
      </w:pPr>
      <w:r>
        <w:rPr>
          <w:rFonts w:hint="eastAsia" w:ascii="仿宋" w:hAnsi="仿宋" w:cs="仿宋"/>
          <w:color w:val="auto"/>
          <w:kern w:val="2"/>
          <w:highlight w:val="none"/>
        </w:rPr>
        <w:t>本单位对上述声明的真实性负责。如有虚假，将依法承担相应责任。</w:t>
      </w:r>
    </w:p>
    <w:p w14:paraId="381DCBED">
      <w:pPr>
        <w:pStyle w:val="74"/>
        <w:spacing w:line="360" w:lineRule="auto"/>
        <w:ind w:firstLine="4488" w:firstLineChars="1870"/>
        <w:rPr>
          <w:rFonts w:hint="eastAsia" w:ascii="仿宋" w:hAnsi="仿宋" w:cs="仿宋"/>
          <w:color w:val="auto"/>
          <w:kern w:val="2"/>
          <w:highlight w:val="none"/>
        </w:rPr>
      </w:pPr>
    </w:p>
    <w:p w14:paraId="181FC1B3">
      <w:pPr>
        <w:pStyle w:val="74"/>
        <w:spacing w:line="360" w:lineRule="auto"/>
        <w:ind w:firstLine="4488" w:firstLineChars="1870"/>
        <w:rPr>
          <w:rFonts w:hint="eastAsia" w:ascii="仿宋" w:hAnsi="仿宋" w:cs="仿宋"/>
          <w:color w:val="auto"/>
          <w:kern w:val="2"/>
          <w:highlight w:val="none"/>
        </w:rPr>
      </w:pPr>
      <w:r>
        <w:rPr>
          <w:rFonts w:hint="eastAsia" w:ascii="仿宋" w:hAnsi="仿宋" w:cs="仿宋"/>
          <w:color w:val="auto"/>
          <w:kern w:val="2"/>
          <w:highlight w:val="none"/>
        </w:rPr>
        <w:t>单位名称（盖章）：</w:t>
      </w:r>
    </w:p>
    <w:p w14:paraId="65F5F64E">
      <w:pPr>
        <w:pStyle w:val="74"/>
        <w:spacing w:line="360" w:lineRule="auto"/>
        <w:ind w:firstLine="4968" w:firstLineChars="2070"/>
        <w:rPr>
          <w:rFonts w:ascii="仿宋" w:hAnsi="仿宋" w:cs="仿宋"/>
          <w:color w:val="auto"/>
          <w:sz w:val="30"/>
          <w:szCs w:val="30"/>
          <w:highlight w:val="none"/>
        </w:rPr>
      </w:pPr>
      <w:r>
        <w:rPr>
          <w:rFonts w:hint="eastAsia" w:ascii="仿宋" w:hAnsi="仿宋" w:cs="仿宋"/>
          <w:color w:val="auto"/>
          <w:kern w:val="2"/>
          <w:highlight w:val="none"/>
        </w:rPr>
        <w:t>日  期：</w:t>
      </w:r>
      <w:r>
        <w:rPr>
          <w:rFonts w:hint="eastAsia" w:ascii="仿宋_GB2312" w:hAnsi="Times New Roman" w:eastAsia="仿宋_GB2312" w:cs="Times New Roman"/>
          <w:caps w:val="0"/>
          <w:color w:val="auto"/>
          <w:spacing w:val="0"/>
          <w:kern w:val="2"/>
          <w:sz w:val="28"/>
          <w:szCs w:val="28"/>
          <w:highlight w:val="none"/>
        </w:rPr>
        <w:t xml:space="preserve"> </w:t>
      </w:r>
      <w:r>
        <w:rPr>
          <w:rFonts w:ascii="仿宋_GB2312" w:hAnsi="Times New Roman" w:eastAsia="仿宋_GB2312" w:cs="Times New Roman"/>
          <w:caps w:val="0"/>
          <w:color w:val="auto"/>
          <w:spacing w:val="0"/>
          <w:kern w:val="2"/>
          <w:sz w:val="28"/>
          <w:szCs w:val="28"/>
          <w:highlight w:val="none"/>
        </w:rPr>
        <w:t xml:space="preserve">        </w:t>
      </w:r>
    </w:p>
    <w:p w14:paraId="6DDF1F6B">
      <w:pPr>
        <w:spacing w:line="360" w:lineRule="auto"/>
        <w:jc w:val="center"/>
        <w:rPr>
          <w:color w:val="auto"/>
          <w:sz w:val="30"/>
          <w:szCs w:val="30"/>
          <w:highlight w:val="none"/>
        </w:rPr>
      </w:pPr>
    </w:p>
    <w:p w14:paraId="6C0318B4">
      <w:pPr>
        <w:spacing w:line="360" w:lineRule="auto"/>
        <w:jc w:val="center"/>
        <w:rPr>
          <w:color w:val="auto"/>
          <w:sz w:val="30"/>
          <w:szCs w:val="30"/>
          <w:highlight w:val="none"/>
        </w:rPr>
      </w:pPr>
    </w:p>
    <w:p w14:paraId="2F34BCB3">
      <w:pPr>
        <w:spacing w:line="360" w:lineRule="auto"/>
        <w:jc w:val="center"/>
        <w:rPr>
          <w:color w:val="auto"/>
          <w:sz w:val="30"/>
          <w:szCs w:val="30"/>
          <w:highlight w:val="none"/>
        </w:rPr>
      </w:pPr>
    </w:p>
    <w:p w14:paraId="72EBA9B4">
      <w:pPr>
        <w:pStyle w:val="15"/>
        <w:spacing w:before="120" w:after="120" w:line="360" w:lineRule="auto"/>
        <w:jc w:val="center"/>
        <w:rPr>
          <w:rFonts w:ascii="仿宋" w:hAnsi="仿宋"/>
          <w:b/>
          <w:bCs/>
          <w:color w:val="auto"/>
          <w:sz w:val="28"/>
          <w:szCs w:val="28"/>
          <w:highlight w:val="none"/>
        </w:rPr>
      </w:pPr>
      <w:r>
        <w:rPr>
          <w:rFonts w:hint="eastAsia" w:ascii="仿宋" w:hAnsi="仿宋"/>
          <w:b/>
          <w:bCs/>
          <w:color w:val="auto"/>
          <w:sz w:val="28"/>
          <w:szCs w:val="28"/>
          <w:highlight w:val="none"/>
          <w:lang w:val="en-US"/>
        </w:rPr>
        <w:t>5</w:t>
      </w:r>
      <w:r>
        <w:rPr>
          <w:rFonts w:hint="eastAsia" w:ascii="仿宋" w:hAnsi="仿宋"/>
          <w:b/>
          <w:bCs/>
          <w:color w:val="auto"/>
          <w:sz w:val="28"/>
          <w:szCs w:val="28"/>
          <w:highlight w:val="none"/>
        </w:rPr>
        <w:t>.3监狱企业证明</w:t>
      </w:r>
    </w:p>
    <w:p w14:paraId="0375E1D9">
      <w:pPr>
        <w:pStyle w:val="5"/>
        <w:spacing w:line="360" w:lineRule="auto"/>
        <w:ind w:firstLine="0"/>
        <w:jc w:val="center"/>
        <w:rPr>
          <w:color w:val="auto"/>
          <w:sz w:val="24"/>
          <w:szCs w:val="24"/>
          <w:highlight w:val="none"/>
        </w:rPr>
      </w:pPr>
    </w:p>
    <w:p w14:paraId="479B9A93">
      <w:pPr>
        <w:pStyle w:val="5"/>
        <w:spacing w:line="360" w:lineRule="auto"/>
        <w:ind w:firstLine="482" w:firstLineChars="200"/>
        <w:rPr>
          <w:color w:val="auto"/>
          <w:sz w:val="24"/>
          <w:szCs w:val="24"/>
          <w:highlight w:val="none"/>
        </w:rPr>
      </w:pPr>
      <w:r>
        <w:rPr>
          <w:rFonts w:hint="eastAsia"/>
          <w:b/>
          <w:color w:val="auto"/>
          <w:sz w:val="24"/>
          <w:szCs w:val="24"/>
          <w:highlight w:val="none"/>
        </w:rPr>
        <w:t>注：</w:t>
      </w:r>
      <w:r>
        <w:rPr>
          <w:rFonts w:hint="eastAsia"/>
          <w:color w:val="auto"/>
          <w:sz w:val="24"/>
          <w:szCs w:val="24"/>
          <w:highlight w:val="none"/>
        </w:rPr>
        <w:t>须提供省级以上监狱管理局、戒毒管理局（含新疆生产建设兵团）出具的属于监狱企业的证明文件</w:t>
      </w:r>
    </w:p>
    <w:p w14:paraId="3A0A5632">
      <w:pPr>
        <w:pStyle w:val="13"/>
        <w:rPr>
          <w:color w:val="auto"/>
          <w:szCs w:val="28"/>
          <w:highlight w:val="none"/>
        </w:rPr>
      </w:pPr>
    </w:p>
    <w:p w14:paraId="23F78A66">
      <w:pPr>
        <w:pStyle w:val="5"/>
        <w:rPr>
          <w:color w:val="auto"/>
          <w:sz w:val="28"/>
          <w:szCs w:val="28"/>
          <w:highlight w:val="none"/>
        </w:rPr>
      </w:pPr>
    </w:p>
    <w:p w14:paraId="46ECAB0D">
      <w:pPr>
        <w:rPr>
          <w:color w:val="auto"/>
          <w:highlight w:val="none"/>
        </w:rPr>
      </w:pPr>
    </w:p>
    <w:p w14:paraId="035AD8C6">
      <w:pPr>
        <w:rPr>
          <w:color w:val="auto"/>
          <w:sz w:val="28"/>
          <w:szCs w:val="28"/>
          <w:highlight w:val="none"/>
        </w:rPr>
      </w:pPr>
    </w:p>
    <w:p w14:paraId="38E335C3">
      <w:pPr>
        <w:pStyle w:val="42"/>
        <w:rPr>
          <w:color w:val="auto"/>
          <w:szCs w:val="28"/>
          <w:highlight w:val="none"/>
        </w:rPr>
      </w:pPr>
    </w:p>
    <w:p w14:paraId="76301979">
      <w:pPr>
        <w:pStyle w:val="11"/>
        <w:tabs>
          <w:tab w:val="left" w:pos="208"/>
        </w:tabs>
        <w:rPr>
          <w:color w:val="auto"/>
          <w:highlight w:val="none"/>
        </w:rPr>
      </w:pPr>
    </w:p>
    <w:p w14:paraId="4C327BF4">
      <w:pPr>
        <w:pStyle w:val="13"/>
        <w:rPr>
          <w:color w:val="auto"/>
          <w:szCs w:val="28"/>
          <w:highlight w:val="none"/>
        </w:rPr>
      </w:pPr>
    </w:p>
    <w:p w14:paraId="0F6DC6E0">
      <w:pPr>
        <w:pStyle w:val="13"/>
        <w:rPr>
          <w:rFonts w:hint="eastAsia" w:eastAsia="仿宋"/>
          <w:color w:val="auto"/>
          <w:highlight w:val="none"/>
          <w:lang w:eastAsia="zh-CN"/>
        </w:rPr>
      </w:pPr>
      <w:r>
        <w:rPr>
          <w:rStyle w:val="75"/>
          <w:rFonts w:hint="eastAsia"/>
          <w:b/>
          <w:color w:val="auto"/>
          <w:sz w:val="24"/>
          <w:highlight w:val="none"/>
        </w:rPr>
        <w:t>注：如不属于</w:t>
      </w:r>
      <w:r>
        <w:rPr>
          <w:rStyle w:val="75"/>
          <w:rFonts w:hint="eastAsia"/>
          <w:b/>
          <w:color w:val="auto"/>
          <w:sz w:val="24"/>
          <w:highlight w:val="none"/>
          <w:lang w:val="en-US"/>
        </w:rPr>
        <w:t>5</w:t>
      </w:r>
      <w:r>
        <w:rPr>
          <w:rStyle w:val="75"/>
          <w:rFonts w:hint="eastAsia"/>
          <w:b/>
          <w:color w:val="auto"/>
          <w:sz w:val="24"/>
          <w:highlight w:val="none"/>
        </w:rPr>
        <w:t>.2、</w:t>
      </w:r>
      <w:r>
        <w:rPr>
          <w:rStyle w:val="75"/>
          <w:rFonts w:hint="eastAsia"/>
          <w:b/>
          <w:color w:val="auto"/>
          <w:sz w:val="24"/>
          <w:highlight w:val="none"/>
          <w:lang w:val="en-US"/>
        </w:rPr>
        <w:t>5</w:t>
      </w:r>
      <w:r>
        <w:rPr>
          <w:rStyle w:val="75"/>
          <w:rFonts w:hint="eastAsia"/>
          <w:b/>
          <w:color w:val="auto"/>
          <w:sz w:val="24"/>
          <w:highlight w:val="none"/>
        </w:rPr>
        <w:t>.3所属单位性质，则</w:t>
      </w:r>
      <w:r>
        <w:rPr>
          <w:rStyle w:val="75"/>
          <w:rFonts w:hint="eastAsia"/>
          <w:b/>
          <w:color w:val="auto"/>
          <w:sz w:val="24"/>
          <w:highlight w:val="none"/>
          <w:lang w:val="en-US"/>
        </w:rPr>
        <w:t>5</w:t>
      </w:r>
      <w:r>
        <w:rPr>
          <w:rStyle w:val="75"/>
          <w:rFonts w:hint="eastAsia"/>
          <w:b/>
          <w:color w:val="auto"/>
          <w:sz w:val="24"/>
          <w:highlight w:val="none"/>
        </w:rPr>
        <w:t>.2、</w:t>
      </w:r>
      <w:r>
        <w:rPr>
          <w:rStyle w:val="75"/>
          <w:rFonts w:hint="eastAsia"/>
          <w:b/>
          <w:color w:val="auto"/>
          <w:sz w:val="24"/>
          <w:highlight w:val="none"/>
          <w:lang w:val="en-US"/>
        </w:rPr>
        <w:t>5</w:t>
      </w:r>
      <w:r>
        <w:rPr>
          <w:rStyle w:val="75"/>
          <w:rFonts w:hint="eastAsia"/>
          <w:b/>
          <w:color w:val="auto"/>
          <w:sz w:val="24"/>
          <w:highlight w:val="none"/>
        </w:rPr>
        <w:t>.3无需提供</w:t>
      </w:r>
      <w:r>
        <w:rPr>
          <w:rStyle w:val="75"/>
          <w:rFonts w:hint="eastAsia"/>
          <w:b/>
          <w:color w:val="auto"/>
          <w:sz w:val="24"/>
          <w:highlight w:val="none"/>
          <w:lang w:eastAsia="zh-CN"/>
        </w:rPr>
        <w:t>。</w:t>
      </w:r>
    </w:p>
    <w:p w14:paraId="4B5B78D1">
      <w:pPr>
        <w:pStyle w:val="11"/>
        <w:rPr>
          <w:color w:val="auto"/>
          <w:highlight w:val="none"/>
        </w:rPr>
      </w:pPr>
    </w:p>
    <w:p w14:paraId="591B3A5C">
      <w:pPr>
        <w:pStyle w:val="11"/>
        <w:rPr>
          <w:color w:val="auto"/>
          <w:highlight w:val="none"/>
        </w:rPr>
      </w:pPr>
    </w:p>
    <w:p w14:paraId="791F72BF">
      <w:pPr>
        <w:pStyle w:val="12"/>
        <w:ind w:firstLine="0"/>
        <w:rPr>
          <w:color w:val="auto"/>
          <w:highlight w:val="none"/>
        </w:rPr>
      </w:pPr>
    </w:p>
    <w:p w14:paraId="6394FB17">
      <w:pPr>
        <w:pStyle w:val="11"/>
        <w:rPr>
          <w:color w:val="auto"/>
          <w:highlight w:val="none"/>
        </w:rPr>
      </w:pPr>
    </w:p>
    <w:p w14:paraId="2731BA6B">
      <w:pPr>
        <w:pStyle w:val="11"/>
        <w:rPr>
          <w:color w:val="auto"/>
          <w:highlight w:val="none"/>
        </w:rPr>
      </w:pPr>
    </w:p>
    <w:p w14:paraId="6281E554">
      <w:pPr>
        <w:pStyle w:val="11"/>
        <w:rPr>
          <w:color w:val="auto"/>
          <w:sz w:val="29"/>
          <w:highlight w:val="none"/>
        </w:rPr>
      </w:pPr>
    </w:p>
    <w:p w14:paraId="667E619B">
      <w:pPr>
        <w:pStyle w:val="11"/>
        <w:rPr>
          <w:color w:val="auto"/>
          <w:sz w:val="20"/>
          <w:highlight w:val="none"/>
        </w:rPr>
      </w:pPr>
    </w:p>
    <w:p w14:paraId="1D8BACBC">
      <w:pPr>
        <w:pStyle w:val="12"/>
        <w:rPr>
          <w:color w:val="auto"/>
          <w:highlight w:val="none"/>
        </w:rPr>
      </w:pPr>
    </w:p>
    <w:p w14:paraId="43C15B8D">
      <w:pPr>
        <w:pStyle w:val="11"/>
        <w:rPr>
          <w:color w:val="auto"/>
          <w:sz w:val="20"/>
          <w:highlight w:val="none"/>
        </w:rPr>
      </w:pPr>
    </w:p>
    <w:p w14:paraId="22AB4398">
      <w:pPr>
        <w:pStyle w:val="11"/>
        <w:rPr>
          <w:color w:val="auto"/>
          <w:sz w:val="20"/>
          <w:highlight w:val="none"/>
        </w:rPr>
      </w:pPr>
    </w:p>
    <w:p w14:paraId="5363995D">
      <w:pPr>
        <w:pStyle w:val="11"/>
        <w:rPr>
          <w:color w:val="auto"/>
          <w:sz w:val="20"/>
          <w:highlight w:val="none"/>
        </w:rPr>
      </w:pPr>
    </w:p>
    <w:p w14:paraId="5816BFED">
      <w:pPr>
        <w:pStyle w:val="11"/>
        <w:rPr>
          <w:color w:val="auto"/>
          <w:sz w:val="20"/>
          <w:highlight w:val="none"/>
        </w:rPr>
      </w:pPr>
    </w:p>
    <w:p w14:paraId="758A546E">
      <w:pPr>
        <w:pStyle w:val="11"/>
        <w:rPr>
          <w:color w:val="auto"/>
          <w:sz w:val="20"/>
          <w:highlight w:val="none"/>
        </w:rPr>
      </w:pPr>
    </w:p>
    <w:p w14:paraId="20497A51">
      <w:pPr>
        <w:pStyle w:val="11"/>
        <w:rPr>
          <w:color w:val="auto"/>
          <w:sz w:val="20"/>
          <w:highlight w:val="none"/>
        </w:rPr>
      </w:pPr>
    </w:p>
    <w:p w14:paraId="4C7A431A">
      <w:pPr>
        <w:pStyle w:val="11"/>
        <w:rPr>
          <w:color w:val="auto"/>
          <w:sz w:val="20"/>
          <w:highlight w:val="none"/>
        </w:rPr>
      </w:pPr>
    </w:p>
    <w:p w14:paraId="41B6D7E8">
      <w:pPr>
        <w:pStyle w:val="11"/>
        <w:rPr>
          <w:color w:val="auto"/>
          <w:sz w:val="20"/>
          <w:highlight w:val="none"/>
        </w:rPr>
      </w:pPr>
    </w:p>
    <w:p w14:paraId="5E28EA12">
      <w:pPr>
        <w:pStyle w:val="11"/>
        <w:rPr>
          <w:color w:val="auto"/>
          <w:sz w:val="20"/>
          <w:highlight w:val="none"/>
        </w:rPr>
      </w:pPr>
    </w:p>
    <w:p w14:paraId="2EE47BF6">
      <w:pPr>
        <w:pStyle w:val="11"/>
        <w:rPr>
          <w:color w:val="auto"/>
          <w:sz w:val="20"/>
          <w:highlight w:val="none"/>
        </w:rPr>
      </w:pPr>
    </w:p>
    <w:p w14:paraId="24D0895E">
      <w:pPr>
        <w:pStyle w:val="11"/>
        <w:rPr>
          <w:color w:val="auto"/>
          <w:sz w:val="20"/>
          <w:highlight w:val="none"/>
        </w:rPr>
      </w:pPr>
    </w:p>
    <w:p w14:paraId="6AAB2B52">
      <w:pPr>
        <w:pStyle w:val="11"/>
        <w:rPr>
          <w:color w:val="auto"/>
          <w:sz w:val="20"/>
          <w:highlight w:val="none"/>
        </w:rPr>
      </w:pPr>
    </w:p>
    <w:p w14:paraId="449E0086">
      <w:pPr>
        <w:pStyle w:val="11"/>
        <w:rPr>
          <w:color w:val="auto"/>
          <w:sz w:val="20"/>
          <w:highlight w:val="none"/>
        </w:rPr>
      </w:pPr>
    </w:p>
    <w:p w14:paraId="4A8A93C9">
      <w:pPr>
        <w:pStyle w:val="11"/>
        <w:rPr>
          <w:color w:val="auto"/>
          <w:sz w:val="20"/>
          <w:highlight w:val="none"/>
        </w:rPr>
      </w:pPr>
    </w:p>
    <w:p w14:paraId="42F2D720">
      <w:pPr>
        <w:pStyle w:val="11"/>
        <w:spacing w:before="4"/>
        <w:rPr>
          <w:color w:val="auto"/>
          <w:sz w:val="16"/>
          <w:highlight w:val="none"/>
        </w:rPr>
      </w:pPr>
    </w:p>
    <w:p w14:paraId="65287C3F">
      <w:pPr>
        <w:pStyle w:val="3"/>
        <w:tabs>
          <w:tab w:val="left" w:pos="991"/>
        </w:tabs>
        <w:ind w:left="240"/>
        <w:rPr>
          <w:color w:val="auto"/>
          <w:highlight w:val="none"/>
        </w:rPr>
      </w:pPr>
      <w:bookmarkStart w:id="146" w:name="二___资信商务及技术文件格式"/>
      <w:bookmarkEnd w:id="146"/>
      <w:bookmarkStart w:id="147" w:name="_Toc7145"/>
      <w:r>
        <w:rPr>
          <w:rFonts w:hint="eastAsia"/>
          <w:color w:val="auto"/>
          <w:highlight w:val="none"/>
        </w:rPr>
        <w:t>二</w:t>
      </w:r>
      <w:r>
        <w:rPr>
          <w:rFonts w:hint="eastAsia"/>
          <w:color w:val="auto"/>
          <w:highlight w:val="none"/>
          <w:lang w:val="en-US"/>
        </w:rPr>
        <w:t xml:space="preserve"> </w:t>
      </w:r>
      <w:r>
        <w:rPr>
          <w:rFonts w:hint="eastAsia"/>
          <w:color w:val="auto"/>
          <w:highlight w:val="none"/>
        </w:rPr>
        <w:t>资信商务及技术文件格式</w:t>
      </w:r>
      <w:bookmarkEnd w:id="147"/>
    </w:p>
    <w:p w14:paraId="20695427">
      <w:pPr>
        <w:rPr>
          <w:color w:val="auto"/>
          <w:highlight w:val="none"/>
        </w:rPr>
        <w:sectPr>
          <w:headerReference r:id="rId6" w:type="default"/>
          <w:pgSz w:w="11910" w:h="16840"/>
          <w:pgMar w:top="1247" w:right="1247" w:bottom="1247" w:left="1587" w:header="884" w:footer="884" w:gutter="0"/>
          <w:cols w:space="0" w:num="1"/>
        </w:sectPr>
      </w:pPr>
    </w:p>
    <w:p w14:paraId="32C0D27D">
      <w:pPr>
        <w:spacing w:before="124"/>
        <w:ind w:left="561" w:right="439"/>
        <w:jc w:val="center"/>
        <w:rPr>
          <w:b/>
          <w:color w:val="auto"/>
          <w:sz w:val="36"/>
          <w:highlight w:val="none"/>
        </w:rPr>
      </w:pPr>
      <w:r>
        <w:rPr>
          <w:rFonts w:hint="eastAsia"/>
          <w:b/>
          <w:color w:val="auto"/>
          <w:sz w:val="36"/>
          <w:highlight w:val="none"/>
        </w:rPr>
        <w:t>资信商务及技术文件封面</w:t>
      </w:r>
    </w:p>
    <w:p w14:paraId="103E9E08">
      <w:pPr>
        <w:pStyle w:val="11"/>
        <w:rPr>
          <w:b/>
          <w:color w:val="auto"/>
          <w:sz w:val="36"/>
          <w:highlight w:val="none"/>
        </w:rPr>
      </w:pPr>
    </w:p>
    <w:p w14:paraId="42F9AA91">
      <w:pPr>
        <w:pStyle w:val="11"/>
        <w:rPr>
          <w:b/>
          <w:color w:val="auto"/>
          <w:sz w:val="36"/>
          <w:highlight w:val="none"/>
        </w:rPr>
      </w:pPr>
    </w:p>
    <w:p w14:paraId="30E7AADB">
      <w:pPr>
        <w:pStyle w:val="11"/>
        <w:spacing w:before="1"/>
        <w:rPr>
          <w:b/>
          <w:color w:val="auto"/>
          <w:sz w:val="38"/>
          <w:highlight w:val="none"/>
        </w:rPr>
      </w:pPr>
    </w:p>
    <w:p w14:paraId="6BCD80C2">
      <w:pPr>
        <w:spacing w:before="1"/>
        <w:ind w:left="2037"/>
        <w:rPr>
          <w:color w:val="auto"/>
          <w:sz w:val="36"/>
          <w:highlight w:val="none"/>
        </w:rPr>
      </w:pPr>
      <w:r>
        <w:rPr>
          <w:rFonts w:hint="eastAsia"/>
          <w:color w:val="auto"/>
          <w:sz w:val="36"/>
          <w:highlight w:val="none"/>
        </w:rPr>
        <w:t>项目编号：</w:t>
      </w:r>
    </w:p>
    <w:p w14:paraId="6588FD22">
      <w:pPr>
        <w:pStyle w:val="11"/>
        <w:rPr>
          <w:color w:val="auto"/>
          <w:sz w:val="36"/>
          <w:highlight w:val="none"/>
        </w:rPr>
      </w:pPr>
    </w:p>
    <w:p w14:paraId="55B2D732">
      <w:pPr>
        <w:pStyle w:val="11"/>
        <w:rPr>
          <w:color w:val="auto"/>
          <w:sz w:val="36"/>
          <w:highlight w:val="none"/>
        </w:rPr>
      </w:pPr>
    </w:p>
    <w:p w14:paraId="25ECCE40">
      <w:pPr>
        <w:pStyle w:val="11"/>
        <w:rPr>
          <w:color w:val="auto"/>
          <w:sz w:val="36"/>
          <w:highlight w:val="none"/>
        </w:rPr>
      </w:pPr>
    </w:p>
    <w:p w14:paraId="25E4D4C9">
      <w:pPr>
        <w:pStyle w:val="11"/>
        <w:spacing w:before="10"/>
        <w:rPr>
          <w:color w:val="auto"/>
          <w:sz w:val="50"/>
          <w:highlight w:val="none"/>
        </w:rPr>
      </w:pPr>
    </w:p>
    <w:p w14:paraId="23667CA7">
      <w:pPr>
        <w:ind w:left="2037"/>
        <w:rPr>
          <w:color w:val="auto"/>
          <w:sz w:val="36"/>
          <w:highlight w:val="none"/>
        </w:rPr>
      </w:pPr>
      <w:r>
        <w:rPr>
          <w:rFonts w:hint="eastAsia"/>
          <w:color w:val="auto"/>
          <w:sz w:val="36"/>
          <w:highlight w:val="none"/>
        </w:rPr>
        <w:t>项目名称：</w:t>
      </w:r>
    </w:p>
    <w:p w14:paraId="00FE3E43">
      <w:pPr>
        <w:pStyle w:val="11"/>
        <w:rPr>
          <w:color w:val="auto"/>
          <w:sz w:val="36"/>
          <w:highlight w:val="none"/>
        </w:rPr>
      </w:pPr>
    </w:p>
    <w:p w14:paraId="348494BC">
      <w:pPr>
        <w:pStyle w:val="11"/>
        <w:rPr>
          <w:color w:val="auto"/>
          <w:sz w:val="36"/>
          <w:highlight w:val="none"/>
        </w:rPr>
      </w:pPr>
    </w:p>
    <w:p w14:paraId="23FF215B">
      <w:pPr>
        <w:pStyle w:val="11"/>
        <w:rPr>
          <w:color w:val="auto"/>
          <w:sz w:val="36"/>
          <w:highlight w:val="none"/>
        </w:rPr>
      </w:pPr>
    </w:p>
    <w:p w14:paraId="1A42600F">
      <w:pPr>
        <w:pStyle w:val="11"/>
        <w:spacing w:before="10"/>
        <w:rPr>
          <w:color w:val="auto"/>
          <w:sz w:val="50"/>
          <w:highlight w:val="none"/>
        </w:rPr>
      </w:pPr>
    </w:p>
    <w:p w14:paraId="72A29B81">
      <w:pPr>
        <w:ind w:left="2037"/>
        <w:rPr>
          <w:color w:val="auto"/>
          <w:sz w:val="36"/>
          <w:highlight w:val="none"/>
        </w:rPr>
      </w:pPr>
      <w:r>
        <w:rPr>
          <w:rFonts w:hint="eastAsia"/>
          <w:color w:val="auto"/>
          <w:sz w:val="36"/>
          <w:highlight w:val="none"/>
        </w:rPr>
        <w:t>响应文件名称：资信商务及技术文件</w:t>
      </w:r>
    </w:p>
    <w:p w14:paraId="373400AB">
      <w:pPr>
        <w:pStyle w:val="11"/>
        <w:rPr>
          <w:color w:val="auto"/>
          <w:sz w:val="36"/>
          <w:highlight w:val="none"/>
        </w:rPr>
      </w:pPr>
    </w:p>
    <w:p w14:paraId="21C15D8D">
      <w:pPr>
        <w:pStyle w:val="11"/>
        <w:rPr>
          <w:color w:val="auto"/>
          <w:sz w:val="36"/>
          <w:highlight w:val="none"/>
        </w:rPr>
      </w:pPr>
    </w:p>
    <w:p w14:paraId="134656ED">
      <w:pPr>
        <w:pStyle w:val="11"/>
        <w:rPr>
          <w:color w:val="auto"/>
          <w:sz w:val="36"/>
          <w:highlight w:val="none"/>
        </w:rPr>
      </w:pPr>
    </w:p>
    <w:p w14:paraId="0CBB0755">
      <w:pPr>
        <w:pStyle w:val="11"/>
        <w:spacing w:before="11"/>
        <w:rPr>
          <w:color w:val="auto"/>
          <w:sz w:val="50"/>
          <w:highlight w:val="none"/>
        </w:rPr>
      </w:pPr>
    </w:p>
    <w:p w14:paraId="1D87D76E">
      <w:pPr>
        <w:ind w:left="2160"/>
        <w:rPr>
          <w:color w:val="auto"/>
          <w:sz w:val="36"/>
          <w:highlight w:val="none"/>
        </w:rPr>
      </w:pPr>
      <w:r>
        <w:rPr>
          <w:rFonts w:hint="eastAsia"/>
          <w:color w:val="auto"/>
          <w:sz w:val="36"/>
          <w:highlight w:val="none"/>
        </w:rPr>
        <w:t>供应商名称（CA 签章）：</w:t>
      </w:r>
    </w:p>
    <w:p w14:paraId="00CC5034">
      <w:pPr>
        <w:pStyle w:val="11"/>
        <w:rPr>
          <w:color w:val="auto"/>
          <w:sz w:val="36"/>
          <w:highlight w:val="none"/>
        </w:rPr>
      </w:pPr>
    </w:p>
    <w:p w14:paraId="4BB2E5DC">
      <w:pPr>
        <w:pStyle w:val="11"/>
        <w:rPr>
          <w:color w:val="auto"/>
          <w:sz w:val="36"/>
          <w:highlight w:val="none"/>
        </w:rPr>
      </w:pPr>
    </w:p>
    <w:p w14:paraId="2BBADF69">
      <w:pPr>
        <w:pStyle w:val="11"/>
        <w:spacing w:before="1"/>
        <w:rPr>
          <w:color w:val="auto"/>
          <w:sz w:val="38"/>
          <w:highlight w:val="none"/>
        </w:rPr>
      </w:pPr>
    </w:p>
    <w:p w14:paraId="736541E3">
      <w:pPr>
        <w:ind w:left="2037"/>
        <w:rPr>
          <w:color w:val="auto"/>
          <w:sz w:val="36"/>
          <w:highlight w:val="none"/>
        </w:rPr>
      </w:pPr>
      <w:r>
        <w:rPr>
          <w:rFonts w:hint="eastAsia"/>
          <w:color w:val="auto"/>
          <w:sz w:val="36"/>
          <w:highlight w:val="none"/>
        </w:rPr>
        <w:t>供应商地址：</w:t>
      </w:r>
    </w:p>
    <w:p w14:paraId="2AEBE89D">
      <w:pPr>
        <w:rPr>
          <w:color w:val="auto"/>
          <w:sz w:val="36"/>
          <w:highlight w:val="none"/>
        </w:rPr>
        <w:sectPr>
          <w:pgSz w:w="11910" w:h="16840"/>
          <w:pgMar w:top="1247" w:right="1247" w:bottom="1247" w:left="1587" w:header="884" w:footer="884" w:gutter="0"/>
          <w:cols w:space="0" w:num="1"/>
        </w:sectPr>
      </w:pPr>
    </w:p>
    <w:p w14:paraId="146F2FE2">
      <w:pPr>
        <w:pStyle w:val="11"/>
        <w:rPr>
          <w:color w:val="auto"/>
          <w:sz w:val="20"/>
          <w:highlight w:val="none"/>
        </w:rPr>
      </w:pPr>
    </w:p>
    <w:p w14:paraId="3618BEB8">
      <w:pPr>
        <w:pStyle w:val="11"/>
        <w:rPr>
          <w:color w:val="auto"/>
          <w:sz w:val="20"/>
          <w:highlight w:val="none"/>
        </w:rPr>
      </w:pPr>
    </w:p>
    <w:p w14:paraId="642E0121">
      <w:pPr>
        <w:pStyle w:val="11"/>
        <w:spacing w:before="1"/>
        <w:rPr>
          <w:color w:val="auto"/>
          <w:sz w:val="17"/>
          <w:highlight w:val="none"/>
        </w:rPr>
      </w:pPr>
    </w:p>
    <w:p w14:paraId="09BBA3C4">
      <w:pPr>
        <w:spacing w:before="55" w:line="360" w:lineRule="auto"/>
        <w:ind w:left="540"/>
        <w:jc w:val="center"/>
        <w:rPr>
          <w:b/>
          <w:color w:val="auto"/>
          <w:sz w:val="30"/>
          <w:highlight w:val="none"/>
        </w:rPr>
      </w:pPr>
      <w:r>
        <w:rPr>
          <w:rFonts w:hint="eastAsia"/>
          <w:b/>
          <w:color w:val="auto"/>
          <w:sz w:val="32"/>
          <w:highlight w:val="none"/>
        </w:rPr>
        <w:t>目 录</w:t>
      </w:r>
    </w:p>
    <w:p w14:paraId="1852CB46">
      <w:pPr>
        <w:pStyle w:val="5"/>
        <w:spacing w:line="360" w:lineRule="auto"/>
        <w:ind w:firstLine="0"/>
        <w:jc w:val="both"/>
        <w:rPr>
          <w:color w:val="auto"/>
          <w:sz w:val="24"/>
          <w:szCs w:val="24"/>
          <w:highlight w:val="none"/>
        </w:rPr>
      </w:pPr>
    </w:p>
    <w:p w14:paraId="2AEA1C25">
      <w:pPr>
        <w:pStyle w:val="5"/>
        <w:spacing w:line="360" w:lineRule="auto"/>
        <w:ind w:firstLine="0"/>
        <w:jc w:val="both"/>
        <w:rPr>
          <w:color w:val="auto"/>
          <w:sz w:val="24"/>
          <w:highlight w:val="none"/>
        </w:rPr>
      </w:pPr>
      <w:r>
        <w:rPr>
          <w:rFonts w:hint="eastAsia"/>
          <w:color w:val="auto"/>
          <w:sz w:val="24"/>
          <w:szCs w:val="24"/>
          <w:highlight w:val="none"/>
        </w:rPr>
        <w:t>（</w:t>
      </w:r>
      <w:r>
        <w:rPr>
          <w:rFonts w:hint="eastAsia"/>
          <w:color w:val="auto"/>
          <w:sz w:val="24"/>
          <w:highlight w:val="none"/>
        </w:rPr>
        <w:t>格式自行设计）</w:t>
      </w:r>
    </w:p>
    <w:p w14:paraId="6FB00939">
      <w:pPr>
        <w:pStyle w:val="11"/>
        <w:spacing w:line="360" w:lineRule="auto"/>
        <w:rPr>
          <w:color w:val="auto"/>
          <w:sz w:val="20"/>
          <w:highlight w:val="none"/>
        </w:rPr>
      </w:pPr>
    </w:p>
    <w:p w14:paraId="75ECB050">
      <w:pPr>
        <w:pStyle w:val="11"/>
        <w:spacing w:line="360" w:lineRule="auto"/>
        <w:rPr>
          <w:color w:val="auto"/>
          <w:sz w:val="20"/>
          <w:highlight w:val="none"/>
        </w:rPr>
        <w:sectPr>
          <w:pgSz w:w="11910" w:h="16840"/>
          <w:pgMar w:top="1247" w:right="1247" w:bottom="1247" w:left="1587" w:header="884" w:footer="884" w:gutter="0"/>
          <w:cols w:space="0" w:num="1"/>
        </w:sectPr>
      </w:pPr>
    </w:p>
    <w:p w14:paraId="619DA1F0">
      <w:pPr>
        <w:spacing w:before="124"/>
        <w:ind w:left="561" w:right="444"/>
        <w:jc w:val="center"/>
        <w:rPr>
          <w:b/>
          <w:color w:val="auto"/>
          <w:sz w:val="36"/>
          <w:highlight w:val="none"/>
        </w:rPr>
      </w:pPr>
      <w:r>
        <w:rPr>
          <w:rFonts w:hint="eastAsia"/>
          <w:b/>
          <w:color w:val="auto"/>
          <w:sz w:val="36"/>
          <w:highlight w:val="none"/>
        </w:rPr>
        <w:t>评分索引表</w:t>
      </w:r>
    </w:p>
    <w:p w14:paraId="2A99D900">
      <w:pPr>
        <w:pStyle w:val="11"/>
        <w:spacing w:before="6"/>
        <w:jc w:val="center"/>
        <w:rPr>
          <w:b/>
          <w:color w:val="auto"/>
          <w:highlight w:val="none"/>
          <w:lang w:val="en-US"/>
        </w:rPr>
      </w:pPr>
    </w:p>
    <w:p w14:paraId="17A7F604">
      <w:pPr>
        <w:pStyle w:val="11"/>
        <w:spacing w:before="6"/>
        <w:jc w:val="center"/>
        <w:rPr>
          <w:b/>
          <w:color w:val="auto"/>
          <w:highlight w:val="none"/>
          <w:lang w:val="en-US"/>
        </w:rPr>
      </w:pPr>
    </w:p>
    <w:p w14:paraId="72CFB15D">
      <w:pPr>
        <w:pStyle w:val="11"/>
        <w:spacing w:before="6"/>
        <w:jc w:val="center"/>
        <w:rPr>
          <w:b/>
          <w:color w:val="auto"/>
          <w:highlight w:val="none"/>
          <w:lang w:val="en-US"/>
        </w:rPr>
      </w:pPr>
    </w:p>
    <w:p w14:paraId="67DFE0D2">
      <w:pPr>
        <w:pStyle w:val="11"/>
        <w:spacing w:before="6"/>
        <w:jc w:val="center"/>
        <w:rPr>
          <w:b/>
          <w:color w:val="auto"/>
          <w:highlight w:val="none"/>
          <w:lang w:val="en-US"/>
        </w:rPr>
      </w:pPr>
    </w:p>
    <w:p w14:paraId="5400DBD2">
      <w:pPr>
        <w:pStyle w:val="11"/>
        <w:spacing w:before="6"/>
        <w:jc w:val="center"/>
        <w:rPr>
          <w:b/>
          <w:color w:val="auto"/>
          <w:highlight w:val="none"/>
          <w:lang w:val="en-US"/>
        </w:rPr>
      </w:pPr>
      <w:r>
        <w:rPr>
          <w:rFonts w:hint="eastAsia"/>
          <w:b/>
          <w:color w:val="auto"/>
          <w:highlight w:val="none"/>
          <w:lang w:val="en-US"/>
        </w:rPr>
        <w:t>格式自拟</w:t>
      </w:r>
    </w:p>
    <w:p w14:paraId="276E0404">
      <w:pPr>
        <w:rPr>
          <w:color w:val="auto"/>
          <w:highlight w:val="none"/>
        </w:rPr>
        <w:sectPr>
          <w:pgSz w:w="11910" w:h="16840"/>
          <w:pgMar w:top="1247" w:right="1247" w:bottom="1247" w:left="1587" w:header="884" w:footer="884" w:gutter="0"/>
          <w:cols w:space="0" w:num="1"/>
        </w:sectPr>
      </w:pPr>
    </w:p>
    <w:p w14:paraId="6E2CECC6">
      <w:pPr>
        <w:pStyle w:val="11"/>
        <w:spacing w:before="5"/>
        <w:rPr>
          <w:b/>
          <w:color w:val="auto"/>
          <w:sz w:val="8"/>
          <w:highlight w:val="none"/>
        </w:rPr>
      </w:pPr>
    </w:p>
    <w:p w14:paraId="54EBA697">
      <w:pPr>
        <w:spacing w:before="58"/>
        <w:ind w:left="561" w:right="444"/>
        <w:jc w:val="center"/>
        <w:rPr>
          <w:b/>
          <w:color w:val="auto"/>
          <w:sz w:val="30"/>
          <w:highlight w:val="none"/>
        </w:rPr>
      </w:pPr>
      <w:r>
        <w:rPr>
          <w:rFonts w:hint="eastAsia"/>
          <w:b/>
          <w:color w:val="auto"/>
          <w:sz w:val="30"/>
          <w:highlight w:val="none"/>
        </w:rPr>
        <w:t>1</w:t>
      </w:r>
      <w:r>
        <w:rPr>
          <w:rFonts w:hint="eastAsia"/>
          <w:b/>
          <w:color w:val="auto"/>
          <w:sz w:val="30"/>
          <w:highlight w:val="none"/>
          <w:lang w:val="en-US"/>
        </w:rPr>
        <w:t>.磋商</w:t>
      </w:r>
      <w:r>
        <w:rPr>
          <w:rFonts w:hint="eastAsia"/>
          <w:b/>
          <w:color w:val="auto"/>
          <w:sz w:val="30"/>
          <w:highlight w:val="none"/>
        </w:rPr>
        <w:t>声明书</w:t>
      </w:r>
    </w:p>
    <w:p w14:paraId="618D2484">
      <w:pPr>
        <w:pStyle w:val="11"/>
        <w:spacing w:line="360" w:lineRule="auto"/>
        <w:jc w:val="both"/>
        <w:rPr>
          <w:color w:val="auto"/>
          <w:highlight w:val="none"/>
        </w:rPr>
      </w:pPr>
      <w:r>
        <w:rPr>
          <w:rFonts w:hint="eastAsia"/>
          <w:color w:val="auto"/>
          <w:highlight w:val="none"/>
          <w:u w:val="single"/>
        </w:rPr>
        <w:t>（</w:t>
      </w:r>
      <w:r>
        <w:rPr>
          <w:rFonts w:hint="eastAsia"/>
          <w:color w:val="auto"/>
          <w:highlight w:val="none"/>
          <w:u w:val="single"/>
          <w:lang w:val="en-US"/>
        </w:rPr>
        <w:t>采购人</w:t>
      </w:r>
      <w:r>
        <w:rPr>
          <w:rFonts w:hint="eastAsia"/>
          <w:color w:val="auto"/>
          <w:highlight w:val="none"/>
          <w:u w:val="single"/>
        </w:rPr>
        <w:t>名称）：</w:t>
      </w:r>
    </w:p>
    <w:p w14:paraId="05CCC7D0">
      <w:pPr>
        <w:pStyle w:val="11"/>
        <w:tabs>
          <w:tab w:val="left" w:pos="1293"/>
          <w:tab w:val="left" w:pos="7893"/>
        </w:tabs>
        <w:spacing w:line="360" w:lineRule="auto"/>
        <w:ind w:firstLine="480" w:firstLineChars="200"/>
        <w:jc w:val="center"/>
        <w:rPr>
          <w:color w:val="auto"/>
          <w:highlight w:val="none"/>
        </w:rPr>
      </w:pPr>
      <w:r>
        <w:rPr>
          <w:rFonts w:hint="eastAsia"/>
          <w:color w:val="auto"/>
          <w:highlight w:val="none"/>
          <w:u w:val="single"/>
        </w:rPr>
        <w:tab/>
      </w:r>
      <w:r>
        <w:rPr>
          <w:rFonts w:hint="eastAsia"/>
          <w:color w:val="auto"/>
          <w:highlight w:val="none"/>
          <w:u w:val="single"/>
        </w:rPr>
        <w:t>(供应商全称</w:t>
      </w:r>
      <w:r>
        <w:rPr>
          <w:rFonts w:hint="eastAsia"/>
          <w:color w:val="auto"/>
          <w:highlight w:val="none"/>
        </w:rPr>
        <w:t>)系中华人民共和国合法企业，经营地址</w:t>
      </w:r>
      <w:r>
        <w:rPr>
          <w:rFonts w:hint="eastAsia"/>
          <w:color w:val="auto"/>
          <w:highlight w:val="none"/>
          <w:u w:val="single"/>
        </w:rPr>
        <w:tab/>
      </w:r>
      <w:r>
        <w:rPr>
          <w:rFonts w:hint="eastAsia"/>
          <w:color w:val="auto"/>
          <w:highlight w:val="none"/>
        </w:rPr>
        <w:t>。</w:t>
      </w:r>
    </w:p>
    <w:p w14:paraId="4E20D586">
      <w:pPr>
        <w:pStyle w:val="11"/>
        <w:spacing w:line="360" w:lineRule="auto"/>
        <w:ind w:firstLine="480" w:firstLineChars="200"/>
        <w:jc w:val="both"/>
        <w:rPr>
          <w:color w:val="auto"/>
          <w:highlight w:val="none"/>
        </w:rPr>
      </w:pPr>
      <w:r>
        <w:rPr>
          <w:rFonts w:hint="eastAsia"/>
          <w:color w:val="auto"/>
          <w:highlight w:val="none"/>
        </w:rPr>
        <w:t>我</w:t>
      </w:r>
      <w:r>
        <w:rPr>
          <w:rFonts w:hint="eastAsia"/>
          <w:color w:val="auto"/>
          <w:highlight w:val="none"/>
          <w:u w:val="single"/>
        </w:rPr>
        <w:t>(法定代表人或负责人名字)</w:t>
      </w:r>
      <w:r>
        <w:rPr>
          <w:rFonts w:hint="eastAsia"/>
          <w:color w:val="auto"/>
          <w:highlight w:val="none"/>
        </w:rPr>
        <w:t>系</w:t>
      </w:r>
      <w:r>
        <w:rPr>
          <w:rFonts w:hint="eastAsia"/>
          <w:color w:val="auto"/>
          <w:highlight w:val="none"/>
          <w:u w:val="single"/>
        </w:rPr>
        <w:t xml:space="preserve">    (供应商名称)      </w:t>
      </w:r>
      <w:r>
        <w:rPr>
          <w:rFonts w:hint="eastAsia"/>
          <w:color w:val="auto"/>
          <w:highlight w:val="none"/>
        </w:rPr>
        <w:t>为负责人，我方愿意参加贵方组织的</w:t>
      </w:r>
      <w:r>
        <w:rPr>
          <w:rFonts w:hint="eastAsia"/>
          <w:color w:val="auto"/>
          <w:highlight w:val="none"/>
          <w:u w:val="single"/>
        </w:rPr>
        <w:t xml:space="preserve">   （项目名称）（项目编号：   ）</w:t>
      </w:r>
      <w:r>
        <w:rPr>
          <w:rFonts w:hint="eastAsia"/>
          <w:color w:val="auto"/>
          <w:highlight w:val="none"/>
        </w:rPr>
        <w:t>的磋商。为便于贵方公正、择优地确定成交人以及磋商产品和服务，我方就本次磋商有关事项郑重承诺如下：</w:t>
      </w:r>
    </w:p>
    <w:p w14:paraId="336B72FF">
      <w:pPr>
        <w:pStyle w:val="11"/>
        <w:spacing w:line="360" w:lineRule="auto"/>
        <w:ind w:firstLine="480" w:firstLineChars="200"/>
        <w:rPr>
          <w:color w:val="auto"/>
          <w:highlight w:val="none"/>
        </w:rPr>
      </w:pPr>
      <w:r>
        <w:rPr>
          <w:rFonts w:hint="eastAsia"/>
          <w:color w:val="auto"/>
          <w:highlight w:val="none"/>
        </w:rPr>
        <w:t>1</w:t>
      </w:r>
      <w:r>
        <w:rPr>
          <w:rFonts w:hint="eastAsia"/>
          <w:color w:val="auto"/>
          <w:highlight w:val="none"/>
          <w:lang w:val="en-US"/>
        </w:rPr>
        <w:t>.</w:t>
      </w:r>
      <w:r>
        <w:rPr>
          <w:rFonts w:hint="eastAsia"/>
          <w:color w:val="auto"/>
          <w:highlight w:val="none"/>
        </w:rPr>
        <w:t>我方向贵方提交的所有响应文件、资料都是准确的和真实的。</w:t>
      </w:r>
    </w:p>
    <w:p w14:paraId="4DBE4415">
      <w:pPr>
        <w:pStyle w:val="11"/>
        <w:spacing w:line="360" w:lineRule="auto"/>
        <w:ind w:firstLine="480" w:firstLineChars="200"/>
        <w:jc w:val="both"/>
        <w:rPr>
          <w:color w:val="auto"/>
          <w:highlight w:val="none"/>
        </w:rPr>
      </w:pPr>
      <w:r>
        <w:rPr>
          <w:rFonts w:hint="eastAsia"/>
          <w:color w:val="auto"/>
          <w:highlight w:val="none"/>
        </w:rPr>
        <w:t>2</w:t>
      </w:r>
      <w:r>
        <w:rPr>
          <w:rFonts w:hint="eastAsia"/>
          <w:color w:val="auto"/>
          <w:highlight w:val="none"/>
          <w:lang w:val="en-US"/>
        </w:rPr>
        <w:t>.</w:t>
      </w:r>
      <w:r>
        <w:rPr>
          <w:rFonts w:hint="eastAsia"/>
          <w:color w:val="auto"/>
          <w:highlight w:val="none"/>
        </w:rPr>
        <w:t>我方承诺已经具备《中华人民共和国政府采购法》、《中华人民共和国政府采购法实施条例》中规定的参加政府采购活动的供应商应当具备的条件，并真实提供相关材料。</w:t>
      </w:r>
    </w:p>
    <w:p w14:paraId="0BB315E9">
      <w:pPr>
        <w:pStyle w:val="11"/>
        <w:spacing w:line="360" w:lineRule="auto"/>
        <w:ind w:firstLine="480" w:firstLineChars="200"/>
        <w:jc w:val="both"/>
        <w:rPr>
          <w:color w:val="auto"/>
          <w:highlight w:val="none"/>
        </w:rPr>
      </w:pPr>
      <w:r>
        <w:rPr>
          <w:rFonts w:hint="eastAsia"/>
          <w:color w:val="auto"/>
          <w:highlight w:val="none"/>
        </w:rPr>
        <w:t>3</w:t>
      </w:r>
      <w:r>
        <w:rPr>
          <w:rFonts w:hint="eastAsia"/>
          <w:color w:val="auto"/>
          <w:highlight w:val="none"/>
          <w:lang w:val="en-US"/>
        </w:rPr>
        <w:t>.</w:t>
      </w:r>
      <w:r>
        <w:rPr>
          <w:rFonts w:hint="eastAsia"/>
          <w:color w:val="auto"/>
          <w:highlight w:val="none"/>
        </w:rPr>
        <w:t>提供供应商须知规定的全部响应文件，包括：</w:t>
      </w:r>
    </w:p>
    <w:p w14:paraId="0AD7CAF4">
      <w:pPr>
        <w:pStyle w:val="11"/>
        <w:spacing w:line="360" w:lineRule="auto"/>
        <w:ind w:firstLine="480" w:firstLineChars="200"/>
        <w:jc w:val="both"/>
        <w:rPr>
          <w:color w:val="auto"/>
          <w:highlight w:val="none"/>
        </w:rPr>
      </w:pPr>
      <w:r>
        <w:rPr>
          <w:rFonts w:hint="eastAsia"/>
          <w:color w:val="auto"/>
          <w:highlight w:val="none"/>
        </w:rPr>
        <w:t>①电子响应文件；</w:t>
      </w:r>
    </w:p>
    <w:p w14:paraId="148547E3">
      <w:pPr>
        <w:pStyle w:val="11"/>
        <w:spacing w:line="360" w:lineRule="auto"/>
        <w:ind w:firstLine="480" w:firstLineChars="200"/>
        <w:jc w:val="both"/>
        <w:rPr>
          <w:color w:val="auto"/>
          <w:highlight w:val="none"/>
        </w:rPr>
      </w:pPr>
      <w:r>
        <w:rPr>
          <w:rFonts w:hint="eastAsia"/>
          <w:color w:val="auto"/>
          <w:highlight w:val="none"/>
        </w:rPr>
        <w:t>②备份响应文件（注：是否提交由供应商自行决定，如不提交，本条可删除）。</w:t>
      </w:r>
    </w:p>
    <w:p w14:paraId="08761B1A">
      <w:pPr>
        <w:pStyle w:val="11"/>
        <w:tabs>
          <w:tab w:val="left" w:pos="5716"/>
        </w:tabs>
        <w:spacing w:line="360" w:lineRule="auto"/>
        <w:ind w:firstLine="480" w:firstLineChars="200"/>
        <w:jc w:val="both"/>
        <w:rPr>
          <w:color w:val="auto"/>
          <w:highlight w:val="none"/>
        </w:rPr>
      </w:pPr>
      <w:r>
        <w:rPr>
          <w:rFonts w:hint="eastAsia"/>
          <w:color w:val="auto"/>
          <w:highlight w:val="none"/>
        </w:rPr>
        <w:t>4</w:t>
      </w:r>
      <w:r>
        <w:rPr>
          <w:rFonts w:hint="eastAsia"/>
          <w:color w:val="auto"/>
          <w:highlight w:val="none"/>
          <w:lang w:val="en-US"/>
        </w:rPr>
        <w:t>.</w:t>
      </w:r>
      <w:r>
        <w:rPr>
          <w:rFonts w:hint="eastAsia"/>
          <w:color w:val="auto"/>
          <w:highlight w:val="none"/>
        </w:rPr>
        <w:t>如果我方成交，将派出</w:t>
      </w:r>
      <w:r>
        <w:rPr>
          <w:rFonts w:hint="eastAsia"/>
          <w:color w:val="auto"/>
          <w:highlight w:val="none"/>
          <w:u w:val="single"/>
        </w:rPr>
        <w:t>（姓名及身份证号码），</w:t>
      </w:r>
      <w:r>
        <w:rPr>
          <w:rFonts w:hint="eastAsia"/>
          <w:color w:val="auto"/>
          <w:highlight w:val="none"/>
        </w:rPr>
        <w:t>作为本项目与采购单位联系的项目实施负责人，联系手机号码：</w:t>
      </w:r>
      <w:r>
        <w:rPr>
          <w:rFonts w:hint="eastAsia"/>
          <w:color w:val="auto"/>
          <w:highlight w:val="none"/>
          <w:u w:val="single"/>
        </w:rPr>
        <w:tab/>
      </w:r>
      <w:r>
        <w:rPr>
          <w:rFonts w:hint="eastAsia"/>
          <w:color w:val="auto"/>
          <w:highlight w:val="none"/>
        </w:rPr>
        <w:t>。在项目实施过程中，并承诺项目实施负责人不更换，若确需要更换的，书面征得采购人同意后才准予更换。</w:t>
      </w:r>
    </w:p>
    <w:p w14:paraId="501D70C8">
      <w:pPr>
        <w:pStyle w:val="11"/>
        <w:spacing w:line="360" w:lineRule="auto"/>
        <w:ind w:firstLine="480" w:firstLineChars="200"/>
        <w:jc w:val="both"/>
        <w:rPr>
          <w:color w:val="auto"/>
          <w:highlight w:val="none"/>
        </w:rPr>
      </w:pPr>
      <w:r>
        <w:rPr>
          <w:rFonts w:hint="eastAsia"/>
          <w:color w:val="auto"/>
          <w:highlight w:val="none"/>
        </w:rPr>
        <w:t>5</w:t>
      </w:r>
      <w:r>
        <w:rPr>
          <w:rFonts w:hint="eastAsia"/>
          <w:color w:val="auto"/>
          <w:highlight w:val="none"/>
          <w:lang w:val="en-US"/>
        </w:rPr>
        <w:t>.</w:t>
      </w:r>
      <w:r>
        <w:rPr>
          <w:rFonts w:hint="eastAsia"/>
          <w:color w:val="auto"/>
          <w:highlight w:val="none"/>
        </w:rPr>
        <w:t xml:space="preserve">我方的磋商有效期自提交响应文件的截止之日起 </w:t>
      </w:r>
      <w:r>
        <w:rPr>
          <w:rFonts w:hint="eastAsia"/>
          <w:color w:val="auto"/>
          <w:highlight w:val="none"/>
          <w:u w:val="single"/>
        </w:rPr>
        <w:t>90</w:t>
      </w:r>
      <w:r>
        <w:rPr>
          <w:rFonts w:hint="eastAsia"/>
          <w:color w:val="auto"/>
          <w:highlight w:val="none"/>
        </w:rPr>
        <w:t xml:space="preserve"> 天内有效。</w:t>
      </w:r>
    </w:p>
    <w:p w14:paraId="2273C583">
      <w:pPr>
        <w:pStyle w:val="11"/>
        <w:spacing w:line="360" w:lineRule="auto"/>
        <w:ind w:firstLine="480" w:firstLineChars="200"/>
        <w:rPr>
          <w:color w:val="auto"/>
          <w:highlight w:val="none"/>
        </w:rPr>
      </w:pPr>
      <w:r>
        <w:rPr>
          <w:rFonts w:hint="eastAsia"/>
          <w:color w:val="auto"/>
          <w:highlight w:val="none"/>
        </w:rPr>
        <w:t>6</w:t>
      </w:r>
      <w:r>
        <w:rPr>
          <w:rFonts w:hint="eastAsia"/>
          <w:color w:val="auto"/>
          <w:highlight w:val="none"/>
          <w:lang w:val="en-US"/>
        </w:rPr>
        <w:t>.</w:t>
      </w:r>
      <w:r>
        <w:rPr>
          <w:rFonts w:hint="eastAsia"/>
          <w:color w:val="auto"/>
          <w:highlight w:val="none"/>
        </w:rPr>
        <w:t>我方在磋商之前已经与贵方进行了充分的沟通，完全理解并接受磋商文件的各项规定和要求，对磋商文件的合理性、合法性不再有异议。</w:t>
      </w:r>
    </w:p>
    <w:p w14:paraId="1773D25D">
      <w:pPr>
        <w:pStyle w:val="11"/>
        <w:spacing w:line="360" w:lineRule="auto"/>
        <w:ind w:firstLine="480" w:firstLineChars="200"/>
        <w:rPr>
          <w:color w:val="auto"/>
          <w:highlight w:val="none"/>
        </w:rPr>
      </w:pPr>
      <w:r>
        <w:rPr>
          <w:rFonts w:hint="eastAsia"/>
          <w:color w:val="auto"/>
          <w:highlight w:val="none"/>
        </w:rPr>
        <w:t>我方愿意向贵方提供真实完整的任何与该项磋商有关的数据、情况和技术资料。若贵方需要，我方愿意提供我方作出的一切承诺的证明材料。</w:t>
      </w:r>
    </w:p>
    <w:p w14:paraId="1AABBCCA">
      <w:pPr>
        <w:pStyle w:val="11"/>
        <w:spacing w:line="360" w:lineRule="auto"/>
        <w:ind w:firstLine="480" w:firstLineChars="200"/>
        <w:rPr>
          <w:color w:val="auto"/>
          <w:highlight w:val="none"/>
        </w:rPr>
      </w:pPr>
      <w:r>
        <w:rPr>
          <w:rFonts w:hint="eastAsia"/>
          <w:color w:val="auto"/>
          <w:highlight w:val="none"/>
        </w:rPr>
        <w:t>7</w:t>
      </w:r>
      <w:r>
        <w:rPr>
          <w:rFonts w:hint="eastAsia"/>
          <w:color w:val="auto"/>
          <w:highlight w:val="none"/>
          <w:lang w:val="en-US"/>
        </w:rPr>
        <w:t>.</w:t>
      </w:r>
      <w:r>
        <w:rPr>
          <w:rFonts w:hint="eastAsia"/>
          <w:color w:val="auto"/>
          <w:highlight w:val="none"/>
        </w:rPr>
        <w:t>我方已详细审核全部磋商文件，包括磋商文件的澄清或修改文件（如有的话）、参考资料及有关附件，已经了解我方对于磋商文件、采购过程、采购结果有依法进行询问、质疑、投诉的权利及相关渠道和要求。</w:t>
      </w:r>
    </w:p>
    <w:p w14:paraId="43135CB4">
      <w:pPr>
        <w:pStyle w:val="11"/>
        <w:spacing w:line="360" w:lineRule="auto"/>
        <w:ind w:firstLine="480" w:firstLineChars="200"/>
        <w:rPr>
          <w:color w:val="auto"/>
          <w:highlight w:val="none"/>
        </w:rPr>
      </w:pPr>
      <w:r>
        <w:rPr>
          <w:rFonts w:hint="eastAsia"/>
          <w:color w:val="auto"/>
          <w:highlight w:val="none"/>
        </w:rPr>
        <w:t>8</w:t>
      </w:r>
      <w:r>
        <w:rPr>
          <w:rFonts w:hint="eastAsia"/>
          <w:color w:val="auto"/>
          <w:highlight w:val="none"/>
          <w:lang w:val="en-US"/>
        </w:rPr>
        <w:t>.</w:t>
      </w:r>
      <w:r>
        <w:rPr>
          <w:rFonts w:hint="eastAsia"/>
          <w:color w:val="auto"/>
          <w:highlight w:val="none"/>
        </w:rPr>
        <w:t>我方不是采购人的附属机构，并未为本项目提供整体设计、规范编制或者项目管理、监理、监测等服务。</w:t>
      </w:r>
    </w:p>
    <w:p w14:paraId="7AADDB96">
      <w:pPr>
        <w:pStyle w:val="11"/>
        <w:spacing w:line="360" w:lineRule="auto"/>
        <w:ind w:firstLine="480" w:firstLineChars="200"/>
        <w:rPr>
          <w:color w:val="auto"/>
          <w:highlight w:val="none"/>
        </w:rPr>
      </w:pPr>
      <w:r>
        <w:rPr>
          <w:rFonts w:hint="eastAsia"/>
          <w:color w:val="auto"/>
          <w:highlight w:val="none"/>
        </w:rPr>
        <w:t>9</w:t>
      </w:r>
      <w:r>
        <w:rPr>
          <w:rFonts w:hint="eastAsia"/>
          <w:color w:val="auto"/>
          <w:highlight w:val="none"/>
          <w:lang w:val="en-US"/>
        </w:rPr>
        <w:t>.</w:t>
      </w:r>
      <w:r>
        <w:rPr>
          <w:rFonts w:hint="eastAsia"/>
          <w:color w:val="auto"/>
          <w:highlight w:val="none"/>
        </w:rPr>
        <w:t>我方将严格遵守《中华人民共和国政府采购法》第七十七条规定：供应商有下列情形之一的，处以采购金额 5‰以上 10‰以下的罚款，列入不良行为记录名单，在一至三年内禁止参加政府采购活动；有违法所得的，并处没收违法所得；情节严重的，由工商行政管理机关吊销营业执照；构成犯罪的，依法追究刑事责任：</w:t>
      </w:r>
    </w:p>
    <w:p w14:paraId="41C4D886">
      <w:pPr>
        <w:pStyle w:val="11"/>
        <w:spacing w:line="360" w:lineRule="auto"/>
        <w:ind w:firstLine="480" w:firstLineChars="200"/>
        <w:rPr>
          <w:color w:val="auto"/>
          <w:highlight w:val="none"/>
        </w:rPr>
      </w:pPr>
      <w:r>
        <w:rPr>
          <w:rFonts w:hint="eastAsia"/>
          <w:color w:val="auto"/>
          <w:highlight w:val="none"/>
        </w:rPr>
        <w:t>（一）提供虚假材料谋取成交、中标的；</w:t>
      </w:r>
    </w:p>
    <w:p w14:paraId="098BA0DF">
      <w:pPr>
        <w:pStyle w:val="11"/>
        <w:spacing w:line="360" w:lineRule="auto"/>
        <w:ind w:firstLine="480" w:firstLineChars="200"/>
        <w:rPr>
          <w:color w:val="auto"/>
          <w:highlight w:val="none"/>
        </w:rPr>
      </w:pPr>
      <w:r>
        <w:rPr>
          <w:rFonts w:hint="eastAsia"/>
          <w:color w:val="auto"/>
          <w:highlight w:val="none"/>
        </w:rPr>
        <w:t>（二）采取不正当手段诋毁、排挤其他供应商的；</w:t>
      </w:r>
    </w:p>
    <w:p w14:paraId="7F9B2B03">
      <w:pPr>
        <w:pStyle w:val="11"/>
        <w:spacing w:line="360" w:lineRule="auto"/>
        <w:ind w:firstLine="480" w:firstLineChars="200"/>
        <w:rPr>
          <w:color w:val="auto"/>
          <w:highlight w:val="none"/>
        </w:rPr>
      </w:pPr>
      <w:r>
        <w:rPr>
          <w:rFonts w:hint="eastAsia"/>
          <w:color w:val="auto"/>
          <w:highlight w:val="none"/>
        </w:rPr>
        <w:t>（三）与采购人、其它供应商或者采购代理机构恶意串通的；</w:t>
      </w:r>
    </w:p>
    <w:p w14:paraId="0AE623AF">
      <w:pPr>
        <w:pStyle w:val="11"/>
        <w:spacing w:line="360" w:lineRule="auto"/>
        <w:ind w:firstLine="480" w:firstLineChars="200"/>
        <w:rPr>
          <w:color w:val="auto"/>
          <w:highlight w:val="none"/>
        </w:rPr>
      </w:pPr>
      <w:r>
        <w:rPr>
          <w:rFonts w:hint="eastAsia"/>
          <w:color w:val="auto"/>
          <w:highlight w:val="none"/>
        </w:rPr>
        <w:t>（四）向采购人、采购代理机构行贿或者提供其他不正当利益的；</w:t>
      </w:r>
    </w:p>
    <w:p w14:paraId="5F213236">
      <w:pPr>
        <w:pStyle w:val="11"/>
        <w:spacing w:line="360" w:lineRule="auto"/>
        <w:ind w:firstLine="480" w:firstLineChars="200"/>
        <w:rPr>
          <w:color w:val="auto"/>
          <w:highlight w:val="none"/>
        </w:rPr>
      </w:pPr>
      <w:r>
        <w:rPr>
          <w:rFonts w:hint="eastAsia"/>
          <w:color w:val="auto"/>
          <w:highlight w:val="none"/>
        </w:rPr>
        <w:t>（五）在招标采购过程中与采购人进行协商谈判的；</w:t>
      </w:r>
    </w:p>
    <w:p w14:paraId="3751BB0F">
      <w:pPr>
        <w:pStyle w:val="11"/>
        <w:spacing w:line="360" w:lineRule="auto"/>
        <w:ind w:firstLine="480" w:firstLineChars="200"/>
        <w:rPr>
          <w:color w:val="auto"/>
          <w:highlight w:val="none"/>
        </w:rPr>
      </w:pPr>
      <w:r>
        <w:rPr>
          <w:rFonts w:hint="eastAsia"/>
          <w:color w:val="auto"/>
          <w:highlight w:val="none"/>
        </w:rPr>
        <w:t>（六）拒绝有关部门监督检查或提供虚假情况的。</w:t>
      </w:r>
    </w:p>
    <w:p w14:paraId="01DA37EF">
      <w:pPr>
        <w:pStyle w:val="11"/>
        <w:spacing w:line="360" w:lineRule="auto"/>
        <w:ind w:firstLine="480" w:firstLineChars="200"/>
        <w:rPr>
          <w:color w:val="auto"/>
          <w:highlight w:val="none"/>
        </w:rPr>
      </w:pPr>
      <w:r>
        <w:rPr>
          <w:rFonts w:hint="eastAsia"/>
          <w:color w:val="auto"/>
          <w:highlight w:val="none"/>
        </w:rPr>
        <w:t>10</w:t>
      </w:r>
      <w:r>
        <w:rPr>
          <w:rFonts w:hint="eastAsia"/>
          <w:color w:val="auto"/>
          <w:highlight w:val="none"/>
          <w:lang w:val="en-US"/>
        </w:rPr>
        <w:t>.</w:t>
      </w:r>
      <w:r>
        <w:rPr>
          <w:rFonts w:hint="eastAsia"/>
          <w:color w:val="auto"/>
          <w:highlight w:val="none"/>
        </w:rPr>
        <w:t>如成交，本响应文件至本项目合同履行完毕止均保持有效，我方将按磋商文件及政府采购法律、法规的规定履行合同责任和义务。</w:t>
      </w:r>
    </w:p>
    <w:p w14:paraId="1EB8F714">
      <w:pPr>
        <w:pStyle w:val="11"/>
        <w:spacing w:line="360" w:lineRule="auto"/>
        <w:ind w:firstLine="480" w:firstLineChars="200"/>
        <w:rPr>
          <w:color w:val="auto"/>
          <w:highlight w:val="none"/>
        </w:rPr>
      </w:pPr>
      <w:r>
        <w:rPr>
          <w:rFonts w:hint="eastAsia"/>
          <w:color w:val="auto"/>
          <w:highlight w:val="none"/>
        </w:rPr>
        <w:t>11</w:t>
      </w:r>
      <w:r>
        <w:rPr>
          <w:rFonts w:hint="eastAsia"/>
          <w:color w:val="auto"/>
          <w:highlight w:val="none"/>
          <w:lang w:val="en-US"/>
        </w:rPr>
        <w:t>.</w:t>
      </w:r>
      <w:r>
        <w:rPr>
          <w:rFonts w:hint="eastAsia"/>
          <w:color w:val="auto"/>
          <w:highlight w:val="none"/>
        </w:rPr>
        <w:t>以上事项如有虚假或隐瞒，我方愿意承担一切不利后果，并不再寻求任何旨在减轻或免除法律责任。</w:t>
      </w:r>
    </w:p>
    <w:p w14:paraId="63FEF86A">
      <w:pPr>
        <w:pStyle w:val="11"/>
        <w:spacing w:line="360" w:lineRule="auto"/>
        <w:ind w:firstLine="480" w:firstLineChars="200"/>
        <w:rPr>
          <w:color w:val="auto"/>
          <w:highlight w:val="none"/>
        </w:rPr>
      </w:pPr>
      <w:r>
        <w:rPr>
          <w:rFonts w:hint="eastAsia"/>
          <w:color w:val="auto"/>
          <w:highlight w:val="none"/>
        </w:rPr>
        <w:t>与本次磋商有关的一切正式往来信函请寄：</w:t>
      </w:r>
    </w:p>
    <w:p w14:paraId="62E30C26">
      <w:pPr>
        <w:pStyle w:val="11"/>
        <w:tabs>
          <w:tab w:val="left" w:pos="3879"/>
          <w:tab w:val="left" w:pos="4420"/>
          <w:tab w:val="left" w:pos="6959"/>
        </w:tabs>
        <w:spacing w:line="360" w:lineRule="auto"/>
        <w:ind w:firstLine="480" w:firstLineChars="200"/>
        <w:rPr>
          <w:color w:val="auto"/>
          <w:highlight w:val="none"/>
          <w:u w:val="single"/>
        </w:rPr>
      </w:pPr>
      <w:r>
        <w:rPr>
          <w:rFonts w:hint="eastAsia"/>
          <w:color w:val="auto"/>
          <w:highlight w:val="none"/>
        </w:rPr>
        <w:t>地址：</w:t>
      </w:r>
      <w:r>
        <w:rPr>
          <w:rFonts w:hint="eastAsia"/>
          <w:color w:val="auto"/>
          <w:highlight w:val="none"/>
          <w:u w:val="single"/>
        </w:rPr>
        <w:tab/>
      </w:r>
      <w:r>
        <w:rPr>
          <w:rFonts w:hint="eastAsia"/>
          <w:color w:val="auto"/>
          <w:highlight w:val="none"/>
        </w:rPr>
        <w:tab/>
      </w:r>
      <w:r>
        <w:rPr>
          <w:rFonts w:hint="eastAsia"/>
          <w:color w:val="auto"/>
          <w:highlight w:val="none"/>
        </w:rPr>
        <w:t>邮编：</w:t>
      </w:r>
      <w:r>
        <w:rPr>
          <w:rFonts w:hint="eastAsia"/>
          <w:color w:val="auto"/>
          <w:highlight w:val="none"/>
          <w:u w:val="single"/>
        </w:rPr>
        <w:tab/>
      </w:r>
    </w:p>
    <w:p w14:paraId="5172FFBA">
      <w:pPr>
        <w:pStyle w:val="11"/>
        <w:tabs>
          <w:tab w:val="left" w:pos="3879"/>
          <w:tab w:val="left" w:pos="4420"/>
          <w:tab w:val="left" w:pos="6959"/>
        </w:tabs>
        <w:spacing w:line="360" w:lineRule="auto"/>
        <w:ind w:firstLine="480" w:firstLineChars="200"/>
        <w:rPr>
          <w:color w:val="auto"/>
          <w:highlight w:val="none"/>
        </w:rPr>
      </w:pPr>
      <w:r>
        <w:rPr>
          <w:rFonts w:hint="eastAsia"/>
          <w:color w:val="auto"/>
          <w:highlight w:val="none"/>
        </w:rPr>
        <w:t>电话：</w:t>
      </w:r>
      <w:r>
        <w:rPr>
          <w:rFonts w:hint="eastAsia"/>
          <w:color w:val="auto"/>
          <w:highlight w:val="none"/>
          <w:u w:val="single"/>
        </w:rPr>
        <w:tab/>
      </w:r>
      <w:r>
        <w:rPr>
          <w:rFonts w:hint="eastAsia"/>
          <w:color w:val="auto"/>
          <w:highlight w:val="none"/>
        </w:rPr>
        <w:tab/>
      </w:r>
      <w:r>
        <w:rPr>
          <w:rFonts w:hint="eastAsia"/>
          <w:color w:val="auto"/>
          <w:highlight w:val="none"/>
        </w:rPr>
        <w:t>传真：</w:t>
      </w:r>
      <w:r>
        <w:rPr>
          <w:rFonts w:hint="eastAsia"/>
          <w:color w:val="auto"/>
          <w:highlight w:val="none"/>
          <w:u w:val="single"/>
        </w:rPr>
        <w:tab/>
      </w:r>
    </w:p>
    <w:p w14:paraId="0544C985">
      <w:pPr>
        <w:pStyle w:val="11"/>
        <w:spacing w:line="360" w:lineRule="auto"/>
        <w:ind w:firstLine="400" w:firstLineChars="200"/>
        <w:rPr>
          <w:color w:val="auto"/>
          <w:sz w:val="20"/>
          <w:highlight w:val="none"/>
        </w:rPr>
      </w:pPr>
    </w:p>
    <w:p w14:paraId="4FDDE8FC">
      <w:pPr>
        <w:pStyle w:val="11"/>
        <w:spacing w:line="360" w:lineRule="auto"/>
        <w:ind w:firstLine="400" w:firstLineChars="200"/>
        <w:rPr>
          <w:color w:val="auto"/>
          <w:sz w:val="20"/>
          <w:highlight w:val="none"/>
        </w:rPr>
      </w:pPr>
    </w:p>
    <w:p w14:paraId="1888157A">
      <w:pPr>
        <w:pStyle w:val="11"/>
        <w:rPr>
          <w:color w:val="auto"/>
          <w:sz w:val="20"/>
          <w:highlight w:val="none"/>
        </w:rPr>
      </w:pPr>
    </w:p>
    <w:p w14:paraId="703D29D8">
      <w:pPr>
        <w:pStyle w:val="11"/>
        <w:spacing w:before="8"/>
        <w:rPr>
          <w:color w:val="auto"/>
          <w:sz w:val="15"/>
          <w:highlight w:val="none"/>
        </w:rPr>
      </w:pPr>
    </w:p>
    <w:p w14:paraId="33414B5D">
      <w:pPr>
        <w:pStyle w:val="11"/>
        <w:tabs>
          <w:tab w:val="left" w:pos="9519"/>
        </w:tabs>
        <w:spacing w:before="74"/>
        <w:ind w:left="5860"/>
        <w:rPr>
          <w:color w:val="auto"/>
          <w:highlight w:val="none"/>
        </w:rPr>
      </w:pPr>
      <w:r>
        <w:rPr>
          <w:rFonts w:hint="eastAsia"/>
          <w:color w:val="auto"/>
          <w:highlight w:val="none"/>
        </w:rPr>
        <w:t>供应商盖章：</w:t>
      </w:r>
      <w:r>
        <w:rPr>
          <w:rFonts w:hint="eastAsia"/>
          <w:color w:val="auto"/>
          <w:highlight w:val="none"/>
          <w:u w:val="single"/>
        </w:rPr>
        <w:tab/>
      </w:r>
    </w:p>
    <w:p w14:paraId="00E6D65A">
      <w:pPr>
        <w:pStyle w:val="11"/>
        <w:spacing w:before="9"/>
        <w:rPr>
          <w:color w:val="auto"/>
          <w:sz w:val="12"/>
          <w:highlight w:val="none"/>
        </w:rPr>
      </w:pPr>
    </w:p>
    <w:p w14:paraId="79990C12">
      <w:pPr>
        <w:pStyle w:val="11"/>
        <w:tabs>
          <w:tab w:val="left" w:pos="6940"/>
          <w:tab w:val="left" w:pos="9479"/>
        </w:tabs>
        <w:spacing w:before="67"/>
        <w:ind w:left="5860"/>
        <w:rPr>
          <w:color w:val="auto"/>
          <w:highlight w:val="none"/>
          <w:u w:val="single"/>
        </w:rPr>
      </w:pPr>
      <w:r>
        <w:rPr>
          <w:rFonts w:hint="eastAsia"/>
          <w:color w:val="auto"/>
          <w:highlight w:val="none"/>
        </w:rPr>
        <w:t>日</w:t>
      </w:r>
      <w:r>
        <w:rPr>
          <w:rFonts w:hint="eastAsia"/>
          <w:color w:val="auto"/>
          <w:highlight w:val="none"/>
        </w:rPr>
        <w:tab/>
      </w:r>
      <w:r>
        <w:rPr>
          <w:rFonts w:hint="eastAsia"/>
          <w:color w:val="auto"/>
          <w:highlight w:val="none"/>
        </w:rPr>
        <w:t>期：</w:t>
      </w:r>
      <w:r>
        <w:rPr>
          <w:rFonts w:hint="eastAsia"/>
          <w:color w:val="auto"/>
          <w:highlight w:val="none"/>
          <w:u w:val="single"/>
        </w:rPr>
        <w:tab/>
      </w:r>
    </w:p>
    <w:p w14:paraId="26A05A61">
      <w:pPr>
        <w:pStyle w:val="11"/>
        <w:rPr>
          <w:color w:val="auto"/>
          <w:sz w:val="20"/>
          <w:highlight w:val="none"/>
        </w:rPr>
      </w:pPr>
    </w:p>
    <w:p w14:paraId="67840377">
      <w:pPr>
        <w:rPr>
          <w:color w:val="auto"/>
          <w:sz w:val="20"/>
          <w:highlight w:val="none"/>
        </w:rPr>
      </w:pPr>
      <w:r>
        <w:rPr>
          <w:rFonts w:hint="eastAsia"/>
          <w:color w:val="auto"/>
          <w:sz w:val="20"/>
          <w:highlight w:val="none"/>
        </w:rPr>
        <w:br w:type="page"/>
      </w:r>
    </w:p>
    <w:p w14:paraId="43556564">
      <w:pPr>
        <w:spacing w:before="98" w:after="2"/>
        <w:ind w:left="561" w:right="441"/>
        <w:jc w:val="center"/>
        <w:rPr>
          <w:b/>
          <w:color w:val="auto"/>
          <w:sz w:val="30"/>
          <w:highlight w:val="none"/>
        </w:rPr>
      </w:pPr>
      <w:r>
        <w:rPr>
          <w:rFonts w:hint="eastAsia"/>
          <w:b/>
          <w:color w:val="auto"/>
          <w:sz w:val="30"/>
          <w:highlight w:val="none"/>
          <w:lang w:val="en-US"/>
        </w:rPr>
        <w:t>2.</w:t>
      </w:r>
      <w:r>
        <w:rPr>
          <w:rFonts w:hint="eastAsia"/>
          <w:b/>
          <w:color w:val="auto"/>
          <w:sz w:val="30"/>
          <w:highlight w:val="none"/>
        </w:rPr>
        <w:t>供应商参标申请表</w:t>
      </w:r>
    </w:p>
    <w:p w14:paraId="2CCF3718">
      <w:pPr>
        <w:spacing w:before="98" w:after="2"/>
        <w:ind w:left="561" w:right="441"/>
        <w:jc w:val="center"/>
        <w:rPr>
          <w:b/>
          <w:color w:val="auto"/>
          <w:sz w:val="30"/>
          <w:highlight w:val="none"/>
        </w:rPr>
      </w:pPr>
    </w:p>
    <w:tbl>
      <w:tblPr>
        <w:tblStyle w:val="32"/>
        <w:tblW w:w="8985" w:type="dxa"/>
        <w:tblInd w:w="1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6"/>
        <w:gridCol w:w="159"/>
        <w:gridCol w:w="585"/>
        <w:gridCol w:w="1412"/>
        <w:gridCol w:w="539"/>
        <w:gridCol w:w="779"/>
        <w:gridCol w:w="1485"/>
        <w:gridCol w:w="2820"/>
      </w:tblGrid>
      <w:tr w14:paraId="5F099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50" w:type="dxa"/>
            <w:gridSpan w:val="3"/>
            <w:vMerge w:val="restart"/>
          </w:tcPr>
          <w:p w14:paraId="6C905C1E">
            <w:pPr>
              <w:pStyle w:val="48"/>
              <w:spacing w:before="129"/>
              <w:ind w:left="107"/>
              <w:rPr>
                <w:rFonts w:hint="eastAsia" w:eastAsia="仿宋"/>
                <w:color w:val="auto"/>
                <w:sz w:val="24"/>
                <w:highlight w:val="none"/>
                <w:lang w:eastAsia="zh-CN"/>
              </w:rPr>
            </w:pPr>
            <w:r>
              <w:rPr>
                <w:rFonts w:hint="eastAsia"/>
                <w:color w:val="auto"/>
                <w:sz w:val="24"/>
                <w:highlight w:val="none"/>
                <w:lang w:eastAsia="zh-CN"/>
              </w:rPr>
              <w:t>统一社会信用代码</w:t>
            </w:r>
          </w:p>
        </w:tc>
        <w:tc>
          <w:tcPr>
            <w:tcW w:w="2730" w:type="dxa"/>
            <w:gridSpan w:val="3"/>
            <w:vMerge w:val="restart"/>
          </w:tcPr>
          <w:p w14:paraId="35ED665D">
            <w:pPr>
              <w:pStyle w:val="48"/>
              <w:rPr>
                <w:color w:val="auto"/>
                <w:sz w:val="20"/>
                <w:highlight w:val="none"/>
              </w:rPr>
            </w:pPr>
          </w:p>
        </w:tc>
        <w:tc>
          <w:tcPr>
            <w:tcW w:w="1485" w:type="dxa"/>
          </w:tcPr>
          <w:p w14:paraId="2CBACEF8">
            <w:pPr>
              <w:pStyle w:val="48"/>
              <w:spacing w:before="129"/>
              <w:ind w:left="106"/>
              <w:rPr>
                <w:color w:val="auto"/>
                <w:sz w:val="24"/>
                <w:highlight w:val="none"/>
              </w:rPr>
            </w:pPr>
            <w:r>
              <w:rPr>
                <w:rFonts w:hint="eastAsia"/>
                <w:color w:val="auto"/>
                <w:sz w:val="24"/>
                <w:highlight w:val="none"/>
              </w:rPr>
              <w:t>供应商名称</w:t>
            </w:r>
          </w:p>
        </w:tc>
        <w:tc>
          <w:tcPr>
            <w:tcW w:w="2820" w:type="dxa"/>
          </w:tcPr>
          <w:p w14:paraId="1F349031">
            <w:pPr>
              <w:pStyle w:val="48"/>
              <w:rPr>
                <w:color w:val="auto"/>
                <w:sz w:val="20"/>
                <w:highlight w:val="none"/>
              </w:rPr>
            </w:pPr>
          </w:p>
        </w:tc>
      </w:tr>
      <w:tr w14:paraId="38AB4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950" w:type="dxa"/>
            <w:gridSpan w:val="3"/>
            <w:vMerge w:val="continue"/>
          </w:tcPr>
          <w:p w14:paraId="0C9CD4AF">
            <w:pPr>
              <w:pStyle w:val="48"/>
              <w:spacing w:before="131"/>
              <w:ind w:left="107"/>
              <w:rPr>
                <w:color w:val="auto"/>
                <w:sz w:val="24"/>
                <w:highlight w:val="none"/>
              </w:rPr>
            </w:pPr>
          </w:p>
        </w:tc>
        <w:tc>
          <w:tcPr>
            <w:tcW w:w="2730" w:type="dxa"/>
            <w:gridSpan w:val="3"/>
            <w:vMerge w:val="continue"/>
          </w:tcPr>
          <w:p w14:paraId="37FF7A76">
            <w:pPr>
              <w:pStyle w:val="48"/>
              <w:rPr>
                <w:color w:val="auto"/>
                <w:sz w:val="20"/>
                <w:highlight w:val="none"/>
              </w:rPr>
            </w:pPr>
          </w:p>
        </w:tc>
        <w:tc>
          <w:tcPr>
            <w:tcW w:w="1485" w:type="dxa"/>
          </w:tcPr>
          <w:p w14:paraId="17972DC3">
            <w:pPr>
              <w:pStyle w:val="48"/>
              <w:spacing w:before="131"/>
              <w:ind w:left="106"/>
              <w:rPr>
                <w:color w:val="auto"/>
                <w:sz w:val="24"/>
                <w:highlight w:val="none"/>
              </w:rPr>
            </w:pPr>
            <w:r>
              <w:rPr>
                <w:rFonts w:hint="eastAsia"/>
                <w:color w:val="auto"/>
                <w:sz w:val="24"/>
                <w:highlight w:val="none"/>
              </w:rPr>
              <w:t>供应商地址</w:t>
            </w:r>
          </w:p>
        </w:tc>
        <w:tc>
          <w:tcPr>
            <w:tcW w:w="2820" w:type="dxa"/>
          </w:tcPr>
          <w:p w14:paraId="70B9D6B2">
            <w:pPr>
              <w:pStyle w:val="48"/>
              <w:rPr>
                <w:color w:val="auto"/>
                <w:sz w:val="20"/>
                <w:highlight w:val="none"/>
              </w:rPr>
            </w:pPr>
          </w:p>
        </w:tc>
      </w:tr>
      <w:tr w14:paraId="38196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50" w:type="dxa"/>
            <w:gridSpan w:val="3"/>
          </w:tcPr>
          <w:p w14:paraId="1E7F8BE1">
            <w:pPr>
              <w:pStyle w:val="48"/>
              <w:spacing w:before="130"/>
              <w:ind w:left="107"/>
              <w:rPr>
                <w:color w:val="auto"/>
                <w:sz w:val="24"/>
                <w:highlight w:val="none"/>
              </w:rPr>
            </w:pPr>
            <w:r>
              <w:rPr>
                <w:rFonts w:hint="eastAsia"/>
                <w:color w:val="auto"/>
                <w:sz w:val="24"/>
                <w:highlight w:val="none"/>
              </w:rPr>
              <w:t>注册日期</w:t>
            </w:r>
          </w:p>
        </w:tc>
        <w:tc>
          <w:tcPr>
            <w:tcW w:w="2730" w:type="dxa"/>
            <w:gridSpan w:val="3"/>
          </w:tcPr>
          <w:p w14:paraId="08DAC9BF">
            <w:pPr>
              <w:pStyle w:val="48"/>
              <w:rPr>
                <w:color w:val="auto"/>
                <w:sz w:val="20"/>
                <w:highlight w:val="none"/>
              </w:rPr>
            </w:pPr>
          </w:p>
        </w:tc>
        <w:tc>
          <w:tcPr>
            <w:tcW w:w="1485" w:type="dxa"/>
          </w:tcPr>
          <w:p w14:paraId="45A990A9">
            <w:pPr>
              <w:pStyle w:val="48"/>
              <w:spacing w:before="130"/>
              <w:ind w:left="106"/>
              <w:rPr>
                <w:color w:val="auto"/>
                <w:sz w:val="24"/>
                <w:highlight w:val="none"/>
              </w:rPr>
            </w:pPr>
            <w:r>
              <w:rPr>
                <w:rFonts w:hint="eastAsia"/>
                <w:color w:val="auto"/>
                <w:sz w:val="24"/>
                <w:highlight w:val="none"/>
              </w:rPr>
              <w:t>注册资金</w:t>
            </w:r>
          </w:p>
        </w:tc>
        <w:tc>
          <w:tcPr>
            <w:tcW w:w="2820" w:type="dxa"/>
          </w:tcPr>
          <w:p w14:paraId="64260D2A">
            <w:pPr>
              <w:pStyle w:val="48"/>
              <w:rPr>
                <w:color w:val="auto"/>
                <w:sz w:val="20"/>
                <w:highlight w:val="none"/>
              </w:rPr>
            </w:pPr>
          </w:p>
        </w:tc>
      </w:tr>
      <w:tr w14:paraId="138E5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65" w:type="dxa"/>
            <w:gridSpan w:val="2"/>
          </w:tcPr>
          <w:p w14:paraId="2A07FD0E">
            <w:pPr>
              <w:pStyle w:val="48"/>
              <w:spacing w:before="130"/>
              <w:ind w:left="198"/>
              <w:rPr>
                <w:color w:val="auto"/>
                <w:sz w:val="24"/>
                <w:highlight w:val="none"/>
              </w:rPr>
            </w:pPr>
            <w:r>
              <w:rPr>
                <w:rFonts w:hint="eastAsia"/>
                <w:color w:val="auto"/>
                <w:sz w:val="24"/>
                <w:highlight w:val="none"/>
              </w:rPr>
              <w:t>负责人</w:t>
            </w:r>
          </w:p>
        </w:tc>
        <w:tc>
          <w:tcPr>
            <w:tcW w:w="1997" w:type="dxa"/>
            <w:gridSpan w:val="2"/>
          </w:tcPr>
          <w:p w14:paraId="60ECAAAF">
            <w:pPr>
              <w:pStyle w:val="48"/>
              <w:rPr>
                <w:color w:val="auto"/>
                <w:sz w:val="20"/>
                <w:highlight w:val="none"/>
              </w:rPr>
            </w:pPr>
          </w:p>
        </w:tc>
        <w:tc>
          <w:tcPr>
            <w:tcW w:w="2803" w:type="dxa"/>
            <w:gridSpan w:val="3"/>
          </w:tcPr>
          <w:p w14:paraId="20E4FC50">
            <w:pPr>
              <w:pStyle w:val="48"/>
              <w:spacing w:before="130"/>
              <w:ind w:left="108"/>
              <w:rPr>
                <w:color w:val="auto"/>
                <w:sz w:val="24"/>
                <w:highlight w:val="none"/>
              </w:rPr>
            </w:pPr>
            <w:r>
              <w:rPr>
                <w:rFonts w:hint="eastAsia"/>
                <w:color w:val="auto"/>
                <w:sz w:val="24"/>
                <w:highlight w:val="none"/>
              </w:rPr>
              <w:t>联系电话：</w:t>
            </w:r>
          </w:p>
        </w:tc>
        <w:tc>
          <w:tcPr>
            <w:tcW w:w="2820" w:type="dxa"/>
          </w:tcPr>
          <w:p w14:paraId="13803278">
            <w:pPr>
              <w:pStyle w:val="48"/>
              <w:spacing w:before="130"/>
              <w:ind w:left="108"/>
              <w:rPr>
                <w:color w:val="auto"/>
                <w:sz w:val="24"/>
                <w:highlight w:val="none"/>
              </w:rPr>
            </w:pPr>
            <w:r>
              <w:rPr>
                <w:rFonts w:hint="eastAsia"/>
                <w:color w:val="auto"/>
                <w:sz w:val="24"/>
                <w:highlight w:val="none"/>
              </w:rPr>
              <w:t>手机：</w:t>
            </w:r>
          </w:p>
        </w:tc>
      </w:tr>
      <w:tr w14:paraId="5EC17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65" w:type="dxa"/>
            <w:gridSpan w:val="2"/>
          </w:tcPr>
          <w:p w14:paraId="7A3C2A46">
            <w:pPr>
              <w:pStyle w:val="48"/>
              <w:spacing w:before="129"/>
              <w:ind w:left="198"/>
              <w:rPr>
                <w:color w:val="auto"/>
                <w:sz w:val="24"/>
                <w:highlight w:val="none"/>
              </w:rPr>
            </w:pPr>
            <w:r>
              <w:rPr>
                <w:rFonts w:hint="eastAsia"/>
                <w:color w:val="auto"/>
                <w:sz w:val="24"/>
                <w:highlight w:val="none"/>
              </w:rPr>
              <w:t>联系人</w:t>
            </w:r>
          </w:p>
        </w:tc>
        <w:tc>
          <w:tcPr>
            <w:tcW w:w="1997" w:type="dxa"/>
            <w:gridSpan w:val="2"/>
          </w:tcPr>
          <w:p w14:paraId="668E7ABD">
            <w:pPr>
              <w:pStyle w:val="48"/>
              <w:rPr>
                <w:color w:val="auto"/>
                <w:sz w:val="20"/>
                <w:highlight w:val="none"/>
              </w:rPr>
            </w:pPr>
          </w:p>
        </w:tc>
        <w:tc>
          <w:tcPr>
            <w:tcW w:w="2803" w:type="dxa"/>
            <w:gridSpan w:val="3"/>
          </w:tcPr>
          <w:p w14:paraId="526BD3C4">
            <w:pPr>
              <w:pStyle w:val="48"/>
              <w:spacing w:before="129"/>
              <w:ind w:left="108"/>
              <w:rPr>
                <w:color w:val="auto"/>
                <w:sz w:val="24"/>
                <w:highlight w:val="none"/>
              </w:rPr>
            </w:pPr>
            <w:r>
              <w:rPr>
                <w:rFonts w:hint="eastAsia"/>
                <w:color w:val="auto"/>
                <w:sz w:val="24"/>
                <w:highlight w:val="none"/>
              </w:rPr>
              <w:t>联系电话：</w:t>
            </w:r>
          </w:p>
        </w:tc>
        <w:tc>
          <w:tcPr>
            <w:tcW w:w="2820" w:type="dxa"/>
          </w:tcPr>
          <w:p w14:paraId="7E2D052A">
            <w:pPr>
              <w:pStyle w:val="48"/>
              <w:spacing w:before="129"/>
              <w:ind w:left="108"/>
              <w:rPr>
                <w:color w:val="auto"/>
                <w:sz w:val="24"/>
                <w:highlight w:val="none"/>
              </w:rPr>
            </w:pPr>
            <w:r>
              <w:rPr>
                <w:rFonts w:hint="eastAsia"/>
                <w:color w:val="auto"/>
                <w:sz w:val="24"/>
                <w:highlight w:val="none"/>
              </w:rPr>
              <w:t>手机：</w:t>
            </w:r>
          </w:p>
        </w:tc>
      </w:tr>
      <w:tr w14:paraId="7DEC1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365" w:type="dxa"/>
            <w:gridSpan w:val="2"/>
          </w:tcPr>
          <w:p w14:paraId="52805B28">
            <w:pPr>
              <w:pStyle w:val="48"/>
              <w:spacing w:before="130"/>
              <w:ind w:left="78"/>
              <w:rPr>
                <w:color w:val="auto"/>
                <w:sz w:val="24"/>
                <w:highlight w:val="none"/>
              </w:rPr>
            </w:pPr>
            <w:r>
              <w:rPr>
                <w:rFonts w:hint="eastAsia"/>
                <w:color w:val="auto"/>
                <w:sz w:val="24"/>
                <w:highlight w:val="none"/>
              </w:rPr>
              <w:t>主营项目</w:t>
            </w:r>
          </w:p>
        </w:tc>
        <w:tc>
          <w:tcPr>
            <w:tcW w:w="7620" w:type="dxa"/>
            <w:gridSpan w:val="6"/>
          </w:tcPr>
          <w:p w14:paraId="39285C93">
            <w:pPr>
              <w:pStyle w:val="48"/>
              <w:rPr>
                <w:color w:val="auto"/>
                <w:sz w:val="20"/>
                <w:highlight w:val="none"/>
              </w:rPr>
            </w:pPr>
          </w:p>
        </w:tc>
      </w:tr>
      <w:tr w14:paraId="0BB52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65" w:type="dxa"/>
            <w:gridSpan w:val="2"/>
          </w:tcPr>
          <w:p w14:paraId="15E84AF4">
            <w:pPr>
              <w:pStyle w:val="48"/>
              <w:spacing w:before="130"/>
              <w:ind w:left="78"/>
              <w:rPr>
                <w:color w:val="auto"/>
                <w:sz w:val="24"/>
                <w:highlight w:val="none"/>
              </w:rPr>
            </w:pPr>
            <w:r>
              <w:rPr>
                <w:rFonts w:hint="eastAsia"/>
                <w:color w:val="auto"/>
                <w:sz w:val="24"/>
                <w:highlight w:val="none"/>
              </w:rPr>
              <w:t>兼营项目</w:t>
            </w:r>
          </w:p>
        </w:tc>
        <w:tc>
          <w:tcPr>
            <w:tcW w:w="7620" w:type="dxa"/>
            <w:gridSpan w:val="6"/>
          </w:tcPr>
          <w:p w14:paraId="6472F49C">
            <w:pPr>
              <w:pStyle w:val="48"/>
              <w:rPr>
                <w:color w:val="auto"/>
                <w:sz w:val="20"/>
                <w:highlight w:val="none"/>
              </w:rPr>
            </w:pPr>
          </w:p>
        </w:tc>
      </w:tr>
      <w:tr w14:paraId="52037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985" w:type="dxa"/>
            <w:gridSpan w:val="8"/>
          </w:tcPr>
          <w:p w14:paraId="28F31BD4">
            <w:pPr>
              <w:pStyle w:val="48"/>
              <w:spacing w:before="131"/>
              <w:ind w:left="107"/>
              <w:rPr>
                <w:color w:val="auto"/>
                <w:sz w:val="24"/>
                <w:highlight w:val="none"/>
              </w:rPr>
            </w:pPr>
            <w:r>
              <w:rPr>
                <w:rFonts w:hint="eastAsia"/>
                <w:color w:val="auto"/>
                <w:sz w:val="24"/>
                <w:highlight w:val="none"/>
              </w:rPr>
              <w:t>本单位申请参加下列采购项目的磋商：</w:t>
            </w:r>
          </w:p>
        </w:tc>
      </w:tr>
      <w:tr w14:paraId="15210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06"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14:paraId="6DC96B17">
            <w:pPr>
              <w:pStyle w:val="88"/>
              <w:ind w:firstLine="480"/>
              <w:jc w:val="center"/>
              <w:rPr>
                <w:rFonts w:hint="eastAsia" w:ascii="仿宋" w:hAnsi="仿宋" w:eastAsia="仿宋" w:cs="仿宋"/>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6DD0F760">
            <w:pPr>
              <w:pStyle w:val="88"/>
              <w:ind w:firstLine="48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项目编号</w:t>
            </w:r>
          </w:p>
        </w:tc>
        <w:tc>
          <w:tcPr>
            <w:tcW w:w="2264" w:type="dxa"/>
            <w:gridSpan w:val="2"/>
            <w:tcBorders>
              <w:top w:val="single" w:color="auto" w:sz="4" w:space="0"/>
              <w:left w:val="single" w:color="auto" w:sz="4" w:space="0"/>
              <w:bottom w:val="single" w:color="auto" w:sz="4" w:space="0"/>
              <w:right w:val="single" w:color="auto" w:sz="4" w:space="0"/>
            </w:tcBorders>
            <w:noWrap w:val="0"/>
            <w:vAlign w:val="center"/>
          </w:tcPr>
          <w:p w14:paraId="6697000D">
            <w:pPr>
              <w:pStyle w:val="88"/>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2820" w:type="dxa"/>
            <w:tcBorders>
              <w:top w:val="single" w:color="auto" w:sz="4" w:space="0"/>
              <w:left w:val="single" w:color="auto" w:sz="4" w:space="0"/>
              <w:bottom w:val="single" w:color="auto" w:sz="4" w:space="0"/>
              <w:right w:val="single" w:color="auto" w:sz="4" w:space="0"/>
            </w:tcBorders>
            <w:noWrap w:val="0"/>
            <w:vAlign w:val="center"/>
          </w:tcPr>
          <w:p w14:paraId="4C52D72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是否申请参加</w:t>
            </w:r>
          </w:p>
        </w:tc>
      </w:tr>
      <w:tr w14:paraId="400A4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1206" w:type="dxa"/>
          </w:tcPr>
          <w:p w14:paraId="2C59A483">
            <w:pPr>
              <w:pStyle w:val="48"/>
              <w:spacing w:before="86"/>
              <w:ind w:left="8"/>
              <w:jc w:val="center"/>
              <w:rPr>
                <w:color w:val="auto"/>
                <w:sz w:val="24"/>
                <w:highlight w:val="none"/>
              </w:rPr>
            </w:pPr>
            <w:r>
              <w:rPr>
                <w:rFonts w:hint="eastAsia"/>
                <w:color w:val="auto"/>
                <w:sz w:val="24"/>
                <w:highlight w:val="none"/>
              </w:rPr>
              <w:t>1</w:t>
            </w:r>
          </w:p>
        </w:tc>
        <w:tc>
          <w:tcPr>
            <w:tcW w:w="2695" w:type="dxa"/>
            <w:gridSpan w:val="4"/>
          </w:tcPr>
          <w:p w14:paraId="60F9F91A">
            <w:pPr>
              <w:pStyle w:val="48"/>
              <w:rPr>
                <w:color w:val="auto"/>
                <w:sz w:val="20"/>
                <w:highlight w:val="none"/>
              </w:rPr>
            </w:pPr>
          </w:p>
        </w:tc>
        <w:tc>
          <w:tcPr>
            <w:tcW w:w="2264" w:type="dxa"/>
            <w:gridSpan w:val="2"/>
          </w:tcPr>
          <w:p w14:paraId="037103AE">
            <w:pPr>
              <w:pStyle w:val="48"/>
              <w:rPr>
                <w:color w:val="auto"/>
                <w:sz w:val="20"/>
                <w:highlight w:val="none"/>
              </w:rPr>
            </w:pPr>
          </w:p>
        </w:tc>
        <w:tc>
          <w:tcPr>
            <w:tcW w:w="2820" w:type="dxa"/>
            <w:vAlign w:val="center"/>
          </w:tcPr>
          <w:p w14:paraId="579B6E3B">
            <w:pPr>
              <w:jc w:val="center"/>
              <w:rPr>
                <w:color w:val="auto"/>
                <w:sz w:val="20"/>
                <w:highlight w:val="none"/>
              </w:rPr>
            </w:pPr>
            <w:r>
              <w:rPr>
                <w:rFonts w:hint="eastAsia" w:ascii="仿宋" w:hAnsi="仿宋" w:eastAsia="仿宋" w:cs="仿宋"/>
                <w:color w:val="auto"/>
                <w:sz w:val="24"/>
                <w:highlight w:val="none"/>
              </w:rPr>
              <w:t>是</w:t>
            </w:r>
            <w:r>
              <w:rPr>
                <w:rFonts w:hint="eastAsia" w:ascii="仿宋" w:hAnsi="仿宋" w:eastAsia="仿宋" w:cs="仿宋"/>
                <w:color w:val="auto"/>
                <w:sz w:val="30"/>
                <w:highlight w:val="none"/>
              </w:rPr>
              <w:t xml:space="preserve">□  </w:t>
            </w:r>
            <w:r>
              <w:rPr>
                <w:rFonts w:hint="eastAsia" w:ascii="仿宋" w:hAnsi="仿宋" w:eastAsia="仿宋" w:cs="仿宋"/>
                <w:color w:val="auto"/>
                <w:sz w:val="24"/>
                <w:highlight w:val="none"/>
              </w:rPr>
              <w:t>否</w:t>
            </w:r>
            <w:r>
              <w:rPr>
                <w:rFonts w:hint="eastAsia" w:ascii="仿宋" w:hAnsi="仿宋" w:eastAsia="仿宋" w:cs="仿宋"/>
                <w:color w:val="auto"/>
                <w:sz w:val="30"/>
                <w:highlight w:val="none"/>
              </w:rPr>
              <w:t>□</w:t>
            </w:r>
          </w:p>
        </w:tc>
      </w:tr>
      <w:tr w14:paraId="4773F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06" w:type="dxa"/>
          </w:tcPr>
          <w:p w14:paraId="7375B52D">
            <w:pPr>
              <w:pStyle w:val="48"/>
              <w:spacing w:before="130"/>
              <w:ind w:left="8"/>
              <w:jc w:val="center"/>
              <w:rPr>
                <w:color w:val="auto"/>
                <w:sz w:val="24"/>
                <w:highlight w:val="none"/>
              </w:rPr>
            </w:pPr>
          </w:p>
        </w:tc>
        <w:tc>
          <w:tcPr>
            <w:tcW w:w="2695" w:type="dxa"/>
            <w:gridSpan w:val="4"/>
          </w:tcPr>
          <w:p w14:paraId="7C4E8785">
            <w:pPr>
              <w:pStyle w:val="48"/>
              <w:rPr>
                <w:color w:val="auto"/>
                <w:sz w:val="20"/>
                <w:highlight w:val="none"/>
              </w:rPr>
            </w:pPr>
          </w:p>
        </w:tc>
        <w:tc>
          <w:tcPr>
            <w:tcW w:w="2264" w:type="dxa"/>
            <w:gridSpan w:val="2"/>
          </w:tcPr>
          <w:p w14:paraId="7C8F7745">
            <w:pPr>
              <w:pStyle w:val="48"/>
              <w:rPr>
                <w:color w:val="auto"/>
                <w:sz w:val="20"/>
                <w:highlight w:val="none"/>
              </w:rPr>
            </w:pPr>
          </w:p>
        </w:tc>
        <w:tc>
          <w:tcPr>
            <w:tcW w:w="2820" w:type="dxa"/>
          </w:tcPr>
          <w:p w14:paraId="10F1CB05">
            <w:pPr>
              <w:pStyle w:val="48"/>
              <w:rPr>
                <w:color w:val="auto"/>
                <w:sz w:val="20"/>
                <w:highlight w:val="none"/>
              </w:rPr>
            </w:pPr>
          </w:p>
        </w:tc>
      </w:tr>
      <w:tr w14:paraId="048ED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06" w:type="dxa"/>
          </w:tcPr>
          <w:p w14:paraId="677014C8">
            <w:pPr>
              <w:pStyle w:val="48"/>
              <w:spacing w:before="129"/>
              <w:ind w:left="8"/>
              <w:jc w:val="center"/>
              <w:rPr>
                <w:color w:val="auto"/>
                <w:sz w:val="24"/>
                <w:highlight w:val="none"/>
              </w:rPr>
            </w:pPr>
          </w:p>
        </w:tc>
        <w:tc>
          <w:tcPr>
            <w:tcW w:w="2695" w:type="dxa"/>
            <w:gridSpan w:val="4"/>
          </w:tcPr>
          <w:p w14:paraId="09B9DF7A">
            <w:pPr>
              <w:pStyle w:val="48"/>
              <w:rPr>
                <w:color w:val="auto"/>
                <w:sz w:val="20"/>
                <w:highlight w:val="none"/>
              </w:rPr>
            </w:pPr>
          </w:p>
        </w:tc>
        <w:tc>
          <w:tcPr>
            <w:tcW w:w="2264" w:type="dxa"/>
            <w:gridSpan w:val="2"/>
          </w:tcPr>
          <w:p w14:paraId="095B6256">
            <w:pPr>
              <w:pStyle w:val="48"/>
              <w:rPr>
                <w:color w:val="auto"/>
                <w:sz w:val="20"/>
                <w:highlight w:val="none"/>
              </w:rPr>
            </w:pPr>
          </w:p>
        </w:tc>
        <w:tc>
          <w:tcPr>
            <w:tcW w:w="2820" w:type="dxa"/>
          </w:tcPr>
          <w:p w14:paraId="18CA29D4">
            <w:pPr>
              <w:pStyle w:val="48"/>
              <w:rPr>
                <w:color w:val="auto"/>
                <w:sz w:val="20"/>
                <w:highlight w:val="none"/>
              </w:rPr>
            </w:pPr>
          </w:p>
        </w:tc>
      </w:tr>
      <w:tr w14:paraId="69759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206" w:type="dxa"/>
          </w:tcPr>
          <w:p w14:paraId="00D6AD97">
            <w:pPr>
              <w:pStyle w:val="48"/>
              <w:spacing w:before="131"/>
              <w:ind w:left="8"/>
              <w:jc w:val="center"/>
              <w:rPr>
                <w:color w:val="auto"/>
                <w:sz w:val="24"/>
                <w:highlight w:val="none"/>
              </w:rPr>
            </w:pPr>
          </w:p>
        </w:tc>
        <w:tc>
          <w:tcPr>
            <w:tcW w:w="2695" w:type="dxa"/>
            <w:gridSpan w:val="4"/>
          </w:tcPr>
          <w:p w14:paraId="005D4190">
            <w:pPr>
              <w:pStyle w:val="48"/>
              <w:rPr>
                <w:color w:val="auto"/>
                <w:sz w:val="20"/>
                <w:highlight w:val="none"/>
              </w:rPr>
            </w:pPr>
          </w:p>
        </w:tc>
        <w:tc>
          <w:tcPr>
            <w:tcW w:w="2264" w:type="dxa"/>
            <w:gridSpan w:val="2"/>
          </w:tcPr>
          <w:p w14:paraId="45787D1E">
            <w:pPr>
              <w:pStyle w:val="48"/>
              <w:rPr>
                <w:color w:val="auto"/>
                <w:sz w:val="20"/>
                <w:highlight w:val="none"/>
              </w:rPr>
            </w:pPr>
          </w:p>
        </w:tc>
        <w:tc>
          <w:tcPr>
            <w:tcW w:w="2820" w:type="dxa"/>
          </w:tcPr>
          <w:p w14:paraId="0259DFF2">
            <w:pPr>
              <w:pStyle w:val="48"/>
              <w:rPr>
                <w:color w:val="auto"/>
                <w:sz w:val="20"/>
                <w:highlight w:val="none"/>
              </w:rPr>
            </w:pPr>
          </w:p>
        </w:tc>
      </w:tr>
    </w:tbl>
    <w:p w14:paraId="20DB80CB">
      <w:pPr>
        <w:pStyle w:val="11"/>
        <w:rPr>
          <w:b/>
          <w:color w:val="auto"/>
          <w:sz w:val="30"/>
          <w:highlight w:val="none"/>
        </w:rPr>
      </w:pPr>
    </w:p>
    <w:p w14:paraId="7E8DF065">
      <w:pPr>
        <w:pStyle w:val="12"/>
        <w:rPr>
          <w:b/>
          <w:color w:val="auto"/>
          <w:sz w:val="30"/>
          <w:highlight w:val="none"/>
        </w:rPr>
      </w:pPr>
    </w:p>
    <w:p w14:paraId="5B99E89F">
      <w:pPr>
        <w:rPr>
          <w:b/>
          <w:color w:val="auto"/>
          <w:sz w:val="30"/>
          <w:highlight w:val="none"/>
        </w:rPr>
      </w:pPr>
    </w:p>
    <w:p w14:paraId="273CEFDD">
      <w:pPr>
        <w:pStyle w:val="12"/>
        <w:rPr>
          <w:color w:val="auto"/>
          <w:highlight w:val="none"/>
        </w:rPr>
      </w:pPr>
    </w:p>
    <w:p w14:paraId="56CA8DDD">
      <w:pPr>
        <w:pStyle w:val="11"/>
        <w:tabs>
          <w:tab w:val="left" w:pos="9519"/>
        </w:tabs>
        <w:ind w:left="5860"/>
        <w:rPr>
          <w:color w:val="auto"/>
          <w:highlight w:val="none"/>
        </w:rPr>
      </w:pPr>
      <w:r>
        <w:rPr>
          <w:rFonts w:hint="eastAsia"/>
          <w:color w:val="auto"/>
          <w:highlight w:val="none"/>
        </w:rPr>
        <w:t>供应商盖章：</w:t>
      </w:r>
      <w:r>
        <w:rPr>
          <w:rFonts w:hint="eastAsia"/>
          <w:color w:val="auto"/>
          <w:highlight w:val="none"/>
          <w:u w:val="single"/>
        </w:rPr>
        <w:tab/>
      </w:r>
    </w:p>
    <w:p w14:paraId="138731ED">
      <w:pPr>
        <w:pStyle w:val="11"/>
        <w:spacing w:before="9"/>
        <w:rPr>
          <w:color w:val="auto"/>
          <w:sz w:val="12"/>
          <w:highlight w:val="none"/>
        </w:rPr>
      </w:pPr>
    </w:p>
    <w:p w14:paraId="27BF53C3">
      <w:pPr>
        <w:pStyle w:val="11"/>
        <w:tabs>
          <w:tab w:val="left" w:pos="6940"/>
          <w:tab w:val="left" w:pos="9479"/>
        </w:tabs>
        <w:spacing w:before="67"/>
        <w:ind w:left="5860"/>
        <w:rPr>
          <w:color w:val="auto"/>
          <w:highlight w:val="none"/>
          <w:u w:val="single"/>
        </w:rPr>
      </w:pPr>
      <w:r>
        <w:rPr>
          <w:rFonts w:hint="eastAsia"/>
          <w:color w:val="auto"/>
          <w:highlight w:val="none"/>
        </w:rPr>
        <w:t>日</w:t>
      </w:r>
      <w:r>
        <w:rPr>
          <w:rFonts w:hint="eastAsia"/>
          <w:color w:val="auto"/>
          <w:highlight w:val="none"/>
        </w:rPr>
        <w:tab/>
      </w:r>
      <w:r>
        <w:rPr>
          <w:rFonts w:hint="eastAsia"/>
          <w:color w:val="auto"/>
          <w:highlight w:val="none"/>
        </w:rPr>
        <w:t>期：</w:t>
      </w:r>
      <w:r>
        <w:rPr>
          <w:rFonts w:hint="eastAsia"/>
          <w:color w:val="auto"/>
          <w:highlight w:val="none"/>
          <w:u w:val="single"/>
        </w:rPr>
        <w:tab/>
      </w:r>
    </w:p>
    <w:p w14:paraId="77ED9E77">
      <w:pPr>
        <w:rPr>
          <w:color w:val="auto"/>
          <w:highlight w:val="none"/>
          <w:u w:val="single"/>
        </w:rPr>
      </w:pPr>
      <w:r>
        <w:rPr>
          <w:rFonts w:hint="eastAsia"/>
          <w:color w:val="auto"/>
          <w:highlight w:val="none"/>
          <w:u w:val="single"/>
        </w:rPr>
        <w:br w:type="page"/>
      </w:r>
    </w:p>
    <w:p w14:paraId="03E4D3EE">
      <w:pPr>
        <w:spacing w:before="98" w:after="2"/>
        <w:ind w:left="561" w:right="441"/>
        <w:jc w:val="center"/>
        <w:rPr>
          <w:b/>
          <w:color w:val="auto"/>
          <w:sz w:val="30"/>
          <w:highlight w:val="none"/>
          <w:lang w:val="en-US"/>
        </w:rPr>
      </w:pPr>
      <w:r>
        <w:rPr>
          <w:rFonts w:hint="eastAsia"/>
          <w:b/>
          <w:color w:val="auto"/>
          <w:sz w:val="30"/>
          <w:highlight w:val="none"/>
          <w:lang w:val="en-US"/>
        </w:rPr>
        <w:t>3.投标人信用信息声明书</w:t>
      </w:r>
    </w:p>
    <w:p w14:paraId="23CE7E14">
      <w:pPr>
        <w:jc w:val="center"/>
        <w:rPr>
          <w:rFonts w:ascii="宋体" w:hAnsi="宋体" w:cs="宋体"/>
          <w:color w:val="auto"/>
          <w:highlight w:val="none"/>
        </w:rPr>
      </w:pPr>
    </w:p>
    <w:tbl>
      <w:tblPr>
        <w:tblStyle w:val="32"/>
        <w:tblW w:w="928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760"/>
        <w:gridCol w:w="318"/>
        <w:gridCol w:w="2641"/>
        <w:gridCol w:w="2078"/>
        <w:gridCol w:w="2299"/>
      </w:tblGrid>
      <w:tr w14:paraId="4556A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2269" w:type="dxa"/>
            <w:gridSpan w:val="3"/>
            <w:tcBorders>
              <w:top w:val="single" w:color="auto" w:sz="4" w:space="0"/>
              <w:left w:val="single" w:color="auto" w:sz="4" w:space="0"/>
              <w:bottom w:val="single" w:color="auto" w:sz="4" w:space="0"/>
              <w:right w:val="single" w:color="auto" w:sz="4" w:space="0"/>
            </w:tcBorders>
            <w:noWrap/>
            <w:vAlign w:val="center"/>
          </w:tcPr>
          <w:p w14:paraId="0549386A">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 xml:space="preserve">企业名称 </w:t>
            </w:r>
          </w:p>
        </w:tc>
        <w:tc>
          <w:tcPr>
            <w:tcW w:w="2641" w:type="dxa"/>
            <w:tcBorders>
              <w:top w:val="single" w:color="auto" w:sz="4" w:space="0"/>
              <w:left w:val="single" w:color="auto" w:sz="4" w:space="0"/>
              <w:bottom w:val="single" w:color="auto" w:sz="4" w:space="0"/>
              <w:right w:val="single" w:color="auto" w:sz="4" w:space="0"/>
            </w:tcBorders>
            <w:noWrap/>
            <w:vAlign w:val="center"/>
          </w:tcPr>
          <w:p w14:paraId="42F151AA">
            <w:pPr>
              <w:spacing w:line="260" w:lineRule="exact"/>
              <w:rPr>
                <w:color w:val="auto"/>
                <w:sz w:val="24"/>
                <w:szCs w:val="24"/>
                <w:highlight w:val="none"/>
              </w:rPr>
            </w:pPr>
          </w:p>
        </w:tc>
        <w:tc>
          <w:tcPr>
            <w:tcW w:w="2078" w:type="dxa"/>
            <w:tcBorders>
              <w:top w:val="single" w:color="auto" w:sz="4" w:space="0"/>
              <w:left w:val="single" w:color="auto" w:sz="4" w:space="0"/>
              <w:bottom w:val="single" w:color="auto" w:sz="4" w:space="0"/>
              <w:right w:val="single" w:color="auto" w:sz="4" w:space="0"/>
            </w:tcBorders>
            <w:noWrap/>
            <w:vAlign w:val="center"/>
          </w:tcPr>
          <w:p w14:paraId="7A32A6B0">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企业资质等级</w:t>
            </w:r>
          </w:p>
          <w:p w14:paraId="0FEF9105">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（如 有）</w:t>
            </w:r>
          </w:p>
        </w:tc>
        <w:tc>
          <w:tcPr>
            <w:tcW w:w="2299" w:type="dxa"/>
            <w:tcBorders>
              <w:top w:val="single" w:color="auto" w:sz="4" w:space="0"/>
              <w:left w:val="single" w:color="auto" w:sz="4" w:space="0"/>
              <w:bottom w:val="single" w:color="auto" w:sz="4" w:space="0"/>
              <w:right w:val="single" w:color="auto" w:sz="4" w:space="0"/>
            </w:tcBorders>
            <w:noWrap/>
            <w:vAlign w:val="center"/>
          </w:tcPr>
          <w:p w14:paraId="3406AB0F">
            <w:pPr>
              <w:spacing w:line="260" w:lineRule="exact"/>
              <w:rPr>
                <w:color w:val="auto"/>
                <w:sz w:val="24"/>
                <w:szCs w:val="24"/>
                <w:highlight w:val="none"/>
              </w:rPr>
            </w:pPr>
          </w:p>
        </w:tc>
      </w:tr>
      <w:tr w14:paraId="64610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2269" w:type="dxa"/>
            <w:gridSpan w:val="3"/>
            <w:tcBorders>
              <w:top w:val="single" w:color="auto" w:sz="4" w:space="0"/>
              <w:left w:val="single" w:color="auto" w:sz="4" w:space="0"/>
              <w:bottom w:val="single" w:color="auto" w:sz="4" w:space="0"/>
              <w:right w:val="single" w:color="auto" w:sz="4" w:space="0"/>
            </w:tcBorders>
            <w:noWrap/>
            <w:vAlign w:val="center"/>
          </w:tcPr>
          <w:p w14:paraId="54FE1400">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 xml:space="preserve">企 业 地 址 </w:t>
            </w:r>
          </w:p>
        </w:tc>
        <w:tc>
          <w:tcPr>
            <w:tcW w:w="2641" w:type="dxa"/>
            <w:tcBorders>
              <w:top w:val="single" w:color="auto" w:sz="4" w:space="0"/>
              <w:left w:val="single" w:color="auto" w:sz="4" w:space="0"/>
              <w:bottom w:val="single" w:color="auto" w:sz="4" w:space="0"/>
              <w:right w:val="single" w:color="auto" w:sz="4" w:space="0"/>
            </w:tcBorders>
            <w:noWrap/>
            <w:vAlign w:val="center"/>
          </w:tcPr>
          <w:p w14:paraId="1B873414">
            <w:pPr>
              <w:spacing w:line="260" w:lineRule="exact"/>
              <w:rPr>
                <w:color w:val="auto"/>
                <w:sz w:val="24"/>
                <w:szCs w:val="24"/>
                <w:highlight w:val="none"/>
              </w:rPr>
            </w:pPr>
          </w:p>
        </w:tc>
        <w:tc>
          <w:tcPr>
            <w:tcW w:w="2078" w:type="dxa"/>
            <w:tcBorders>
              <w:top w:val="single" w:color="auto" w:sz="4" w:space="0"/>
              <w:left w:val="single" w:color="auto" w:sz="4" w:space="0"/>
              <w:bottom w:val="single" w:color="auto" w:sz="4" w:space="0"/>
              <w:right w:val="single" w:color="auto" w:sz="4" w:space="0"/>
            </w:tcBorders>
            <w:noWrap/>
            <w:vAlign w:val="center"/>
          </w:tcPr>
          <w:p w14:paraId="3DBCA34D">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 xml:space="preserve">联 系 电 话 </w:t>
            </w:r>
          </w:p>
        </w:tc>
        <w:tc>
          <w:tcPr>
            <w:tcW w:w="2299" w:type="dxa"/>
            <w:tcBorders>
              <w:top w:val="single" w:color="auto" w:sz="4" w:space="0"/>
              <w:left w:val="single" w:color="auto" w:sz="4" w:space="0"/>
              <w:bottom w:val="single" w:color="auto" w:sz="4" w:space="0"/>
              <w:right w:val="single" w:color="auto" w:sz="4" w:space="0"/>
            </w:tcBorders>
            <w:noWrap/>
            <w:vAlign w:val="center"/>
          </w:tcPr>
          <w:p w14:paraId="7A3065E6">
            <w:pPr>
              <w:spacing w:line="260" w:lineRule="exact"/>
              <w:rPr>
                <w:color w:val="auto"/>
                <w:sz w:val="24"/>
                <w:szCs w:val="24"/>
                <w:highlight w:val="none"/>
              </w:rPr>
            </w:pPr>
          </w:p>
        </w:tc>
      </w:tr>
      <w:tr w14:paraId="08296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269" w:type="dxa"/>
            <w:gridSpan w:val="3"/>
            <w:tcBorders>
              <w:top w:val="single" w:color="auto" w:sz="4" w:space="0"/>
              <w:left w:val="single" w:color="auto" w:sz="4" w:space="0"/>
              <w:bottom w:val="single" w:color="auto" w:sz="4" w:space="0"/>
              <w:right w:val="single" w:color="auto" w:sz="4" w:space="0"/>
            </w:tcBorders>
            <w:noWrap/>
            <w:vAlign w:val="center"/>
          </w:tcPr>
          <w:p w14:paraId="3B05B009">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 xml:space="preserve">拟投标项目名称 </w:t>
            </w:r>
          </w:p>
        </w:tc>
        <w:tc>
          <w:tcPr>
            <w:tcW w:w="2641" w:type="dxa"/>
            <w:tcBorders>
              <w:top w:val="single" w:color="auto" w:sz="4" w:space="0"/>
              <w:left w:val="single" w:color="auto" w:sz="4" w:space="0"/>
              <w:bottom w:val="single" w:color="auto" w:sz="4" w:space="0"/>
              <w:right w:val="single" w:color="auto" w:sz="4" w:space="0"/>
            </w:tcBorders>
            <w:noWrap/>
            <w:vAlign w:val="center"/>
          </w:tcPr>
          <w:p w14:paraId="39077B15">
            <w:pPr>
              <w:spacing w:line="260" w:lineRule="exact"/>
              <w:rPr>
                <w:color w:val="auto"/>
                <w:sz w:val="24"/>
                <w:szCs w:val="24"/>
                <w:highlight w:val="none"/>
              </w:rPr>
            </w:pPr>
          </w:p>
        </w:tc>
        <w:tc>
          <w:tcPr>
            <w:tcW w:w="2078" w:type="dxa"/>
            <w:tcBorders>
              <w:top w:val="single" w:color="auto" w:sz="4" w:space="0"/>
              <w:left w:val="single" w:color="auto" w:sz="4" w:space="0"/>
              <w:bottom w:val="single" w:color="auto" w:sz="4" w:space="0"/>
              <w:right w:val="single" w:color="auto" w:sz="4" w:space="0"/>
            </w:tcBorders>
            <w:noWrap/>
            <w:vAlign w:val="center"/>
          </w:tcPr>
          <w:p w14:paraId="2A332B60">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拟投标项目经理  姓名</w:t>
            </w:r>
          </w:p>
        </w:tc>
        <w:tc>
          <w:tcPr>
            <w:tcW w:w="2299" w:type="dxa"/>
            <w:tcBorders>
              <w:top w:val="single" w:color="auto" w:sz="4" w:space="0"/>
              <w:left w:val="single" w:color="auto" w:sz="4" w:space="0"/>
              <w:bottom w:val="single" w:color="auto" w:sz="4" w:space="0"/>
              <w:right w:val="single" w:color="auto" w:sz="4" w:space="0"/>
            </w:tcBorders>
            <w:noWrap/>
          </w:tcPr>
          <w:p w14:paraId="6B3576AD">
            <w:pPr>
              <w:spacing w:line="260" w:lineRule="exact"/>
              <w:rPr>
                <w:color w:val="auto"/>
                <w:sz w:val="24"/>
                <w:szCs w:val="24"/>
                <w:highlight w:val="none"/>
              </w:rPr>
            </w:pPr>
          </w:p>
        </w:tc>
      </w:tr>
      <w:tr w14:paraId="10A01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3" w:hRule="atLeast"/>
        </w:trPr>
        <w:tc>
          <w:tcPr>
            <w:tcW w:w="1191" w:type="dxa"/>
            <w:vMerge w:val="restart"/>
            <w:tcBorders>
              <w:top w:val="single" w:color="auto" w:sz="4" w:space="0"/>
              <w:left w:val="single" w:color="auto" w:sz="4" w:space="0"/>
              <w:bottom w:val="single" w:color="auto" w:sz="4" w:space="0"/>
              <w:right w:val="single" w:color="auto" w:sz="4" w:space="0"/>
            </w:tcBorders>
            <w:noWrap/>
            <w:vAlign w:val="center"/>
          </w:tcPr>
          <w:p w14:paraId="7DA1BE31">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供应商</w:t>
            </w:r>
          </w:p>
          <w:p w14:paraId="543AFBFD">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市场</w:t>
            </w:r>
          </w:p>
          <w:p w14:paraId="494950D0">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行为</w:t>
            </w:r>
          </w:p>
          <w:p w14:paraId="6DC2495B">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信誉</w:t>
            </w:r>
          </w:p>
          <w:p w14:paraId="63C8B703">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情况</w:t>
            </w:r>
          </w:p>
        </w:tc>
        <w:tc>
          <w:tcPr>
            <w:tcW w:w="3719" w:type="dxa"/>
            <w:gridSpan w:val="3"/>
            <w:tcBorders>
              <w:top w:val="single" w:color="auto" w:sz="4" w:space="0"/>
              <w:left w:val="single" w:color="auto" w:sz="4" w:space="0"/>
              <w:bottom w:val="single" w:color="auto" w:sz="4" w:space="0"/>
              <w:right w:val="single" w:color="auto" w:sz="4" w:space="0"/>
            </w:tcBorders>
            <w:noWrap/>
            <w:vAlign w:val="center"/>
          </w:tcPr>
          <w:p w14:paraId="779CF19A">
            <w:pPr>
              <w:spacing w:before="100" w:beforeAutospacing="1" w:after="100" w:afterAutospacing="1" w:line="260" w:lineRule="exact"/>
              <w:rPr>
                <w:color w:val="auto"/>
                <w:sz w:val="24"/>
                <w:szCs w:val="24"/>
                <w:highlight w:val="none"/>
              </w:rPr>
            </w:pPr>
            <w:r>
              <w:rPr>
                <w:rFonts w:hint="eastAsia"/>
                <w:color w:val="auto"/>
                <w:sz w:val="24"/>
                <w:szCs w:val="24"/>
                <w:highlight w:val="none"/>
              </w:rPr>
              <w:t>有无受到财政监管部门处理、公告的不良行为。（未注明公告期限的）</w:t>
            </w:r>
          </w:p>
        </w:tc>
        <w:tc>
          <w:tcPr>
            <w:tcW w:w="4377" w:type="dxa"/>
            <w:gridSpan w:val="2"/>
            <w:tcBorders>
              <w:top w:val="single" w:color="auto" w:sz="4" w:space="0"/>
              <w:left w:val="single" w:color="auto" w:sz="4" w:space="0"/>
              <w:bottom w:val="single" w:color="auto" w:sz="4" w:space="0"/>
              <w:right w:val="single" w:color="auto" w:sz="4" w:space="0"/>
            </w:tcBorders>
            <w:noWrap/>
          </w:tcPr>
          <w:p w14:paraId="17F18D36">
            <w:pPr>
              <w:spacing w:line="260" w:lineRule="exact"/>
              <w:rPr>
                <w:color w:val="auto"/>
                <w:sz w:val="24"/>
                <w:szCs w:val="24"/>
                <w:highlight w:val="none"/>
              </w:rPr>
            </w:pPr>
          </w:p>
        </w:tc>
      </w:tr>
      <w:tr w14:paraId="4C539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1191" w:type="dxa"/>
            <w:vMerge w:val="continue"/>
            <w:tcBorders>
              <w:top w:val="single" w:color="auto" w:sz="4" w:space="0"/>
              <w:left w:val="single" w:color="auto" w:sz="4" w:space="0"/>
              <w:bottom w:val="single" w:color="auto" w:sz="4" w:space="0"/>
              <w:right w:val="single" w:color="auto" w:sz="4" w:space="0"/>
            </w:tcBorders>
            <w:noWrap/>
            <w:vAlign w:val="center"/>
          </w:tcPr>
          <w:p w14:paraId="4CC48EE8">
            <w:pPr>
              <w:spacing w:before="100" w:beforeAutospacing="1" w:after="100" w:afterAutospacing="1" w:line="260" w:lineRule="exact"/>
              <w:jc w:val="center"/>
              <w:rPr>
                <w:color w:val="auto"/>
                <w:sz w:val="24"/>
                <w:szCs w:val="24"/>
                <w:highlight w:val="none"/>
              </w:rPr>
            </w:pPr>
          </w:p>
        </w:tc>
        <w:tc>
          <w:tcPr>
            <w:tcW w:w="3719" w:type="dxa"/>
            <w:gridSpan w:val="3"/>
            <w:tcBorders>
              <w:top w:val="single" w:color="auto" w:sz="4" w:space="0"/>
              <w:left w:val="single" w:color="auto" w:sz="4" w:space="0"/>
              <w:bottom w:val="single" w:color="auto" w:sz="4" w:space="0"/>
              <w:right w:val="single" w:color="auto" w:sz="4" w:space="0"/>
            </w:tcBorders>
            <w:noWrap/>
            <w:vAlign w:val="center"/>
          </w:tcPr>
          <w:p w14:paraId="35F002E5">
            <w:pPr>
              <w:spacing w:before="100" w:beforeAutospacing="1" w:after="100" w:afterAutospacing="1" w:line="260" w:lineRule="exact"/>
              <w:rPr>
                <w:color w:val="auto"/>
                <w:sz w:val="24"/>
                <w:szCs w:val="24"/>
                <w:highlight w:val="none"/>
              </w:rPr>
            </w:pPr>
            <w:r>
              <w:rPr>
                <w:rFonts w:hint="eastAsia"/>
                <w:color w:val="auto"/>
                <w:sz w:val="24"/>
                <w:szCs w:val="24"/>
                <w:highlight w:val="none"/>
              </w:rPr>
              <w:t>有无受到财政监管部门处理、公告的不良行为（在公告期内）。</w:t>
            </w:r>
          </w:p>
        </w:tc>
        <w:tc>
          <w:tcPr>
            <w:tcW w:w="4377" w:type="dxa"/>
            <w:gridSpan w:val="2"/>
            <w:tcBorders>
              <w:top w:val="single" w:color="auto" w:sz="4" w:space="0"/>
              <w:left w:val="single" w:color="auto" w:sz="4" w:space="0"/>
              <w:bottom w:val="single" w:color="auto" w:sz="4" w:space="0"/>
              <w:right w:val="single" w:color="auto" w:sz="4" w:space="0"/>
            </w:tcBorders>
            <w:noWrap/>
          </w:tcPr>
          <w:p w14:paraId="21BD475E">
            <w:pPr>
              <w:spacing w:line="260" w:lineRule="exact"/>
              <w:rPr>
                <w:color w:val="auto"/>
                <w:sz w:val="24"/>
                <w:szCs w:val="24"/>
                <w:highlight w:val="none"/>
              </w:rPr>
            </w:pPr>
          </w:p>
        </w:tc>
      </w:tr>
      <w:tr w14:paraId="3A6C9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6" w:hRule="atLeast"/>
        </w:trPr>
        <w:tc>
          <w:tcPr>
            <w:tcW w:w="1191" w:type="dxa"/>
            <w:vMerge w:val="continue"/>
            <w:tcBorders>
              <w:top w:val="single" w:color="auto" w:sz="4" w:space="0"/>
              <w:left w:val="single" w:color="auto" w:sz="4" w:space="0"/>
              <w:bottom w:val="single" w:color="auto" w:sz="4" w:space="0"/>
              <w:right w:val="single" w:color="auto" w:sz="4" w:space="0"/>
            </w:tcBorders>
            <w:noWrap/>
            <w:vAlign w:val="center"/>
          </w:tcPr>
          <w:p w14:paraId="1FC9B9C4">
            <w:pPr>
              <w:spacing w:line="260" w:lineRule="exact"/>
              <w:rPr>
                <w:color w:val="auto"/>
                <w:sz w:val="24"/>
                <w:szCs w:val="24"/>
                <w:highlight w:val="none"/>
              </w:rPr>
            </w:pPr>
          </w:p>
        </w:tc>
        <w:tc>
          <w:tcPr>
            <w:tcW w:w="3719" w:type="dxa"/>
            <w:gridSpan w:val="3"/>
            <w:tcBorders>
              <w:top w:val="single" w:color="auto" w:sz="4" w:space="0"/>
              <w:left w:val="single" w:color="auto" w:sz="4" w:space="0"/>
              <w:bottom w:val="single" w:color="auto" w:sz="4" w:space="0"/>
              <w:right w:val="single" w:color="auto" w:sz="4" w:space="0"/>
            </w:tcBorders>
            <w:noWrap/>
            <w:vAlign w:val="center"/>
          </w:tcPr>
          <w:p w14:paraId="726A2BF9">
            <w:pPr>
              <w:spacing w:before="100" w:beforeAutospacing="1" w:after="100" w:afterAutospacing="1" w:line="260" w:lineRule="exact"/>
              <w:rPr>
                <w:color w:val="auto"/>
                <w:sz w:val="24"/>
                <w:szCs w:val="24"/>
                <w:highlight w:val="none"/>
              </w:rPr>
            </w:pPr>
            <w:r>
              <w:rPr>
                <w:rFonts w:hint="eastAsia"/>
                <w:color w:val="auto"/>
                <w:sz w:val="24"/>
                <w:szCs w:val="24"/>
                <w:highlight w:val="none"/>
              </w:rPr>
              <w:t>有无受到财政监管部门处理、公告的不良行为（不在公告期但在三年内）。</w:t>
            </w:r>
          </w:p>
        </w:tc>
        <w:tc>
          <w:tcPr>
            <w:tcW w:w="4377" w:type="dxa"/>
            <w:gridSpan w:val="2"/>
            <w:tcBorders>
              <w:top w:val="single" w:color="auto" w:sz="4" w:space="0"/>
              <w:left w:val="single" w:color="auto" w:sz="4" w:space="0"/>
              <w:bottom w:val="single" w:color="auto" w:sz="4" w:space="0"/>
              <w:right w:val="single" w:color="auto" w:sz="4" w:space="0"/>
            </w:tcBorders>
            <w:noWrap/>
          </w:tcPr>
          <w:p w14:paraId="66C95A9C">
            <w:pPr>
              <w:spacing w:line="260" w:lineRule="exact"/>
              <w:rPr>
                <w:color w:val="auto"/>
                <w:sz w:val="24"/>
                <w:szCs w:val="24"/>
                <w:highlight w:val="none"/>
              </w:rPr>
            </w:pPr>
          </w:p>
        </w:tc>
      </w:tr>
      <w:tr w14:paraId="73492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3" w:hRule="atLeast"/>
        </w:trPr>
        <w:tc>
          <w:tcPr>
            <w:tcW w:w="1191" w:type="dxa"/>
            <w:vMerge w:val="continue"/>
            <w:tcBorders>
              <w:top w:val="single" w:color="auto" w:sz="4" w:space="0"/>
              <w:left w:val="single" w:color="auto" w:sz="4" w:space="0"/>
              <w:bottom w:val="single" w:color="auto" w:sz="4" w:space="0"/>
              <w:right w:val="single" w:color="auto" w:sz="4" w:space="0"/>
            </w:tcBorders>
            <w:noWrap/>
            <w:vAlign w:val="center"/>
          </w:tcPr>
          <w:p w14:paraId="729CF7FE">
            <w:pPr>
              <w:spacing w:line="260" w:lineRule="exact"/>
              <w:rPr>
                <w:color w:val="auto"/>
                <w:sz w:val="24"/>
                <w:szCs w:val="24"/>
                <w:highlight w:val="none"/>
              </w:rPr>
            </w:pPr>
          </w:p>
        </w:tc>
        <w:tc>
          <w:tcPr>
            <w:tcW w:w="3719" w:type="dxa"/>
            <w:gridSpan w:val="3"/>
            <w:tcBorders>
              <w:top w:val="single" w:color="auto" w:sz="4" w:space="0"/>
              <w:left w:val="single" w:color="auto" w:sz="4" w:space="0"/>
              <w:bottom w:val="single" w:color="auto" w:sz="4" w:space="0"/>
              <w:right w:val="single" w:color="auto" w:sz="4" w:space="0"/>
            </w:tcBorders>
            <w:noWrap/>
            <w:vAlign w:val="center"/>
          </w:tcPr>
          <w:p w14:paraId="29D9DDE9">
            <w:pPr>
              <w:spacing w:before="100" w:beforeAutospacing="1" w:after="100" w:afterAutospacing="1" w:line="260" w:lineRule="exact"/>
              <w:rPr>
                <w:rFonts w:hint="eastAsia" w:eastAsia="仿宋"/>
                <w:color w:val="auto"/>
                <w:sz w:val="24"/>
                <w:szCs w:val="24"/>
                <w:highlight w:val="none"/>
                <w:lang w:eastAsia="zh-CN"/>
              </w:rPr>
            </w:pPr>
            <w:r>
              <w:rPr>
                <w:rFonts w:hint="eastAsia"/>
                <w:color w:val="auto"/>
                <w:sz w:val="24"/>
                <w:szCs w:val="24"/>
                <w:highlight w:val="none"/>
              </w:rPr>
              <w:t>申请报名前三年内，在经营活动中有无重大违法记录（重大违法记录包括：（一）县级以上行政机关对企业或其法定代表人、董事、监事、高级管理人员在经营活动中的违法行为</w:t>
            </w:r>
            <w:r>
              <w:rPr>
                <w:rFonts w:hint="eastAsia"/>
                <w:color w:val="auto"/>
                <w:sz w:val="24"/>
                <w:szCs w:val="24"/>
                <w:highlight w:val="none"/>
                <w:lang w:eastAsia="zh-CN"/>
              </w:rPr>
              <w:t>作出</w:t>
            </w:r>
            <w:r>
              <w:rPr>
                <w:rFonts w:hint="eastAsia"/>
                <w:color w:val="auto"/>
                <w:sz w:val="24"/>
                <w:szCs w:val="24"/>
                <w:highlight w:val="none"/>
              </w:rPr>
              <w:t>的行政处罚决定，但警告和罚款额在较大数额以下的行政处罚决定除外。（二）各级司法机关对投标人或其法定代表人、董事、监事、高级管理人员在经营活动中的违法行为做出的刑事判决。</w:t>
            </w:r>
            <w:r>
              <w:rPr>
                <w:rFonts w:hint="eastAsia"/>
                <w:color w:val="auto"/>
                <w:sz w:val="24"/>
                <w:szCs w:val="24"/>
                <w:highlight w:val="none"/>
                <w:lang w:eastAsia="zh-CN"/>
              </w:rPr>
              <w:t>）</w:t>
            </w:r>
          </w:p>
        </w:tc>
        <w:tc>
          <w:tcPr>
            <w:tcW w:w="4377" w:type="dxa"/>
            <w:gridSpan w:val="2"/>
            <w:tcBorders>
              <w:top w:val="single" w:color="auto" w:sz="4" w:space="0"/>
              <w:left w:val="single" w:color="auto" w:sz="4" w:space="0"/>
              <w:bottom w:val="single" w:color="auto" w:sz="4" w:space="0"/>
              <w:right w:val="single" w:color="auto" w:sz="4" w:space="0"/>
            </w:tcBorders>
            <w:noWrap/>
          </w:tcPr>
          <w:p w14:paraId="14D7DB20">
            <w:pPr>
              <w:spacing w:line="260" w:lineRule="exact"/>
              <w:rPr>
                <w:color w:val="auto"/>
                <w:sz w:val="24"/>
                <w:szCs w:val="24"/>
                <w:highlight w:val="none"/>
              </w:rPr>
            </w:pPr>
          </w:p>
        </w:tc>
      </w:tr>
      <w:tr w14:paraId="28B01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3" w:hRule="atLeast"/>
        </w:trPr>
        <w:tc>
          <w:tcPr>
            <w:tcW w:w="1191" w:type="dxa"/>
            <w:tcBorders>
              <w:top w:val="single" w:color="auto" w:sz="4" w:space="0"/>
              <w:left w:val="single" w:color="auto" w:sz="4" w:space="0"/>
              <w:bottom w:val="single" w:color="auto" w:sz="4" w:space="0"/>
              <w:right w:val="single" w:color="auto" w:sz="4" w:space="0"/>
            </w:tcBorders>
            <w:noWrap/>
            <w:vAlign w:val="center"/>
          </w:tcPr>
          <w:p w14:paraId="4643C3C6">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供应商</w:t>
            </w:r>
          </w:p>
          <w:p w14:paraId="70FCFFAA">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信用</w:t>
            </w:r>
          </w:p>
          <w:p w14:paraId="0481FE20">
            <w:pPr>
              <w:spacing w:line="260" w:lineRule="exact"/>
              <w:jc w:val="center"/>
              <w:rPr>
                <w:color w:val="auto"/>
                <w:sz w:val="24"/>
                <w:szCs w:val="24"/>
                <w:highlight w:val="none"/>
              </w:rPr>
            </w:pPr>
            <w:r>
              <w:rPr>
                <w:rFonts w:hint="eastAsia"/>
                <w:color w:val="auto"/>
                <w:sz w:val="24"/>
                <w:szCs w:val="24"/>
                <w:highlight w:val="none"/>
              </w:rPr>
              <w:t>情况</w:t>
            </w:r>
          </w:p>
        </w:tc>
        <w:tc>
          <w:tcPr>
            <w:tcW w:w="3719" w:type="dxa"/>
            <w:gridSpan w:val="3"/>
            <w:tcBorders>
              <w:top w:val="single" w:color="auto" w:sz="4" w:space="0"/>
              <w:left w:val="single" w:color="auto" w:sz="4" w:space="0"/>
              <w:bottom w:val="single" w:color="auto" w:sz="4" w:space="0"/>
              <w:right w:val="single" w:color="auto" w:sz="4" w:space="0"/>
            </w:tcBorders>
            <w:noWrap/>
            <w:vAlign w:val="center"/>
          </w:tcPr>
          <w:p w14:paraId="3A68B543">
            <w:pPr>
              <w:spacing w:before="100" w:beforeAutospacing="1" w:after="100" w:afterAutospacing="1" w:line="260" w:lineRule="exact"/>
              <w:rPr>
                <w:color w:val="auto"/>
                <w:sz w:val="24"/>
                <w:szCs w:val="24"/>
                <w:highlight w:val="none"/>
              </w:rPr>
            </w:pPr>
            <w:r>
              <w:rPr>
                <w:rFonts w:hint="eastAsia"/>
                <w:color w:val="auto"/>
                <w:sz w:val="24"/>
                <w:szCs w:val="24"/>
                <w:highlight w:val="none"/>
              </w:rPr>
              <w:t>是否列入失信被执行人、重大税收违法案件当事人名单、政府采购严重违法失信行为记录名单及其他不符合《中华人民共和国政府采购法》第二十二条规定条件。</w:t>
            </w:r>
          </w:p>
        </w:tc>
        <w:tc>
          <w:tcPr>
            <w:tcW w:w="4377" w:type="dxa"/>
            <w:gridSpan w:val="2"/>
            <w:tcBorders>
              <w:top w:val="single" w:color="auto" w:sz="4" w:space="0"/>
              <w:left w:val="single" w:color="auto" w:sz="4" w:space="0"/>
              <w:bottom w:val="single" w:color="auto" w:sz="4" w:space="0"/>
              <w:right w:val="single" w:color="auto" w:sz="4" w:space="0"/>
            </w:tcBorders>
            <w:noWrap/>
          </w:tcPr>
          <w:p w14:paraId="56B63192">
            <w:pPr>
              <w:spacing w:line="260" w:lineRule="exact"/>
              <w:rPr>
                <w:color w:val="auto"/>
                <w:sz w:val="24"/>
                <w:szCs w:val="24"/>
                <w:highlight w:val="none"/>
              </w:rPr>
            </w:pPr>
          </w:p>
        </w:tc>
      </w:tr>
      <w:tr w14:paraId="01772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2" w:hRule="atLeast"/>
        </w:trPr>
        <w:tc>
          <w:tcPr>
            <w:tcW w:w="1951" w:type="dxa"/>
            <w:gridSpan w:val="2"/>
            <w:tcBorders>
              <w:top w:val="single" w:color="auto" w:sz="4" w:space="0"/>
              <w:left w:val="single" w:color="auto" w:sz="4" w:space="0"/>
              <w:bottom w:val="single" w:color="auto" w:sz="4" w:space="0"/>
              <w:right w:val="single" w:color="auto" w:sz="4" w:space="0"/>
            </w:tcBorders>
            <w:noWrap/>
            <w:vAlign w:val="center"/>
          </w:tcPr>
          <w:p w14:paraId="237C8757">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 xml:space="preserve">供应商声明 </w:t>
            </w:r>
          </w:p>
        </w:tc>
        <w:tc>
          <w:tcPr>
            <w:tcW w:w="7336" w:type="dxa"/>
            <w:gridSpan w:val="4"/>
            <w:tcBorders>
              <w:top w:val="single" w:color="auto" w:sz="4" w:space="0"/>
              <w:left w:val="single" w:color="auto" w:sz="4" w:space="0"/>
              <w:bottom w:val="single" w:color="auto" w:sz="4" w:space="0"/>
              <w:right w:val="single" w:color="auto" w:sz="4" w:space="0"/>
            </w:tcBorders>
            <w:noWrap/>
          </w:tcPr>
          <w:p w14:paraId="2D242126">
            <w:pPr>
              <w:pStyle w:val="13"/>
              <w:rPr>
                <w:color w:val="auto"/>
                <w:sz w:val="24"/>
                <w:szCs w:val="24"/>
                <w:highlight w:val="none"/>
              </w:rPr>
            </w:pPr>
            <w:r>
              <w:rPr>
                <w:rFonts w:hint="eastAsia"/>
                <w:color w:val="auto"/>
                <w:sz w:val="24"/>
                <w:szCs w:val="24"/>
                <w:highlight w:val="none"/>
              </w:rPr>
              <w:t>本企业对上述声明的真实性负责，如有虚假，将依法承担相应责任。</w:t>
            </w:r>
          </w:p>
          <w:p w14:paraId="33084291">
            <w:pPr>
              <w:spacing w:before="100" w:beforeAutospacing="1" w:after="100" w:afterAutospacing="1" w:line="260" w:lineRule="exact"/>
              <w:jc w:val="center"/>
              <w:rPr>
                <w:color w:val="auto"/>
                <w:sz w:val="24"/>
                <w:szCs w:val="24"/>
                <w:highlight w:val="none"/>
              </w:rPr>
            </w:pPr>
          </w:p>
          <w:p w14:paraId="73EDD1C0">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rPr>
              <w:t>单位公章</w:t>
            </w:r>
            <w:r>
              <w:rPr>
                <w:rFonts w:hint="eastAsia"/>
                <w:color w:val="auto"/>
                <w:sz w:val="24"/>
                <w:szCs w:val="24"/>
                <w:highlight w:val="none"/>
                <w:lang w:eastAsia="zh-CN"/>
              </w:rPr>
              <w:t>）</w:t>
            </w:r>
            <w:r>
              <w:rPr>
                <w:rFonts w:hint="eastAsia"/>
                <w:color w:val="auto"/>
                <w:sz w:val="24"/>
                <w:szCs w:val="24"/>
                <w:highlight w:val="none"/>
              </w:rPr>
              <w:t xml:space="preserve"> </w:t>
            </w:r>
          </w:p>
          <w:p w14:paraId="1ABF20DA">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 xml:space="preserve">               日 期：    年  月   日 </w:t>
            </w:r>
          </w:p>
        </w:tc>
      </w:tr>
    </w:tbl>
    <w:p w14:paraId="10C1117D">
      <w:pPr>
        <w:spacing w:line="264" w:lineRule="auto"/>
        <w:rPr>
          <w:color w:val="auto"/>
          <w:sz w:val="24"/>
          <w:szCs w:val="24"/>
          <w:highlight w:val="none"/>
        </w:rPr>
      </w:pPr>
      <w:r>
        <w:rPr>
          <w:rFonts w:hint="eastAsia"/>
          <w:color w:val="auto"/>
          <w:sz w:val="24"/>
          <w:szCs w:val="24"/>
          <w:highlight w:val="none"/>
        </w:rPr>
        <w:t>注：（1）企业对上述情况进行承诺，按本表格内容如实填写；</w:t>
      </w:r>
    </w:p>
    <w:p w14:paraId="6D5E458C">
      <w:pPr>
        <w:spacing w:line="264" w:lineRule="auto"/>
        <w:ind w:firstLine="480" w:firstLineChars="200"/>
        <w:rPr>
          <w:color w:val="auto"/>
          <w:sz w:val="24"/>
          <w:szCs w:val="24"/>
          <w:highlight w:val="none"/>
        </w:rPr>
      </w:pPr>
      <w:r>
        <w:rPr>
          <w:rFonts w:hint="eastAsia"/>
          <w:color w:val="auto"/>
          <w:sz w:val="24"/>
          <w:szCs w:val="24"/>
          <w:highlight w:val="none"/>
        </w:rPr>
        <w:t>（2）本表格须在投标时作为响应文件的资信部分内容放入响应文件中；</w:t>
      </w:r>
    </w:p>
    <w:p w14:paraId="207968CB">
      <w:pPr>
        <w:spacing w:line="264" w:lineRule="auto"/>
        <w:ind w:firstLine="480" w:firstLineChars="200"/>
        <w:rPr>
          <w:color w:val="auto"/>
          <w:sz w:val="24"/>
          <w:szCs w:val="24"/>
          <w:highlight w:val="none"/>
        </w:rPr>
      </w:pPr>
      <w:r>
        <w:rPr>
          <w:rFonts w:hint="eastAsia"/>
          <w:color w:val="auto"/>
          <w:sz w:val="24"/>
          <w:szCs w:val="24"/>
          <w:highlight w:val="none"/>
        </w:rPr>
        <w:t>（3）本表格由企业自己填写，若无表中所列情况，则在相应栏中写“无”，若有，须按具体次数分别说明（包括处罚时间、事由、处罚主体等）。</w:t>
      </w:r>
    </w:p>
    <w:p w14:paraId="09B1BFCA">
      <w:pPr>
        <w:pStyle w:val="25"/>
        <w:ind w:left="0"/>
        <w:rPr>
          <w:color w:val="auto"/>
          <w:highlight w:val="none"/>
        </w:rPr>
      </w:pPr>
    </w:p>
    <w:p w14:paraId="5CBAFF56">
      <w:pPr>
        <w:pStyle w:val="25"/>
        <w:rPr>
          <w:color w:val="auto"/>
          <w:highlight w:val="none"/>
        </w:rPr>
      </w:pPr>
    </w:p>
    <w:p w14:paraId="3F7A5B6A">
      <w:pPr>
        <w:pStyle w:val="12"/>
        <w:rPr>
          <w:color w:val="auto"/>
          <w:highlight w:val="none"/>
        </w:rPr>
        <w:sectPr>
          <w:pgSz w:w="11910" w:h="16840"/>
          <w:pgMar w:top="1247" w:right="1247" w:bottom="1247" w:left="1587" w:header="884" w:footer="884" w:gutter="0"/>
          <w:cols w:space="0" w:num="1"/>
        </w:sectPr>
      </w:pPr>
    </w:p>
    <w:p w14:paraId="545E1779">
      <w:pPr>
        <w:spacing w:before="98" w:after="2"/>
        <w:ind w:left="561" w:right="441"/>
        <w:jc w:val="center"/>
        <w:rPr>
          <w:b/>
          <w:color w:val="auto"/>
          <w:sz w:val="30"/>
          <w:highlight w:val="none"/>
        </w:rPr>
      </w:pPr>
      <w:r>
        <w:rPr>
          <w:rFonts w:hint="eastAsia"/>
          <w:b/>
          <w:color w:val="auto"/>
          <w:sz w:val="30"/>
          <w:highlight w:val="none"/>
          <w:lang w:val="en-US"/>
        </w:rPr>
        <w:t>4.</w:t>
      </w:r>
      <w:r>
        <w:rPr>
          <w:rFonts w:hint="eastAsia"/>
          <w:b/>
          <w:color w:val="auto"/>
          <w:sz w:val="30"/>
          <w:highlight w:val="none"/>
        </w:rPr>
        <w:t>商务响应表</w:t>
      </w:r>
    </w:p>
    <w:p w14:paraId="20589849">
      <w:pPr>
        <w:pStyle w:val="15"/>
        <w:spacing w:before="120" w:after="120" w:line="560" w:lineRule="exact"/>
        <w:ind w:firstLine="120" w:firstLineChars="50"/>
        <w:rPr>
          <w:rFonts w:hint="eastAsia" w:hAnsi="宋体"/>
          <w:color w:val="auto"/>
          <w:highlight w:val="none"/>
        </w:rPr>
      </w:pPr>
      <w:r>
        <w:rPr>
          <w:rFonts w:hint="eastAsia" w:hAnsi="宋体"/>
          <w:color w:val="auto"/>
          <w:highlight w:val="none"/>
        </w:rPr>
        <w:t xml:space="preserve">              </w:t>
      </w:r>
    </w:p>
    <w:p w14:paraId="328A5478">
      <w:pPr>
        <w:pStyle w:val="15"/>
        <w:spacing w:before="120" w:after="120" w:line="560" w:lineRule="exact"/>
        <w:ind w:firstLine="120" w:firstLineChars="50"/>
        <w:rPr>
          <w:rFonts w:hint="eastAsia" w:hAnsi="宋体"/>
          <w:color w:val="auto"/>
          <w:highlight w:val="none"/>
        </w:rPr>
      </w:pPr>
      <w:r>
        <w:rPr>
          <w:rFonts w:hint="eastAsia" w:hAnsi="宋体"/>
          <w:color w:val="auto"/>
          <w:highlight w:val="none"/>
        </w:rPr>
        <w:t xml:space="preserve">项目名称：       </w:t>
      </w:r>
    </w:p>
    <w:p w14:paraId="110F3670">
      <w:pPr>
        <w:pStyle w:val="15"/>
        <w:spacing w:before="120" w:after="120" w:line="560" w:lineRule="exact"/>
        <w:ind w:firstLine="120" w:firstLineChars="50"/>
        <w:rPr>
          <w:rFonts w:hAnsi="宋体"/>
          <w:color w:val="auto"/>
          <w:highlight w:val="none"/>
        </w:rPr>
      </w:pPr>
      <w:r>
        <w:rPr>
          <w:rFonts w:hint="eastAsia" w:hAnsi="宋体"/>
          <w:color w:val="auto"/>
          <w:highlight w:val="none"/>
        </w:rPr>
        <w:t xml:space="preserve">项目编号：                       </w:t>
      </w:r>
    </w:p>
    <w:tbl>
      <w:tblPr>
        <w:tblStyle w:val="32"/>
        <w:tblW w:w="9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377"/>
        <w:gridCol w:w="2339"/>
        <w:gridCol w:w="2339"/>
        <w:gridCol w:w="1708"/>
      </w:tblGrid>
      <w:tr w14:paraId="1C8B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2E869BB9">
            <w:pPr>
              <w:pStyle w:val="15"/>
              <w:spacing w:before="120" w:after="120"/>
              <w:jc w:val="center"/>
              <w:rPr>
                <w:rFonts w:ascii="仿宋" w:hAnsi="仿宋"/>
                <w:color w:val="auto"/>
                <w:szCs w:val="24"/>
                <w:highlight w:val="none"/>
              </w:rPr>
            </w:pPr>
            <w:r>
              <w:rPr>
                <w:rFonts w:hint="eastAsia" w:ascii="仿宋" w:hAnsi="仿宋"/>
                <w:color w:val="auto"/>
                <w:szCs w:val="24"/>
                <w:highlight w:val="none"/>
              </w:rPr>
              <w:t>序号</w:t>
            </w:r>
          </w:p>
        </w:tc>
        <w:tc>
          <w:tcPr>
            <w:tcW w:w="2377" w:type="dxa"/>
            <w:noWrap/>
            <w:vAlign w:val="center"/>
          </w:tcPr>
          <w:p w14:paraId="6C7718F4">
            <w:pPr>
              <w:pStyle w:val="15"/>
              <w:spacing w:before="120" w:after="120"/>
              <w:jc w:val="center"/>
              <w:rPr>
                <w:rFonts w:ascii="仿宋" w:hAnsi="仿宋"/>
                <w:color w:val="auto"/>
                <w:szCs w:val="24"/>
                <w:highlight w:val="none"/>
              </w:rPr>
            </w:pPr>
            <w:r>
              <w:rPr>
                <w:rFonts w:hint="eastAsia" w:ascii="仿宋" w:hAnsi="仿宋"/>
                <w:color w:val="auto"/>
                <w:szCs w:val="24"/>
                <w:highlight w:val="none"/>
              </w:rPr>
              <w:t>类别</w:t>
            </w:r>
          </w:p>
        </w:tc>
        <w:tc>
          <w:tcPr>
            <w:tcW w:w="2339" w:type="dxa"/>
            <w:noWrap/>
            <w:vAlign w:val="center"/>
          </w:tcPr>
          <w:p w14:paraId="21410DF5">
            <w:pPr>
              <w:pStyle w:val="15"/>
              <w:spacing w:before="120" w:after="120"/>
              <w:jc w:val="center"/>
              <w:rPr>
                <w:rFonts w:ascii="仿宋" w:hAnsi="仿宋"/>
                <w:color w:val="auto"/>
                <w:szCs w:val="24"/>
                <w:highlight w:val="none"/>
              </w:rPr>
            </w:pPr>
            <w:r>
              <w:rPr>
                <w:rFonts w:hint="eastAsia" w:ascii="仿宋" w:hAnsi="仿宋"/>
                <w:color w:val="auto"/>
                <w:szCs w:val="24"/>
                <w:highlight w:val="none"/>
              </w:rPr>
              <w:t>磋商文件要求</w:t>
            </w:r>
          </w:p>
        </w:tc>
        <w:tc>
          <w:tcPr>
            <w:tcW w:w="2339" w:type="dxa"/>
            <w:noWrap/>
            <w:vAlign w:val="center"/>
          </w:tcPr>
          <w:p w14:paraId="3BCA4583">
            <w:pPr>
              <w:pStyle w:val="15"/>
              <w:spacing w:before="120" w:after="120"/>
              <w:jc w:val="center"/>
              <w:rPr>
                <w:rFonts w:ascii="仿宋" w:hAnsi="仿宋"/>
                <w:color w:val="auto"/>
                <w:szCs w:val="24"/>
                <w:highlight w:val="none"/>
              </w:rPr>
            </w:pPr>
            <w:r>
              <w:rPr>
                <w:rFonts w:hint="eastAsia" w:ascii="仿宋" w:hAnsi="仿宋"/>
                <w:color w:val="auto"/>
                <w:szCs w:val="24"/>
                <w:highlight w:val="none"/>
              </w:rPr>
              <w:t>供应商承诺</w:t>
            </w:r>
          </w:p>
        </w:tc>
        <w:tc>
          <w:tcPr>
            <w:tcW w:w="1708" w:type="dxa"/>
            <w:noWrap/>
            <w:vAlign w:val="center"/>
          </w:tcPr>
          <w:p w14:paraId="744C8C62">
            <w:pPr>
              <w:pStyle w:val="15"/>
              <w:spacing w:before="120" w:after="120"/>
              <w:jc w:val="center"/>
              <w:rPr>
                <w:rFonts w:ascii="仿宋" w:hAnsi="仿宋"/>
                <w:color w:val="auto"/>
                <w:szCs w:val="24"/>
                <w:highlight w:val="none"/>
              </w:rPr>
            </w:pPr>
            <w:r>
              <w:rPr>
                <w:rFonts w:hint="eastAsia" w:ascii="仿宋" w:hAnsi="仿宋"/>
                <w:color w:val="auto"/>
                <w:szCs w:val="24"/>
                <w:highlight w:val="none"/>
              </w:rPr>
              <w:t>备注</w:t>
            </w:r>
          </w:p>
        </w:tc>
      </w:tr>
      <w:tr w14:paraId="202F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7F7D43F7">
            <w:pPr>
              <w:pStyle w:val="15"/>
              <w:spacing w:before="120" w:after="120"/>
              <w:jc w:val="center"/>
              <w:rPr>
                <w:rFonts w:ascii="仿宋" w:hAnsi="仿宋"/>
                <w:color w:val="auto"/>
                <w:szCs w:val="24"/>
                <w:highlight w:val="none"/>
              </w:rPr>
            </w:pPr>
            <w:r>
              <w:rPr>
                <w:rFonts w:hint="eastAsia" w:ascii="仿宋" w:hAnsi="仿宋"/>
                <w:color w:val="auto"/>
                <w:szCs w:val="24"/>
                <w:highlight w:val="none"/>
              </w:rPr>
              <w:t>1</w:t>
            </w:r>
          </w:p>
        </w:tc>
        <w:tc>
          <w:tcPr>
            <w:tcW w:w="2377" w:type="dxa"/>
            <w:noWrap/>
            <w:vAlign w:val="center"/>
          </w:tcPr>
          <w:p w14:paraId="1FFA7EE2">
            <w:pPr>
              <w:pStyle w:val="15"/>
              <w:spacing w:before="120" w:after="120"/>
              <w:jc w:val="center"/>
              <w:rPr>
                <w:rFonts w:ascii="仿宋" w:hAnsi="仿宋"/>
                <w:color w:val="auto"/>
                <w:szCs w:val="24"/>
                <w:highlight w:val="none"/>
              </w:rPr>
            </w:pPr>
          </w:p>
        </w:tc>
        <w:tc>
          <w:tcPr>
            <w:tcW w:w="2339" w:type="dxa"/>
            <w:noWrap/>
            <w:vAlign w:val="center"/>
          </w:tcPr>
          <w:p w14:paraId="0B7E326E">
            <w:pPr>
              <w:pStyle w:val="15"/>
              <w:spacing w:before="120" w:after="120"/>
              <w:jc w:val="center"/>
              <w:rPr>
                <w:rFonts w:ascii="仿宋" w:hAnsi="仿宋"/>
                <w:color w:val="auto"/>
                <w:szCs w:val="24"/>
                <w:highlight w:val="none"/>
              </w:rPr>
            </w:pPr>
          </w:p>
        </w:tc>
        <w:tc>
          <w:tcPr>
            <w:tcW w:w="2339" w:type="dxa"/>
            <w:noWrap/>
            <w:vAlign w:val="center"/>
          </w:tcPr>
          <w:p w14:paraId="1555BCC8">
            <w:pPr>
              <w:pStyle w:val="15"/>
              <w:spacing w:before="120" w:after="120"/>
              <w:jc w:val="center"/>
              <w:rPr>
                <w:rFonts w:ascii="仿宋" w:hAnsi="仿宋"/>
                <w:color w:val="auto"/>
                <w:szCs w:val="24"/>
                <w:highlight w:val="none"/>
              </w:rPr>
            </w:pPr>
          </w:p>
        </w:tc>
        <w:tc>
          <w:tcPr>
            <w:tcW w:w="1708" w:type="dxa"/>
            <w:noWrap/>
            <w:vAlign w:val="center"/>
          </w:tcPr>
          <w:p w14:paraId="0909103E">
            <w:pPr>
              <w:pStyle w:val="15"/>
              <w:spacing w:before="120" w:after="120"/>
              <w:jc w:val="center"/>
              <w:rPr>
                <w:rFonts w:ascii="仿宋" w:hAnsi="仿宋"/>
                <w:color w:val="auto"/>
                <w:szCs w:val="24"/>
                <w:highlight w:val="none"/>
              </w:rPr>
            </w:pPr>
          </w:p>
        </w:tc>
      </w:tr>
      <w:tr w14:paraId="2AB79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09F2952B">
            <w:pPr>
              <w:jc w:val="center"/>
              <w:rPr>
                <w:color w:val="auto"/>
                <w:kern w:val="2"/>
                <w:sz w:val="24"/>
                <w:szCs w:val="24"/>
                <w:highlight w:val="none"/>
              </w:rPr>
            </w:pPr>
            <w:r>
              <w:rPr>
                <w:rFonts w:hint="eastAsia"/>
                <w:color w:val="auto"/>
                <w:kern w:val="2"/>
                <w:sz w:val="24"/>
                <w:szCs w:val="24"/>
                <w:highlight w:val="none"/>
              </w:rPr>
              <w:t>2</w:t>
            </w:r>
          </w:p>
        </w:tc>
        <w:tc>
          <w:tcPr>
            <w:tcW w:w="2377" w:type="dxa"/>
            <w:noWrap/>
            <w:vAlign w:val="center"/>
          </w:tcPr>
          <w:p w14:paraId="6F8FDE4E">
            <w:pPr>
              <w:snapToGrid w:val="0"/>
              <w:spacing w:before="120" w:beforeLines="50"/>
              <w:jc w:val="center"/>
              <w:rPr>
                <w:rFonts w:ascii="宋体" w:hAnsi="宋体" w:cs="宋体"/>
                <w:color w:val="auto"/>
                <w:kern w:val="2"/>
                <w:sz w:val="21"/>
                <w:szCs w:val="21"/>
                <w:highlight w:val="none"/>
                <w:lang w:val="en-US" w:bidi="ar-SA"/>
              </w:rPr>
            </w:pPr>
          </w:p>
        </w:tc>
        <w:tc>
          <w:tcPr>
            <w:tcW w:w="2339" w:type="dxa"/>
            <w:noWrap/>
            <w:vAlign w:val="center"/>
          </w:tcPr>
          <w:p w14:paraId="2DD449CF">
            <w:pPr>
              <w:jc w:val="center"/>
              <w:rPr>
                <w:color w:val="auto"/>
                <w:kern w:val="2"/>
                <w:sz w:val="24"/>
                <w:szCs w:val="24"/>
                <w:highlight w:val="none"/>
              </w:rPr>
            </w:pPr>
          </w:p>
        </w:tc>
        <w:tc>
          <w:tcPr>
            <w:tcW w:w="2339" w:type="dxa"/>
            <w:noWrap/>
            <w:vAlign w:val="center"/>
          </w:tcPr>
          <w:p w14:paraId="0CBDF3F8">
            <w:pPr>
              <w:jc w:val="center"/>
              <w:rPr>
                <w:color w:val="auto"/>
                <w:kern w:val="2"/>
                <w:sz w:val="24"/>
                <w:szCs w:val="24"/>
                <w:highlight w:val="none"/>
              </w:rPr>
            </w:pPr>
          </w:p>
        </w:tc>
        <w:tc>
          <w:tcPr>
            <w:tcW w:w="1708" w:type="dxa"/>
            <w:noWrap/>
            <w:vAlign w:val="center"/>
          </w:tcPr>
          <w:p w14:paraId="5D92AAB3">
            <w:pPr>
              <w:jc w:val="center"/>
              <w:rPr>
                <w:color w:val="auto"/>
                <w:kern w:val="2"/>
                <w:sz w:val="24"/>
                <w:szCs w:val="24"/>
                <w:highlight w:val="none"/>
              </w:rPr>
            </w:pPr>
          </w:p>
        </w:tc>
      </w:tr>
      <w:tr w14:paraId="64BB3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7E84CFAF">
            <w:pPr>
              <w:jc w:val="center"/>
              <w:rPr>
                <w:color w:val="auto"/>
                <w:kern w:val="2"/>
                <w:sz w:val="24"/>
                <w:szCs w:val="24"/>
                <w:highlight w:val="none"/>
              </w:rPr>
            </w:pPr>
            <w:r>
              <w:rPr>
                <w:rFonts w:hint="eastAsia"/>
                <w:color w:val="auto"/>
                <w:kern w:val="2"/>
                <w:sz w:val="24"/>
                <w:szCs w:val="24"/>
                <w:highlight w:val="none"/>
              </w:rPr>
              <w:t>3</w:t>
            </w:r>
          </w:p>
        </w:tc>
        <w:tc>
          <w:tcPr>
            <w:tcW w:w="2377" w:type="dxa"/>
            <w:noWrap/>
            <w:vAlign w:val="center"/>
          </w:tcPr>
          <w:p w14:paraId="7A2046DF">
            <w:pPr>
              <w:snapToGrid w:val="0"/>
              <w:spacing w:before="120" w:beforeLines="50"/>
              <w:jc w:val="center"/>
              <w:rPr>
                <w:rFonts w:ascii="宋体" w:hAnsi="宋体" w:cs="宋体"/>
                <w:color w:val="auto"/>
                <w:kern w:val="2"/>
                <w:sz w:val="21"/>
                <w:szCs w:val="21"/>
                <w:highlight w:val="none"/>
                <w:lang w:val="en-US" w:bidi="ar-SA"/>
              </w:rPr>
            </w:pPr>
          </w:p>
        </w:tc>
        <w:tc>
          <w:tcPr>
            <w:tcW w:w="2339" w:type="dxa"/>
            <w:noWrap/>
            <w:vAlign w:val="center"/>
          </w:tcPr>
          <w:p w14:paraId="1A8EB3D9">
            <w:pPr>
              <w:jc w:val="center"/>
              <w:rPr>
                <w:color w:val="auto"/>
                <w:kern w:val="2"/>
                <w:sz w:val="24"/>
                <w:szCs w:val="24"/>
                <w:highlight w:val="none"/>
              </w:rPr>
            </w:pPr>
          </w:p>
        </w:tc>
        <w:tc>
          <w:tcPr>
            <w:tcW w:w="2339" w:type="dxa"/>
            <w:noWrap/>
            <w:vAlign w:val="center"/>
          </w:tcPr>
          <w:p w14:paraId="007D661F">
            <w:pPr>
              <w:jc w:val="center"/>
              <w:rPr>
                <w:color w:val="auto"/>
                <w:kern w:val="2"/>
                <w:sz w:val="24"/>
                <w:szCs w:val="24"/>
                <w:highlight w:val="none"/>
              </w:rPr>
            </w:pPr>
          </w:p>
        </w:tc>
        <w:tc>
          <w:tcPr>
            <w:tcW w:w="1708" w:type="dxa"/>
            <w:noWrap/>
            <w:vAlign w:val="center"/>
          </w:tcPr>
          <w:p w14:paraId="3D8B5D8C">
            <w:pPr>
              <w:jc w:val="center"/>
              <w:rPr>
                <w:color w:val="auto"/>
                <w:kern w:val="2"/>
                <w:sz w:val="24"/>
                <w:szCs w:val="24"/>
                <w:highlight w:val="none"/>
              </w:rPr>
            </w:pPr>
          </w:p>
        </w:tc>
      </w:tr>
      <w:tr w14:paraId="7D823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4EEE9E2F">
            <w:pPr>
              <w:jc w:val="center"/>
              <w:rPr>
                <w:color w:val="auto"/>
                <w:kern w:val="2"/>
                <w:sz w:val="24"/>
                <w:szCs w:val="24"/>
                <w:highlight w:val="none"/>
              </w:rPr>
            </w:pPr>
            <w:r>
              <w:rPr>
                <w:rFonts w:hint="eastAsia"/>
                <w:color w:val="auto"/>
                <w:kern w:val="2"/>
                <w:sz w:val="24"/>
                <w:szCs w:val="24"/>
                <w:highlight w:val="none"/>
              </w:rPr>
              <w:t>4</w:t>
            </w:r>
          </w:p>
        </w:tc>
        <w:tc>
          <w:tcPr>
            <w:tcW w:w="2377" w:type="dxa"/>
            <w:noWrap/>
            <w:vAlign w:val="center"/>
          </w:tcPr>
          <w:p w14:paraId="19A01480">
            <w:pPr>
              <w:snapToGrid w:val="0"/>
              <w:spacing w:before="120" w:beforeLines="50"/>
              <w:jc w:val="center"/>
              <w:rPr>
                <w:rFonts w:ascii="宋体" w:hAnsi="宋体" w:eastAsia="宋体" w:cs="宋体"/>
                <w:color w:val="auto"/>
                <w:kern w:val="2"/>
                <w:sz w:val="21"/>
                <w:szCs w:val="21"/>
                <w:highlight w:val="none"/>
                <w:lang w:val="en-US" w:bidi="ar-SA"/>
              </w:rPr>
            </w:pPr>
          </w:p>
        </w:tc>
        <w:tc>
          <w:tcPr>
            <w:tcW w:w="2339" w:type="dxa"/>
            <w:noWrap/>
            <w:vAlign w:val="center"/>
          </w:tcPr>
          <w:p w14:paraId="0374ABD1">
            <w:pPr>
              <w:jc w:val="center"/>
              <w:rPr>
                <w:color w:val="auto"/>
                <w:kern w:val="2"/>
                <w:sz w:val="24"/>
                <w:szCs w:val="24"/>
                <w:highlight w:val="none"/>
              </w:rPr>
            </w:pPr>
          </w:p>
        </w:tc>
        <w:tc>
          <w:tcPr>
            <w:tcW w:w="2339" w:type="dxa"/>
            <w:noWrap/>
            <w:vAlign w:val="center"/>
          </w:tcPr>
          <w:p w14:paraId="15D31D96">
            <w:pPr>
              <w:jc w:val="center"/>
              <w:rPr>
                <w:color w:val="auto"/>
                <w:kern w:val="2"/>
                <w:sz w:val="24"/>
                <w:szCs w:val="24"/>
                <w:highlight w:val="none"/>
              </w:rPr>
            </w:pPr>
          </w:p>
        </w:tc>
        <w:tc>
          <w:tcPr>
            <w:tcW w:w="1708" w:type="dxa"/>
            <w:noWrap/>
            <w:vAlign w:val="center"/>
          </w:tcPr>
          <w:p w14:paraId="72D045D7">
            <w:pPr>
              <w:jc w:val="center"/>
              <w:rPr>
                <w:color w:val="auto"/>
                <w:kern w:val="2"/>
                <w:sz w:val="24"/>
                <w:szCs w:val="24"/>
                <w:highlight w:val="none"/>
              </w:rPr>
            </w:pPr>
          </w:p>
        </w:tc>
      </w:tr>
      <w:tr w14:paraId="5939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2FBCE9B8">
            <w:pPr>
              <w:jc w:val="center"/>
              <w:rPr>
                <w:color w:val="auto"/>
                <w:kern w:val="2"/>
                <w:sz w:val="24"/>
                <w:szCs w:val="24"/>
                <w:highlight w:val="none"/>
              </w:rPr>
            </w:pPr>
            <w:r>
              <w:rPr>
                <w:rFonts w:hint="eastAsia"/>
                <w:color w:val="auto"/>
                <w:kern w:val="2"/>
                <w:sz w:val="24"/>
                <w:szCs w:val="24"/>
                <w:highlight w:val="none"/>
              </w:rPr>
              <w:t>5</w:t>
            </w:r>
          </w:p>
        </w:tc>
        <w:tc>
          <w:tcPr>
            <w:tcW w:w="2377" w:type="dxa"/>
            <w:noWrap/>
            <w:vAlign w:val="center"/>
          </w:tcPr>
          <w:p w14:paraId="14E488EE">
            <w:pPr>
              <w:jc w:val="center"/>
              <w:rPr>
                <w:color w:val="auto"/>
                <w:kern w:val="2"/>
                <w:sz w:val="24"/>
                <w:szCs w:val="24"/>
                <w:highlight w:val="none"/>
              </w:rPr>
            </w:pPr>
            <w:r>
              <w:rPr>
                <w:rFonts w:hint="eastAsia"/>
                <w:color w:val="auto"/>
                <w:sz w:val="24"/>
                <w:szCs w:val="24"/>
                <w:highlight w:val="none"/>
              </w:rPr>
              <w:t>……</w:t>
            </w:r>
          </w:p>
        </w:tc>
        <w:tc>
          <w:tcPr>
            <w:tcW w:w="2339" w:type="dxa"/>
            <w:noWrap/>
            <w:vAlign w:val="center"/>
          </w:tcPr>
          <w:p w14:paraId="3D3F8D66">
            <w:pPr>
              <w:jc w:val="center"/>
              <w:rPr>
                <w:color w:val="auto"/>
                <w:kern w:val="2"/>
                <w:sz w:val="24"/>
                <w:szCs w:val="24"/>
                <w:highlight w:val="none"/>
              </w:rPr>
            </w:pPr>
            <w:r>
              <w:rPr>
                <w:rFonts w:hint="eastAsia"/>
                <w:color w:val="auto"/>
                <w:sz w:val="24"/>
                <w:szCs w:val="24"/>
                <w:highlight w:val="none"/>
              </w:rPr>
              <w:t>……</w:t>
            </w:r>
          </w:p>
        </w:tc>
        <w:tc>
          <w:tcPr>
            <w:tcW w:w="2339" w:type="dxa"/>
            <w:noWrap/>
            <w:vAlign w:val="center"/>
          </w:tcPr>
          <w:p w14:paraId="65CB64F3">
            <w:pPr>
              <w:jc w:val="center"/>
              <w:rPr>
                <w:color w:val="auto"/>
                <w:kern w:val="2"/>
                <w:sz w:val="24"/>
                <w:szCs w:val="24"/>
                <w:highlight w:val="none"/>
              </w:rPr>
            </w:pPr>
            <w:r>
              <w:rPr>
                <w:rFonts w:hint="eastAsia"/>
                <w:color w:val="auto"/>
                <w:sz w:val="24"/>
                <w:szCs w:val="24"/>
                <w:highlight w:val="none"/>
              </w:rPr>
              <w:t>……</w:t>
            </w:r>
          </w:p>
        </w:tc>
        <w:tc>
          <w:tcPr>
            <w:tcW w:w="1708" w:type="dxa"/>
            <w:noWrap/>
            <w:vAlign w:val="center"/>
          </w:tcPr>
          <w:p w14:paraId="475D5CAE">
            <w:pPr>
              <w:jc w:val="center"/>
              <w:rPr>
                <w:color w:val="auto"/>
                <w:kern w:val="2"/>
                <w:sz w:val="24"/>
                <w:szCs w:val="24"/>
                <w:highlight w:val="none"/>
              </w:rPr>
            </w:pPr>
            <w:r>
              <w:rPr>
                <w:rFonts w:hint="eastAsia"/>
                <w:color w:val="auto"/>
                <w:sz w:val="24"/>
                <w:szCs w:val="24"/>
                <w:highlight w:val="none"/>
              </w:rPr>
              <w:t>……</w:t>
            </w:r>
          </w:p>
        </w:tc>
      </w:tr>
    </w:tbl>
    <w:p w14:paraId="6F171DAC">
      <w:pPr>
        <w:spacing w:line="460" w:lineRule="exact"/>
        <w:jc w:val="both"/>
        <w:rPr>
          <w:b/>
          <w:color w:val="auto"/>
          <w:kern w:val="2"/>
          <w:sz w:val="24"/>
          <w:szCs w:val="24"/>
          <w:highlight w:val="none"/>
        </w:rPr>
      </w:pPr>
      <w:r>
        <w:rPr>
          <w:rFonts w:hint="eastAsia"/>
          <w:color w:val="auto"/>
          <w:kern w:val="2"/>
          <w:sz w:val="24"/>
          <w:szCs w:val="24"/>
          <w:highlight w:val="none"/>
          <w:lang w:val="en-US" w:bidi="ar-SA"/>
        </w:rPr>
        <w:t>注：本表格为商务要求中除报价以外的其他要求，</w:t>
      </w:r>
      <w:r>
        <w:rPr>
          <w:rFonts w:hint="eastAsia"/>
          <w:bCs/>
          <w:color w:val="auto"/>
          <w:sz w:val="24"/>
          <w:highlight w:val="none"/>
        </w:rPr>
        <w:t>不填写视同完全响应招标文件要求。</w:t>
      </w:r>
      <w:r>
        <w:rPr>
          <w:rFonts w:hint="eastAsia"/>
          <w:color w:val="auto"/>
          <w:kern w:val="2"/>
          <w:sz w:val="24"/>
          <w:szCs w:val="24"/>
          <w:highlight w:val="none"/>
          <w:lang w:val="en-US" w:bidi="ar-SA"/>
        </w:rPr>
        <w:t>投标</w:t>
      </w:r>
      <w:r>
        <w:rPr>
          <w:rFonts w:hint="eastAsia"/>
          <w:color w:val="auto"/>
          <w:kern w:val="2"/>
          <w:sz w:val="24"/>
          <w:szCs w:val="24"/>
          <w:highlight w:val="none"/>
          <w:lang w:val="en-US" w:eastAsia="zh-CN" w:bidi="ar-SA"/>
        </w:rPr>
        <w:t>供应商</w:t>
      </w:r>
      <w:r>
        <w:rPr>
          <w:rFonts w:hint="eastAsia"/>
          <w:color w:val="auto"/>
          <w:kern w:val="2"/>
          <w:sz w:val="24"/>
          <w:szCs w:val="24"/>
          <w:highlight w:val="none"/>
          <w:lang w:val="en-US" w:bidi="ar-SA"/>
        </w:rPr>
        <w:t>应结合“第二章采购需求”进行编制，</w:t>
      </w:r>
      <w:r>
        <w:rPr>
          <w:rFonts w:hint="eastAsia"/>
          <w:color w:val="auto"/>
          <w:sz w:val="24"/>
          <w:highlight w:val="none"/>
        </w:rPr>
        <w:t>备注栏填正偏离、负偏离或无偏离。</w:t>
      </w:r>
    </w:p>
    <w:p w14:paraId="24849A56">
      <w:pPr>
        <w:pStyle w:val="58"/>
        <w:wordWrap w:val="0"/>
        <w:spacing w:line="360" w:lineRule="auto"/>
        <w:ind w:firstLine="480"/>
        <w:jc w:val="center"/>
        <w:rPr>
          <w:rFonts w:ascii="仿宋_GB2312" w:hAnsi="Courier New" w:eastAsia="仿宋_GB2312"/>
          <w:color w:val="auto"/>
          <w:sz w:val="24"/>
          <w:szCs w:val="21"/>
          <w:highlight w:val="none"/>
        </w:rPr>
      </w:pPr>
    </w:p>
    <w:p w14:paraId="181D8FA4">
      <w:pPr>
        <w:pStyle w:val="58"/>
        <w:wordWrap w:val="0"/>
        <w:spacing w:line="360" w:lineRule="auto"/>
        <w:ind w:firstLine="480"/>
        <w:jc w:val="center"/>
        <w:rPr>
          <w:rFonts w:ascii="仿宋_GB2312" w:hAnsi="Courier New" w:eastAsia="仿宋_GB2312"/>
          <w:color w:val="auto"/>
          <w:sz w:val="24"/>
          <w:szCs w:val="21"/>
          <w:highlight w:val="none"/>
        </w:rPr>
      </w:pPr>
    </w:p>
    <w:p w14:paraId="032011AC">
      <w:pPr>
        <w:pStyle w:val="58"/>
        <w:wordWrap w:val="0"/>
        <w:spacing w:line="360" w:lineRule="auto"/>
        <w:ind w:firstLine="480"/>
        <w:jc w:val="center"/>
        <w:rPr>
          <w:rFonts w:hint="eastAsia" w:ascii="仿宋" w:hAnsi="仿宋" w:eastAsia="仿宋" w:cs="仿宋"/>
          <w:color w:val="auto"/>
          <w:sz w:val="24"/>
          <w:szCs w:val="21"/>
          <w:highlight w:val="none"/>
        </w:rPr>
      </w:pPr>
    </w:p>
    <w:p w14:paraId="0A69153D">
      <w:pPr>
        <w:pStyle w:val="58"/>
        <w:wordWrap w:val="0"/>
        <w:spacing w:line="360" w:lineRule="auto"/>
        <w:ind w:firstLine="480"/>
        <w:jc w:val="center"/>
        <w:rPr>
          <w:rFonts w:hint="eastAsia" w:ascii="仿宋" w:hAnsi="仿宋" w:eastAsia="仿宋" w:cs="仿宋"/>
          <w:color w:val="auto"/>
          <w:sz w:val="24"/>
          <w:szCs w:val="21"/>
          <w:highlight w:val="none"/>
        </w:rPr>
      </w:pPr>
    </w:p>
    <w:p w14:paraId="32E271C1">
      <w:pPr>
        <w:pStyle w:val="58"/>
        <w:wordWrap w:val="0"/>
        <w:spacing w:line="360" w:lineRule="auto"/>
        <w:ind w:firstLine="480"/>
        <w:jc w:val="center"/>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p>
    <w:p w14:paraId="097360C7">
      <w:pPr>
        <w:pStyle w:val="58"/>
        <w:wordWrap w:val="0"/>
        <w:spacing w:line="360" w:lineRule="auto"/>
        <w:ind w:firstLine="480"/>
        <w:jc w:val="center"/>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p>
    <w:p w14:paraId="6874BC96">
      <w:pPr>
        <w:spacing w:line="560" w:lineRule="exact"/>
        <w:ind w:firstLine="4830" w:firstLineChars="2300"/>
        <w:rPr>
          <w:color w:val="auto"/>
          <w:sz w:val="21"/>
          <w:szCs w:val="21"/>
          <w:highlight w:val="none"/>
        </w:rPr>
      </w:pPr>
    </w:p>
    <w:p w14:paraId="24138713">
      <w:pPr>
        <w:spacing w:line="440" w:lineRule="exact"/>
        <w:ind w:firstLine="643" w:firstLineChars="200"/>
        <w:rPr>
          <w:rFonts w:ascii="宋体" w:eastAsia="宋体" w:cs="宋体"/>
          <w:b/>
          <w:color w:val="auto"/>
          <w:kern w:val="2"/>
          <w:sz w:val="32"/>
          <w:szCs w:val="32"/>
          <w:highlight w:val="none"/>
        </w:rPr>
      </w:pPr>
    </w:p>
    <w:p w14:paraId="74800D42">
      <w:pPr>
        <w:rPr>
          <w:rFonts w:ascii="宋体" w:eastAsia="宋体" w:cs="宋体"/>
          <w:b/>
          <w:color w:val="auto"/>
          <w:kern w:val="2"/>
          <w:sz w:val="32"/>
          <w:szCs w:val="32"/>
          <w:highlight w:val="none"/>
        </w:rPr>
      </w:pPr>
      <w:r>
        <w:rPr>
          <w:rFonts w:hint="eastAsia" w:ascii="宋体" w:eastAsia="宋体" w:cs="宋体"/>
          <w:b/>
          <w:color w:val="auto"/>
          <w:kern w:val="2"/>
          <w:sz w:val="32"/>
          <w:szCs w:val="32"/>
          <w:highlight w:val="none"/>
        </w:rPr>
        <w:br w:type="page"/>
      </w:r>
    </w:p>
    <w:p w14:paraId="21837321">
      <w:pPr>
        <w:spacing w:line="360" w:lineRule="auto"/>
        <w:jc w:val="center"/>
        <w:rPr>
          <w:rFonts w:ascii="宋体" w:hAnsi="宋体" w:cs="宋体"/>
          <w:b/>
          <w:color w:val="auto"/>
          <w:sz w:val="28"/>
          <w:szCs w:val="28"/>
          <w:highlight w:val="none"/>
          <w:lang w:val="en-US"/>
        </w:rPr>
      </w:pPr>
      <w:r>
        <w:rPr>
          <w:rFonts w:hint="eastAsia" w:ascii="宋体" w:hAnsi="宋体" w:cs="宋体"/>
          <w:b/>
          <w:color w:val="auto"/>
          <w:sz w:val="28"/>
          <w:szCs w:val="28"/>
          <w:highlight w:val="none"/>
          <w:lang w:val="en-US"/>
        </w:rPr>
        <w:t>5.类似业绩</w:t>
      </w:r>
    </w:p>
    <w:p w14:paraId="58AC313D">
      <w:pPr>
        <w:pStyle w:val="24"/>
        <w:snapToGrid w:val="0"/>
        <w:ind w:left="482" w:hanging="482"/>
        <w:jc w:val="center"/>
        <w:rPr>
          <w:b/>
          <w:color w:val="auto"/>
          <w:sz w:val="24"/>
          <w:szCs w:val="24"/>
          <w:highlight w:val="none"/>
        </w:rPr>
      </w:pPr>
    </w:p>
    <w:tbl>
      <w:tblPr>
        <w:tblStyle w:val="32"/>
        <w:tblW w:w="92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5"/>
        <w:gridCol w:w="1920"/>
        <w:gridCol w:w="1575"/>
        <w:gridCol w:w="1650"/>
        <w:gridCol w:w="1100"/>
        <w:gridCol w:w="1113"/>
        <w:gridCol w:w="1211"/>
      </w:tblGrid>
      <w:tr w14:paraId="5A5DC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665" w:type="dxa"/>
            <w:tcBorders>
              <w:top w:val="single" w:color="auto" w:sz="4" w:space="0"/>
              <w:left w:val="single" w:color="auto" w:sz="4" w:space="0"/>
              <w:bottom w:val="single" w:color="auto" w:sz="4" w:space="0"/>
              <w:right w:val="single" w:color="auto" w:sz="4" w:space="0"/>
            </w:tcBorders>
            <w:noWrap/>
            <w:vAlign w:val="center"/>
          </w:tcPr>
          <w:p w14:paraId="73CDDBB1">
            <w:pPr>
              <w:snapToGrid w:val="0"/>
              <w:spacing w:line="240" w:lineRule="exact"/>
              <w:jc w:val="center"/>
              <w:rPr>
                <w:b/>
                <w:color w:val="auto"/>
                <w:highlight w:val="none"/>
              </w:rPr>
            </w:pPr>
            <w:r>
              <w:rPr>
                <w:rFonts w:hint="eastAsia"/>
                <w:b/>
                <w:color w:val="auto"/>
                <w:highlight w:val="none"/>
              </w:rPr>
              <w:t>序号</w:t>
            </w:r>
          </w:p>
        </w:tc>
        <w:tc>
          <w:tcPr>
            <w:tcW w:w="1920" w:type="dxa"/>
            <w:tcBorders>
              <w:top w:val="single" w:color="auto" w:sz="4" w:space="0"/>
              <w:left w:val="single" w:color="auto" w:sz="4" w:space="0"/>
              <w:bottom w:val="single" w:color="auto" w:sz="4" w:space="0"/>
              <w:right w:val="single" w:color="auto" w:sz="4" w:space="0"/>
            </w:tcBorders>
            <w:noWrap/>
            <w:vAlign w:val="center"/>
          </w:tcPr>
          <w:p w14:paraId="7F685C9B">
            <w:pPr>
              <w:snapToGrid w:val="0"/>
              <w:spacing w:line="240" w:lineRule="exact"/>
              <w:jc w:val="center"/>
              <w:rPr>
                <w:b/>
                <w:color w:val="auto"/>
                <w:highlight w:val="none"/>
              </w:rPr>
            </w:pPr>
            <w:r>
              <w:rPr>
                <w:rFonts w:hint="eastAsia"/>
                <w:b/>
                <w:color w:val="auto"/>
                <w:highlight w:val="none"/>
              </w:rPr>
              <w:t>项目名称</w:t>
            </w:r>
          </w:p>
        </w:tc>
        <w:tc>
          <w:tcPr>
            <w:tcW w:w="1575" w:type="dxa"/>
            <w:tcBorders>
              <w:top w:val="single" w:color="auto" w:sz="4" w:space="0"/>
              <w:left w:val="single" w:color="auto" w:sz="4" w:space="0"/>
              <w:right w:val="single" w:color="auto" w:sz="4" w:space="0"/>
            </w:tcBorders>
            <w:noWrap/>
            <w:vAlign w:val="center"/>
          </w:tcPr>
          <w:p w14:paraId="44A33127">
            <w:pPr>
              <w:snapToGrid w:val="0"/>
              <w:spacing w:line="240" w:lineRule="exact"/>
              <w:jc w:val="center"/>
              <w:rPr>
                <w:b/>
                <w:color w:val="auto"/>
                <w:highlight w:val="none"/>
              </w:rPr>
            </w:pPr>
            <w:r>
              <w:rPr>
                <w:rFonts w:hint="eastAsia"/>
                <w:b/>
                <w:color w:val="auto"/>
                <w:highlight w:val="none"/>
              </w:rPr>
              <w:t>采购单位名称</w:t>
            </w:r>
          </w:p>
        </w:tc>
        <w:tc>
          <w:tcPr>
            <w:tcW w:w="1650" w:type="dxa"/>
            <w:tcBorders>
              <w:top w:val="single" w:color="auto" w:sz="4" w:space="0"/>
              <w:left w:val="single" w:color="auto" w:sz="4" w:space="0"/>
              <w:bottom w:val="single" w:color="auto" w:sz="4" w:space="0"/>
              <w:right w:val="single" w:color="auto" w:sz="4" w:space="0"/>
            </w:tcBorders>
            <w:noWrap/>
            <w:vAlign w:val="center"/>
          </w:tcPr>
          <w:p w14:paraId="4D7CC2CB">
            <w:pPr>
              <w:snapToGrid w:val="0"/>
              <w:spacing w:line="240" w:lineRule="exact"/>
              <w:jc w:val="center"/>
              <w:rPr>
                <w:b/>
                <w:color w:val="auto"/>
                <w:highlight w:val="none"/>
              </w:rPr>
            </w:pPr>
            <w:r>
              <w:rPr>
                <w:rFonts w:hint="eastAsia"/>
                <w:b/>
                <w:color w:val="auto"/>
                <w:highlight w:val="none"/>
              </w:rPr>
              <w:t>服务内容</w:t>
            </w:r>
          </w:p>
        </w:tc>
        <w:tc>
          <w:tcPr>
            <w:tcW w:w="1100" w:type="dxa"/>
            <w:tcBorders>
              <w:top w:val="single" w:color="auto" w:sz="4" w:space="0"/>
              <w:left w:val="single" w:color="auto" w:sz="4" w:space="0"/>
              <w:bottom w:val="single" w:color="auto" w:sz="4" w:space="0"/>
              <w:right w:val="single" w:color="auto" w:sz="4" w:space="0"/>
            </w:tcBorders>
            <w:noWrap/>
            <w:vAlign w:val="center"/>
          </w:tcPr>
          <w:p w14:paraId="098136DC">
            <w:pPr>
              <w:snapToGrid w:val="0"/>
              <w:spacing w:line="240" w:lineRule="exact"/>
              <w:jc w:val="center"/>
              <w:rPr>
                <w:b/>
                <w:color w:val="auto"/>
                <w:highlight w:val="none"/>
              </w:rPr>
            </w:pPr>
            <w:r>
              <w:rPr>
                <w:rFonts w:hint="eastAsia"/>
                <w:b/>
                <w:color w:val="auto"/>
                <w:highlight w:val="none"/>
              </w:rPr>
              <w:t>合同金额</w:t>
            </w:r>
          </w:p>
          <w:p w14:paraId="59D66F2D">
            <w:pPr>
              <w:snapToGrid w:val="0"/>
              <w:spacing w:line="240" w:lineRule="exact"/>
              <w:jc w:val="center"/>
              <w:rPr>
                <w:b/>
                <w:color w:val="auto"/>
                <w:highlight w:val="none"/>
              </w:rPr>
            </w:pPr>
            <w:r>
              <w:rPr>
                <w:rFonts w:hint="eastAsia"/>
                <w:b/>
                <w:color w:val="auto"/>
                <w:highlight w:val="none"/>
              </w:rPr>
              <w:t>（万元）</w:t>
            </w:r>
          </w:p>
        </w:tc>
        <w:tc>
          <w:tcPr>
            <w:tcW w:w="1113" w:type="dxa"/>
            <w:tcBorders>
              <w:top w:val="single" w:color="auto" w:sz="4" w:space="0"/>
              <w:left w:val="single" w:color="auto" w:sz="4" w:space="0"/>
              <w:right w:val="single" w:color="auto" w:sz="4" w:space="0"/>
            </w:tcBorders>
            <w:noWrap/>
            <w:vAlign w:val="center"/>
          </w:tcPr>
          <w:p w14:paraId="2C3C0FCB">
            <w:pPr>
              <w:snapToGrid w:val="0"/>
              <w:spacing w:line="240" w:lineRule="exact"/>
              <w:jc w:val="center"/>
              <w:rPr>
                <w:b/>
                <w:color w:val="auto"/>
                <w:highlight w:val="none"/>
              </w:rPr>
            </w:pPr>
            <w:r>
              <w:rPr>
                <w:rFonts w:hint="eastAsia"/>
                <w:b/>
                <w:iCs/>
                <w:color w:val="auto"/>
                <w:spacing w:val="20"/>
                <w:highlight w:val="none"/>
              </w:rPr>
              <w:t>合同签订日期</w:t>
            </w:r>
          </w:p>
        </w:tc>
        <w:tc>
          <w:tcPr>
            <w:tcW w:w="1211" w:type="dxa"/>
            <w:tcBorders>
              <w:top w:val="single" w:color="auto" w:sz="4" w:space="0"/>
              <w:left w:val="single" w:color="auto" w:sz="4" w:space="0"/>
              <w:bottom w:val="single" w:color="auto" w:sz="4" w:space="0"/>
              <w:right w:val="single" w:color="auto" w:sz="4" w:space="0"/>
            </w:tcBorders>
            <w:noWrap/>
            <w:vAlign w:val="center"/>
          </w:tcPr>
          <w:p w14:paraId="1273EF8B">
            <w:pPr>
              <w:snapToGrid w:val="0"/>
              <w:spacing w:line="240" w:lineRule="exact"/>
              <w:jc w:val="center"/>
              <w:rPr>
                <w:b/>
                <w:color w:val="auto"/>
                <w:highlight w:val="none"/>
              </w:rPr>
            </w:pPr>
            <w:r>
              <w:rPr>
                <w:rFonts w:hint="eastAsia"/>
                <w:b/>
                <w:color w:val="auto"/>
                <w:highlight w:val="none"/>
              </w:rPr>
              <w:t>采购单位联系人及联系电话</w:t>
            </w:r>
          </w:p>
        </w:tc>
      </w:tr>
      <w:tr w14:paraId="0B0F1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665" w:type="dxa"/>
            <w:tcBorders>
              <w:top w:val="single" w:color="auto" w:sz="4" w:space="0"/>
              <w:left w:val="single" w:color="auto" w:sz="4" w:space="0"/>
              <w:bottom w:val="single" w:color="auto" w:sz="4" w:space="0"/>
              <w:right w:val="single" w:color="auto" w:sz="4" w:space="0"/>
            </w:tcBorders>
            <w:noWrap/>
          </w:tcPr>
          <w:p w14:paraId="08CB29D0">
            <w:pPr>
              <w:snapToGrid w:val="0"/>
              <w:spacing w:line="24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2F65EBF0">
            <w:pPr>
              <w:snapToGrid w:val="0"/>
              <w:spacing w:line="24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2C4EB579">
            <w:pPr>
              <w:snapToGrid w:val="0"/>
              <w:spacing w:line="24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5A89A116">
            <w:pPr>
              <w:snapToGrid w:val="0"/>
              <w:spacing w:line="24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4D1D8975">
            <w:pPr>
              <w:snapToGrid w:val="0"/>
              <w:spacing w:line="24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143BC149">
            <w:pPr>
              <w:snapToGrid w:val="0"/>
              <w:spacing w:line="24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517CA4F2">
            <w:pPr>
              <w:snapToGrid w:val="0"/>
              <w:spacing w:line="240" w:lineRule="exact"/>
              <w:rPr>
                <w:color w:val="auto"/>
                <w:highlight w:val="none"/>
              </w:rPr>
            </w:pPr>
          </w:p>
        </w:tc>
      </w:tr>
      <w:tr w14:paraId="1C05E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5413621F">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28354AEB">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4EE1A2C5">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3878C6D2">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655BCE32">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3C2AEB2B">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77BBC811">
            <w:pPr>
              <w:snapToGrid w:val="0"/>
              <w:spacing w:before="50" w:after="120" w:afterLines="50" w:line="400" w:lineRule="exact"/>
              <w:rPr>
                <w:color w:val="auto"/>
                <w:highlight w:val="none"/>
              </w:rPr>
            </w:pPr>
          </w:p>
        </w:tc>
      </w:tr>
      <w:tr w14:paraId="39A48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10" w:hRule="atLeast"/>
          <w:jc w:val="center"/>
        </w:trPr>
        <w:tc>
          <w:tcPr>
            <w:tcW w:w="665" w:type="dxa"/>
            <w:tcBorders>
              <w:top w:val="single" w:color="auto" w:sz="4" w:space="0"/>
              <w:left w:val="single" w:color="auto" w:sz="4" w:space="0"/>
              <w:bottom w:val="single" w:color="auto" w:sz="4" w:space="0"/>
              <w:right w:val="single" w:color="auto" w:sz="4" w:space="0"/>
            </w:tcBorders>
            <w:noWrap/>
          </w:tcPr>
          <w:p w14:paraId="1C684F69">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5852ABA0">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78F1FE17">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58A85583">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1C158C06">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15E17481">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3605F668">
            <w:pPr>
              <w:snapToGrid w:val="0"/>
              <w:spacing w:before="50" w:after="120" w:afterLines="50" w:line="400" w:lineRule="exact"/>
              <w:rPr>
                <w:color w:val="auto"/>
                <w:highlight w:val="none"/>
              </w:rPr>
            </w:pPr>
          </w:p>
        </w:tc>
      </w:tr>
      <w:tr w14:paraId="653BD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3EB46973">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23A9BA5F">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774E6DE9">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495EF2E7">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6FE5357F">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20F9E2CE">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17D40B69">
            <w:pPr>
              <w:snapToGrid w:val="0"/>
              <w:spacing w:before="50" w:after="120" w:afterLines="50" w:line="400" w:lineRule="exact"/>
              <w:rPr>
                <w:color w:val="auto"/>
                <w:highlight w:val="none"/>
              </w:rPr>
            </w:pPr>
          </w:p>
        </w:tc>
      </w:tr>
      <w:tr w14:paraId="62A24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20637172">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73D7FC3D">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14FE98F3">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52A4CB1D">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37BA80AB">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5F3B27BB">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17575334">
            <w:pPr>
              <w:snapToGrid w:val="0"/>
              <w:spacing w:before="50" w:after="120" w:afterLines="50" w:line="400" w:lineRule="exact"/>
              <w:rPr>
                <w:color w:val="auto"/>
                <w:highlight w:val="none"/>
              </w:rPr>
            </w:pPr>
          </w:p>
        </w:tc>
      </w:tr>
      <w:tr w14:paraId="54835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4D0617D4">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593807F0">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07891FDC">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689ACF9F">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7DAA81C4">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243A6811">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275EA56B">
            <w:pPr>
              <w:snapToGrid w:val="0"/>
              <w:spacing w:before="50" w:after="120" w:afterLines="50" w:line="400" w:lineRule="exact"/>
              <w:rPr>
                <w:color w:val="auto"/>
                <w:highlight w:val="none"/>
              </w:rPr>
            </w:pPr>
          </w:p>
        </w:tc>
      </w:tr>
      <w:tr w14:paraId="1B95B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098F40DB">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4CD80B60">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5311E27C">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069FC976">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376E6C66">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794339C1">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51D759C5">
            <w:pPr>
              <w:snapToGrid w:val="0"/>
              <w:spacing w:before="50" w:after="120" w:afterLines="50" w:line="400" w:lineRule="exact"/>
              <w:rPr>
                <w:color w:val="auto"/>
                <w:highlight w:val="none"/>
              </w:rPr>
            </w:pPr>
          </w:p>
        </w:tc>
      </w:tr>
      <w:tr w14:paraId="32828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54DA3938">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2B870CD9">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449AA915">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2FBF1C71">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44DDB389">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78F3FCBD">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161EB780">
            <w:pPr>
              <w:snapToGrid w:val="0"/>
              <w:spacing w:before="50" w:after="120" w:afterLines="50" w:line="400" w:lineRule="exact"/>
              <w:rPr>
                <w:color w:val="auto"/>
                <w:highlight w:val="none"/>
              </w:rPr>
            </w:pPr>
          </w:p>
        </w:tc>
      </w:tr>
      <w:tr w14:paraId="6EFDF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70ED0A40">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6D724C02">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034CC79E">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7A912394">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3881933E">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25DB3EB7">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23B48FAA">
            <w:pPr>
              <w:snapToGrid w:val="0"/>
              <w:spacing w:before="50" w:after="120" w:afterLines="50" w:line="400" w:lineRule="exact"/>
              <w:rPr>
                <w:color w:val="auto"/>
                <w:highlight w:val="none"/>
              </w:rPr>
            </w:pPr>
          </w:p>
        </w:tc>
      </w:tr>
    </w:tbl>
    <w:p w14:paraId="314263FF">
      <w:pPr>
        <w:pStyle w:val="24"/>
        <w:snapToGrid w:val="0"/>
        <w:spacing w:line="360" w:lineRule="auto"/>
        <w:ind w:left="482" w:hanging="482"/>
        <w:rPr>
          <w:b w:val="0"/>
          <w:bCs/>
          <w:color w:val="auto"/>
          <w:sz w:val="24"/>
          <w:szCs w:val="24"/>
          <w:highlight w:val="none"/>
        </w:rPr>
      </w:pPr>
      <w:r>
        <w:rPr>
          <w:rFonts w:hint="eastAsia"/>
          <w:b w:val="0"/>
          <w:bCs/>
          <w:color w:val="auto"/>
          <w:sz w:val="24"/>
          <w:szCs w:val="24"/>
          <w:highlight w:val="none"/>
        </w:rPr>
        <w:t>注：合同等相应资料扫描件附后。</w:t>
      </w:r>
    </w:p>
    <w:p w14:paraId="1F7D4509">
      <w:pPr>
        <w:spacing w:line="360" w:lineRule="auto"/>
        <w:rPr>
          <w:color w:val="auto"/>
          <w:sz w:val="24"/>
          <w:szCs w:val="24"/>
          <w:highlight w:val="none"/>
        </w:rPr>
      </w:pPr>
    </w:p>
    <w:p w14:paraId="3256A92B">
      <w:pPr>
        <w:rPr>
          <w:color w:val="auto"/>
          <w:sz w:val="24"/>
          <w:szCs w:val="24"/>
          <w:highlight w:val="none"/>
        </w:rPr>
      </w:pPr>
    </w:p>
    <w:p w14:paraId="0A8F1637">
      <w:pPr>
        <w:pStyle w:val="15"/>
        <w:spacing w:before="120" w:after="120" w:line="360" w:lineRule="auto"/>
        <w:ind w:firstLine="5320" w:firstLineChars="1900"/>
        <w:rPr>
          <w:rFonts w:ascii="仿宋" w:hAnsi="仿宋"/>
          <w:color w:val="auto"/>
          <w:spacing w:val="20"/>
          <w:szCs w:val="24"/>
          <w:highlight w:val="none"/>
          <w:u w:val="single"/>
        </w:rPr>
      </w:pPr>
      <w:r>
        <w:rPr>
          <w:rFonts w:hint="eastAsia" w:ascii="仿宋" w:hAnsi="仿宋"/>
          <w:color w:val="auto"/>
          <w:spacing w:val="20"/>
          <w:szCs w:val="24"/>
          <w:highlight w:val="none"/>
          <w:lang w:val="en-US"/>
        </w:rPr>
        <w:t>供应商</w:t>
      </w:r>
      <w:r>
        <w:rPr>
          <w:rFonts w:hint="eastAsia" w:ascii="仿宋" w:hAnsi="仿宋"/>
          <w:color w:val="auto"/>
          <w:spacing w:val="20"/>
          <w:szCs w:val="24"/>
          <w:highlight w:val="none"/>
        </w:rPr>
        <w:t>盖章：</w:t>
      </w:r>
    </w:p>
    <w:p w14:paraId="4B145591">
      <w:pPr>
        <w:spacing w:line="360" w:lineRule="auto"/>
        <w:ind w:firstLine="5320" w:firstLineChars="1900"/>
        <w:rPr>
          <w:color w:val="auto"/>
          <w:spacing w:val="20"/>
          <w:sz w:val="24"/>
          <w:szCs w:val="24"/>
          <w:highlight w:val="none"/>
          <w:u w:val="single"/>
        </w:rPr>
      </w:pPr>
      <w:r>
        <w:rPr>
          <w:rFonts w:hint="eastAsia"/>
          <w:color w:val="auto"/>
          <w:spacing w:val="20"/>
          <w:sz w:val="24"/>
          <w:szCs w:val="24"/>
          <w:highlight w:val="none"/>
        </w:rPr>
        <w:t>日     期：</w:t>
      </w:r>
    </w:p>
    <w:p w14:paraId="52EE5750">
      <w:pPr>
        <w:pStyle w:val="12"/>
        <w:ind w:firstLine="0"/>
        <w:rPr>
          <w:color w:val="auto"/>
          <w:highlight w:val="none"/>
        </w:rPr>
      </w:pPr>
    </w:p>
    <w:p w14:paraId="267102B5">
      <w:pPr>
        <w:spacing w:line="440" w:lineRule="exact"/>
        <w:ind w:firstLine="643" w:firstLineChars="200"/>
        <w:jc w:val="center"/>
        <w:rPr>
          <w:rFonts w:ascii="宋体" w:eastAsia="宋体" w:cs="宋体"/>
          <w:b/>
          <w:color w:val="auto"/>
          <w:kern w:val="2"/>
          <w:sz w:val="32"/>
          <w:szCs w:val="32"/>
          <w:highlight w:val="none"/>
        </w:rPr>
      </w:pPr>
    </w:p>
    <w:p w14:paraId="33FB90F1">
      <w:pPr>
        <w:rPr>
          <w:rFonts w:ascii="宋体" w:eastAsia="宋体" w:cs="宋体"/>
          <w:b/>
          <w:color w:val="auto"/>
          <w:kern w:val="2"/>
          <w:sz w:val="32"/>
          <w:szCs w:val="32"/>
          <w:highlight w:val="none"/>
        </w:rPr>
      </w:pPr>
      <w:r>
        <w:rPr>
          <w:rFonts w:hint="eastAsia" w:ascii="宋体" w:eastAsia="宋体" w:cs="宋体"/>
          <w:b/>
          <w:color w:val="auto"/>
          <w:kern w:val="2"/>
          <w:sz w:val="32"/>
          <w:szCs w:val="32"/>
          <w:highlight w:val="none"/>
        </w:rPr>
        <w:br w:type="page"/>
      </w:r>
    </w:p>
    <w:p w14:paraId="03E8D9AB">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lang w:val="en-US"/>
        </w:rPr>
        <w:t>6.人员配备</w:t>
      </w:r>
      <w:r>
        <w:rPr>
          <w:rFonts w:hint="eastAsia" w:ascii="宋体" w:hAnsi="宋体" w:cs="宋体"/>
          <w:b/>
          <w:color w:val="auto"/>
          <w:sz w:val="28"/>
          <w:szCs w:val="28"/>
          <w:highlight w:val="none"/>
        </w:rPr>
        <w:t>表</w:t>
      </w:r>
    </w:p>
    <w:tbl>
      <w:tblPr>
        <w:tblStyle w:val="32"/>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305"/>
        <w:gridCol w:w="1080"/>
        <w:gridCol w:w="1229"/>
        <w:gridCol w:w="1381"/>
        <w:gridCol w:w="1757"/>
        <w:gridCol w:w="964"/>
      </w:tblGrid>
      <w:tr w14:paraId="5CB1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316" w:type="dxa"/>
            <w:noWrap/>
            <w:vAlign w:val="center"/>
          </w:tcPr>
          <w:p w14:paraId="0C39CCB2">
            <w:pPr>
              <w:pStyle w:val="15"/>
              <w:adjustRightInd w:val="0"/>
              <w:snapToGrid w:val="0"/>
              <w:spacing w:before="120" w:after="120" w:line="300" w:lineRule="auto"/>
              <w:jc w:val="center"/>
              <w:rPr>
                <w:rFonts w:hAnsi="宋体"/>
                <w:b/>
                <w:bCs/>
                <w:color w:val="auto"/>
                <w:sz w:val="22"/>
                <w:highlight w:val="none"/>
              </w:rPr>
            </w:pPr>
            <w:r>
              <w:rPr>
                <w:rFonts w:hint="eastAsia" w:hAnsi="宋体"/>
                <w:b/>
                <w:bCs/>
                <w:color w:val="auto"/>
                <w:sz w:val="22"/>
                <w:highlight w:val="none"/>
              </w:rPr>
              <w:t>姓名</w:t>
            </w:r>
          </w:p>
        </w:tc>
        <w:tc>
          <w:tcPr>
            <w:tcW w:w="1305" w:type="dxa"/>
            <w:noWrap/>
            <w:vAlign w:val="center"/>
          </w:tcPr>
          <w:p w14:paraId="71DFAC82">
            <w:pPr>
              <w:pStyle w:val="15"/>
              <w:adjustRightInd w:val="0"/>
              <w:snapToGrid w:val="0"/>
              <w:spacing w:before="120" w:after="120" w:line="300" w:lineRule="auto"/>
              <w:jc w:val="center"/>
              <w:rPr>
                <w:rFonts w:hAnsi="宋体"/>
                <w:b/>
                <w:bCs/>
                <w:color w:val="auto"/>
                <w:sz w:val="22"/>
                <w:highlight w:val="none"/>
              </w:rPr>
            </w:pPr>
            <w:r>
              <w:rPr>
                <w:rFonts w:hint="eastAsia" w:hAnsi="宋体"/>
                <w:b/>
                <w:bCs/>
                <w:color w:val="auto"/>
                <w:sz w:val="22"/>
                <w:highlight w:val="none"/>
              </w:rPr>
              <w:t>本项目拟任岗位</w:t>
            </w:r>
          </w:p>
        </w:tc>
        <w:tc>
          <w:tcPr>
            <w:tcW w:w="1080" w:type="dxa"/>
            <w:noWrap/>
            <w:vAlign w:val="center"/>
          </w:tcPr>
          <w:p w14:paraId="04267D71">
            <w:pPr>
              <w:pStyle w:val="15"/>
              <w:adjustRightInd w:val="0"/>
              <w:snapToGrid w:val="0"/>
              <w:spacing w:before="120" w:after="120" w:line="300" w:lineRule="auto"/>
              <w:jc w:val="center"/>
              <w:rPr>
                <w:rFonts w:hAnsi="宋体"/>
                <w:b/>
                <w:bCs/>
                <w:color w:val="auto"/>
                <w:sz w:val="22"/>
                <w:highlight w:val="none"/>
              </w:rPr>
            </w:pPr>
            <w:r>
              <w:rPr>
                <w:rFonts w:hint="eastAsia" w:hAnsi="宋体"/>
                <w:b/>
                <w:bCs/>
                <w:color w:val="auto"/>
                <w:sz w:val="22"/>
                <w:highlight w:val="none"/>
              </w:rPr>
              <w:t>年龄</w:t>
            </w:r>
          </w:p>
        </w:tc>
        <w:tc>
          <w:tcPr>
            <w:tcW w:w="1229" w:type="dxa"/>
            <w:noWrap/>
            <w:vAlign w:val="center"/>
          </w:tcPr>
          <w:p w14:paraId="63BEF2DC">
            <w:pPr>
              <w:pStyle w:val="15"/>
              <w:adjustRightInd w:val="0"/>
              <w:snapToGrid w:val="0"/>
              <w:spacing w:before="120" w:after="120" w:line="300" w:lineRule="auto"/>
              <w:jc w:val="center"/>
              <w:rPr>
                <w:rFonts w:hAnsi="宋体"/>
                <w:b/>
                <w:bCs/>
                <w:color w:val="auto"/>
                <w:sz w:val="22"/>
                <w:highlight w:val="none"/>
              </w:rPr>
            </w:pPr>
            <w:r>
              <w:rPr>
                <w:rFonts w:hint="eastAsia" w:hAnsi="宋体"/>
                <w:b/>
                <w:bCs/>
                <w:color w:val="auto"/>
                <w:sz w:val="22"/>
                <w:highlight w:val="none"/>
              </w:rPr>
              <w:t>职称</w:t>
            </w:r>
          </w:p>
        </w:tc>
        <w:tc>
          <w:tcPr>
            <w:tcW w:w="1381" w:type="dxa"/>
            <w:noWrap/>
            <w:vAlign w:val="center"/>
          </w:tcPr>
          <w:p w14:paraId="1866D5FF">
            <w:pPr>
              <w:pStyle w:val="15"/>
              <w:adjustRightInd w:val="0"/>
              <w:snapToGrid w:val="0"/>
              <w:spacing w:before="120" w:after="120" w:line="300" w:lineRule="auto"/>
              <w:jc w:val="center"/>
              <w:rPr>
                <w:rFonts w:hAnsi="宋体"/>
                <w:b/>
                <w:bCs/>
                <w:color w:val="auto"/>
                <w:sz w:val="22"/>
                <w:highlight w:val="none"/>
              </w:rPr>
            </w:pPr>
            <w:r>
              <w:rPr>
                <w:rFonts w:hint="eastAsia" w:hAnsi="宋体"/>
                <w:b/>
                <w:bCs/>
                <w:color w:val="auto"/>
                <w:sz w:val="22"/>
                <w:highlight w:val="none"/>
              </w:rPr>
              <w:t>技术资格</w:t>
            </w:r>
          </w:p>
        </w:tc>
        <w:tc>
          <w:tcPr>
            <w:tcW w:w="1757" w:type="dxa"/>
            <w:noWrap/>
            <w:vAlign w:val="center"/>
          </w:tcPr>
          <w:p w14:paraId="4B76B5B7">
            <w:pPr>
              <w:pStyle w:val="15"/>
              <w:adjustRightInd w:val="0"/>
              <w:snapToGrid w:val="0"/>
              <w:spacing w:before="120" w:after="120" w:line="300" w:lineRule="auto"/>
              <w:jc w:val="center"/>
              <w:rPr>
                <w:rFonts w:hAnsi="宋体"/>
                <w:b/>
                <w:bCs/>
                <w:color w:val="auto"/>
                <w:sz w:val="22"/>
                <w:highlight w:val="none"/>
              </w:rPr>
            </w:pPr>
            <w:r>
              <w:rPr>
                <w:rFonts w:hint="eastAsia" w:hAnsi="宋体"/>
                <w:b/>
                <w:bCs/>
                <w:color w:val="auto"/>
                <w:sz w:val="22"/>
                <w:highlight w:val="none"/>
              </w:rPr>
              <w:t>联系电话</w:t>
            </w:r>
          </w:p>
        </w:tc>
        <w:tc>
          <w:tcPr>
            <w:tcW w:w="964" w:type="dxa"/>
            <w:noWrap/>
            <w:vAlign w:val="center"/>
          </w:tcPr>
          <w:p w14:paraId="5D20E748">
            <w:pPr>
              <w:pStyle w:val="15"/>
              <w:adjustRightInd w:val="0"/>
              <w:snapToGrid w:val="0"/>
              <w:spacing w:before="120" w:after="120" w:line="300" w:lineRule="auto"/>
              <w:jc w:val="center"/>
              <w:rPr>
                <w:rFonts w:hAnsi="宋体" w:eastAsia="宋体"/>
                <w:b/>
                <w:bCs/>
                <w:color w:val="auto"/>
                <w:sz w:val="22"/>
                <w:highlight w:val="none"/>
              </w:rPr>
            </w:pPr>
            <w:r>
              <w:rPr>
                <w:rFonts w:hint="eastAsia" w:hAnsi="宋体"/>
                <w:b/>
                <w:bCs/>
                <w:color w:val="auto"/>
                <w:sz w:val="22"/>
                <w:highlight w:val="none"/>
              </w:rPr>
              <w:t>备注</w:t>
            </w:r>
          </w:p>
        </w:tc>
      </w:tr>
      <w:tr w14:paraId="0EB6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4EBD9DDC">
            <w:pPr>
              <w:pStyle w:val="15"/>
              <w:adjustRightInd w:val="0"/>
              <w:snapToGrid w:val="0"/>
              <w:spacing w:before="120" w:after="120" w:line="300" w:lineRule="auto"/>
              <w:rPr>
                <w:rFonts w:hAnsi="宋体"/>
                <w:color w:val="auto"/>
                <w:highlight w:val="none"/>
              </w:rPr>
            </w:pPr>
          </w:p>
        </w:tc>
        <w:tc>
          <w:tcPr>
            <w:tcW w:w="1305" w:type="dxa"/>
            <w:noWrap/>
          </w:tcPr>
          <w:p w14:paraId="7259D5B0">
            <w:pPr>
              <w:pStyle w:val="15"/>
              <w:adjustRightInd w:val="0"/>
              <w:snapToGrid w:val="0"/>
              <w:spacing w:before="120" w:after="120" w:line="300" w:lineRule="auto"/>
              <w:jc w:val="center"/>
              <w:rPr>
                <w:rFonts w:hAnsi="宋体"/>
                <w:color w:val="auto"/>
                <w:highlight w:val="none"/>
              </w:rPr>
            </w:pPr>
          </w:p>
        </w:tc>
        <w:tc>
          <w:tcPr>
            <w:tcW w:w="1080" w:type="dxa"/>
            <w:noWrap/>
          </w:tcPr>
          <w:p w14:paraId="25589D00">
            <w:pPr>
              <w:pStyle w:val="15"/>
              <w:adjustRightInd w:val="0"/>
              <w:snapToGrid w:val="0"/>
              <w:spacing w:before="120" w:after="120" w:line="300" w:lineRule="auto"/>
              <w:rPr>
                <w:rFonts w:hAnsi="宋体"/>
                <w:color w:val="auto"/>
                <w:highlight w:val="none"/>
              </w:rPr>
            </w:pPr>
          </w:p>
        </w:tc>
        <w:tc>
          <w:tcPr>
            <w:tcW w:w="1229" w:type="dxa"/>
            <w:noWrap/>
          </w:tcPr>
          <w:p w14:paraId="066C6EC5">
            <w:pPr>
              <w:pStyle w:val="15"/>
              <w:adjustRightInd w:val="0"/>
              <w:snapToGrid w:val="0"/>
              <w:spacing w:before="120" w:after="120" w:line="300" w:lineRule="auto"/>
              <w:rPr>
                <w:rFonts w:hAnsi="宋体"/>
                <w:color w:val="auto"/>
                <w:highlight w:val="none"/>
              </w:rPr>
            </w:pPr>
          </w:p>
        </w:tc>
        <w:tc>
          <w:tcPr>
            <w:tcW w:w="1381" w:type="dxa"/>
            <w:noWrap/>
          </w:tcPr>
          <w:p w14:paraId="28256CEF">
            <w:pPr>
              <w:pStyle w:val="15"/>
              <w:adjustRightInd w:val="0"/>
              <w:snapToGrid w:val="0"/>
              <w:spacing w:before="120" w:after="120" w:line="300" w:lineRule="auto"/>
              <w:rPr>
                <w:rFonts w:hAnsi="宋体"/>
                <w:color w:val="auto"/>
                <w:highlight w:val="none"/>
              </w:rPr>
            </w:pPr>
          </w:p>
        </w:tc>
        <w:tc>
          <w:tcPr>
            <w:tcW w:w="1757" w:type="dxa"/>
            <w:noWrap/>
          </w:tcPr>
          <w:p w14:paraId="632A7F25">
            <w:pPr>
              <w:pStyle w:val="15"/>
              <w:adjustRightInd w:val="0"/>
              <w:snapToGrid w:val="0"/>
              <w:spacing w:before="120" w:after="120" w:line="300" w:lineRule="auto"/>
              <w:rPr>
                <w:rFonts w:hAnsi="宋体"/>
                <w:color w:val="auto"/>
                <w:highlight w:val="none"/>
              </w:rPr>
            </w:pPr>
          </w:p>
        </w:tc>
        <w:tc>
          <w:tcPr>
            <w:tcW w:w="964" w:type="dxa"/>
            <w:noWrap/>
          </w:tcPr>
          <w:p w14:paraId="02513466">
            <w:pPr>
              <w:pStyle w:val="15"/>
              <w:adjustRightInd w:val="0"/>
              <w:snapToGrid w:val="0"/>
              <w:spacing w:before="120" w:after="120" w:line="300" w:lineRule="auto"/>
              <w:rPr>
                <w:rFonts w:hAnsi="宋体"/>
                <w:color w:val="auto"/>
                <w:highlight w:val="none"/>
              </w:rPr>
            </w:pPr>
          </w:p>
        </w:tc>
      </w:tr>
      <w:tr w14:paraId="0600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16019F85">
            <w:pPr>
              <w:pStyle w:val="15"/>
              <w:adjustRightInd w:val="0"/>
              <w:snapToGrid w:val="0"/>
              <w:spacing w:before="120" w:after="120" w:line="300" w:lineRule="auto"/>
              <w:rPr>
                <w:rFonts w:hAnsi="宋体"/>
                <w:color w:val="auto"/>
                <w:highlight w:val="none"/>
              </w:rPr>
            </w:pPr>
          </w:p>
        </w:tc>
        <w:tc>
          <w:tcPr>
            <w:tcW w:w="1305" w:type="dxa"/>
            <w:noWrap/>
          </w:tcPr>
          <w:p w14:paraId="28226F94">
            <w:pPr>
              <w:pStyle w:val="15"/>
              <w:adjustRightInd w:val="0"/>
              <w:snapToGrid w:val="0"/>
              <w:spacing w:before="120" w:after="120" w:line="300" w:lineRule="auto"/>
              <w:rPr>
                <w:rFonts w:hAnsi="宋体" w:eastAsia="宋体"/>
                <w:color w:val="auto"/>
                <w:highlight w:val="none"/>
              </w:rPr>
            </w:pPr>
          </w:p>
        </w:tc>
        <w:tc>
          <w:tcPr>
            <w:tcW w:w="1080" w:type="dxa"/>
            <w:noWrap/>
          </w:tcPr>
          <w:p w14:paraId="7EE0DA3C">
            <w:pPr>
              <w:pStyle w:val="15"/>
              <w:adjustRightInd w:val="0"/>
              <w:snapToGrid w:val="0"/>
              <w:spacing w:before="120" w:after="120" w:line="300" w:lineRule="auto"/>
              <w:rPr>
                <w:rFonts w:hAnsi="宋体"/>
                <w:color w:val="auto"/>
                <w:highlight w:val="none"/>
              </w:rPr>
            </w:pPr>
          </w:p>
        </w:tc>
        <w:tc>
          <w:tcPr>
            <w:tcW w:w="1229" w:type="dxa"/>
            <w:noWrap/>
          </w:tcPr>
          <w:p w14:paraId="5AEE2265">
            <w:pPr>
              <w:pStyle w:val="15"/>
              <w:adjustRightInd w:val="0"/>
              <w:snapToGrid w:val="0"/>
              <w:spacing w:before="120" w:after="120" w:line="300" w:lineRule="auto"/>
              <w:rPr>
                <w:rFonts w:hAnsi="宋体"/>
                <w:color w:val="auto"/>
                <w:highlight w:val="none"/>
              </w:rPr>
            </w:pPr>
          </w:p>
        </w:tc>
        <w:tc>
          <w:tcPr>
            <w:tcW w:w="1381" w:type="dxa"/>
            <w:noWrap/>
          </w:tcPr>
          <w:p w14:paraId="2C6BDCA5">
            <w:pPr>
              <w:pStyle w:val="15"/>
              <w:adjustRightInd w:val="0"/>
              <w:snapToGrid w:val="0"/>
              <w:spacing w:before="120" w:after="120" w:line="300" w:lineRule="auto"/>
              <w:rPr>
                <w:rFonts w:hAnsi="宋体" w:eastAsia="宋体"/>
                <w:color w:val="auto"/>
                <w:highlight w:val="none"/>
              </w:rPr>
            </w:pPr>
          </w:p>
        </w:tc>
        <w:tc>
          <w:tcPr>
            <w:tcW w:w="1757" w:type="dxa"/>
            <w:noWrap/>
          </w:tcPr>
          <w:p w14:paraId="1595E7D6">
            <w:pPr>
              <w:pStyle w:val="15"/>
              <w:adjustRightInd w:val="0"/>
              <w:snapToGrid w:val="0"/>
              <w:spacing w:before="120" w:after="120" w:line="300" w:lineRule="auto"/>
              <w:rPr>
                <w:rFonts w:hAnsi="宋体"/>
                <w:color w:val="auto"/>
                <w:highlight w:val="none"/>
              </w:rPr>
            </w:pPr>
          </w:p>
        </w:tc>
        <w:tc>
          <w:tcPr>
            <w:tcW w:w="964" w:type="dxa"/>
            <w:noWrap/>
          </w:tcPr>
          <w:p w14:paraId="0F56983F">
            <w:pPr>
              <w:pStyle w:val="15"/>
              <w:adjustRightInd w:val="0"/>
              <w:snapToGrid w:val="0"/>
              <w:spacing w:before="120" w:after="120" w:line="300" w:lineRule="auto"/>
              <w:rPr>
                <w:rFonts w:hAnsi="宋体"/>
                <w:color w:val="auto"/>
                <w:highlight w:val="none"/>
              </w:rPr>
            </w:pPr>
          </w:p>
        </w:tc>
      </w:tr>
      <w:tr w14:paraId="794A6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2D670106">
            <w:pPr>
              <w:pStyle w:val="15"/>
              <w:adjustRightInd w:val="0"/>
              <w:snapToGrid w:val="0"/>
              <w:spacing w:before="120" w:after="120" w:line="300" w:lineRule="auto"/>
              <w:rPr>
                <w:rFonts w:hAnsi="宋体"/>
                <w:color w:val="auto"/>
                <w:highlight w:val="none"/>
              </w:rPr>
            </w:pPr>
          </w:p>
        </w:tc>
        <w:tc>
          <w:tcPr>
            <w:tcW w:w="1305" w:type="dxa"/>
            <w:noWrap/>
          </w:tcPr>
          <w:p w14:paraId="3E216DA8">
            <w:pPr>
              <w:pStyle w:val="15"/>
              <w:adjustRightInd w:val="0"/>
              <w:snapToGrid w:val="0"/>
              <w:spacing w:before="120" w:after="120" w:line="300" w:lineRule="auto"/>
              <w:rPr>
                <w:rFonts w:hAnsi="宋体"/>
                <w:color w:val="auto"/>
                <w:highlight w:val="none"/>
              </w:rPr>
            </w:pPr>
          </w:p>
        </w:tc>
        <w:tc>
          <w:tcPr>
            <w:tcW w:w="1080" w:type="dxa"/>
            <w:noWrap/>
          </w:tcPr>
          <w:p w14:paraId="7C3B6E27">
            <w:pPr>
              <w:pStyle w:val="15"/>
              <w:adjustRightInd w:val="0"/>
              <w:snapToGrid w:val="0"/>
              <w:spacing w:before="120" w:after="120" w:line="300" w:lineRule="auto"/>
              <w:rPr>
                <w:rFonts w:hAnsi="宋体"/>
                <w:color w:val="auto"/>
                <w:highlight w:val="none"/>
              </w:rPr>
            </w:pPr>
          </w:p>
        </w:tc>
        <w:tc>
          <w:tcPr>
            <w:tcW w:w="1229" w:type="dxa"/>
            <w:noWrap/>
          </w:tcPr>
          <w:p w14:paraId="509DEB95">
            <w:pPr>
              <w:pStyle w:val="15"/>
              <w:adjustRightInd w:val="0"/>
              <w:snapToGrid w:val="0"/>
              <w:spacing w:before="120" w:after="120" w:line="300" w:lineRule="auto"/>
              <w:rPr>
                <w:rFonts w:hAnsi="宋体"/>
                <w:color w:val="auto"/>
                <w:highlight w:val="none"/>
              </w:rPr>
            </w:pPr>
          </w:p>
        </w:tc>
        <w:tc>
          <w:tcPr>
            <w:tcW w:w="1381" w:type="dxa"/>
            <w:noWrap/>
          </w:tcPr>
          <w:p w14:paraId="25AC7737">
            <w:pPr>
              <w:pStyle w:val="15"/>
              <w:adjustRightInd w:val="0"/>
              <w:snapToGrid w:val="0"/>
              <w:spacing w:before="120" w:after="120" w:line="300" w:lineRule="auto"/>
              <w:rPr>
                <w:rFonts w:hAnsi="宋体"/>
                <w:color w:val="auto"/>
                <w:highlight w:val="none"/>
              </w:rPr>
            </w:pPr>
          </w:p>
        </w:tc>
        <w:tc>
          <w:tcPr>
            <w:tcW w:w="1757" w:type="dxa"/>
            <w:noWrap/>
          </w:tcPr>
          <w:p w14:paraId="5D8CA5CE">
            <w:pPr>
              <w:pStyle w:val="15"/>
              <w:adjustRightInd w:val="0"/>
              <w:snapToGrid w:val="0"/>
              <w:spacing w:before="120" w:after="120" w:line="300" w:lineRule="auto"/>
              <w:rPr>
                <w:rFonts w:hAnsi="宋体"/>
                <w:color w:val="auto"/>
                <w:highlight w:val="none"/>
              </w:rPr>
            </w:pPr>
          </w:p>
        </w:tc>
        <w:tc>
          <w:tcPr>
            <w:tcW w:w="964" w:type="dxa"/>
            <w:noWrap/>
          </w:tcPr>
          <w:p w14:paraId="445369E4">
            <w:pPr>
              <w:pStyle w:val="15"/>
              <w:adjustRightInd w:val="0"/>
              <w:snapToGrid w:val="0"/>
              <w:spacing w:before="120" w:after="120" w:line="300" w:lineRule="auto"/>
              <w:rPr>
                <w:rFonts w:hAnsi="宋体"/>
                <w:color w:val="auto"/>
                <w:highlight w:val="none"/>
              </w:rPr>
            </w:pPr>
          </w:p>
        </w:tc>
      </w:tr>
      <w:tr w14:paraId="7E9A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555C9F3F">
            <w:pPr>
              <w:pStyle w:val="15"/>
              <w:adjustRightInd w:val="0"/>
              <w:snapToGrid w:val="0"/>
              <w:spacing w:before="120" w:after="120" w:line="300" w:lineRule="auto"/>
              <w:rPr>
                <w:rFonts w:hAnsi="宋体"/>
                <w:color w:val="auto"/>
                <w:highlight w:val="none"/>
              </w:rPr>
            </w:pPr>
          </w:p>
        </w:tc>
        <w:tc>
          <w:tcPr>
            <w:tcW w:w="1305" w:type="dxa"/>
            <w:noWrap/>
          </w:tcPr>
          <w:p w14:paraId="03039ED7">
            <w:pPr>
              <w:pStyle w:val="15"/>
              <w:adjustRightInd w:val="0"/>
              <w:snapToGrid w:val="0"/>
              <w:spacing w:before="120" w:after="120" w:line="300" w:lineRule="auto"/>
              <w:rPr>
                <w:rFonts w:hAnsi="宋体"/>
                <w:color w:val="auto"/>
                <w:highlight w:val="none"/>
              </w:rPr>
            </w:pPr>
          </w:p>
        </w:tc>
        <w:tc>
          <w:tcPr>
            <w:tcW w:w="1080" w:type="dxa"/>
            <w:noWrap/>
          </w:tcPr>
          <w:p w14:paraId="3E86B560">
            <w:pPr>
              <w:pStyle w:val="15"/>
              <w:adjustRightInd w:val="0"/>
              <w:snapToGrid w:val="0"/>
              <w:spacing w:before="120" w:after="120" w:line="300" w:lineRule="auto"/>
              <w:rPr>
                <w:rFonts w:hAnsi="宋体"/>
                <w:color w:val="auto"/>
                <w:highlight w:val="none"/>
              </w:rPr>
            </w:pPr>
          </w:p>
        </w:tc>
        <w:tc>
          <w:tcPr>
            <w:tcW w:w="1229" w:type="dxa"/>
            <w:noWrap/>
          </w:tcPr>
          <w:p w14:paraId="0EBB758C">
            <w:pPr>
              <w:pStyle w:val="15"/>
              <w:adjustRightInd w:val="0"/>
              <w:snapToGrid w:val="0"/>
              <w:spacing w:before="120" w:after="120" w:line="300" w:lineRule="auto"/>
              <w:rPr>
                <w:rFonts w:hAnsi="宋体"/>
                <w:color w:val="auto"/>
                <w:highlight w:val="none"/>
              </w:rPr>
            </w:pPr>
          </w:p>
        </w:tc>
        <w:tc>
          <w:tcPr>
            <w:tcW w:w="1381" w:type="dxa"/>
            <w:noWrap/>
          </w:tcPr>
          <w:p w14:paraId="4E5F9ACC">
            <w:pPr>
              <w:pStyle w:val="15"/>
              <w:adjustRightInd w:val="0"/>
              <w:snapToGrid w:val="0"/>
              <w:spacing w:before="120" w:after="120" w:line="300" w:lineRule="auto"/>
              <w:rPr>
                <w:rFonts w:hAnsi="宋体"/>
                <w:color w:val="auto"/>
                <w:highlight w:val="none"/>
              </w:rPr>
            </w:pPr>
          </w:p>
        </w:tc>
        <w:tc>
          <w:tcPr>
            <w:tcW w:w="1757" w:type="dxa"/>
            <w:noWrap/>
          </w:tcPr>
          <w:p w14:paraId="305C0BCC">
            <w:pPr>
              <w:pStyle w:val="15"/>
              <w:adjustRightInd w:val="0"/>
              <w:snapToGrid w:val="0"/>
              <w:spacing w:before="120" w:after="120" w:line="300" w:lineRule="auto"/>
              <w:rPr>
                <w:rFonts w:hAnsi="宋体"/>
                <w:color w:val="auto"/>
                <w:highlight w:val="none"/>
              </w:rPr>
            </w:pPr>
          </w:p>
        </w:tc>
        <w:tc>
          <w:tcPr>
            <w:tcW w:w="964" w:type="dxa"/>
            <w:noWrap/>
          </w:tcPr>
          <w:p w14:paraId="5E25BDFB">
            <w:pPr>
              <w:pStyle w:val="15"/>
              <w:adjustRightInd w:val="0"/>
              <w:snapToGrid w:val="0"/>
              <w:spacing w:before="120" w:after="120" w:line="300" w:lineRule="auto"/>
              <w:rPr>
                <w:rFonts w:hAnsi="宋体"/>
                <w:color w:val="auto"/>
                <w:highlight w:val="none"/>
              </w:rPr>
            </w:pPr>
          </w:p>
        </w:tc>
      </w:tr>
      <w:tr w14:paraId="7BCC8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2A72BB7F">
            <w:pPr>
              <w:pStyle w:val="15"/>
              <w:adjustRightInd w:val="0"/>
              <w:snapToGrid w:val="0"/>
              <w:spacing w:before="120" w:after="120" w:line="300" w:lineRule="auto"/>
              <w:rPr>
                <w:rFonts w:hAnsi="宋体"/>
                <w:color w:val="auto"/>
                <w:highlight w:val="none"/>
              </w:rPr>
            </w:pPr>
          </w:p>
        </w:tc>
        <w:tc>
          <w:tcPr>
            <w:tcW w:w="1305" w:type="dxa"/>
            <w:noWrap/>
          </w:tcPr>
          <w:p w14:paraId="7F8EF99C">
            <w:pPr>
              <w:pStyle w:val="15"/>
              <w:adjustRightInd w:val="0"/>
              <w:snapToGrid w:val="0"/>
              <w:spacing w:before="120" w:after="120" w:line="300" w:lineRule="auto"/>
              <w:rPr>
                <w:rFonts w:hAnsi="宋体"/>
                <w:color w:val="auto"/>
                <w:highlight w:val="none"/>
              </w:rPr>
            </w:pPr>
          </w:p>
        </w:tc>
        <w:tc>
          <w:tcPr>
            <w:tcW w:w="1080" w:type="dxa"/>
            <w:noWrap/>
          </w:tcPr>
          <w:p w14:paraId="6FDF0348">
            <w:pPr>
              <w:pStyle w:val="15"/>
              <w:adjustRightInd w:val="0"/>
              <w:snapToGrid w:val="0"/>
              <w:spacing w:before="120" w:after="120" w:line="300" w:lineRule="auto"/>
              <w:rPr>
                <w:rFonts w:hAnsi="宋体"/>
                <w:color w:val="auto"/>
                <w:highlight w:val="none"/>
              </w:rPr>
            </w:pPr>
          </w:p>
        </w:tc>
        <w:tc>
          <w:tcPr>
            <w:tcW w:w="1229" w:type="dxa"/>
            <w:noWrap/>
          </w:tcPr>
          <w:p w14:paraId="3E7F4CBE">
            <w:pPr>
              <w:pStyle w:val="15"/>
              <w:adjustRightInd w:val="0"/>
              <w:snapToGrid w:val="0"/>
              <w:spacing w:before="120" w:after="120" w:line="300" w:lineRule="auto"/>
              <w:rPr>
                <w:rFonts w:hAnsi="宋体"/>
                <w:color w:val="auto"/>
                <w:highlight w:val="none"/>
              </w:rPr>
            </w:pPr>
          </w:p>
        </w:tc>
        <w:tc>
          <w:tcPr>
            <w:tcW w:w="1381" w:type="dxa"/>
            <w:noWrap/>
          </w:tcPr>
          <w:p w14:paraId="68CFA348">
            <w:pPr>
              <w:pStyle w:val="15"/>
              <w:adjustRightInd w:val="0"/>
              <w:snapToGrid w:val="0"/>
              <w:spacing w:before="120" w:after="120" w:line="300" w:lineRule="auto"/>
              <w:rPr>
                <w:rFonts w:hAnsi="宋体"/>
                <w:color w:val="auto"/>
                <w:highlight w:val="none"/>
              </w:rPr>
            </w:pPr>
          </w:p>
        </w:tc>
        <w:tc>
          <w:tcPr>
            <w:tcW w:w="1757" w:type="dxa"/>
            <w:noWrap/>
          </w:tcPr>
          <w:p w14:paraId="1CE2591E">
            <w:pPr>
              <w:pStyle w:val="15"/>
              <w:adjustRightInd w:val="0"/>
              <w:snapToGrid w:val="0"/>
              <w:spacing w:before="120" w:after="120" w:line="300" w:lineRule="auto"/>
              <w:rPr>
                <w:rFonts w:hAnsi="宋体"/>
                <w:color w:val="auto"/>
                <w:highlight w:val="none"/>
              </w:rPr>
            </w:pPr>
          </w:p>
        </w:tc>
        <w:tc>
          <w:tcPr>
            <w:tcW w:w="964" w:type="dxa"/>
            <w:noWrap/>
          </w:tcPr>
          <w:p w14:paraId="0CA6ADD0">
            <w:pPr>
              <w:pStyle w:val="15"/>
              <w:adjustRightInd w:val="0"/>
              <w:snapToGrid w:val="0"/>
              <w:spacing w:before="120" w:after="120" w:line="300" w:lineRule="auto"/>
              <w:rPr>
                <w:rFonts w:hAnsi="宋体"/>
                <w:color w:val="auto"/>
                <w:highlight w:val="none"/>
              </w:rPr>
            </w:pPr>
          </w:p>
        </w:tc>
      </w:tr>
      <w:tr w14:paraId="20AF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652C5D18">
            <w:pPr>
              <w:pStyle w:val="15"/>
              <w:adjustRightInd w:val="0"/>
              <w:snapToGrid w:val="0"/>
              <w:spacing w:before="120" w:after="120" w:line="300" w:lineRule="auto"/>
              <w:rPr>
                <w:rFonts w:hAnsi="宋体"/>
                <w:color w:val="auto"/>
                <w:highlight w:val="none"/>
              </w:rPr>
            </w:pPr>
          </w:p>
        </w:tc>
        <w:tc>
          <w:tcPr>
            <w:tcW w:w="1305" w:type="dxa"/>
            <w:noWrap/>
          </w:tcPr>
          <w:p w14:paraId="570E3D56">
            <w:pPr>
              <w:pStyle w:val="15"/>
              <w:adjustRightInd w:val="0"/>
              <w:snapToGrid w:val="0"/>
              <w:spacing w:before="120" w:after="120" w:line="300" w:lineRule="auto"/>
              <w:rPr>
                <w:rFonts w:hAnsi="宋体"/>
                <w:color w:val="auto"/>
                <w:highlight w:val="none"/>
              </w:rPr>
            </w:pPr>
          </w:p>
        </w:tc>
        <w:tc>
          <w:tcPr>
            <w:tcW w:w="1080" w:type="dxa"/>
            <w:noWrap/>
          </w:tcPr>
          <w:p w14:paraId="3EE102A8">
            <w:pPr>
              <w:pStyle w:val="15"/>
              <w:adjustRightInd w:val="0"/>
              <w:snapToGrid w:val="0"/>
              <w:spacing w:before="120" w:after="120" w:line="300" w:lineRule="auto"/>
              <w:rPr>
                <w:rFonts w:hAnsi="宋体"/>
                <w:color w:val="auto"/>
                <w:highlight w:val="none"/>
              </w:rPr>
            </w:pPr>
          </w:p>
        </w:tc>
        <w:tc>
          <w:tcPr>
            <w:tcW w:w="1229" w:type="dxa"/>
            <w:noWrap/>
          </w:tcPr>
          <w:p w14:paraId="44F43AD2">
            <w:pPr>
              <w:pStyle w:val="15"/>
              <w:adjustRightInd w:val="0"/>
              <w:snapToGrid w:val="0"/>
              <w:spacing w:before="120" w:after="120" w:line="300" w:lineRule="auto"/>
              <w:rPr>
                <w:rFonts w:hAnsi="宋体"/>
                <w:color w:val="auto"/>
                <w:highlight w:val="none"/>
              </w:rPr>
            </w:pPr>
          </w:p>
        </w:tc>
        <w:tc>
          <w:tcPr>
            <w:tcW w:w="1381" w:type="dxa"/>
            <w:noWrap/>
          </w:tcPr>
          <w:p w14:paraId="36A32D8C">
            <w:pPr>
              <w:pStyle w:val="15"/>
              <w:adjustRightInd w:val="0"/>
              <w:snapToGrid w:val="0"/>
              <w:spacing w:before="120" w:after="120" w:line="300" w:lineRule="auto"/>
              <w:rPr>
                <w:rFonts w:hAnsi="宋体"/>
                <w:color w:val="auto"/>
                <w:highlight w:val="none"/>
              </w:rPr>
            </w:pPr>
          </w:p>
        </w:tc>
        <w:tc>
          <w:tcPr>
            <w:tcW w:w="1757" w:type="dxa"/>
            <w:noWrap/>
          </w:tcPr>
          <w:p w14:paraId="22D43045">
            <w:pPr>
              <w:pStyle w:val="15"/>
              <w:adjustRightInd w:val="0"/>
              <w:snapToGrid w:val="0"/>
              <w:spacing w:before="120" w:after="120" w:line="300" w:lineRule="auto"/>
              <w:rPr>
                <w:rFonts w:hAnsi="宋体"/>
                <w:color w:val="auto"/>
                <w:highlight w:val="none"/>
              </w:rPr>
            </w:pPr>
          </w:p>
        </w:tc>
        <w:tc>
          <w:tcPr>
            <w:tcW w:w="964" w:type="dxa"/>
            <w:noWrap/>
          </w:tcPr>
          <w:p w14:paraId="244C4CA1">
            <w:pPr>
              <w:pStyle w:val="15"/>
              <w:adjustRightInd w:val="0"/>
              <w:snapToGrid w:val="0"/>
              <w:spacing w:before="120" w:after="120" w:line="300" w:lineRule="auto"/>
              <w:rPr>
                <w:rFonts w:hAnsi="宋体"/>
                <w:color w:val="auto"/>
                <w:highlight w:val="none"/>
              </w:rPr>
            </w:pPr>
          </w:p>
        </w:tc>
      </w:tr>
      <w:tr w14:paraId="1F53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16" w:type="dxa"/>
            <w:noWrap/>
          </w:tcPr>
          <w:p w14:paraId="6CF2C6DF">
            <w:pPr>
              <w:pStyle w:val="15"/>
              <w:adjustRightInd w:val="0"/>
              <w:snapToGrid w:val="0"/>
              <w:spacing w:before="120" w:after="120" w:line="300" w:lineRule="auto"/>
              <w:rPr>
                <w:rFonts w:hAnsi="宋体"/>
                <w:color w:val="auto"/>
                <w:highlight w:val="none"/>
              </w:rPr>
            </w:pPr>
          </w:p>
        </w:tc>
        <w:tc>
          <w:tcPr>
            <w:tcW w:w="1305" w:type="dxa"/>
            <w:noWrap/>
          </w:tcPr>
          <w:p w14:paraId="12AAFEB7">
            <w:pPr>
              <w:pStyle w:val="15"/>
              <w:adjustRightInd w:val="0"/>
              <w:snapToGrid w:val="0"/>
              <w:spacing w:before="120" w:after="120" w:line="300" w:lineRule="auto"/>
              <w:rPr>
                <w:rFonts w:hAnsi="宋体"/>
                <w:color w:val="auto"/>
                <w:highlight w:val="none"/>
              </w:rPr>
            </w:pPr>
          </w:p>
        </w:tc>
        <w:tc>
          <w:tcPr>
            <w:tcW w:w="1080" w:type="dxa"/>
            <w:noWrap/>
          </w:tcPr>
          <w:p w14:paraId="527FED46">
            <w:pPr>
              <w:pStyle w:val="15"/>
              <w:adjustRightInd w:val="0"/>
              <w:snapToGrid w:val="0"/>
              <w:spacing w:before="120" w:after="120" w:line="300" w:lineRule="auto"/>
              <w:rPr>
                <w:rFonts w:hAnsi="宋体"/>
                <w:color w:val="auto"/>
                <w:highlight w:val="none"/>
              </w:rPr>
            </w:pPr>
          </w:p>
        </w:tc>
        <w:tc>
          <w:tcPr>
            <w:tcW w:w="1229" w:type="dxa"/>
            <w:noWrap/>
          </w:tcPr>
          <w:p w14:paraId="46F1DF23">
            <w:pPr>
              <w:pStyle w:val="15"/>
              <w:adjustRightInd w:val="0"/>
              <w:snapToGrid w:val="0"/>
              <w:spacing w:before="120" w:after="120" w:line="300" w:lineRule="auto"/>
              <w:rPr>
                <w:rFonts w:hAnsi="宋体"/>
                <w:color w:val="auto"/>
                <w:highlight w:val="none"/>
              </w:rPr>
            </w:pPr>
          </w:p>
        </w:tc>
        <w:tc>
          <w:tcPr>
            <w:tcW w:w="1381" w:type="dxa"/>
            <w:noWrap/>
          </w:tcPr>
          <w:p w14:paraId="13FDFEC5">
            <w:pPr>
              <w:pStyle w:val="15"/>
              <w:adjustRightInd w:val="0"/>
              <w:snapToGrid w:val="0"/>
              <w:spacing w:before="120" w:after="120" w:line="300" w:lineRule="auto"/>
              <w:rPr>
                <w:rFonts w:hAnsi="宋体"/>
                <w:color w:val="auto"/>
                <w:highlight w:val="none"/>
              </w:rPr>
            </w:pPr>
          </w:p>
        </w:tc>
        <w:tc>
          <w:tcPr>
            <w:tcW w:w="1757" w:type="dxa"/>
            <w:noWrap/>
          </w:tcPr>
          <w:p w14:paraId="017EAD93">
            <w:pPr>
              <w:pStyle w:val="15"/>
              <w:adjustRightInd w:val="0"/>
              <w:snapToGrid w:val="0"/>
              <w:spacing w:before="120" w:after="120" w:line="300" w:lineRule="auto"/>
              <w:rPr>
                <w:rFonts w:hAnsi="宋体"/>
                <w:color w:val="auto"/>
                <w:highlight w:val="none"/>
              </w:rPr>
            </w:pPr>
          </w:p>
        </w:tc>
        <w:tc>
          <w:tcPr>
            <w:tcW w:w="964" w:type="dxa"/>
            <w:noWrap/>
          </w:tcPr>
          <w:p w14:paraId="3D6A1119">
            <w:pPr>
              <w:pStyle w:val="15"/>
              <w:adjustRightInd w:val="0"/>
              <w:snapToGrid w:val="0"/>
              <w:spacing w:before="120" w:after="120" w:line="300" w:lineRule="auto"/>
              <w:rPr>
                <w:rFonts w:hAnsi="宋体"/>
                <w:color w:val="auto"/>
                <w:highlight w:val="none"/>
              </w:rPr>
            </w:pPr>
          </w:p>
        </w:tc>
      </w:tr>
    </w:tbl>
    <w:p w14:paraId="53776E4D">
      <w:pPr>
        <w:snapToGrid w:val="0"/>
        <w:spacing w:line="360" w:lineRule="auto"/>
        <w:ind w:firstLine="440" w:firstLineChars="200"/>
        <w:rPr>
          <w:rFonts w:ascii="宋体" w:hAnsi="宋体" w:cs="宋体"/>
          <w:color w:val="auto"/>
          <w:szCs w:val="21"/>
          <w:highlight w:val="none"/>
        </w:rPr>
      </w:pPr>
      <w:r>
        <w:rPr>
          <w:rFonts w:hint="eastAsia" w:ascii="宋体" w:hAnsi="宋体" w:cs="宋体"/>
          <w:color w:val="auto"/>
          <w:szCs w:val="21"/>
          <w:highlight w:val="none"/>
        </w:rPr>
        <w:t>注：在填写时，如本表格不适合</w:t>
      </w:r>
      <w:r>
        <w:rPr>
          <w:rFonts w:hint="eastAsia" w:ascii="宋体" w:hAnsi="宋体" w:cs="宋体"/>
          <w:color w:val="auto"/>
          <w:szCs w:val="21"/>
          <w:highlight w:val="none"/>
          <w:lang w:val="en-US"/>
        </w:rPr>
        <w:t>供应商</w:t>
      </w:r>
      <w:r>
        <w:rPr>
          <w:rFonts w:hint="eastAsia" w:ascii="宋体" w:hAnsi="宋体" w:cs="宋体"/>
          <w:color w:val="auto"/>
          <w:szCs w:val="21"/>
          <w:highlight w:val="none"/>
        </w:rPr>
        <w:t>的实际情况，可根据本表格自行划表填写。</w:t>
      </w:r>
    </w:p>
    <w:p w14:paraId="6429FB47">
      <w:pPr>
        <w:pStyle w:val="15"/>
        <w:spacing w:before="120" w:after="120" w:line="360" w:lineRule="auto"/>
        <w:ind w:firstLine="2250" w:firstLineChars="900"/>
        <w:rPr>
          <w:rFonts w:hAnsi="宋体" w:cs="宋体"/>
          <w:color w:val="auto"/>
          <w:spacing w:val="20"/>
          <w:sz w:val="21"/>
          <w:szCs w:val="21"/>
          <w:highlight w:val="none"/>
        </w:rPr>
      </w:pPr>
    </w:p>
    <w:p w14:paraId="3574BC70">
      <w:pPr>
        <w:pStyle w:val="16"/>
        <w:ind w:left="5500"/>
        <w:rPr>
          <w:color w:val="auto"/>
          <w:highlight w:val="none"/>
        </w:rPr>
      </w:pPr>
    </w:p>
    <w:p w14:paraId="1E3A0E0F">
      <w:pPr>
        <w:pStyle w:val="15"/>
        <w:spacing w:before="120" w:after="120" w:line="360" w:lineRule="auto"/>
        <w:ind w:firstLine="2250" w:firstLineChars="900"/>
        <w:rPr>
          <w:rFonts w:hAnsi="宋体" w:cs="宋体"/>
          <w:color w:val="auto"/>
          <w:spacing w:val="20"/>
          <w:sz w:val="21"/>
          <w:szCs w:val="21"/>
          <w:highlight w:val="none"/>
        </w:rPr>
      </w:pPr>
    </w:p>
    <w:p w14:paraId="5C0CE357">
      <w:pPr>
        <w:pStyle w:val="15"/>
        <w:spacing w:before="120" w:after="120" w:line="360" w:lineRule="auto"/>
        <w:ind w:firstLine="5664" w:firstLineChars="2023"/>
        <w:rPr>
          <w:rFonts w:hAnsi="宋体" w:cs="宋体"/>
          <w:color w:val="auto"/>
          <w:spacing w:val="20"/>
          <w:szCs w:val="24"/>
          <w:highlight w:val="none"/>
        </w:rPr>
      </w:pPr>
      <w:r>
        <w:rPr>
          <w:rFonts w:hint="eastAsia" w:hAnsi="宋体" w:cs="宋体"/>
          <w:color w:val="auto"/>
          <w:spacing w:val="20"/>
          <w:szCs w:val="24"/>
          <w:highlight w:val="none"/>
          <w:lang w:val="en-US"/>
        </w:rPr>
        <w:t>供应商</w:t>
      </w:r>
      <w:r>
        <w:rPr>
          <w:rFonts w:hint="eastAsia" w:hAnsi="宋体" w:cs="宋体"/>
          <w:color w:val="auto"/>
          <w:spacing w:val="20"/>
          <w:szCs w:val="24"/>
          <w:highlight w:val="none"/>
        </w:rPr>
        <w:t>盖章：</w:t>
      </w:r>
    </w:p>
    <w:p w14:paraId="2D721C08">
      <w:pPr>
        <w:pStyle w:val="15"/>
        <w:spacing w:before="120" w:after="120" w:line="360" w:lineRule="auto"/>
        <w:ind w:firstLine="5664" w:firstLineChars="2023"/>
        <w:rPr>
          <w:rFonts w:hAnsi="宋体" w:cs="宋体"/>
          <w:color w:val="auto"/>
          <w:spacing w:val="20"/>
          <w:szCs w:val="24"/>
          <w:highlight w:val="none"/>
        </w:rPr>
      </w:pPr>
      <w:r>
        <w:rPr>
          <w:rFonts w:hint="eastAsia" w:hAnsi="宋体" w:cs="宋体"/>
          <w:color w:val="auto"/>
          <w:spacing w:val="20"/>
          <w:szCs w:val="24"/>
          <w:highlight w:val="none"/>
        </w:rPr>
        <w:t>日     期：</w:t>
      </w:r>
    </w:p>
    <w:p w14:paraId="344AFB15">
      <w:pPr>
        <w:pStyle w:val="12"/>
        <w:ind w:firstLine="0"/>
        <w:rPr>
          <w:color w:val="auto"/>
          <w:highlight w:val="none"/>
        </w:rPr>
      </w:pPr>
    </w:p>
    <w:p w14:paraId="3A01C74F">
      <w:pPr>
        <w:jc w:val="center"/>
        <w:rPr>
          <w:rFonts w:ascii="宋体" w:hAnsi="宋体" w:cs="宋体"/>
          <w:b/>
          <w:color w:val="auto"/>
          <w:sz w:val="28"/>
          <w:szCs w:val="28"/>
          <w:highlight w:val="none"/>
          <w:lang w:val="en-US"/>
        </w:rPr>
      </w:pPr>
    </w:p>
    <w:p w14:paraId="3E8A0294">
      <w:pPr>
        <w:jc w:val="center"/>
        <w:rPr>
          <w:rFonts w:ascii="宋体" w:hAnsi="宋体" w:cs="宋体"/>
          <w:b/>
          <w:color w:val="auto"/>
          <w:sz w:val="28"/>
          <w:szCs w:val="28"/>
          <w:highlight w:val="none"/>
          <w:lang w:val="en-US"/>
        </w:rPr>
      </w:pPr>
    </w:p>
    <w:p w14:paraId="3D72CF67">
      <w:pPr>
        <w:jc w:val="center"/>
        <w:rPr>
          <w:rFonts w:ascii="宋体" w:hAnsi="宋体" w:cs="宋体"/>
          <w:b/>
          <w:color w:val="auto"/>
          <w:sz w:val="28"/>
          <w:szCs w:val="28"/>
          <w:highlight w:val="none"/>
          <w:lang w:val="en-US"/>
        </w:rPr>
      </w:pPr>
    </w:p>
    <w:p w14:paraId="228E7AFF">
      <w:pPr>
        <w:rPr>
          <w:color w:val="auto"/>
          <w:highlight w:val="none"/>
        </w:rPr>
      </w:pPr>
    </w:p>
    <w:p w14:paraId="2F7C2619">
      <w:pPr>
        <w:rPr>
          <w:color w:val="auto"/>
          <w:highlight w:val="none"/>
        </w:rPr>
      </w:pPr>
    </w:p>
    <w:p w14:paraId="07231268">
      <w:pPr>
        <w:spacing w:before="98" w:after="2"/>
        <w:ind w:left="561" w:right="441"/>
        <w:jc w:val="center"/>
        <w:rPr>
          <w:b/>
          <w:color w:val="auto"/>
          <w:sz w:val="30"/>
          <w:highlight w:val="none"/>
          <w:lang w:val="en-US"/>
        </w:rPr>
      </w:pPr>
      <w:r>
        <w:rPr>
          <w:rFonts w:hint="eastAsia"/>
          <w:b/>
          <w:color w:val="auto"/>
          <w:sz w:val="30"/>
          <w:highlight w:val="none"/>
          <w:lang w:val="en-US"/>
        </w:rPr>
        <w:t>7.供应商认为需要提供的或评分办法要求提供的其他资料（格式自行设计）</w:t>
      </w:r>
    </w:p>
    <w:p w14:paraId="67C99A39">
      <w:pPr>
        <w:pStyle w:val="17"/>
        <w:rPr>
          <w:rFonts w:eastAsia="仿宋"/>
          <w:bCs/>
          <w:color w:val="auto"/>
          <w:szCs w:val="24"/>
          <w:highlight w:val="none"/>
        </w:rPr>
      </w:pPr>
    </w:p>
    <w:p w14:paraId="43DBD113">
      <w:pPr>
        <w:pStyle w:val="17"/>
        <w:rPr>
          <w:rFonts w:eastAsia="仿宋"/>
          <w:bCs/>
          <w:color w:val="auto"/>
          <w:szCs w:val="24"/>
          <w:highlight w:val="none"/>
        </w:rPr>
      </w:pPr>
    </w:p>
    <w:p w14:paraId="2BB57F1F">
      <w:pPr>
        <w:spacing w:line="360" w:lineRule="auto"/>
        <w:rPr>
          <w:bCs/>
          <w:color w:val="auto"/>
          <w:sz w:val="24"/>
          <w:szCs w:val="24"/>
          <w:highlight w:val="none"/>
          <w:lang w:val="en-US"/>
        </w:rPr>
        <w:sectPr>
          <w:pgSz w:w="11910" w:h="16840"/>
          <w:pgMar w:top="1247" w:right="1247" w:bottom="1247" w:left="1587" w:header="884" w:footer="884" w:gutter="0"/>
          <w:cols w:space="0" w:num="1"/>
        </w:sectPr>
      </w:pPr>
    </w:p>
    <w:p w14:paraId="6E8B95F1">
      <w:pPr>
        <w:pStyle w:val="11"/>
        <w:rPr>
          <w:b/>
          <w:color w:val="auto"/>
          <w:sz w:val="20"/>
          <w:highlight w:val="none"/>
        </w:rPr>
      </w:pPr>
    </w:p>
    <w:p w14:paraId="3783B395">
      <w:pPr>
        <w:pStyle w:val="11"/>
        <w:rPr>
          <w:b/>
          <w:color w:val="auto"/>
          <w:sz w:val="20"/>
          <w:highlight w:val="none"/>
        </w:rPr>
      </w:pPr>
    </w:p>
    <w:p w14:paraId="723FB2DC">
      <w:pPr>
        <w:pStyle w:val="11"/>
        <w:rPr>
          <w:b/>
          <w:color w:val="auto"/>
          <w:sz w:val="20"/>
          <w:highlight w:val="none"/>
        </w:rPr>
      </w:pPr>
    </w:p>
    <w:p w14:paraId="6113EE08">
      <w:pPr>
        <w:pStyle w:val="11"/>
        <w:rPr>
          <w:b/>
          <w:color w:val="auto"/>
          <w:sz w:val="20"/>
          <w:highlight w:val="none"/>
        </w:rPr>
      </w:pPr>
    </w:p>
    <w:p w14:paraId="2ED59F0C">
      <w:pPr>
        <w:pStyle w:val="11"/>
        <w:rPr>
          <w:b/>
          <w:color w:val="auto"/>
          <w:sz w:val="20"/>
          <w:highlight w:val="none"/>
        </w:rPr>
      </w:pPr>
    </w:p>
    <w:p w14:paraId="0C3C6844">
      <w:pPr>
        <w:pStyle w:val="11"/>
        <w:rPr>
          <w:b/>
          <w:color w:val="auto"/>
          <w:sz w:val="20"/>
          <w:highlight w:val="none"/>
        </w:rPr>
      </w:pPr>
    </w:p>
    <w:p w14:paraId="24B0C8BC">
      <w:pPr>
        <w:pStyle w:val="11"/>
        <w:rPr>
          <w:b/>
          <w:color w:val="auto"/>
          <w:sz w:val="20"/>
          <w:highlight w:val="none"/>
        </w:rPr>
      </w:pPr>
    </w:p>
    <w:p w14:paraId="302CF2CE">
      <w:pPr>
        <w:rPr>
          <w:b/>
          <w:color w:val="auto"/>
          <w:sz w:val="20"/>
          <w:highlight w:val="none"/>
        </w:rPr>
      </w:pPr>
    </w:p>
    <w:p w14:paraId="4D07C9B5">
      <w:pPr>
        <w:pStyle w:val="31"/>
        <w:rPr>
          <w:b/>
          <w:color w:val="auto"/>
          <w:sz w:val="20"/>
          <w:highlight w:val="none"/>
        </w:rPr>
      </w:pPr>
    </w:p>
    <w:p w14:paraId="7DBDAAC7">
      <w:pPr>
        <w:pStyle w:val="12"/>
        <w:rPr>
          <w:b/>
          <w:color w:val="auto"/>
          <w:sz w:val="20"/>
          <w:highlight w:val="none"/>
        </w:rPr>
      </w:pPr>
    </w:p>
    <w:p w14:paraId="40F76A10">
      <w:pPr>
        <w:rPr>
          <w:b/>
          <w:color w:val="auto"/>
          <w:sz w:val="20"/>
          <w:highlight w:val="none"/>
        </w:rPr>
      </w:pPr>
    </w:p>
    <w:p w14:paraId="26C9C408">
      <w:pPr>
        <w:pStyle w:val="31"/>
        <w:rPr>
          <w:b/>
          <w:color w:val="auto"/>
          <w:sz w:val="20"/>
          <w:highlight w:val="none"/>
        </w:rPr>
      </w:pPr>
    </w:p>
    <w:p w14:paraId="6D03DC8F">
      <w:pPr>
        <w:pStyle w:val="12"/>
        <w:rPr>
          <w:b/>
          <w:color w:val="auto"/>
          <w:sz w:val="20"/>
          <w:highlight w:val="none"/>
        </w:rPr>
      </w:pPr>
    </w:p>
    <w:p w14:paraId="298E6D65">
      <w:pPr>
        <w:rPr>
          <w:b/>
          <w:color w:val="auto"/>
          <w:sz w:val="20"/>
          <w:highlight w:val="none"/>
        </w:rPr>
      </w:pPr>
    </w:p>
    <w:p w14:paraId="34B56551">
      <w:pPr>
        <w:pStyle w:val="31"/>
        <w:rPr>
          <w:b/>
          <w:color w:val="auto"/>
          <w:sz w:val="20"/>
          <w:highlight w:val="none"/>
        </w:rPr>
      </w:pPr>
    </w:p>
    <w:p w14:paraId="5859CD0F">
      <w:pPr>
        <w:pStyle w:val="12"/>
        <w:rPr>
          <w:color w:val="auto"/>
          <w:highlight w:val="none"/>
        </w:rPr>
      </w:pPr>
    </w:p>
    <w:p w14:paraId="1E81A9AB">
      <w:pPr>
        <w:pStyle w:val="11"/>
        <w:rPr>
          <w:b/>
          <w:color w:val="auto"/>
          <w:sz w:val="20"/>
          <w:highlight w:val="none"/>
        </w:rPr>
      </w:pPr>
    </w:p>
    <w:p w14:paraId="74C781DD">
      <w:pPr>
        <w:pStyle w:val="11"/>
        <w:rPr>
          <w:b/>
          <w:color w:val="auto"/>
          <w:sz w:val="20"/>
          <w:highlight w:val="none"/>
        </w:rPr>
      </w:pPr>
    </w:p>
    <w:p w14:paraId="4266E36D">
      <w:pPr>
        <w:pStyle w:val="11"/>
        <w:rPr>
          <w:b/>
          <w:color w:val="auto"/>
          <w:sz w:val="21"/>
          <w:highlight w:val="none"/>
        </w:rPr>
      </w:pPr>
    </w:p>
    <w:p w14:paraId="7E77A39B">
      <w:pPr>
        <w:pStyle w:val="3"/>
        <w:tabs>
          <w:tab w:val="left" w:pos="871"/>
        </w:tabs>
        <w:ind w:left="117"/>
        <w:rPr>
          <w:color w:val="auto"/>
          <w:highlight w:val="none"/>
        </w:rPr>
      </w:pPr>
      <w:bookmarkStart w:id="148" w:name="三___报价文件格式"/>
      <w:bookmarkEnd w:id="148"/>
      <w:bookmarkStart w:id="149" w:name="_Toc29048"/>
      <w:r>
        <w:rPr>
          <w:rFonts w:hint="eastAsia"/>
          <w:color w:val="auto"/>
          <w:highlight w:val="none"/>
        </w:rPr>
        <w:t>三</w:t>
      </w:r>
      <w:r>
        <w:rPr>
          <w:rFonts w:hint="eastAsia"/>
          <w:color w:val="auto"/>
          <w:highlight w:val="none"/>
          <w:lang w:val="en-US"/>
        </w:rPr>
        <w:t xml:space="preserve"> </w:t>
      </w:r>
      <w:r>
        <w:rPr>
          <w:rFonts w:hint="eastAsia"/>
          <w:color w:val="auto"/>
          <w:highlight w:val="none"/>
        </w:rPr>
        <w:t>报价文件格式</w:t>
      </w:r>
      <w:bookmarkEnd w:id="149"/>
    </w:p>
    <w:p w14:paraId="4176199A">
      <w:pPr>
        <w:rPr>
          <w:color w:val="auto"/>
          <w:highlight w:val="none"/>
        </w:rPr>
        <w:sectPr>
          <w:pgSz w:w="11910" w:h="16840"/>
          <w:pgMar w:top="1247" w:right="1247" w:bottom="1247" w:left="1587" w:header="884" w:footer="884" w:gutter="0"/>
          <w:cols w:space="0" w:num="1"/>
        </w:sectPr>
      </w:pPr>
    </w:p>
    <w:p w14:paraId="32FD5E63">
      <w:pPr>
        <w:spacing w:before="124"/>
        <w:ind w:left="561" w:right="441"/>
        <w:jc w:val="center"/>
        <w:rPr>
          <w:rFonts w:hint="eastAsia"/>
          <w:b/>
          <w:color w:val="auto"/>
          <w:sz w:val="36"/>
          <w:highlight w:val="none"/>
        </w:rPr>
      </w:pPr>
    </w:p>
    <w:p w14:paraId="1D9EBCD7">
      <w:pPr>
        <w:spacing w:before="124"/>
        <w:ind w:left="561" w:right="441"/>
        <w:jc w:val="center"/>
        <w:rPr>
          <w:b/>
          <w:color w:val="auto"/>
          <w:sz w:val="36"/>
          <w:highlight w:val="none"/>
        </w:rPr>
      </w:pPr>
      <w:r>
        <w:rPr>
          <w:rFonts w:hint="eastAsia"/>
          <w:b/>
          <w:color w:val="auto"/>
          <w:sz w:val="36"/>
          <w:highlight w:val="none"/>
        </w:rPr>
        <w:t>报价文件封面</w:t>
      </w:r>
    </w:p>
    <w:p w14:paraId="1D403C2E">
      <w:pPr>
        <w:pStyle w:val="11"/>
        <w:rPr>
          <w:b/>
          <w:color w:val="auto"/>
          <w:sz w:val="20"/>
          <w:highlight w:val="none"/>
        </w:rPr>
      </w:pPr>
    </w:p>
    <w:p w14:paraId="773C88BD">
      <w:pPr>
        <w:pStyle w:val="11"/>
        <w:rPr>
          <w:b/>
          <w:color w:val="auto"/>
          <w:sz w:val="20"/>
          <w:highlight w:val="none"/>
        </w:rPr>
      </w:pPr>
    </w:p>
    <w:p w14:paraId="6E25C6D0">
      <w:pPr>
        <w:pStyle w:val="11"/>
        <w:rPr>
          <w:b/>
          <w:color w:val="auto"/>
          <w:sz w:val="20"/>
          <w:highlight w:val="none"/>
        </w:rPr>
      </w:pPr>
    </w:p>
    <w:p w14:paraId="6E4AD702">
      <w:pPr>
        <w:pStyle w:val="11"/>
        <w:rPr>
          <w:b/>
          <w:color w:val="auto"/>
          <w:sz w:val="20"/>
          <w:highlight w:val="none"/>
        </w:rPr>
      </w:pPr>
    </w:p>
    <w:p w14:paraId="6DAC566F">
      <w:pPr>
        <w:pStyle w:val="11"/>
        <w:rPr>
          <w:b/>
          <w:color w:val="auto"/>
          <w:sz w:val="20"/>
          <w:highlight w:val="none"/>
        </w:rPr>
      </w:pPr>
    </w:p>
    <w:p w14:paraId="70648A3B">
      <w:pPr>
        <w:pStyle w:val="11"/>
        <w:rPr>
          <w:b/>
          <w:color w:val="auto"/>
          <w:sz w:val="20"/>
          <w:highlight w:val="none"/>
        </w:rPr>
      </w:pPr>
    </w:p>
    <w:p w14:paraId="1FDA02CB">
      <w:pPr>
        <w:pStyle w:val="11"/>
        <w:rPr>
          <w:b/>
          <w:color w:val="auto"/>
          <w:sz w:val="20"/>
          <w:highlight w:val="none"/>
        </w:rPr>
      </w:pPr>
    </w:p>
    <w:p w14:paraId="62F77E91">
      <w:pPr>
        <w:pStyle w:val="11"/>
        <w:rPr>
          <w:b/>
          <w:color w:val="auto"/>
          <w:sz w:val="15"/>
          <w:highlight w:val="none"/>
        </w:rPr>
      </w:pPr>
    </w:p>
    <w:p w14:paraId="17C94EDF">
      <w:pPr>
        <w:spacing w:before="49"/>
        <w:ind w:left="2037"/>
        <w:rPr>
          <w:color w:val="auto"/>
          <w:sz w:val="36"/>
          <w:highlight w:val="none"/>
        </w:rPr>
      </w:pPr>
      <w:r>
        <w:rPr>
          <w:rFonts w:hint="eastAsia"/>
          <w:color w:val="auto"/>
          <w:sz w:val="36"/>
          <w:highlight w:val="none"/>
        </w:rPr>
        <w:t>项目编号：</w:t>
      </w:r>
    </w:p>
    <w:p w14:paraId="0D15D341">
      <w:pPr>
        <w:pStyle w:val="11"/>
        <w:rPr>
          <w:color w:val="auto"/>
          <w:sz w:val="36"/>
          <w:highlight w:val="none"/>
        </w:rPr>
      </w:pPr>
    </w:p>
    <w:p w14:paraId="5C038E13">
      <w:pPr>
        <w:pStyle w:val="11"/>
        <w:rPr>
          <w:color w:val="auto"/>
          <w:sz w:val="36"/>
          <w:highlight w:val="none"/>
        </w:rPr>
      </w:pPr>
    </w:p>
    <w:p w14:paraId="372E1E7A">
      <w:pPr>
        <w:pStyle w:val="11"/>
        <w:spacing w:before="1"/>
        <w:rPr>
          <w:color w:val="auto"/>
          <w:sz w:val="38"/>
          <w:highlight w:val="none"/>
        </w:rPr>
      </w:pPr>
    </w:p>
    <w:p w14:paraId="367C55F8">
      <w:pPr>
        <w:ind w:left="2037"/>
        <w:rPr>
          <w:color w:val="auto"/>
          <w:sz w:val="36"/>
          <w:highlight w:val="none"/>
        </w:rPr>
      </w:pPr>
      <w:r>
        <w:rPr>
          <w:rFonts w:hint="eastAsia"/>
          <w:color w:val="auto"/>
          <w:sz w:val="36"/>
          <w:highlight w:val="none"/>
        </w:rPr>
        <w:t>项目名称：</w:t>
      </w:r>
    </w:p>
    <w:p w14:paraId="79A5D312">
      <w:pPr>
        <w:pStyle w:val="11"/>
        <w:rPr>
          <w:color w:val="auto"/>
          <w:sz w:val="36"/>
          <w:highlight w:val="none"/>
        </w:rPr>
      </w:pPr>
    </w:p>
    <w:p w14:paraId="1C790DD3">
      <w:pPr>
        <w:pStyle w:val="11"/>
        <w:rPr>
          <w:color w:val="auto"/>
          <w:sz w:val="36"/>
          <w:highlight w:val="none"/>
        </w:rPr>
      </w:pPr>
    </w:p>
    <w:p w14:paraId="15384FCB">
      <w:pPr>
        <w:pStyle w:val="11"/>
        <w:spacing w:before="2"/>
        <w:rPr>
          <w:color w:val="auto"/>
          <w:sz w:val="38"/>
          <w:highlight w:val="none"/>
        </w:rPr>
      </w:pPr>
    </w:p>
    <w:p w14:paraId="2009B3C6">
      <w:pPr>
        <w:ind w:left="2037"/>
        <w:rPr>
          <w:color w:val="auto"/>
          <w:sz w:val="36"/>
          <w:highlight w:val="none"/>
        </w:rPr>
      </w:pPr>
      <w:r>
        <w:rPr>
          <w:rFonts w:hint="eastAsia"/>
          <w:color w:val="auto"/>
          <w:sz w:val="36"/>
          <w:highlight w:val="none"/>
        </w:rPr>
        <w:t>响应文件名称：报价文件</w:t>
      </w:r>
    </w:p>
    <w:p w14:paraId="206AEFD1">
      <w:pPr>
        <w:pStyle w:val="11"/>
        <w:rPr>
          <w:color w:val="auto"/>
          <w:sz w:val="36"/>
          <w:highlight w:val="none"/>
        </w:rPr>
      </w:pPr>
    </w:p>
    <w:p w14:paraId="2E8893C5">
      <w:pPr>
        <w:pStyle w:val="11"/>
        <w:rPr>
          <w:color w:val="auto"/>
          <w:sz w:val="36"/>
          <w:highlight w:val="none"/>
        </w:rPr>
      </w:pPr>
    </w:p>
    <w:p w14:paraId="239C93C9">
      <w:pPr>
        <w:pStyle w:val="11"/>
        <w:rPr>
          <w:color w:val="auto"/>
          <w:sz w:val="36"/>
          <w:highlight w:val="none"/>
        </w:rPr>
      </w:pPr>
    </w:p>
    <w:p w14:paraId="38FB9DBA">
      <w:pPr>
        <w:pStyle w:val="11"/>
        <w:spacing w:before="10"/>
        <w:rPr>
          <w:color w:val="auto"/>
          <w:sz w:val="50"/>
          <w:highlight w:val="none"/>
        </w:rPr>
      </w:pPr>
    </w:p>
    <w:p w14:paraId="564FDDB5">
      <w:pPr>
        <w:ind w:left="2037"/>
        <w:rPr>
          <w:color w:val="auto"/>
          <w:sz w:val="36"/>
          <w:highlight w:val="none"/>
        </w:rPr>
      </w:pPr>
      <w:r>
        <w:rPr>
          <w:rFonts w:hint="eastAsia"/>
          <w:color w:val="auto"/>
          <w:sz w:val="36"/>
          <w:highlight w:val="none"/>
        </w:rPr>
        <w:t>供应商名称（CA 签章）：</w:t>
      </w:r>
    </w:p>
    <w:p w14:paraId="64377F26">
      <w:pPr>
        <w:pStyle w:val="11"/>
        <w:rPr>
          <w:color w:val="auto"/>
          <w:sz w:val="36"/>
          <w:highlight w:val="none"/>
        </w:rPr>
      </w:pPr>
    </w:p>
    <w:p w14:paraId="4C92FC55">
      <w:pPr>
        <w:pStyle w:val="11"/>
        <w:rPr>
          <w:color w:val="auto"/>
          <w:sz w:val="36"/>
          <w:highlight w:val="none"/>
        </w:rPr>
      </w:pPr>
    </w:p>
    <w:p w14:paraId="23BDA821">
      <w:pPr>
        <w:pStyle w:val="11"/>
        <w:spacing w:before="1"/>
        <w:rPr>
          <w:color w:val="auto"/>
          <w:sz w:val="38"/>
          <w:highlight w:val="none"/>
        </w:rPr>
      </w:pPr>
    </w:p>
    <w:p w14:paraId="094E810D">
      <w:pPr>
        <w:spacing w:before="1"/>
        <w:ind w:left="2037"/>
        <w:rPr>
          <w:color w:val="auto"/>
          <w:sz w:val="36"/>
          <w:highlight w:val="none"/>
        </w:rPr>
      </w:pPr>
      <w:r>
        <w:rPr>
          <w:rFonts w:hint="eastAsia"/>
          <w:color w:val="auto"/>
          <w:sz w:val="36"/>
          <w:highlight w:val="none"/>
        </w:rPr>
        <w:t>供应商地址：</w:t>
      </w:r>
    </w:p>
    <w:p w14:paraId="47059F5A">
      <w:pPr>
        <w:rPr>
          <w:color w:val="auto"/>
          <w:sz w:val="36"/>
          <w:highlight w:val="none"/>
        </w:rPr>
        <w:sectPr>
          <w:pgSz w:w="11910" w:h="16840"/>
          <w:pgMar w:top="1247" w:right="1247" w:bottom="1247" w:left="1587" w:header="884" w:footer="884" w:gutter="0"/>
          <w:cols w:space="0" w:num="1"/>
        </w:sectPr>
      </w:pPr>
    </w:p>
    <w:p w14:paraId="659B5151">
      <w:pPr>
        <w:pStyle w:val="11"/>
        <w:rPr>
          <w:color w:val="auto"/>
          <w:sz w:val="20"/>
          <w:highlight w:val="none"/>
        </w:rPr>
      </w:pPr>
    </w:p>
    <w:p w14:paraId="5D73F5F9">
      <w:pPr>
        <w:pStyle w:val="11"/>
        <w:rPr>
          <w:color w:val="auto"/>
          <w:sz w:val="20"/>
          <w:highlight w:val="none"/>
        </w:rPr>
      </w:pPr>
    </w:p>
    <w:p w14:paraId="710BEB49">
      <w:pPr>
        <w:pStyle w:val="11"/>
        <w:spacing w:before="4"/>
        <w:rPr>
          <w:color w:val="auto"/>
          <w:sz w:val="16"/>
          <w:highlight w:val="none"/>
        </w:rPr>
      </w:pPr>
    </w:p>
    <w:p w14:paraId="606AF135">
      <w:pPr>
        <w:spacing w:before="55" w:line="360" w:lineRule="auto"/>
        <w:ind w:left="540"/>
        <w:jc w:val="center"/>
        <w:rPr>
          <w:rFonts w:hint="eastAsia"/>
          <w:b/>
          <w:color w:val="auto"/>
          <w:sz w:val="32"/>
          <w:highlight w:val="none"/>
        </w:rPr>
      </w:pPr>
    </w:p>
    <w:p w14:paraId="7C7EF6AB">
      <w:pPr>
        <w:spacing w:before="55" w:line="360" w:lineRule="auto"/>
        <w:ind w:left="540"/>
        <w:jc w:val="center"/>
        <w:rPr>
          <w:rFonts w:hint="eastAsia"/>
          <w:b/>
          <w:color w:val="auto"/>
          <w:sz w:val="32"/>
          <w:highlight w:val="none"/>
        </w:rPr>
      </w:pPr>
    </w:p>
    <w:p w14:paraId="6FEFE399">
      <w:pPr>
        <w:spacing w:before="55" w:line="360" w:lineRule="auto"/>
        <w:ind w:left="540"/>
        <w:jc w:val="center"/>
        <w:rPr>
          <w:rFonts w:hint="eastAsia"/>
          <w:b/>
          <w:color w:val="auto"/>
          <w:sz w:val="32"/>
          <w:highlight w:val="none"/>
        </w:rPr>
      </w:pPr>
    </w:p>
    <w:p w14:paraId="05106EA7">
      <w:pPr>
        <w:spacing w:before="55" w:line="360" w:lineRule="auto"/>
        <w:ind w:left="540"/>
        <w:jc w:val="center"/>
        <w:rPr>
          <w:b/>
          <w:color w:val="auto"/>
          <w:sz w:val="32"/>
          <w:highlight w:val="none"/>
        </w:rPr>
      </w:pPr>
      <w:r>
        <w:rPr>
          <w:rFonts w:hint="eastAsia"/>
          <w:b/>
          <w:color w:val="auto"/>
          <w:sz w:val="32"/>
          <w:highlight w:val="none"/>
        </w:rPr>
        <w:t>目 录</w:t>
      </w:r>
    </w:p>
    <w:p w14:paraId="284B3DD6">
      <w:pPr>
        <w:pStyle w:val="5"/>
        <w:spacing w:line="360" w:lineRule="auto"/>
        <w:ind w:firstLine="0"/>
        <w:jc w:val="center"/>
        <w:rPr>
          <w:color w:val="auto"/>
          <w:sz w:val="24"/>
          <w:szCs w:val="24"/>
          <w:highlight w:val="none"/>
        </w:rPr>
      </w:pPr>
    </w:p>
    <w:p w14:paraId="5EA0ACE2">
      <w:pPr>
        <w:pStyle w:val="5"/>
        <w:spacing w:line="360" w:lineRule="auto"/>
        <w:ind w:firstLine="0"/>
        <w:jc w:val="both"/>
        <w:rPr>
          <w:color w:val="auto"/>
          <w:sz w:val="24"/>
          <w:highlight w:val="none"/>
        </w:rPr>
      </w:pPr>
      <w:r>
        <w:rPr>
          <w:rFonts w:hint="eastAsia"/>
          <w:color w:val="auto"/>
          <w:sz w:val="24"/>
          <w:szCs w:val="24"/>
          <w:highlight w:val="none"/>
        </w:rPr>
        <w:t>（</w:t>
      </w:r>
      <w:r>
        <w:rPr>
          <w:rFonts w:hint="eastAsia"/>
          <w:color w:val="auto"/>
          <w:sz w:val="24"/>
          <w:highlight w:val="none"/>
        </w:rPr>
        <w:t>格式自行设计）</w:t>
      </w:r>
    </w:p>
    <w:p w14:paraId="64E1EF4D">
      <w:pPr>
        <w:spacing w:before="240"/>
        <w:ind w:left="540"/>
        <w:rPr>
          <w:color w:val="auto"/>
          <w:sz w:val="30"/>
          <w:highlight w:val="none"/>
        </w:rPr>
      </w:pPr>
    </w:p>
    <w:p w14:paraId="254D3CF7">
      <w:pPr>
        <w:rPr>
          <w:color w:val="auto"/>
          <w:sz w:val="30"/>
          <w:highlight w:val="none"/>
        </w:rPr>
      </w:pPr>
    </w:p>
    <w:p w14:paraId="7066ED19">
      <w:pPr>
        <w:pStyle w:val="15"/>
        <w:spacing w:before="120" w:after="120"/>
        <w:rPr>
          <w:rFonts w:ascii="仿宋" w:hAnsi="仿宋"/>
          <w:color w:val="auto"/>
          <w:sz w:val="30"/>
          <w:highlight w:val="none"/>
        </w:rPr>
      </w:pPr>
    </w:p>
    <w:p w14:paraId="0FCC4AA7">
      <w:pPr>
        <w:rPr>
          <w:color w:val="auto"/>
          <w:sz w:val="30"/>
          <w:highlight w:val="none"/>
        </w:rPr>
      </w:pPr>
    </w:p>
    <w:p w14:paraId="27504AF7">
      <w:pPr>
        <w:pStyle w:val="15"/>
        <w:spacing w:before="120" w:after="120"/>
        <w:rPr>
          <w:rFonts w:ascii="仿宋" w:hAnsi="仿宋"/>
          <w:color w:val="auto"/>
          <w:sz w:val="30"/>
          <w:highlight w:val="none"/>
        </w:rPr>
      </w:pPr>
    </w:p>
    <w:p w14:paraId="5E6C5BCD">
      <w:pPr>
        <w:rPr>
          <w:color w:val="auto"/>
          <w:sz w:val="30"/>
          <w:highlight w:val="none"/>
        </w:rPr>
      </w:pPr>
    </w:p>
    <w:p w14:paraId="02B4E051">
      <w:pPr>
        <w:pStyle w:val="15"/>
        <w:spacing w:before="120" w:after="120"/>
        <w:rPr>
          <w:rFonts w:ascii="仿宋" w:hAnsi="仿宋"/>
          <w:color w:val="auto"/>
          <w:sz w:val="30"/>
          <w:highlight w:val="none"/>
        </w:rPr>
      </w:pPr>
    </w:p>
    <w:p w14:paraId="4282B16D">
      <w:pPr>
        <w:rPr>
          <w:color w:val="auto"/>
          <w:sz w:val="30"/>
          <w:highlight w:val="none"/>
        </w:rPr>
      </w:pPr>
    </w:p>
    <w:p w14:paraId="4570BAA4">
      <w:pPr>
        <w:pStyle w:val="15"/>
        <w:spacing w:before="120" w:after="120"/>
        <w:rPr>
          <w:rFonts w:ascii="仿宋" w:hAnsi="仿宋"/>
          <w:color w:val="auto"/>
          <w:sz w:val="30"/>
          <w:highlight w:val="none"/>
        </w:rPr>
      </w:pPr>
    </w:p>
    <w:p w14:paraId="5F10B45A">
      <w:pPr>
        <w:rPr>
          <w:color w:val="auto"/>
          <w:sz w:val="30"/>
          <w:highlight w:val="none"/>
        </w:rPr>
      </w:pPr>
    </w:p>
    <w:p w14:paraId="5E04D656">
      <w:pPr>
        <w:pStyle w:val="15"/>
        <w:spacing w:before="120" w:after="120"/>
        <w:rPr>
          <w:rFonts w:ascii="仿宋" w:hAnsi="仿宋"/>
          <w:color w:val="auto"/>
          <w:sz w:val="30"/>
          <w:highlight w:val="none"/>
        </w:rPr>
      </w:pPr>
    </w:p>
    <w:p w14:paraId="0F7554BA">
      <w:pPr>
        <w:rPr>
          <w:color w:val="auto"/>
          <w:sz w:val="30"/>
          <w:highlight w:val="none"/>
        </w:rPr>
      </w:pPr>
    </w:p>
    <w:p w14:paraId="446F79BA">
      <w:pPr>
        <w:pStyle w:val="15"/>
        <w:spacing w:before="120" w:after="120"/>
        <w:rPr>
          <w:rFonts w:ascii="仿宋" w:hAnsi="仿宋"/>
          <w:color w:val="auto"/>
          <w:sz w:val="30"/>
          <w:highlight w:val="none"/>
        </w:rPr>
      </w:pPr>
    </w:p>
    <w:p w14:paraId="6F59E5F0">
      <w:pPr>
        <w:rPr>
          <w:color w:val="auto"/>
          <w:sz w:val="30"/>
          <w:highlight w:val="none"/>
        </w:rPr>
      </w:pPr>
    </w:p>
    <w:p w14:paraId="20AFD149">
      <w:pPr>
        <w:pStyle w:val="15"/>
        <w:spacing w:before="120" w:after="120"/>
        <w:rPr>
          <w:rFonts w:ascii="仿宋" w:hAnsi="仿宋"/>
          <w:color w:val="auto"/>
          <w:sz w:val="30"/>
          <w:highlight w:val="none"/>
        </w:rPr>
      </w:pPr>
    </w:p>
    <w:p w14:paraId="460FA88B">
      <w:pPr>
        <w:rPr>
          <w:color w:val="auto"/>
          <w:sz w:val="30"/>
          <w:highlight w:val="none"/>
        </w:rPr>
      </w:pPr>
    </w:p>
    <w:p w14:paraId="760CF266">
      <w:pPr>
        <w:pStyle w:val="15"/>
        <w:spacing w:before="120" w:after="120"/>
        <w:rPr>
          <w:rFonts w:ascii="仿宋" w:hAnsi="仿宋"/>
          <w:color w:val="auto"/>
          <w:sz w:val="30"/>
          <w:highlight w:val="none"/>
        </w:rPr>
      </w:pPr>
    </w:p>
    <w:p w14:paraId="15487FB6">
      <w:pPr>
        <w:rPr>
          <w:color w:val="auto"/>
          <w:sz w:val="30"/>
          <w:highlight w:val="none"/>
        </w:rPr>
      </w:pPr>
    </w:p>
    <w:p w14:paraId="6CBD92A1">
      <w:pPr>
        <w:pStyle w:val="15"/>
        <w:spacing w:before="120" w:after="120"/>
        <w:rPr>
          <w:rFonts w:ascii="仿宋" w:hAnsi="仿宋"/>
          <w:color w:val="auto"/>
          <w:sz w:val="30"/>
          <w:highlight w:val="none"/>
        </w:rPr>
      </w:pPr>
    </w:p>
    <w:p w14:paraId="3C524C08">
      <w:pPr>
        <w:rPr>
          <w:color w:val="auto"/>
          <w:sz w:val="30"/>
          <w:highlight w:val="none"/>
        </w:rPr>
      </w:pPr>
    </w:p>
    <w:p w14:paraId="1CC6D034">
      <w:pPr>
        <w:pStyle w:val="15"/>
        <w:spacing w:before="120" w:after="120"/>
        <w:rPr>
          <w:rFonts w:ascii="仿宋" w:hAnsi="仿宋"/>
          <w:color w:val="auto"/>
          <w:sz w:val="30"/>
          <w:highlight w:val="none"/>
        </w:rPr>
      </w:pPr>
    </w:p>
    <w:p w14:paraId="73C196B1">
      <w:pPr>
        <w:rPr>
          <w:color w:val="auto"/>
          <w:sz w:val="30"/>
          <w:highlight w:val="none"/>
        </w:rPr>
      </w:pPr>
    </w:p>
    <w:p w14:paraId="1B79DD40">
      <w:pPr>
        <w:pStyle w:val="15"/>
        <w:spacing w:before="120" w:after="120"/>
        <w:rPr>
          <w:rFonts w:ascii="仿宋" w:hAnsi="仿宋"/>
          <w:color w:val="auto"/>
          <w:sz w:val="30"/>
          <w:highlight w:val="none"/>
        </w:rPr>
      </w:pPr>
    </w:p>
    <w:p w14:paraId="76139C43">
      <w:pPr>
        <w:pStyle w:val="11"/>
        <w:spacing w:before="5"/>
        <w:rPr>
          <w:color w:val="auto"/>
          <w:sz w:val="8"/>
          <w:highlight w:val="none"/>
        </w:rPr>
      </w:pPr>
    </w:p>
    <w:p w14:paraId="3E0C1CCC">
      <w:pPr>
        <w:spacing w:before="58"/>
        <w:ind w:left="561" w:right="441"/>
        <w:jc w:val="center"/>
        <w:rPr>
          <w:b/>
          <w:color w:val="auto"/>
          <w:sz w:val="30"/>
          <w:highlight w:val="none"/>
        </w:rPr>
      </w:pPr>
      <w:r>
        <w:rPr>
          <w:rFonts w:hint="eastAsia"/>
          <w:b/>
          <w:color w:val="auto"/>
          <w:sz w:val="30"/>
          <w:highlight w:val="none"/>
        </w:rPr>
        <w:t>1</w:t>
      </w:r>
      <w:r>
        <w:rPr>
          <w:rFonts w:hint="eastAsia"/>
          <w:b/>
          <w:color w:val="auto"/>
          <w:sz w:val="30"/>
          <w:highlight w:val="none"/>
          <w:lang w:val="en-US"/>
        </w:rPr>
        <w:t>.</w:t>
      </w:r>
      <w:r>
        <w:rPr>
          <w:rFonts w:hint="eastAsia"/>
          <w:b/>
          <w:color w:val="auto"/>
          <w:sz w:val="30"/>
          <w:highlight w:val="none"/>
        </w:rPr>
        <w:t>开标一览表</w:t>
      </w:r>
    </w:p>
    <w:p w14:paraId="5043537D">
      <w:pPr>
        <w:pStyle w:val="78"/>
        <w:spacing w:line="440" w:lineRule="exact"/>
        <w:jc w:val="righ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币种：人民币（元）</w:t>
      </w:r>
    </w:p>
    <w:tbl>
      <w:tblPr>
        <w:tblStyle w:val="32"/>
        <w:tblW w:w="8919"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1189"/>
        <w:gridCol w:w="5790"/>
      </w:tblGrid>
      <w:tr w14:paraId="363C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1940" w:type="dxa"/>
            <w:noWrap/>
            <w:vAlign w:val="center"/>
          </w:tcPr>
          <w:p w14:paraId="428C383A">
            <w:pPr>
              <w:jc w:val="center"/>
              <w:rPr>
                <w:b/>
                <w:color w:val="auto"/>
                <w:sz w:val="24"/>
                <w:szCs w:val="24"/>
                <w:highlight w:val="none"/>
              </w:rPr>
            </w:pPr>
            <w:r>
              <w:rPr>
                <w:rFonts w:hint="eastAsia"/>
                <w:b/>
                <w:color w:val="auto"/>
                <w:sz w:val="24"/>
                <w:szCs w:val="24"/>
                <w:highlight w:val="none"/>
              </w:rPr>
              <w:t>项目名称</w:t>
            </w:r>
          </w:p>
        </w:tc>
        <w:tc>
          <w:tcPr>
            <w:tcW w:w="6979" w:type="dxa"/>
            <w:gridSpan w:val="2"/>
            <w:noWrap/>
            <w:vAlign w:val="center"/>
          </w:tcPr>
          <w:p w14:paraId="7917CBEE">
            <w:pPr>
              <w:rPr>
                <w:bCs/>
                <w:color w:val="auto"/>
                <w:sz w:val="24"/>
                <w:szCs w:val="24"/>
                <w:highlight w:val="none"/>
              </w:rPr>
            </w:pPr>
          </w:p>
        </w:tc>
      </w:tr>
      <w:tr w14:paraId="6EA5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1940" w:type="dxa"/>
            <w:noWrap/>
            <w:vAlign w:val="center"/>
          </w:tcPr>
          <w:p w14:paraId="2F6EFABD">
            <w:pPr>
              <w:jc w:val="center"/>
              <w:rPr>
                <w:b/>
                <w:color w:val="auto"/>
                <w:sz w:val="24"/>
                <w:szCs w:val="24"/>
                <w:highlight w:val="none"/>
              </w:rPr>
            </w:pPr>
            <w:r>
              <w:rPr>
                <w:rFonts w:hint="eastAsia"/>
                <w:b/>
                <w:color w:val="auto"/>
                <w:sz w:val="24"/>
                <w:szCs w:val="24"/>
                <w:highlight w:val="none"/>
              </w:rPr>
              <w:t>项目编号</w:t>
            </w:r>
          </w:p>
        </w:tc>
        <w:tc>
          <w:tcPr>
            <w:tcW w:w="6979" w:type="dxa"/>
            <w:gridSpan w:val="2"/>
            <w:noWrap/>
            <w:vAlign w:val="center"/>
          </w:tcPr>
          <w:p w14:paraId="53F48148">
            <w:pPr>
              <w:rPr>
                <w:bCs/>
                <w:color w:val="auto"/>
                <w:sz w:val="24"/>
                <w:szCs w:val="24"/>
                <w:highlight w:val="none"/>
              </w:rPr>
            </w:pPr>
          </w:p>
        </w:tc>
      </w:tr>
      <w:tr w14:paraId="7C261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1940" w:type="dxa"/>
            <w:noWrap/>
            <w:vAlign w:val="center"/>
          </w:tcPr>
          <w:p w14:paraId="47D0F9E6">
            <w:pPr>
              <w:jc w:val="center"/>
              <w:rPr>
                <w:b/>
                <w:color w:val="auto"/>
                <w:sz w:val="24"/>
                <w:szCs w:val="24"/>
                <w:highlight w:val="none"/>
              </w:rPr>
            </w:pPr>
            <w:r>
              <w:rPr>
                <w:rFonts w:hint="eastAsia"/>
                <w:b/>
                <w:color w:val="auto"/>
                <w:sz w:val="24"/>
                <w:szCs w:val="24"/>
                <w:highlight w:val="none"/>
              </w:rPr>
              <w:t>采购人名称</w:t>
            </w:r>
          </w:p>
        </w:tc>
        <w:tc>
          <w:tcPr>
            <w:tcW w:w="6979" w:type="dxa"/>
            <w:gridSpan w:val="2"/>
            <w:noWrap/>
            <w:vAlign w:val="center"/>
          </w:tcPr>
          <w:p w14:paraId="79F47310">
            <w:pPr>
              <w:rPr>
                <w:bCs/>
                <w:color w:val="auto"/>
                <w:sz w:val="24"/>
                <w:szCs w:val="24"/>
                <w:highlight w:val="none"/>
              </w:rPr>
            </w:pPr>
          </w:p>
        </w:tc>
      </w:tr>
      <w:tr w14:paraId="582F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1940" w:type="dxa"/>
            <w:noWrap/>
            <w:vAlign w:val="center"/>
          </w:tcPr>
          <w:p w14:paraId="473F7E5F">
            <w:pPr>
              <w:jc w:val="center"/>
              <w:rPr>
                <w:b/>
                <w:color w:val="auto"/>
                <w:sz w:val="24"/>
                <w:szCs w:val="24"/>
                <w:highlight w:val="none"/>
              </w:rPr>
            </w:pPr>
            <w:r>
              <w:rPr>
                <w:rFonts w:hint="eastAsia"/>
                <w:b/>
                <w:color w:val="auto"/>
                <w:sz w:val="24"/>
                <w:szCs w:val="24"/>
                <w:highlight w:val="none"/>
              </w:rPr>
              <w:t>供应商名称</w:t>
            </w:r>
          </w:p>
        </w:tc>
        <w:tc>
          <w:tcPr>
            <w:tcW w:w="6979" w:type="dxa"/>
            <w:gridSpan w:val="2"/>
            <w:noWrap/>
            <w:vAlign w:val="center"/>
          </w:tcPr>
          <w:p w14:paraId="104B0F9D">
            <w:pPr>
              <w:rPr>
                <w:bCs/>
                <w:color w:val="auto"/>
                <w:sz w:val="24"/>
                <w:szCs w:val="24"/>
                <w:highlight w:val="none"/>
              </w:rPr>
            </w:pPr>
          </w:p>
        </w:tc>
      </w:tr>
      <w:tr w14:paraId="754C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1940" w:type="dxa"/>
            <w:vMerge w:val="restart"/>
            <w:noWrap/>
            <w:vAlign w:val="center"/>
          </w:tcPr>
          <w:p w14:paraId="258BAD37">
            <w:pPr>
              <w:jc w:val="center"/>
              <w:rPr>
                <w:b/>
                <w:color w:val="auto"/>
                <w:sz w:val="24"/>
                <w:szCs w:val="24"/>
                <w:highlight w:val="none"/>
              </w:rPr>
            </w:pPr>
            <w:r>
              <w:rPr>
                <w:rFonts w:hint="eastAsia"/>
                <w:b/>
                <w:color w:val="auto"/>
                <w:sz w:val="24"/>
                <w:szCs w:val="24"/>
                <w:highlight w:val="none"/>
              </w:rPr>
              <w:t>总报价</w:t>
            </w:r>
          </w:p>
        </w:tc>
        <w:tc>
          <w:tcPr>
            <w:tcW w:w="1189" w:type="dxa"/>
            <w:noWrap/>
            <w:vAlign w:val="center"/>
          </w:tcPr>
          <w:p w14:paraId="10C7A0FD">
            <w:pPr>
              <w:jc w:val="center"/>
              <w:rPr>
                <w:bCs/>
                <w:color w:val="auto"/>
                <w:sz w:val="24"/>
                <w:szCs w:val="24"/>
                <w:highlight w:val="none"/>
              </w:rPr>
            </w:pPr>
            <w:r>
              <w:rPr>
                <w:rFonts w:hint="eastAsia"/>
                <w:bCs/>
                <w:color w:val="auto"/>
                <w:sz w:val="24"/>
                <w:szCs w:val="24"/>
                <w:highlight w:val="none"/>
              </w:rPr>
              <w:t>大写</w:t>
            </w:r>
          </w:p>
        </w:tc>
        <w:tc>
          <w:tcPr>
            <w:tcW w:w="5790" w:type="dxa"/>
            <w:noWrap/>
            <w:vAlign w:val="center"/>
          </w:tcPr>
          <w:p w14:paraId="376C41A1">
            <w:pPr>
              <w:rPr>
                <w:bCs/>
                <w:color w:val="auto"/>
                <w:sz w:val="24"/>
                <w:szCs w:val="24"/>
                <w:highlight w:val="none"/>
              </w:rPr>
            </w:pPr>
            <w:r>
              <w:rPr>
                <w:rFonts w:hint="eastAsia"/>
                <w:bCs/>
                <w:color w:val="auto"/>
                <w:sz w:val="24"/>
                <w:szCs w:val="24"/>
                <w:highlight w:val="none"/>
              </w:rPr>
              <w:t xml:space="preserve">       </w:t>
            </w:r>
          </w:p>
        </w:tc>
      </w:tr>
      <w:tr w14:paraId="7959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1940" w:type="dxa"/>
            <w:vMerge w:val="continue"/>
            <w:noWrap/>
            <w:vAlign w:val="center"/>
          </w:tcPr>
          <w:p w14:paraId="32F97801">
            <w:pPr>
              <w:rPr>
                <w:bCs/>
                <w:color w:val="auto"/>
                <w:sz w:val="24"/>
                <w:szCs w:val="24"/>
                <w:highlight w:val="none"/>
              </w:rPr>
            </w:pPr>
          </w:p>
        </w:tc>
        <w:tc>
          <w:tcPr>
            <w:tcW w:w="1189" w:type="dxa"/>
            <w:noWrap/>
            <w:vAlign w:val="center"/>
          </w:tcPr>
          <w:p w14:paraId="00D77273">
            <w:pPr>
              <w:jc w:val="center"/>
              <w:rPr>
                <w:bCs/>
                <w:color w:val="auto"/>
                <w:sz w:val="24"/>
                <w:szCs w:val="24"/>
                <w:highlight w:val="none"/>
              </w:rPr>
            </w:pPr>
            <w:r>
              <w:rPr>
                <w:rFonts w:hint="eastAsia"/>
                <w:bCs/>
                <w:color w:val="auto"/>
                <w:sz w:val="24"/>
                <w:szCs w:val="24"/>
                <w:highlight w:val="none"/>
              </w:rPr>
              <w:t>小写</w:t>
            </w:r>
          </w:p>
        </w:tc>
        <w:tc>
          <w:tcPr>
            <w:tcW w:w="5790" w:type="dxa"/>
            <w:noWrap/>
            <w:vAlign w:val="center"/>
          </w:tcPr>
          <w:p w14:paraId="10CB36F6">
            <w:pPr>
              <w:rPr>
                <w:bCs/>
                <w:color w:val="auto"/>
                <w:sz w:val="24"/>
                <w:szCs w:val="24"/>
                <w:highlight w:val="none"/>
              </w:rPr>
            </w:pPr>
            <w:r>
              <w:rPr>
                <w:rFonts w:hint="eastAsia"/>
                <w:bCs/>
                <w:color w:val="auto"/>
                <w:sz w:val="24"/>
                <w:szCs w:val="24"/>
                <w:highlight w:val="none"/>
                <w:lang w:val="en-US"/>
              </w:rPr>
              <w:t>¥</w:t>
            </w:r>
            <w:r>
              <w:rPr>
                <w:rFonts w:hint="eastAsia"/>
                <w:bCs/>
                <w:color w:val="auto"/>
                <w:sz w:val="24"/>
                <w:szCs w:val="24"/>
                <w:highlight w:val="none"/>
              </w:rPr>
              <w:t>：</w:t>
            </w:r>
          </w:p>
        </w:tc>
      </w:tr>
    </w:tbl>
    <w:p w14:paraId="3137D8FB">
      <w:pPr>
        <w:spacing w:line="360" w:lineRule="auto"/>
        <w:rPr>
          <w:rFonts w:hint="eastAsia"/>
          <w:bCs/>
          <w:color w:val="auto"/>
          <w:sz w:val="24"/>
          <w:szCs w:val="24"/>
          <w:highlight w:val="none"/>
        </w:rPr>
      </w:pPr>
    </w:p>
    <w:p w14:paraId="194E8DDC">
      <w:pPr>
        <w:spacing w:line="360" w:lineRule="auto"/>
        <w:rPr>
          <w:rFonts w:hint="eastAsia"/>
          <w:bCs/>
          <w:color w:val="auto"/>
          <w:sz w:val="24"/>
          <w:szCs w:val="24"/>
          <w:highlight w:val="none"/>
        </w:rPr>
      </w:pPr>
      <w:r>
        <w:rPr>
          <w:rFonts w:hint="eastAsia"/>
          <w:bCs/>
          <w:color w:val="auto"/>
          <w:sz w:val="24"/>
          <w:szCs w:val="24"/>
          <w:highlight w:val="none"/>
        </w:rPr>
        <w:t>注：</w:t>
      </w:r>
    </w:p>
    <w:p w14:paraId="250392B6">
      <w:pPr>
        <w:spacing w:line="360" w:lineRule="auto"/>
        <w:ind w:firstLine="482" w:firstLineChars="200"/>
        <w:rPr>
          <w:bCs/>
          <w:color w:val="auto"/>
          <w:sz w:val="24"/>
          <w:szCs w:val="24"/>
          <w:highlight w:val="none"/>
        </w:rPr>
      </w:pPr>
      <w:r>
        <w:rPr>
          <w:rFonts w:hint="eastAsia"/>
          <w:b/>
          <w:bCs/>
          <w:color w:val="auto"/>
          <w:sz w:val="24"/>
          <w:szCs w:val="24"/>
          <w:highlight w:val="none"/>
        </w:rPr>
        <w:t>▲</w:t>
      </w:r>
      <w:r>
        <w:rPr>
          <w:rFonts w:hint="eastAsia"/>
          <w:color w:val="auto"/>
          <w:sz w:val="24"/>
          <w:szCs w:val="24"/>
          <w:highlight w:val="none"/>
          <w:lang w:val="en-US"/>
        </w:rPr>
        <w:t>1.</w:t>
      </w:r>
      <w:r>
        <w:rPr>
          <w:rFonts w:hint="eastAsia"/>
          <w:color w:val="auto"/>
          <w:sz w:val="24"/>
          <w:szCs w:val="24"/>
          <w:highlight w:val="none"/>
        </w:rPr>
        <w:t>评审时</w:t>
      </w:r>
      <w:r>
        <w:rPr>
          <w:rFonts w:hint="eastAsia"/>
          <w:bCs/>
          <w:color w:val="auto"/>
          <w:sz w:val="24"/>
          <w:szCs w:val="24"/>
          <w:highlight w:val="none"/>
        </w:rPr>
        <w:t>如发现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报价处理，同时采购组织机构按规定将该情况报主管部门，并视情将其列入不良投标人名单。</w:t>
      </w:r>
    </w:p>
    <w:p w14:paraId="4C5C03F4">
      <w:pPr>
        <w:spacing w:line="360" w:lineRule="auto"/>
        <w:ind w:firstLine="480" w:firstLineChars="200"/>
        <w:rPr>
          <w:bCs/>
          <w:color w:val="auto"/>
          <w:sz w:val="24"/>
          <w:szCs w:val="24"/>
          <w:highlight w:val="none"/>
        </w:rPr>
      </w:pPr>
      <w:r>
        <w:rPr>
          <w:rFonts w:hint="eastAsia"/>
          <w:bCs/>
          <w:color w:val="auto"/>
          <w:sz w:val="24"/>
          <w:szCs w:val="24"/>
          <w:highlight w:val="none"/>
          <w:lang w:val="en-US"/>
        </w:rPr>
        <w:t>2.</w:t>
      </w:r>
      <w:r>
        <w:rPr>
          <w:rFonts w:hint="eastAsia"/>
          <w:bCs/>
          <w:color w:val="auto"/>
          <w:sz w:val="24"/>
          <w:szCs w:val="24"/>
          <w:highlight w:val="none"/>
        </w:rPr>
        <w:t>报价一经涂改，应在涂改处加盖单位公章</w:t>
      </w:r>
      <w:r>
        <w:rPr>
          <w:rFonts w:hint="eastAsia"/>
          <w:bCs/>
          <w:color w:val="auto"/>
          <w:sz w:val="24"/>
          <w:szCs w:val="24"/>
          <w:highlight w:val="none"/>
          <w:lang w:eastAsia="zh-CN"/>
        </w:rPr>
        <w:t>或</w:t>
      </w:r>
      <w:r>
        <w:rPr>
          <w:rFonts w:hint="eastAsia"/>
          <w:bCs/>
          <w:color w:val="auto"/>
          <w:sz w:val="24"/>
          <w:szCs w:val="24"/>
          <w:highlight w:val="none"/>
        </w:rPr>
        <w:t>由法定代表人（负责人）或授权委托人签字或盖章，否则其报价作无效处理。</w:t>
      </w:r>
    </w:p>
    <w:p w14:paraId="6D5842F9">
      <w:pPr>
        <w:snapToGrid w:val="0"/>
        <w:spacing w:before="50" w:after="50" w:line="324" w:lineRule="auto"/>
        <w:ind w:firstLine="480" w:firstLineChars="200"/>
        <w:rPr>
          <w:b/>
          <w:color w:val="auto"/>
          <w:sz w:val="24"/>
          <w:szCs w:val="24"/>
          <w:highlight w:val="none"/>
        </w:rPr>
      </w:pPr>
      <w:r>
        <w:rPr>
          <w:rFonts w:hint="eastAsia"/>
          <w:bCs/>
          <w:color w:val="auto"/>
          <w:sz w:val="24"/>
          <w:szCs w:val="24"/>
          <w:highlight w:val="none"/>
          <w:lang w:val="en-US"/>
        </w:rPr>
        <w:t>3.</w:t>
      </w:r>
      <w:r>
        <w:rPr>
          <w:rFonts w:hint="eastAsia"/>
          <w:bCs/>
          <w:color w:val="auto"/>
          <w:sz w:val="24"/>
          <w:szCs w:val="24"/>
          <w:highlight w:val="none"/>
        </w:rPr>
        <w:t>不接受有选择性的报价，不提供该报价表的报价文件视为未实质性响应磋商文件。</w:t>
      </w:r>
    </w:p>
    <w:p w14:paraId="57AEB929">
      <w:pPr>
        <w:pStyle w:val="11"/>
        <w:tabs>
          <w:tab w:val="left" w:pos="9625"/>
        </w:tabs>
        <w:spacing w:before="1"/>
        <w:ind w:left="6139"/>
        <w:rPr>
          <w:rFonts w:hint="eastAsia"/>
          <w:color w:val="auto"/>
          <w:highlight w:val="none"/>
        </w:rPr>
      </w:pPr>
    </w:p>
    <w:p w14:paraId="13A546EE">
      <w:pPr>
        <w:pStyle w:val="11"/>
        <w:tabs>
          <w:tab w:val="left" w:pos="9625"/>
        </w:tabs>
        <w:spacing w:before="1"/>
        <w:ind w:left="6139"/>
        <w:rPr>
          <w:color w:val="auto"/>
          <w:highlight w:val="none"/>
        </w:rPr>
      </w:pPr>
      <w:r>
        <w:rPr>
          <w:rFonts w:hint="eastAsia"/>
          <w:color w:val="auto"/>
          <w:highlight w:val="none"/>
        </w:rPr>
        <w:t>供应商盖章：</w:t>
      </w:r>
      <w:r>
        <w:rPr>
          <w:rFonts w:hint="eastAsia"/>
          <w:color w:val="auto"/>
          <w:highlight w:val="none"/>
          <w:u w:val="single"/>
        </w:rPr>
        <w:tab/>
      </w:r>
    </w:p>
    <w:p w14:paraId="24272B3F">
      <w:pPr>
        <w:pStyle w:val="11"/>
        <w:tabs>
          <w:tab w:val="left" w:pos="7219"/>
          <w:tab w:val="left" w:pos="9599"/>
        </w:tabs>
        <w:spacing w:before="131"/>
        <w:ind w:left="6139"/>
        <w:rPr>
          <w:rFonts w:hint="eastAsia"/>
          <w:color w:val="auto"/>
          <w:highlight w:val="none"/>
          <w:u w:val="single"/>
          <w:lang w:val="en-US"/>
        </w:rPr>
      </w:pPr>
      <w:r>
        <w:rPr>
          <w:rFonts w:hint="eastAsia"/>
          <w:color w:val="auto"/>
          <w:highlight w:val="none"/>
        </w:rPr>
        <w:t>日期：</w:t>
      </w:r>
      <w:r>
        <w:rPr>
          <w:rFonts w:hint="eastAsia"/>
          <w:color w:val="auto"/>
          <w:highlight w:val="none"/>
          <w:u w:val="single"/>
        </w:rPr>
        <w:tab/>
      </w:r>
      <w:r>
        <w:rPr>
          <w:rFonts w:hint="eastAsia"/>
          <w:color w:val="auto"/>
          <w:highlight w:val="none"/>
          <w:u w:val="single"/>
          <w:lang w:val="en-US"/>
        </w:rPr>
        <w:t xml:space="preserve">             </w:t>
      </w:r>
    </w:p>
    <w:p w14:paraId="2A93180A">
      <w:pPr>
        <w:pStyle w:val="12"/>
        <w:rPr>
          <w:rFonts w:hint="eastAsia"/>
          <w:color w:val="auto"/>
          <w:highlight w:val="none"/>
          <w:u w:val="single"/>
          <w:lang w:val="en-US"/>
        </w:rPr>
      </w:pPr>
    </w:p>
    <w:p w14:paraId="4BEB287A">
      <w:pPr>
        <w:rPr>
          <w:rFonts w:hint="eastAsia"/>
          <w:color w:val="auto"/>
          <w:highlight w:val="none"/>
          <w:u w:val="single"/>
          <w:lang w:val="en-US"/>
        </w:rPr>
      </w:pPr>
    </w:p>
    <w:p w14:paraId="16C348B2">
      <w:pPr>
        <w:pStyle w:val="39"/>
        <w:rPr>
          <w:rFonts w:hint="eastAsia"/>
          <w:color w:val="auto"/>
          <w:highlight w:val="none"/>
          <w:u w:val="single"/>
          <w:lang w:val="en-US"/>
        </w:rPr>
      </w:pPr>
    </w:p>
    <w:p w14:paraId="0E4BD55E">
      <w:pPr>
        <w:pStyle w:val="39"/>
        <w:rPr>
          <w:rFonts w:hint="eastAsia"/>
          <w:color w:val="auto"/>
          <w:highlight w:val="none"/>
          <w:u w:val="single"/>
          <w:lang w:val="en-US"/>
        </w:rPr>
      </w:pPr>
    </w:p>
    <w:p w14:paraId="5BE8C17F">
      <w:pPr>
        <w:pStyle w:val="39"/>
        <w:rPr>
          <w:rFonts w:hint="eastAsia"/>
          <w:color w:val="auto"/>
          <w:highlight w:val="none"/>
          <w:u w:val="single"/>
          <w:lang w:val="en-US"/>
        </w:rPr>
      </w:pPr>
    </w:p>
    <w:p w14:paraId="47BA845B">
      <w:pPr>
        <w:pStyle w:val="39"/>
        <w:rPr>
          <w:rFonts w:hint="eastAsia"/>
          <w:color w:val="auto"/>
          <w:highlight w:val="none"/>
          <w:u w:val="single"/>
          <w:lang w:val="en-US"/>
        </w:rPr>
      </w:pPr>
    </w:p>
    <w:p w14:paraId="6435FFBE">
      <w:pPr>
        <w:spacing w:before="58"/>
        <w:ind w:left="561" w:right="441"/>
        <w:jc w:val="center"/>
        <w:rPr>
          <w:b/>
          <w:color w:val="auto"/>
          <w:sz w:val="30"/>
          <w:highlight w:val="none"/>
        </w:rPr>
      </w:pPr>
      <w:r>
        <w:rPr>
          <w:rFonts w:hint="eastAsia"/>
          <w:b/>
          <w:color w:val="auto"/>
          <w:sz w:val="30"/>
          <w:highlight w:val="none"/>
          <w:lang w:val="en-US"/>
        </w:rPr>
        <w:t>2.</w:t>
      </w:r>
      <w:r>
        <w:rPr>
          <w:rFonts w:hint="eastAsia"/>
          <w:b/>
          <w:color w:val="auto"/>
          <w:sz w:val="30"/>
          <w:highlight w:val="none"/>
        </w:rPr>
        <w:t>响应分项报价表</w:t>
      </w:r>
    </w:p>
    <w:p w14:paraId="38D80A2E">
      <w:pPr>
        <w:spacing w:line="360" w:lineRule="auto"/>
        <w:rPr>
          <w:rFonts w:hint="eastAsia"/>
          <w:color w:val="auto"/>
          <w:sz w:val="24"/>
          <w:szCs w:val="24"/>
          <w:highlight w:val="none"/>
        </w:rPr>
      </w:pPr>
    </w:p>
    <w:p w14:paraId="22CF929F">
      <w:pPr>
        <w:spacing w:line="360" w:lineRule="auto"/>
        <w:rPr>
          <w:color w:val="auto"/>
          <w:sz w:val="24"/>
          <w:szCs w:val="24"/>
          <w:highlight w:val="none"/>
        </w:rPr>
      </w:pPr>
      <w:r>
        <w:rPr>
          <w:rFonts w:hint="eastAsia"/>
          <w:color w:val="auto"/>
          <w:sz w:val="24"/>
          <w:szCs w:val="24"/>
          <w:highlight w:val="none"/>
        </w:rPr>
        <w:t>项目编号：</w:t>
      </w:r>
    </w:p>
    <w:p w14:paraId="1A96C6A7">
      <w:pPr>
        <w:spacing w:line="360" w:lineRule="auto"/>
        <w:rPr>
          <w:color w:val="auto"/>
          <w:sz w:val="24"/>
          <w:szCs w:val="24"/>
          <w:highlight w:val="none"/>
          <w:u w:val="single"/>
        </w:rPr>
      </w:pPr>
      <w:r>
        <w:rPr>
          <w:rFonts w:hint="eastAsia"/>
          <w:color w:val="auto"/>
          <w:sz w:val="24"/>
          <w:szCs w:val="24"/>
          <w:highlight w:val="none"/>
        </w:rPr>
        <w:t>项目名称：</w:t>
      </w:r>
    </w:p>
    <w:tbl>
      <w:tblPr>
        <w:tblStyle w:val="32"/>
        <w:tblW w:w="90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4482"/>
        <w:gridCol w:w="750"/>
        <w:gridCol w:w="705"/>
        <w:gridCol w:w="1107"/>
        <w:gridCol w:w="1275"/>
      </w:tblGrid>
      <w:tr w14:paraId="6D45C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8EE849A">
            <w:pPr>
              <w:jc w:val="center"/>
              <w:rPr>
                <w:color w:val="auto"/>
                <w:sz w:val="24"/>
                <w:szCs w:val="24"/>
                <w:highlight w:val="none"/>
              </w:rPr>
            </w:pPr>
            <w:r>
              <w:rPr>
                <w:rFonts w:hint="eastAsia"/>
                <w:color w:val="auto"/>
                <w:sz w:val="24"/>
                <w:szCs w:val="24"/>
                <w:highlight w:val="none"/>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61814B8C">
            <w:pPr>
              <w:jc w:val="center"/>
              <w:rPr>
                <w:color w:val="auto"/>
                <w:sz w:val="24"/>
                <w:szCs w:val="24"/>
                <w:highlight w:val="none"/>
              </w:rPr>
            </w:pPr>
            <w:r>
              <w:rPr>
                <w:rFonts w:hint="eastAsia"/>
                <w:color w:val="auto"/>
                <w:sz w:val="24"/>
                <w:szCs w:val="24"/>
                <w:highlight w:val="none"/>
              </w:rPr>
              <w:t>项目内容</w:t>
            </w:r>
          </w:p>
        </w:tc>
        <w:tc>
          <w:tcPr>
            <w:tcW w:w="750" w:type="dxa"/>
            <w:tcBorders>
              <w:top w:val="single" w:color="auto" w:sz="4" w:space="0"/>
              <w:left w:val="single" w:color="auto" w:sz="4" w:space="0"/>
              <w:bottom w:val="single" w:color="auto" w:sz="4" w:space="0"/>
              <w:right w:val="single" w:color="auto" w:sz="4" w:space="0"/>
            </w:tcBorders>
            <w:vAlign w:val="center"/>
          </w:tcPr>
          <w:p w14:paraId="68D0E695">
            <w:pPr>
              <w:jc w:val="center"/>
              <w:rPr>
                <w:color w:val="auto"/>
                <w:sz w:val="24"/>
                <w:szCs w:val="24"/>
                <w:highlight w:val="none"/>
              </w:rPr>
            </w:pPr>
            <w:r>
              <w:rPr>
                <w:rFonts w:hint="eastAsia"/>
                <w:color w:val="auto"/>
                <w:sz w:val="24"/>
                <w:szCs w:val="24"/>
                <w:highlight w:val="none"/>
              </w:rPr>
              <w:t>单位</w:t>
            </w:r>
          </w:p>
        </w:tc>
        <w:tc>
          <w:tcPr>
            <w:tcW w:w="705" w:type="dxa"/>
            <w:tcBorders>
              <w:top w:val="single" w:color="auto" w:sz="4" w:space="0"/>
              <w:left w:val="single" w:color="auto" w:sz="4" w:space="0"/>
              <w:bottom w:val="single" w:color="auto" w:sz="4" w:space="0"/>
              <w:right w:val="single" w:color="auto" w:sz="4" w:space="0"/>
            </w:tcBorders>
            <w:vAlign w:val="center"/>
          </w:tcPr>
          <w:p w14:paraId="4AC8D753">
            <w:pPr>
              <w:jc w:val="center"/>
              <w:rPr>
                <w:color w:val="auto"/>
                <w:sz w:val="24"/>
                <w:szCs w:val="24"/>
                <w:highlight w:val="none"/>
              </w:rPr>
            </w:pPr>
            <w:r>
              <w:rPr>
                <w:rFonts w:hint="eastAsia"/>
                <w:color w:val="auto"/>
                <w:sz w:val="24"/>
                <w:szCs w:val="24"/>
                <w:highlight w:val="none"/>
              </w:rPr>
              <w:t>数量</w:t>
            </w:r>
          </w:p>
        </w:tc>
        <w:tc>
          <w:tcPr>
            <w:tcW w:w="1107" w:type="dxa"/>
            <w:tcBorders>
              <w:top w:val="single" w:color="auto" w:sz="4" w:space="0"/>
              <w:left w:val="single" w:color="auto" w:sz="4" w:space="0"/>
              <w:bottom w:val="single" w:color="auto" w:sz="4" w:space="0"/>
              <w:right w:val="single" w:color="auto" w:sz="4" w:space="0"/>
            </w:tcBorders>
            <w:vAlign w:val="center"/>
          </w:tcPr>
          <w:p w14:paraId="63957DEE">
            <w:pPr>
              <w:jc w:val="center"/>
              <w:rPr>
                <w:color w:val="auto"/>
                <w:sz w:val="24"/>
                <w:szCs w:val="24"/>
                <w:highlight w:val="none"/>
              </w:rPr>
            </w:pPr>
            <w:r>
              <w:rPr>
                <w:rFonts w:hint="eastAsia"/>
                <w:color w:val="auto"/>
                <w:sz w:val="24"/>
                <w:szCs w:val="24"/>
                <w:highlight w:val="none"/>
              </w:rPr>
              <w:t>单价（元）</w:t>
            </w:r>
          </w:p>
        </w:tc>
        <w:tc>
          <w:tcPr>
            <w:tcW w:w="1275" w:type="dxa"/>
            <w:tcBorders>
              <w:top w:val="single" w:color="auto" w:sz="4" w:space="0"/>
              <w:left w:val="single" w:color="auto" w:sz="4" w:space="0"/>
              <w:bottom w:val="single" w:color="auto" w:sz="4" w:space="0"/>
              <w:right w:val="single" w:color="auto" w:sz="4" w:space="0"/>
            </w:tcBorders>
            <w:vAlign w:val="center"/>
          </w:tcPr>
          <w:p w14:paraId="4650EB65">
            <w:pPr>
              <w:jc w:val="center"/>
              <w:rPr>
                <w:color w:val="auto"/>
                <w:sz w:val="24"/>
                <w:szCs w:val="24"/>
                <w:highlight w:val="none"/>
              </w:rPr>
            </w:pPr>
            <w:r>
              <w:rPr>
                <w:rFonts w:hint="eastAsia"/>
                <w:color w:val="auto"/>
                <w:sz w:val="24"/>
                <w:szCs w:val="24"/>
                <w:highlight w:val="none"/>
              </w:rPr>
              <w:t>合价（元）</w:t>
            </w:r>
          </w:p>
        </w:tc>
      </w:tr>
      <w:tr w14:paraId="607C6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134C9778">
            <w:pPr>
              <w:jc w:val="center"/>
              <w:rPr>
                <w:color w:val="auto"/>
                <w:sz w:val="24"/>
                <w:szCs w:val="24"/>
                <w:highlight w:val="none"/>
              </w:rPr>
            </w:pPr>
            <w:r>
              <w:rPr>
                <w:rFonts w:hint="eastAsia"/>
                <w:color w:val="auto"/>
                <w:sz w:val="24"/>
                <w:szCs w:val="24"/>
                <w:highlight w:val="none"/>
              </w:rPr>
              <w:t>1</w:t>
            </w:r>
          </w:p>
        </w:tc>
        <w:tc>
          <w:tcPr>
            <w:tcW w:w="4482" w:type="dxa"/>
            <w:tcBorders>
              <w:top w:val="single" w:color="auto" w:sz="4" w:space="0"/>
              <w:left w:val="single" w:color="auto" w:sz="4" w:space="0"/>
              <w:bottom w:val="single" w:color="auto" w:sz="4" w:space="0"/>
              <w:right w:val="single" w:color="auto" w:sz="4" w:space="0"/>
            </w:tcBorders>
            <w:vAlign w:val="center"/>
          </w:tcPr>
          <w:p w14:paraId="56DD1E15">
            <w:pPr>
              <w:jc w:val="center"/>
              <w:rPr>
                <w:color w:val="auto"/>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281238A9">
            <w:pPr>
              <w:jc w:val="center"/>
              <w:rPr>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14:paraId="5A5943D6">
            <w:pPr>
              <w:jc w:val="center"/>
              <w:rPr>
                <w:color w:val="auto"/>
                <w:sz w:val="24"/>
                <w:szCs w:val="24"/>
                <w:highlight w:val="none"/>
              </w:rPr>
            </w:pPr>
          </w:p>
        </w:tc>
        <w:tc>
          <w:tcPr>
            <w:tcW w:w="1107" w:type="dxa"/>
            <w:tcBorders>
              <w:top w:val="single" w:color="auto" w:sz="4" w:space="0"/>
              <w:left w:val="single" w:color="auto" w:sz="4" w:space="0"/>
              <w:bottom w:val="single" w:color="auto" w:sz="4" w:space="0"/>
              <w:right w:val="single" w:color="auto" w:sz="4" w:space="0"/>
            </w:tcBorders>
            <w:vAlign w:val="center"/>
          </w:tcPr>
          <w:p w14:paraId="1129FB2D">
            <w:pPr>
              <w:jc w:val="center"/>
              <w:rPr>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709158C9">
            <w:pPr>
              <w:jc w:val="center"/>
              <w:rPr>
                <w:color w:val="auto"/>
                <w:sz w:val="24"/>
                <w:szCs w:val="24"/>
                <w:highlight w:val="none"/>
              </w:rPr>
            </w:pPr>
          </w:p>
        </w:tc>
      </w:tr>
      <w:tr w14:paraId="07845C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02715DE7">
            <w:pPr>
              <w:jc w:val="center"/>
              <w:rPr>
                <w:color w:val="auto"/>
                <w:sz w:val="24"/>
                <w:szCs w:val="24"/>
                <w:highlight w:val="none"/>
              </w:rPr>
            </w:pPr>
            <w:r>
              <w:rPr>
                <w:rFonts w:hint="eastAsia"/>
                <w:color w:val="auto"/>
                <w:sz w:val="24"/>
                <w:szCs w:val="24"/>
                <w:highlight w:val="none"/>
              </w:rPr>
              <w:t>2</w:t>
            </w:r>
          </w:p>
        </w:tc>
        <w:tc>
          <w:tcPr>
            <w:tcW w:w="4482" w:type="dxa"/>
            <w:tcBorders>
              <w:top w:val="single" w:color="auto" w:sz="4" w:space="0"/>
              <w:left w:val="single" w:color="auto" w:sz="4" w:space="0"/>
              <w:bottom w:val="single" w:color="auto" w:sz="4" w:space="0"/>
              <w:right w:val="single" w:color="auto" w:sz="4" w:space="0"/>
            </w:tcBorders>
            <w:vAlign w:val="center"/>
          </w:tcPr>
          <w:p w14:paraId="5EB18245">
            <w:pPr>
              <w:jc w:val="center"/>
              <w:rPr>
                <w:color w:val="auto"/>
                <w:sz w:val="24"/>
                <w:szCs w:val="24"/>
                <w:highlight w:val="none"/>
                <w:lang w:val="en-US"/>
              </w:rPr>
            </w:pPr>
          </w:p>
        </w:tc>
        <w:tc>
          <w:tcPr>
            <w:tcW w:w="750" w:type="dxa"/>
            <w:tcBorders>
              <w:top w:val="single" w:color="auto" w:sz="4" w:space="0"/>
              <w:left w:val="single" w:color="auto" w:sz="4" w:space="0"/>
              <w:bottom w:val="single" w:color="auto" w:sz="4" w:space="0"/>
              <w:right w:val="single" w:color="auto" w:sz="4" w:space="0"/>
            </w:tcBorders>
            <w:vAlign w:val="center"/>
          </w:tcPr>
          <w:p w14:paraId="67BD3368">
            <w:pPr>
              <w:jc w:val="center"/>
              <w:rPr>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14:paraId="5C012FC4">
            <w:pPr>
              <w:jc w:val="center"/>
              <w:rPr>
                <w:color w:val="auto"/>
                <w:sz w:val="24"/>
                <w:szCs w:val="24"/>
                <w:highlight w:val="none"/>
              </w:rPr>
            </w:pPr>
          </w:p>
        </w:tc>
        <w:tc>
          <w:tcPr>
            <w:tcW w:w="1107" w:type="dxa"/>
            <w:tcBorders>
              <w:top w:val="single" w:color="auto" w:sz="4" w:space="0"/>
              <w:left w:val="single" w:color="auto" w:sz="4" w:space="0"/>
              <w:bottom w:val="single" w:color="auto" w:sz="4" w:space="0"/>
              <w:right w:val="single" w:color="auto" w:sz="4" w:space="0"/>
            </w:tcBorders>
            <w:vAlign w:val="center"/>
          </w:tcPr>
          <w:p w14:paraId="34A87A34">
            <w:pPr>
              <w:jc w:val="center"/>
              <w:rPr>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626177DF">
            <w:pPr>
              <w:jc w:val="center"/>
              <w:rPr>
                <w:color w:val="auto"/>
                <w:sz w:val="24"/>
                <w:szCs w:val="24"/>
                <w:highlight w:val="none"/>
              </w:rPr>
            </w:pPr>
          </w:p>
        </w:tc>
      </w:tr>
      <w:tr w14:paraId="5F7E0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5B92F00C">
            <w:pPr>
              <w:jc w:val="center"/>
              <w:rPr>
                <w:color w:val="auto"/>
                <w:sz w:val="24"/>
                <w:szCs w:val="24"/>
                <w:highlight w:val="none"/>
              </w:rPr>
            </w:pPr>
            <w:r>
              <w:rPr>
                <w:rFonts w:hint="eastAsia"/>
                <w:color w:val="auto"/>
                <w:sz w:val="24"/>
                <w:szCs w:val="24"/>
                <w:highlight w:val="none"/>
              </w:rPr>
              <w:t>3</w:t>
            </w:r>
          </w:p>
        </w:tc>
        <w:tc>
          <w:tcPr>
            <w:tcW w:w="4482" w:type="dxa"/>
            <w:tcBorders>
              <w:top w:val="single" w:color="auto" w:sz="4" w:space="0"/>
              <w:left w:val="single" w:color="auto" w:sz="4" w:space="0"/>
              <w:bottom w:val="single" w:color="auto" w:sz="4" w:space="0"/>
              <w:right w:val="single" w:color="auto" w:sz="4" w:space="0"/>
            </w:tcBorders>
            <w:vAlign w:val="center"/>
          </w:tcPr>
          <w:p w14:paraId="234A8A59">
            <w:pPr>
              <w:jc w:val="center"/>
              <w:rPr>
                <w:color w:val="auto"/>
                <w:sz w:val="24"/>
                <w:szCs w:val="24"/>
                <w:highlight w:val="none"/>
                <w:lang w:val="en-US"/>
              </w:rPr>
            </w:pPr>
          </w:p>
        </w:tc>
        <w:tc>
          <w:tcPr>
            <w:tcW w:w="750" w:type="dxa"/>
            <w:tcBorders>
              <w:top w:val="single" w:color="auto" w:sz="4" w:space="0"/>
              <w:left w:val="single" w:color="auto" w:sz="4" w:space="0"/>
              <w:bottom w:val="single" w:color="auto" w:sz="4" w:space="0"/>
              <w:right w:val="single" w:color="auto" w:sz="4" w:space="0"/>
            </w:tcBorders>
            <w:vAlign w:val="center"/>
          </w:tcPr>
          <w:p w14:paraId="31B647BC">
            <w:pPr>
              <w:jc w:val="center"/>
              <w:rPr>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14:paraId="523D0481">
            <w:pPr>
              <w:jc w:val="center"/>
              <w:rPr>
                <w:color w:val="auto"/>
                <w:sz w:val="24"/>
                <w:szCs w:val="24"/>
                <w:highlight w:val="none"/>
              </w:rPr>
            </w:pPr>
          </w:p>
        </w:tc>
        <w:tc>
          <w:tcPr>
            <w:tcW w:w="1107" w:type="dxa"/>
            <w:tcBorders>
              <w:top w:val="single" w:color="auto" w:sz="4" w:space="0"/>
              <w:left w:val="single" w:color="auto" w:sz="4" w:space="0"/>
              <w:bottom w:val="single" w:color="auto" w:sz="4" w:space="0"/>
              <w:right w:val="single" w:color="auto" w:sz="4" w:space="0"/>
            </w:tcBorders>
            <w:vAlign w:val="center"/>
          </w:tcPr>
          <w:p w14:paraId="3241C75D">
            <w:pPr>
              <w:jc w:val="center"/>
              <w:rPr>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50532F6D">
            <w:pPr>
              <w:jc w:val="center"/>
              <w:rPr>
                <w:color w:val="auto"/>
                <w:sz w:val="24"/>
                <w:szCs w:val="24"/>
                <w:highlight w:val="none"/>
              </w:rPr>
            </w:pPr>
          </w:p>
        </w:tc>
      </w:tr>
      <w:tr w14:paraId="3DE4A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4C3F805">
            <w:pPr>
              <w:jc w:val="center"/>
              <w:rPr>
                <w:color w:val="auto"/>
                <w:sz w:val="24"/>
                <w:szCs w:val="24"/>
                <w:highlight w:val="none"/>
              </w:rPr>
            </w:pPr>
            <w:r>
              <w:rPr>
                <w:rFonts w:hint="eastAsia"/>
                <w:color w:val="auto"/>
                <w:sz w:val="24"/>
                <w:szCs w:val="24"/>
                <w:highlight w:val="none"/>
              </w:rPr>
              <w:t>4</w:t>
            </w:r>
          </w:p>
        </w:tc>
        <w:tc>
          <w:tcPr>
            <w:tcW w:w="8319" w:type="dxa"/>
            <w:gridSpan w:val="5"/>
            <w:tcBorders>
              <w:top w:val="single" w:color="auto" w:sz="4" w:space="0"/>
              <w:left w:val="single" w:color="auto" w:sz="4" w:space="0"/>
              <w:bottom w:val="single" w:color="auto" w:sz="4" w:space="0"/>
              <w:right w:val="single" w:color="auto" w:sz="4" w:space="0"/>
            </w:tcBorders>
            <w:vAlign w:val="center"/>
          </w:tcPr>
          <w:p w14:paraId="67111815">
            <w:pPr>
              <w:rPr>
                <w:color w:val="auto"/>
                <w:sz w:val="24"/>
                <w:szCs w:val="24"/>
                <w:highlight w:val="none"/>
              </w:rPr>
            </w:pPr>
            <w:r>
              <w:rPr>
                <w:rFonts w:hint="eastAsia"/>
                <w:color w:val="auto"/>
                <w:sz w:val="24"/>
                <w:szCs w:val="24"/>
                <w:highlight w:val="none"/>
              </w:rPr>
              <w:t>总计：（大写）元（¥              ）</w:t>
            </w:r>
          </w:p>
        </w:tc>
      </w:tr>
    </w:tbl>
    <w:p w14:paraId="2EDCABFF">
      <w:pPr>
        <w:pStyle w:val="58"/>
        <w:spacing w:line="360" w:lineRule="auto"/>
        <w:jc w:val="left"/>
        <w:rPr>
          <w:rFonts w:hint="eastAsia" w:ascii="仿宋" w:hAnsi="仿宋" w:eastAsia="仿宋" w:cs="仿宋"/>
          <w:color w:val="auto"/>
          <w:sz w:val="24"/>
          <w:highlight w:val="none"/>
        </w:rPr>
      </w:pPr>
    </w:p>
    <w:p w14:paraId="637B4378">
      <w:pPr>
        <w:pStyle w:val="58"/>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62C5A73D">
      <w:pPr>
        <w:pStyle w:val="58"/>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1.供应商可根据具体情况调整报价明细清单格式，填写内容应包含项目人员费用(工资、各类社会保险、福利、津贴、奖金等)、服务费、税金等实施本项目所产生的一切费用，采购人不另行支付其他任何费用。</w:t>
      </w:r>
    </w:p>
    <w:p w14:paraId="750DC649">
      <w:pPr>
        <w:pStyle w:val="58"/>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2.《分项报价表》必须与《开标一览表》报价相同。</w:t>
      </w:r>
    </w:p>
    <w:p w14:paraId="254390C9">
      <w:pPr>
        <w:pStyle w:val="58"/>
        <w:spacing w:line="360" w:lineRule="auto"/>
        <w:jc w:val="left"/>
        <w:rPr>
          <w:rFonts w:hint="eastAsia" w:ascii="仿宋" w:hAnsi="仿宋" w:eastAsia="仿宋" w:cs="仿宋"/>
          <w:color w:val="auto"/>
          <w:sz w:val="24"/>
          <w:highlight w:val="none"/>
        </w:rPr>
      </w:pPr>
    </w:p>
    <w:p w14:paraId="28E26E87">
      <w:pPr>
        <w:pStyle w:val="11"/>
        <w:tabs>
          <w:tab w:val="left" w:pos="9625"/>
        </w:tabs>
        <w:spacing w:before="1"/>
        <w:ind w:left="6139"/>
        <w:rPr>
          <w:rFonts w:hint="eastAsia"/>
          <w:color w:val="auto"/>
          <w:highlight w:val="none"/>
        </w:rPr>
      </w:pPr>
    </w:p>
    <w:p w14:paraId="31A2B438">
      <w:pPr>
        <w:pStyle w:val="11"/>
        <w:tabs>
          <w:tab w:val="left" w:pos="9625"/>
        </w:tabs>
        <w:spacing w:before="1"/>
        <w:ind w:left="6139"/>
        <w:rPr>
          <w:rFonts w:hint="eastAsia"/>
          <w:color w:val="auto"/>
          <w:highlight w:val="none"/>
        </w:rPr>
      </w:pPr>
    </w:p>
    <w:p w14:paraId="66E56F85">
      <w:pPr>
        <w:pStyle w:val="11"/>
        <w:tabs>
          <w:tab w:val="left" w:pos="9625"/>
        </w:tabs>
        <w:spacing w:before="1"/>
        <w:ind w:left="6139"/>
        <w:rPr>
          <w:rFonts w:hint="eastAsia"/>
          <w:color w:val="auto"/>
          <w:highlight w:val="none"/>
        </w:rPr>
      </w:pPr>
    </w:p>
    <w:p w14:paraId="73CF0E67">
      <w:pPr>
        <w:pStyle w:val="11"/>
        <w:tabs>
          <w:tab w:val="left" w:pos="9625"/>
        </w:tabs>
        <w:spacing w:before="1"/>
        <w:ind w:left="6139"/>
        <w:rPr>
          <w:color w:val="auto"/>
          <w:highlight w:val="none"/>
        </w:rPr>
      </w:pPr>
      <w:r>
        <w:rPr>
          <w:rFonts w:hint="eastAsia"/>
          <w:color w:val="auto"/>
          <w:highlight w:val="none"/>
        </w:rPr>
        <w:t>供应商盖章：</w:t>
      </w:r>
      <w:r>
        <w:rPr>
          <w:rFonts w:hint="eastAsia"/>
          <w:color w:val="auto"/>
          <w:highlight w:val="none"/>
          <w:u w:val="single"/>
        </w:rPr>
        <w:tab/>
      </w:r>
    </w:p>
    <w:p w14:paraId="25875826">
      <w:pPr>
        <w:pStyle w:val="11"/>
        <w:tabs>
          <w:tab w:val="left" w:pos="7219"/>
          <w:tab w:val="left" w:pos="9599"/>
        </w:tabs>
        <w:spacing w:before="131"/>
        <w:ind w:left="6139"/>
        <w:rPr>
          <w:color w:val="auto"/>
          <w:highlight w:val="none"/>
          <w:u w:val="single"/>
          <w:lang w:val="en-US"/>
        </w:rPr>
      </w:pPr>
      <w:r>
        <w:rPr>
          <w:rFonts w:hint="eastAsia"/>
          <w:color w:val="auto"/>
          <w:highlight w:val="none"/>
        </w:rPr>
        <w:t>日期：</w:t>
      </w:r>
      <w:r>
        <w:rPr>
          <w:rFonts w:hint="eastAsia"/>
          <w:color w:val="auto"/>
          <w:highlight w:val="none"/>
          <w:u w:val="single"/>
        </w:rPr>
        <w:tab/>
      </w:r>
      <w:r>
        <w:rPr>
          <w:rFonts w:hint="eastAsia"/>
          <w:color w:val="auto"/>
          <w:highlight w:val="none"/>
          <w:u w:val="single"/>
          <w:lang w:val="en-US"/>
        </w:rPr>
        <w:t xml:space="preserve">             </w:t>
      </w:r>
    </w:p>
    <w:p w14:paraId="23F45836">
      <w:pPr>
        <w:rPr>
          <w:b/>
          <w:color w:val="auto"/>
          <w:highlight w:val="none"/>
        </w:rPr>
      </w:pPr>
      <w:r>
        <w:rPr>
          <w:b/>
          <w:color w:val="auto"/>
          <w:highlight w:val="none"/>
        </w:rPr>
        <w:br w:type="page"/>
      </w:r>
    </w:p>
    <w:p w14:paraId="5EE6896A">
      <w:pPr>
        <w:pStyle w:val="3"/>
        <w:tabs>
          <w:tab w:val="left" w:pos="871"/>
        </w:tabs>
        <w:ind w:left="117"/>
        <w:rPr>
          <w:color w:val="auto"/>
          <w:highlight w:val="none"/>
        </w:rPr>
      </w:pPr>
      <w:bookmarkStart w:id="150" w:name="_Toc10958"/>
      <w:bookmarkStart w:id="151" w:name="_Toc7745"/>
      <w:r>
        <w:rPr>
          <w:rFonts w:hint="eastAsia"/>
          <w:color w:val="auto"/>
          <w:highlight w:val="none"/>
        </w:rPr>
        <w:t>四</w:t>
      </w:r>
      <w:r>
        <w:rPr>
          <w:rFonts w:hint="eastAsia"/>
          <w:color w:val="auto"/>
          <w:highlight w:val="none"/>
          <w:lang w:val="en-US"/>
        </w:rPr>
        <w:t xml:space="preserve"> </w:t>
      </w:r>
      <w:r>
        <w:rPr>
          <w:rFonts w:hint="eastAsia"/>
          <w:color w:val="auto"/>
          <w:highlight w:val="none"/>
        </w:rPr>
        <w:t>现场确认声明书</w:t>
      </w:r>
      <w:bookmarkEnd w:id="150"/>
      <w:bookmarkEnd w:id="151"/>
    </w:p>
    <w:p w14:paraId="04D8C274">
      <w:pPr>
        <w:pStyle w:val="11"/>
        <w:tabs>
          <w:tab w:val="left" w:pos="2315"/>
          <w:tab w:val="left" w:pos="5779"/>
        </w:tabs>
        <w:spacing w:line="300" w:lineRule="auto"/>
        <w:ind w:firstLine="480" w:firstLineChars="200"/>
        <w:jc w:val="both"/>
        <w:rPr>
          <w:color w:val="auto"/>
          <w:highlight w:val="none"/>
        </w:rPr>
      </w:pPr>
    </w:p>
    <w:p w14:paraId="779A0003">
      <w:pPr>
        <w:pStyle w:val="11"/>
        <w:tabs>
          <w:tab w:val="left" w:pos="2315"/>
          <w:tab w:val="left" w:pos="5779"/>
        </w:tabs>
        <w:spacing w:line="300" w:lineRule="auto"/>
        <w:jc w:val="both"/>
        <w:rPr>
          <w:color w:val="auto"/>
          <w:highlight w:val="none"/>
        </w:rPr>
      </w:pPr>
      <w:r>
        <w:rPr>
          <w:rFonts w:hint="eastAsia"/>
          <w:color w:val="auto"/>
          <w:highlight w:val="none"/>
          <w:u w:val="single"/>
        </w:rPr>
        <w:t>浙江至诚工程咨询有限责任公司：</w:t>
      </w:r>
    </w:p>
    <w:p w14:paraId="3597D38C">
      <w:pPr>
        <w:pStyle w:val="11"/>
        <w:tabs>
          <w:tab w:val="left" w:pos="5283"/>
          <w:tab w:val="left" w:pos="5779"/>
        </w:tabs>
        <w:spacing w:line="300" w:lineRule="auto"/>
        <w:ind w:firstLine="480" w:firstLineChars="200"/>
        <w:jc w:val="both"/>
        <w:rPr>
          <w:color w:val="auto"/>
          <w:highlight w:val="none"/>
        </w:rPr>
      </w:pPr>
      <w:r>
        <w:rPr>
          <w:rFonts w:hint="eastAsia"/>
          <w:color w:val="auto"/>
          <w:highlight w:val="none"/>
        </w:rPr>
        <w:t>本人经由</w:t>
      </w:r>
      <w:r>
        <w:rPr>
          <w:rFonts w:hint="eastAsia"/>
          <w:color w:val="auto"/>
          <w:highlight w:val="none"/>
          <w:u w:val="single"/>
        </w:rPr>
        <w:t>（公司名称）</w:t>
      </w:r>
      <w:r>
        <w:rPr>
          <w:rFonts w:hint="eastAsia"/>
          <w:color w:val="auto"/>
          <w:highlight w:val="none"/>
        </w:rPr>
        <w:t>法定代表人</w:t>
      </w:r>
      <w:r>
        <w:rPr>
          <w:rFonts w:hint="eastAsia"/>
          <w:color w:val="auto"/>
          <w:highlight w:val="none"/>
          <w:u w:val="single"/>
        </w:rPr>
        <w:t>（负责人）</w:t>
      </w:r>
      <w:r>
        <w:rPr>
          <w:rFonts w:hint="eastAsia"/>
          <w:color w:val="auto"/>
          <w:highlight w:val="none"/>
          <w:u w:val="single"/>
          <w:lang w:val="en-US" w:eastAsia="zh-CN"/>
        </w:rPr>
        <w:t xml:space="preserve">  </w:t>
      </w:r>
      <w:r>
        <w:rPr>
          <w:rFonts w:hint="eastAsia"/>
          <w:color w:val="auto"/>
          <w:highlight w:val="none"/>
        </w:rPr>
        <w:t>，合法授权参加</w:t>
      </w:r>
      <w:r>
        <w:rPr>
          <w:rFonts w:hint="eastAsia"/>
          <w:color w:val="auto"/>
          <w:highlight w:val="none"/>
          <w:u w:val="single"/>
          <w:lang w:eastAsia="zh-CN"/>
        </w:rPr>
        <w:t>2025全国象棋俱乐部团体赛</w:t>
      </w:r>
      <w:r>
        <w:rPr>
          <w:rFonts w:hint="eastAsia"/>
          <w:color w:val="auto"/>
          <w:highlight w:val="none"/>
          <w:u w:val="single"/>
        </w:rPr>
        <w:t>（项目编号：</w:t>
      </w:r>
      <w:r>
        <w:rPr>
          <w:rFonts w:hint="eastAsia"/>
          <w:color w:val="auto"/>
          <w:highlight w:val="none"/>
          <w:u w:val="single"/>
          <w:lang w:val="en-US" w:eastAsia="zh-CN"/>
        </w:rPr>
        <w:t>ZJZCSC（2025）采0702号</w:t>
      </w:r>
      <w:r>
        <w:rPr>
          <w:rFonts w:hint="eastAsia"/>
          <w:color w:val="auto"/>
          <w:highlight w:val="none"/>
          <w:u w:val="single"/>
        </w:rPr>
        <w:t>）</w:t>
      </w:r>
      <w:r>
        <w:rPr>
          <w:rFonts w:hint="eastAsia"/>
          <w:color w:val="auto"/>
          <w:highlight w:val="none"/>
        </w:rPr>
        <w:t>政府采购活动，经与本单位法人代表（负责人）联系确认，现就有关公平竞争事项郑重声明如下：</w:t>
      </w:r>
    </w:p>
    <w:p w14:paraId="47F539C0">
      <w:pPr>
        <w:pStyle w:val="11"/>
        <w:tabs>
          <w:tab w:val="left" w:pos="1740"/>
          <w:tab w:val="left" w:pos="4859"/>
          <w:tab w:val="left" w:pos="8947"/>
        </w:tabs>
        <w:spacing w:line="300" w:lineRule="auto"/>
        <w:ind w:firstLine="480" w:firstLineChars="200"/>
        <w:rPr>
          <w:color w:val="auto"/>
          <w:highlight w:val="none"/>
          <w:u w:val="single"/>
        </w:rPr>
      </w:pPr>
      <w:r>
        <w:rPr>
          <w:rFonts w:hint="eastAsia"/>
          <w:color w:val="auto"/>
          <w:highlight w:val="none"/>
        </w:rPr>
        <w:t>一、本单位与采购人之间</w:t>
      </w:r>
      <w:r>
        <w:rPr>
          <w:rFonts w:hint="eastAsia"/>
          <w:b/>
          <w:color w:val="auto"/>
          <w:highlight w:val="none"/>
        </w:rPr>
        <w:t xml:space="preserve">□不存在利害关系 </w:t>
      </w:r>
      <w:r>
        <w:rPr>
          <w:rFonts w:hint="eastAsia"/>
          <w:color w:val="auto"/>
          <w:highlight w:val="none"/>
        </w:rPr>
        <w:t>□存在下列利害关系：</w:t>
      </w:r>
    </w:p>
    <w:p w14:paraId="7E25E4F6">
      <w:pPr>
        <w:pStyle w:val="11"/>
        <w:tabs>
          <w:tab w:val="left" w:pos="1740"/>
          <w:tab w:val="left" w:pos="4859"/>
          <w:tab w:val="left" w:pos="8947"/>
        </w:tabs>
        <w:spacing w:line="300" w:lineRule="auto"/>
        <w:ind w:firstLine="480" w:firstLineChars="200"/>
        <w:rPr>
          <w:color w:val="auto"/>
          <w:highlight w:val="none"/>
        </w:rPr>
      </w:pPr>
      <w:r>
        <w:rPr>
          <w:rFonts w:hint="eastAsia"/>
          <w:color w:val="auto"/>
          <w:highlight w:val="none"/>
        </w:rPr>
        <w:t>A.投资关系</w:t>
      </w:r>
      <w:r>
        <w:rPr>
          <w:rFonts w:hint="eastAsia"/>
          <w:color w:val="auto"/>
          <w:highlight w:val="none"/>
        </w:rPr>
        <w:tab/>
      </w:r>
      <w:r>
        <w:rPr>
          <w:rFonts w:hint="eastAsia"/>
          <w:color w:val="auto"/>
          <w:highlight w:val="none"/>
        </w:rPr>
        <w:t>B.行政隶属关系</w:t>
      </w:r>
      <w:r>
        <w:rPr>
          <w:rFonts w:hint="eastAsia"/>
          <w:color w:val="auto"/>
          <w:highlight w:val="none"/>
        </w:rPr>
        <w:tab/>
      </w:r>
      <w:r>
        <w:rPr>
          <w:rFonts w:hint="eastAsia"/>
          <w:color w:val="auto"/>
          <w:highlight w:val="none"/>
        </w:rPr>
        <w:t>C.业务指导关系</w:t>
      </w:r>
    </w:p>
    <w:p w14:paraId="2CCFB55C">
      <w:pPr>
        <w:pStyle w:val="11"/>
        <w:tabs>
          <w:tab w:val="left" w:pos="8399"/>
        </w:tabs>
        <w:spacing w:line="300" w:lineRule="auto"/>
        <w:ind w:firstLine="480" w:firstLineChars="200"/>
        <w:rPr>
          <w:color w:val="auto"/>
          <w:highlight w:val="none"/>
        </w:rPr>
      </w:pPr>
      <w:r>
        <w:rPr>
          <w:rFonts w:hint="eastAsia"/>
          <w:color w:val="auto"/>
          <w:highlight w:val="none"/>
        </w:rPr>
        <w:t>D.其他可能影响采购公正的利害关系（如有，请如实说明）</w:t>
      </w:r>
      <w:r>
        <w:rPr>
          <w:rFonts w:hint="eastAsia"/>
          <w:color w:val="auto"/>
          <w:highlight w:val="none"/>
          <w:u w:val="single"/>
        </w:rPr>
        <w:tab/>
      </w:r>
    </w:p>
    <w:p w14:paraId="4EBE26D5">
      <w:pPr>
        <w:pStyle w:val="11"/>
        <w:tabs>
          <w:tab w:val="left" w:pos="8399"/>
        </w:tabs>
        <w:spacing w:line="300" w:lineRule="auto"/>
        <w:ind w:firstLine="480" w:firstLineChars="200"/>
        <w:rPr>
          <w:color w:val="auto"/>
          <w:highlight w:val="none"/>
        </w:rPr>
      </w:pPr>
      <w:r>
        <w:rPr>
          <w:rFonts w:hint="eastAsia"/>
          <w:color w:val="auto"/>
          <w:highlight w:val="none"/>
        </w:rPr>
        <w:t>二、现已清楚知道参加本项目采购活动的其他所有供应商名称，本单位</w:t>
      </w:r>
      <w:r>
        <w:rPr>
          <w:rFonts w:hint="eastAsia"/>
          <w:b/>
          <w:color w:val="auto"/>
          <w:highlight w:val="none"/>
        </w:rPr>
        <w:t>□与其他所有供应商之间均不存在利害关系</w:t>
      </w:r>
      <w:r>
        <w:rPr>
          <w:rFonts w:hint="eastAsia"/>
          <w:color w:val="auto"/>
          <w:highlight w:val="none"/>
        </w:rPr>
        <w:t>□与</w:t>
      </w:r>
      <w:r>
        <w:rPr>
          <w:rFonts w:hint="eastAsia"/>
          <w:color w:val="auto"/>
          <w:highlight w:val="none"/>
          <w:u w:val="single"/>
        </w:rPr>
        <w:t>（供应商名称）</w:t>
      </w:r>
      <w:r>
        <w:rPr>
          <w:rFonts w:hint="eastAsia"/>
          <w:color w:val="auto"/>
          <w:highlight w:val="none"/>
          <w:u w:val="single"/>
        </w:rPr>
        <w:tab/>
      </w:r>
      <w:r>
        <w:rPr>
          <w:rFonts w:hint="eastAsia"/>
          <w:color w:val="auto"/>
          <w:highlight w:val="none"/>
        </w:rPr>
        <w:t>之间存在下列利害关系：</w:t>
      </w:r>
    </w:p>
    <w:p w14:paraId="386F1CB4">
      <w:pPr>
        <w:pStyle w:val="11"/>
        <w:spacing w:line="300" w:lineRule="auto"/>
        <w:ind w:firstLine="480" w:firstLineChars="200"/>
        <w:rPr>
          <w:color w:val="auto"/>
          <w:highlight w:val="none"/>
        </w:rPr>
      </w:pPr>
      <w:r>
        <w:rPr>
          <w:rFonts w:hint="eastAsia"/>
          <w:color w:val="auto"/>
          <w:highlight w:val="none"/>
        </w:rPr>
        <w:t xml:space="preserve">A.法定代表人或负责人或实际控制人是同一人 </w:t>
      </w:r>
    </w:p>
    <w:p w14:paraId="282696A3">
      <w:pPr>
        <w:pStyle w:val="11"/>
        <w:spacing w:line="300" w:lineRule="auto"/>
        <w:ind w:firstLine="480" w:firstLineChars="200"/>
        <w:rPr>
          <w:color w:val="auto"/>
          <w:highlight w:val="none"/>
        </w:rPr>
      </w:pPr>
      <w:r>
        <w:rPr>
          <w:rFonts w:hint="eastAsia"/>
          <w:color w:val="auto"/>
          <w:highlight w:val="none"/>
        </w:rPr>
        <w:t>B.法定代表人或负责人或实际控制人是夫妻关系</w:t>
      </w:r>
    </w:p>
    <w:p w14:paraId="2781DB4A">
      <w:pPr>
        <w:tabs>
          <w:tab w:val="left" w:pos="1261"/>
        </w:tabs>
        <w:spacing w:line="300" w:lineRule="auto"/>
        <w:ind w:left="480"/>
        <w:rPr>
          <w:rFonts w:hint="eastAsia"/>
          <w:color w:val="auto"/>
          <w:sz w:val="24"/>
          <w:highlight w:val="none"/>
        </w:rPr>
      </w:pPr>
      <w:r>
        <w:rPr>
          <w:rFonts w:hint="eastAsia"/>
          <w:color w:val="auto"/>
          <w:sz w:val="24"/>
          <w:highlight w:val="none"/>
        </w:rPr>
        <w:t>C.法定代表人或负责人或实际控制人是直系血亲关系</w:t>
      </w:r>
    </w:p>
    <w:p w14:paraId="4D041828">
      <w:pPr>
        <w:pStyle w:val="47"/>
        <w:tabs>
          <w:tab w:val="left" w:pos="1261"/>
        </w:tabs>
        <w:spacing w:before="0" w:line="300" w:lineRule="auto"/>
        <w:ind w:left="478" w:firstLine="0"/>
        <w:rPr>
          <w:color w:val="auto"/>
          <w:sz w:val="24"/>
          <w:highlight w:val="none"/>
        </w:rPr>
      </w:pPr>
      <w:r>
        <w:rPr>
          <w:rFonts w:hint="eastAsia"/>
          <w:color w:val="auto"/>
          <w:sz w:val="24"/>
          <w:highlight w:val="none"/>
        </w:rPr>
        <w:t>D.法定代表人或负责人或实际控制人存在三代以内旁系血亲关系</w:t>
      </w:r>
    </w:p>
    <w:p w14:paraId="1CBCD690">
      <w:pPr>
        <w:pStyle w:val="47"/>
        <w:tabs>
          <w:tab w:val="left" w:pos="1261"/>
        </w:tabs>
        <w:spacing w:before="0" w:line="300" w:lineRule="auto"/>
        <w:ind w:left="478" w:firstLine="0"/>
        <w:rPr>
          <w:color w:val="auto"/>
          <w:sz w:val="24"/>
          <w:highlight w:val="none"/>
        </w:rPr>
      </w:pPr>
      <w:r>
        <w:rPr>
          <w:rFonts w:hint="eastAsia"/>
          <w:color w:val="auto"/>
          <w:sz w:val="24"/>
          <w:highlight w:val="none"/>
        </w:rPr>
        <w:t>E.法定代表人或负责人或实际控制人存在近姻亲关系</w:t>
      </w:r>
    </w:p>
    <w:p w14:paraId="7842957B">
      <w:pPr>
        <w:pStyle w:val="11"/>
        <w:spacing w:line="300" w:lineRule="auto"/>
        <w:ind w:firstLine="480" w:firstLineChars="200"/>
        <w:rPr>
          <w:color w:val="auto"/>
          <w:highlight w:val="none"/>
        </w:rPr>
      </w:pPr>
      <w:r>
        <w:rPr>
          <w:rFonts w:hint="eastAsia"/>
          <w:color w:val="auto"/>
          <w:highlight w:val="none"/>
        </w:rPr>
        <w:t>F.法定代表人或负责人或实际控制人存在股份控制或实际控制关系</w:t>
      </w:r>
    </w:p>
    <w:p w14:paraId="0213F808">
      <w:pPr>
        <w:pStyle w:val="11"/>
        <w:spacing w:line="300" w:lineRule="auto"/>
        <w:ind w:firstLine="480" w:firstLineChars="200"/>
        <w:rPr>
          <w:color w:val="auto"/>
          <w:highlight w:val="none"/>
        </w:rPr>
      </w:pPr>
      <w:r>
        <w:rPr>
          <w:rFonts w:hint="eastAsia"/>
          <w:color w:val="auto"/>
          <w:highlight w:val="none"/>
        </w:rPr>
        <w:t>G.存在共同直接或间接投资设立子公司、联营企业和合营企业情况</w:t>
      </w:r>
    </w:p>
    <w:p w14:paraId="0BB909B8">
      <w:pPr>
        <w:tabs>
          <w:tab w:val="left" w:pos="1261"/>
        </w:tabs>
        <w:spacing w:line="300" w:lineRule="auto"/>
        <w:ind w:left="470"/>
        <w:rPr>
          <w:color w:val="auto"/>
          <w:sz w:val="24"/>
          <w:highlight w:val="none"/>
        </w:rPr>
      </w:pPr>
      <w:r>
        <w:rPr>
          <w:rFonts w:hint="eastAsia"/>
          <w:color w:val="auto"/>
          <w:sz w:val="24"/>
          <w:highlight w:val="none"/>
        </w:rPr>
        <w:t>H.存在分级代理或代销关系、同一生产制造商关系、管理关系、重要业务（占主营业务收入 50%以上）或重要财务往来关系（如融资）等其他实质性控制关系</w:t>
      </w:r>
    </w:p>
    <w:p w14:paraId="4245E6EA">
      <w:pPr>
        <w:tabs>
          <w:tab w:val="left" w:pos="1261"/>
          <w:tab w:val="left" w:pos="8579"/>
        </w:tabs>
        <w:spacing w:line="300" w:lineRule="auto"/>
        <w:ind w:left="480"/>
        <w:rPr>
          <w:color w:val="auto"/>
          <w:sz w:val="24"/>
          <w:highlight w:val="none"/>
        </w:rPr>
      </w:pPr>
      <w:r>
        <w:rPr>
          <w:rFonts w:hint="eastAsia"/>
          <w:color w:val="auto"/>
          <w:sz w:val="24"/>
          <w:highlight w:val="none"/>
        </w:rPr>
        <w:t xml:space="preserve">I.其他利害关系情况 </w:t>
      </w:r>
      <w:r>
        <w:rPr>
          <w:rFonts w:hint="eastAsia"/>
          <w:color w:val="auto"/>
          <w:sz w:val="24"/>
          <w:highlight w:val="none"/>
          <w:u w:val="single"/>
        </w:rPr>
        <w:tab/>
      </w:r>
    </w:p>
    <w:p w14:paraId="77085116">
      <w:pPr>
        <w:pStyle w:val="11"/>
        <w:spacing w:line="300" w:lineRule="auto"/>
        <w:ind w:firstLine="480" w:firstLineChars="200"/>
        <w:rPr>
          <w:color w:val="auto"/>
          <w:highlight w:val="none"/>
        </w:rPr>
      </w:pPr>
      <w:r>
        <w:rPr>
          <w:rFonts w:hint="eastAsia"/>
          <w:color w:val="auto"/>
          <w:highlight w:val="none"/>
        </w:rPr>
        <w:t>三、现已清楚知道并严格遵守政府采购法律法规和现场纪律。</w:t>
      </w:r>
    </w:p>
    <w:p w14:paraId="0E214BEE">
      <w:pPr>
        <w:pStyle w:val="11"/>
        <w:tabs>
          <w:tab w:val="left" w:pos="3660"/>
          <w:tab w:val="left" w:pos="4766"/>
          <w:tab w:val="left" w:pos="7650"/>
        </w:tabs>
        <w:spacing w:line="300" w:lineRule="auto"/>
        <w:ind w:firstLine="480" w:firstLineChars="200"/>
        <w:rPr>
          <w:color w:val="auto"/>
          <w:highlight w:val="none"/>
        </w:rPr>
      </w:pPr>
      <w:r>
        <w:rPr>
          <w:rFonts w:hint="eastAsia"/>
          <w:color w:val="auto"/>
          <w:highlight w:val="none"/>
        </w:rPr>
        <w:t>四、我发现</w:t>
      </w:r>
      <w:r>
        <w:rPr>
          <w:rFonts w:hint="eastAsia"/>
          <w:color w:val="auto"/>
          <w:highlight w:val="none"/>
          <w:u w:val="single"/>
        </w:rPr>
        <w:tab/>
      </w:r>
      <w:r>
        <w:rPr>
          <w:rFonts w:hint="eastAsia"/>
          <w:color w:val="auto"/>
          <w:highlight w:val="none"/>
          <w:u w:val="single"/>
        </w:rPr>
        <w:tab/>
      </w:r>
      <w:r>
        <w:rPr>
          <w:rFonts w:hint="eastAsia"/>
          <w:color w:val="auto"/>
          <w:highlight w:val="none"/>
        </w:rPr>
        <w:t>和</w:t>
      </w:r>
      <w:r>
        <w:rPr>
          <w:rFonts w:hint="eastAsia"/>
          <w:color w:val="auto"/>
          <w:highlight w:val="none"/>
          <w:u w:val="single"/>
        </w:rPr>
        <w:tab/>
      </w:r>
      <w:r>
        <w:rPr>
          <w:rFonts w:hint="eastAsia"/>
          <w:color w:val="auto"/>
          <w:highlight w:val="none"/>
        </w:rPr>
        <w:t>供应商之间存在或可能存在上述第二条第</w:t>
      </w:r>
      <w:r>
        <w:rPr>
          <w:rFonts w:hint="eastAsia"/>
          <w:color w:val="auto"/>
          <w:highlight w:val="none"/>
          <w:u w:val="single"/>
        </w:rPr>
        <w:tab/>
      </w:r>
      <w:r>
        <w:rPr>
          <w:rFonts w:hint="eastAsia"/>
          <w:color w:val="auto"/>
          <w:highlight w:val="none"/>
        </w:rPr>
        <w:t>项利害关系。</w:t>
      </w:r>
    </w:p>
    <w:p w14:paraId="6D5BE347">
      <w:pPr>
        <w:pStyle w:val="11"/>
        <w:spacing w:line="300" w:lineRule="auto"/>
        <w:ind w:firstLine="480" w:firstLineChars="200"/>
        <w:rPr>
          <w:color w:val="auto"/>
          <w:highlight w:val="none"/>
        </w:rPr>
      </w:pPr>
    </w:p>
    <w:p w14:paraId="1CF7444B">
      <w:pPr>
        <w:pStyle w:val="11"/>
        <w:spacing w:line="300" w:lineRule="auto"/>
        <w:ind w:firstLine="3840" w:firstLineChars="1600"/>
        <w:rPr>
          <w:color w:val="auto"/>
          <w:highlight w:val="none"/>
        </w:rPr>
      </w:pPr>
      <w:r>
        <w:rPr>
          <w:rFonts w:hint="eastAsia"/>
          <w:color w:val="auto"/>
          <w:highlight w:val="none"/>
        </w:rPr>
        <w:t>（负责人或委托代理人签名）：</w:t>
      </w:r>
    </w:p>
    <w:p w14:paraId="2414470F">
      <w:pPr>
        <w:pStyle w:val="11"/>
        <w:spacing w:line="300" w:lineRule="auto"/>
        <w:ind w:firstLine="5040" w:firstLineChars="2100"/>
        <w:rPr>
          <w:color w:val="auto"/>
          <w:highlight w:val="none"/>
        </w:rPr>
      </w:pPr>
      <w:r>
        <w:rPr>
          <w:rFonts w:hint="eastAsia"/>
          <w:color w:val="auto"/>
          <w:highlight w:val="none"/>
        </w:rPr>
        <w:t>年</w:t>
      </w:r>
      <w:r>
        <w:rPr>
          <w:rFonts w:hint="eastAsia"/>
          <w:color w:val="auto"/>
          <w:highlight w:val="none"/>
        </w:rPr>
        <w:tab/>
      </w:r>
      <w:r>
        <w:rPr>
          <w:rFonts w:hint="eastAsia"/>
          <w:color w:val="auto"/>
          <w:highlight w:val="none"/>
        </w:rPr>
        <w:t>月</w:t>
      </w:r>
      <w:r>
        <w:rPr>
          <w:rFonts w:hint="eastAsia"/>
          <w:color w:val="auto"/>
          <w:highlight w:val="none"/>
        </w:rPr>
        <w:tab/>
      </w:r>
      <w:r>
        <w:rPr>
          <w:rFonts w:hint="eastAsia"/>
          <w:color w:val="auto"/>
          <w:highlight w:val="none"/>
        </w:rPr>
        <w:t>日</w:t>
      </w:r>
    </w:p>
    <w:p w14:paraId="4444BBDA">
      <w:pPr>
        <w:pStyle w:val="11"/>
        <w:spacing w:line="300" w:lineRule="auto"/>
        <w:ind w:firstLine="480" w:firstLineChars="200"/>
        <w:rPr>
          <w:color w:val="auto"/>
          <w:highlight w:val="none"/>
        </w:rPr>
      </w:pPr>
    </w:p>
    <w:p w14:paraId="126EB378">
      <w:pPr>
        <w:pStyle w:val="11"/>
        <w:spacing w:line="300" w:lineRule="auto"/>
        <w:ind w:firstLine="480" w:firstLineChars="200"/>
        <w:rPr>
          <w:color w:val="auto"/>
          <w:highlight w:val="none"/>
        </w:rPr>
      </w:pPr>
      <w:r>
        <w:rPr>
          <w:rFonts w:hint="eastAsia"/>
          <w:color w:val="auto"/>
          <w:highlight w:val="none"/>
        </w:rPr>
        <w:t>注：1.供应商认为有利害关系和需要回避的人员，应提供相关证明材料，与本声明书一同提交。由采购代理机构和财政监督部门负责询问核查。</w:t>
      </w:r>
    </w:p>
    <w:p w14:paraId="659D88A0">
      <w:pPr>
        <w:pStyle w:val="11"/>
        <w:spacing w:line="300" w:lineRule="auto"/>
        <w:ind w:firstLine="480" w:firstLineChars="200"/>
        <w:rPr>
          <w:color w:val="auto"/>
          <w:highlight w:val="none"/>
        </w:rPr>
        <w:sectPr>
          <w:headerReference r:id="rId7" w:type="default"/>
          <w:type w:val="continuous"/>
          <w:pgSz w:w="11910" w:h="16840"/>
          <w:pgMar w:top="1247" w:right="1247" w:bottom="1247" w:left="1587" w:header="884" w:footer="884" w:gutter="0"/>
          <w:cols w:space="0" w:num="1"/>
        </w:sectPr>
      </w:pPr>
      <w:r>
        <w:rPr>
          <w:rFonts w:hint="eastAsia"/>
          <w:color w:val="auto"/>
          <w:highlight w:val="none"/>
        </w:rPr>
        <w:t xml:space="preserve">2. </w:t>
      </w:r>
      <w:r>
        <w:rPr>
          <w:rFonts w:hint="eastAsia"/>
          <w:b/>
          <w:color w:val="auto"/>
          <w:highlight w:val="none"/>
        </w:rPr>
        <w:t>供应商根据政采云平台解密名单公布后30分钟内，通过现场或邮件方式（</w:t>
      </w:r>
      <w:r>
        <w:rPr>
          <w:rFonts w:hint="eastAsia"/>
          <w:b/>
          <w:color w:val="auto"/>
          <w:highlight w:val="none"/>
          <w:lang w:val="en-US"/>
        </w:rPr>
        <w:t>779740329</w:t>
      </w:r>
      <w:r>
        <w:rPr>
          <w:rFonts w:hint="eastAsia"/>
          <w:b/>
          <w:color w:val="auto"/>
          <w:highlight w:val="none"/>
        </w:rPr>
        <w:t>@qq.com）提交《政府采购活动现场确认声明书》。</w:t>
      </w:r>
    </w:p>
    <w:p w14:paraId="10566B27">
      <w:pPr>
        <w:pStyle w:val="2"/>
        <w:tabs>
          <w:tab w:val="left" w:pos="1404"/>
        </w:tabs>
        <w:spacing w:before="47"/>
        <w:ind w:left="120"/>
        <w:jc w:val="center"/>
        <w:rPr>
          <w:color w:val="auto"/>
          <w:highlight w:val="none"/>
        </w:rPr>
      </w:pPr>
      <w:bookmarkStart w:id="152" w:name="第六章__评标办法和细则"/>
      <w:bookmarkEnd w:id="152"/>
      <w:bookmarkStart w:id="153" w:name="_Toc27830"/>
      <w:r>
        <w:rPr>
          <w:rFonts w:hint="eastAsia"/>
          <w:color w:val="auto"/>
          <w:highlight w:val="none"/>
        </w:rPr>
        <w:t>第六章</w:t>
      </w:r>
      <w:r>
        <w:rPr>
          <w:rFonts w:hint="eastAsia"/>
          <w:color w:val="auto"/>
          <w:highlight w:val="none"/>
          <w:lang w:val="en-US"/>
        </w:rPr>
        <w:t xml:space="preserve"> </w:t>
      </w:r>
      <w:r>
        <w:rPr>
          <w:rFonts w:hint="eastAsia"/>
          <w:color w:val="auto"/>
          <w:highlight w:val="none"/>
        </w:rPr>
        <w:t>评标办法和细则</w:t>
      </w:r>
      <w:bookmarkEnd w:id="153"/>
    </w:p>
    <w:p w14:paraId="14575B34">
      <w:pPr>
        <w:pStyle w:val="17"/>
        <w:snapToGrid/>
        <w:spacing w:line="360" w:lineRule="auto"/>
        <w:ind w:firstLineChars="200"/>
        <w:rPr>
          <w:rFonts w:eastAsia="仿宋"/>
          <w:color w:val="auto"/>
          <w:highlight w:val="none"/>
        </w:rPr>
      </w:pPr>
    </w:p>
    <w:p w14:paraId="7AB3B339">
      <w:pPr>
        <w:pStyle w:val="17"/>
        <w:snapToGrid/>
        <w:spacing w:line="360" w:lineRule="auto"/>
        <w:ind w:firstLineChars="200"/>
        <w:rPr>
          <w:rFonts w:eastAsia="仿宋"/>
          <w:color w:val="auto"/>
          <w:highlight w:val="none"/>
        </w:rPr>
      </w:pPr>
      <w:r>
        <w:rPr>
          <w:rFonts w:hint="eastAsia" w:eastAsia="仿宋"/>
          <w:color w:val="auto"/>
          <w:highlight w:val="none"/>
        </w:rPr>
        <w:t>根据《中华人民共和国政府采购法》、《政府采购竞争性磋商采购方式管理暂行办法》等有关法律法规的规定，并结合本项目的实际，按照公正、公平、科学、择优的原则选择成交人，特制定本办法。</w:t>
      </w:r>
    </w:p>
    <w:p w14:paraId="0F0B23A9">
      <w:pPr>
        <w:pStyle w:val="3"/>
        <w:tabs>
          <w:tab w:val="left" w:pos="871"/>
        </w:tabs>
        <w:spacing w:line="360" w:lineRule="auto"/>
        <w:ind w:left="117"/>
        <w:jc w:val="both"/>
        <w:rPr>
          <w:color w:val="auto"/>
          <w:highlight w:val="none"/>
        </w:rPr>
      </w:pPr>
      <w:bookmarkStart w:id="154" w:name="_Toc10243"/>
      <w:bookmarkStart w:id="155" w:name="_Toc493955998"/>
      <w:bookmarkStart w:id="156" w:name="_Toc11097"/>
      <w:bookmarkStart w:id="157" w:name="_Toc73349356"/>
      <w:bookmarkStart w:id="158" w:name="_Toc494558393"/>
      <w:bookmarkStart w:id="159" w:name="_Toc28398"/>
      <w:bookmarkStart w:id="160" w:name="_Toc335664295"/>
      <w:bookmarkStart w:id="161" w:name="_Toc390938605"/>
      <w:bookmarkStart w:id="162" w:name="_Toc335664299"/>
      <w:r>
        <w:rPr>
          <w:rFonts w:hint="eastAsia"/>
          <w:color w:val="auto"/>
          <w:highlight w:val="none"/>
        </w:rPr>
        <w:t>一   总则</w:t>
      </w:r>
      <w:bookmarkEnd w:id="154"/>
      <w:bookmarkEnd w:id="155"/>
      <w:bookmarkEnd w:id="156"/>
      <w:bookmarkEnd w:id="157"/>
      <w:bookmarkEnd w:id="158"/>
      <w:bookmarkEnd w:id="159"/>
      <w:bookmarkEnd w:id="160"/>
    </w:p>
    <w:p w14:paraId="71224927">
      <w:pPr>
        <w:spacing w:line="360" w:lineRule="auto"/>
        <w:ind w:firstLine="480" w:firstLineChars="200"/>
        <w:rPr>
          <w:color w:val="auto"/>
          <w:sz w:val="24"/>
          <w:highlight w:val="none"/>
        </w:rPr>
      </w:pPr>
      <w:r>
        <w:rPr>
          <w:rFonts w:hint="eastAsia"/>
          <w:color w:val="auto"/>
          <w:sz w:val="24"/>
          <w:highlight w:val="none"/>
        </w:rPr>
        <w:t>1.1 为最大限度地保护各当事人的权益，磋商小组应严格按照磋商文件的技术、资信、商务要求，对响应文件进行综合分析评价并编制评标报告。磋商小组成员必须严格遵守保密规定，不得</w:t>
      </w:r>
      <w:r>
        <w:rPr>
          <w:rFonts w:hint="eastAsia"/>
          <w:color w:val="auto"/>
          <w:sz w:val="24"/>
          <w:highlight w:val="none"/>
          <w:lang w:eastAsia="zh-CN"/>
        </w:rPr>
        <w:t>泄露</w:t>
      </w:r>
      <w:r>
        <w:rPr>
          <w:rFonts w:hint="eastAsia"/>
          <w:color w:val="auto"/>
          <w:sz w:val="24"/>
          <w:highlight w:val="none"/>
        </w:rPr>
        <w:t>评审有关的情况，不得索贿受贿，不得参加影响评审的任何活动。</w:t>
      </w:r>
    </w:p>
    <w:p w14:paraId="5371AE8E">
      <w:pPr>
        <w:spacing w:line="360" w:lineRule="auto"/>
        <w:ind w:firstLine="482" w:firstLineChars="200"/>
        <w:rPr>
          <w:b/>
          <w:color w:val="auto"/>
          <w:sz w:val="24"/>
          <w:highlight w:val="none"/>
        </w:rPr>
      </w:pPr>
      <w:r>
        <w:rPr>
          <w:rFonts w:hint="eastAsia"/>
          <w:b/>
          <w:color w:val="auto"/>
          <w:sz w:val="24"/>
          <w:highlight w:val="none"/>
        </w:rPr>
        <w:t>1.2</w:t>
      </w:r>
      <w:r>
        <w:rPr>
          <w:rFonts w:hint="eastAsia"/>
          <w:b/>
          <w:color w:val="auto"/>
          <w:sz w:val="24"/>
          <w:highlight w:val="none"/>
          <w:lang w:val="en-US"/>
        </w:rPr>
        <w:t xml:space="preserve"> </w:t>
      </w:r>
      <w:r>
        <w:rPr>
          <w:rFonts w:hint="eastAsia"/>
          <w:b/>
          <w:color w:val="auto"/>
          <w:sz w:val="24"/>
          <w:highlight w:val="none"/>
        </w:rPr>
        <w:t>本次评审方法采取百分制综合评分法，按总得分由高到低顺序排列。总得分相同的，按报价得分由高到低顺序排列；总得分和报价得分均相同的，按技术得分由高到低顺序排列；磋商小组按照评审得分由高到低顺序推荐3名以上成交候选供应商，并编写评审报告。</w:t>
      </w:r>
    </w:p>
    <w:p w14:paraId="7CE981E4">
      <w:pPr>
        <w:spacing w:line="360" w:lineRule="auto"/>
        <w:ind w:firstLine="482" w:firstLineChars="200"/>
        <w:rPr>
          <w:b/>
          <w:color w:val="auto"/>
          <w:sz w:val="24"/>
          <w:highlight w:val="none"/>
        </w:rPr>
      </w:pPr>
      <w:r>
        <w:rPr>
          <w:rFonts w:hint="eastAsia"/>
          <w:b/>
          <w:color w:val="auto"/>
          <w:sz w:val="24"/>
          <w:highlight w:val="none"/>
          <w:lang w:val="en-US"/>
        </w:rPr>
        <w:t xml:space="preserve">1.3 </w:t>
      </w:r>
      <w:r>
        <w:rPr>
          <w:rFonts w:hint="eastAsia"/>
          <w:b/>
          <w:color w:val="auto"/>
          <w:sz w:val="24"/>
          <w:highlight w:val="none"/>
        </w:rPr>
        <w:t>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AECE92C">
      <w:pPr>
        <w:pStyle w:val="3"/>
        <w:tabs>
          <w:tab w:val="left" w:pos="871"/>
        </w:tabs>
        <w:spacing w:line="360" w:lineRule="auto"/>
        <w:ind w:left="117"/>
        <w:jc w:val="both"/>
        <w:rPr>
          <w:color w:val="auto"/>
          <w:highlight w:val="none"/>
        </w:rPr>
      </w:pPr>
      <w:bookmarkStart w:id="163" w:name="_Toc335664296"/>
      <w:bookmarkStart w:id="164" w:name="_Toc14362"/>
      <w:bookmarkStart w:id="165" w:name="_Toc73349357"/>
      <w:bookmarkStart w:id="166" w:name="_Toc493955999"/>
      <w:bookmarkStart w:id="167" w:name="_Toc494558394"/>
      <w:bookmarkStart w:id="168" w:name="_Toc17582"/>
      <w:bookmarkStart w:id="169" w:name="_Toc4819"/>
      <w:r>
        <w:rPr>
          <w:rFonts w:hint="eastAsia"/>
          <w:color w:val="auto"/>
          <w:highlight w:val="none"/>
        </w:rPr>
        <w:t xml:space="preserve">二   </w:t>
      </w:r>
      <w:bookmarkEnd w:id="163"/>
      <w:r>
        <w:rPr>
          <w:rFonts w:hint="eastAsia"/>
          <w:color w:val="auto"/>
          <w:highlight w:val="none"/>
        </w:rPr>
        <w:t>磋商小组</w:t>
      </w:r>
      <w:bookmarkEnd w:id="164"/>
      <w:bookmarkEnd w:id="165"/>
      <w:bookmarkEnd w:id="166"/>
      <w:bookmarkEnd w:id="167"/>
      <w:bookmarkEnd w:id="168"/>
      <w:bookmarkEnd w:id="169"/>
    </w:p>
    <w:p w14:paraId="0235CFA3">
      <w:pPr>
        <w:spacing w:line="360" w:lineRule="auto"/>
        <w:ind w:firstLine="480" w:firstLineChars="200"/>
        <w:rPr>
          <w:color w:val="auto"/>
          <w:sz w:val="24"/>
          <w:szCs w:val="20"/>
          <w:highlight w:val="none"/>
        </w:rPr>
      </w:pPr>
      <w:r>
        <w:rPr>
          <w:rFonts w:hint="eastAsia"/>
          <w:color w:val="auto"/>
          <w:sz w:val="24"/>
          <w:highlight w:val="none"/>
        </w:rPr>
        <w:t>2.1</w:t>
      </w:r>
      <w:r>
        <w:rPr>
          <w:rFonts w:hint="eastAsia"/>
          <w:color w:val="auto"/>
          <w:sz w:val="24"/>
          <w:highlight w:val="none"/>
          <w:lang w:val="en-US"/>
        </w:rPr>
        <w:t xml:space="preserve"> </w:t>
      </w:r>
      <w:r>
        <w:rPr>
          <w:rFonts w:hint="eastAsia"/>
          <w:color w:val="auto"/>
          <w:sz w:val="24"/>
          <w:highlight w:val="none"/>
        </w:rPr>
        <w:t>磋商小组</w:t>
      </w:r>
    </w:p>
    <w:p w14:paraId="5A6FA27F">
      <w:pPr>
        <w:spacing w:line="360" w:lineRule="auto"/>
        <w:ind w:firstLine="480" w:firstLineChars="200"/>
        <w:rPr>
          <w:color w:val="auto"/>
          <w:sz w:val="24"/>
          <w:highlight w:val="none"/>
        </w:rPr>
      </w:pPr>
      <w:r>
        <w:rPr>
          <w:rFonts w:hint="eastAsia"/>
          <w:color w:val="auto"/>
          <w:sz w:val="24"/>
          <w:highlight w:val="none"/>
        </w:rPr>
        <w:t>2.1.1成员：由采购人代表和评审专家组成，其中评审专家人数不得少于磋商小组成员总数的三分之二。除国务院财政部门规定的情形外，评审专家由采购代理机构在政府采购专家库中随机抽取。</w:t>
      </w:r>
    </w:p>
    <w:p w14:paraId="305EA079">
      <w:pPr>
        <w:spacing w:line="360" w:lineRule="auto"/>
        <w:ind w:firstLine="480" w:firstLineChars="200"/>
        <w:rPr>
          <w:color w:val="auto"/>
          <w:sz w:val="24"/>
          <w:highlight w:val="none"/>
        </w:rPr>
      </w:pPr>
      <w:r>
        <w:rPr>
          <w:rFonts w:hint="eastAsia"/>
          <w:color w:val="auto"/>
          <w:sz w:val="24"/>
          <w:highlight w:val="none"/>
        </w:rPr>
        <w:t>2.1.2职责：严格按政府采购法律法规的有关规定执行，磋商小组成员应按磋商文件规定的评审要求、评审程序、评审内容、评审方法和评审标准进行评审，对评审意见承担个人责任。</w:t>
      </w:r>
    </w:p>
    <w:p w14:paraId="0F0B712D">
      <w:pPr>
        <w:spacing w:line="360" w:lineRule="auto"/>
        <w:rPr>
          <w:color w:val="auto"/>
          <w:sz w:val="24"/>
          <w:highlight w:val="none"/>
        </w:rPr>
      </w:pPr>
      <w:r>
        <w:rPr>
          <w:rFonts w:hint="eastAsia"/>
          <w:color w:val="auto"/>
          <w:sz w:val="24"/>
          <w:highlight w:val="none"/>
        </w:rPr>
        <w:t xml:space="preserve">    2.2</w:t>
      </w:r>
      <w:r>
        <w:rPr>
          <w:rFonts w:hint="eastAsia"/>
          <w:color w:val="auto"/>
          <w:sz w:val="24"/>
          <w:highlight w:val="none"/>
          <w:lang w:val="en-US"/>
        </w:rPr>
        <w:t xml:space="preserve"> </w:t>
      </w:r>
      <w:r>
        <w:rPr>
          <w:rFonts w:hint="eastAsia"/>
          <w:color w:val="auto"/>
          <w:sz w:val="24"/>
          <w:highlight w:val="none"/>
        </w:rPr>
        <w:t>磋商小组成员的评审情况和评审意见受监督人员和采购代理机构审查，如发现磋商小组成员的评审意见带有明显倾向性，或不按规定程序和标准评审、计分的，可要求磋商小组成员进行书面澄清和说明。</w:t>
      </w:r>
    </w:p>
    <w:p w14:paraId="78D02D36">
      <w:pPr>
        <w:pStyle w:val="3"/>
        <w:tabs>
          <w:tab w:val="left" w:pos="871"/>
        </w:tabs>
        <w:spacing w:line="360" w:lineRule="auto"/>
        <w:ind w:left="117"/>
        <w:jc w:val="both"/>
        <w:rPr>
          <w:color w:val="auto"/>
          <w:highlight w:val="none"/>
        </w:rPr>
      </w:pPr>
      <w:bookmarkStart w:id="170" w:name="_Toc494558395"/>
      <w:bookmarkStart w:id="171" w:name="_Toc73349358"/>
      <w:bookmarkStart w:id="172" w:name="_Toc9162"/>
      <w:bookmarkStart w:id="173" w:name="_Toc27308"/>
      <w:bookmarkStart w:id="174" w:name="_Toc25585"/>
      <w:r>
        <w:rPr>
          <w:rFonts w:hint="eastAsia"/>
          <w:color w:val="auto"/>
          <w:highlight w:val="none"/>
        </w:rPr>
        <w:t>三   磋商程序</w:t>
      </w:r>
      <w:bookmarkEnd w:id="170"/>
      <w:bookmarkEnd w:id="171"/>
      <w:bookmarkEnd w:id="172"/>
      <w:bookmarkEnd w:id="173"/>
      <w:bookmarkEnd w:id="174"/>
    </w:p>
    <w:p w14:paraId="1F6AB600">
      <w:pPr>
        <w:spacing w:line="360" w:lineRule="auto"/>
        <w:ind w:firstLine="482" w:firstLineChars="200"/>
        <w:rPr>
          <w:b/>
          <w:color w:val="auto"/>
          <w:sz w:val="24"/>
          <w:highlight w:val="none"/>
        </w:rPr>
      </w:pPr>
      <w:r>
        <w:rPr>
          <w:rFonts w:hint="eastAsia"/>
          <w:b/>
          <w:color w:val="auto"/>
          <w:sz w:val="24"/>
          <w:highlight w:val="none"/>
        </w:rPr>
        <w:t>3.1 符合性审查</w:t>
      </w:r>
    </w:p>
    <w:p w14:paraId="2342A8EA">
      <w:pPr>
        <w:spacing w:line="360" w:lineRule="auto"/>
        <w:ind w:firstLine="480" w:firstLineChars="200"/>
        <w:rPr>
          <w:color w:val="auto"/>
          <w:sz w:val="24"/>
          <w:highlight w:val="none"/>
        </w:rPr>
      </w:pPr>
      <w:r>
        <w:rPr>
          <w:rFonts w:hint="eastAsia"/>
          <w:color w:val="auto"/>
          <w:sz w:val="24"/>
          <w:highlight w:val="none"/>
        </w:rPr>
        <w:t>磋商小组会依据磋商文件的规定，从响应文件的有效性、完整性和对磋商文件的响应程度进行审查，以确定是否对磋商文件的实质性要求作出响应。通过符合性审查不足三家的，除采购任务取消的情形外，按相关规定重新组织采购。</w:t>
      </w:r>
    </w:p>
    <w:p w14:paraId="3FAEC9CF">
      <w:pPr>
        <w:spacing w:line="360" w:lineRule="auto"/>
        <w:ind w:firstLine="482" w:firstLineChars="200"/>
        <w:rPr>
          <w:b/>
          <w:color w:val="auto"/>
          <w:sz w:val="24"/>
          <w:highlight w:val="none"/>
        </w:rPr>
      </w:pPr>
      <w:r>
        <w:rPr>
          <w:rFonts w:hint="eastAsia"/>
          <w:b/>
          <w:color w:val="auto"/>
          <w:sz w:val="24"/>
          <w:highlight w:val="none"/>
        </w:rPr>
        <w:t>3.2 磋商</w:t>
      </w:r>
    </w:p>
    <w:p w14:paraId="77B6BB28">
      <w:pPr>
        <w:spacing w:line="360" w:lineRule="auto"/>
        <w:ind w:firstLine="480" w:firstLineChars="200"/>
        <w:rPr>
          <w:color w:val="auto"/>
          <w:sz w:val="24"/>
          <w:highlight w:val="none"/>
        </w:rPr>
      </w:pPr>
      <w:r>
        <w:rPr>
          <w:rFonts w:hint="eastAsia"/>
          <w:color w:val="auto"/>
          <w:sz w:val="24"/>
          <w:highlight w:val="none"/>
        </w:rPr>
        <w:t>3.2.1磋商小组对响应文件进行评审，并根据磋商文件规定的程序、评定成交的标准等事项与实质性响应磋商文件要求的供应商进行多轮磋商。</w:t>
      </w:r>
    </w:p>
    <w:p w14:paraId="4A3D8373">
      <w:pPr>
        <w:spacing w:line="360" w:lineRule="auto"/>
        <w:ind w:firstLine="480" w:firstLineChars="200"/>
        <w:rPr>
          <w:color w:val="auto"/>
          <w:sz w:val="24"/>
          <w:highlight w:val="none"/>
        </w:rPr>
      </w:pPr>
      <w:r>
        <w:rPr>
          <w:rFonts w:hint="eastAsia"/>
          <w:color w:val="auto"/>
          <w:sz w:val="24"/>
          <w:highlight w:val="none"/>
        </w:rPr>
        <w:t>（1）磋商小组按电子交易平台自动生成的“投标（响应）文件签收登记表”名单顺序分别进行磋商（若有演示、讲解内容，演示、讲解顺序同磋商顺序）。磋商小组所有成员应当集中与单一供应商分别进行磋商，并给予所有参加磋商的供应商平等的磋商机会。</w:t>
      </w:r>
    </w:p>
    <w:p w14:paraId="74AF9648">
      <w:pPr>
        <w:spacing w:line="360" w:lineRule="auto"/>
        <w:ind w:firstLine="480" w:firstLineChars="200"/>
        <w:rPr>
          <w:color w:val="auto"/>
          <w:sz w:val="24"/>
          <w:highlight w:val="none"/>
        </w:rPr>
      </w:pPr>
      <w:r>
        <w:rPr>
          <w:rFonts w:hint="eastAsia"/>
          <w:color w:val="auto"/>
          <w:sz w:val="24"/>
          <w:highlight w:val="none"/>
        </w:rPr>
        <w:t>（2）响应文件中含义不明确、同类问题表述不一致或者有明显文字和计算错误的内容，磋商小组应当通过电子交易平台交换数据电文的形式要求供应商作出必要的澄清、说明或者更正。供应商的澄清、说明或者更正不得超出响应文件的范围或者改变响应文件的实质性内容。</w:t>
      </w:r>
    </w:p>
    <w:p w14:paraId="0A7AB11D">
      <w:pPr>
        <w:spacing w:line="360" w:lineRule="auto"/>
        <w:ind w:firstLine="480" w:firstLineChars="200"/>
        <w:rPr>
          <w:color w:val="auto"/>
          <w:sz w:val="24"/>
          <w:highlight w:val="none"/>
        </w:rPr>
      </w:pPr>
      <w:r>
        <w:rPr>
          <w:rFonts w:hint="eastAsia"/>
          <w:color w:val="auto"/>
          <w:sz w:val="24"/>
          <w:highlight w:val="none"/>
        </w:rPr>
        <w:t>（3）在磋商过程中，磋商小组可以根据磋商文件和磋商情况实质性变动采购需求中的技术、服务要求以及合同条款。实质性变动的内容，须经采购人代表确认。</w:t>
      </w:r>
    </w:p>
    <w:p w14:paraId="22DF942A">
      <w:pPr>
        <w:spacing w:line="360" w:lineRule="auto"/>
        <w:ind w:firstLine="480" w:firstLineChars="200"/>
        <w:rPr>
          <w:color w:val="auto"/>
          <w:sz w:val="24"/>
          <w:highlight w:val="none"/>
        </w:rPr>
      </w:pPr>
      <w:r>
        <w:rPr>
          <w:rFonts w:hint="eastAsia"/>
          <w:color w:val="auto"/>
          <w:sz w:val="24"/>
          <w:highlight w:val="none"/>
        </w:rPr>
        <w:t>对磋商文件作出实质性变动是磋商文件的有效组成部分，磋商小组应当通过电子交易平台交换数据电文的形式同时通知所有参加磋商的供应商。</w:t>
      </w:r>
    </w:p>
    <w:p w14:paraId="535420CC">
      <w:pPr>
        <w:spacing w:line="360" w:lineRule="auto"/>
        <w:ind w:firstLine="480" w:firstLineChars="200"/>
        <w:rPr>
          <w:color w:val="auto"/>
          <w:sz w:val="24"/>
          <w:highlight w:val="none"/>
        </w:rPr>
      </w:pPr>
      <w:r>
        <w:rPr>
          <w:rFonts w:hint="eastAsia"/>
          <w:color w:val="auto"/>
          <w:sz w:val="24"/>
          <w:highlight w:val="none"/>
        </w:rPr>
        <w:t>（4）磋商文件能够详细列明采购标的的技术、服务要求的，磋商结束后，磋商小组应当要求所有继续参加磋商的供应商在规定时间内提交最终报价，提交最终报价的供应商不得少于3家。</w:t>
      </w:r>
    </w:p>
    <w:p w14:paraId="5F2A11AB">
      <w:pPr>
        <w:tabs>
          <w:tab w:val="left" w:pos="6870"/>
        </w:tabs>
        <w:spacing w:line="360" w:lineRule="auto"/>
        <w:ind w:firstLine="600" w:firstLineChars="249"/>
        <w:rPr>
          <w:b/>
          <w:color w:val="auto"/>
          <w:sz w:val="24"/>
          <w:highlight w:val="none"/>
        </w:rPr>
      </w:pPr>
      <w:r>
        <w:rPr>
          <w:rFonts w:hint="eastAsia"/>
          <w:b/>
          <w:color w:val="auto"/>
          <w:sz w:val="24"/>
          <w:highlight w:val="none"/>
        </w:rPr>
        <w:t>3.2.2 磋商注意事项</w:t>
      </w:r>
      <w:r>
        <w:rPr>
          <w:rFonts w:hint="eastAsia"/>
          <w:b/>
          <w:color w:val="auto"/>
          <w:sz w:val="24"/>
          <w:highlight w:val="none"/>
        </w:rPr>
        <w:tab/>
      </w:r>
    </w:p>
    <w:p w14:paraId="27A0DABB">
      <w:pPr>
        <w:spacing w:line="360" w:lineRule="auto"/>
        <w:ind w:firstLine="480" w:firstLineChars="200"/>
        <w:rPr>
          <w:color w:val="auto"/>
          <w:sz w:val="24"/>
          <w:highlight w:val="none"/>
        </w:rPr>
      </w:pPr>
      <w:r>
        <w:rPr>
          <w:rFonts w:hint="eastAsia"/>
          <w:color w:val="auto"/>
          <w:sz w:val="24"/>
          <w:highlight w:val="none"/>
        </w:rPr>
        <w:t>（1）磋商时，参与磋商的供应商派代表应在线参加磋商。参与磋商的供应商人员应及时解释和澄清磋商响应文件相关内容，通过电子交易平台交换数据电文的形式重新做出承诺并签署确定。后一轮磋商的价格、服务承诺及优惠条件等必须优于或等于前一轮磋商的价格、服务承诺及优惠条件等。</w:t>
      </w:r>
      <w:r>
        <w:rPr>
          <w:rFonts w:hint="eastAsia"/>
          <w:b/>
          <w:color w:val="auto"/>
          <w:sz w:val="24"/>
          <w:highlight w:val="none"/>
        </w:rPr>
        <w:t>如磋商只要求对总价进行报价的，各分项报价以总价按前一轮报价下浮比例下浮。</w:t>
      </w:r>
    </w:p>
    <w:p w14:paraId="2412599F">
      <w:pPr>
        <w:spacing w:line="360" w:lineRule="auto"/>
        <w:ind w:firstLine="480" w:firstLineChars="200"/>
        <w:rPr>
          <w:color w:val="auto"/>
          <w:sz w:val="24"/>
          <w:highlight w:val="none"/>
        </w:rPr>
      </w:pPr>
      <w:r>
        <w:rPr>
          <w:rFonts w:hint="eastAsia"/>
          <w:color w:val="auto"/>
          <w:sz w:val="24"/>
          <w:highlight w:val="none"/>
        </w:rPr>
        <w:t>（2）报价明显低于其他通过符合性审查供应商的报价，有可能影响服务质量或者不能诚信履约的，应当要求其在磋商现场合理的时间内通过电子交易平台交换数据电文的形式提供说明，必要时提交相关证明材料；供应商不能证明其报价合理性的，磋商小组应当将其作为无效标处理。</w:t>
      </w:r>
    </w:p>
    <w:p w14:paraId="467EA139">
      <w:pPr>
        <w:spacing w:line="360" w:lineRule="auto"/>
        <w:ind w:firstLine="480" w:firstLineChars="200"/>
        <w:rPr>
          <w:color w:val="auto"/>
          <w:sz w:val="24"/>
          <w:highlight w:val="none"/>
        </w:rPr>
      </w:pPr>
      <w:r>
        <w:rPr>
          <w:rFonts w:hint="eastAsia"/>
          <w:color w:val="auto"/>
          <w:sz w:val="24"/>
          <w:highlight w:val="none"/>
        </w:rPr>
        <w:t>（3）出席磋商的有关人员：监督人员、磋商小组成员和采购代理机构工作人员；监督人员负责现场监督。参与磋商的供应商的所有响应文件(包括每次报价及重新承诺)规定</w:t>
      </w:r>
      <w:r>
        <w:rPr>
          <w:rFonts w:hint="eastAsia"/>
          <w:color w:val="auto"/>
          <w:sz w:val="24"/>
          <w:highlight w:val="none"/>
          <w:lang w:eastAsia="zh-CN"/>
        </w:rPr>
        <w:t>截止时间</w:t>
      </w:r>
      <w:r>
        <w:rPr>
          <w:rFonts w:hint="eastAsia"/>
          <w:color w:val="auto"/>
          <w:sz w:val="24"/>
          <w:highlight w:val="none"/>
        </w:rPr>
        <w:t>前由代理机构工作人员进行接收，任何参与磋商的个人均不得私自拆封。磋商小组负责本次项目所有磋商任务，包括全程磋商、推荐成交候选人、填写评审报告等。</w:t>
      </w:r>
    </w:p>
    <w:p w14:paraId="31784A0F">
      <w:pPr>
        <w:spacing w:line="360" w:lineRule="auto"/>
        <w:ind w:firstLine="482" w:firstLineChars="200"/>
        <w:rPr>
          <w:b/>
          <w:color w:val="auto"/>
          <w:sz w:val="24"/>
          <w:highlight w:val="none"/>
        </w:rPr>
      </w:pPr>
      <w:r>
        <w:rPr>
          <w:rFonts w:hint="eastAsia"/>
          <w:b/>
          <w:color w:val="auto"/>
          <w:sz w:val="24"/>
          <w:highlight w:val="none"/>
        </w:rPr>
        <w:t>3.3 评审</w:t>
      </w:r>
    </w:p>
    <w:p w14:paraId="670E2245">
      <w:pPr>
        <w:spacing w:line="360" w:lineRule="auto"/>
        <w:ind w:firstLine="482" w:firstLineChars="200"/>
        <w:rPr>
          <w:color w:val="auto"/>
          <w:sz w:val="24"/>
          <w:highlight w:val="none"/>
        </w:rPr>
      </w:pPr>
      <w:r>
        <w:rPr>
          <w:rFonts w:hint="eastAsia"/>
          <w:b/>
          <w:color w:val="auto"/>
          <w:sz w:val="24"/>
          <w:highlight w:val="none"/>
        </w:rPr>
        <w:t>3.3.1</w:t>
      </w:r>
      <w:r>
        <w:rPr>
          <w:rFonts w:hint="eastAsia"/>
          <w:b/>
          <w:color w:val="auto"/>
          <w:sz w:val="24"/>
          <w:highlight w:val="none"/>
          <w:lang w:val="en-US"/>
        </w:rPr>
        <w:t xml:space="preserve"> </w:t>
      </w:r>
      <w:r>
        <w:rPr>
          <w:rFonts w:hint="eastAsia"/>
          <w:color w:val="auto"/>
          <w:sz w:val="24"/>
          <w:highlight w:val="none"/>
        </w:rPr>
        <w:t>磋商小组采用综合评分法对确定作出最终报价的供应商的响应文件进行综合评分。</w:t>
      </w:r>
    </w:p>
    <w:p w14:paraId="62C6704A">
      <w:pPr>
        <w:spacing w:line="360" w:lineRule="auto"/>
        <w:ind w:firstLine="480" w:firstLineChars="200"/>
        <w:rPr>
          <w:color w:val="auto"/>
          <w:sz w:val="24"/>
          <w:highlight w:val="none"/>
        </w:rPr>
      </w:pPr>
      <w:r>
        <w:rPr>
          <w:rFonts w:hint="eastAsia"/>
          <w:color w:val="auto"/>
          <w:sz w:val="24"/>
          <w:highlight w:val="none"/>
        </w:rPr>
        <w:t>（1）磋商小组依据磋商文件的规定，对各供应商的资信商务及技术进行独立评审。对各响应文件进行比较和必要的澄清，若有演示、样品要求和技术文件评审同步进行，演示顺序为电子交易平台解密后自动生成的“投标（响应）文件签收登记表”名单顺序，并根据审查、澄清、演示、样品等情况结合评审办法进行独立打分；</w:t>
      </w:r>
    </w:p>
    <w:p w14:paraId="6DEBD5D4">
      <w:pPr>
        <w:spacing w:line="360" w:lineRule="auto"/>
        <w:ind w:firstLine="480" w:firstLineChars="200"/>
        <w:rPr>
          <w:color w:val="auto"/>
          <w:sz w:val="24"/>
          <w:highlight w:val="none"/>
        </w:rPr>
      </w:pPr>
      <w:r>
        <w:rPr>
          <w:rFonts w:hint="eastAsia"/>
          <w:color w:val="auto"/>
          <w:sz w:val="24"/>
          <w:highlight w:val="none"/>
        </w:rPr>
        <w:t>（</w:t>
      </w:r>
      <w:r>
        <w:rPr>
          <w:rFonts w:hint="eastAsia"/>
          <w:color w:val="auto"/>
          <w:sz w:val="24"/>
          <w:highlight w:val="none"/>
          <w:lang w:val="en-US" w:eastAsia="zh-CN"/>
        </w:rPr>
        <w:t>2</w:t>
      </w:r>
      <w:r>
        <w:rPr>
          <w:rFonts w:hint="eastAsia"/>
          <w:color w:val="auto"/>
          <w:sz w:val="24"/>
          <w:highlight w:val="none"/>
        </w:rPr>
        <w:t>）各供应商的资信商务及技术得分，为各磋商小组成员对该供应商的评分汇总后的算术平均数。</w:t>
      </w:r>
    </w:p>
    <w:p w14:paraId="235D1225">
      <w:pPr>
        <w:spacing w:line="360" w:lineRule="auto"/>
        <w:ind w:firstLine="482" w:firstLineChars="200"/>
        <w:rPr>
          <w:b/>
          <w:color w:val="auto"/>
          <w:sz w:val="24"/>
          <w:highlight w:val="none"/>
        </w:rPr>
      </w:pPr>
      <w:r>
        <w:rPr>
          <w:rFonts w:hint="eastAsia"/>
          <w:b/>
          <w:color w:val="auto"/>
          <w:sz w:val="24"/>
          <w:highlight w:val="none"/>
        </w:rPr>
        <w:t>3.3.2 报价文件评审</w:t>
      </w:r>
    </w:p>
    <w:p w14:paraId="5ABF023A">
      <w:pPr>
        <w:spacing w:line="360" w:lineRule="auto"/>
        <w:ind w:firstLine="480" w:firstLineChars="200"/>
        <w:rPr>
          <w:color w:val="auto"/>
          <w:sz w:val="24"/>
          <w:highlight w:val="none"/>
        </w:rPr>
      </w:pPr>
      <w:r>
        <w:rPr>
          <w:rFonts w:hint="eastAsia"/>
          <w:color w:val="auto"/>
          <w:sz w:val="24"/>
          <w:highlight w:val="none"/>
        </w:rPr>
        <w:t>（1）磋商小组依据磋商文件的规定，对各供应商报价文件的符合性进行审查，必要时可要求供应商对其报价做出澄清、说明。</w:t>
      </w:r>
    </w:p>
    <w:p w14:paraId="3FF0FD98">
      <w:pPr>
        <w:spacing w:line="360" w:lineRule="auto"/>
        <w:ind w:firstLine="480" w:firstLineChars="200"/>
        <w:rPr>
          <w:color w:val="auto"/>
          <w:sz w:val="24"/>
          <w:highlight w:val="none"/>
        </w:rPr>
      </w:pPr>
      <w:r>
        <w:rPr>
          <w:rFonts w:hint="eastAsia"/>
          <w:color w:val="auto"/>
          <w:sz w:val="24"/>
          <w:highlight w:val="none"/>
        </w:rPr>
        <w:t>（2）供应商提交最终报价；</w:t>
      </w:r>
    </w:p>
    <w:p w14:paraId="57739530">
      <w:pPr>
        <w:spacing w:line="360" w:lineRule="auto"/>
        <w:ind w:firstLine="480" w:firstLineChars="200"/>
        <w:rPr>
          <w:color w:val="auto"/>
          <w:sz w:val="24"/>
          <w:highlight w:val="none"/>
        </w:rPr>
      </w:pPr>
      <w:r>
        <w:rPr>
          <w:rFonts w:hint="eastAsia"/>
          <w:color w:val="auto"/>
          <w:sz w:val="24"/>
          <w:highlight w:val="none"/>
        </w:rPr>
        <w:t>（3）代理机构通过电子交易平台公布各供应商资信商务及技术得分。</w:t>
      </w:r>
    </w:p>
    <w:p w14:paraId="3D096708">
      <w:pPr>
        <w:spacing w:line="360" w:lineRule="auto"/>
        <w:ind w:firstLine="480" w:firstLineChars="200"/>
        <w:rPr>
          <w:color w:val="auto"/>
          <w:sz w:val="24"/>
          <w:highlight w:val="none"/>
        </w:rPr>
      </w:pPr>
      <w:r>
        <w:rPr>
          <w:rFonts w:hint="eastAsia"/>
          <w:color w:val="auto"/>
          <w:sz w:val="24"/>
          <w:highlight w:val="none"/>
        </w:rPr>
        <w:t>（4）磋商小组依据磋商文件的规定，对各供应商的最终报价的符合性进行审查，必要时可要求供应商对其报价做出澄清、说明。</w:t>
      </w:r>
    </w:p>
    <w:p w14:paraId="076DB666">
      <w:pPr>
        <w:spacing w:line="360" w:lineRule="auto"/>
        <w:ind w:firstLine="480" w:firstLineChars="200"/>
        <w:rPr>
          <w:color w:val="auto"/>
          <w:sz w:val="24"/>
          <w:highlight w:val="none"/>
        </w:rPr>
      </w:pPr>
      <w:r>
        <w:rPr>
          <w:rFonts w:hint="eastAsia"/>
          <w:color w:val="auto"/>
          <w:sz w:val="24"/>
          <w:highlight w:val="none"/>
        </w:rPr>
        <w:t xml:space="preserve">（5）报价修正； </w:t>
      </w:r>
    </w:p>
    <w:p w14:paraId="334C2847">
      <w:pPr>
        <w:tabs>
          <w:tab w:val="left" w:pos="3285"/>
        </w:tabs>
        <w:spacing w:line="360" w:lineRule="auto"/>
        <w:ind w:firstLine="480" w:firstLineChars="200"/>
        <w:rPr>
          <w:color w:val="auto"/>
          <w:sz w:val="24"/>
          <w:highlight w:val="none"/>
        </w:rPr>
      </w:pPr>
      <w:r>
        <w:rPr>
          <w:rFonts w:hint="eastAsia"/>
          <w:color w:val="auto"/>
          <w:sz w:val="24"/>
          <w:highlight w:val="none"/>
        </w:rPr>
        <w:t>（6）磋商小组</w:t>
      </w:r>
      <w:r>
        <w:rPr>
          <w:rFonts w:hint="eastAsia"/>
          <w:color w:val="auto"/>
          <w:sz w:val="24"/>
          <w:highlight w:val="none"/>
          <w:lang w:eastAsia="zh-CN"/>
        </w:rPr>
        <w:t>根据投标人</w:t>
      </w:r>
      <w:r>
        <w:rPr>
          <w:rFonts w:hint="eastAsia"/>
          <w:color w:val="auto"/>
          <w:sz w:val="24"/>
          <w:highlight w:val="none"/>
        </w:rPr>
        <w:t>的报价和评审标准，计算各供应商的报价得分。</w:t>
      </w:r>
    </w:p>
    <w:p w14:paraId="02AD12D1">
      <w:pPr>
        <w:spacing w:line="360" w:lineRule="auto"/>
        <w:ind w:firstLine="482" w:firstLineChars="200"/>
        <w:rPr>
          <w:b/>
          <w:color w:val="auto"/>
          <w:sz w:val="24"/>
          <w:highlight w:val="none"/>
        </w:rPr>
      </w:pPr>
      <w:r>
        <w:rPr>
          <w:rFonts w:hint="eastAsia"/>
          <w:b/>
          <w:color w:val="auto"/>
          <w:sz w:val="24"/>
          <w:highlight w:val="none"/>
        </w:rPr>
        <w:t>3.4 评审结果</w:t>
      </w:r>
    </w:p>
    <w:p w14:paraId="510A5601">
      <w:pPr>
        <w:spacing w:line="360" w:lineRule="auto"/>
        <w:ind w:firstLine="480" w:firstLineChars="200"/>
        <w:rPr>
          <w:color w:val="auto"/>
          <w:sz w:val="24"/>
          <w:highlight w:val="none"/>
        </w:rPr>
      </w:pPr>
      <w:r>
        <w:rPr>
          <w:rFonts w:hint="eastAsia"/>
          <w:color w:val="auto"/>
          <w:sz w:val="24"/>
          <w:highlight w:val="none"/>
        </w:rPr>
        <w:t>3.4.1 评审结果汇总，供应商结果排序；</w:t>
      </w:r>
    </w:p>
    <w:p w14:paraId="54C300B6">
      <w:pPr>
        <w:spacing w:line="360" w:lineRule="auto"/>
        <w:ind w:firstLine="480" w:firstLineChars="200"/>
        <w:rPr>
          <w:color w:val="auto"/>
          <w:sz w:val="24"/>
          <w:highlight w:val="none"/>
        </w:rPr>
      </w:pPr>
      <w:r>
        <w:rPr>
          <w:rFonts w:hint="eastAsia"/>
          <w:color w:val="auto"/>
          <w:sz w:val="24"/>
          <w:highlight w:val="none"/>
        </w:rPr>
        <w:t>3.4.2 起草评审报告，确定成交候选人。</w:t>
      </w:r>
    </w:p>
    <w:p w14:paraId="151D5958">
      <w:pPr>
        <w:spacing w:line="360" w:lineRule="auto"/>
        <w:ind w:firstLine="482" w:firstLineChars="200"/>
        <w:rPr>
          <w:color w:val="auto"/>
          <w:sz w:val="24"/>
          <w:highlight w:val="none"/>
        </w:rPr>
      </w:pPr>
      <w:r>
        <w:rPr>
          <w:rFonts w:hint="eastAsia"/>
          <w:b/>
          <w:color w:val="auto"/>
          <w:sz w:val="24"/>
          <w:highlight w:val="none"/>
        </w:rPr>
        <w:t>3.5 结果公布。</w:t>
      </w:r>
    </w:p>
    <w:bookmarkEnd w:id="161"/>
    <w:bookmarkEnd w:id="162"/>
    <w:p w14:paraId="23E06B5B">
      <w:pPr>
        <w:pStyle w:val="3"/>
        <w:tabs>
          <w:tab w:val="left" w:pos="871"/>
        </w:tabs>
        <w:spacing w:line="360" w:lineRule="auto"/>
        <w:ind w:left="117"/>
        <w:jc w:val="both"/>
        <w:rPr>
          <w:color w:val="auto"/>
          <w:highlight w:val="none"/>
        </w:rPr>
      </w:pPr>
      <w:bookmarkStart w:id="175" w:name="_Toc10005"/>
      <w:bookmarkStart w:id="176" w:name="_Toc28896"/>
      <w:bookmarkStart w:id="177" w:name="_Toc19572"/>
      <w:bookmarkStart w:id="178" w:name="_Toc390938606"/>
      <w:bookmarkStart w:id="179" w:name="_Toc5725"/>
      <w:bookmarkStart w:id="180" w:name="_Toc73349361"/>
      <w:bookmarkStart w:id="181" w:name="_Toc335664301"/>
      <w:r>
        <w:rPr>
          <w:rFonts w:hint="eastAsia"/>
          <w:color w:val="auto"/>
          <w:highlight w:val="none"/>
        </w:rPr>
        <w:t>四   磋商内容及规定</w:t>
      </w:r>
      <w:bookmarkEnd w:id="175"/>
      <w:bookmarkEnd w:id="176"/>
    </w:p>
    <w:p w14:paraId="56805C2A">
      <w:pPr>
        <w:spacing w:line="360" w:lineRule="auto"/>
        <w:ind w:firstLine="480" w:firstLineChars="200"/>
        <w:rPr>
          <w:color w:val="auto"/>
          <w:sz w:val="24"/>
          <w:highlight w:val="none"/>
        </w:rPr>
      </w:pPr>
      <w:r>
        <w:rPr>
          <w:rFonts w:hint="eastAsia"/>
          <w:color w:val="auto"/>
          <w:sz w:val="24"/>
          <w:highlight w:val="none"/>
        </w:rPr>
        <w:t>4.</w:t>
      </w:r>
      <w:r>
        <w:rPr>
          <w:rFonts w:hint="eastAsia"/>
          <w:color w:val="auto"/>
          <w:sz w:val="24"/>
          <w:highlight w:val="none"/>
          <w:lang w:val="en-US"/>
        </w:rPr>
        <w:t xml:space="preserve"> </w:t>
      </w:r>
      <w:r>
        <w:rPr>
          <w:rFonts w:hint="eastAsia"/>
          <w:color w:val="auto"/>
          <w:sz w:val="24"/>
          <w:highlight w:val="none"/>
        </w:rPr>
        <w:t>本评审办法采用综合评分法</w:t>
      </w:r>
      <w:r>
        <w:rPr>
          <w:rFonts w:hint="eastAsia"/>
          <w:color w:val="auto"/>
          <w:sz w:val="24"/>
          <w:highlight w:val="none"/>
          <w:lang w:eastAsia="zh-CN"/>
        </w:rPr>
        <w:t>，</w:t>
      </w:r>
      <w:r>
        <w:rPr>
          <w:rFonts w:hint="eastAsia"/>
          <w:color w:val="auto"/>
          <w:sz w:val="24"/>
          <w:highlight w:val="none"/>
        </w:rPr>
        <w:t>总分100分。</w:t>
      </w:r>
    </w:p>
    <w:p w14:paraId="52749896">
      <w:pPr>
        <w:spacing w:line="360" w:lineRule="auto"/>
        <w:ind w:firstLine="480" w:firstLineChars="200"/>
        <w:rPr>
          <w:color w:val="auto"/>
          <w:sz w:val="24"/>
          <w:highlight w:val="none"/>
        </w:rPr>
      </w:pPr>
      <w:r>
        <w:rPr>
          <w:rFonts w:hint="eastAsia"/>
          <w:color w:val="auto"/>
          <w:sz w:val="24"/>
          <w:highlight w:val="none"/>
        </w:rPr>
        <w:t>4.1</w:t>
      </w:r>
      <w:r>
        <w:rPr>
          <w:rFonts w:hint="eastAsia"/>
          <w:color w:val="auto"/>
          <w:sz w:val="24"/>
          <w:highlight w:val="none"/>
          <w:lang w:val="en-US"/>
        </w:rPr>
        <w:t xml:space="preserve"> </w:t>
      </w:r>
      <w:r>
        <w:rPr>
          <w:rFonts w:hint="eastAsia"/>
          <w:color w:val="auto"/>
          <w:sz w:val="24"/>
          <w:highlight w:val="none"/>
        </w:rPr>
        <w:t>资信商务及技术文件权重为</w:t>
      </w:r>
      <w:r>
        <w:rPr>
          <w:rFonts w:hint="eastAsia"/>
          <w:color w:val="auto"/>
          <w:sz w:val="24"/>
          <w:highlight w:val="none"/>
          <w:lang w:val="en-US" w:eastAsia="zh-CN"/>
        </w:rPr>
        <w:t>90</w:t>
      </w:r>
      <w:r>
        <w:rPr>
          <w:rFonts w:hint="eastAsia"/>
          <w:color w:val="auto"/>
          <w:sz w:val="24"/>
          <w:highlight w:val="none"/>
        </w:rPr>
        <w:t>%，分值为</w:t>
      </w:r>
      <w:r>
        <w:rPr>
          <w:rFonts w:hint="eastAsia"/>
          <w:color w:val="auto"/>
          <w:sz w:val="24"/>
          <w:highlight w:val="none"/>
          <w:lang w:val="en-US" w:eastAsia="zh-CN"/>
        </w:rPr>
        <w:t>90</w:t>
      </w:r>
      <w:r>
        <w:rPr>
          <w:rFonts w:hint="eastAsia"/>
          <w:color w:val="auto"/>
          <w:sz w:val="24"/>
          <w:highlight w:val="none"/>
        </w:rPr>
        <w:t>分。磋商小组对各磋商文件的资信商务及技术部分经充分审核后，在规定的分值内由磋商小组单独评定打分。</w:t>
      </w:r>
    </w:p>
    <w:p w14:paraId="65F37F93">
      <w:pPr>
        <w:spacing w:line="360" w:lineRule="auto"/>
        <w:ind w:firstLine="480" w:firstLineChars="200"/>
        <w:rPr>
          <w:color w:val="auto"/>
          <w:sz w:val="24"/>
          <w:highlight w:val="none"/>
        </w:rPr>
      </w:pPr>
      <w:r>
        <w:rPr>
          <w:rFonts w:hint="eastAsia"/>
          <w:color w:val="auto"/>
          <w:sz w:val="24"/>
          <w:highlight w:val="none"/>
        </w:rPr>
        <w:t>4.2</w:t>
      </w:r>
      <w:r>
        <w:rPr>
          <w:rFonts w:hint="eastAsia"/>
          <w:color w:val="auto"/>
          <w:sz w:val="24"/>
          <w:highlight w:val="none"/>
          <w:lang w:val="en-US"/>
        </w:rPr>
        <w:t xml:space="preserve"> </w:t>
      </w:r>
      <w:r>
        <w:rPr>
          <w:rFonts w:hint="eastAsia"/>
          <w:color w:val="auto"/>
          <w:sz w:val="24"/>
          <w:highlight w:val="none"/>
        </w:rPr>
        <w:t>磋商报价权重为</w:t>
      </w:r>
      <w:r>
        <w:rPr>
          <w:rFonts w:hint="eastAsia"/>
          <w:color w:val="auto"/>
          <w:sz w:val="24"/>
          <w:highlight w:val="none"/>
          <w:lang w:val="en-US" w:eastAsia="zh-CN"/>
        </w:rPr>
        <w:t>10</w:t>
      </w:r>
      <w:r>
        <w:rPr>
          <w:rFonts w:hint="eastAsia"/>
          <w:color w:val="auto"/>
          <w:sz w:val="24"/>
          <w:highlight w:val="none"/>
        </w:rPr>
        <w:t>%，分值为</w:t>
      </w:r>
      <w:r>
        <w:rPr>
          <w:rFonts w:hint="eastAsia"/>
          <w:color w:val="auto"/>
          <w:sz w:val="24"/>
          <w:highlight w:val="none"/>
          <w:lang w:val="en-US" w:eastAsia="zh-CN"/>
        </w:rPr>
        <w:t>10</w:t>
      </w:r>
      <w:r>
        <w:rPr>
          <w:rFonts w:hint="eastAsia"/>
          <w:color w:val="auto"/>
          <w:sz w:val="24"/>
          <w:highlight w:val="none"/>
        </w:rPr>
        <w:t>分，磋商小组按各磋商供应商的最终磋商报价统一计算。</w:t>
      </w:r>
    </w:p>
    <w:p w14:paraId="0626B47A">
      <w:pPr>
        <w:spacing w:line="360" w:lineRule="auto"/>
        <w:ind w:firstLine="480" w:firstLineChars="200"/>
        <w:rPr>
          <w:color w:val="auto"/>
          <w:sz w:val="24"/>
          <w:highlight w:val="none"/>
        </w:rPr>
      </w:pPr>
      <w:r>
        <w:rPr>
          <w:rFonts w:hint="eastAsia"/>
          <w:color w:val="auto"/>
          <w:sz w:val="24"/>
          <w:highlight w:val="none"/>
        </w:rPr>
        <w:t>4.3</w:t>
      </w:r>
      <w:r>
        <w:rPr>
          <w:rFonts w:hint="eastAsia"/>
          <w:color w:val="auto"/>
          <w:sz w:val="24"/>
          <w:highlight w:val="none"/>
          <w:lang w:val="en-US"/>
        </w:rPr>
        <w:t xml:space="preserve"> </w:t>
      </w:r>
      <w:r>
        <w:rPr>
          <w:rFonts w:hint="eastAsia"/>
          <w:color w:val="auto"/>
          <w:sz w:val="24"/>
          <w:highlight w:val="none"/>
        </w:rPr>
        <w:t>磋商小组成员在规定的分值范围内独立打分，评分保留一位小数。</w:t>
      </w:r>
    </w:p>
    <w:p w14:paraId="050DC9CA">
      <w:pPr>
        <w:pStyle w:val="3"/>
        <w:tabs>
          <w:tab w:val="left" w:pos="871"/>
        </w:tabs>
        <w:spacing w:line="360" w:lineRule="auto"/>
        <w:ind w:left="117"/>
        <w:jc w:val="both"/>
        <w:rPr>
          <w:color w:val="auto"/>
          <w:highlight w:val="none"/>
        </w:rPr>
      </w:pPr>
      <w:bookmarkStart w:id="182" w:name="_Toc26925"/>
      <w:bookmarkStart w:id="183" w:name="_Toc25653"/>
      <w:bookmarkStart w:id="184" w:name="_Toc5519"/>
      <w:r>
        <w:rPr>
          <w:rFonts w:hint="eastAsia"/>
          <w:color w:val="auto"/>
          <w:highlight w:val="none"/>
        </w:rPr>
        <w:t>五   评标办法和细则</w:t>
      </w:r>
      <w:bookmarkEnd w:id="182"/>
      <w:bookmarkEnd w:id="183"/>
      <w:bookmarkEnd w:id="184"/>
    </w:p>
    <w:p w14:paraId="46560005">
      <w:pPr>
        <w:spacing w:line="360" w:lineRule="auto"/>
        <w:ind w:firstLine="480" w:firstLineChars="200"/>
        <w:rPr>
          <w:color w:val="auto"/>
          <w:sz w:val="24"/>
          <w:highlight w:val="none"/>
        </w:rPr>
      </w:pPr>
      <w:r>
        <w:rPr>
          <w:rFonts w:hint="eastAsia"/>
          <w:color w:val="auto"/>
          <w:sz w:val="24"/>
          <w:highlight w:val="none"/>
          <w:lang w:val="en-US"/>
        </w:rPr>
        <w:t>5</w:t>
      </w:r>
      <w:r>
        <w:rPr>
          <w:color w:val="auto"/>
          <w:sz w:val="24"/>
          <w:highlight w:val="none"/>
        </w:rPr>
        <w:t>.</w:t>
      </w:r>
      <w:r>
        <w:rPr>
          <w:rFonts w:hint="eastAsia"/>
          <w:color w:val="auto"/>
          <w:sz w:val="24"/>
          <w:highlight w:val="none"/>
          <w:lang w:val="en-US"/>
        </w:rPr>
        <w:t xml:space="preserve">1 </w:t>
      </w:r>
      <w:r>
        <w:rPr>
          <w:rFonts w:hint="eastAsia"/>
          <w:color w:val="auto"/>
          <w:sz w:val="24"/>
          <w:highlight w:val="none"/>
        </w:rPr>
        <w:t>资信商务及技术文件分值共</w:t>
      </w:r>
      <w:r>
        <w:rPr>
          <w:rFonts w:hint="eastAsia"/>
          <w:color w:val="auto"/>
          <w:sz w:val="24"/>
          <w:highlight w:val="none"/>
          <w:lang w:val="en-US" w:eastAsia="zh-CN"/>
        </w:rPr>
        <w:t>90</w:t>
      </w:r>
      <w:r>
        <w:rPr>
          <w:rFonts w:hint="eastAsia"/>
          <w:color w:val="auto"/>
          <w:sz w:val="24"/>
          <w:highlight w:val="none"/>
        </w:rPr>
        <w:t>分，权重为</w:t>
      </w:r>
      <w:r>
        <w:rPr>
          <w:rFonts w:hint="eastAsia"/>
          <w:color w:val="auto"/>
          <w:sz w:val="24"/>
          <w:highlight w:val="none"/>
          <w:lang w:val="en-US" w:eastAsia="zh-CN"/>
        </w:rPr>
        <w:t>90</w:t>
      </w:r>
      <w:r>
        <w:rPr>
          <w:rFonts w:hint="eastAsia"/>
          <w:color w:val="auto"/>
          <w:sz w:val="24"/>
          <w:highlight w:val="none"/>
        </w:rPr>
        <w:t>%，由评审小组成员独立打分。</w:t>
      </w:r>
    </w:p>
    <w:tbl>
      <w:tblPr>
        <w:tblStyle w:val="33"/>
        <w:tblpPr w:leftFromText="180" w:rightFromText="180" w:vertAnchor="text" w:tblpXSpec="center" w:tblpY="1"/>
        <w:tblW w:w="0" w:type="auto"/>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349"/>
        <w:gridCol w:w="6386"/>
        <w:gridCol w:w="969"/>
      </w:tblGrid>
      <w:tr w14:paraId="262A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10" w:type="dxa"/>
            <w:vAlign w:val="center"/>
          </w:tcPr>
          <w:p w14:paraId="1C257780">
            <w:pPr>
              <w:spacing w:line="240" w:lineRule="auto"/>
              <w:jc w:val="center"/>
              <w:rPr>
                <w:rFonts w:hint="eastAsia" w:ascii="仿宋" w:hAnsi="仿宋" w:eastAsia="仿宋" w:cs="仿宋"/>
                <w:sz w:val="24"/>
                <w:szCs w:val="24"/>
              </w:rPr>
            </w:pPr>
            <w:r>
              <w:rPr>
                <w:rFonts w:hint="eastAsia" w:ascii="仿宋" w:hAnsi="仿宋" w:eastAsia="仿宋" w:cs="仿宋"/>
                <w:b/>
                <w:sz w:val="24"/>
                <w:szCs w:val="24"/>
              </w:rPr>
              <w:t>序号</w:t>
            </w:r>
          </w:p>
        </w:tc>
        <w:tc>
          <w:tcPr>
            <w:tcW w:w="1349" w:type="dxa"/>
            <w:vAlign w:val="center"/>
          </w:tcPr>
          <w:p w14:paraId="5614B1D0">
            <w:pPr>
              <w:spacing w:line="240" w:lineRule="auto"/>
              <w:jc w:val="center"/>
              <w:rPr>
                <w:rFonts w:hint="eastAsia" w:ascii="仿宋" w:hAnsi="仿宋" w:eastAsia="仿宋" w:cs="仿宋"/>
                <w:b/>
                <w:bCs w:val="0"/>
                <w:sz w:val="24"/>
                <w:szCs w:val="24"/>
              </w:rPr>
            </w:pPr>
            <w:r>
              <w:rPr>
                <w:rFonts w:hint="eastAsia" w:ascii="仿宋" w:hAnsi="仿宋" w:eastAsia="仿宋" w:cs="仿宋"/>
                <w:b/>
                <w:bCs w:val="0"/>
                <w:sz w:val="24"/>
                <w:szCs w:val="24"/>
              </w:rPr>
              <w:t>评分内容</w:t>
            </w:r>
          </w:p>
        </w:tc>
        <w:tc>
          <w:tcPr>
            <w:tcW w:w="6386" w:type="dxa"/>
            <w:vAlign w:val="center"/>
          </w:tcPr>
          <w:p w14:paraId="22335338">
            <w:pPr>
              <w:spacing w:line="240" w:lineRule="auto"/>
              <w:jc w:val="center"/>
              <w:rPr>
                <w:rFonts w:hint="eastAsia" w:ascii="仿宋" w:hAnsi="仿宋" w:eastAsia="仿宋" w:cs="仿宋"/>
                <w:sz w:val="24"/>
                <w:szCs w:val="24"/>
                <w:lang w:eastAsia="zh-CN"/>
              </w:rPr>
            </w:pPr>
            <w:r>
              <w:rPr>
                <w:rFonts w:hint="eastAsia" w:ascii="仿宋" w:hAnsi="仿宋" w:eastAsia="仿宋" w:cs="仿宋"/>
                <w:b/>
                <w:sz w:val="24"/>
                <w:szCs w:val="24"/>
              </w:rPr>
              <w:t>评审标准</w:t>
            </w:r>
            <w:r>
              <w:rPr>
                <w:rFonts w:hint="eastAsia" w:ascii="仿宋" w:hAnsi="仿宋" w:eastAsia="仿宋" w:cs="仿宋"/>
                <w:b/>
                <w:sz w:val="24"/>
                <w:szCs w:val="24"/>
                <w:lang w:eastAsia="zh-CN"/>
              </w:rPr>
              <w:t>（缺项为</w:t>
            </w:r>
            <w:r>
              <w:rPr>
                <w:rFonts w:hint="eastAsia" w:ascii="仿宋" w:hAnsi="仿宋" w:eastAsia="仿宋" w:cs="仿宋"/>
                <w:b/>
                <w:sz w:val="24"/>
                <w:szCs w:val="24"/>
                <w:lang w:val="en-US" w:eastAsia="zh-CN"/>
              </w:rPr>
              <w:t>0</w:t>
            </w:r>
            <w:r>
              <w:rPr>
                <w:rFonts w:hint="eastAsia" w:ascii="仿宋" w:hAnsi="仿宋" w:eastAsia="仿宋" w:cs="仿宋"/>
                <w:b/>
                <w:sz w:val="24"/>
                <w:szCs w:val="24"/>
                <w:lang w:eastAsia="zh-CN"/>
              </w:rPr>
              <w:t>）</w:t>
            </w:r>
          </w:p>
        </w:tc>
        <w:tc>
          <w:tcPr>
            <w:tcW w:w="969" w:type="dxa"/>
            <w:vAlign w:val="center"/>
          </w:tcPr>
          <w:p w14:paraId="75961245">
            <w:pPr>
              <w:spacing w:line="240" w:lineRule="auto"/>
              <w:jc w:val="center"/>
              <w:rPr>
                <w:rFonts w:hint="eastAsia" w:ascii="仿宋" w:hAnsi="仿宋" w:eastAsia="仿宋" w:cs="仿宋"/>
                <w:sz w:val="24"/>
                <w:szCs w:val="24"/>
              </w:rPr>
            </w:pPr>
            <w:r>
              <w:rPr>
                <w:rFonts w:hint="eastAsia" w:ascii="仿宋" w:hAnsi="仿宋" w:eastAsia="仿宋" w:cs="仿宋"/>
                <w:b/>
                <w:sz w:val="24"/>
                <w:szCs w:val="24"/>
              </w:rPr>
              <w:t>分值</w:t>
            </w:r>
          </w:p>
        </w:tc>
      </w:tr>
      <w:tr w14:paraId="7A65F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710" w:type="dxa"/>
            <w:vAlign w:val="center"/>
          </w:tcPr>
          <w:p w14:paraId="4692E588">
            <w:pPr>
              <w:keepNext w:val="0"/>
              <w:keepLines w:val="0"/>
              <w:widowControl/>
              <w:suppressLineNumbers w:val="0"/>
              <w:spacing w:line="240" w:lineRule="auto"/>
              <w:jc w:val="center"/>
              <w:textAlignment w:val="center"/>
              <w:rPr>
                <w:rFonts w:hint="eastAsia" w:ascii="仿宋" w:hAnsi="仿宋" w:eastAsia="仿宋" w:cs="仿宋"/>
                <w:b/>
                <w:bCs/>
                <w:color w:val="auto"/>
                <w:sz w:val="24"/>
                <w:szCs w:val="24"/>
                <w:lang w:val="en-US" w:eastAsia="zh-CN"/>
              </w:rPr>
            </w:pPr>
            <w:bookmarkStart w:id="185" w:name="_Toc4343"/>
            <w:bookmarkStart w:id="186" w:name="_Toc17742"/>
            <w:bookmarkStart w:id="187" w:name="_Toc25247"/>
            <w:r>
              <w:rPr>
                <w:rFonts w:hint="eastAsia" w:ascii="仿宋" w:hAnsi="仿宋" w:eastAsia="仿宋" w:cs="仿宋"/>
                <w:b/>
                <w:bCs/>
                <w:i w:val="0"/>
                <w:iCs w:val="0"/>
                <w:color w:val="000000"/>
                <w:kern w:val="0"/>
                <w:sz w:val="24"/>
                <w:szCs w:val="24"/>
                <w:u w:val="none"/>
                <w:lang w:val="en-US" w:eastAsia="zh-CN" w:bidi="ar"/>
              </w:rPr>
              <w:t>1</w:t>
            </w:r>
          </w:p>
        </w:tc>
        <w:tc>
          <w:tcPr>
            <w:tcW w:w="1349" w:type="dxa"/>
            <w:vAlign w:val="center"/>
          </w:tcPr>
          <w:p w14:paraId="2C4EF3E0">
            <w:pPr>
              <w:spacing w:line="240" w:lineRule="auto"/>
              <w:jc w:val="center"/>
              <w:rPr>
                <w:rFonts w:hint="eastAsia" w:ascii="仿宋" w:hAnsi="仿宋" w:eastAsia="仿宋" w:cs="仿宋"/>
                <w:b/>
                <w:bCs w:val="0"/>
                <w:strike w:val="0"/>
                <w:dstrike w:val="0"/>
                <w:color w:val="auto"/>
                <w:sz w:val="24"/>
                <w:szCs w:val="24"/>
                <w:lang w:eastAsia="zh-CN"/>
              </w:rPr>
            </w:pPr>
            <w:r>
              <w:rPr>
                <w:rFonts w:hint="eastAsia" w:ascii="仿宋" w:hAnsi="仿宋" w:eastAsia="仿宋" w:cs="仿宋"/>
                <w:b/>
                <w:bCs w:val="0"/>
                <w:color w:val="auto"/>
                <w:sz w:val="24"/>
                <w:szCs w:val="24"/>
                <w:highlight w:val="none"/>
              </w:rPr>
              <w:t>类似业绩</w:t>
            </w:r>
          </w:p>
        </w:tc>
        <w:tc>
          <w:tcPr>
            <w:tcW w:w="6386" w:type="dxa"/>
            <w:vAlign w:val="center"/>
          </w:tcPr>
          <w:p w14:paraId="4FBB51A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投标人自2022年1月1日起至投标截止日止（以合同签订时间为准），具有类似服务项目业绩的，每提供1个得0.5分，最高得1分。</w:t>
            </w:r>
          </w:p>
          <w:p w14:paraId="7315BD8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trike w:val="0"/>
                <w:dstrike w:val="0"/>
                <w:color w:val="auto"/>
                <w:sz w:val="24"/>
                <w:szCs w:val="24"/>
                <w:lang w:eastAsia="zh-CN"/>
              </w:rPr>
            </w:pPr>
            <w:r>
              <w:rPr>
                <w:rFonts w:hint="eastAsia" w:ascii="仿宋" w:hAnsi="仿宋" w:eastAsia="仿宋" w:cs="仿宋"/>
                <w:b/>
                <w:bCs/>
                <w:color w:val="auto"/>
                <w:sz w:val="24"/>
                <w:szCs w:val="24"/>
                <w:highlight w:val="none"/>
                <w:lang w:val="en-US" w:eastAsia="zh-CN"/>
              </w:rPr>
              <w:t>注：须提供业绩合同扫描件加盖公章，否则不得分。</w:t>
            </w:r>
          </w:p>
        </w:tc>
        <w:tc>
          <w:tcPr>
            <w:tcW w:w="969" w:type="dxa"/>
            <w:vAlign w:val="center"/>
          </w:tcPr>
          <w:p w14:paraId="01D2883B">
            <w:pPr>
              <w:widowControl/>
              <w:spacing w:line="240" w:lineRule="auto"/>
              <w:jc w:val="center"/>
              <w:rPr>
                <w:rFonts w:hint="eastAsia" w:ascii="仿宋" w:hAnsi="仿宋" w:eastAsia="仿宋" w:cs="仿宋"/>
                <w:b w:val="0"/>
                <w:bCs w:val="0"/>
                <w:strike w:val="0"/>
                <w:dstrike w:val="0"/>
                <w:color w:val="auto"/>
                <w:sz w:val="24"/>
                <w:szCs w:val="24"/>
                <w:lang w:val="en-US" w:eastAsia="zh-CN"/>
              </w:rPr>
            </w:pPr>
            <w:r>
              <w:rPr>
                <w:rFonts w:hint="eastAsia" w:ascii="仿宋" w:hAnsi="仿宋" w:eastAsia="仿宋" w:cs="仿宋"/>
                <w:color w:val="auto"/>
                <w:sz w:val="24"/>
                <w:szCs w:val="24"/>
                <w:highlight w:val="none"/>
                <w:lang w:val="en-US"/>
              </w:rPr>
              <w:t>1分</w:t>
            </w:r>
          </w:p>
        </w:tc>
      </w:tr>
      <w:tr w14:paraId="6631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710" w:type="dxa"/>
            <w:vAlign w:val="center"/>
          </w:tcPr>
          <w:p w14:paraId="30A62F7F">
            <w:pPr>
              <w:keepNext w:val="0"/>
              <w:keepLines w:val="0"/>
              <w:widowControl/>
              <w:suppressLineNumbers w:val="0"/>
              <w:spacing w:line="240" w:lineRule="auto"/>
              <w:jc w:val="center"/>
              <w:textAlignment w:val="center"/>
              <w:rPr>
                <w:rFonts w:hint="eastAsia" w:ascii="仿宋" w:hAnsi="仿宋" w:eastAsia="仿宋" w:cs="仿宋"/>
                <w:b/>
                <w:bCs/>
                <w:color w:val="auto"/>
                <w:sz w:val="24"/>
                <w:szCs w:val="24"/>
                <w:highlight w:val="none"/>
                <w:lang w:val="en-US" w:eastAsia="zh-CN"/>
              </w:rPr>
            </w:pPr>
            <w:bookmarkStart w:id="188" w:name="_Toc23575"/>
            <w:r>
              <w:rPr>
                <w:rFonts w:hint="eastAsia" w:ascii="仿宋" w:hAnsi="仿宋" w:eastAsia="仿宋" w:cs="仿宋"/>
                <w:b/>
                <w:bCs/>
                <w:i w:val="0"/>
                <w:iCs w:val="0"/>
                <w:color w:val="000000"/>
                <w:kern w:val="0"/>
                <w:sz w:val="24"/>
                <w:szCs w:val="24"/>
                <w:u w:val="none"/>
                <w:lang w:val="en-US" w:eastAsia="zh-CN" w:bidi="ar"/>
              </w:rPr>
              <w:t>2</w:t>
            </w:r>
          </w:p>
        </w:tc>
        <w:tc>
          <w:tcPr>
            <w:tcW w:w="1349" w:type="dxa"/>
            <w:vAlign w:val="center"/>
          </w:tcPr>
          <w:p w14:paraId="02052CD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kern w:val="2"/>
                <w:sz w:val="24"/>
                <w:szCs w:val="24"/>
                <w:highlight w:val="none"/>
                <w:lang w:val="en-US" w:eastAsia="zh-CN" w:bidi="ar-SA"/>
              </w:rPr>
              <w:t>项目理解及分析</w:t>
            </w:r>
          </w:p>
        </w:tc>
        <w:tc>
          <w:tcPr>
            <w:tcW w:w="6386" w:type="dxa"/>
            <w:vAlign w:val="center"/>
          </w:tcPr>
          <w:p w14:paraId="0C0DDC9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根据投标人针对本项目实施</w:t>
            </w:r>
            <w:r>
              <w:rPr>
                <w:rFonts w:hint="eastAsia" w:cs="仿宋"/>
                <w:color w:val="auto"/>
                <w:sz w:val="24"/>
                <w:szCs w:val="24"/>
                <w:highlight w:val="none"/>
                <w:lang w:val="en-US" w:eastAsia="zh-CN" w:bidi="ar-SA"/>
              </w:rPr>
              <w:t>赛事</w:t>
            </w:r>
            <w:r>
              <w:rPr>
                <w:rFonts w:hint="eastAsia" w:ascii="仿宋" w:hAnsi="仿宋" w:eastAsia="仿宋" w:cs="仿宋"/>
                <w:color w:val="auto"/>
                <w:sz w:val="24"/>
                <w:szCs w:val="24"/>
                <w:highlight w:val="none"/>
                <w:lang w:val="en-US" w:eastAsia="zh-CN" w:bidi="ar-SA"/>
              </w:rPr>
              <w:t>背景</w:t>
            </w:r>
            <w:r>
              <w:rPr>
                <w:rFonts w:hint="eastAsia" w:cs="仿宋"/>
                <w:color w:val="auto"/>
                <w:sz w:val="24"/>
                <w:szCs w:val="24"/>
                <w:highlight w:val="none"/>
                <w:lang w:val="en-US" w:eastAsia="zh-CN" w:bidi="ar-SA"/>
              </w:rPr>
              <w:t>、</w:t>
            </w:r>
            <w:r>
              <w:rPr>
                <w:rFonts w:hint="eastAsia" w:ascii="仿宋" w:hAnsi="仿宋" w:eastAsia="仿宋" w:cs="仿宋"/>
                <w:color w:val="auto"/>
                <w:sz w:val="24"/>
                <w:szCs w:val="24"/>
                <w:highlight w:val="none"/>
                <w:lang w:eastAsia="zh-CN"/>
              </w:rPr>
              <w:t>目标分析</w:t>
            </w:r>
            <w:r>
              <w:rPr>
                <w:rFonts w:hint="eastAsia" w:cs="仿宋"/>
                <w:color w:val="auto"/>
                <w:sz w:val="24"/>
                <w:szCs w:val="24"/>
                <w:highlight w:val="none"/>
                <w:lang w:eastAsia="zh-CN"/>
              </w:rPr>
              <w:t>、</w:t>
            </w:r>
            <w:r>
              <w:rPr>
                <w:rFonts w:hint="eastAsia" w:cs="仿宋"/>
                <w:color w:val="auto"/>
                <w:sz w:val="24"/>
                <w:szCs w:val="24"/>
                <w:highlight w:val="none"/>
                <w:lang w:val="en-US" w:eastAsia="zh-CN"/>
              </w:rPr>
              <w:t>对赛事承办的意义</w:t>
            </w:r>
            <w:r>
              <w:rPr>
                <w:rFonts w:hint="eastAsia" w:ascii="仿宋" w:hAnsi="仿宋" w:eastAsia="仿宋" w:cs="仿宋"/>
                <w:color w:val="auto"/>
                <w:sz w:val="24"/>
                <w:szCs w:val="24"/>
                <w:highlight w:val="none"/>
                <w:lang w:val="en-US" w:eastAsia="zh-CN" w:bidi="ar-SA"/>
              </w:rPr>
              <w:t>理解及分析是否到位，且理解分析是否具有全面性、合理性</w:t>
            </w:r>
            <w:r>
              <w:rPr>
                <w:rFonts w:hint="eastAsia" w:ascii="仿宋" w:hAnsi="仿宋" w:eastAsia="仿宋" w:cs="仿宋"/>
                <w:color w:val="auto"/>
                <w:sz w:val="24"/>
                <w:szCs w:val="24"/>
                <w:highlight w:val="none"/>
                <w:lang w:val="zh-CN" w:eastAsia="zh-CN" w:bidi="ar-SA"/>
              </w:rPr>
              <w:t>，</w:t>
            </w:r>
            <w:r>
              <w:rPr>
                <w:rFonts w:hint="eastAsia" w:ascii="仿宋" w:hAnsi="仿宋" w:eastAsia="仿宋" w:cs="仿宋"/>
                <w:color w:val="auto"/>
                <w:sz w:val="24"/>
                <w:szCs w:val="24"/>
                <w:highlight w:val="none"/>
                <w:lang w:val="en-US" w:eastAsia="zh-CN" w:bidi="ar-SA"/>
              </w:rPr>
              <w:t>由评委进行综合评审。（评分范围：5，4，3，2，1，0分）</w:t>
            </w:r>
          </w:p>
        </w:tc>
        <w:tc>
          <w:tcPr>
            <w:tcW w:w="969" w:type="dxa"/>
            <w:vAlign w:val="center"/>
          </w:tcPr>
          <w:p w14:paraId="4A5E852E">
            <w:pPr>
              <w:widowControl/>
              <w:spacing w:line="240" w:lineRule="auto"/>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en-US"/>
              </w:rPr>
              <w:t>分</w:t>
            </w:r>
          </w:p>
        </w:tc>
      </w:tr>
      <w:tr w14:paraId="0178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10" w:type="dxa"/>
            <w:shd w:val="clear" w:color="auto" w:fill="auto"/>
            <w:vAlign w:val="center"/>
          </w:tcPr>
          <w:p w14:paraId="4178431F">
            <w:pPr>
              <w:keepNext w:val="0"/>
              <w:keepLines w:val="0"/>
              <w:widowControl/>
              <w:suppressLineNumbers w:val="0"/>
              <w:spacing w:line="240" w:lineRule="auto"/>
              <w:jc w:val="center"/>
              <w:textAlignment w:val="center"/>
              <w:rPr>
                <w:rFonts w:hint="eastAsia" w:ascii="仿宋" w:hAnsi="仿宋" w:eastAsia="仿宋" w:cs="仿宋"/>
                <w:b/>
                <w:bCs/>
                <w:sz w:val="24"/>
                <w:szCs w:val="24"/>
                <w:lang w:val="en-US" w:eastAsia="zh-CN" w:bidi="zh-CN"/>
              </w:rPr>
            </w:pPr>
            <w:r>
              <w:rPr>
                <w:rFonts w:hint="eastAsia" w:ascii="仿宋" w:hAnsi="仿宋" w:eastAsia="仿宋" w:cs="仿宋"/>
                <w:b/>
                <w:bCs/>
                <w:i w:val="0"/>
                <w:iCs w:val="0"/>
                <w:color w:val="000000"/>
                <w:kern w:val="0"/>
                <w:sz w:val="24"/>
                <w:szCs w:val="24"/>
                <w:u w:val="none"/>
                <w:lang w:val="en-US" w:eastAsia="zh-CN" w:bidi="ar"/>
              </w:rPr>
              <w:t>3</w:t>
            </w:r>
          </w:p>
        </w:tc>
        <w:tc>
          <w:tcPr>
            <w:tcW w:w="1349" w:type="dxa"/>
            <w:vAlign w:val="center"/>
          </w:tcPr>
          <w:p w14:paraId="2278C8F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重难点分析及解决措施</w:t>
            </w:r>
          </w:p>
        </w:tc>
        <w:tc>
          <w:tcPr>
            <w:tcW w:w="6386" w:type="dxa"/>
            <w:vAlign w:val="center"/>
          </w:tcPr>
          <w:p w14:paraId="00812731">
            <w:pPr>
              <w:pStyle w:val="90"/>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根据投标人对本项目</w:t>
            </w:r>
            <w:r>
              <w:rPr>
                <w:rFonts w:hint="eastAsia" w:ascii="仿宋" w:hAnsi="仿宋" w:eastAsia="仿宋" w:cs="仿宋"/>
                <w:color w:val="000000"/>
                <w:sz w:val="24"/>
                <w:szCs w:val="24"/>
                <w:lang w:val="en-US" w:eastAsia="zh-CN"/>
              </w:rPr>
              <w:t>赛事策划筹备阶段、组织实施阶段、后勤保障阶段</w:t>
            </w:r>
            <w:r>
              <w:rPr>
                <w:rFonts w:hint="eastAsia" w:ascii="仿宋" w:hAnsi="仿宋" w:eastAsia="仿宋" w:cs="仿宋"/>
                <w:color w:val="000000"/>
                <w:sz w:val="24"/>
                <w:szCs w:val="24"/>
              </w:rPr>
              <w:t>和其他不可预见问题</w:t>
            </w:r>
            <w:r>
              <w:rPr>
                <w:rFonts w:hint="eastAsia" w:ascii="仿宋" w:hAnsi="仿宋" w:eastAsia="仿宋" w:cs="仿宋"/>
                <w:color w:val="auto"/>
                <w:kern w:val="2"/>
                <w:sz w:val="24"/>
                <w:szCs w:val="24"/>
                <w:highlight w:val="none"/>
                <w:lang w:val="en-US" w:eastAsia="zh-CN" w:bidi="ar-SA"/>
              </w:rPr>
              <w:t>的重点、难点分析和提出相应的解决办法及措施方案等</w:t>
            </w:r>
            <w:r>
              <w:rPr>
                <w:rFonts w:hint="eastAsia" w:ascii="仿宋" w:hAnsi="仿宋" w:eastAsia="仿宋" w:cs="仿宋"/>
                <w:color w:val="auto"/>
                <w:sz w:val="24"/>
                <w:szCs w:val="24"/>
                <w:highlight w:val="none"/>
                <w:lang w:val="en-US" w:eastAsia="zh-CN"/>
              </w:rPr>
              <w:t>，由评委进行综合评审。（评分范围：5，4，3，2，1，0分）</w:t>
            </w:r>
          </w:p>
        </w:tc>
        <w:tc>
          <w:tcPr>
            <w:tcW w:w="969" w:type="dxa"/>
            <w:vAlign w:val="center"/>
          </w:tcPr>
          <w:p w14:paraId="650D31C2">
            <w:pPr>
              <w:snapToGri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bookmarkEnd w:id="188"/>
      <w:tr w14:paraId="38692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710" w:type="dxa"/>
            <w:shd w:val="clear" w:color="auto" w:fill="auto"/>
            <w:vAlign w:val="center"/>
          </w:tcPr>
          <w:p w14:paraId="4C763962">
            <w:pPr>
              <w:keepNext w:val="0"/>
              <w:keepLines w:val="0"/>
              <w:widowControl/>
              <w:suppressLineNumbers w:val="0"/>
              <w:spacing w:line="240" w:lineRule="auto"/>
              <w:jc w:val="center"/>
              <w:textAlignment w:val="center"/>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i w:val="0"/>
                <w:iCs w:val="0"/>
                <w:color w:val="auto"/>
                <w:kern w:val="0"/>
                <w:sz w:val="24"/>
                <w:szCs w:val="24"/>
                <w:u w:val="none"/>
                <w:lang w:val="en-US" w:eastAsia="zh-CN" w:bidi="ar"/>
              </w:rPr>
              <w:t>4</w:t>
            </w:r>
          </w:p>
        </w:tc>
        <w:tc>
          <w:tcPr>
            <w:tcW w:w="1349" w:type="dxa"/>
            <w:shd w:val="clear" w:color="auto" w:fill="auto"/>
            <w:vAlign w:val="center"/>
          </w:tcPr>
          <w:p w14:paraId="2B7B7B02">
            <w:pPr>
              <w:spacing w:line="240" w:lineRule="auto"/>
              <w:jc w:val="center"/>
              <w:rPr>
                <w:rFonts w:hint="eastAsia" w:ascii="仿宋" w:hAnsi="仿宋" w:eastAsia="仿宋" w:cs="仿宋"/>
                <w:b/>
                <w:bCs w:val="0"/>
                <w:color w:val="auto"/>
                <w:sz w:val="24"/>
                <w:szCs w:val="24"/>
                <w:lang w:val="en-US" w:eastAsia="zh-CN" w:bidi="zh-CN"/>
              </w:rPr>
            </w:pPr>
            <w:r>
              <w:rPr>
                <w:rFonts w:hint="eastAsia" w:ascii="宋体" w:hAnsi="宋体"/>
                <w:b/>
                <w:color w:val="auto"/>
                <w:sz w:val="24"/>
                <w:szCs w:val="32"/>
              </w:rPr>
              <w:t>赛事</w:t>
            </w:r>
            <w:r>
              <w:rPr>
                <w:rFonts w:hint="eastAsia" w:ascii="宋体" w:hAnsi="宋体"/>
                <w:b/>
                <w:color w:val="auto"/>
                <w:sz w:val="24"/>
                <w:szCs w:val="32"/>
                <w:lang w:val="en-US" w:eastAsia="zh-CN"/>
              </w:rPr>
              <w:t>整体</w:t>
            </w:r>
            <w:r>
              <w:rPr>
                <w:rFonts w:hint="eastAsia" w:ascii="宋体" w:hAnsi="宋体"/>
                <w:b/>
                <w:color w:val="auto"/>
                <w:sz w:val="24"/>
                <w:szCs w:val="32"/>
              </w:rPr>
              <w:t>策划</w:t>
            </w:r>
            <w:r>
              <w:rPr>
                <w:rFonts w:hint="eastAsia" w:ascii="宋体" w:hAnsi="宋体"/>
                <w:b/>
                <w:color w:val="auto"/>
                <w:sz w:val="24"/>
                <w:szCs w:val="32"/>
                <w:lang w:val="en-US" w:eastAsia="zh-CN"/>
              </w:rPr>
              <w:t>方案</w:t>
            </w:r>
          </w:p>
        </w:tc>
        <w:tc>
          <w:tcPr>
            <w:tcW w:w="6386" w:type="dxa"/>
            <w:shd w:val="clear" w:color="auto" w:fill="auto"/>
            <w:vAlign w:val="center"/>
          </w:tcPr>
          <w:p w14:paraId="18337223">
            <w:pPr>
              <w:keepNext w:val="0"/>
              <w:keepLines w:val="0"/>
              <w:pageBreakBefore w:val="0"/>
              <w:kinsoku/>
              <w:wordWrap/>
              <w:overflowPunct/>
              <w:topLinePunct w:val="0"/>
              <w:autoSpaceDE/>
              <w:autoSpaceDN/>
              <w:bidi w:val="0"/>
              <w:snapToGrid w:val="0"/>
              <w:spacing w:before="0" w:beforeAutospacing="0" w:after="0" w:afterAutospacing="0" w:line="240" w:lineRule="auto"/>
              <w:jc w:val="both"/>
              <w:textAlignment w:val="baseline"/>
              <w:rPr>
                <w:rFonts w:hint="eastAsia" w:ascii="仿宋" w:hAnsi="仿宋" w:eastAsia="仿宋" w:cs="仿宋"/>
                <w:color w:val="auto"/>
                <w:sz w:val="24"/>
                <w:szCs w:val="24"/>
                <w:lang w:val="zh-CN" w:eastAsia="zh-CN" w:bidi="zh-CN"/>
              </w:rPr>
            </w:pPr>
            <w:r>
              <w:rPr>
                <w:rFonts w:hint="eastAsia" w:cs="仿宋"/>
                <w:color w:val="auto"/>
                <w:kern w:val="2"/>
                <w:sz w:val="24"/>
                <w:szCs w:val="24"/>
                <w:highlight w:val="none"/>
                <w:lang w:val="en-US" w:eastAsia="zh-CN" w:bidi="ar-SA"/>
              </w:rPr>
              <w:t>根据投标人针对</w:t>
            </w:r>
            <w:r>
              <w:rPr>
                <w:rFonts w:hint="eastAsia" w:ascii="仿宋" w:hAnsi="仿宋" w:eastAsia="仿宋" w:cs="仿宋"/>
                <w:color w:val="auto"/>
                <w:kern w:val="2"/>
                <w:sz w:val="24"/>
                <w:szCs w:val="24"/>
                <w:highlight w:val="none"/>
                <w:lang w:val="en-US" w:eastAsia="zh-CN" w:bidi="ar-SA"/>
              </w:rPr>
              <w:t>本项目</w:t>
            </w:r>
            <w:r>
              <w:rPr>
                <w:rFonts w:hint="eastAsia" w:cs="仿宋"/>
                <w:color w:val="auto"/>
                <w:kern w:val="2"/>
                <w:sz w:val="24"/>
                <w:szCs w:val="24"/>
                <w:highlight w:val="none"/>
                <w:lang w:val="en-US" w:eastAsia="zh-CN" w:bidi="ar-SA"/>
              </w:rPr>
              <w:t>提供的</w:t>
            </w:r>
            <w:r>
              <w:rPr>
                <w:rFonts w:hint="eastAsia" w:ascii="仿宋" w:hAnsi="仿宋" w:eastAsia="仿宋" w:cs="仿宋"/>
                <w:color w:val="auto"/>
                <w:sz w:val="24"/>
              </w:rPr>
              <w:t>本赛事总体思路策划方案（包含赛事定位与目标设定、赛事规划与设计等）的完整性、可行性、创新性和合理性等</w:t>
            </w:r>
            <w:r>
              <w:rPr>
                <w:rFonts w:hint="eastAsia" w:ascii="仿宋" w:hAnsi="仿宋" w:eastAsia="仿宋" w:cs="仿宋"/>
                <w:bCs/>
                <w:color w:val="auto"/>
                <w:kern w:val="0"/>
                <w:sz w:val="24"/>
                <w:szCs w:val="24"/>
                <w:highlight w:val="none"/>
                <w:lang w:val="en-US" w:eastAsia="zh-CN"/>
              </w:rPr>
              <w:t>从方案的合理性、可操作性等</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由评委进行综合评审。</w:t>
            </w:r>
            <w:r>
              <w:rPr>
                <w:rFonts w:hint="eastAsia" w:ascii="仿宋" w:hAnsi="仿宋" w:eastAsia="仿宋" w:cs="仿宋"/>
                <w:bCs/>
                <w:color w:val="auto"/>
                <w:kern w:val="0"/>
                <w:sz w:val="24"/>
                <w:szCs w:val="24"/>
                <w:highlight w:val="none"/>
                <w:lang w:val="en-US" w:eastAsia="zh-CN"/>
              </w:rPr>
              <w:t>（评分范围：5，4，3，2，1，0分）</w:t>
            </w:r>
          </w:p>
        </w:tc>
        <w:tc>
          <w:tcPr>
            <w:tcW w:w="969" w:type="dxa"/>
            <w:shd w:val="clear" w:color="auto" w:fill="auto"/>
            <w:vAlign w:val="center"/>
          </w:tcPr>
          <w:p w14:paraId="1573EDE3">
            <w:pPr>
              <w:spacing w:line="240" w:lineRule="auto"/>
              <w:jc w:val="center"/>
              <w:rPr>
                <w:rFonts w:hint="eastAsia" w:ascii="仿宋" w:hAnsi="仿宋" w:eastAsia="仿宋" w:cs="仿宋"/>
                <w:b/>
                <w:bCs/>
                <w:sz w:val="24"/>
                <w:szCs w:val="24"/>
                <w:lang w:val="en-US" w:eastAsia="zh-CN" w:bidi="zh-CN"/>
              </w:rPr>
            </w:pPr>
            <w:r>
              <w:rPr>
                <w:rFonts w:hint="eastAsia"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tr w14:paraId="1FA67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710" w:type="dxa"/>
            <w:shd w:val="clear" w:color="auto" w:fill="auto"/>
            <w:vAlign w:val="center"/>
          </w:tcPr>
          <w:p w14:paraId="59EF1C9B">
            <w:pPr>
              <w:keepNext w:val="0"/>
              <w:keepLines w:val="0"/>
              <w:widowControl/>
              <w:suppressLineNumbers w:val="0"/>
              <w:spacing w:line="240" w:lineRule="auto"/>
              <w:jc w:val="center"/>
              <w:textAlignment w:val="center"/>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i w:val="0"/>
                <w:iCs w:val="0"/>
                <w:color w:val="000000"/>
                <w:kern w:val="0"/>
                <w:sz w:val="24"/>
                <w:szCs w:val="24"/>
                <w:u w:val="none"/>
                <w:lang w:val="en-US" w:eastAsia="zh-CN" w:bidi="ar"/>
              </w:rPr>
              <w:t>5</w:t>
            </w:r>
          </w:p>
        </w:tc>
        <w:tc>
          <w:tcPr>
            <w:tcW w:w="1349" w:type="dxa"/>
            <w:shd w:val="clear" w:color="auto" w:fill="auto"/>
            <w:vAlign w:val="center"/>
          </w:tcPr>
          <w:p w14:paraId="024D8473">
            <w:pPr>
              <w:spacing w:line="240" w:lineRule="auto"/>
              <w:jc w:val="center"/>
              <w:rPr>
                <w:rFonts w:hint="eastAsia" w:ascii="仿宋" w:hAnsi="仿宋" w:eastAsia="仿宋" w:cs="仿宋"/>
                <w:b/>
                <w:bCs w:val="0"/>
                <w:sz w:val="24"/>
                <w:szCs w:val="24"/>
                <w:lang w:val="zh-CN" w:eastAsia="zh-CN" w:bidi="zh-CN"/>
              </w:rPr>
            </w:pPr>
            <w:r>
              <w:rPr>
                <w:rFonts w:hint="eastAsia" w:cs="仿宋"/>
                <w:b/>
                <w:bCs w:val="0"/>
                <w:color w:val="auto"/>
                <w:sz w:val="24"/>
                <w:szCs w:val="24"/>
                <w:highlight w:val="none"/>
                <w:lang w:val="en-US" w:eastAsia="zh-CN"/>
              </w:rPr>
              <w:t>开/闭幕式方案</w:t>
            </w:r>
          </w:p>
        </w:tc>
        <w:tc>
          <w:tcPr>
            <w:tcW w:w="6386" w:type="dxa"/>
            <w:shd w:val="clear" w:color="auto" w:fill="auto"/>
            <w:vAlign w:val="center"/>
          </w:tcPr>
          <w:p w14:paraId="0162B8B3">
            <w:pPr>
              <w:pStyle w:val="68"/>
              <w:keepNext w:val="0"/>
              <w:keepLines w:val="0"/>
              <w:pageBreakBefore w:val="0"/>
              <w:kinsoku/>
              <w:wordWrap/>
              <w:overflowPunct/>
              <w:topLinePunct w:val="0"/>
              <w:bidi w:val="0"/>
              <w:spacing w:line="240" w:lineRule="auto"/>
              <w:jc w:val="both"/>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rPr>
              <w:t>根据投标人提供的开/闭幕式方案内容包括但不仅限于开/闭幕式方案设计以及体现遂昌文化特色的创意等，从方案的新颖性、科学性、可行性、实用性等</w:t>
            </w:r>
            <w:r>
              <w:rPr>
                <w:rFonts w:hint="eastAsia" w:ascii="仿宋" w:hAnsi="仿宋" w:eastAsia="仿宋" w:cs="仿宋"/>
                <w:bCs/>
                <w:color w:val="auto"/>
                <w:kern w:val="0"/>
                <w:sz w:val="24"/>
                <w:szCs w:val="24"/>
                <w:highlight w:val="none"/>
                <w:lang w:val="zh-CN" w:eastAsia="zh-CN"/>
              </w:rPr>
              <w:t>，</w:t>
            </w:r>
            <w:r>
              <w:rPr>
                <w:rFonts w:hint="eastAsia" w:ascii="仿宋" w:hAnsi="仿宋" w:eastAsia="仿宋" w:cs="仿宋"/>
                <w:bCs/>
                <w:color w:val="auto"/>
                <w:kern w:val="0"/>
                <w:sz w:val="24"/>
                <w:szCs w:val="24"/>
                <w:highlight w:val="none"/>
                <w:lang w:val="en-US" w:eastAsia="zh-CN"/>
              </w:rPr>
              <w:t>由评委进行综合评审。（评分范围：5，4，3，2，1，0分）</w:t>
            </w:r>
          </w:p>
        </w:tc>
        <w:tc>
          <w:tcPr>
            <w:tcW w:w="969" w:type="dxa"/>
            <w:shd w:val="clear" w:color="auto" w:fill="auto"/>
            <w:vAlign w:val="center"/>
          </w:tcPr>
          <w:p w14:paraId="77411876">
            <w:pPr>
              <w:spacing w:line="240" w:lineRule="auto"/>
              <w:jc w:val="center"/>
              <w:rPr>
                <w:rFonts w:hint="eastAsia" w:cs="仿宋"/>
                <w:color w:val="auto"/>
                <w:kern w:val="2"/>
                <w:sz w:val="24"/>
                <w:szCs w:val="24"/>
                <w:highlight w:val="none"/>
                <w:lang w:val="en-US" w:eastAsia="zh-CN" w:bidi="ar-SA"/>
              </w:rPr>
            </w:pPr>
            <w:r>
              <w:rPr>
                <w:rFonts w:hint="eastAsia"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tr w14:paraId="4F880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710" w:type="dxa"/>
            <w:shd w:val="clear" w:color="auto" w:fill="auto"/>
            <w:vAlign w:val="center"/>
          </w:tcPr>
          <w:p w14:paraId="682EB900">
            <w:pPr>
              <w:keepNext w:val="0"/>
              <w:keepLines w:val="0"/>
              <w:widowControl/>
              <w:suppressLineNumbers w:val="0"/>
              <w:spacing w:line="240" w:lineRule="auto"/>
              <w:jc w:val="center"/>
              <w:textAlignment w:val="center"/>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i w:val="0"/>
                <w:iCs w:val="0"/>
                <w:color w:val="000000"/>
                <w:kern w:val="0"/>
                <w:sz w:val="24"/>
                <w:szCs w:val="24"/>
                <w:u w:val="none"/>
                <w:lang w:val="en-US" w:eastAsia="zh-CN" w:bidi="ar"/>
              </w:rPr>
              <w:t>6</w:t>
            </w:r>
          </w:p>
        </w:tc>
        <w:tc>
          <w:tcPr>
            <w:tcW w:w="1349" w:type="dxa"/>
            <w:shd w:val="clear" w:color="auto" w:fill="auto"/>
            <w:vAlign w:val="center"/>
          </w:tcPr>
          <w:p w14:paraId="2E57888D">
            <w:pPr>
              <w:spacing w:line="240" w:lineRule="auto"/>
              <w:jc w:val="center"/>
              <w:rPr>
                <w:rFonts w:hint="eastAsia" w:ascii="仿宋" w:hAnsi="仿宋" w:eastAsia="仿宋" w:cs="仿宋"/>
                <w:b/>
                <w:bCs w:val="0"/>
                <w:sz w:val="24"/>
                <w:szCs w:val="24"/>
                <w:lang w:val="zh-CN" w:eastAsia="zh-CN" w:bidi="zh-CN"/>
              </w:rPr>
            </w:pPr>
            <w:r>
              <w:rPr>
                <w:rFonts w:hint="eastAsia" w:ascii="仿宋" w:hAnsi="仿宋" w:eastAsia="仿宋" w:cs="仿宋"/>
                <w:b/>
                <w:bCs w:val="0"/>
                <w:color w:val="000000"/>
                <w:sz w:val="24"/>
                <w:szCs w:val="24"/>
                <w:lang w:val="en-US" w:eastAsia="zh-CN"/>
              </w:rPr>
              <w:t>颁</w:t>
            </w:r>
            <w:r>
              <w:rPr>
                <w:rFonts w:hint="eastAsia" w:ascii="仿宋" w:hAnsi="仿宋" w:eastAsia="仿宋" w:cs="仿宋"/>
                <w:b/>
                <w:bCs w:val="0"/>
                <w:color w:val="auto"/>
                <w:kern w:val="0"/>
                <w:sz w:val="24"/>
                <w:szCs w:val="24"/>
                <w:lang w:val="en-US" w:eastAsia="zh-CN" w:bidi="ar-SA"/>
              </w:rPr>
              <w:t>奖典礼设计方案</w:t>
            </w:r>
          </w:p>
        </w:tc>
        <w:tc>
          <w:tcPr>
            <w:tcW w:w="6386" w:type="dxa"/>
            <w:shd w:val="clear" w:color="auto" w:fill="auto"/>
            <w:vAlign w:val="center"/>
          </w:tcPr>
          <w:p w14:paraId="3B194084">
            <w:pPr>
              <w:pStyle w:val="68"/>
              <w:keepNext w:val="0"/>
              <w:keepLines w:val="0"/>
              <w:pageBreakBefore w:val="0"/>
              <w:kinsoku/>
              <w:wordWrap/>
              <w:overflowPunct/>
              <w:topLinePunct w:val="0"/>
              <w:bidi w:val="0"/>
              <w:spacing w:line="240" w:lineRule="auto"/>
              <w:jc w:val="both"/>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根据投标人提供的颁奖典礼设计方案内容包括但不仅限于颁奖典礼设计以及体现遂昌文化特色的创意等，从方案的新颖性、科学性、可行性、实用性等</w:t>
            </w:r>
            <w:r>
              <w:rPr>
                <w:rFonts w:hint="eastAsia" w:ascii="仿宋" w:hAnsi="仿宋" w:eastAsia="仿宋" w:cs="仿宋"/>
                <w:bCs/>
                <w:color w:val="auto"/>
                <w:kern w:val="0"/>
                <w:sz w:val="24"/>
                <w:szCs w:val="24"/>
                <w:highlight w:val="none"/>
                <w:lang w:val="zh-CN" w:eastAsia="zh-CN"/>
              </w:rPr>
              <w:t>，</w:t>
            </w:r>
            <w:r>
              <w:rPr>
                <w:rFonts w:hint="eastAsia" w:ascii="仿宋" w:hAnsi="仿宋" w:eastAsia="仿宋" w:cs="仿宋"/>
                <w:bCs/>
                <w:color w:val="auto"/>
                <w:kern w:val="0"/>
                <w:sz w:val="24"/>
                <w:szCs w:val="24"/>
                <w:highlight w:val="none"/>
                <w:lang w:val="en-US" w:eastAsia="zh-CN"/>
              </w:rPr>
              <w:t>由评委进行综合评审。（评分范围：5，4，3，2，1，0分）</w:t>
            </w:r>
          </w:p>
        </w:tc>
        <w:tc>
          <w:tcPr>
            <w:tcW w:w="969" w:type="dxa"/>
            <w:shd w:val="clear" w:color="auto" w:fill="auto"/>
            <w:vAlign w:val="center"/>
          </w:tcPr>
          <w:p w14:paraId="611ACF43">
            <w:pPr>
              <w:spacing w:line="240" w:lineRule="auto"/>
              <w:jc w:val="center"/>
              <w:rPr>
                <w:rFonts w:hint="eastAsia" w:cs="仿宋"/>
                <w:color w:val="auto"/>
                <w:kern w:val="2"/>
                <w:sz w:val="24"/>
                <w:szCs w:val="24"/>
                <w:highlight w:val="none"/>
                <w:lang w:val="en-US" w:eastAsia="zh-CN" w:bidi="ar-SA"/>
              </w:rPr>
            </w:pPr>
            <w:r>
              <w:rPr>
                <w:rFonts w:hint="eastAsia"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tr w14:paraId="21D5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710" w:type="dxa"/>
            <w:shd w:val="clear" w:color="auto" w:fill="auto"/>
            <w:vAlign w:val="center"/>
          </w:tcPr>
          <w:p w14:paraId="29A6F734">
            <w:pPr>
              <w:keepNext w:val="0"/>
              <w:keepLines w:val="0"/>
              <w:widowControl/>
              <w:suppressLineNumbers w:val="0"/>
              <w:spacing w:line="240" w:lineRule="auto"/>
              <w:jc w:val="center"/>
              <w:textAlignment w:val="center"/>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i w:val="0"/>
                <w:iCs w:val="0"/>
                <w:color w:val="000000"/>
                <w:kern w:val="0"/>
                <w:sz w:val="24"/>
                <w:szCs w:val="24"/>
                <w:u w:val="none"/>
                <w:lang w:val="en-US" w:eastAsia="zh-CN" w:bidi="ar"/>
              </w:rPr>
              <w:t>7</w:t>
            </w:r>
          </w:p>
        </w:tc>
        <w:tc>
          <w:tcPr>
            <w:tcW w:w="1349" w:type="dxa"/>
            <w:shd w:val="clear" w:color="auto" w:fill="auto"/>
            <w:vAlign w:val="center"/>
          </w:tcPr>
          <w:p w14:paraId="3F986647">
            <w:pPr>
              <w:keepNext w:val="0"/>
              <w:keepLines w:val="0"/>
              <w:pageBreakBefore w:val="0"/>
              <w:kinsoku/>
              <w:wordWrap/>
              <w:overflowPunct/>
              <w:topLinePunct w:val="0"/>
              <w:autoSpaceDE/>
              <w:autoSpaceDN/>
              <w:bidi w:val="0"/>
              <w:snapToGrid w:val="0"/>
              <w:spacing w:before="0" w:beforeAutospacing="0" w:after="0" w:afterAutospacing="0" w:line="240" w:lineRule="auto"/>
              <w:jc w:val="center"/>
              <w:textAlignment w:val="baseline"/>
              <w:rPr>
                <w:rFonts w:hint="eastAsia" w:ascii="仿宋" w:hAnsi="仿宋" w:eastAsia="仿宋" w:cs="仿宋"/>
                <w:b/>
                <w:bCs w:val="0"/>
                <w:color w:val="000000"/>
                <w:sz w:val="24"/>
                <w:szCs w:val="24"/>
                <w:lang w:val="en-US" w:eastAsia="zh-CN" w:bidi="zh-CN"/>
              </w:rPr>
            </w:pPr>
            <w:r>
              <w:rPr>
                <w:rFonts w:hint="eastAsia" w:cs="仿宋"/>
                <w:b/>
                <w:bCs w:val="0"/>
                <w:color w:val="auto"/>
                <w:sz w:val="24"/>
                <w:szCs w:val="24"/>
                <w:highlight w:val="none"/>
                <w:lang w:val="zh-CN" w:eastAsia="zh-CN"/>
              </w:rPr>
              <w:t>竞赛规程</w:t>
            </w:r>
            <w:r>
              <w:rPr>
                <w:rFonts w:hint="eastAsia" w:cs="仿宋"/>
                <w:b/>
                <w:bCs w:val="0"/>
                <w:color w:val="auto"/>
                <w:sz w:val="24"/>
                <w:szCs w:val="24"/>
                <w:highlight w:val="none"/>
                <w:lang w:val="en-US" w:eastAsia="zh-CN"/>
              </w:rPr>
              <w:t>及赛事奖金</w:t>
            </w:r>
          </w:p>
        </w:tc>
        <w:tc>
          <w:tcPr>
            <w:tcW w:w="6386" w:type="dxa"/>
            <w:shd w:val="clear" w:color="auto" w:fill="auto"/>
            <w:vAlign w:val="center"/>
          </w:tcPr>
          <w:p w14:paraId="3C433B42">
            <w:pPr>
              <w:pStyle w:val="68"/>
              <w:keepNext w:val="0"/>
              <w:keepLines w:val="0"/>
              <w:pageBreakBefore w:val="0"/>
              <w:kinsoku/>
              <w:wordWrap/>
              <w:overflowPunct/>
              <w:topLinePunct w:val="0"/>
              <w:bidi w:val="0"/>
              <w:spacing w:line="240" w:lineRule="auto"/>
              <w:jc w:val="both"/>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rPr>
              <w:t>根据投标人</w:t>
            </w:r>
            <w:r>
              <w:rPr>
                <w:rFonts w:hint="eastAsia" w:ascii="仿宋" w:hAnsi="仿宋" w:eastAsia="仿宋" w:cs="仿宋"/>
                <w:sz w:val="24"/>
                <w:szCs w:val="32"/>
              </w:rPr>
              <w:t>制定项目竞赛规程，设立赛事奖金（包含竞赛项目、名次、奖金）</w:t>
            </w:r>
            <w:r>
              <w:rPr>
                <w:rFonts w:hint="eastAsia" w:ascii="仿宋" w:hAnsi="仿宋" w:eastAsia="仿宋" w:cs="仿宋"/>
                <w:bCs/>
                <w:color w:val="auto"/>
                <w:kern w:val="0"/>
                <w:sz w:val="24"/>
                <w:szCs w:val="24"/>
                <w:highlight w:val="none"/>
                <w:lang w:val="en-US" w:eastAsia="zh-CN"/>
              </w:rPr>
              <w:t>设置等情况</w:t>
            </w:r>
            <w:r>
              <w:rPr>
                <w:rFonts w:hint="eastAsia" w:ascii="仿宋" w:hAnsi="仿宋" w:eastAsia="仿宋" w:cs="仿宋"/>
                <w:bCs/>
                <w:color w:val="auto"/>
                <w:kern w:val="0"/>
                <w:sz w:val="24"/>
                <w:szCs w:val="24"/>
                <w:highlight w:val="none"/>
                <w:lang w:val="zh-CN" w:eastAsia="zh-CN"/>
              </w:rPr>
              <w:t>，</w:t>
            </w:r>
            <w:r>
              <w:rPr>
                <w:rFonts w:hint="eastAsia" w:ascii="仿宋" w:hAnsi="仿宋" w:eastAsia="仿宋" w:cs="仿宋"/>
                <w:bCs/>
                <w:color w:val="auto"/>
                <w:kern w:val="0"/>
                <w:sz w:val="24"/>
                <w:szCs w:val="24"/>
                <w:highlight w:val="none"/>
                <w:lang w:val="en-US" w:eastAsia="zh-CN"/>
              </w:rPr>
              <w:t>由评委进行综合评审。（评分范围：5，4，3，2，1，0分）</w:t>
            </w:r>
          </w:p>
        </w:tc>
        <w:tc>
          <w:tcPr>
            <w:tcW w:w="969" w:type="dxa"/>
            <w:shd w:val="clear" w:color="auto" w:fill="auto"/>
            <w:vAlign w:val="center"/>
          </w:tcPr>
          <w:p w14:paraId="748EE92E">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cs="仿宋"/>
                <w:color w:val="auto"/>
                <w:kern w:val="2"/>
                <w:sz w:val="24"/>
                <w:szCs w:val="24"/>
                <w:highlight w:val="none"/>
                <w:lang w:val="en-US" w:eastAsia="zh-CN" w:bidi="ar-SA"/>
              </w:rPr>
              <w:t>5分</w:t>
            </w:r>
          </w:p>
        </w:tc>
      </w:tr>
      <w:tr w14:paraId="10F6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710" w:type="dxa"/>
            <w:shd w:val="clear" w:color="auto" w:fill="auto"/>
            <w:vAlign w:val="center"/>
          </w:tcPr>
          <w:p w14:paraId="5A2BC64E">
            <w:pPr>
              <w:keepNext w:val="0"/>
              <w:keepLines w:val="0"/>
              <w:widowControl/>
              <w:suppressLineNumbers w:val="0"/>
              <w:spacing w:line="240" w:lineRule="auto"/>
              <w:jc w:val="center"/>
              <w:textAlignment w:val="center"/>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i w:val="0"/>
                <w:iCs w:val="0"/>
                <w:color w:val="000000"/>
                <w:kern w:val="0"/>
                <w:sz w:val="24"/>
                <w:szCs w:val="24"/>
                <w:u w:val="none"/>
                <w:lang w:val="en-US" w:eastAsia="zh-CN" w:bidi="ar"/>
              </w:rPr>
              <w:t>8</w:t>
            </w:r>
          </w:p>
        </w:tc>
        <w:tc>
          <w:tcPr>
            <w:tcW w:w="1349" w:type="dxa"/>
            <w:shd w:val="clear" w:color="auto" w:fill="auto"/>
            <w:vAlign w:val="center"/>
          </w:tcPr>
          <w:p w14:paraId="4E9698A0">
            <w:pPr>
              <w:keepNext w:val="0"/>
              <w:keepLines w:val="0"/>
              <w:pageBreakBefore w:val="0"/>
              <w:kinsoku/>
              <w:wordWrap/>
              <w:overflowPunct/>
              <w:topLinePunct w:val="0"/>
              <w:autoSpaceDE/>
              <w:autoSpaceDN/>
              <w:bidi w:val="0"/>
              <w:snapToGrid w:val="0"/>
              <w:spacing w:before="0" w:beforeAutospacing="0" w:after="0" w:afterAutospacing="0" w:line="240" w:lineRule="auto"/>
              <w:jc w:val="center"/>
              <w:textAlignment w:val="baseline"/>
              <w:rPr>
                <w:rFonts w:hint="eastAsia" w:ascii="仿宋" w:hAnsi="仿宋" w:eastAsia="仿宋" w:cs="仿宋"/>
                <w:b/>
                <w:bCs w:val="0"/>
                <w:color w:val="auto"/>
                <w:sz w:val="24"/>
                <w:szCs w:val="24"/>
                <w:highlight w:val="none"/>
                <w:lang w:val="en-US" w:eastAsia="zh-CN" w:bidi="zh-CN"/>
              </w:rPr>
            </w:pPr>
            <w:r>
              <w:rPr>
                <w:rFonts w:hint="eastAsia" w:cs="仿宋"/>
                <w:b/>
                <w:bCs w:val="0"/>
                <w:color w:val="auto"/>
                <w:sz w:val="24"/>
                <w:szCs w:val="24"/>
                <w:highlight w:val="none"/>
                <w:lang w:val="en-US" w:eastAsia="zh-CN"/>
              </w:rPr>
              <w:t>志愿者管理方案</w:t>
            </w:r>
          </w:p>
        </w:tc>
        <w:tc>
          <w:tcPr>
            <w:tcW w:w="6386" w:type="dxa"/>
            <w:shd w:val="clear" w:color="auto" w:fill="auto"/>
            <w:vAlign w:val="center"/>
          </w:tcPr>
          <w:p w14:paraId="426C5534">
            <w:pPr>
              <w:pStyle w:val="68"/>
              <w:keepNext w:val="0"/>
              <w:keepLines w:val="0"/>
              <w:pageBreakBefore w:val="0"/>
              <w:kinsoku/>
              <w:wordWrap/>
              <w:overflowPunct/>
              <w:topLinePunct w:val="0"/>
              <w:bidi w:val="0"/>
              <w:spacing w:line="240" w:lineRule="auto"/>
              <w:jc w:val="both"/>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rPr>
              <w:t>根据投标人提供的赛事志愿者招募管理方案及实施计划内容（包含但不仅限于</w:t>
            </w:r>
            <w:r>
              <w:rPr>
                <w:rFonts w:hint="eastAsia" w:ascii="仿宋" w:hAnsi="仿宋" w:eastAsia="仿宋" w:cs="仿宋"/>
                <w:sz w:val="24"/>
                <w:szCs w:val="32"/>
              </w:rPr>
              <w:t>培训、管理、岗位分配和比赛期间的集结与召集</w:t>
            </w:r>
            <w:r>
              <w:rPr>
                <w:rFonts w:hint="eastAsia" w:ascii="仿宋" w:hAnsi="仿宋" w:eastAsia="仿宋" w:cs="仿宋"/>
                <w:bCs/>
                <w:color w:val="auto"/>
                <w:kern w:val="0"/>
                <w:sz w:val="24"/>
                <w:szCs w:val="24"/>
                <w:highlight w:val="none"/>
                <w:lang w:val="en-US" w:eastAsia="zh-CN"/>
              </w:rPr>
              <w:t>等），从方案的合理性、可操作性等方面</w:t>
            </w:r>
            <w:r>
              <w:rPr>
                <w:rFonts w:hint="eastAsia" w:ascii="仿宋" w:hAnsi="仿宋" w:eastAsia="仿宋" w:cs="仿宋"/>
                <w:bCs/>
                <w:color w:val="auto"/>
                <w:kern w:val="0"/>
                <w:sz w:val="24"/>
                <w:szCs w:val="24"/>
                <w:highlight w:val="none"/>
                <w:lang w:val="zh-CN" w:eastAsia="zh-CN"/>
              </w:rPr>
              <w:t>，</w:t>
            </w:r>
            <w:r>
              <w:rPr>
                <w:rFonts w:hint="eastAsia" w:ascii="仿宋" w:hAnsi="仿宋" w:eastAsia="仿宋" w:cs="仿宋"/>
                <w:bCs/>
                <w:color w:val="auto"/>
                <w:kern w:val="0"/>
                <w:sz w:val="24"/>
                <w:szCs w:val="24"/>
                <w:highlight w:val="none"/>
                <w:lang w:val="en-US" w:eastAsia="zh-CN"/>
              </w:rPr>
              <w:t>由评委进行综合评审。（评分范围：5，4，3，2，1，0分）</w:t>
            </w:r>
          </w:p>
        </w:tc>
        <w:tc>
          <w:tcPr>
            <w:tcW w:w="969" w:type="dxa"/>
            <w:shd w:val="clear" w:color="auto" w:fill="auto"/>
            <w:vAlign w:val="center"/>
          </w:tcPr>
          <w:p w14:paraId="58F9A225">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tr w14:paraId="6BE42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710" w:type="dxa"/>
            <w:shd w:val="clear" w:color="auto" w:fill="auto"/>
            <w:vAlign w:val="center"/>
          </w:tcPr>
          <w:p w14:paraId="14781321">
            <w:pPr>
              <w:keepNext w:val="0"/>
              <w:keepLines w:val="0"/>
              <w:widowControl/>
              <w:suppressLineNumbers w:val="0"/>
              <w:spacing w:line="240" w:lineRule="auto"/>
              <w:jc w:val="center"/>
              <w:textAlignment w:val="center"/>
              <w:rPr>
                <w:rFonts w:hint="eastAsia" w:ascii="仿宋" w:hAnsi="仿宋" w:eastAsia="仿宋" w:cs="仿宋"/>
                <w:b/>
                <w:bCs/>
                <w:sz w:val="24"/>
                <w:szCs w:val="24"/>
                <w:lang w:val="en-US" w:eastAsia="zh-CN" w:bidi="zh-CN"/>
              </w:rPr>
            </w:pPr>
            <w:r>
              <w:rPr>
                <w:rFonts w:hint="eastAsia" w:ascii="仿宋" w:hAnsi="仿宋" w:eastAsia="仿宋" w:cs="仿宋"/>
                <w:b/>
                <w:bCs/>
                <w:i w:val="0"/>
                <w:iCs w:val="0"/>
                <w:color w:val="000000"/>
                <w:kern w:val="0"/>
                <w:sz w:val="24"/>
                <w:szCs w:val="24"/>
                <w:u w:val="none"/>
                <w:lang w:val="en-US" w:eastAsia="zh-CN" w:bidi="ar"/>
              </w:rPr>
              <w:t>9</w:t>
            </w:r>
          </w:p>
        </w:tc>
        <w:tc>
          <w:tcPr>
            <w:tcW w:w="1349" w:type="dxa"/>
            <w:shd w:val="clear" w:color="auto" w:fill="auto"/>
            <w:vAlign w:val="center"/>
          </w:tcPr>
          <w:p w14:paraId="4F60ADB0">
            <w:pPr>
              <w:keepNext w:val="0"/>
              <w:keepLines w:val="0"/>
              <w:pageBreakBefore w:val="0"/>
              <w:kinsoku/>
              <w:wordWrap/>
              <w:overflowPunct/>
              <w:topLinePunct w:val="0"/>
              <w:autoSpaceDE/>
              <w:autoSpaceDN/>
              <w:bidi w:val="0"/>
              <w:snapToGrid w:val="0"/>
              <w:spacing w:before="0" w:beforeAutospacing="0" w:after="0" w:afterAutospacing="0" w:line="240" w:lineRule="auto"/>
              <w:jc w:val="center"/>
              <w:textAlignment w:val="baseline"/>
              <w:rPr>
                <w:rFonts w:hint="default" w:ascii="仿宋" w:hAnsi="仿宋" w:eastAsia="仿宋" w:cs="仿宋"/>
                <w:b/>
                <w:bCs w:val="0"/>
                <w:color w:val="auto"/>
                <w:sz w:val="24"/>
                <w:szCs w:val="24"/>
                <w:highlight w:val="none"/>
                <w:lang w:val="en-US" w:eastAsia="zh-CN" w:bidi="zh-CN"/>
              </w:rPr>
            </w:pPr>
            <w:r>
              <w:rPr>
                <w:rFonts w:hint="eastAsia" w:cs="仿宋"/>
                <w:b/>
                <w:bCs w:val="0"/>
                <w:color w:val="auto"/>
                <w:sz w:val="24"/>
                <w:szCs w:val="24"/>
                <w:highlight w:val="none"/>
                <w:lang w:val="en-US" w:eastAsia="zh-CN"/>
              </w:rPr>
              <w:t>媒体宣传方案</w:t>
            </w:r>
          </w:p>
        </w:tc>
        <w:tc>
          <w:tcPr>
            <w:tcW w:w="6386" w:type="dxa"/>
            <w:shd w:val="clear" w:color="auto" w:fill="auto"/>
            <w:vAlign w:val="center"/>
          </w:tcPr>
          <w:p w14:paraId="59E20DDB">
            <w:pPr>
              <w:keepNext w:val="0"/>
              <w:keepLines w:val="0"/>
              <w:pageBreakBefore w:val="0"/>
              <w:kinsoku/>
              <w:wordWrap/>
              <w:overflowPunct/>
              <w:topLinePunct w:val="0"/>
              <w:autoSpaceDE/>
              <w:autoSpaceDN/>
              <w:bidi w:val="0"/>
              <w:snapToGrid w:val="0"/>
              <w:spacing w:before="0" w:beforeAutospacing="0" w:after="0" w:afterAutospacing="0" w:line="240" w:lineRule="auto"/>
              <w:jc w:val="both"/>
              <w:textAlignment w:val="baseline"/>
              <w:rPr>
                <w:rFonts w:hint="eastAsia" w:ascii="仿宋" w:hAnsi="仿宋" w:eastAsia="仿宋" w:cs="仿宋"/>
                <w:bCs/>
                <w:color w:val="auto"/>
                <w:kern w:val="0"/>
                <w:sz w:val="24"/>
                <w:szCs w:val="24"/>
                <w:highlight w:val="none"/>
                <w:lang w:val="en-US" w:eastAsia="zh-CN" w:bidi="zh-CN"/>
              </w:rPr>
            </w:pPr>
            <w:r>
              <w:rPr>
                <w:rFonts w:hint="eastAsia" w:cs="仿宋"/>
                <w:color w:val="auto"/>
                <w:kern w:val="2"/>
                <w:sz w:val="24"/>
                <w:szCs w:val="24"/>
                <w:highlight w:val="none"/>
                <w:lang w:val="en-US" w:eastAsia="zh-CN" w:bidi="ar-SA"/>
              </w:rPr>
              <w:t>根据投标人针对</w:t>
            </w:r>
            <w:r>
              <w:rPr>
                <w:rFonts w:hint="eastAsia" w:ascii="仿宋" w:hAnsi="仿宋" w:eastAsia="仿宋" w:cs="仿宋"/>
                <w:color w:val="auto"/>
                <w:kern w:val="2"/>
                <w:sz w:val="24"/>
                <w:szCs w:val="24"/>
                <w:highlight w:val="none"/>
                <w:lang w:val="en-US" w:eastAsia="zh-CN" w:bidi="ar-SA"/>
              </w:rPr>
              <w:t>本项目宣传及推广方案各环节安排，</w:t>
            </w:r>
            <w:r>
              <w:rPr>
                <w:rFonts w:hint="eastAsia" w:cs="仿宋"/>
                <w:color w:val="auto"/>
                <w:kern w:val="2"/>
                <w:sz w:val="24"/>
                <w:szCs w:val="24"/>
                <w:highlight w:val="none"/>
                <w:lang w:val="en-US" w:eastAsia="zh-CN" w:bidi="ar-SA"/>
              </w:rPr>
              <w:t>投标人</w:t>
            </w:r>
            <w:r>
              <w:rPr>
                <w:rFonts w:hint="eastAsia" w:ascii="仿宋" w:hAnsi="仿宋" w:eastAsia="仿宋" w:cs="仿宋"/>
                <w:color w:val="auto"/>
                <w:kern w:val="2"/>
                <w:sz w:val="24"/>
                <w:szCs w:val="24"/>
                <w:highlight w:val="none"/>
                <w:lang w:val="en-US" w:eastAsia="zh-CN" w:bidi="ar-SA"/>
              </w:rPr>
              <w:t>承诺的媒体宣传推广方案及实施计划等（</w:t>
            </w:r>
            <w:r>
              <w:rPr>
                <w:rFonts w:hint="eastAsia" w:cs="仿宋"/>
                <w:color w:val="auto"/>
                <w:sz w:val="24"/>
                <w:szCs w:val="24"/>
                <w:highlight w:val="none"/>
                <w:lang w:val="en-US" w:eastAsia="zh-CN"/>
              </w:rPr>
              <w:t>包含但不仅限于</w:t>
            </w:r>
            <w:r>
              <w:rPr>
                <w:rFonts w:hint="eastAsia" w:ascii="仿宋" w:hAnsi="仿宋" w:eastAsia="仿宋" w:cs="仿宋"/>
                <w:color w:val="auto"/>
                <w:kern w:val="2"/>
                <w:sz w:val="24"/>
                <w:szCs w:val="24"/>
                <w:highlight w:val="none"/>
                <w:lang w:val="en-US" w:eastAsia="zh-CN" w:bidi="ar-SA"/>
              </w:rPr>
              <w:t>宣传目标、宣传方式、宣传渠道、引流方式等），从方案的新颖性、科学性、可行性、实用性等</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由评委进行综合评审。</w:t>
            </w:r>
            <w:r>
              <w:rPr>
                <w:rFonts w:hint="eastAsia" w:ascii="仿宋" w:hAnsi="仿宋" w:eastAsia="仿宋" w:cs="仿宋"/>
                <w:b w:val="0"/>
                <w:bCs w:val="0"/>
                <w:color w:val="auto"/>
                <w:sz w:val="24"/>
                <w:szCs w:val="24"/>
                <w:highlight w:val="none"/>
                <w:lang w:eastAsia="zh-CN"/>
              </w:rPr>
              <w:t>（评分范围：5，4，3，2，1，0分）</w:t>
            </w:r>
          </w:p>
        </w:tc>
        <w:tc>
          <w:tcPr>
            <w:tcW w:w="969" w:type="dxa"/>
            <w:shd w:val="clear" w:color="auto" w:fill="auto"/>
            <w:vAlign w:val="center"/>
          </w:tcPr>
          <w:p w14:paraId="7CDF7B97">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5分</w:t>
            </w:r>
          </w:p>
        </w:tc>
      </w:tr>
      <w:tr w14:paraId="0922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710" w:type="dxa"/>
            <w:shd w:val="clear" w:color="auto" w:fill="auto"/>
            <w:vAlign w:val="center"/>
          </w:tcPr>
          <w:p w14:paraId="55170346">
            <w:pPr>
              <w:keepNext w:val="0"/>
              <w:keepLines w:val="0"/>
              <w:widowControl/>
              <w:suppressLineNumbers w:val="0"/>
              <w:spacing w:line="240" w:lineRule="auto"/>
              <w:jc w:val="center"/>
              <w:textAlignment w:val="center"/>
              <w:rPr>
                <w:rFonts w:hint="eastAsia" w:ascii="仿宋" w:hAnsi="仿宋" w:eastAsia="仿宋" w:cs="仿宋"/>
                <w:b/>
                <w:bCs/>
                <w:sz w:val="24"/>
                <w:szCs w:val="24"/>
                <w:lang w:val="en-US" w:eastAsia="zh-CN" w:bidi="zh-CN"/>
              </w:rPr>
            </w:pPr>
            <w:bookmarkStart w:id="189" w:name="_Toc61"/>
            <w:r>
              <w:rPr>
                <w:rFonts w:hint="eastAsia" w:ascii="仿宋" w:hAnsi="仿宋" w:eastAsia="仿宋" w:cs="仿宋"/>
                <w:b/>
                <w:bCs/>
                <w:i w:val="0"/>
                <w:iCs w:val="0"/>
                <w:color w:val="000000"/>
                <w:kern w:val="0"/>
                <w:sz w:val="24"/>
                <w:szCs w:val="24"/>
                <w:u w:val="none"/>
                <w:lang w:val="en-US" w:eastAsia="zh-CN" w:bidi="ar"/>
              </w:rPr>
              <w:t>10</w:t>
            </w:r>
          </w:p>
        </w:tc>
        <w:tc>
          <w:tcPr>
            <w:tcW w:w="1349" w:type="dxa"/>
            <w:shd w:val="clear" w:color="auto" w:fill="auto"/>
            <w:vAlign w:val="center"/>
          </w:tcPr>
          <w:p w14:paraId="3BD3914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b/>
                <w:bCs w:val="0"/>
                <w:color w:val="auto"/>
                <w:sz w:val="24"/>
                <w:szCs w:val="24"/>
                <w:highlight w:val="none"/>
                <w:lang w:val="en-US" w:eastAsia="zh-CN" w:bidi="zh-CN"/>
              </w:rPr>
            </w:pPr>
            <w:r>
              <w:rPr>
                <w:rFonts w:hint="eastAsia" w:ascii="仿宋" w:hAnsi="仿宋" w:eastAsia="仿宋" w:cs="仿宋"/>
                <w:b/>
                <w:bCs w:val="0"/>
                <w:color w:val="auto"/>
                <w:sz w:val="24"/>
                <w:szCs w:val="24"/>
                <w:highlight w:val="none"/>
              </w:rPr>
              <w:t>后勤服务方案</w:t>
            </w:r>
          </w:p>
        </w:tc>
        <w:tc>
          <w:tcPr>
            <w:tcW w:w="6386" w:type="dxa"/>
            <w:shd w:val="clear" w:color="auto" w:fill="auto"/>
            <w:vAlign w:val="center"/>
          </w:tcPr>
          <w:p w14:paraId="166E5D5D">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000000"/>
                <w:kern w:val="2"/>
                <w:sz w:val="24"/>
                <w:szCs w:val="24"/>
                <w:lang w:val="en-US" w:eastAsia="zh-CN" w:bidi="ar-SA"/>
              </w:rPr>
              <w:t>根据投标人提供的后勤服务方案进行综合打分，</w:t>
            </w:r>
            <w:r>
              <w:rPr>
                <w:rFonts w:hint="eastAsia" w:ascii="仿宋" w:hAnsi="仿宋" w:eastAsia="仿宋" w:cs="仿宋"/>
                <w:color w:val="000000"/>
                <w:sz w:val="24"/>
                <w:szCs w:val="24"/>
                <w:lang w:val="en-US" w:eastAsia="zh-CN"/>
              </w:rPr>
              <w:t>内容包括但不仅限于食宿安排、</w:t>
            </w:r>
            <w:r>
              <w:rPr>
                <w:rFonts w:hint="eastAsia" w:cs="仿宋"/>
                <w:color w:val="000000"/>
                <w:sz w:val="24"/>
                <w:szCs w:val="24"/>
                <w:lang w:val="en-US" w:eastAsia="zh-CN"/>
              </w:rPr>
              <w:t>车辆安排</w:t>
            </w:r>
            <w:r>
              <w:rPr>
                <w:rFonts w:hint="eastAsia" w:ascii="仿宋" w:hAnsi="仿宋" w:eastAsia="仿宋" w:cs="仿宋"/>
                <w:color w:val="000000"/>
                <w:sz w:val="24"/>
                <w:szCs w:val="24"/>
                <w:lang w:val="en-US" w:eastAsia="zh-CN"/>
              </w:rPr>
              <w:t>、人员接待</w:t>
            </w:r>
            <w:r>
              <w:rPr>
                <w:rFonts w:hint="eastAsia" w:cs="仿宋"/>
                <w:color w:val="000000"/>
                <w:sz w:val="24"/>
                <w:szCs w:val="24"/>
                <w:lang w:val="en-US" w:eastAsia="zh-CN"/>
              </w:rPr>
              <w:t>、食品安全</w:t>
            </w:r>
            <w:r>
              <w:rPr>
                <w:rFonts w:hint="eastAsia" w:ascii="仿宋" w:hAnsi="仿宋" w:eastAsia="仿宋" w:cs="仿宋"/>
                <w:color w:val="000000"/>
                <w:sz w:val="24"/>
                <w:szCs w:val="24"/>
                <w:lang w:val="en-US" w:eastAsia="zh-CN"/>
              </w:rPr>
              <w:t>等</w:t>
            </w:r>
            <w:r>
              <w:rPr>
                <w:rFonts w:hint="eastAsia" w:ascii="仿宋" w:hAnsi="仿宋" w:eastAsia="仿宋" w:cs="仿宋"/>
                <w:color w:val="auto"/>
                <w:sz w:val="24"/>
                <w:szCs w:val="24"/>
                <w:highlight w:val="none"/>
                <w:lang w:val="en-US" w:eastAsia="zh-CN"/>
              </w:rPr>
              <w:t>，由评委进行综合评审</w:t>
            </w:r>
            <w:r>
              <w:rPr>
                <w:rFonts w:hint="eastAsia" w:ascii="仿宋" w:hAnsi="仿宋" w:eastAsia="仿宋" w:cs="仿宋"/>
                <w:color w:val="000000"/>
                <w:sz w:val="24"/>
                <w:szCs w:val="24"/>
                <w:lang w:val="en-US" w:eastAsia="zh-CN"/>
              </w:rPr>
              <w:t>。</w:t>
            </w:r>
            <w:r>
              <w:rPr>
                <w:rFonts w:hint="eastAsia" w:cs="仿宋"/>
                <w:b w:val="0"/>
                <w:bCs w:val="0"/>
                <w:color w:val="auto"/>
                <w:sz w:val="24"/>
                <w:szCs w:val="24"/>
                <w:highlight w:val="none"/>
                <w:lang w:eastAsia="zh-CN"/>
              </w:rPr>
              <w:t>（评分范围：5，4，3，2，1，0分）</w:t>
            </w:r>
          </w:p>
        </w:tc>
        <w:tc>
          <w:tcPr>
            <w:tcW w:w="969" w:type="dxa"/>
            <w:shd w:val="clear" w:color="auto" w:fill="auto"/>
            <w:vAlign w:val="center"/>
          </w:tcPr>
          <w:p w14:paraId="06658FEE">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tr w14:paraId="0340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10" w:type="dxa"/>
            <w:shd w:val="clear" w:color="auto" w:fill="auto"/>
            <w:vAlign w:val="center"/>
          </w:tcPr>
          <w:p w14:paraId="4D82C8BB">
            <w:pPr>
              <w:keepNext w:val="0"/>
              <w:keepLines w:val="0"/>
              <w:widowControl/>
              <w:suppressLineNumbers w:val="0"/>
              <w:spacing w:line="240" w:lineRule="auto"/>
              <w:jc w:val="center"/>
              <w:textAlignment w:val="center"/>
              <w:rPr>
                <w:rFonts w:hint="eastAsia" w:ascii="仿宋" w:hAnsi="仿宋" w:eastAsia="仿宋" w:cs="仿宋"/>
                <w:b/>
                <w:bCs/>
                <w:sz w:val="24"/>
                <w:szCs w:val="24"/>
                <w:lang w:val="en-US" w:eastAsia="zh-CN" w:bidi="zh-CN"/>
              </w:rPr>
            </w:pPr>
            <w:r>
              <w:rPr>
                <w:rFonts w:hint="eastAsia" w:ascii="仿宋" w:hAnsi="仿宋" w:eastAsia="仿宋" w:cs="仿宋"/>
                <w:b/>
                <w:bCs/>
                <w:i w:val="0"/>
                <w:iCs w:val="0"/>
                <w:color w:val="000000"/>
                <w:kern w:val="0"/>
                <w:sz w:val="24"/>
                <w:szCs w:val="24"/>
                <w:u w:val="none"/>
                <w:lang w:val="en-US" w:eastAsia="zh-CN" w:bidi="ar"/>
              </w:rPr>
              <w:t>11</w:t>
            </w:r>
          </w:p>
        </w:tc>
        <w:tc>
          <w:tcPr>
            <w:tcW w:w="1349" w:type="dxa"/>
            <w:shd w:val="clear" w:color="auto" w:fill="auto"/>
            <w:vAlign w:val="center"/>
          </w:tcPr>
          <w:p w14:paraId="68A38523">
            <w:pPr>
              <w:keepNext w:val="0"/>
              <w:keepLines w:val="0"/>
              <w:pageBreakBefore w:val="0"/>
              <w:kinsoku/>
              <w:wordWrap/>
              <w:overflowPunct/>
              <w:topLinePunct w:val="0"/>
              <w:autoSpaceDE/>
              <w:autoSpaceDN/>
              <w:bidi w:val="0"/>
              <w:snapToGrid w:val="0"/>
              <w:spacing w:before="0" w:beforeAutospacing="0" w:after="0" w:afterAutospacing="0" w:line="240" w:lineRule="auto"/>
              <w:jc w:val="center"/>
              <w:textAlignment w:val="baseline"/>
              <w:rPr>
                <w:rFonts w:hint="eastAsia" w:ascii="仿宋" w:hAnsi="仿宋" w:eastAsia="仿宋" w:cs="仿宋"/>
                <w:b/>
                <w:bCs w:val="0"/>
                <w:color w:val="auto"/>
                <w:sz w:val="24"/>
                <w:szCs w:val="24"/>
                <w:highlight w:val="none"/>
                <w:lang w:val="en-US" w:eastAsia="zh-CN" w:bidi="zh-CN"/>
              </w:rPr>
            </w:pPr>
            <w:r>
              <w:rPr>
                <w:rFonts w:hint="eastAsia" w:cs="仿宋"/>
                <w:b/>
                <w:bCs w:val="0"/>
                <w:color w:val="auto"/>
                <w:sz w:val="24"/>
                <w:szCs w:val="24"/>
                <w:highlight w:val="none"/>
                <w:lang w:val="en-US" w:eastAsia="zh-CN"/>
              </w:rPr>
              <w:t>场地布置</w:t>
            </w:r>
          </w:p>
        </w:tc>
        <w:tc>
          <w:tcPr>
            <w:tcW w:w="6386" w:type="dxa"/>
            <w:shd w:val="clear" w:color="auto" w:fill="auto"/>
            <w:vAlign w:val="center"/>
          </w:tcPr>
          <w:p w14:paraId="0173A8EE">
            <w:pPr>
              <w:pStyle w:val="68"/>
              <w:keepNext w:val="0"/>
              <w:keepLines w:val="0"/>
              <w:pageBreakBefore w:val="0"/>
              <w:kinsoku/>
              <w:wordWrap/>
              <w:overflowPunct/>
              <w:topLinePunct w:val="0"/>
              <w:bidi w:val="0"/>
              <w:spacing w:line="240" w:lineRule="auto"/>
              <w:jc w:val="both"/>
              <w:rPr>
                <w:rFonts w:hint="eastAsia" w:ascii="仿宋" w:hAnsi="仿宋" w:eastAsia="仿宋" w:cs="仿宋"/>
                <w:bCs/>
                <w:color w:val="auto"/>
                <w:kern w:val="0"/>
                <w:sz w:val="24"/>
                <w:szCs w:val="24"/>
                <w:highlight w:val="none"/>
                <w:lang w:val="en-US" w:eastAsia="zh-CN" w:bidi="zh-CN"/>
              </w:rPr>
            </w:pPr>
            <w:r>
              <w:rPr>
                <w:rFonts w:hint="eastAsia" w:ascii="仿宋" w:hAnsi="仿宋" w:eastAsia="仿宋" w:cs="仿宋"/>
                <w:bCs/>
                <w:color w:val="auto"/>
                <w:kern w:val="0"/>
                <w:sz w:val="24"/>
                <w:szCs w:val="24"/>
                <w:highlight w:val="none"/>
                <w:lang w:val="en-US" w:eastAsia="zh-CN"/>
              </w:rPr>
              <w:t>根据投标人针对本项目场地布置方案各环节安排，从方案的新颖性、科学性、可行性、实用性等</w:t>
            </w:r>
            <w:r>
              <w:rPr>
                <w:rFonts w:hint="eastAsia" w:ascii="仿宋" w:hAnsi="仿宋" w:eastAsia="仿宋" w:cs="仿宋"/>
                <w:bCs/>
                <w:color w:val="auto"/>
                <w:kern w:val="0"/>
                <w:sz w:val="24"/>
                <w:szCs w:val="24"/>
                <w:highlight w:val="none"/>
                <w:lang w:val="zh-CN" w:eastAsia="zh-CN"/>
              </w:rPr>
              <w:t>，</w:t>
            </w:r>
            <w:r>
              <w:rPr>
                <w:rFonts w:hint="eastAsia" w:ascii="仿宋" w:hAnsi="仿宋" w:eastAsia="仿宋" w:cs="仿宋"/>
                <w:bCs/>
                <w:color w:val="auto"/>
                <w:kern w:val="0"/>
                <w:sz w:val="24"/>
                <w:szCs w:val="24"/>
                <w:highlight w:val="none"/>
                <w:lang w:val="en-US" w:eastAsia="zh-CN"/>
              </w:rPr>
              <w:t>由评委进行综合评审。（评分范围：5，4，3，2，1，0分）</w:t>
            </w:r>
          </w:p>
        </w:tc>
        <w:tc>
          <w:tcPr>
            <w:tcW w:w="969" w:type="dxa"/>
            <w:shd w:val="clear" w:color="auto" w:fill="auto"/>
            <w:vAlign w:val="center"/>
          </w:tcPr>
          <w:p w14:paraId="52796374">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cs="仿宋"/>
                <w:color w:val="auto"/>
                <w:kern w:val="2"/>
                <w:sz w:val="24"/>
                <w:szCs w:val="24"/>
                <w:highlight w:val="none"/>
                <w:lang w:val="en-US" w:eastAsia="zh-CN" w:bidi="ar-SA"/>
              </w:rPr>
              <w:t>5分</w:t>
            </w:r>
          </w:p>
        </w:tc>
      </w:tr>
      <w:tr w14:paraId="576CD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10" w:type="dxa"/>
            <w:shd w:val="clear" w:color="auto" w:fill="auto"/>
            <w:vAlign w:val="center"/>
          </w:tcPr>
          <w:p w14:paraId="463A3111">
            <w:pPr>
              <w:keepNext w:val="0"/>
              <w:keepLines w:val="0"/>
              <w:widowControl/>
              <w:suppressLineNumbers w:val="0"/>
              <w:spacing w:line="240" w:lineRule="auto"/>
              <w:jc w:val="center"/>
              <w:textAlignment w:val="center"/>
              <w:rPr>
                <w:rFonts w:hint="eastAsia" w:ascii="仿宋" w:hAnsi="仿宋" w:eastAsia="仿宋" w:cs="仿宋"/>
                <w:b/>
                <w:bCs/>
                <w:sz w:val="24"/>
                <w:szCs w:val="24"/>
                <w:lang w:val="en-US" w:eastAsia="zh-CN" w:bidi="zh-CN"/>
              </w:rPr>
            </w:pPr>
            <w:r>
              <w:rPr>
                <w:rFonts w:hint="eastAsia" w:ascii="仿宋" w:hAnsi="仿宋" w:eastAsia="仿宋" w:cs="仿宋"/>
                <w:b/>
                <w:bCs/>
                <w:i w:val="0"/>
                <w:iCs w:val="0"/>
                <w:color w:val="000000"/>
                <w:kern w:val="0"/>
                <w:sz w:val="24"/>
                <w:szCs w:val="24"/>
                <w:u w:val="none"/>
                <w:lang w:val="en-US" w:eastAsia="zh-CN" w:bidi="ar"/>
              </w:rPr>
              <w:t>12</w:t>
            </w:r>
          </w:p>
        </w:tc>
        <w:tc>
          <w:tcPr>
            <w:tcW w:w="1349" w:type="dxa"/>
            <w:shd w:val="clear" w:color="auto" w:fill="auto"/>
            <w:vAlign w:val="center"/>
          </w:tcPr>
          <w:p w14:paraId="672CB2EE">
            <w:pPr>
              <w:keepNext w:val="0"/>
              <w:keepLines w:val="0"/>
              <w:pageBreakBefore w:val="0"/>
              <w:kinsoku/>
              <w:wordWrap/>
              <w:overflowPunct/>
              <w:topLinePunct w:val="0"/>
              <w:autoSpaceDE/>
              <w:autoSpaceDN/>
              <w:bidi w:val="0"/>
              <w:snapToGrid w:val="0"/>
              <w:spacing w:before="0" w:beforeAutospacing="0" w:after="0" w:afterAutospacing="0" w:line="240" w:lineRule="auto"/>
              <w:jc w:val="center"/>
              <w:textAlignment w:val="baseline"/>
              <w:rPr>
                <w:rFonts w:hint="default" w:ascii="仿宋" w:hAnsi="仿宋" w:eastAsia="仿宋" w:cs="仿宋"/>
                <w:b/>
                <w:bCs w:val="0"/>
                <w:color w:val="auto"/>
                <w:sz w:val="24"/>
                <w:szCs w:val="24"/>
                <w:highlight w:val="none"/>
                <w:lang w:val="en-US" w:eastAsia="zh-CN" w:bidi="zh-CN"/>
              </w:rPr>
            </w:pPr>
            <w:r>
              <w:rPr>
                <w:rFonts w:hint="eastAsia" w:cs="仿宋"/>
                <w:b/>
                <w:bCs w:val="0"/>
                <w:color w:val="auto"/>
                <w:sz w:val="24"/>
                <w:szCs w:val="24"/>
                <w:highlight w:val="none"/>
                <w:lang w:val="en-US" w:eastAsia="zh-CN"/>
              </w:rPr>
              <w:t>安全保障</w:t>
            </w:r>
          </w:p>
        </w:tc>
        <w:tc>
          <w:tcPr>
            <w:tcW w:w="6386" w:type="dxa"/>
            <w:shd w:val="clear" w:color="auto" w:fill="auto"/>
            <w:vAlign w:val="center"/>
          </w:tcPr>
          <w:p w14:paraId="74DD6269">
            <w:pPr>
              <w:keepNext w:val="0"/>
              <w:keepLines w:val="0"/>
              <w:pageBreakBefore w:val="0"/>
              <w:kinsoku/>
              <w:wordWrap/>
              <w:overflowPunct/>
              <w:topLinePunct w:val="0"/>
              <w:autoSpaceDE/>
              <w:autoSpaceDN/>
              <w:bidi w:val="0"/>
              <w:snapToGrid w:val="0"/>
              <w:spacing w:before="0" w:beforeAutospacing="0" w:after="0" w:afterAutospacing="0" w:line="240" w:lineRule="auto"/>
              <w:jc w:val="both"/>
              <w:textAlignment w:val="baseline"/>
              <w:rPr>
                <w:rFonts w:hint="eastAsia" w:ascii="仿宋" w:hAnsi="仿宋" w:eastAsia="仿宋" w:cs="仿宋"/>
                <w:color w:val="auto"/>
                <w:sz w:val="24"/>
                <w:szCs w:val="24"/>
                <w:highlight w:val="none"/>
                <w:lang w:val="en-US" w:eastAsia="zh-CN"/>
              </w:rPr>
            </w:pPr>
            <w:r>
              <w:rPr>
                <w:rFonts w:hint="eastAsia" w:cs="仿宋"/>
                <w:color w:val="auto"/>
                <w:kern w:val="2"/>
                <w:sz w:val="24"/>
                <w:szCs w:val="24"/>
                <w:highlight w:val="none"/>
                <w:lang w:val="en-US" w:eastAsia="zh-CN" w:bidi="ar-SA"/>
              </w:rPr>
              <w:t>根据投标人</w:t>
            </w:r>
            <w:r>
              <w:rPr>
                <w:rFonts w:hint="eastAsia" w:ascii="仿宋" w:hAnsi="仿宋" w:eastAsia="仿宋" w:cs="仿宋"/>
                <w:color w:val="auto"/>
                <w:kern w:val="2"/>
                <w:sz w:val="24"/>
                <w:szCs w:val="24"/>
                <w:highlight w:val="none"/>
                <w:lang w:val="en-US" w:eastAsia="zh-CN" w:bidi="ar-SA"/>
              </w:rPr>
              <w:t>应对突发性事件时的应急预案方案</w:t>
            </w:r>
            <w:r>
              <w:rPr>
                <w:rFonts w:hint="eastAsia" w:ascii="仿宋" w:hAnsi="仿宋" w:eastAsia="仿宋" w:cs="仿宋"/>
                <w:color w:val="auto"/>
                <w:sz w:val="24"/>
                <w:szCs w:val="24"/>
                <w:highlight w:val="none"/>
                <w:lang w:val="en-US" w:eastAsia="zh-CN"/>
              </w:rPr>
              <w:t>，</w:t>
            </w:r>
            <w:r>
              <w:rPr>
                <w:rFonts w:hint="eastAsia" w:cs="仿宋"/>
                <w:color w:val="auto"/>
                <w:sz w:val="24"/>
                <w:szCs w:val="24"/>
                <w:highlight w:val="none"/>
                <w:lang w:val="en-US" w:eastAsia="zh-CN"/>
              </w:rPr>
              <w:t>包含但不仅限于活动前期准备、正式举办、结束返程等期间发生任何人身伤亡事故或财产损失事故的，或造成第三方人身损害或财产损失的等情况</w:t>
            </w:r>
            <w:r>
              <w:rPr>
                <w:rFonts w:hint="eastAsia" w:ascii="仿宋" w:hAnsi="仿宋" w:eastAsia="仿宋" w:cs="仿宋"/>
                <w:color w:val="auto"/>
                <w:sz w:val="24"/>
                <w:szCs w:val="24"/>
                <w:highlight w:val="none"/>
                <w:lang w:val="en-US" w:eastAsia="zh-CN"/>
              </w:rPr>
              <w:t>，由评委进行综合评审。</w:t>
            </w:r>
          </w:p>
          <w:p w14:paraId="2878D6B1">
            <w:pPr>
              <w:keepNext w:val="0"/>
              <w:keepLines w:val="0"/>
              <w:pageBreakBefore w:val="0"/>
              <w:kinsoku/>
              <w:wordWrap/>
              <w:overflowPunct/>
              <w:topLinePunct w:val="0"/>
              <w:autoSpaceDE/>
              <w:autoSpaceDN/>
              <w:bidi w:val="0"/>
              <w:snapToGrid w:val="0"/>
              <w:spacing w:before="0" w:beforeAutospacing="0" w:after="0" w:afterAutospacing="0" w:line="240" w:lineRule="auto"/>
              <w:jc w:val="both"/>
              <w:textAlignment w:val="baseline"/>
              <w:rPr>
                <w:rFonts w:hint="eastAsia" w:ascii="仿宋" w:hAnsi="仿宋" w:eastAsia="仿宋" w:cs="仿宋"/>
                <w:bCs/>
                <w:color w:val="auto"/>
                <w:kern w:val="0"/>
                <w:sz w:val="24"/>
                <w:szCs w:val="24"/>
                <w:highlight w:val="none"/>
                <w:lang w:val="en-US" w:eastAsia="zh-CN" w:bidi="zh-CN"/>
              </w:rPr>
            </w:pPr>
            <w:r>
              <w:rPr>
                <w:rFonts w:hint="eastAsia" w:cs="仿宋"/>
                <w:b w:val="0"/>
                <w:bCs w:val="0"/>
                <w:color w:val="auto"/>
                <w:sz w:val="24"/>
                <w:szCs w:val="24"/>
                <w:highlight w:val="none"/>
                <w:lang w:eastAsia="zh-CN"/>
              </w:rPr>
              <w:t>（评分范围：5，4，3，2，1，0分）</w:t>
            </w:r>
          </w:p>
        </w:tc>
        <w:tc>
          <w:tcPr>
            <w:tcW w:w="969" w:type="dxa"/>
            <w:shd w:val="clear" w:color="auto" w:fill="auto"/>
            <w:vAlign w:val="center"/>
          </w:tcPr>
          <w:p w14:paraId="0FB58699">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tr w14:paraId="2904E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710" w:type="dxa"/>
            <w:shd w:val="clear" w:color="auto" w:fill="auto"/>
            <w:vAlign w:val="center"/>
          </w:tcPr>
          <w:p w14:paraId="60F3A87F">
            <w:pPr>
              <w:keepNext w:val="0"/>
              <w:keepLines w:val="0"/>
              <w:widowControl/>
              <w:suppressLineNumbers w:val="0"/>
              <w:spacing w:line="240" w:lineRule="auto"/>
              <w:jc w:val="center"/>
              <w:textAlignment w:val="center"/>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i w:val="0"/>
                <w:iCs w:val="0"/>
                <w:color w:val="000000"/>
                <w:kern w:val="0"/>
                <w:sz w:val="24"/>
                <w:szCs w:val="24"/>
                <w:u w:val="none"/>
                <w:lang w:val="en-US" w:eastAsia="zh-CN" w:bidi="ar"/>
              </w:rPr>
              <w:t>13</w:t>
            </w:r>
          </w:p>
        </w:tc>
        <w:tc>
          <w:tcPr>
            <w:tcW w:w="1349" w:type="dxa"/>
            <w:shd w:val="clear" w:color="auto" w:fill="auto"/>
            <w:vAlign w:val="center"/>
          </w:tcPr>
          <w:p w14:paraId="63467754">
            <w:pPr>
              <w:keepNext w:val="0"/>
              <w:keepLines w:val="0"/>
              <w:pageBreakBefore w:val="0"/>
              <w:kinsoku/>
              <w:wordWrap/>
              <w:overflowPunct/>
              <w:topLinePunct w:val="0"/>
              <w:autoSpaceDE/>
              <w:autoSpaceDN/>
              <w:bidi w:val="0"/>
              <w:snapToGrid w:val="0"/>
              <w:spacing w:before="0" w:beforeAutospacing="0" w:after="0" w:afterAutospacing="0" w:line="240" w:lineRule="auto"/>
              <w:jc w:val="center"/>
              <w:textAlignment w:val="baseline"/>
              <w:rPr>
                <w:rFonts w:hint="default" w:ascii="仿宋" w:hAnsi="仿宋" w:eastAsia="仿宋" w:cs="仿宋"/>
                <w:b/>
                <w:bCs w:val="0"/>
                <w:color w:val="auto"/>
                <w:sz w:val="24"/>
                <w:szCs w:val="24"/>
                <w:highlight w:val="none"/>
                <w:lang w:val="en-US" w:eastAsia="zh-CN" w:bidi="zh-CN"/>
              </w:rPr>
            </w:pPr>
            <w:r>
              <w:rPr>
                <w:rFonts w:hint="eastAsia" w:ascii="仿宋" w:hAnsi="仿宋" w:eastAsia="仿宋" w:cs="仿宋"/>
                <w:b/>
                <w:bCs w:val="0"/>
                <w:color w:val="auto"/>
                <w:kern w:val="2"/>
                <w:sz w:val="24"/>
                <w:szCs w:val="24"/>
                <w:highlight w:val="none"/>
                <w:lang w:val="en-US" w:eastAsia="zh-CN" w:bidi="ar-SA"/>
              </w:rPr>
              <w:t>应急</w:t>
            </w:r>
            <w:r>
              <w:rPr>
                <w:rFonts w:hint="eastAsia" w:cs="仿宋"/>
                <w:b/>
                <w:bCs w:val="0"/>
                <w:color w:val="auto"/>
                <w:kern w:val="2"/>
                <w:sz w:val="24"/>
                <w:szCs w:val="24"/>
                <w:highlight w:val="none"/>
                <w:lang w:val="en-US" w:eastAsia="zh-CN" w:bidi="ar-SA"/>
              </w:rPr>
              <w:t>保障</w:t>
            </w:r>
          </w:p>
        </w:tc>
        <w:tc>
          <w:tcPr>
            <w:tcW w:w="6386" w:type="dxa"/>
            <w:shd w:val="clear" w:color="auto" w:fill="auto"/>
            <w:vAlign w:val="center"/>
          </w:tcPr>
          <w:p w14:paraId="0A84897C">
            <w:pPr>
              <w:keepNext w:val="0"/>
              <w:keepLines w:val="0"/>
              <w:pageBreakBefore w:val="0"/>
              <w:kinsoku/>
              <w:wordWrap/>
              <w:overflowPunct/>
              <w:topLinePunct w:val="0"/>
              <w:autoSpaceDE/>
              <w:autoSpaceDN/>
              <w:bidi w:val="0"/>
              <w:snapToGrid w:val="0"/>
              <w:spacing w:before="0" w:beforeAutospacing="0" w:after="0" w:afterAutospacing="0" w:line="240" w:lineRule="auto"/>
              <w:jc w:val="both"/>
              <w:textAlignment w:val="baseline"/>
              <w:rPr>
                <w:rFonts w:hint="eastAsia" w:ascii="仿宋" w:hAnsi="仿宋" w:eastAsia="仿宋" w:cs="仿宋"/>
                <w:color w:val="auto"/>
                <w:sz w:val="24"/>
                <w:szCs w:val="24"/>
                <w:highlight w:val="none"/>
                <w:lang w:val="en-US" w:eastAsia="zh-CN"/>
              </w:rPr>
            </w:pPr>
            <w:r>
              <w:rPr>
                <w:rFonts w:hint="eastAsia" w:cs="仿宋"/>
                <w:color w:val="auto"/>
                <w:kern w:val="2"/>
                <w:sz w:val="24"/>
                <w:szCs w:val="24"/>
                <w:highlight w:val="none"/>
                <w:lang w:val="en-US" w:eastAsia="zh-CN" w:bidi="ar-SA"/>
              </w:rPr>
              <w:t>根据投标人</w:t>
            </w:r>
            <w:r>
              <w:rPr>
                <w:rFonts w:hint="eastAsia" w:ascii="仿宋" w:hAnsi="仿宋" w:eastAsia="仿宋" w:cs="仿宋"/>
                <w:color w:val="auto"/>
                <w:kern w:val="2"/>
                <w:sz w:val="24"/>
                <w:szCs w:val="24"/>
                <w:highlight w:val="none"/>
                <w:lang w:val="en-US" w:eastAsia="zh-CN" w:bidi="ar-SA"/>
              </w:rPr>
              <w:t>应对突发性事件时的应急预案方案</w:t>
            </w:r>
            <w:r>
              <w:rPr>
                <w:rFonts w:hint="eastAsia" w:ascii="仿宋" w:hAnsi="仿宋" w:eastAsia="仿宋" w:cs="仿宋"/>
                <w:color w:val="auto"/>
                <w:sz w:val="24"/>
                <w:szCs w:val="24"/>
                <w:highlight w:val="none"/>
                <w:lang w:val="en-US" w:eastAsia="zh-CN"/>
              </w:rPr>
              <w:t>，</w:t>
            </w:r>
            <w:r>
              <w:rPr>
                <w:rFonts w:hint="eastAsia" w:cs="仿宋"/>
                <w:color w:val="auto"/>
                <w:sz w:val="24"/>
                <w:szCs w:val="24"/>
                <w:highlight w:val="none"/>
                <w:lang w:val="en-US" w:eastAsia="zh-CN"/>
              </w:rPr>
              <w:t>包含但不仅限于安全保障方案、医疗方案、</w:t>
            </w:r>
            <w:r>
              <w:rPr>
                <w:rFonts w:hint="eastAsia" w:ascii="仿宋" w:hAnsi="仿宋" w:eastAsia="仿宋" w:cs="仿宋"/>
                <w:b w:val="0"/>
                <w:bCs w:val="0"/>
                <w:sz w:val="24"/>
                <w:szCs w:val="32"/>
                <w:lang w:val="zh-CN" w:eastAsia="zh-CN"/>
              </w:rPr>
              <w:t>补给点设置和物资</w:t>
            </w:r>
            <w:r>
              <w:rPr>
                <w:rFonts w:hint="eastAsia" w:cs="仿宋"/>
                <w:b w:val="0"/>
                <w:bCs w:val="0"/>
                <w:sz w:val="24"/>
                <w:szCs w:val="32"/>
                <w:lang w:val="en-US" w:eastAsia="zh-CN"/>
              </w:rPr>
              <w:t>供应、</w:t>
            </w:r>
            <w:r>
              <w:rPr>
                <w:rFonts w:hint="eastAsia" w:cs="仿宋"/>
                <w:color w:val="auto"/>
                <w:sz w:val="24"/>
                <w:szCs w:val="24"/>
                <w:highlight w:val="none"/>
                <w:lang w:val="en-US" w:eastAsia="zh-CN"/>
              </w:rPr>
              <w:t>应急物资和设备等</w:t>
            </w:r>
            <w:r>
              <w:rPr>
                <w:rFonts w:hint="eastAsia" w:ascii="仿宋" w:hAnsi="仿宋" w:eastAsia="仿宋" w:cs="仿宋"/>
                <w:color w:val="auto"/>
                <w:sz w:val="24"/>
                <w:szCs w:val="24"/>
                <w:highlight w:val="none"/>
                <w:lang w:val="en-US" w:eastAsia="zh-CN"/>
              </w:rPr>
              <w:t>，由评委进行综合评审。</w:t>
            </w:r>
          </w:p>
          <w:p w14:paraId="1A7ECAEC">
            <w:pPr>
              <w:keepNext w:val="0"/>
              <w:keepLines w:val="0"/>
              <w:pageBreakBefore w:val="0"/>
              <w:kinsoku/>
              <w:wordWrap/>
              <w:overflowPunct/>
              <w:topLinePunct w:val="0"/>
              <w:autoSpaceDE/>
              <w:autoSpaceDN/>
              <w:bidi w:val="0"/>
              <w:snapToGrid w:val="0"/>
              <w:spacing w:before="0" w:beforeAutospacing="0" w:after="0" w:afterAutospacing="0" w:line="240" w:lineRule="auto"/>
              <w:jc w:val="both"/>
              <w:textAlignment w:val="baseline"/>
              <w:rPr>
                <w:rFonts w:hint="eastAsia" w:ascii="仿宋" w:hAnsi="仿宋" w:eastAsia="仿宋" w:cs="仿宋"/>
                <w:bCs/>
                <w:color w:val="auto"/>
                <w:kern w:val="0"/>
                <w:sz w:val="24"/>
                <w:szCs w:val="24"/>
                <w:highlight w:val="none"/>
                <w:lang w:val="en-US" w:eastAsia="zh-CN" w:bidi="zh-CN"/>
              </w:rPr>
            </w:pPr>
            <w:r>
              <w:rPr>
                <w:rFonts w:hint="eastAsia" w:cs="仿宋"/>
                <w:b w:val="0"/>
                <w:bCs w:val="0"/>
                <w:color w:val="auto"/>
                <w:sz w:val="24"/>
                <w:szCs w:val="24"/>
                <w:highlight w:val="none"/>
                <w:lang w:eastAsia="zh-CN"/>
              </w:rPr>
              <w:t>（评分范围：5，4，3，2，1，0分）</w:t>
            </w:r>
          </w:p>
        </w:tc>
        <w:tc>
          <w:tcPr>
            <w:tcW w:w="969" w:type="dxa"/>
            <w:shd w:val="clear" w:color="auto" w:fill="auto"/>
            <w:vAlign w:val="center"/>
          </w:tcPr>
          <w:p w14:paraId="07468C00">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tr w14:paraId="188D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710" w:type="dxa"/>
            <w:shd w:val="clear" w:color="auto" w:fill="auto"/>
            <w:vAlign w:val="center"/>
          </w:tcPr>
          <w:p w14:paraId="33F1A050">
            <w:pPr>
              <w:keepNext w:val="0"/>
              <w:keepLines w:val="0"/>
              <w:widowControl/>
              <w:suppressLineNumbers w:val="0"/>
              <w:spacing w:line="240" w:lineRule="auto"/>
              <w:jc w:val="center"/>
              <w:textAlignment w:val="center"/>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i w:val="0"/>
                <w:iCs w:val="0"/>
                <w:color w:val="000000"/>
                <w:kern w:val="0"/>
                <w:sz w:val="24"/>
                <w:szCs w:val="24"/>
                <w:u w:val="none"/>
                <w:lang w:val="en-US" w:eastAsia="zh-CN" w:bidi="ar"/>
              </w:rPr>
              <w:t>14</w:t>
            </w:r>
          </w:p>
        </w:tc>
        <w:tc>
          <w:tcPr>
            <w:tcW w:w="1349" w:type="dxa"/>
            <w:shd w:val="clear" w:color="auto" w:fill="auto"/>
            <w:vAlign w:val="center"/>
          </w:tcPr>
          <w:p w14:paraId="6396AFEF">
            <w:pPr>
              <w:keepNext w:val="0"/>
              <w:keepLines w:val="0"/>
              <w:pageBreakBefore w:val="0"/>
              <w:kinsoku/>
              <w:wordWrap/>
              <w:overflowPunct/>
              <w:topLinePunct w:val="0"/>
              <w:autoSpaceDE/>
              <w:autoSpaceDN/>
              <w:bidi w:val="0"/>
              <w:snapToGrid w:val="0"/>
              <w:spacing w:before="0" w:beforeAutospacing="0" w:after="0" w:afterAutospacing="0" w:line="240" w:lineRule="auto"/>
              <w:jc w:val="center"/>
              <w:textAlignment w:val="baseline"/>
              <w:rPr>
                <w:rFonts w:hint="eastAsia" w:ascii="仿宋" w:hAnsi="仿宋" w:eastAsia="仿宋" w:cs="仿宋"/>
                <w:b/>
                <w:bCs w:val="0"/>
                <w:color w:val="auto"/>
                <w:sz w:val="24"/>
                <w:szCs w:val="24"/>
                <w:highlight w:val="none"/>
                <w:lang w:val="en-US" w:eastAsia="zh-CN" w:bidi="zh-CN"/>
              </w:rPr>
            </w:pPr>
            <w:r>
              <w:rPr>
                <w:rFonts w:hint="eastAsia" w:cs="仿宋"/>
                <w:b/>
                <w:bCs w:val="0"/>
                <w:color w:val="auto"/>
                <w:sz w:val="24"/>
                <w:szCs w:val="24"/>
                <w:highlight w:val="none"/>
                <w:lang w:val="zh-CN" w:eastAsia="zh-CN"/>
              </w:rPr>
              <w:t>现场管理方案</w:t>
            </w:r>
          </w:p>
        </w:tc>
        <w:tc>
          <w:tcPr>
            <w:tcW w:w="6386" w:type="dxa"/>
            <w:shd w:val="clear" w:color="auto" w:fill="auto"/>
            <w:vAlign w:val="center"/>
          </w:tcPr>
          <w:p w14:paraId="69A73260">
            <w:pPr>
              <w:keepNext w:val="0"/>
              <w:keepLines w:val="0"/>
              <w:pageBreakBefore w:val="0"/>
              <w:kinsoku/>
              <w:wordWrap/>
              <w:overflowPunct/>
              <w:topLinePunct w:val="0"/>
              <w:autoSpaceDE/>
              <w:autoSpaceDN/>
              <w:bidi w:val="0"/>
              <w:snapToGrid w:val="0"/>
              <w:spacing w:before="0" w:beforeAutospacing="0" w:after="0" w:afterAutospacing="0" w:line="240" w:lineRule="auto"/>
              <w:jc w:val="both"/>
              <w:textAlignment w:val="baseline"/>
              <w:rPr>
                <w:rFonts w:hint="eastAsia" w:ascii="仿宋" w:hAnsi="仿宋" w:eastAsia="仿宋" w:cs="仿宋"/>
                <w:bCs/>
                <w:color w:val="auto"/>
                <w:kern w:val="0"/>
                <w:sz w:val="24"/>
                <w:szCs w:val="24"/>
                <w:highlight w:val="none"/>
                <w:lang w:val="en-US" w:eastAsia="zh-CN" w:bidi="zh-CN"/>
              </w:rPr>
            </w:pPr>
            <w:r>
              <w:rPr>
                <w:rFonts w:hint="eastAsia" w:cs="仿宋"/>
                <w:color w:val="auto"/>
                <w:sz w:val="24"/>
                <w:szCs w:val="24"/>
                <w:highlight w:val="none"/>
                <w:lang w:val="en-US" w:eastAsia="zh-CN"/>
              </w:rPr>
              <w:t>根据投标人</w:t>
            </w:r>
            <w:r>
              <w:rPr>
                <w:rFonts w:hint="eastAsia" w:ascii="仿宋" w:hAnsi="仿宋" w:eastAsia="仿宋" w:cs="仿宋"/>
                <w:color w:val="auto"/>
                <w:sz w:val="24"/>
                <w:szCs w:val="24"/>
                <w:highlight w:val="none"/>
                <w:lang w:val="en-US" w:eastAsia="zh-CN"/>
              </w:rPr>
              <w:t>提供的项目</w:t>
            </w:r>
            <w:r>
              <w:rPr>
                <w:rFonts w:hint="eastAsia" w:ascii="仿宋" w:hAnsi="仿宋" w:eastAsia="仿宋" w:cs="仿宋"/>
                <w:color w:val="auto"/>
                <w:sz w:val="24"/>
                <w:szCs w:val="24"/>
                <w:highlight w:val="none"/>
                <w:lang w:val="zh-CN" w:eastAsia="zh-CN"/>
              </w:rPr>
              <w:t>现场管理方案</w:t>
            </w:r>
            <w:r>
              <w:rPr>
                <w:rFonts w:hint="eastAsia" w:ascii="仿宋" w:hAnsi="仿宋" w:eastAsia="仿宋" w:cs="仿宋"/>
                <w:color w:val="auto"/>
                <w:sz w:val="24"/>
                <w:szCs w:val="24"/>
                <w:highlight w:val="none"/>
                <w:lang w:val="en-US" w:eastAsia="zh-CN"/>
              </w:rPr>
              <w:t>各环节安排</w:t>
            </w:r>
            <w:r>
              <w:rPr>
                <w:rFonts w:hint="eastAsia" w:cs="仿宋"/>
                <w:color w:val="auto"/>
                <w:sz w:val="24"/>
                <w:szCs w:val="24"/>
                <w:highlight w:val="none"/>
                <w:lang w:val="en-US" w:eastAsia="zh-CN"/>
              </w:rPr>
              <w:t>，包含但不仅限于</w:t>
            </w:r>
            <w:r>
              <w:rPr>
                <w:rFonts w:hint="eastAsia" w:ascii="仿宋" w:hAnsi="仿宋" w:eastAsia="仿宋" w:cs="仿宋"/>
                <w:bCs/>
                <w:sz w:val="24"/>
              </w:rPr>
              <w:t>赛事物资保障、嘉宾接待</w:t>
            </w:r>
            <w:r>
              <w:rPr>
                <w:rFonts w:hint="eastAsia" w:cs="仿宋"/>
                <w:bCs/>
                <w:sz w:val="24"/>
                <w:lang w:eastAsia="zh-CN"/>
              </w:rPr>
              <w:t>、</w:t>
            </w:r>
            <w:r>
              <w:rPr>
                <w:rFonts w:hint="eastAsia" w:ascii="仿宋" w:hAnsi="仿宋" w:eastAsia="仿宋" w:cs="仿宋"/>
                <w:color w:val="000000"/>
                <w:sz w:val="24"/>
                <w:szCs w:val="24"/>
                <w:lang w:val="en-US" w:eastAsia="zh-CN"/>
              </w:rPr>
              <w:t>裁判员保障、车辆保障、器材保障</w:t>
            </w:r>
            <w:r>
              <w:rPr>
                <w:rFonts w:hint="eastAsia" w:ascii="仿宋" w:hAnsi="仿宋" w:eastAsia="仿宋" w:cs="仿宋"/>
                <w:color w:val="auto"/>
                <w:kern w:val="2"/>
                <w:sz w:val="24"/>
                <w:szCs w:val="24"/>
                <w:highlight w:val="none"/>
                <w:lang w:val="en-US" w:eastAsia="zh-CN" w:bidi="ar-SA"/>
              </w:rPr>
              <w:t>等</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由评委进行综合评审。</w:t>
            </w:r>
            <w:r>
              <w:rPr>
                <w:rFonts w:hint="eastAsia" w:cs="仿宋"/>
                <w:color w:val="auto"/>
                <w:sz w:val="24"/>
                <w:szCs w:val="24"/>
                <w:highlight w:val="none"/>
                <w:lang w:val="en-US" w:eastAsia="zh-CN"/>
              </w:rPr>
              <w:t>（评分范围：5，4，3，2，1，0分）</w:t>
            </w:r>
          </w:p>
        </w:tc>
        <w:tc>
          <w:tcPr>
            <w:tcW w:w="969" w:type="dxa"/>
            <w:shd w:val="clear" w:color="auto" w:fill="auto"/>
            <w:vAlign w:val="center"/>
          </w:tcPr>
          <w:p w14:paraId="724670F3">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tr w14:paraId="395DE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710" w:type="dxa"/>
            <w:shd w:val="clear" w:color="auto" w:fill="auto"/>
            <w:vAlign w:val="center"/>
          </w:tcPr>
          <w:p w14:paraId="6ADC1BB9">
            <w:pPr>
              <w:keepNext w:val="0"/>
              <w:keepLines w:val="0"/>
              <w:widowControl/>
              <w:suppressLineNumbers w:val="0"/>
              <w:spacing w:line="240" w:lineRule="auto"/>
              <w:jc w:val="center"/>
              <w:textAlignment w:val="center"/>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i w:val="0"/>
                <w:iCs w:val="0"/>
                <w:color w:val="000000"/>
                <w:kern w:val="0"/>
                <w:sz w:val="24"/>
                <w:szCs w:val="24"/>
                <w:u w:val="none"/>
                <w:lang w:val="en-US" w:eastAsia="zh-CN" w:bidi="ar"/>
              </w:rPr>
              <w:t>15</w:t>
            </w:r>
          </w:p>
        </w:tc>
        <w:tc>
          <w:tcPr>
            <w:tcW w:w="1349" w:type="dxa"/>
            <w:shd w:val="clear" w:color="auto" w:fill="auto"/>
            <w:vAlign w:val="center"/>
          </w:tcPr>
          <w:p w14:paraId="085CF16C">
            <w:pPr>
              <w:spacing w:line="240" w:lineRule="auto"/>
              <w:jc w:val="center"/>
              <w:rPr>
                <w:rFonts w:hint="eastAsia" w:ascii="仿宋" w:hAnsi="仿宋" w:eastAsia="仿宋" w:cs="仿宋"/>
                <w:b/>
                <w:bCs w:val="0"/>
                <w:color w:val="auto"/>
                <w:sz w:val="24"/>
                <w:szCs w:val="24"/>
                <w:highlight w:val="none"/>
                <w:lang w:val="zh-CN" w:eastAsia="zh-CN" w:bidi="zh-CN"/>
              </w:rPr>
            </w:pPr>
            <w:r>
              <w:rPr>
                <w:rFonts w:hint="eastAsia" w:cs="仿宋"/>
                <w:b/>
                <w:bCs/>
                <w:kern w:val="2"/>
                <w:sz w:val="24"/>
                <w:szCs w:val="24"/>
                <w:lang w:val="en-US" w:eastAsia="zh-CN" w:bidi="ar-SA"/>
              </w:rPr>
              <w:t>赛事</w:t>
            </w:r>
            <w:r>
              <w:rPr>
                <w:rFonts w:hint="eastAsia" w:ascii="仿宋" w:hAnsi="仿宋" w:eastAsia="仿宋" w:cs="仿宋"/>
                <w:b/>
                <w:bCs/>
                <w:kern w:val="2"/>
                <w:sz w:val="24"/>
                <w:szCs w:val="24"/>
                <w:lang w:val="en-US" w:eastAsia="zh-CN" w:bidi="ar-SA"/>
              </w:rPr>
              <w:t>管理方案</w:t>
            </w:r>
          </w:p>
        </w:tc>
        <w:tc>
          <w:tcPr>
            <w:tcW w:w="6386" w:type="dxa"/>
            <w:shd w:val="clear" w:color="auto" w:fill="auto"/>
            <w:vAlign w:val="center"/>
          </w:tcPr>
          <w:p w14:paraId="74F9CA11">
            <w:pPr>
              <w:keepNext w:val="0"/>
              <w:keepLines w:val="0"/>
              <w:pageBreakBefore w:val="0"/>
              <w:kinsoku/>
              <w:wordWrap/>
              <w:overflowPunct/>
              <w:topLinePunct w:val="0"/>
              <w:autoSpaceDE/>
              <w:autoSpaceDN/>
              <w:bidi w:val="0"/>
              <w:snapToGrid w:val="0"/>
              <w:spacing w:before="0" w:beforeAutospacing="0" w:after="0" w:afterAutospacing="0" w:line="240" w:lineRule="auto"/>
              <w:jc w:val="both"/>
              <w:textAlignment w:val="baseline"/>
              <w:rPr>
                <w:rFonts w:hint="eastAsia" w:ascii="仿宋" w:hAnsi="仿宋" w:eastAsia="仿宋" w:cs="仿宋"/>
                <w:color w:val="auto"/>
                <w:sz w:val="24"/>
                <w:szCs w:val="24"/>
                <w:highlight w:val="none"/>
                <w:lang w:val="en-US" w:eastAsia="zh-CN" w:bidi="zh-CN"/>
              </w:rPr>
            </w:pPr>
            <w:r>
              <w:rPr>
                <w:rFonts w:hint="eastAsia" w:cs="仿宋"/>
                <w:color w:val="auto"/>
                <w:sz w:val="24"/>
                <w:szCs w:val="24"/>
                <w:highlight w:val="none"/>
                <w:lang w:val="en-US" w:eastAsia="zh-CN"/>
              </w:rPr>
              <w:t>根据投标人提供的赛事管理方案进行综合打分，内容包括但不仅限于赛事期间管理制度、赛事工作台账、信息收集及保密措施及工作反馈机制等</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由评委进行综合评审。</w:t>
            </w:r>
            <w:r>
              <w:rPr>
                <w:rFonts w:hint="eastAsia" w:cs="仿宋"/>
                <w:color w:val="auto"/>
                <w:sz w:val="24"/>
                <w:szCs w:val="24"/>
                <w:highlight w:val="none"/>
                <w:lang w:val="en-US" w:eastAsia="zh-CN"/>
              </w:rPr>
              <w:t>（评分范围：5，4，3，2，1，0分）</w:t>
            </w:r>
          </w:p>
        </w:tc>
        <w:tc>
          <w:tcPr>
            <w:tcW w:w="969" w:type="dxa"/>
            <w:shd w:val="clear" w:color="auto" w:fill="auto"/>
            <w:vAlign w:val="center"/>
          </w:tcPr>
          <w:p w14:paraId="39B35B33">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tr w14:paraId="7C36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10" w:type="dxa"/>
            <w:shd w:val="clear" w:color="auto" w:fill="auto"/>
            <w:vAlign w:val="center"/>
          </w:tcPr>
          <w:p w14:paraId="6D2F5A5B">
            <w:pPr>
              <w:keepNext w:val="0"/>
              <w:keepLines w:val="0"/>
              <w:widowControl/>
              <w:suppressLineNumbers w:val="0"/>
              <w:spacing w:line="240" w:lineRule="auto"/>
              <w:jc w:val="center"/>
              <w:textAlignment w:val="center"/>
              <w:rPr>
                <w:rFonts w:hint="eastAsia" w:ascii="仿宋" w:hAnsi="仿宋" w:eastAsia="仿宋" w:cs="仿宋"/>
                <w:b/>
                <w:bCs/>
                <w:color w:val="auto"/>
                <w:sz w:val="24"/>
                <w:szCs w:val="24"/>
                <w:highlight w:val="none"/>
                <w:lang w:val="en-US" w:eastAsia="zh-CN" w:bidi="zh-CN"/>
              </w:rPr>
            </w:pPr>
            <w:r>
              <w:rPr>
                <w:rFonts w:hint="eastAsia" w:cs="仿宋"/>
                <w:b/>
                <w:bCs/>
                <w:color w:val="auto"/>
                <w:sz w:val="24"/>
                <w:szCs w:val="24"/>
                <w:highlight w:val="none"/>
                <w:lang w:val="en-US" w:eastAsia="zh-CN"/>
              </w:rPr>
              <w:t>16</w:t>
            </w:r>
          </w:p>
        </w:tc>
        <w:tc>
          <w:tcPr>
            <w:tcW w:w="1349" w:type="dxa"/>
            <w:shd w:val="clear" w:color="auto" w:fill="auto"/>
            <w:vAlign w:val="center"/>
          </w:tcPr>
          <w:p w14:paraId="213FE718">
            <w:pPr>
              <w:keepNext w:val="0"/>
              <w:keepLines w:val="0"/>
              <w:pageBreakBefore w:val="0"/>
              <w:kinsoku/>
              <w:wordWrap/>
              <w:overflowPunct/>
              <w:topLinePunct w:val="0"/>
              <w:autoSpaceDE/>
              <w:autoSpaceDN/>
              <w:bidi w:val="0"/>
              <w:snapToGrid w:val="0"/>
              <w:spacing w:before="0" w:beforeAutospacing="0" w:after="0" w:afterAutospacing="0" w:line="240" w:lineRule="auto"/>
              <w:jc w:val="center"/>
              <w:textAlignment w:val="baseline"/>
              <w:rPr>
                <w:rFonts w:hint="eastAsia" w:ascii="仿宋" w:hAnsi="仿宋" w:eastAsia="仿宋" w:cs="仿宋"/>
                <w:b/>
                <w:bCs w:val="0"/>
                <w:color w:val="auto"/>
                <w:sz w:val="24"/>
                <w:szCs w:val="24"/>
                <w:highlight w:val="none"/>
                <w:lang w:val="zh-CN" w:eastAsia="zh-CN" w:bidi="zh-CN"/>
              </w:rPr>
            </w:pPr>
            <w:r>
              <w:rPr>
                <w:rFonts w:hint="eastAsia" w:ascii="仿宋" w:hAnsi="仿宋" w:eastAsia="仿宋" w:cs="仿宋"/>
                <w:b/>
                <w:bCs w:val="0"/>
                <w:color w:val="auto"/>
                <w:kern w:val="2"/>
                <w:sz w:val="24"/>
                <w:szCs w:val="24"/>
                <w:highlight w:val="none"/>
                <w:lang w:val="en-US" w:eastAsia="zh-CN" w:bidi="ar-SA"/>
              </w:rPr>
              <w:t>项目进度</w:t>
            </w:r>
          </w:p>
        </w:tc>
        <w:tc>
          <w:tcPr>
            <w:tcW w:w="6386" w:type="dxa"/>
            <w:shd w:val="clear" w:color="auto" w:fill="auto"/>
            <w:vAlign w:val="center"/>
          </w:tcPr>
          <w:p w14:paraId="59C8F9B6">
            <w:pPr>
              <w:keepNext w:val="0"/>
              <w:keepLines w:val="0"/>
              <w:pageBreakBefore w:val="0"/>
              <w:kinsoku/>
              <w:wordWrap/>
              <w:overflowPunct/>
              <w:topLinePunct w:val="0"/>
              <w:autoSpaceDE/>
              <w:autoSpaceDN/>
              <w:bidi w:val="0"/>
              <w:snapToGrid w:val="0"/>
              <w:spacing w:before="0" w:beforeAutospacing="0" w:after="0" w:afterAutospacing="0" w:line="240" w:lineRule="auto"/>
              <w:jc w:val="both"/>
              <w:textAlignment w:val="baseline"/>
              <w:rPr>
                <w:rFonts w:hint="eastAsia" w:ascii="仿宋" w:hAnsi="仿宋" w:eastAsia="仿宋" w:cs="仿宋"/>
                <w:bCs/>
                <w:color w:val="auto"/>
                <w:kern w:val="0"/>
                <w:sz w:val="24"/>
                <w:szCs w:val="24"/>
                <w:highlight w:val="none"/>
                <w:lang w:val="en-US" w:eastAsia="zh-CN" w:bidi="zh-CN"/>
              </w:rPr>
            </w:pPr>
            <w:r>
              <w:rPr>
                <w:rFonts w:hint="eastAsia" w:cs="仿宋"/>
                <w:color w:val="auto"/>
                <w:kern w:val="2"/>
                <w:sz w:val="24"/>
                <w:szCs w:val="24"/>
                <w:highlight w:val="none"/>
                <w:lang w:val="en-US" w:eastAsia="zh-CN" w:bidi="ar-SA"/>
              </w:rPr>
              <w:t>根据投标人</w:t>
            </w:r>
            <w:r>
              <w:rPr>
                <w:rFonts w:hint="eastAsia" w:ascii="仿宋" w:hAnsi="仿宋" w:eastAsia="仿宋" w:cs="仿宋"/>
                <w:color w:val="auto"/>
                <w:kern w:val="2"/>
                <w:sz w:val="24"/>
                <w:szCs w:val="24"/>
                <w:highlight w:val="none"/>
                <w:lang w:val="en-US" w:eastAsia="zh-CN" w:bidi="ar-SA"/>
              </w:rPr>
              <w:t>提供的项目进度实施方案</w:t>
            </w:r>
            <w:r>
              <w:rPr>
                <w:rFonts w:hint="eastAsia" w:cs="仿宋"/>
                <w:color w:val="auto"/>
                <w:sz w:val="24"/>
                <w:szCs w:val="24"/>
                <w:highlight w:val="none"/>
                <w:lang w:val="en-US" w:eastAsia="zh-CN"/>
              </w:rPr>
              <w:t>，包含但不仅限于</w:t>
            </w:r>
            <w:r>
              <w:rPr>
                <w:rFonts w:hint="eastAsia" w:ascii="仿宋" w:hAnsi="仿宋" w:eastAsia="仿宋" w:cs="仿宋"/>
                <w:bCs/>
                <w:sz w:val="24"/>
              </w:rPr>
              <w:t>赛事</w:t>
            </w:r>
            <w:r>
              <w:rPr>
                <w:rFonts w:hint="eastAsia" w:ascii="仿宋" w:hAnsi="仿宋" w:eastAsia="仿宋" w:cs="仿宋"/>
                <w:color w:val="auto"/>
                <w:kern w:val="2"/>
                <w:sz w:val="24"/>
                <w:szCs w:val="24"/>
                <w:highlight w:val="none"/>
                <w:lang w:val="en-US" w:eastAsia="zh-CN" w:bidi="ar-SA"/>
              </w:rPr>
              <w:t>进度计划安排、对应节点措施的把握</w:t>
            </w:r>
            <w:r>
              <w:rPr>
                <w:rFonts w:hint="eastAsia" w:cs="仿宋"/>
                <w:color w:val="auto"/>
                <w:kern w:val="2"/>
                <w:sz w:val="24"/>
                <w:szCs w:val="24"/>
                <w:highlight w:val="none"/>
                <w:lang w:val="en-US" w:eastAsia="zh-CN" w:bidi="ar-SA"/>
              </w:rPr>
              <w:t>等</w:t>
            </w:r>
            <w:r>
              <w:rPr>
                <w:rFonts w:hint="eastAsia" w:ascii="仿宋" w:hAnsi="仿宋" w:eastAsia="仿宋" w:cs="仿宋"/>
                <w:color w:val="auto"/>
                <w:sz w:val="24"/>
                <w:szCs w:val="24"/>
                <w:highlight w:val="none"/>
                <w:lang w:val="en-US" w:eastAsia="zh-CN"/>
              </w:rPr>
              <w:t>，由评委进行综合评审。</w:t>
            </w:r>
            <w:r>
              <w:rPr>
                <w:rFonts w:hint="eastAsia" w:cs="仿宋"/>
                <w:color w:val="auto"/>
                <w:sz w:val="24"/>
                <w:szCs w:val="24"/>
                <w:highlight w:val="none"/>
                <w:lang w:val="en-US" w:eastAsia="zh-CN"/>
              </w:rPr>
              <w:t>（评分范围：5，4，3，2，1，0分）</w:t>
            </w:r>
          </w:p>
        </w:tc>
        <w:tc>
          <w:tcPr>
            <w:tcW w:w="969" w:type="dxa"/>
            <w:shd w:val="clear" w:color="auto" w:fill="auto"/>
            <w:vAlign w:val="center"/>
          </w:tcPr>
          <w:p w14:paraId="0D87ACC8">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bookmarkEnd w:id="189"/>
      <w:tr w14:paraId="2DB7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710" w:type="dxa"/>
            <w:shd w:val="clear" w:color="auto" w:fill="auto"/>
            <w:vAlign w:val="center"/>
          </w:tcPr>
          <w:p w14:paraId="3890AC47">
            <w:pPr>
              <w:keepNext w:val="0"/>
              <w:keepLines w:val="0"/>
              <w:widowControl/>
              <w:suppressLineNumbers w:val="0"/>
              <w:spacing w:line="240" w:lineRule="auto"/>
              <w:jc w:val="center"/>
              <w:textAlignment w:val="center"/>
              <w:rPr>
                <w:rFonts w:hint="eastAsia" w:ascii="仿宋" w:hAnsi="仿宋" w:eastAsia="仿宋" w:cs="仿宋"/>
                <w:b/>
                <w:bCs/>
                <w:color w:val="auto"/>
                <w:sz w:val="24"/>
                <w:szCs w:val="24"/>
                <w:highlight w:val="none"/>
                <w:lang w:val="en-US" w:eastAsia="zh-CN" w:bidi="zh-CN"/>
              </w:rPr>
            </w:pPr>
            <w:r>
              <w:rPr>
                <w:rFonts w:hint="eastAsia" w:cs="仿宋"/>
                <w:b/>
                <w:bCs/>
                <w:color w:val="auto"/>
                <w:sz w:val="24"/>
                <w:szCs w:val="24"/>
                <w:highlight w:val="none"/>
                <w:lang w:val="en-US" w:eastAsia="zh-CN"/>
              </w:rPr>
              <w:t>17</w:t>
            </w:r>
          </w:p>
        </w:tc>
        <w:tc>
          <w:tcPr>
            <w:tcW w:w="1349" w:type="dxa"/>
            <w:shd w:val="clear" w:color="auto" w:fill="auto"/>
            <w:vAlign w:val="center"/>
          </w:tcPr>
          <w:p w14:paraId="5AB8BBB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val="0"/>
                <w:color w:val="auto"/>
                <w:sz w:val="24"/>
                <w:szCs w:val="24"/>
                <w:highlight w:val="none"/>
                <w:lang w:val="zh-CN" w:eastAsia="zh-CN" w:bidi="zh-CN"/>
              </w:rPr>
            </w:pPr>
            <w:r>
              <w:rPr>
                <w:rFonts w:hint="eastAsia" w:ascii="仿宋" w:hAnsi="仿宋" w:eastAsia="仿宋" w:cs="仿宋"/>
                <w:b/>
                <w:bCs w:val="0"/>
                <w:color w:val="auto"/>
                <w:kern w:val="0"/>
                <w:sz w:val="24"/>
                <w:szCs w:val="24"/>
                <w:highlight w:val="none"/>
                <w:lang w:val="en-US" w:eastAsia="zh-CN"/>
              </w:rPr>
              <w:t>项目团队</w:t>
            </w:r>
          </w:p>
        </w:tc>
        <w:tc>
          <w:tcPr>
            <w:tcW w:w="6386" w:type="dxa"/>
            <w:shd w:val="clear" w:color="auto" w:fill="auto"/>
            <w:vAlign w:val="center"/>
          </w:tcPr>
          <w:p w14:paraId="151A6A6B">
            <w:pPr>
              <w:keepNext w:val="0"/>
              <w:keepLines w:val="0"/>
              <w:pageBreakBefore w:val="0"/>
              <w:kinsoku/>
              <w:wordWrap/>
              <w:overflowPunct/>
              <w:topLinePunct w:val="0"/>
              <w:autoSpaceDE/>
              <w:autoSpaceDN/>
              <w:bidi w:val="0"/>
              <w:snapToGrid w:val="0"/>
              <w:spacing w:before="0" w:beforeAutospacing="0" w:after="0" w:afterAutospacing="0" w:line="240" w:lineRule="auto"/>
              <w:jc w:val="both"/>
              <w:textAlignment w:val="baseline"/>
              <w:rPr>
                <w:rFonts w:hint="eastAsia" w:ascii="仿宋" w:hAnsi="仿宋" w:eastAsia="仿宋" w:cs="仿宋"/>
                <w:bCs/>
                <w:color w:val="auto"/>
                <w:kern w:val="0"/>
                <w:sz w:val="24"/>
                <w:szCs w:val="24"/>
                <w:highlight w:val="none"/>
                <w:lang w:val="en-US" w:eastAsia="zh-CN" w:bidi="zh-CN"/>
              </w:rPr>
            </w:pPr>
            <w:r>
              <w:rPr>
                <w:rFonts w:hint="eastAsia" w:cs="仿宋"/>
                <w:color w:val="auto"/>
                <w:sz w:val="24"/>
                <w:szCs w:val="24"/>
                <w:highlight w:val="none"/>
                <w:lang w:eastAsia="zh-CN"/>
              </w:rPr>
              <w:t>根据投标人</w:t>
            </w:r>
            <w:r>
              <w:rPr>
                <w:rFonts w:hint="eastAsia" w:ascii="仿宋" w:hAnsi="仿宋" w:eastAsia="仿宋" w:cs="仿宋"/>
                <w:color w:val="auto"/>
                <w:sz w:val="24"/>
                <w:szCs w:val="24"/>
                <w:highlight w:val="none"/>
              </w:rPr>
              <w:t>提供的人员配备方案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w:t>
            </w:r>
            <w:r>
              <w:rPr>
                <w:rFonts w:hint="eastAsia" w:ascii="仿宋" w:hAnsi="仿宋" w:eastAsia="仿宋" w:cs="仿宋"/>
                <w:color w:val="auto"/>
                <w:sz w:val="24"/>
                <w:szCs w:val="24"/>
                <w:highlight w:val="none"/>
                <w:lang w:eastAsia="zh-CN"/>
              </w:rPr>
              <w:t>团队人员配置及职责分工，团队人员调度的便捷性、</w:t>
            </w:r>
            <w:r>
              <w:rPr>
                <w:rFonts w:hint="eastAsia" w:ascii="仿宋" w:hAnsi="仿宋" w:eastAsia="仿宋" w:cs="仿宋"/>
                <w:color w:val="auto"/>
                <w:sz w:val="24"/>
                <w:szCs w:val="24"/>
                <w:highlight w:val="none"/>
                <w:lang w:val="en-US" w:eastAsia="zh-CN"/>
              </w:rPr>
              <w:t>效率</w:t>
            </w:r>
            <w:r>
              <w:rPr>
                <w:rFonts w:hint="eastAsia" w:ascii="仿宋" w:hAnsi="仿宋" w:eastAsia="仿宋" w:cs="仿宋"/>
                <w:color w:val="auto"/>
                <w:sz w:val="24"/>
                <w:szCs w:val="24"/>
                <w:highlight w:val="none"/>
                <w:lang w:eastAsia="zh-CN"/>
              </w:rPr>
              <w:t>，以及配备人员实施经验</w:t>
            </w:r>
            <w:r>
              <w:rPr>
                <w:rFonts w:hint="eastAsia" w:ascii="仿宋" w:hAnsi="仿宋" w:eastAsia="仿宋" w:cs="仿宋"/>
                <w:color w:val="auto"/>
                <w:kern w:val="2"/>
                <w:sz w:val="24"/>
                <w:szCs w:val="24"/>
                <w:highlight w:val="none"/>
                <w:lang w:val="en-US" w:eastAsia="zh-CN" w:bidi="ar-SA"/>
              </w:rPr>
              <w:t>等情况）</w:t>
            </w:r>
            <w:r>
              <w:rPr>
                <w:rFonts w:hint="eastAsia" w:ascii="仿宋" w:hAnsi="仿宋" w:eastAsia="仿宋" w:cs="仿宋"/>
                <w:color w:val="auto"/>
                <w:sz w:val="24"/>
                <w:szCs w:val="24"/>
                <w:highlight w:val="none"/>
                <w:lang w:val="en-US" w:eastAsia="zh-CN"/>
              </w:rPr>
              <w:t>，由评委进行综合评审。</w:t>
            </w:r>
            <w:r>
              <w:rPr>
                <w:rFonts w:hint="eastAsia" w:cs="仿宋"/>
                <w:b w:val="0"/>
                <w:bCs w:val="0"/>
                <w:color w:val="auto"/>
                <w:sz w:val="24"/>
                <w:szCs w:val="24"/>
                <w:highlight w:val="none"/>
                <w:lang w:eastAsia="zh-CN"/>
              </w:rPr>
              <w:t>（评分范围：5，4，3，2，1，0分）</w:t>
            </w:r>
          </w:p>
        </w:tc>
        <w:tc>
          <w:tcPr>
            <w:tcW w:w="969" w:type="dxa"/>
            <w:shd w:val="clear" w:color="auto" w:fill="auto"/>
            <w:vAlign w:val="center"/>
          </w:tcPr>
          <w:p w14:paraId="63D4A967">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tr w14:paraId="4A28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710" w:type="dxa"/>
            <w:shd w:val="clear" w:color="auto" w:fill="auto"/>
            <w:vAlign w:val="center"/>
          </w:tcPr>
          <w:p w14:paraId="1FDEFF3F">
            <w:pPr>
              <w:keepNext w:val="0"/>
              <w:keepLines w:val="0"/>
              <w:widowControl/>
              <w:suppressLineNumbers w:val="0"/>
              <w:spacing w:line="240" w:lineRule="auto"/>
              <w:jc w:val="center"/>
              <w:textAlignment w:val="center"/>
              <w:rPr>
                <w:rFonts w:hint="eastAsia" w:ascii="仿宋" w:hAnsi="仿宋" w:eastAsia="仿宋" w:cs="仿宋"/>
                <w:b/>
                <w:bCs/>
                <w:color w:val="auto"/>
                <w:sz w:val="24"/>
                <w:szCs w:val="24"/>
                <w:highlight w:val="none"/>
                <w:lang w:val="en-US" w:eastAsia="zh-CN" w:bidi="zh-CN"/>
              </w:rPr>
            </w:pPr>
            <w:r>
              <w:rPr>
                <w:rFonts w:hint="eastAsia" w:cs="仿宋"/>
                <w:b/>
                <w:bCs/>
                <w:color w:val="auto"/>
                <w:sz w:val="24"/>
                <w:szCs w:val="24"/>
                <w:highlight w:val="none"/>
                <w:lang w:val="en-US" w:eastAsia="zh-CN"/>
              </w:rPr>
              <w:t>18</w:t>
            </w:r>
          </w:p>
        </w:tc>
        <w:tc>
          <w:tcPr>
            <w:tcW w:w="1349" w:type="dxa"/>
            <w:shd w:val="clear" w:color="auto" w:fill="auto"/>
            <w:vAlign w:val="center"/>
          </w:tcPr>
          <w:p w14:paraId="4C17777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val="0"/>
                <w:color w:val="auto"/>
                <w:sz w:val="24"/>
                <w:szCs w:val="24"/>
                <w:highlight w:val="none"/>
                <w:lang w:val="zh-CN" w:eastAsia="zh-CN" w:bidi="zh-CN"/>
              </w:rPr>
            </w:pPr>
            <w:r>
              <w:rPr>
                <w:rFonts w:hint="eastAsia" w:ascii="仿宋" w:hAnsi="仿宋" w:eastAsia="仿宋" w:cs="仿宋"/>
                <w:b/>
                <w:bCs w:val="0"/>
                <w:color w:val="auto"/>
                <w:sz w:val="24"/>
                <w:szCs w:val="24"/>
                <w:highlight w:val="none"/>
              </w:rPr>
              <w:t>安全文明</w:t>
            </w:r>
            <w:r>
              <w:rPr>
                <w:rFonts w:hint="eastAsia" w:ascii="仿宋" w:hAnsi="仿宋" w:eastAsia="仿宋" w:cs="仿宋"/>
                <w:b/>
                <w:bCs w:val="0"/>
                <w:color w:val="auto"/>
                <w:sz w:val="24"/>
                <w:szCs w:val="24"/>
                <w:highlight w:val="none"/>
                <w:lang w:val="en-US" w:eastAsia="zh-CN"/>
              </w:rPr>
              <w:t>及</w:t>
            </w:r>
            <w:r>
              <w:rPr>
                <w:rFonts w:hint="eastAsia" w:ascii="仿宋" w:hAnsi="仿宋" w:eastAsia="仿宋" w:cs="仿宋"/>
                <w:b/>
                <w:bCs w:val="0"/>
                <w:color w:val="auto"/>
                <w:sz w:val="24"/>
                <w:szCs w:val="24"/>
                <w:highlight w:val="none"/>
              </w:rPr>
              <w:t>环保措施</w:t>
            </w:r>
          </w:p>
        </w:tc>
        <w:tc>
          <w:tcPr>
            <w:tcW w:w="6386" w:type="dxa"/>
            <w:shd w:val="clear" w:color="auto" w:fill="auto"/>
            <w:vAlign w:val="center"/>
          </w:tcPr>
          <w:p w14:paraId="5E6CFDAC">
            <w:pPr>
              <w:keepNext w:val="0"/>
              <w:keepLines w:val="0"/>
              <w:pageBreakBefore w:val="0"/>
              <w:kinsoku/>
              <w:wordWrap/>
              <w:overflowPunct/>
              <w:topLinePunct w:val="0"/>
              <w:autoSpaceDE/>
              <w:autoSpaceDN/>
              <w:bidi w:val="0"/>
              <w:snapToGrid w:val="0"/>
              <w:spacing w:before="0" w:beforeAutospacing="0" w:after="0" w:afterAutospacing="0" w:line="240" w:lineRule="auto"/>
              <w:jc w:val="both"/>
              <w:textAlignment w:val="baseline"/>
              <w:rPr>
                <w:rFonts w:hint="eastAsia" w:ascii="仿宋" w:hAnsi="仿宋" w:eastAsia="仿宋" w:cs="仿宋"/>
                <w:color w:val="auto"/>
                <w:sz w:val="24"/>
                <w:szCs w:val="24"/>
                <w:highlight w:val="none"/>
                <w:lang w:val="en-US" w:eastAsia="zh-CN" w:bidi="zh-CN"/>
              </w:rPr>
            </w:pPr>
            <w:r>
              <w:rPr>
                <w:rFonts w:hint="eastAsia" w:cs="仿宋"/>
                <w:color w:val="auto"/>
                <w:sz w:val="24"/>
                <w:szCs w:val="24"/>
                <w:highlight w:val="none"/>
                <w:lang w:val="en-US" w:eastAsia="zh-CN"/>
              </w:rPr>
              <w:t>根据投标人提供的安全文明及环保措施等，包含但不仅限于赛事准备、赛事进程、赛事结束过程中的安全文明及环保措施等，由评委进行综合评审。（评分范围：5，4，3，2，1，0分）</w:t>
            </w:r>
          </w:p>
        </w:tc>
        <w:tc>
          <w:tcPr>
            <w:tcW w:w="969" w:type="dxa"/>
            <w:shd w:val="clear" w:color="auto" w:fill="auto"/>
            <w:vAlign w:val="center"/>
          </w:tcPr>
          <w:p w14:paraId="39A3CEB5">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tr w14:paraId="227D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10" w:type="dxa"/>
            <w:shd w:val="clear" w:color="auto" w:fill="auto"/>
            <w:vAlign w:val="center"/>
          </w:tcPr>
          <w:p w14:paraId="4588E1F8">
            <w:pPr>
              <w:keepNext w:val="0"/>
              <w:keepLines w:val="0"/>
              <w:widowControl/>
              <w:suppressLineNumbers w:val="0"/>
              <w:spacing w:line="240" w:lineRule="auto"/>
              <w:jc w:val="center"/>
              <w:textAlignment w:val="center"/>
              <w:rPr>
                <w:rFonts w:hint="default" w:ascii="仿宋" w:hAnsi="仿宋" w:eastAsia="仿宋" w:cs="仿宋"/>
                <w:b/>
                <w:bCs/>
                <w:color w:val="auto"/>
                <w:sz w:val="24"/>
                <w:szCs w:val="24"/>
                <w:highlight w:val="none"/>
                <w:lang w:val="en-US" w:eastAsia="zh-CN" w:bidi="zh-CN"/>
              </w:rPr>
            </w:pPr>
            <w:r>
              <w:rPr>
                <w:rFonts w:hint="eastAsia" w:cs="仿宋"/>
                <w:b/>
                <w:bCs/>
                <w:color w:val="auto"/>
                <w:sz w:val="24"/>
                <w:szCs w:val="24"/>
                <w:highlight w:val="none"/>
                <w:lang w:val="en-US" w:eastAsia="zh-CN" w:bidi="zh-CN"/>
              </w:rPr>
              <w:t>19</w:t>
            </w:r>
          </w:p>
        </w:tc>
        <w:tc>
          <w:tcPr>
            <w:tcW w:w="1349" w:type="dxa"/>
            <w:shd w:val="clear" w:color="auto" w:fill="auto"/>
            <w:vAlign w:val="center"/>
          </w:tcPr>
          <w:p w14:paraId="32042BB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val="0"/>
                <w:color w:val="auto"/>
                <w:sz w:val="24"/>
                <w:szCs w:val="24"/>
                <w:highlight w:val="none"/>
                <w:lang w:val="zh-CN" w:eastAsia="zh-CN" w:bidi="zh-CN"/>
              </w:rPr>
            </w:pPr>
            <w:r>
              <w:rPr>
                <w:rFonts w:hint="eastAsia" w:ascii="仿宋" w:hAnsi="仿宋" w:eastAsia="仿宋" w:cs="仿宋"/>
                <w:b/>
                <w:bCs w:val="0"/>
                <w:color w:val="auto"/>
                <w:kern w:val="0"/>
                <w:sz w:val="24"/>
                <w:szCs w:val="24"/>
                <w:highlight w:val="none"/>
              </w:rPr>
              <w:t>合理化建议</w:t>
            </w:r>
          </w:p>
        </w:tc>
        <w:tc>
          <w:tcPr>
            <w:tcW w:w="6386" w:type="dxa"/>
            <w:shd w:val="clear" w:color="auto" w:fill="auto"/>
            <w:vAlign w:val="center"/>
          </w:tcPr>
          <w:p w14:paraId="79BE99FE">
            <w:pPr>
              <w:pStyle w:val="91"/>
              <w:keepNext w:val="0"/>
              <w:keepLines w:val="0"/>
              <w:pageBreakBefore w:val="0"/>
              <w:widowControl/>
              <w:kinsoku/>
              <w:wordWrap/>
              <w:overflowPunct/>
              <w:topLinePunct w:val="0"/>
              <w:autoSpaceDE/>
              <w:autoSpaceDN/>
              <w:bidi w:val="0"/>
              <w:snapToGrid w:val="0"/>
              <w:spacing w:before="0" w:beforeAutospacing="0" w:after="0" w:afterAutospacing="0" w:line="240" w:lineRule="auto"/>
              <w:jc w:val="left"/>
              <w:textAlignment w:val="baseline"/>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color w:val="auto"/>
                <w:kern w:val="2"/>
                <w:sz w:val="24"/>
                <w:szCs w:val="24"/>
                <w:highlight w:val="none"/>
                <w:lang w:val="en-GB" w:eastAsia="zh-CN" w:bidi="ar-SA"/>
              </w:rPr>
              <w:t>投标人根据本项目情况提出的有实质性意义的合理化建议，每条得</w:t>
            </w: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en-GB" w:eastAsia="zh-CN" w:bidi="ar-SA"/>
              </w:rPr>
              <w:t>分，最高</w:t>
            </w:r>
            <w:r>
              <w:rPr>
                <w:rFonts w:hint="eastAsia" w:ascii="仿宋" w:hAnsi="仿宋" w:cs="仿宋"/>
                <w:color w:val="auto"/>
                <w:kern w:val="2"/>
                <w:sz w:val="24"/>
                <w:szCs w:val="24"/>
                <w:highlight w:val="none"/>
                <w:lang w:val="en-US" w:eastAsia="zh-CN" w:bidi="ar-SA"/>
              </w:rPr>
              <w:t>4</w:t>
            </w:r>
            <w:r>
              <w:rPr>
                <w:rFonts w:hint="eastAsia" w:ascii="仿宋" w:hAnsi="仿宋" w:eastAsia="仿宋" w:cs="仿宋"/>
                <w:color w:val="auto"/>
                <w:kern w:val="2"/>
                <w:sz w:val="24"/>
                <w:szCs w:val="24"/>
                <w:highlight w:val="none"/>
                <w:lang w:val="en-GB" w:eastAsia="zh-CN" w:bidi="ar-SA"/>
              </w:rPr>
              <w:t>分。</w:t>
            </w:r>
          </w:p>
        </w:tc>
        <w:tc>
          <w:tcPr>
            <w:tcW w:w="969" w:type="dxa"/>
            <w:shd w:val="clear" w:color="auto" w:fill="auto"/>
            <w:vAlign w:val="center"/>
          </w:tcPr>
          <w:p w14:paraId="026D2420">
            <w:pPr>
              <w:keepNext w:val="0"/>
              <w:keepLines w:val="0"/>
              <w:pageBreakBefore w:val="0"/>
              <w:kinsoku/>
              <w:wordWrap/>
              <w:overflowPunct/>
              <w:topLinePunct w:val="0"/>
              <w:autoSpaceDE w:val="0"/>
              <w:autoSpaceDN w:val="0"/>
              <w:bidi w:val="0"/>
              <w:adjustRightIn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val="en-US" w:eastAsia="zh-CN"/>
              </w:rPr>
              <w:t>分</w:t>
            </w:r>
          </w:p>
        </w:tc>
      </w:tr>
      <w:bookmarkEnd w:id="185"/>
      <w:bookmarkEnd w:id="186"/>
      <w:bookmarkEnd w:id="187"/>
    </w:tbl>
    <w:p w14:paraId="77512218">
      <w:pPr>
        <w:spacing w:before="240" w:line="360" w:lineRule="auto"/>
        <w:ind w:firstLine="482" w:firstLineChars="200"/>
        <w:rPr>
          <w:b/>
          <w:color w:val="auto"/>
          <w:sz w:val="24"/>
          <w:highlight w:val="none"/>
        </w:rPr>
      </w:pPr>
      <w:r>
        <w:rPr>
          <w:rFonts w:hint="eastAsia"/>
          <w:b/>
          <w:color w:val="auto"/>
          <w:sz w:val="24"/>
          <w:highlight w:val="none"/>
        </w:rPr>
        <w:t>5.</w:t>
      </w:r>
      <w:r>
        <w:rPr>
          <w:rFonts w:hint="eastAsia"/>
          <w:b/>
          <w:color w:val="auto"/>
          <w:sz w:val="24"/>
          <w:highlight w:val="none"/>
          <w:lang w:val="en-US"/>
        </w:rPr>
        <w:t xml:space="preserve">2 </w:t>
      </w:r>
      <w:r>
        <w:rPr>
          <w:rFonts w:hint="eastAsia"/>
          <w:b/>
          <w:color w:val="auto"/>
          <w:sz w:val="24"/>
          <w:highlight w:val="none"/>
        </w:rPr>
        <w:t>磋商报价共</w:t>
      </w:r>
      <w:r>
        <w:rPr>
          <w:rFonts w:hint="eastAsia"/>
          <w:b/>
          <w:color w:val="auto"/>
          <w:sz w:val="24"/>
          <w:highlight w:val="none"/>
          <w:lang w:val="en-US"/>
        </w:rPr>
        <w:t>1</w:t>
      </w:r>
      <w:r>
        <w:rPr>
          <w:rFonts w:hint="eastAsia"/>
          <w:b/>
          <w:color w:val="auto"/>
          <w:sz w:val="24"/>
          <w:highlight w:val="none"/>
          <w:lang w:val="en-US" w:eastAsia="zh-CN"/>
        </w:rPr>
        <w:t>0</w:t>
      </w:r>
      <w:r>
        <w:rPr>
          <w:rFonts w:hint="eastAsia"/>
          <w:b/>
          <w:color w:val="auto"/>
          <w:sz w:val="24"/>
          <w:highlight w:val="none"/>
        </w:rPr>
        <w:t>分,权重为</w:t>
      </w:r>
      <w:r>
        <w:rPr>
          <w:rFonts w:hint="eastAsia"/>
          <w:b/>
          <w:color w:val="auto"/>
          <w:sz w:val="24"/>
          <w:highlight w:val="none"/>
          <w:lang w:val="en-US" w:eastAsia="zh-CN"/>
        </w:rPr>
        <w:t>10</w:t>
      </w:r>
      <w:r>
        <w:rPr>
          <w:rFonts w:hint="eastAsia"/>
          <w:b/>
          <w:color w:val="auto"/>
          <w:sz w:val="24"/>
          <w:highlight w:val="none"/>
        </w:rPr>
        <w:t>%，由磋商小组根据以下内容统一计算打分：</w:t>
      </w:r>
    </w:p>
    <w:p w14:paraId="690D369D">
      <w:pPr>
        <w:spacing w:line="360" w:lineRule="auto"/>
        <w:ind w:firstLine="480" w:firstLineChars="200"/>
        <w:rPr>
          <w:color w:val="auto"/>
          <w:sz w:val="24"/>
          <w:highlight w:val="none"/>
        </w:rPr>
      </w:pPr>
      <w:r>
        <w:rPr>
          <w:rFonts w:hint="eastAsia"/>
          <w:color w:val="auto"/>
          <w:sz w:val="24"/>
          <w:highlight w:val="none"/>
        </w:rPr>
        <w:t>5.</w:t>
      </w:r>
      <w:r>
        <w:rPr>
          <w:rFonts w:hint="eastAsia"/>
          <w:color w:val="auto"/>
          <w:sz w:val="24"/>
          <w:highlight w:val="none"/>
          <w:lang w:val="en-US"/>
        </w:rPr>
        <w:t>2</w:t>
      </w:r>
      <w:r>
        <w:rPr>
          <w:rFonts w:hint="eastAsia"/>
          <w:color w:val="auto"/>
          <w:sz w:val="24"/>
          <w:highlight w:val="none"/>
        </w:rPr>
        <w:t>.1报价评分应在报价范围口径一致的评审价基础上进行。属磋商文件不清楚引起的报价内容和口径不一致的，则按有关规定统一调整报价内容和口径，计算出供应商的最终评审价。属供应商失误造成的报价差错和遗漏，不得调整。</w:t>
      </w:r>
    </w:p>
    <w:p w14:paraId="32979D01">
      <w:pPr>
        <w:spacing w:line="360" w:lineRule="auto"/>
        <w:ind w:firstLine="480" w:firstLineChars="200"/>
        <w:rPr>
          <w:color w:val="auto"/>
          <w:sz w:val="24"/>
          <w:highlight w:val="none"/>
        </w:rPr>
      </w:pPr>
      <w:r>
        <w:rPr>
          <w:rFonts w:hint="eastAsia"/>
          <w:color w:val="auto"/>
          <w:sz w:val="24"/>
          <w:highlight w:val="none"/>
        </w:rPr>
        <w:t>5.</w:t>
      </w:r>
      <w:r>
        <w:rPr>
          <w:rFonts w:hint="eastAsia"/>
          <w:color w:val="auto"/>
          <w:sz w:val="24"/>
          <w:highlight w:val="none"/>
          <w:lang w:val="en-US"/>
        </w:rPr>
        <w:t>2</w:t>
      </w:r>
      <w:r>
        <w:rPr>
          <w:rFonts w:hint="eastAsia"/>
          <w:color w:val="auto"/>
          <w:sz w:val="24"/>
          <w:highlight w:val="none"/>
        </w:rPr>
        <w:t>.2最终报价超过最高限价的作无效标处理。</w:t>
      </w:r>
    </w:p>
    <w:p w14:paraId="5B086EC9">
      <w:pPr>
        <w:spacing w:line="360" w:lineRule="auto"/>
        <w:ind w:firstLine="480" w:firstLineChars="200"/>
        <w:rPr>
          <w:color w:val="auto"/>
          <w:sz w:val="24"/>
          <w:highlight w:val="none"/>
        </w:rPr>
      </w:pPr>
      <w:r>
        <w:rPr>
          <w:rFonts w:hint="eastAsia"/>
          <w:color w:val="auto"/>
          <w:sz w:val="24"/>
          <w:highlight w:val="none"/>
        </w:rPr>
        <w:t>5.</w:t>
      </w:r>
      <w:r>
        <w:rPr>
          <w:rFonts w:hint="eastAsia"/>
          <w:color w:val="auto"/>
          <w:sz w:val="24"/>
          <w:highlight w:val="none"/>
          <w:lang w:val="en-US"/>
        </w:rPr>
        <w:t>2</w:t>
      </w:r>
      <w:r>
        <w:rPr>
          <w:rFonts w:hint="eastAsia"/>
          <w:color w:val="auto"/>
          <w:sz w:val="24"/>
          <w:highlight w:val="none"/>
        </w:rPr>
        <w:t>.3最终报价有漏项的或报价数量少于磋商文件要求数量的作无效标处理。</w:t>
      </w:r>
    </w:p>
    <w:p w14:paraId="2DEA9D44">
      <w:pPr>
        <w:spacing w:line="360" w:lineRule="auto"/>
        <w:ind w:firstLine="482" w:firstLineChars="200"/>
        <w:rPr>
          <w:b/>
          <w:color w:val="auto"/>
          <w:sz w:val="24"/>
          <w:highlight w:val="none"/>
        </w:rPr>
      </w:pPr>
      <w:r>
        <w:rPr>
          <w:rFonts w:hint="eastAsia"/>
          <w:b/>
          <w:color w:val="auto"/>
          <w:sz w:val="24"/>
          <w:highlight w:val="none"/>
        </w:rPr>
        <w:t>5.</w:t>
      </w:r>
      <w:r>
        <w:rPr>
          <w:rFonts w:hint="eastAsia"/>
          <w:b/>
          <w:color w:val="auto"/>
          <w:sz w:val="24"/>
          <w:highlight w:val="none"/>
          <w:lang w:val="en-US"/>
        </w:rPr>
        <w:t>2</w:t>
      </w:r>
      <w:r>
        <w:rPr>
          <w:rFonts w:hint="eastAsia"/>
          <w:b/>
          <w:color w:val="auto"/>
          <w:sz w:val="24"/>
          <w:highlight w:val="none"/>
        </w:rPr>
        <w:t>.4 报价得分按以下方式计算：</w:t>
      </w:r>
    </w:p>
    <w:p w14:paraId="1E58EBAD">
      <w:pPr>
        <w:spacing w:line="360" w:lineRule="auto"/>
        <w:ind w:firstLine="480" w:firstLineChars="200"/>
        <w:rPr>
          <w:color w:val="auto"/>
          <w:sz w:val="24"/>
          <w:highlight w:val="none"/>
        </w:rPr>
      </w:pPr>
      <w:r>
        <w:rPr>
          <w:rFonts w:hint="eastAsia"/>
          <w:color w:val="auto"/>
          <w:sz w:val="24"/>
          <w:highlight w:val="none"/>
        </w:rPr>
        <w:t>（1）确定评审价：供应商的评审价=各供应商最终有效报价;</w:t>
      </w:r>
    </w:p>
    <w:p w14:paraId="5DCD379C">
      <w:pPr>
        <w:spacing w:line="360" w:lineRule="auto"/>
        <w:ind w:firstLine="480" w:firstLineChars="200"/>
        <w:rPr>
          <w:color w:val="auto"/>
          <w:sz w:val="24"/>
          <w:highlight w:val="none"/>
        </w:rPr>
      </w:pPr>
      <w:r>
        <w:rPr>
          <w:rFonts w:hint="eastAsia"/>
          <w:color w:val="auto"/>
          <w:sz w:val="24"/>
          <w:highlight w:val="none"/>
        </w:rPr>
        <w:t xml:space="preserve">（2）评标委员会认为供应商报价明显低于其他合格供应商的报价，有可能影响产品质量或者不能诚信履约的，应当要求其在评审现场合理时间内提供书面说明，必要时提供相关证明材料；供应商不能证明其报价合理性的，评标委员会应当将其作为无效投标或者无效响应处理；供应商的投标报价超过招标人设定的预算价或上限价，投标无效。 </w:t>
      </w:r>
    </w:p>
    <w:p w14:paraId="0846CD25">
      <w:pPr>
        <w:spacing w:line="360" w:lineRule="auto"/>
        <w:ind w:firstLine="480" w:firstLineChars="200"/>
        <w:rPr>
          <w:color w:val="auto"/>
          <w:sz w:val="24"/>
          <w:highlight w:val="none"/>
        </w:rPr>
      </w:pPr>
      <w:r>
        <w:rPr>
          <w:rFonts w:hint="eastAsia"/>
          <w:color w:val="auto"/>
          <w:sz w:val="24"/>
          <w:highlight w:val="none"/>
        </w:rPr>
        <w:t>（3）磋商基准价=</w:t>
      </w:r>
      <w:r>
        <w:rPr>
          <w:rFonts w:hint="eastAsia" w:ascii="宋体" w:hAnsi="宋体" w:cs="宋体"/>
          <w:color w:val="auto"/>
          <w:sz w:val="24"/>
          <w:highlight w:val="none"/>
        </w:rPr>
        <w:t>进入报价评分的各供应商有效评标价中的</w:t>
      </w:r>
      <w:r>
        <w:rPr>
          <w:rFonts w:hint="eastAsia" w:ascii="宋体" w:hAnsi="宋体" w:cs="宋体"/>
          <w:b/>
          <w:bCs/>
          <w:color w:val="auto"/>
          <w:sz w:val="24"/>
          <w:highlight w:val="none"/>
        </w:rPr>
        <w:t>最低评标价</w:t>
      </w:r>
      <w:r>
        <w:rPr>
          <w:rFonts w:hint="eastAsia"/>
          <w:color w:val="auto"/>
          <w:sz w:val="24"/>
          <w:highlight w:val="none"/>
        </w:rPr>
        <w:t>；</w:t>
      </w:r>
    </w:p>
    <w:p w14:paraId="7698E6C9">
      <w:pPr>
        <w:spacing w:line="360" w:lineRule="auto"/>
        <w:ind w:firstLine="480" w:firstLineChars="200"/>
        <w:rPr>
          <w:color w:val="auto"/>
          <w:sz w:val="24"/>
          <w:highlight w:val="none"/>
        </w:rPr>
      </w:pPr>
      <w:r>
        <w:rPr>
          <w:rFonts w:hint="eastAsia"/>
          <w:color w:val="auto"/>
          <w:sz w:val="24"/>
          <w:highlight w:val="none"/>
        </w:rPr>
        <w:t>（4）评审价等于磋商基准价的得</w:t>
      </w:r>
      <w:r>
        <w:rPr>
          <w:rFonts w:hint="eastAsia"/>
          <w:color w:val="auto"/>
          <w:sz w:val="24"/>
          <w:highlight w:val="none"/>
          <w:lang w:val="en-US" w:eastAsia="zh-CN"/>
        </w:rPr>
        <w:t>10</w:t>
      </w:r>
      <w:r>
        <w:rPr>
          <w:rFonts w:hint="eastAsia"/>
          <w:color w:val="auto"/>
          <w:sz w:val="24"/>
          <w:highlight w:val="none"/>
        </w:rPr>
        <w:t>分，其他供应商的报价得分按下列公式计算：</w:t>
      </w:r>
    </w:p>
    <w:p w14:paraId="34FC1979">
      <w:pPr>
        <w:spacing w:line="360" w:lineRule="auto"/>
        <w:ind w:firstLine="480" w:firstLineChars="200"/>
        <w:rPr>
          <w:color w:val="auto"/>
          <w:sz w:val="24"/>
          <w:highlight w:val="none"/>
        </w:rPr>
      </w:pPr>
      <w:r>
        <w:rPr>
          <w:rFonts w:hint="eastAsia"/>
          <w:color w:val="auto"/>
          <w:sz w:val="24"/>
          <w:highlight w:val="none"/>
        </w:rPr>
        <w:t>报价得分=（磋商基准价/最终评审价）×报价权重×100</w:t>
      </w:r>
    </w:p>
    <w:p w14:paraId="3DA1AC84">
      <w:pPr>
        <w:spacing w:line="360" w:lineRule="auto"/>
        <w:ind w:firstLine="420"/>
        <w:rPr>
          <w:b/>
          <w:color w:val="auto"/>
          <w:sz w:val="24"/>
          <w:highlight w:val="none"/>
        </w:rPr>
      </w:pPr>
      <w:r>
        <w:rPr>
          <w:rFonts w:hint="eastAsia"/>
          <w:b/>
          <w:color w:val="auto"/>
          <w:sz w:val="24"/>
          <w:highlight w:val="none"/>
        </w:rPr>
        <w:t>5.</w:t>
      </w:r>
      <w:r>
        <w:rPr>
          <w:rFonts w:hint="eastAsia"/>
          <w:b/>
          <w:color w:val="auto"/>
          <w:sz w:val="24"/>
          <w:highlight w:val="none"/>
          <w:lang w:val="en-US"/>
        </w:rPr>
        <w:t>3</w:t>
      </w:r>
      <w:r>
        <w:rPr>
          <w:rFonts w:hint="eastAsia"/>
          <w:b/>
          <w:color w:val="auto"/>
          <w:sz w:val="24"/>
          <w:highlight w:val="none"/>
        </w:rPr>
        <w:t xml:space="preserve"> 本项目最终得分=资信商务及技术得分＋报价得分；</w:t>
      </w:r>
    </w:p>
    <w:p w14:paraId="14CA6F10">
      <w:pPr>
        <w:spacing w:line="360" w:lineRule="auto"/>
        <w:ind w:firstLine="420"/>
        <w:rPr>
          <w:b/>
          <w:color w:val="auto"/>
          <w:sz w:val="24"/>
          <w:highlight w:val="none"/>
        </w:rPr>
      </w:pPr>
      <w:r>
        <w:rPr>
          <w:rFonts w:hint="eastAsia"/>
          <w:color w:val="auto"/>
          <w:sz w:val="24"/>
          <w:highlight w:val="none"/>
        </w:rPr>
        <w:t>5.</w:t>
      </w:r>
      <w:r>
        <w:rPr>
          <w:rFonts w:hint="eastAsia"/>
          <w:color w:val="auto"/>
          <w:sz w:val="24"/>
          <w:highlight w:val="none"/>
          <w:lang w:val="en-US"/>
        </w:rPr>
        <w:t>4</w:t>
      </w:r>
      <w:r>
        <w:rPr>
          <w:rFonts w:hint="eastAsia"/>
          <w:color w:val="auto"/>
          <w:sz w:val="24"/>
          <w:highlight w:val="none"/>
        </w:rPr>
        <w:t xml:space="preserve"> 评分时保留小数1位，计算评分值时保留小数2位，小数点采用四舍五入方法。</w:t>
      </w:r>
    </w:p>
    <w:p w14:paraId="05E40BC9">
      <w:pPr>
        <w:pStyle w:val="3"/>
        <w:tabs>
          <w:tab w:val="left" w:pos="871"/>
        </w:tabs>
        <w:spacing w:line="360" w:lineRule="auto"/>
        <w:ind w:left="117"/>
        <w:jc w:val="both"/>
        <w:rPr>
          <w:bCs w:val="0"/>
          <w:color w:val="auto"/>
          <w:sz w:val="32"/>
          <w:szCs w:val="32"/>
          <w:highlight w:val="none"/>
        </w:rPr>
      </w:pPr>
      <w:bookmarkStart w:id="190" w:name="_Toc16062"/>
      <w:r>
        <w:rPr>
          <w:rFonts w:hint="eastAsia"/>
          <w:bCs w:val="0"/>
          <w:color w:val="auto"/>
          <w:sz w:val="32"/>
          <w:szCs w:val="32"/>
          <w:highlight w:val="none"/>
        </w:rPr>
        <w:t>六   磋商纪律和要求</w:t>
      </w:r>
      <w:bookmarkEnd w:id="177"/>
      <w:bookmarkEnd w:id="178"/>
      <w:bookmarkEnd w:id="179"/>
      <w:bookmarkEnd w:id="180"/>
      <w:bookmarkEnd w:id="181"/>
      <w:bookmarkEnd w:id="190"/>
    </w:p>
    <w:p w14:paraId="5D8FA5BD">
      <w:pPr>
        <w:spacing w:line="360" w:lineRule="auto"/>
        <w:ind w:firstLine="480" w:firstLineChars="200"/>
        <w:rPr>
          <w:color w:val="auto"/>
          <w:sz w:val="24"/>
          <w:highlight w:val="none"/>
        </w:rPr>
      </w:pPr>
      <w:r>
        <w:rPr>
          <w:rFonts w:hint="eastAsia"/>
          <w:color w:val="auto"/>
          <w:sz w:val="24"/>
          <w:highlight w:val="none"/>
        </w:rPr>
        <w:t>6.1</w:t>
      </w:r>
      <w:r>
        <w:rPr>
          <w:rFonts w:hint="eastAsia"/>
          <w:color w:val="auto"/>
          <w:sz w:val="24"/>
          <w:highlight w:val="none"/>
          <w:lang w:val="en-US"/>
        </w:rPr>
        <w:t xml:space="preserve"> </w:t>
      </w:r>
      <w:r>
        <w:rPr>
          <w:rFonts w:hint="eastAsia"/>
          <w:color w:val="auto"/>
          <w:sz w:val="24"/>
          <w:highlight w:val="none"/>
        </w:rPr>
        <w:t>磋商小组成员必须公平、公正评审，遵纪守法，客观、廉洁地履行职责。</w:t>
      </w:r>
    </w:p>
    <w:p w14:paraId="2E924BBB">
      <w:pPr>
        <w:spacing w:line="360" w:lineRule="auto"/>
        <w:ind w:firstLine="480" w:firstLineChars="200"/>
        <w:rPr>
          <w:color w:val="auto"/>
          <w:sz w:val="24"/>
          <w:highlight w:val="none"/>
        </w:rPr>
      </w:pPr>
      <w:r>
        <w:rPr>
          <w:rFonts w:hint="eastAsia"/>
          <w:color w:val="auto"/>
          <w:sz w:val="24"/>
          <w:highlight w:val="none"/>
        </w:rPr>
        <w:t>6.2</w:t>
      </w:r>
      <w:r>
        <w:rPr>
          <w:rFonts w:hint="eastAsia"/>
          <w:color w:val="auto"/>
          <w:sz w:val="24"/>
          <w:highlight w:val="none"/>
          <w:lang w:val="en-US"/>
        </w:rPr>
        <w:t xml:space="preserve"> </w:t>
      </w:r>
      <w:r>
        <w:rPr>
          <w:rFonts w:hint="eastAsia"/>
          <w:color w:val="auto"/>
          <w:sz w:val="24"/>
          <w:highlight w:val="none"/>
        </w:rPr>
        <w:t>磋商小组成员在评审开始前，应关闭并上交随身携带的各种通信工具。</w:t>
      </w:r>
    </w:p>
    <w:p w14:paraId="3B6FD07E">
      <w:pPr>
        <w:spacing w:line="360" w:lineRule="auto"/>
        <w:ind w:firstLine="480" w:firstLineChars="200"/>
        <w:rPr>
          <w:color w:val="auto"/>
          <w:sz w:val="24"/>
          <w:highlight w:val="none"/>
        </w:rPr>
      </w:pPr>
      <w:r>
        <w:rPr>
          <w:rFonts w:hint="eastAsia"/>
          <w:color w:val="auto"/>
          <w:sz w:val="24"/>
          <w:highlight w:val="none"/>
        </w:rPr>
        <w:t>6.3</w:t>
      </w:r>
      <w:r>
        <w:rPr>
          <w:rFonts w:hint="eastAsia"/>
          <w:color w:val="auto"/>
          <w:sz w:val="24"/>
          <w:highlight w:val="none"/>
          <w:lang w:val="en-US"/>
        </w:rPr>
        <w:t xml:space="preserve"> </w:t>
      </w:r>
      <w:r>
        <w:rPr>
          <w:rFonts w:hint="eastAsia"/>
          <w:color w:val="auto"/>
          <w:sz w:val="24"/>
          <w:highlight w:val="none"/>
        </w:rPr>
        <w:t>磋商小组成员在评审过程中，未经许可不得中途离开评审现场，不得迟到早退。</w:t>
      </w:r>
    </w:p>
    <w:p w14:paraId="33F71F39">
      <w:pPr>
        <w:spacing w:line="360" w:lineRule="auto"/>
        <w:ind w:firstLine="480" w:firstLineChars="200"/>
        <w:rPr>
          <w:color w:val="auto"/>
          <w:sz w:val="24"/>
          <w:highlight w:val="none"/>
        </w:rPr>
      </w:pPr>
      <w:r>
        <w:rPr>
          <w:rFonts w:hint="eastAsia"/>
          <w:color w:val="auto"/>
          <w:sz w:val="24"/>
          <w:highlight w:val="none"/>
        </w:rPr>
        <w:t>6.4</w:t>
      </w:r>
      <w:r>
        <w:rPr>
          <w:rFonts w:hint="eastAsia"/>
          <w:color w:val="auto"/>
          <w:sz w:val="24"/>
          <w:highlight w:val="none"/>
          <w:lang w:val="en-US"/>
        </w:rPr>
        <w:t xml:space="preserve"> </w:t>
      </w:r>
      <w:r>
        <w:rPr>
          <w:rFonts w:hint="eastAsia"/>
          <w:color w:val="auto"/>
          <w:sz w:val="24"/>
          <w:highlight w:val="none"/>
        </w:rPr>
        <w:t>磋商小组成员和工作人员不得透露评审过程中的讨论情况和评审结果。</w:t>
      </w:r>
    </w:p>
    <w:p w14:paraId="55E02D03">
      <w:pPr>
        <w:spacing w:line="360" w:lineRule="auto"/>
        <w:ind w:firstLine="480"/>
        <w:rPr>
          <w:color w:val="auto"/>
          <w:sz w:val="24"/>
          <w:highlight w:val="none"/>
        </w:rPr>
      </w:pPr>
      <w:r>
        <w:rPr>
          <w:rFonts w:hint="eastAsia"/>
          <w:color w:val="auto"/>
          <w:sz w:val="24"/>
          <w:highlight w:val="none"/>
        </w:rPr>
        <w:t>6.5</w:t>
      </w:r>
      <w:r>
        <w:rPr>
          <w:rFonts w:hint="eastAsia"/>
          <w:color w:val="auto"/>
          <w:sz w:val="24"/>
          <w:highlight w:val="none"/>
          <w:lang w:val="en-US"/>
        </w:rPr>
        <w:t xml:space="preserve"> </w:t>
      </w:r>
      <w:r>
        <w:rPr>
          <w:rFonts w:hint="eastAsia"/>
          <w:color w:val="auto"/>
          <w:sz w:val="24"/>
          <w:highlight w:val="none"/>
        </w:rPr>
        <w:t>评审时，磋商小组成员须按磋商文件规定的程序、条件和标准，对供应商响应文件的合规性、完整性和有效性进行审查、比较和评估，其中对供应商的资格条件、主要技术参数、报价和其他评审要素等，磋商小组成员应逐项进行审查、比较，不得漏评少评。如发现与磋商文件要求相偏离的，应对其偏离情形进行必要的核实，并在工作底稿中予以说明；如属于实质性偏离或符合无效响应文件的，可询问供应商，并允许供应商进行陈述申辩，但不允许其对偏离条款进行补充、修正或撤回。</w:t>
      </w:r>
    </w:p>
    <w:p w14:paraId="6D8E27B4">
      <w:pPr>
        <w:spacing w:line="360" w:lineRule="auto"/>
        <w:ind w:firstLine="480" w:firstLineChars="200"/>
        <w:rPr>
          <w:color w:val="auto"/>
          <w:sz w:val="24"/>
          <w:highlight w:val="none"/>
        </w:rPr>
      </w:pPr>
      <w:r>
        <w:rPr>
          <w:rFonts w:hint="eastAsia"/>
          <w:color w:val="auto"/>
          <w:sz w:val="24"/>
          <w:highlight w:val="none"/>
        </w:rPr>
        <w:t>6.6</w:t>
      </w:r>
      <w:r>
        <w:rPr>
          <w:rFonts w:hint="eastAsia"/>
          <w:color w:val="auto"/>
          <w:sz w:val="24"/>
          <w:highlight w:val="none"/>
          <w:lang w:val="en-US"/>
        </w:rPr>
        <w:t xml:space="preserve"> </w:t>
      </w:r>
      <w:r>
        <w:rPr>
          <w:rFonts w:hint="eastAsia"/>
          <w:color w:val="auto"/>
          <w:sz w:val="24"/>
          <w:highlight w:val="none"/>
        </w:rPr>
        <w:t>采购人、采购代理机构不得向磋商小组的磋商小组成员作倾向性、误导性的解释或者说明。</w:t>
      </w:r>
    </w:p>
    <w:p w14:paraId="39A69181">
      <w:pPr>
        <w:spacing w:line="360" w:lineRule="auto"/>
        <w:ind w:firstLine="480" w:firstLineChars="200"/>
        <w:rPr>
          <w:color w:val="auto"/>
          <w:sz w:val="24"/>
          <w:highlight w:val="none"/>
        </w:rPr>
      </w:pPr>
      <w:r>
        <w:rPr>
          <w:rFonts w:hint="eastAsia"/>
          <w:color w:val="auto"/>
          <w:sz w:val="24"/>
          <w:highlight w:val="none"/>
        </w:rPr>
        <w:t>6.7</w:t>
      </w:r>
      <w:r>
        <w:rPr>
          <w:rFonts w:hint="eastAsia"/>
          <w:color w:val="auto"/>
          <w:sz w:val="24"/>
          <w:highlight w:val="none"/>
          <w:lang w:val="en-US"/>
        </w:rPr>
        <w:t xml:space="preserve"> </w:t>
      </w:r>
      <w:r>
        <w:rPr>
          <w:rFonts w:hint="eastAsia"/>
          <w:color w:val="auto"/>
          <w:sz w:val="24"/>
          <w:highlight w:val="none"/>
        </w:rPr>
        <w:t>采购代理机构应当为磋商小组成员提供必要的评审条件和相应的评审工作底稿，并严格按规定程序组织磋商小组成员有步骤地进行项目评审，对各磋商小组成员的评审情况和评审意见进行合理性和合规性审查，对明显畸高、畸低的重大差异评审情况（如其总评分偏离平均分30%以上），提醒相关磋商小组成员进行复核或书面说明理由。</w:t>
      </w:r>
    </w:p>
    <w:p w14:paraId="62061222">
      <w:pPr>
        <w:spacing w:line="360" w:lineRule="auto"/>
        <w:ind w:firstLine="480" w:firstLineChars="200"/>
        <w:rPr>
          <w:color w:val="auto"/>
          <w:sz w:val="24"/>
          <w:highlight w:val="none"/>
        </w:rPr>
      </w:pPr>
      <w:r>
        <w:rPr>
          <w:rFonts w:hint="eastAsia"/>
          <w:color w:val="auto"/>
          <w:sz w:val="24"/>
          <w:szCs w:val="21"/>
          <w:highlight w:val="none"/>
        </w:rPr>
        <w:t>6.8</w:t>
      </w:r>
      <w:r>
        <w:rPr>
          <w:rFonts w:hint="eastAsia"/>
          <w:color w:val="auto"/>
          <w:sz w:val="24"/>
          <w:szCs w:val="21"/>
          <w:highlight w:val="none"/>
          <w:lang w:val="en-US"/>
        </w:rPr>
        <w:t xml:space="preserve"> </w:t>
      </w:r>
      <w:r>
        <w:rPr>
          <w:rFonts w:hint="eastAsia"/>
          <w:color w:val="auto"/>
          <w:sz w:val="24"/>
          <w:szCs w:val="21"/>
          <w:highlight w:val="none"/>
        </w:rPr>
        <w:t>磋商小组成员在评审过程中不得将自己的观点强加给其他磋商小组成员，磋商小组成员应自主发表见解，对评审意见承担个人责任。</w:t>
      </w:r>
    </w:p>
    <w:p w14:paraId="31C73045">
      <w:pPr>
        <w:spacing w:line="360" w:lineRule="auto"/>
        <w:ind w:firstLine="480" w:firstLineChars="200"/>
        <w:rPr>
          <w:color w:val="auto"/>
          <w:sz w:val="24"/>
          <w:highlight w:val="none"/>
        </w:rPr>
      </w:pPr>
      <w:r>
        <w:rPr>
          <w:rFonts w:hint="eastAsia"/>
          <w:color w:val="auto"/>
          <w:sz w:val="24"/>
          <w:highlight w:val="none"/>
        </w:rPr>
        <w:t>6.9</w:t>
      </w:r>
      <w:r>
        <w:rPr>
          <w:rFonts w:hint="eastAsia"/>
          <w:color w:val="auto"/>
          <w:sz w:val="24"/>
          <w:highlight w:val="none"/>
          <w:lang w:val="en-US"/>
        </w:rPr>
        <w:t xml:space="preserve"> </w:t>
      </w:r>
      <w:r>
        <w:rPr>
          <w:rFonts w:hint="eastAsia"/>
          <w:color w:val="auto"/>
          <w:sz w:val="24"/>
          <w:highlight w:val="none"/>
        </w:rPr>
        <w:t>评审结束后，磋商小组应向采购代理机构提交项目评审报告。评审报告是采购人确定成交人的合法依据，磋商小组应当如实、客观地反映评审情况，</w:t>
      </w:r>
      <w:r>
        <w:rPr>
          <w:rFonts w:hint="eastAsia"/>
          <w:color w:val="auto"/>
          <w:sz w:val="24"/>
          <w:highlight w:val="none"/>
          <w:lang w:eastAsia="zh-CN"/>
        </w:rPr>
        <w:t>按照</w:t>
      </w:r>
      <w:r>
        <w:rPr>
          <w:rFonts w:hint="eastAsia"/>
          <w:color w:val="auto"/>
          <w:sz w:val="24"/>
          <w:highlight w:val="none"/>
        </w:rPr>
        <w:t>磋商文件的评审办法和细则的规定推荐成交候选人，说明推荐理由，并重点对成交候选人的技术、服务和价格等情况进行评价和比较。如排名第一的供应商报价为最高报价的，评审报告中必须对其报价的合理性等进行分析和特别说明。</w:t>
      </w:r>
    </w:p>
    <w:p w14:paraId="2D4C8FD8">
      <w:pPr>
        <w:spacing w:line="360" w:lineRule="auto"/>
        <w:ind w:firstLine="480" w:firstLineChars="200"/>
        <w:rPr>
          <w:color w:val="auto"/>
          <w:sz w:val="24"/>
          <w:highlight w:val="none"/>
        </w:rPr>
      </w:pPr>
      <w:r>
        <w:rPr>
          <w:rFonts w:hint="eastAsia"/>
          <w:color w:val="auto"/>
          <w:sz w:val="24"/>
          <w:highlight w:val="none"/>
        </w:rPr>
        <w:t>6.10</w:t>
      </w:r>
      <w:r>
        <w:rPr>
          <w:rFonts w:hint="eastAsia"/>
          <w:color w:val="auto"/>
          <w:sz w:val="24"/>
          <w:highlight w:val="none"/>
          <w:lang w:val="en-US"/>
        </w:rPr>
        <w:t xml:space="preserve"> </w:t>
      </w:r>
      <w:r>
        <w:rPr>
          <w:rFonts w:hint="eastAsia"/>
          <w:color w:val="auto"/>
          <w:sz w:val="24"/>
          <w:highlight w:val="none"/>
        </w:rPr>
        <w:t>磋商小组成员应当独立、客观、公正地提出评审意见，不得带有倾向性，不得影响其他磋商小组成员评审，并在评审报告上签字；如对评审报告有异议的，可在报告上签署不同意见，并说明理由，否则将视为同意。</w:t>
      </w:r>
    </w:p>
    <w:p w14:paraId="72D8097E">
      <w:pPr>
        <w:spacing w:line="360" w:lineRule="auto"/>
        <w:ind w:firstLine="480" w:firstLineChars="200"/>
        <w:rPr>
          <w:color w:val="auto"/>
          <w:sz w:val="24"/>
          <w:highlight w:val="none"/>
        </w:rPr>
      </w:pPr>
      <w:r>
        <w:rPr>
          <w:rFonts w:hint="eastAsia"/>
          <w:color w:val="auto"/>
          <w:sz w:val="24"/>
          <w:highlight w:val="none"/>
        </w:rPr>
        <w:t>6.11</w:t>
      </w:r>
      <w:r>
        <w:rPr>
          <w:rFonts w:hint="eastAsia"/>
          <w:color w:val="auto"/>
          <w:sz w:val="24"/>
          <w:highlight w:val="none"/>
          <w:lang w:val="en-US"/>
        </w:rPr>
        <w:t xml:space="preserve"> </w:t>
      </w:r>
      <w:r>
        <w:rPr>
          <w:rFonts w:hint="eastAsia"/>
          <w:color w:val="auto"/>
          <w:sz w:val="24"/>
          <w:highlight w:val="none"/>
        </w:rPr>
        <w:t>磋商小组成员应当遵守评审工作纪律，不得泄露评审文件、评审情况和评审中获悉的商业秘密。</w:t>
      </w:r>
    </w:p>
    <w:p w14:paraId="2D12776F">
      <w:pPr>
        <w:spacing w:line="360" w:lineRule="auto"/>
        <w:ind w:firstLine="480" w:firstLineChars="200"/>
        <w:rPr>
          <w:color w:val="auto"/>
          <w:sz w:val="24"/>
          <w:highlight w:val="none"/>
        </w:rPr>
      </w:pPr>
      <w:r>
        <w:rPr>
          <w:rFonts w:hint="eastAsia"/>
          <w:color w:val="auto"/>
          <w:sz w:val="24"/>
          <w:highlight w:val="none"/>
        </w:rPr>
        <w:t>磋商小组在评审过程中发现供应商有行贿、提供虚假材料或者串通等违法行为的，应当及时向财政部门报告。</w:t>
      </w:r>
    </w:p>
    <w:p w14:paraId="3C7A317E">
      <w:pPr>
        <w:spacing w:line="360" w:lineRule="auto"/>
        <w:ind w:firstLine="480" w:firstLineChars="200"/>
        <w:rPr>
          <w:color w:val="auto"/>
          <w:sz w:val="24"/>
          <w:highlight w:val="none"/>
        </w:rPr>
      </w:pPr>
      <w:r>
        <w:rPr>
          <w:rFonts w:hint="eastAsia"/>
          <w:color w:val="auto"/>
          <w:sz w:val="24"/>
          <w:highlight w:val="none"/>
        </w:rPr>
        <w:t>6.12</w:t>
      </w:r>
      <w:r>
        <w:rPr>
          <w:rFonts w:hint="eastAsia"/>
          <w:color w:val="auto"/>
          <w:sz w:val="24"/>
          <w:highlight w:val="none"/>
          <w:lang w:val="en-US"/>
        </w:rPr>
        <w:t xml:space="preserve"> </w:t>
      </w:r>
      <w:r>
        <w:rPr>
          <w:rFonts w:hint="eastAsia"/>
          <w:color w:val="auto"/>
          <w:sz w:val="24"/>
          <w:highlight w:val="none"/>
        </w:rPr>
        <w:t>磋商文件内容违反国家有关强制性规定的，磋商小组应当停止评审并向采购代理机构说明情况。</w:t>
      </w:r>
    </w:p>
    <w:p w14:paraId="03056F1A">
      <w:pPr>
        <w:spacing w:line="360" w:lineRule="auto"/>
        <w:ind w:firstLine="480" w:firstLineChars="200"/>
        <w:rPr>
          <w:color w:val="auto"/>
          <w:sz w:val="24"/>
          <w:highlight w:val="none"/>
        </w:rPr>
      </w:pPr>
      <w:r>
        <w:rPr>
          <w:rFonts w:hint="eastAsia"/>
          <w:color w:val="auto"/>
          <w:sz w:val="24"/>
          <w:highlight w:val="none"/>
        </w:rPr>
        <w:t>6.13</w:t>
      </w:r>
      <w:r>
        <w:rPr>
          <w:rFonts w:hint="eastAsia"/>
          <w:color w:val="auto"/>
          <w:sz w:val="24"/>
          <w:highlight w:val="none"/>
          <w:lang w:val="en-US"/>
        </w:rPr>
        <w:t xml:space="preserve"> </w:t>
      </w:r>
      <w:r>
        <w:rPr>
          <w:rFonts w:hint="eastAsia"/>
          <w:color w:val="auto"/>
          <w:sz w:val="24"/>
          <w:highlight w:val="none"/>
        </w:rPr>
        <w:t>磋商小组成员应当配合采购代理机构答复供应商提出的质疑。</w:t>
      </w:r>
    </w:p>
    <w:p w14:paraId="030774E5">
      <w:pPr>
        <w:spacing w:line="360" w:lineRule="auto"/>
        <w:ind w:firstLine="480" w:firstLineChars="200"/>
        <w:rPr>
          <w:color w:val="auto"/>
          <w:sz w:val="24"/>
          <w:highlight w:val="none"/>
        </w:rPr>
      </w:pPr>
      <w:r>
        <w:rPr>
          <w:rFonts w:hint="eastAsia"/>
          <w:color w:val="auto"/>
          <w:sz w:val="24"/>
          <w:highlight w:val="none"/>
        </w:rPr>
        <w:t>6.14</w:t>
      </w:r>
      <w:r>
        <w:rPr>
          <w:rFonts w:hint="eastAsia"/>
          <w:color w:val="auto"/>
          <w:sz w:val="24"/>
          <w:highlight w:val="none"/>
          <w:lang w:val="en-US"/>
        </w:rPr>
        <w:t xml:space="preserve"> </w:t>
      </w:r>
      <w:r>
        <w:rPr>
          <w:rFonts w:hint="eastAsia"/>
          <w:color w:val="auto"/>
          <w:sz w:val="24"/>
          <w:highlight w:val="none"/>
        </w:rPr>
        <w:t>磋商小组成员应当配合财政部门的投诉处理工作。</w:t>
      </w:r>
    </w:p>
    <w:p w14:paraId="5E40FB8A">
      <w:pPr>
        <w:spacing w:line="360" w:lineRule="auto"/>
        <w:ind w:firstLine="480" w:firstLineChars="200"/>
        <w:rPr>
          <w:color w:val="auto"/>
          <w:sz w:val="24"/>
          <w:highlight w:val="none"/>
        </w:rPr>
      </w:pPr>
      <w:r>
        <w:rPr>
          <w:rFonts w:hint="eastAsia"/>
          <w:color w:val="auto"/>
          <w:sz w:val="24"/>
          <w:highlight w:val="none"/>
        </w:rPr>
        <w:t>6.15</w:t>
      </w:r>
      <w:r>
        <w:rPr>
          <w:rFonts w:hint="eastAsia"/>
          <w:color w:val="auto"/>
          <w:sz w:val="24"/>
          <w:highlight w:val="none"/>
          <w:lang w:val="en-US"/>
        </w:rPr>
        <w:t xml:space="preserve"> </w:t>
      </w:r>
      <w:r>
        <w:rPr>
          <w:rFonts w:hint="eastAsia"/>
          <w:color w:val="auto"/>
          <w:sz w:val="24"/>
          <w:highlight w:val="none"/>
        </w:rPr>
        <w:t>磋商小组成员有如下行为之一的，责令改正，给予警告，可以并处一千元以下的罚款：</w:t>
      </w:r>
    </w:p>
    <w:p w14:paraId="0FD406E5">
      <w:pPr>
        <w:spacing w:line="360" w:lineRule="auto"/>
        <w:ind w:firstLine="480" w:firstLineChars="200"/>
        <w:rPr>
          <w:color w:val="auto"/>
          <w:sz w:val="24"/>
          <w:highlight w:val="none"/>
        </w:rPr>
      </w:pPr>
      <w:r>
        <w:rPr>
          <w:rFonts w:hint="eastAsia"/>
          <w:color w:val="auto"/>
          <w:sz w:val="24"/>
          <w:highlight w:val="none"/>
        </w:rPr>
        <w:t>6.15.1</w:t>
      </w:r>
      <w:r>
        <w:rPr>
          <w:rFonts w:hint="eastAsia"/>
          <w:color w:val="auto"/>
          <w:sz w:val="24"/>
          <w:highlight w:val="none"/>
          <w:lang w:val="en-US"/>
        </w:rPr>
        <w:t xml:space="preserve"> </w:t>
      </w:r>
      <w:r>
        <w:rPr>
          <w:rFonts w:hint="eastAsia"/>
          <w:color w:val="auto"/>
          <w:sz w:val="24"/>
          <w:highlight w:val="none"/>
        </w:rPr>
        <w:t>明知应当回避而未主动回避的</w:t>
      </w:r>
      <w:r>
        <w:rPr>
          <w:rFonts w:hint="eastAsia"/>
          <w:color w:val="auto"/>
          <w:sz w:val="24"/>
          <w:highlight w:val="none"/>
          <w:lang w:eastAsia="zh-CN"/>
        </w:rPr>
        <w:t>；</w:t>
      </w:r>
    </w:p>
    <w:p w14:paraId="54C12D35">
      <w:pPr>
        <w:spacing w:line="360" w:lineRule="auto"/>
        <w:ind w:firstLine="480" w:firstLineChars="200"/>
        <w:rPr>
          <w:color w:val="auto"/>
          <w:sz w:val="24"/>
          <w:highlight w:val="none"/>
        </w:rPr>
      </w:pPr>
      <w:r>
        <w:rPr>
          <w:rFonts w:hint="eastAsia"/>
          <w:color w:val="auto"/>
          <w:sz w:val="24"/>
          <w:highlight w:val="none"/>
        </w:rPr>
        <w:t>6.15.2</w:t>
      </w:r>
      <w:r>
        <w:rPr>
          <w:rFonts w:hint="eastAsia"/>
          <w:color w:val="auto"/>
          <w:sz w:val="24"/>
          <w:highlight w:val="none"/>
          <w:lang w:val="en-US"/>
        </w:rPr>
        <w:t xml:space="preserve"> </w:t>
      </w:r>
      <w:r>
        <w:rPr>
          <w:rFonts w:hint="eastAsia"/>
          <w:color w:val="auto"/>
          <w:sz w:val="24"/>
          <w:highlight w:val="none"/>
        </w:rPr>
        <w:t>在知道自己为磋商小组成员身份后至评审结束前的时段内私下接触供应商的</w:t>
      </w:r>
      <w:r>
        <w:rPr>
          <w:rFonts w:hint="eastAsia"/>
          <w:color w:val="auto"/>
          <w:sz w:val="24"/>
          <w:highlight w:val="none"/>
          <w:lang w:eastAsia="zh-CN"/>
        </w:rPr>
        <w:t>；</w:t>
      </w:r>
    </w:p>
    <w:p w14:paraId="4FC0276D">
      <w:pPr>
        <w:spacing w:line="360" w:lineRule="auto"/>
        <w:ind w:firstLine="480" w:firstLineChars="200"/>
        <w:rPr>
          <w:color w:val="auto"/>
          <w:sz w:val="24"/>
          <w:highlight w:val="none"/>
        </w:rPr>
      </w:pPr>
      <w:r>
        <w:rPr>
          <w:rFonts w:hint="eastAsia"/>
          <w:color w:val="auto"/>
          <w:sz w:val="24"/>
          <w:highlight w:val="none"/>
        </w:rPr>
        <w:t>6.15.3</w:t>
      </w:r>
      <w:r>
        <w:rPr>
          <w:rFonts w:hint="eastAsia"/>
          <w:color w:val="auto"/>
          <w:sz w:val="24"/>
          <w:highlight w:val="none"/>
          <w:lang w:val="en-US"/>
        </w:rPr>
        <w:t xml:space="preserve"> </w:t>
      </w:r>
      <w:r>
        <w:rPr>
          <w:rFonts w:hint="eastAsia"/>
          <w:color w:val="auto"/>
          <w:sz w:val="24"/>
          <w:highlight w:val="none"/>
        </w:rPr>
        <w:t>在评审过程中擅离职守，影响评审程序正常进行的</w:t>
      </w:r>
      <w:r>
        <w:rPr>
          <w:rFonts w:hint="eastAsia"/>
          <w:color w:val="auto"/>
          <w:sz w:val="24"/>
          <w:highlight w:val="none"/>
          <w:lang w:eastAsia="zh-CN"/>
        </w:rPr>
        <w:t>；</w:t>
      </w:r>
    </w:p>
    <w:p w14:paraId="30F0AEF6">
      <w:pPr>
        <w:spacing w:line="360" w:lineRule="auto"/>
        <w:ind w:firstLine="480" w:firstLineChars="200"/>
        <w:rPr>
          <w:color w:val="auto"/>
          <w:sz w:val="24"/>
          <w:highlight w:val="none"/>
        </w:rPr>
      </w:pPr>
      <w:r>
        <w:rPr>
          <w:rFonts w:hint="eastAsia"/>
          <w:color w:val="auto"/>
          <w:sz w:val="24"/>
          <w:highlight w:val="none"/>
        </w:rPr>
        <w:t>6.15.4</w:t>
      </w:r>
      <w:r>
        <w:rPr>
          <w:rFonts w:hint="eastAsia"/>
          <w:color w:val="auto"/>
          <w:sz w:val="24"/>
          <w:highlight w:val="none"/>
          <w:lang w:val="en-US"/>
        </w:rPr>
        <w:t xml:space="preserve"> </w:t>
      </w:r>
      <w:r>
        <w:rPr>
          <w:rFonts w:hint="eastAsia"/>
          <w:color w:val="auto"/>
          <w:sz w:val="24"/>
          <w:highlight w:val="none"/>
        </w:rPr>
        <w:t>在评审过程有明显不合理或者不正当倾向性的</w:t>
      </w:r>
      <w:r>
        <w:rPr>
          <w:rFonts w:hint="eastAsia"/>
          <w:color w:val="auto"/>
          <w:sz w:val="24"/>
          <w:highlight w:val="none"/>
          <w:lang w:eastAsia="zh-CN"/>
        </w:rPr>
        <w:t>；</w:t>
      </w:r>
    </w:p>
    <w:p w14:paraId="1F803B7E">
      <w:pPr>
        <w:spacing w:line="360" w:lineRule="auto"/>
        <w:ind w:firstLine="480" w:firstLineChars="200"/>
        <w:rPr>
          <w:color w:val="auto"/>
          <w:sz w:val="24"/>
          <w:highlight w:val="none"/>
        </w:rPr>
      </w:pPr>
      <w:r>
        <w:rPr>
          <w:rFonts w:hint="eastAsia"/>
          <w:color w:val="auto"/>
          <w:sz w:val="24"/>
          <w:highlight w:val="none"/>
        </w:rPr>
        <w:t>6.15.5</w:t>
      </w:r>
      <w:r>
        <w:rPr>
          <w:rFonts w:hint="eastAsia"/>
          <w:color w:val="auto"/>
          <w:sz w:val="24"/>
          <w:highlight w:val="none"/>
          <w:lang w:val="en-US"/>
        </w:rPr>
        <w:t xml:space="preserve"> </w:t>
      </w:r>
      <w:r>
        <w:rPr>
          <w:rFonts w:hint="eastAsia"/>
          <w:color w:val="auto"/>
          <w:sz w:val="24"/>
          <w:highlight w:val="none"/>
        </w:rPr>
        <w:t>未按磋商文件规定的评审方法和标准进行评审的。</w:t>
      </w:r>
    </w:p>
    <w:p w14:paraId="50D58AF3">
      <w:pPr>
        <w:spacing w:line="360" w:lineRule="auto"/>
        <w:ind w:firstLine="480" w:firstLineChars="200"/>
        <w:rPr>
          <w:color w:val="auto"/>
          <w:sz w:val="24"/>
          <w:highlight w:val="none"/>
        </w:rPr>
      </w:pPr>
      <w:r>
        <w:rPr>
          <w:rFonts w:hint="eastAsia"/>
          <w:color w:val="auto"/>
          <w:sz w:val="24"/>
          <w:highlight w:val="none"/>
        </w:rPr>
        <w:t>6.15.6</w:t>
      </w:r>
      <w:r>
        <w:rPr>
          <w:rFonts w:hint="eastAsia"/>
          <w:color w:val="auto"/>
          <w:sz w:val="24"/>
          <w:highlight w:val="none"/>
          <w:lang w:val="en-US"/>
        </w:rPr>
        <w:t xml:space="preserve"> </w:t>
      </w:r>
      <w:r>
        <w:rPr>
          <w:rFonts w:hint="eastAsia"/>
          <w:color w:val="auto"/>
          <w:sz w:val="24"/>
          <w:highlight w:val="none"/>
        </w:rPr>
        <w:t>上述6.15.1至6.15.5行为影响成交结果的，成交结果无效。</w:t>
      </w:r>
    </w:p>
    <w:p w14:paraId="784ED456">
      <w:pPr>
        <w:spacing w:line="360" w:lineRule="auto"/>
        <w:ind w:firstLine="480" w:firstLineChars="200"/>
        <w:rPr>
          <w:color w:val="auto"/>
          <w:sz w:val="24"/>
          <w:highlight w:val="none"/>
        </w:rPr>
      </w:pPr>
      <w:r>
        <w:rPr>
          <w:rFonts w:hint="eastAsia"/>
          <w:color w:val="auto"/>
          <w:sz w:val="24"/>
          <w:highlight w:val="none"/>
        </w:rPr>
        <w:t>6.16</w:t>
      </w:r>
      <w:r>
        <w:rPr>
          <w:rFonts w:hint="eastAsia"/>
          <w:color w:val="auto"/>
          <w:sz w:val="24"/>
          <w:highlight w:val="none"/>
          <w:lang w:val="en-US"/>
        </w:rPr>
        <w:t xml:space="preserve"> </w:t>
      </w:r>
      <w:r>
        <w:rPr>
          <w:rFonts w:hint="eastAsia"/>
          <w:color w:val="auto"/>
          <w:sz w:val="24"/>
          <w:highlight w:val="none"/>
        </w:rPr>
        <w:t>采购代理机构可对各磋商小组成员的专业技术水平和职业道德素质等情况进行评价，并可将评价意见在评审结束后2个工作日内反馈给财政部门，财政部门以此作为对磋商小组成员的考核管理依据。</w:t>
      </w:r>
    </w:p>
    <w:p w14:paraId="0764841D">
      <w:pPr>
        <w:spacing w:line="360" w:lineRule="auto"/>
        <w:ind w:firstLine="480" w:firstLineChars="200"/>
        <w:rPr>
          <w:color w:val="auto"/>
          <w:sz w:val="24"/>
          <w:highlight w:val="none"/>
        </w:rPr>
      </w:pPr>
      <w:r>
        <w:rPr>
          <w:rFonts w:hint="eastAsia"/>
          <w:color w:val="auto"/>
          <w:sz w:val="24"/>
          <w:highlight w:val="none"/>
        </w:rPr>
        <w:t>6.17</w:t>
      </w:r>
      <w:r>
        <w:rPr>
          <w:rFonts w:hint="eastAsia"/>
          <w:color w:val="auto"/>
          <w:sz w:val="24"/>
          <w:highlight w:val="none"/>
          <w:lang w:val="en-US"/>
        </w:rPr>
        <w:t xml:space="preserve"> </w:t>
      </w:r>
      <w:r>
        <w:rPr>
          <w:rFonts w:hint="eastAsia"/>
          <w:color w:val="auto"/>
          <w:sz w:val="24"/>
          <w:highlight w:val="none"/>
        </w:rPr>
        <w:t>政府采购磋商小组成员未按照磋商文件规定的评审程序、评审方法和评审标准进行独立评审或者泄露评审文件、评审情况的，由财政部门给予警告，并处2000元以上2万元以下的罚款；影响成交、成交结果的，处2万元以上5万元以下的罚款，禁止其参加政府采购评审活动。</w:t>
      </w:r>
    </w:p>
    <w:p w14:paraId="3DD0A398">
      <w:pPr>
        <w:spacing w:line="360" w:lineRule="auto"/>
        <w:ind w:firstLine="480" w:firstLineChars="200"/>
        <w:rPr>
          <w:color w:val="auto"/>
          <w:sz w:val="24"/>
          <w:highlight w:val="none"/>
        </w:rPr>
      </w:pPr>
      <w:r>
        <w:rPr>
          <w:rFonts w:hint="eastAsia"/>
          <w:color w:val="auto"/>
          <w:sz w:val="24"/>
          <w:highlight w:val="none"/>
        </w:rPr>
        <w:t>政府采购磋商小组成员与供应商存在利害关系未回避的，处2万元以上5万元以下的罚款，禁止其参加政府采购评审活动。</w:t>
      </w:r>
    </w:p>
    <w:p w14:paraId="2EA7C64D">
      <w:pPr>
        <w:spacing w:line="360" w:lineRule="auto"/>
        <w:ind w:firstLine="480" w:firstLineChars="200"/>
        <w:rPr>
          <w:color w:val="auto"/>
          <w:sz w:val="24"/>
          <w:highlight w:val="none"/>
        </w:rPr>
      </w:pPr>
      <w:r>
        <w:rPr>
          <w:rFonts w:hint="eastAsia"/>
          <w:color w:val="auto"/>
          <w:sz w:val="24"/>
          <w:highlight w:val="none"/>
        </w:rPr>
        <w:t>政府采购磋商小组成员收受采购人、采购代理机构、供应商贿赂或者获取其他不正当利益，构成犯罪的，依法追究刑事责任；尚不构成犯罪的，处2万元以上5万元以下的罚款，禁止其参加政府采购评审活动。</w:t>
      </w:r>
    </w:p>
    <w:p w14:paraId="684E8064">
      <w:pPr>
        <w:pStyle w:val="47"/>
        <w:tabs>
          <w:tab w:val="left" w:pos="1740"/>
        </w:tabs>
        <w:spacing w:before="0" w:line="360" w:lineRule="auto"/>
        <w:ind w:left="0" w:firstLineChars="200"/>
        <w:jc w:val="both"/>
        <w:rPr>
          <w:color w:val="auto"/>
          <w:highlight w:val="none"/>
        </w:rPr>
      </w:pPr>
      <w:r>
        <w:rPr>
          <w:rFonts w:hint="eastAsia"/>
          <w:color w:val="auto"/>
          <w:sz w:val="24"/>
          <w:highlight w:val="none"/>
        </w:rPr>
        <w:t>政府采购磋商小组成员有上述违法行为的，其评审意见无效，不得获取评审费；有违法所得的，没收违法所得；给他人造成损失的，依法承担民事责任。</w:t>
      </w:r>
    </w:p>
    <w:sectPr>
      <w:headerReference r:id="rId8" w:type="default"/>
      <w:pgSz w:w="11910" w:h="16840"/>
      <w:pgMar w:top="1247" w:right="1247" w:bottom="1247" w:left="1587" w:header="884" w:footer="884"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4862D">
    <w:pPr>
      <w:pBdr>
        <w:top w:val="single" w:color="auto" w:sz="4" w:space="1"/>
      </w:pBdr>
      <w:tabs>
        <w:tab w:val="left" w:pos="843"/>
        <w:tab w:val="center" w:pos="4595"/>
      </w:tabs>
      <w:rPr>
        <w:sz w:val="24"/>
        <w:szCs w:val="36"/>
        <w:lang w:val="en-US"/>
      </w:rPr>
    </w:pPr>
    <w:r>
      <w:rPr>
        <w:sz w:val="24"/>
        <w:lang w:val="en-US" w:bidi="ar-SA"/>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AF5B2B">
                          <w:pPr>
                            <w:pStyle w:val="19"/>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wrap="none" lIns="0" tIns="0" rIns="0" bIns="0">
                      <a:spAutoFit/>
                    </wps:bodyPr>
                  </wps:wsp>
                </a:graphicData>
              </a:graphic>
            </wp:anchor>
          </w:drawing>
        </mc:Choice>
        <mc:Fallback>
          <w:pict>
            <v:shape id="文本框 12"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JUqLMIBAACO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KuvTB6gx7SFgYhru/IBbM/sBnZn2oKLNXyREMI7qnq/qyiERkR+tV+t1hSGBsfmC+OzxeYiQ3kpv&#10;STYaGnF8RVV+eg9pTJ1TcjXn77UxZYTG/eVAzOxhufexx2ylYT9MhPa+PSOfHiffUIeLTol551DY&#10;vCSzEWdjPxm5BoTbY8LCpZ+MOkJNxXBMhdG0UnkP/ryXrM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MSVKizCAQAAjgMAAA4AAAAAAAAAAQAgAAAAHgEAAGRycy9lMm9Eb2MueG1sUEsF&#10;BgAAAAAGAAYAWQEAAFIFAAAAAA==&#10;">
              <v:fill on="f" focussize="0,0"/>
              <v:stroke on="f"/>
              <v:imagedata o:title=""/>
              <o:lock v:ext="edit" aspectratio="f"/>
              <v:textbox inset="0mm,0mm,0mm,0mm" style="mso-fit-shape-to-text:t;">
                <w:txbxContent>
                  <w:p w14:paraId="31AF5B2B">
                    <w:pPr>
                      <w:pStyle w:val="19"/>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r>
      <w:rPr>
        <w:rFonts w:hint="eastAsia"/>
        <w:sz w:val="24"/>
        <w:szCs w:val="36"/>
      </w:rPr>
      <w:t>代理公司：浙江至诚工程咨询有限责任公司</w:t>
    </w:r>
    <w:r>
      <w:rPr>
        <w:rFonts w:hint="eastAsia"/>
        <w:sz w:val="24"/>
        <w:szCs w:val="36"/>
        <w:lang w:val="en-US"/>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EB49B">
    <w:pPr>
      <w:pStyle w:val="11"/>
      <w:pBdr>
        <w:bottom w:val="single" w:color="auto" w:sz="4" w:space="0"/>
      </w:pBdr>
      <w:jc w:val="center"/>
      <w:rPr>
        <w:rFonts w:hint="eastAsia" w:eastAsia="仿宋"/>
        <w:lang w:eastAsia="zh-CN"/>
      </w:rPr>
    </w:pPr>
    <w:r>
      <w:rPr>
        <w:rFonts w:hint="eastAsia"/>
        <w:lang w:val="en-US" w:eastAsia="zh-CN"/>
      </w:rPr>
      <w:t>2025全国象棋俱乐部团体赛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311C9">
    <w:pPr>
      <w:pStyle w:val="11"/>
      <w:pBdr>
        <w:bottom w:val="single" w:color="auto" w:sz="4" w:space="0"/>
      </w:pBdr>
      <w:jc w:val="center"/>
      <w:rPr>
        <w:rFonts w:hint="eastAsia" w:eastAsia="仿宋"/>
        <w:lang w:eastAsia="zh-CN"/>
      </w:rPr>
    </w:pPr>
    <w:r>
      <w:rPr>
        <w:rFonts w:hint="eastAsia"/>
        <w:lang w:val="en-US" w:eastAsia="zh-CN"/>
      </w:rPr>
      <w:t>2025全国象棋俱乐部团体赛</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74E6F">
    <w:pPr>
      <w:pStyle w:val="11"/>
      <w:pBdr>
        <w:bottom w:val="single" w:color="auto" w:sz="4" w:space="0"/>
      </w:pBdr>
      <w:jc w:val="center"/>
      <w:rPr>
        <w:rFonts w:hint="eastAsia" w:eastAsia="仿宋"/>
        <w:lang w:eastAsia="zh-CN"/>
      </w:rPr>
    </w:pPr>
    <w:r>
      <w:rPr>
        <w:rFonts w:hint="eastAsia"/>
        <w:lang w:val="en-US" w:eastAsia="zh-CN"/>
      </w:rPr>
      <w:t>2025全国象棋俱乐部团体赛</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1F034">
    <w:pPr>
      <w:pStyle w:val="11"/>
      <w:pBdr>
        <w:bottom w:val="single" w:color="auto" w:sz="4" w:space="0"/>
      </w:pBdr>
      <w:jc w:val="center"/>
      <w:rPr>
        <w:rFonts w:hint="eastAsia"/>
        <w:lang w:eastAsia="zh-CN"/>
      </w:rPr>
    </w:pPr>
    <w:r>
      <w:rPr>
        <w:rFonts w:hint="eastAsia"/>
        <w:lang w:val="en-US" w:eastAsia="zh-CN"/>
      </w:rPr>
      <w:t>2025全国象棋俱乐部团体赛</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A8238">
    <w:pPr>
      <w:pStyle w:val="11"/>
      <w:pBdr>
        <w:bottom w:val="single" w:color="auto" w:sz="4" w:space="1"/>
      </w:pBdr>
      <w:jc w:val="center"/>
      <w:rPr>
        <w:rFonts w:hint="eastAsia" w:eastAsia="仿宋"/>
        <w:lang w:eastAsia="zh-CN"/>
      </w:rPr>
    </w:pPr>
    <w:r>
      <w:rPr>
        <w:rFonts w:hint="eastAsia"/>
        <w:lang w:val="en-US" w:eastAsia="zh-CN"/>
      </w:rPr>
      <w:t>2025全国象棋俱乐部团体赛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F45A6"/>
    <w:multiLevelType w:val="singleLevel"/>
    <w:tmpl w:val="863F45A6"/>
    <w:lvl w:ilvl="0" w:tentative="0">
      <w:start w:val="1"/>
      <w:numFmt w:val="decimal"/>
      <w:suff w:val="space"/>
      <w:lvlText w:val="%1."/>
      <w:lvlJc w:val="left"/>
      <w:pPr>
        <w:ind w:left="425" w:hanging="425"/>
      </w:pPr>
      <w:rPr>
        <w:rFonts w:hint="default"/>
      </w:rPr>
    </w:lvl>
  </w:abstractNum>
  <w:abstractNum w:abstractNumId="1">
    <w:nsid w:val="8B21C375"/>
    <w:multiLevelType w:val="singleLevel"/>
    <w:tmpl w:val="8B21C375"/>
    <w:lvl w:ilvl="0" w:tentative="0">
      <w:start w:val="1"/>
      <w:numFmt w:val="decimal"/>
      <w:suff w:val="space"/>
      <w:lvlText w:val="%1."/>
      <w:lvlJc w:val="left"/>
      <w:pPr>
        <w:ind w:left="425" w:hanging="425"/>
      </w:pPr>
      <w:rPr>
        <w:rFonts w:hint="default"/>
      </w:rPr>
    </w:lvl>
  </w:abstractNum>
  <w:abstractNum w:abstractNumId="2">
    <w:nsid w:val="8E0CCF42"/>
    <w:multiLevelType w:val="singleLevel"/>
    <w:tmpl w:val="8E0CCF42"/>
    <w:lvl w:ilvl="0" w:tentative="0">
      <w:start w:val="1"/>
      <w:numFmt w:val="chineseCounting"/>
      <w:suff w:val="nothing"/>
      <w:lvlText w:val="（%1）"/>
      <w:lvlJc w:val="left"/>
      <w:pPr>
        <w:ind w:left="0" w:firstLine="420"/>
      </w:pPr>
      <w:rPr>
        <w:rFonts w:hint="eastAsia"/>
      </w:rPr>
    </w:lvl>
  </w:abstractNum>
  <w:abstractNum w:abstractNumId="3">
    <w:nsid w:val="900513FF"/>
    <w:multiLevelType w:val="singleLevel"/>
    <w:tmpl w:val="900513FF"/>
    <w:lvl w:ilvl="0" w:tentative="0">
      <w:start w:val="1"/>
      <w:numFmt w:val="decimal"/>
      <w:suff w:val="space"/>
      <w:lvlText w:val="%1."/>
      <w:lvlJc w:val="left"/>
      <w:pPr>
        <w:ind w:left="845" w:hanging="425"/>
      </w:pPr>
      <w:rPr>
        <w:rFonts w:hint="default"/>
      </w:rPr>
    </w:lvl>
  </w:abstractNum>
  <w:abstractNum w:abstractNumId="4">
    <w:nsid w:val="A6C9D77B"/>
    <w:multiLevelType w:val="singleLevel"/>
    <w:tmpl w:val="A6C9D77B"/>
    <w:lvl w:ilvl="0" w:tentative="0">
      <w:start w:val="1"/>
      <w:numFmt w:val="decimal"/>
      <w:suff w:val="space"/>
      <w:lvlText w:val="%1."/>
      <w:lvlJc w:val="left"/>
      <w:pPr>
        <w:ind w:left="425" w:hanging="425"/>
      </w:pPr>
      <w:rPr>
        <w:rFonts w:hint="default"/>
      </w:rPr>
    </w:lvl>
  </w:abstractNum>
  <w:abstractNum w:abstractNumId="5">
    <w:nsid w:val="B8014590"/>
    <w:multiLevelType w:val="singleLevel"/>
    <w:tmpl w:val="B8014590"/>
    <w:lvl w:ilvl="0" w:tentative="0">
      <w:start w:val="1"/>
      <w:numFmt w:val="decimal"/>
      <w:suff w:val="space"/>
      <w:lvlText w:val="%1."/>
      <w:lvlJc w:val="left"/>
      <w:pPr>
        <w:ind w:left="425" w:hanging="425"/>
      </w:pPr>
      <w:rPr>
        <w:rFonts w:hint="default"/>
      </w:rPr>
    </w:lvl>
  </w:abstractNum>
  <w:abstractNum w:abstractNumId="6">
    <w:nsid w:val="B8151882"/>
    <w:multiLevelType w:val="singleLevel"/>
    <w:tmpl w:val="B8151882"/>
    <w:lvl w:ilvl="0" w:tentative="0">
      <w:start w:val="1"/>
      <w:numFmt w:val="decimal"/>
      <w:suff w:val="space"/>
      <w:lvlText w:val="%1."/>
      <w:lvlJc w:val="left"/>
      <w:pPr>
        <w:ind w:left="425" w:hanging="425"/>
      </w:pPr>
      <w:rPr>
        <w:rFonts w:hint="default"/>
      </w:rPr>
    </w:lvl>
  </w:abstractNum>
  <w:abstractNum w:abstractNumId="7">
    <w:nsid w:val="E24F14B4"/>
    <w:multiLevelType w:val="singleLevel"/>
    <w:tmpl w:val="E24F14B4"/>
    <w:lvl w:ilvl="0" w:tentative="0">
      <w:start w:val="1"/>
      <w:numFmt w:val="decimal"/>
      <w:suff w:val="space"/>
      <w:lvlText w:val="%1."/>
      <w:lvlJc w:val="left"/>
      <w:pPr>
        <w:ind w:left="425" w:hanging="425"/>
      </w:pPr>
      <w:rPr>
        <w:rFonts w:hint="default"/>
      </w:rPr>
    </w:lvl>
  </w:abstractNum>
  <w:abstractNum w:abstractNumId="8">
    <w:nsid w:val="E5ECE498"/>
    <w:multiLevelType w:val="singleLevel"/>
    <w:tmpl w:val="E5ECE498"/>
    <w:lvl w:ilvl="0" w:tentative="0">
      <w:start w:val="1"/>
      <w:numFmt w:val="decimal"/>
      <w:pStyle w:val="8"/>
      <w:lvlText w:val="%1."/>
      <w:lvlJc w:val="left"/>
      <w:pPr>
        <w:tabs>
          <w:tab w:val="left" w:pos="360"/>
        </w:tabs>
        <w:ind w:left="360" w:hanging="360"/>
      </w:pPr>
    </w:lvl>
  </w:abstractNum>
  <w:abstractNum w:abstractNumId="9">
    <w:nsid w:val="00000001"/>
    <w:multiLevelType w:val="singleLevel"/>
    <w:tmpl w:val="00000001"/>
    <w:lvl w:ilvl="0" w:tentative="0">
      <w:start w:val="1"/>
      <w:numFmt w:val="decimal"/>
      <w:suff w:val="nothing"/>
      <w:lvlText w:val="（%1）"/>
      <w:lvlJc w:val="left"/>
      <w:rPr>
        <w:rFonts w:hint="default"/>
        <w:b w:val="0"/>
        <w:bCs w:val="0"/>
      </w:rPr>
    </w:lvl>
  </w:abstractNum>
  <w:abstractNum w:abstractNumId="10">
    <w:nsid w:val="00000002"/>
    <w:multiLevelType w:val="singleLevel"/>
    <w:tmpl w:val="00000002"/>
    <w:lvl w:ilvl="0" w:tentative="0">
      <w:start w:val="12"/>
      <w:numFmt w:val="decimal"/>
      <w:suff w:val="space"/>
      <w:lvlText w:val="%1."/>
      <w:lvlJc w:val="left"/>
    </w:lvl>
  </w:abstractNum>
  <w:abstractNum w:abstractNumId="11">
    <w:nsid w:val="00000004"/>
    <w:multiLevelType w:val="multilevel"/>
    <w:tmpl w:val="00000004"/>
    <w:lvl w:ilvl="0" w:tentative="0">
      <w:start w:val="19"/>
      <w:numFmt w:val="decimal"/>
      <w:lvlText w:val="%1."/>
      <w:lvlJc w:val="left"/>
      <w:pPr>
        <w:ind w:left="1382" w:hanging="363"/>
      </w:pPr>
      <w:rPr>
        <w:rFonts w:hint="default"/>
        <w:b/>
        <w:bCs/>
        <w:spacing w:val="-3"/>
        <w:w w:val="99"/>
        <w:lang w:val="zh-CN" w:eastAsia="zh-CN" w:bidi="zh-CN"/>
      </w:rPr>
    </w:lvl>
    <w:lvl w:ilvl="1" w:tentative="0">
      <w:start w:val="1"/>
      <w:numFmt w:val="decimal"/>
      <w:lvlText w:val="%1.%2"/>
      <w:lvlJc w:val="left"/>
      <w:pPr>
        <w:ind w:left="540" w:hanging="543"/>
      </w:pPr>
      <w:rPr>
        <w:rFonts w:hint="default" w:ascii="仿宋" w:hAnsi="仿宋" w:eastAsia="仿宋" w:cs="仿宋"/>
        <w:w w:val="100"/>
        <w:sz w:val="24"/>
        <w:szCs w:val="24"/>
        <w:lang w:val="zh-CN" w:eastAsia="zh-CN" w:bidi="zh-CN"/>
      </w:rPr>
    </w:lvl>
    <w:lvl w:ilvl="2" w:tentative="0">
      <w:start w:val="1"/>
      <w:numFmt w:val="decimal"/>
      <w:lvlText w:val="%1.%2.%3"/>
      <w:lvlJc w:val="left"/>
      <w:pPr>
        <w:ind w:left="1800" w:hanging="780"/>
      </w:pPr>
      <w:rPr>
        <w:rFonts w:hint="default" w:ascii="仿宋" w:hAnsi="仿宋" w:eastAsia="仿宋" w:cs="仿宋"/>
        <w:w w:val="100"/>
        <w:sz w:val="24"/>
        <w:szCs w:val="24"/>
        <w:lang w:val="zh-CN" w:eastAsia="zh-CN" w:bidi="zh-CN"/>
      </w:rPr>
    </w:lvl>
    <w:lvl w:ilvl="3" w:tentative="0">
      <w:start w:val="1"/>
      <w:numFmt w:val="decimal"/>
      <w:lvlText w:val="%1.%2.%3.%4"/>
      <w:lvlJc w:val="left"/>
      <w:pPr>
        <w:ind w:left="540" w:hanging="1023"/>
      </w:pPr>
      <w:rPr>
        <w:rFonts w:hint="default" w:ascii="仿宋" w:hAnsi="仿宋" w:eastAsia="仿宋" w:cs="仿宋"/>
        <w:w w:val="100"/>
        <w:sz w:val="24"/>
        <w:szCs w:val="24"/>
        <w:lang w:val="zh-CN" w:eastAsia="zh-CN" w:bidi="zh-CN"/>
      </w:rPr>
    </w:lvl>
    <w:lvl w:ilvl="4" w:tentative="0">
      <w:start w:val="0"/>
      <w:numFmt w:val="bullet"/>
      <w:lvlText w:val="•"/>
      <w:lvlJc w:val="left"/>
      <w:pPr>
        <w:ind w:left="1620" w:hanging="1023"/>
      </w:pPr>
      <w:rPr>
        <w:rFonts w:hint="default"/>
        <w:lang w:val="zh-CN" w:eastAsia="zh-CN" w:bidi="zh-CN"/>
      </w:rPr>
    </w:lvl>
    <w:lvl w:ilvl="5" w:tentative="0">
      <w:start w:val="0"/>
      <w:numFmt w:val="bullet"/>
      <w:lvlText w:val="•"/>
      <w:lvlJc w:val="left"/>
      <w:pPr>
        <w:ind w:left="1800" w:hanging="1023"/>
      </w:pPr>
      <w:rPr>
        <w:rFonts w:hint="default"/>
        <w:lang w:val="zh-CN" w:eastAsia="zh-CN" w:bidi="zh-CN"/>
      </w:rPr>
    </w:lvl>
    <w:lvl w:ilvl="6" w:tentative="0">
      <w:start w:val="0"/>
      <w:numFmt w:val="bullet"/>
      <w:lvlText w:val="•"/>
      <w:lvlJc w:val="left"/>
      <w:pPr>
        <w:ind w:left="3437" w:hanging="1023"/>
      </w:pPr>
      <w:rPr>
        <w:rFonts w:hint="default"/>
        <w:lang w:val="zh-CN" w:eastAsia="zh-CN" w:bidi="zh-CN"/>
      </w:rPr>
    </w:lvl>
    <w:lvl w:ilvl="7" w:tentative="0">
      <w:start w:val="0"/>
      <w:numFmt w:val="bullet"/>
      <w:lvlText w:val="•"/>
      <w:lvlJc w:val="left"/>
      <w:pPr>
        <w:ind w:left="5074" w:hanging="1023"/>
      </w:pPr>
      <w:rPr>
        <w:rFonts w:hint="default"/>
        <w:lang w:val="zh-CN" w:eastAsia="zh-CN" w:bidi="zh-CN"/>
      </w:rPr>
    </w:lvl>
    <w:lvl w:ilvl="8" w:tentative="0">
      <w:start w:val="0"/>
      <w:numFmt w:val="bullet"/>
      <w:lvlText w:val="•"/>
      <w:lvlJc w:val="left"/>
      <w:pPr>
        <w:ind w:left="6711" w:hanging="1023"/>
      </w:pPr>
      <w:rPr>
        <w:rFonts w:hint="default"/>
        <w:lang w:val="zh-CN" w:eastAsia="zh-CN" w:bidi="zh-CN"/>
      </w:rPr>
    </w:lvl>
  </w:abstractNum>
  <w:abstractNum w:abstractNumId="12">
    <w:nsid w:val="00000005"/>
    <w:multiLevelType w:val="multilevel"/>
    <w:tmpl w:val="00000005"/>
    <w:lvl w:ilvl="0" w:tentative="0">
      <w:start w:val="18"/>
      <w:numFmt w:val="decimal"/>
      <w:lvlText w:val="%1"/>
      <w:lvlJc w:val="left"/>
      <w:pPr>
        <w:ind w:left="540" w:hanging="543"/>
      </w:pPr>
      <w:rPr>
        <w:rFonts w:hint="default"/>
        <w:lang w:val="zh-CN" w:eastAsia="zh-CN" w:bidi="zh-CN"/>
      </w:rPr>
    </w:lvl>
    <w:lvl w:ilvl="1" w:tentative="0">
      <w:start w:val="1"/>
      <w:numFmt w:val="decimal"/>
      <w:lvlText w:val="%1.%2"/>
      <w:lvlJc w:val="left"/>
      <w:pPr>
        <w:ind w:left="540" w:hanging="543"/>
      </w:pPr>
      <w:rPr>
        <w:rFonts w:hint="default" w:ascii="仿宋" w:hAnsi="仿宋" w:eastAsia="仿宋" w:cs="仿宋"/>
        <w:w w:val="100"/>
        <w:sz w:val="24"/>
        <w:szCs w:val="24"/>
        <w:lang w:val="zh-CN" w:eastAsia="zh-CN" w:bidi="zh-CN"/>
      </w:rPr>
    </w:lvl>
    <w:lvl w:ilvl="2" w:tentative="0">
      <w:start w:val="0"/>
      <w:numFmt w:val="bullet"/>
      <w:lvlText w:val="•"/>
      <w:lvlJc w:val="left"/>
      <w:pPr>
        <w:ind w:left="2429" w:hanging="543"/>
      </w:pPr>
      <w:rPr>
        <w:rFonts w:hint="default"/>
        <w:lang w:val="zh-CN" w:eastAsia="zh-CN" w:bidi="zh-CN"/>
      </w:rPr>
    </w:lvl>
    <w:lvl w:ilvl="3" w:tentative="0">
      <w:start w:val="0"/>
      <w:numFmt w:val="bullet"/>
      <w:lvlText w:val="•"/>
      <w:lvlJc w:val="left"/>
      <w:pPr>
        <w:ind w:left="3373" w:hanging="543"/>
      </w:pPr>
      <w:rPr>
        <w:rFonts w:hint="default"/>
        <w:lang w:val="zh-CN" w:eastAsia="zh-CN" w:bidi="zh-CN"/>
      </w:rPr>
    </w:lvl>
    <w:lvl w:ilvl="4" w:tentative="0">
      <w:start w:val="0"/>
      <w:numFmt w:val="bullet"/>
      <w:lvlText w:val="•"/>
      <w:lvlJc w:val="left"/>
      <w:pPr>
        <w:ind w:left="4318" w:hanging="543"/>
      </w:pPr>
      <w:rPr>
        <w:rFonts w:hint="default"/>
        <w:lang w:val="zh-CN" w:eastAsia="zh-CN" w:bidi="zh-CN"/>
      </w:rPr>
    </w:lvl>
    <w:lvl w:ilvl="5" w:tentative="0">
      <w:start w:val="0"/>
      <w:numFmt w:val="bullet"/>
      <w:lvlText w:val="•"/>
      <w:lvlJc w:val="left"/>
      <w:pPr>
        <w:ind w:left="5263" w:hanging="543"/>
      </w:pPr>
      <w:rPr>
        <w:rFonts w:hint="default"/>
        <w:lang w:val="zh-CN" w:eastAsia="zh-CN" w:bidi="zh-CN"/>
      </w:rPr>
    </w:lvl>
    <w:lvl w:ilvl="6" w:tentative="0">
      <w:start w:val="0"/>
      <w:numFmt w:val="bullet"/>
      <w:lvlText w:val="•"/>
      <w:lvlJc w:val="left"/>
      <w:pPr>
        <w:ind w:left="6207" w:hanging="543"/>
      </w:pPr>
      <w:rPr>
        <w:rFonts w:hint="default"/>
        <w:lang w:val="zh-CN" w:eastAsia="zh-CN" w:bidi="zh-CN"/>
      </w:rPr>
    </w:lvl>
    <w:lvl w:ilvl="7" w:tentative="0">
      <w:start w:val="0"/>
      <w:numFmt w:val="bullet"/>
      <w:lvlText w:val="•"/>
      <w:lvlJc w:val="left"/>
      <w:pPr>
        <w:ind w:left="7152" w:hanging="543"/>
      </w:pPr>
      <w:rPr>
        <w:rFonts w:hint="default"/>
        <w:lang w:val="zh-CN" w:eastAsia="zh-CN" w:bidi="zh-CN"/>
      </w:rPr>
    </w:lvl>
    <w:lvl w:ilvl="8" w:tentative="0">
      <w:start w:val="0"/>
      <w:numFmt w:val="bullet"/>
      <w:lvlText w:val="•"/>
      <w:lvlJc w:val="left"/>
      <w:pPr>
        <w:ind w:left="8096" w:hanging="543"/>
      </w:pPr>
      <w:rPr>
        <w:rFonts w:hint="default"/>
        <w:lang w:val="zh-CN" w:eastAsia="zh-CN" w:bidi="zh-CN"/>
      </w:rPr>
    </w:lvl>
  </w:abstractNum>
  <w:abstractNum w:abstractNumId="13">
    <w:nsid w:val="00000006"/>
    <w:multiLevelType w:val="multilevel"/>
    <w:tmpl w:val="00000006"/>
    <w:lvl w:ilvl="0" w:tentative="0">
      <w:start w:val="2"/>
      <w:numFmt w:val="decimal"/>
      <w:lvlText w:val="%1"/>
      <w:lvlJc w:val="left"/>
      <w:pPr>
        <w:ind w:left="1740" w:hanging="720"/>
      </w:pPr>
      <w:rPr>
        <w:rFonts w:hint="default"/>
        <w:lang w:val="zh-CN" w:eastAsia="zh-CN" w:bidi="zh-CN"/>
      </w:rPr>
    </w:lvl>
    <w:lvl w:ilvl="1" w:tentative="0">
      <w:start w:val="1"/>
      <w:numFmt w:val="decimal"/>
      <w:lvlText w:val="%1.%2"/>
      <w:lvlJc w:val="left"/>
      <w:pPr>
        <w:ind w:left="1740" w:hanging="720"/>
      </w:pPr>
      <w:rPr>
        <w:rFonts w:hint="default"/>
        <w:lang w:val="zh-CN" w:eastAsia="zh-CN" w:bidi="zh-CN"/>
      </w:rPr>
    </w:lvl>
    <w:lvl w:ilvl="2" w:tentative="0">
      <w:start w:val="1"/>
      <w:numFmt w:val="decimal"/>
      <w:lvlText w:val="%1.%2.%3"/>
      <w:lvlJc w:val="left"/>
      <w:pPr>
        <w:ind w:left="1740" w:hanging="720"/>
      </w:pPr>
      <w:rPr>
        <w:rFonts w:hint="default" w:ascii="仿宋" w:hAnsi="仿宋" w:eastAsia="仿宋" w:cs="仿宋"/>
        <w:w w:val="100"/>
        <w:sz w:val="24"/>
        <w:szCs w:val="24"/>
        <w:lang w:val="zh-CN" w:eastAsia="zh-CN" w:bidi="zh-CN"/>
      </w:rPr>
    </w:lvl>
    <w:lvl w:ilvl="3" w:tentative="0">
      <w:start w:val="0"/>
      <w:numFmt w:val="bullet"/>
      <w:lvlText w:val="•"/>
      <w:lvlJc w:val="left"/>
      <w:pPr>
        <w:ind w:left="4213" w:hanging="720"/>
      </w:pPr>
      <w:rPr>
        <w:rFonts w:hint="default"/>
        <w:lang w:val="zh-CN" w:eastAsia="zh-CN" w:bidi="zh-CN"/>
      </w:rPr>
    </w:lvl>
    <w:lvl w:ilvl="4" w:tentative="0">
      <w:start w:val="0"/>
      <w:numFmt w:val="bullet"/>
      <w:lvlText w:val="•"/>
      <w:lvlJc w:val="left"/>
      <w:pPr>
        <w:ind w:left="5038" w:hanging="720"/>
      </w:pPr>
      <w:rPr>
        <w:rFonts w:hint="default"/>
        <w:lang w:val="zh-CN" w:eastAsia="zh-CN" w:bidi="zh-CN"/>
      </w:rPr>
    </w:lvl>
    <w:lvl w:ilvl="5" w:tentative="0">
      <w:start w:val="0"/>
      <w:numFmt w:val="bullet"/>
      <w:lvlText w:val="•"/>
      <w:lvlJc w:val="left"/>
      <w:pPr>
        <w:ind w:left="5863" w:hanging="720"/>
      </w:pPr>
      <w:rPr>
        <w:rFonts w:hint="default"/>
        <w:lang w:val="zh-CN" w:eastAsia="zh-CN" w:bidi="zh-CN"/>
      </w:rPr>
    </w:lvl>
    <w:lvl w:ilvl="6" w:tentative="0">
      <w:start w:val="0"/>
      <w:numFmt w:val="bullet"/>
      <w:lvlText w:val="•"/>
      <w:lvlJc w:val="left"/>
      <w:pPr>
        <w:ind w:left="6687" w:hanging="720"/>
      </w:pPr>
      <w:rPr>
        <w:rFonts w:hint="default"/>
        <w:lang w:val="zh-CN" w:eastAsia="zh-CN" w:bidi="zh-CN"/>
      </w:rPr>
    </w:lvl>
    <w:lvl w:ilvl="7" w:tentative="0">
      <w:start w:val="0"/>
      <w:numFmt w:val="bullet"/>
      <w:lvlText w:val="•"/>
      <w:lvlJc w:val="left"/>
      <w:pPr>
        <w:ind w:left="7512" w:hanging="720"/>
      </w:pPr>
      <w:rPr>
        <w:rFonts w:hint="default"/>
        <w:lang w:val="zh-CN" w:eastAsia="zh-CN" w:bidi="zh-CN"/>
      </w:rPr>
    </w:lvl>
    <w:lvl w:ilvl="8" w:tentative="0">
      <w:start w:val="0"/>
      <w:numFmt w:val="bullet"/>
      <w:lvlText w:val="•"/>
      <w:lvlJc w:val="left"/>
      <w:pPr>
        <w:ind w:left="8336" w:hanging="720"/>
      </w:pPr>
      <w:rPr>
        <w:rFonts w:hint="default"/>
        <w:lang w:val="zh-CN" w:eastAsia="zh-CN" w:bidi="zh-CN"/>
      </w:rPr>
    </w:lvl>
  </w:abstractNum>
  <w:abstractNum w:abstractNumId="14">
    <w:nsid w:val="00000007"/>
    <w:multiLevelType w:val="multilevel"/>
    <w:tmpl w:val="00000007"/>
    <w:lvl w:ilvl="0" w:tentative="0">
      <w:start w:val="16"/>
      <w:numFmt w:val="decimal"/>
      <w:suff w:val="space"/>
      <w:lvlText w:val="%1."/>
      <w:lvlJc w:val="left"/>
      <w:rPr>
        <w:rFonts w:hint="default"/>
        <w:b/>
        <w:bCs/>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5">
    <w:nsid w:val="00000009"/>
    <w:multiLevelType w:val="multilevel"/>
    <w:tmpl w:val="00000009"/>
    <w:lvl w:ilvl="0" w:tentative="0">
      <w:start w:val="17"/>
      <w:numFmt w:val="decimal"/>
      <w:lvlText w:val="%1"/>
      <w:lvlJc w:val="left"/>
      <w:pPr>
        <w:ind w:left="1320" w:hanging="300"/>
      </w:pPr>
      <w:rPr>
        <w:rFonts w:hint="default" w:ascii="仿宋" w:hAnsi="仿宋" w:eastAsia="仿宋" w:cs="仿宋"/>
        <w:w w:val="100"/>
        <w:sz w:val="24"/>
        <w:szCs w:val="24"/>
        <w:lang w:val="zh-CN" w:eastAsia="zh-CN" w:bidi="zh-CN"/>
      </w:rPr>
    </w:lvl>
    <w:lvl w:ilvl="1" w:tentative="0">
      <w:start w:val="1"/>
      <w:numFmt w:val="decimal"/>
      <w:lvlText w:val="%1.%2"/>
      <w:lvlJc w:val="left"/>
      <w:pPr>
        <w:ind w:left="1560" w:hanging="540"/>
      </w:pPr>
      <w:rPr>
        <w:rFonts w:hint="default" w:ascii="仿宋" w:hAnsi="仿宋" w:eastAsia="仿宋" w:cs="仿宋"/>
        <w:w w:val="100"/>
        <w:sz w:val="24"/>
        <w:szCs w:val="24"/>
        <w:lang w:val="zh-CN" w:eastAsia="zh-CN" w:bidi="zh-CN"/>
      </w:rPr>
    </w:lvl>
    <w:lvl w:ilvl="2" w:tentative="0">
      <w:start w:val="0"/>
      <w:numFmt w:val="bullet"/>
      <w:lvlText w:val="•"/>
      <w:lvlJc w:val="left"/>
      <w:pPr>
        <w:ind w:left="2496" w:hanging="540"/>
      </w:pPr>
      <w:rPr>
        <w:rFonts w:hint="default"/>
        <w:lang w:val="zh-CN" w:eastAsia="zh-CN" w:bidi="zh-CN"/>
      </w:rPr>
    </w:lvl>
    <w:lvl w:ilvl="3" w:tentative="0">
      <w:start w:val="0"/>
      <w:numFmt w:val="bullet"/>
      <w:lvlText w:val="•"/>
      <w:lvlJc w:val="left"/>
      <w:pPr>
        <w:ind w:left="3432" w:hanging="540"/>
      </w:pPr>
      <w:rPr>
        <w:rFonts w:hint="default"/>
        <w:lang w:val="zh-CN" w:eastAsia="zh-CN" w:bidi="zh-CN"/>
      </w:rPr>
    </w:lvl>
    <w:lvl w:ilvl="4" w:tentative="0">
      <w:start w:val="0"/>
      <w:numFmt w:val="bullet"/>
      <w:lvlText w:val="•"/>
      <w:lvlJc w:val="left"/>
      <w:pPr>
        <w:ind w:left="4368" w:hanging="540"/>
      </w:pPr>
      <w:rPr>
        <w:rFonts w:hint="default"/>
        <w:lang w:val="zh-CN" w:eastAsia="zh-CN" w:bidi="zh-CN"/>
      </w:rPr>
    </w:lvl>
    <w:lvl w:ilvl="5" w:tentative="0">
      <w:start w:val="0"/>
      <w:numFmt w:val="bullet"/>
      <w:lvlText w:val="•"/>
      <w:lvlJc w:val="left"/>
      <w:pPr>
        <w:ind w:left="5304" w:hanging="540"/>
      </w:pPr>
      <w:rPr>
        <w:rFonts w:hint="default"/>
        <w:lang w:val="zh-CN" w:eastAsia="zh-CN" w:bidi="zh-CN"/>
      </w:rPr>
    </w:lvl>
    <w:lvl w:ilvl="6" w:tentative="0">
      <w:start w:val="0"/>
      <w:numFmt w:val="bullet"/>
      <w:lvlText w:val="•"/>
      <w:lvlJc w:val="left"/>
      <w:pPr>
        <w:ind w:left="6241" w:hanging="540"/>
      </w:pPr>
      <w:rPr>
        <w:rFonts w:hint="default"/>
        <w:lang w:val="zh-CN" w:eastAsia="zh-CN" w:bidi="zh-CN"/>
      </w:rPr>
    </w:lvl>
    <w:lvl w:ilvl="7" w:tentative="0">
      <w:start w:val="0"/>
      <w:numFmt w:val="bullet"/>
      <w:lvlText w:val="•"/>
      <w:lvlJc w:val="left"/>
      <w:pPr>
        <w:ind w:left="7177" w:hanging="540"/>
      </w:pPr>
      <w:rPr>
        <w:rFonts w:hint="default"/>
        <w:lang w:val="zh-CN" w:eastAsia="zh-CN" w:bidi="zh-CN"/>
      </w:rPr>
    </w:lvl>
    <w:lvl w:ilvl="8" w:tentative="0">
      <w:start w:val="0"/>
      <w:numFmt w:val="bullet"/>
      <w:lvlText w:val="•"/>
      <w:lvlJc w:val="left"/>
      <w:pPr>
        <w:ind w:left="8113" w:hanging="540"/>
      </w:pPr>
      <w:rPr>
        <w:rFonts w:hint="default"/>
        <w:lang w:val="zh-CN" w:eastAsia="zh-CN" w:bidi="zh-CN"/>
      </w:rPr>
    </w:lvl>
  </w:abstractNum>
  <w:abstractNum w:abstractNumId="16">
    <w:nsid w:val="0000000B"/>
    <w:multiLevelType w:val="multilevel"/>
    <w:tmpl w:val="0000000B"/>
    <w:lvl w:ilvl="0" w:tentative="0">
      <w:start w:val="6"/>
      <w:numFmt w:val="decimal"/>
      <w:lvlText w:val="%1."/>
      <w:lvlJc w:val="left"/>
      <w:pPr>
        <w:ind w:left="1261" w:hanging="241"/>
      </w:pPr>
      <w:rPr>
        <w:rFonts w:hint="default" w:ascii="仿宋" w:hAnsi="仿宋" w:eastAsia="仿宋" w:cs="仿宋"/>
        <w:b/>
        <w:bCs/>
        <w:w w:val="99"/>
        <w:sz w:val="22"/>
        <w:szCs w:val="22"/>
        <w:lang w:val="zh-CN" w:eastAsia="zh-CN" w:bidi="zh-CN"/>
      </w:rPr>
    </w:lvl>
    <w:lvl w:ilvl="1" w:tentative="0">
      <w:start w:val="1"/>
      <w:numFmt w:val="decimal"/>
      <w:lvlText w:val="%1.%2"/>
      <w:lvlJc w:val="left"/>
      <w:pPr>
        <w:ind w:left="540" w:hanging="420"/>
      </w:pPr>
      <w:rPr>
        <w:rFonts w:hint="default" w:ascii="仿宋" w:hAnsi="仿宋" w:eastAsia="仿宋" w:cs="仿宋"/>
        <w:w w:val="100"/>
        <w:sz w:val="24"/>
        <w:szCs w:val="24"/>
        <w:lang w:val="zh-CN" w:eastAsia="zh-CN" w:bidi="zh-CN"/>
      </w:rPr>
    </w:lvl>
    <w:lvl w:ilvl="2" w:tentative="0">
      <w:start w:val="1"/>
      <w:numFmt w:val="decimal"/>
      <w:lvlText w:val="%1.%2.%3"/>
      <w:lvlJc w:val="left"/>
      <w:pPr>
        <w:ind w:left="1680" w:hanging="660"/>
      </w:pPr>
      <w:rPr>
        <w:rFonts w:hint="default" w:ascii="仿宋" w:hAnsi="仿宋" w:eastAsia="仿宋" w:cs="仿宋"/>
        <w:w w:val="100"/>
        <w:sz w:val="24"/>
        <w:szCs w:val="24"/>
        <w:lang w:val="zh-CN" w:eastAsia="zh-CN" w:bidi="zh-CN"/>
      </w:rPr>
    </w:lvl>
    <w:lvl w:ilvl="3" w:tentative="0">
      <w:start w:val="0"/>
      <w:numFmt w:val="bullet"/>
      <w:lvlText w:val="•"/>
      <w:lvlJc w:val="left"/>
      <w:pPr>
        <w:ind w:left="2718" w:hanging="660"/>
      </w:pPr>
      <w:rPr>
        <w:rFonts w:hint="default"/>
        <w:lang w:val="zh-CN" w:eastAsia="zh-CN" w:bidi="zh-CN"/>
      </w:rPr>
    </w:lvl>
    <w:lvl w:ilvl="4" w:tentative="0">
      <w:start w:val="0"/>
      <w:numFmt w:val="bullet"/>
      <w:lvlText w:val="•"/>
      <w:lvlJc w:val="left"/>
      <w:pPr>
        <w:ind w:left="3756" w:hanging="660"/>
      </w:pPr>
      <w:rPr>
        <w:rFonts w:hint="default"/>
        <w:lang w:val="zh-CN" w:eastAsia="zh-CN" w:bidi="zh-CN"/>
      </w:rPr>
    </w:lvl>
    <w:lvl w:ilvl="5" w:tentative="0">
      <w:start w:val="0"/>
      <w:numFmt w:val="bullet"/>
      <w:lvlText w:val="•"/>
      <w:lvlJc w:val="left"/>
      <w:pPr>
        <w:ind w:left="4794" w:hanging="660"/>
      </w:pPr>
      <w:rPr>
        <w:rFonts w:hint="default"/>
        <w:lang w:val="zh-CN" w:eastAsia="zh-CN" w:bidi="zh-CN"/>
      </w:rPr>
    </w:lvl>
    <w:lvl w:ilvl="6" w:tentative="0">
      <w:start w:val="0"/>
      <w:numFmt w:val="bullet"/>
      <w:lvlText w:val="•"/>
      <w:lvlJc w:val="left"/>
      <w:pPr>
        <w:ind w:left="5833" w:hanging="660"/>
      </w:pPr>
      <w:rPr>
        <w:rFonts w:hint="default"/>
        <w:lang w:val="zh-CN" w:eastAsia="zh-CN" w:bidi="zh-CN"/>
      </w:rPr>
    </w:lvl>
    <w:lvl w:ilvl="7" w:tentative="0">
      <w:start w:val="0"/>
      <w:numFmt w:val="bullet"/>
      <w:lvlText w:val="•"/>
      <w:lvlJc w:val="left"/>
      <w:pPr>
        <w:ind w:left="6871" w:hanging="660"/>
      </w:pPr>
      <w:rPr>
        <w:rFonts w:hint="default"/>
        <w:lang w:val="zh-CN" w:eastAsia="zh-CN" w:bidi="zh-CN"/>
      </w:rPr>
    </w:lvl>
    <w:lvl w:ilvl="8" w:tentative="0">
      <w:start w:val="0"/>
      <w:numFmt w:val="bullet"/>
      <w:lvlText w:val="•"/>
      <w:lvlJc w:val="left"/>
      <w:pPr>
        <w:ind w:left="7909" w:hanging="660"/>
      </w:pPr>
      <w:rPr>
        <w:rFonts w:hint="default"/>
        <w:lang w:val="zh-CN" w:eastAsia="zh-CN" w:bidi="zh-CN"/>
      </w:rPr>
    </w:lvl>
  </w:abstractNum>
  <w:abstractNum w:abstractNumId="17">
    <w:nsid w:val="0000000C"/>
    <w:multiLevelType w:val="multilevel"/>
    <w:tmpl w:val="0000000C"/>
    <w:lvl w:ilvl="0" w:tentative="0">
      <w:start w:val="2"/>
      <w:numFmt w:val="decimal"/>
      <w:lvlText w:val="%1"/>
      <w:lvlJc w:val="left"/>
      <w:pPr>
        <w:ind w:left="3811" w:hanging="528"/>
      </w:pPr>
      <w:rPr>
        <w:rFonts w:hint="default"/>
        <w:lang w:val="zh-CN" w:eastAsia="zh-CN" w:bidi="zh-CN"/>
      </w:rPr>
    </w:lvl>
    <w:lvl w:ilvl="1" w:tentative="0">
      <w:start w:val="1"/>
      <w:numFmt w:val="decimal"/>
      <w:lvlText w:val="%1.%2"/>
      <w:lvlJc w:val="left"/>
      <w:pPr>
        <w:ind w:left="3811" w:hanging="528"/>
        <w:jc w:val="right"/>
      </w:pPr>
      <w:rPr>
        <w:rFonts w:hint="default" w:ascii="仿宋" w:hAnsi="仿宋" w:eastAsia="仿宋" w:cs="仿宋"/>
        <w:b/>
        <w:bCs/>
        <w:spacing w:val="0"/>
        <w:w w:val="99"/>
        <w:sz w:val="30"/>
        <w:szCs w:val="30"/>
        <w:lang w:val="zh-CN" w:eastAsia="zh-CN" w:bidi="zh-CN"/>
      </w:rPr>
    </w:lvl>
    <w:lvl w:ilvl="2" w:tentative="0">
      <w:start w:val="0"/>
      <w:numFmt w:val="bullet"/>
      <w:lvlText w:val="•"/>
      <w:lvlJc w:val="left"/>
      <w:pPr>
        <w:ind w:left="5053" w:hanging="528"/>
      </w:pPr>
      <w:rPr>
        <w:rFonts w:hint="default"/>
        <w:lang w:val="zh-CN" w:eastAsia="zh-CN" w:bidi="zh-CN"/>
      </w:rPr>
    </w:lvl>
    <w:lvl w:ilvl="3" w:tentative="0">
      <w:start w:val="0"/>
      <w:numFmt w:val="bullet"/>
      <w:lvlText w:val="•"/>
      <w:lvlJc w:val="left"/>
      <w:pPr>
        <w:ind w:left="5669" w:hanging="528"/>
      </w:pPr>
      <w:rPr>
        <w:rFonts w:hint="default"/>
        <w:lang w:val="zh-CN" w:eastAsia="zh-CN" w:bidi="zh-CN"/>
      </w:rPr>
    </w:lvl>
    <w:lvl w:ilvl="4" w:tentative="0">
      <w:start w:val="0"/>
      <w:numFmt w:val="bullet"/>
      <w:lvlText w:val="•"/>
      <w:lvlJc w:val="left"/>
      <w:pPr>
        <w:ind w:left="6286" w:hanging="528"/>
      </w:pPr>
      <w:rPr>
        <w:rFonts w:hint="default"/>
        <w:lang w:val="zh-CN" w:eastAsia="zh-CN" w:bidi="zh-CN"/>
      </w:rPr>
    </w:lvl>
    <w:lvl w:ilvl="5" w:tentative="0">
      <w:start w:val="0"/>
      <w:numFmt w:val="bullet"/>
      <w:lvlText w:val="•"/>
      <w:lvlJc w:val="left"/>
      <w:pPr>
        <w:ind w:left="6903" w:hanging="528"/>
      </w:pPr>
      <w:rPr>
        <w:rFonts w:hint="default"/>
        <w:lang w:val="zh-CN" w:eastAsia="zh-CN" w:bidi="zh-CN"/>
      </w:rPr>
    </w:lvl>
    <w:lvl w:ilvl="6" w:tentative="0">
      <w:start w:val="0"/>
      <w:numFmt w:val="bullet"/>
      <w:lvlText w:val="•"/>
      <w:lvlJc w:val="left"/>
      <w:pPr>
        <w:ind w:left="7519" w:hanging="528"/>
      </w:pPr>
      <w:rPr>
        <w:rFonts w:hint="default"/>
        <w:lang w:val="zh-CN" w:eastAsia="zh-CN" w:bidi="zh-CN"/>
      </w:rPr>
    </w:lvl>
    <w:lvl w:ilvl="7" w:tentative="0">
      <w:start w:val="0"/>
      <w:numFmt w:val="bullet"/>
      <w:lvlText w:val="•"/>
      <w:lvlJc w:val="left"/>
      <w:pPr>
        <w:ind w:left="8136" w:hanging="528"/>
      </w:pPr>
      <w:rPr>
        <w:rFonts w:hint="default"/>
        <w:lang w:val="zh-CN" w:eastAsia="zh-CN" w:bidi="zh-CN"/>
      </w:rPr>
    </w:lvl>
    <w:lvl w:ilvl="8" w:tentative="0">
      <w:start w:val="0"/>
      <w:numFmt w:val="bullet"/>
      <w:lvlText w:val="•"/>
      <w:lvlJc w:val="left"/>
      <w:pPr>
        <w:ind w:left="8752" w:hanging="528"/>
      </w:pPr>
      <w:rPr>
        <w:rFonts w:hint="default"/>
        <w:lang w:val="zh-CN" w:eastAsia="zh-CN" w:bidi="zh-CN"/>
      </w:rPr>
    </w:lvl>
  </w:abstractNum>
  <w:abstractNum w:abstractNumId="18">
    <w:nsid w:val="0000000F"/>
    <w:multiLevelType w:val="multilevel"/>
    <w:tmpl w:val="0000000F"/>
    <w:lvl w:ilvl="0" w:tentative="0">
      <w:start w:val="8"/>
      <w:numFmt w:val="decimal"/>
      <w:lvlText w:val="%1."/>
      <w:lvlJc w:val="left"/>
      <w:pPr>
        <w:ind w:left="1261" w:hanging="241"/>
      </w:pPr>
      <w:rPr>
        <w:rFonts w:hint="default" w:ascii="仿宋" w:hAnsi="仿宋" w:eastAsia="仿宋" w:cs="仿宋"/>
        <w:b/>
        <w:bCs/>
        <w:w w:val="99"/>
        <w:sz w:val="22"/>
        <w:szCs w:val="22"/>
        <w:lang w:val="zh-CN" w:eastAsia="zh-CN" w:bidi="zh-CN"/>
      </w:rPr>
    </w:lvl>
    <w:lvl w:ilvl="1" w:tentative="0">
      <w:start w:val="1"/>
      <w:numFmt w:val="decimal"/>
      <w:lvlText w:val="%1.%2"/>
      <w:lvlJc w:val="left"/>
      <w:pPr>
        <w:ind w:left="1020" w:hanging="540"/>
      </w:pPr>
      <w:rPr>
        <w:rFonts w:hint="default"/>
        <w:w w:val="100"/>
        <w:lang w:val="zh-CN" w:eastAsia="zh-CN" w:bidi="zh-CN"/>
      </w:rPr>
    </w:lvl>
    <w:lvl w:ilvl="2" w:tentative="0">
      <w:start w:val="1"/>
      <w:numFmt w:val="decimal"/>
      <w:lvlText w:val="%1.%2.%3"/>
      <w:lvlJc w:val="left"/>
      <w:pPr>
        <w:ind w:left="1740" w:hanging="540"/>
      </w:pPr>
      <w:rPr>
        <w:rFonts w:hint="default" w:ascii="仿宋" w:hAnsi="仿宋" w:eastAsia="仿宋" w:cs="仿宋"/>
        <w:w w:val="100"/>
        <w:sz w:val="24"/>
        <w:szCs w:val="24"/>
        <w:lang w:val="zh-CN" w:eastAsia="zh-CN" w:bidi="zh-CN"/>
      </w:rPr>
    </w:lvl>
    <w:lvl w:ilvl="3" w:tentative="0">
      <w:start w:val="0"/>
      <w:numFmt w:val="bullet"/>
      <w:lvlText w:val="•"/>
      <w:lvlJc w:val="left"/>
      <w:pPr>
        <w:ind w:left="1440" w:hanging="540"/>
      </w:pPr>
      <w:rPr>
        <w:rFonts w:hint="default"/>
        <w:lang w:val="zh-CN" w:eastAsia="zh-CN" w:bidi="zh-CN"/>
      </w:rPr>
    </w:lvl>
    <w:lvl w:ilvl="4" w:tentative="0">
      <w:start w:val="0"/>
      <w:numFmt w:val="bullet"/>
      <w:lvlText w:val="•"/>
      <w:lvlJc w:val="left"/>
      <w:pPr>
        <w:ind w:left="1620" w:hanging="540"/>
      </w:pPr>
      <w:rPr>
        <w:rFonts w:hint="default"/>
        <w:lang w:val="zh-CN" w:eastAsia="zh-CN" w:bidi="zh-CN"/>
      </w:rPr>
    </w:lvl>
    <w:lvl w:ilvl="5" w:tentative="0">
      <w:start w:val="0"/>
      <w:numFmt w:val="bullet"/>
      <w:lvlText w:val="•"/>
      <w:lvlJc w:val="left"/>
      <w:pPr>
        <w:ind w:left="1740" w:hanging="540"/>
      </w:pPr>
      <w:rPr>
        <w:rFonts w:hint="default"/>
        <w:lang w:val="zh-CN" w:eastAsia="zh-CN" w:bidi="zh-CN"/>
      </w:rPr>
    </w:lvl>
    <w:lvl w:ilvl="6" w:tentative="0">
      <w:start w:val="0"/>
      <w:numFmt w:val="bullet"/>
      <w:lvlText w:val="•"/>
      <w:lvlJc w:val="left"/>
      <w:pPr>
        <w:ind w:left="1800" w:hanging="540"/>
      </w:pPr>
      <w:rPr>
        <w:rFonts w:hint="default"/>
        <w:lang w:val="zh-CN" w:eastAsia="zh-CN" w:bidi="zh-CN"/>
      </w:rPr>
    </w:lvl>
    <w:lvl w:ilvl="7" w:tentative="0">
      <w:start w:val="0"/>
      <w:numFmt w:val="bullet"/>
      <w:lvlText w:val="•"/>
      <w:lvlJc w:val="left"/>
      <w:pPr>
        <w:ind w:left="3846" w:hanging="540"/>
      </w:pPr>
      <w:rPr>
        <w:rFonts w:hint="default"/>
        <w:lang w:val="zh-CN" w:eastAsia="zh-CN" w:bidi="zh-CN"/>
      </w:rPr>
    </w:lvl>
    <w:lvl w:ilvl="8" w:tentative="0">
      <w:start w:val="0"/>
      <w:numFmt w:val="bullet"/>
      <w:lvlText w:val="•"/>
      <w:lvlJc w:val="left"/>
      <w:pPr>
        <w:ind w:left="5893" w:hanging="540"/>
      </w:pPr>
      <w:rPr>
        <w:rFonts w:hint="default"/>
        <w:lang w:val="zh-CN" w:eastAsia="zh-CN" w:bidi="zh-CN"/>
      </w:rPr>
    </w:lvl>
  </w:abstractNum>
  <w:abstractNum w:abstractNumId="19">
    <w:nsid w:val="00000010"/>
    <w:multiLevelType w:val="multilevel"/>
    <w:tmpl w:val="00000010"/>
    <w:lvl w:ilvl="0" w:tentative="0">
      <w:start w:val="1"/>
      <w:numFmt w:val="decimal"/>
      <w:lvlText w:val="%1."/>
      <w:lvlJc w:val="left"/>
      <w:pPr>
        <w:ind w:left="1263" w:hanging="244"/>
      </w:pPr>
      <w:rPr>
        <w:rFonts w:hint="default" w:ascii="仿宋" w:hAnsi="仿宋" w:eastAsia="仿宋" w:cs="仿宋"/>
        <w:b/>
        <w:bCs/>
        <w:spacing w:val="-3"/>
        <w:w w:val="99"/>
        <w:sz w:val="22"/>
        <w:szCs w:val="22"/>
        <w:lang w:val="zh-CN" w:eastAsia="zh-CN" w:bidi="zh-CN"/>
      </w:rPr>
    </w:lvl>
    <w:lvl w:ilvl="1" w:tentative="0">
      <w:start w:val="1"/>
      <w:numFmt w:val="decimal"/>
      <w:lvlText w:val="%1.%2"/>
      <w:lvlJc w:val="left"/>
      <w:pPr>
        <w:ind w:left="1020" w:hanging="420"/>
      </w:pPr>
      <w:rPr>
        <w:rFonts w:hint="default" w:ascii="仿宋" w:hAnsi="仿宋" w:eastAsia="仿宋" w:cs="仿宋"/>
        <w:b w:val="0"/>
        <w:bCs w:val="0"/>
        <w:w w:val="100"/>
        <w:sz w:val="24"/>
        <w:szCs w:val="24"/>
        <w:lang w:val="zh-CN" w:eastAsia="zh-CN" w:bidi="zh-CN"/>
      </w:rPr>
    </w:lvl>
    <w:lvl w:ilvl="2" w:tentative="0">
      <w:start w:val="0"/>
      <w:numFmt w:val="bullet"/>
      <w:lvlText w:val="•"/>
      <w:lvlJc w:val="left"/>
      <w:pPr>
        <w:ind w:left="2229" w:hanging="420"/>
      </w:pPr>
      <w:rPr>
        <w:rFonts w:hint="default"/>
        <w:lang w:val="zh-CN" w:eastAsia="zh-CN" w:bidi="zh-CN"/>
      </w:rPr>
    </w:lvl>
    <w:lvl w:ilvl="3" w:tentative="0">
      <w:start w:val="0"/>
      <w:numFmt w:val="bullet"/>
      <w:lvlText w:val="•"/>
      <w:lvlJc w:val="left"/>
      <w:pPr>
        <w:ind w:left="3199" w:hanging="420"/>
      </w:pPr>
      <w:rPr>
        <w:rFonts w:hint="default"/>
        <w:lang w:val="zh-CN" w:eastAsia="zh-CN" w:bidi="zh-CN"/>
      </w:rPr>
    </w:lvl>
    <w:lvl w:ilvl="4" w:tentative="0">
      <w:start w:val="0"/>
      <w:numFmt w:val="bullet"/>
      <w:lvlText w:val="•"/>
      <w:lvlJc w:val="left"/>
      <w:pPr>
        <w:ind w:left="4168" w:hanging="420"/>
      </w:pPr>
      <w:rPr>
        <w:rFonts w:hint="default"/>
        <w:lang w:val="zh-CN" w:eastAsia="zh-CN" w:bidi="zh-CN"/>
      </w:rPr>
    </w:lvl>
    <w:lvl w:ilvl="5" w:tentative="0">
      <w:start w:val="0"/>
      <w:numFmt w:val="bullet"/>
      <w:lvlText w:val="•"/>
      <w:lvlJc w:val="left"/>
      <w:pPr>
        <w:ind w:left="5138" w:hanging="420"/>
      </w:pPr>
      <w:rPr>
        <w:rFonts w:hint="default"/>
        <w:lang w:val="zh-CN" w:eastAsia="zh-CN" w:bidi="zh-CN"/>
      </w:rPr>
    </w:lvl>
    <w:lvl w:ilvl="6" w:tentative="0">
      <w:start w:val="0"/>
      <w:numFmt w:val="bullet"/>
      <w:lvlText w:val="•"/>
      <w:lvlJc w:val="left"/>
      <w:pPr>
        <w:ind w:left="6107" w:hanging="420"/>
      </w:pPr>
      <w:rPr>
        <w:rFonts w:hint="default"/>
        <w:lang w:val="zh-CN" w:eastAsia="zh-CN" w:bidi="zh-CN"/>
      </w:rPr>
    </w:lvl>
    <w:lvl w:ilvl="7" w:tentative="0">
      <w:start w:val="0"/>
      <w:numFmt w:val="bullet"/>
      <w:lvlText w:val="•"/>
      <w:lvlJc w:val="left"/>
      <w:pPr>
        <w:ind w:left="7077" w:hanging="420"/>
      </w:pPr>
      <w:rPr>
        <w:rFonts w:hint="default"/>
        <w:lang w:val="zh-CN" w:eastAsia="zh-CN" w:bidi="zh-CN"/>
      </w:rPr>
    </w:lvl>
    <w:lvl w:ilvl="8" w:tentative="0">
      <w:start w:val="0"/>
      <w:numFmt w:val="bullet"/>
      <w:lvlText w:val="•"/>
      <w:lvlJc w:val="left"/>
      <w:pPr>
        <w:ind w:left="8046" w:hanging="420"/>
      </w:pPr>
      <w:rPr>
        <w:rFonts w:hint="default"/>
        <w:lang w:val="zh-CN" w:eastAsia="zh-CN" w:bidi="zh-CN"/>
      </w:rPr>
    </w:lvl>
  </w:abstractNum>
  <w:abstractNum w:abstractNumId="20">
    <w:nsid w:val="0DBE92DB"/>
    <w:multiLevelType w:val="singleLevel"/>
    <w:tmpl w:val="0DBE92DB"/>
    <w:lvl w:ilvl="0" w:tentative="0">
      <w:start w:val="1"/>
      <w:numFmt w:val="decimal"/>
      <w:suff w:val="nothing"/>
      <w:lvlText w:val="（%1）"/>
      <w:lvlJc w:val="left"/>
      <w:pPr>
        <w:ind w:left="-40"/>
      </w:pPr>
    </w:lvl>
  </w:abstractNum>
  <w:abstractNum w:abstractNumId="21">
    <w:nsid w:val="18777FB2"/>
    <w:multiLevelType w:val="singleLevel"/>
    <w:tmpl w:val="18777FB2"/>
    <w:lvl w:ilvl="0" w:tentative="0">
      <w:start w:val="1"/>
      <w:numFmt w:val="decimal"/>
      <w:suff w:val="space"/>
      <w:lvlText w:val="%1."/>
      <w:lvlJc w:val="left"/>
      <w:pPr>
        <w:ind w:left="425" w:hanging="425"/>
      </w:pPr>
      <w:rPr>
        <w:rFonts w:hint="default"/>
      </w:rPr>
    </w:lvl>
  </w:abstractNum>
  <w:abstractNum w:abstractNumId="22">
    <w:nsid w:val="1A085A5C"/>
    <w:multiLevelType w:val="singleLevel"/>
    <w:tmpl w:val="1A085A5C"/>
    <w:lvl w:ilvl="0" w:tentative="0">
      <w:start w:val="1"/>
      <w:numFmt w:val="decimal"/>
      <w:lvlText w:val="(%1)"/>
      <w:lvlJc w:val="left"/>
      <w:pPr>
        <w:tabs>
          <w:tab w:val="left" w:pos="840"/>
        </w:tabs>
        <w:ind w:left="1265" w:hanging="425"/>
      </w:pPr>
      <w:rPr>
        <w:rFonts w:hint="default"/>
      </w:rPr>
    </w:lvl>
  </w:abstractNum>
  <w:abstractNum w:abstractNumId="23">
    <w:nsid w:val="3E79224D"/>
    <w:multiLevelType w:val="singleLevel"/>
    <w:tmpl w:val="3E79224D"/>
    <w:lvl w:ilvl="0" w:tentative="0">
      <w:start w:val="1"/>
      <w:numFmt w:val="decimal"/>
      <w:suff w:val="space"/>
      <w:lvlText w:val="%1."/>
      <w:lvlJc w:val="left"/>
      <w:pPr>
        <w:ind w:left="425" w:hanging="425"/>
      </w:pPr>
      <w:rPr>
        <w:rFonts w:hint="default"/>
      </w:rPr>
    </w:lvl>
  </w:abstractNum>
  <w:abstractNum w:abstractNumId="24">
    <w:nsid w:val="51286641"/>
    <w:multiLevelType w:val="singleLevel"/>
    <w:tmpl w:val="51286641"/>
    <w:lvl w:ilvl="0" w:tentative="0">
      <w:start w:val="1"/>
      <w:numFmt w:val="decimal"/>
      <w:suff w:val="space"/>
      <w:lvlText w:val="%1."/>
      <w:lvlJc w:val="left"/>
      <w:pPr>
        <w:ind w:left="425" w:hanging="425"/>
      </w:pPr>
      <w:rPr>
        <w:rFonts w:hint="default"/>
      </w:rPr>
    </w:lvl>
  </w:abstractNum>
  <w:abstractNum w:abstractNumId="25">
    <w:nsid w:val="5BB15D87"/>
    <w:multiLevelType w:val="singleLevel"/>
    <w:tmpl w:val="5BB15D87"/>
    <w:lvl w:ilvl="0" w:tentative="0">
      <w:start w:val="1"/>
      <w:numFmt w:val="decimal"/>
      <w:lvlText w:val="(%1)"/>
      <w:lvlJc w:val="left"/>
      <w:pPr>
        <w:tabs>
          <w:tab w:val="left" w:pos="840"/>
        </w:tabs>
        <w:ind w:left="1265" w:hanging="425"/>
      </w:pPr>
      <w:rPr>
        <w:rFonts w:hint="default"/>
      </w:rPr>
    </w:lvl>
  </w:abstractNum>
  <w:abstractNum w:abstractNumId="26">
    <w:nsid w:val="666A3890"/>
    <w:multiLevelType w:val="singleLevel"/>
    <w:tmpl w:val="666A3890"/>
    <w:lvl w:ilvl="0" w:tentative="0">
      <w:start w:val="1"/>
      <w:numFmt w:val="chineseCounting"/>
      <w:suff w:val="nothing"/>
      <w:lvlText w:val="%1、"/>
      <w:lvlJc w:val="left"/>
      <w:pPr>
        <w:ind w:left="-420" w:firstLine="420"/>
      </w:pPr>
      <w:rPr>
        <w:rFonts w:hint="eastAsia"/>
      </w:rPr>
    </w:lvl>
  </w:abstractNum>
  <w:abstractNum w:abstractNumId="27">
    <w:nsid w:val="75B95237"/>
    <w:multiLevelType w:val="singleLevel"/>
    <w:tmpl w:val="75B95237"/>
    <w:lvl w:ilvl="0" w:tentative="0">
      <w:start w:val="2"/>
      <w:numFmt w:val="chineseCounting"/>
      <w:suff w:val="space"/>
      <w:lvlText w:val="第%1章"/>
      <w:lvlJc w:val="left"/>
      <w:rPr>
        <w:rFonts w:hint="eastAsia"/>
      </w:rPr>
    </w:lvl>
  </w:abstractNum>
  <w:abstractNum w:abstractNumId="28">
    <w:nsid w:val="7702F303"/>
    <w:multiLevelType w:val="singleLevel"/>
    <w:tmpl w:val="7702F303"/>
    <w:lvl w:ilvl="0" w:tentative="0">
      <w:start w:val="1"/>
      <w:numFmt w:val="chineseCounting"/>
      <w:suff w:val="nothing"/>
      <w:lvlText w:val="%1、"/>
      <w:lvlJc w:val="left"/>
      <w:pPr>
        <w:ind w:left="-420" w:firstLine="420"/>
      </w:pPr>
      <w:rPr>
        <w:rFonts w:hint="eastAsia"/>
      </w:rPr>
    </w:lvl>
  </w:abstractNum>
  <w:num w:numId="1">
    <w:abstractNumId w:val="8"/>
  </w:num>
  <w:num w:numId="2">
    <w:abstractNumId w:val="27"/>
  </w:num>
  <w:num w:numId="3">
    <w:abstractNumId w:val="28"/>
  </w:num>
  <w:num w:numId="4">
    <w:abstractNumId w:val="3"/>
  </w:num>
  <w:num w:numId="5">
    <w:abstractNumId w:val="22"/>
  </w:num>
  <w:num w:numId="6">
    <w:abstractNumId w:val="2"/>
  </w:num>
  <w:num w:numId="7">
    <w:abstractNumId w:val="21"/>
  </w:num>
  <w:num w:numId="8">
    <w:abstractNumId w:val="7"/>
  </w:num>
  <w:num w:numId="9">
    <w:abstractNumId w:val="0"/>
  </w:num>
  <w:num w:numId="10">
    <w:abstractNumId w:val="4"/>
  </w:num>
  <w:num w:numId="11">
    <w:abstractNumId w:val="1"/>
  </w:num>
  <w:num w:numId="12">
    <w:abstractNumId w:val="5"/>
  </w:num>
  <w:num w:numId="13">
    <w:abstractNumId w:val="6"/>
  </w:num>
  <w:num w:numId="14">
    <w:abstractNumId w:val="23"/>
  </w:num>
  <w:num w:numId="15">
    <w:abstractNumId w:val="24"/>
  </w:num>
  <w:num w:numId="16">
    <w:abstractNumId w:val="19"/>
  </w:num>
  <w:num w:numId="17">
    <w:abstractNumId w:val="13"/>
  </w:num>
  <w:num w:numId="18">
    <w:abstractNumId w:val="16"/>
  </w:num>
  <w:num w:numId="19">
    <w:abstractNumId w:val="18"/>
  </w:num>
  <w:num w:numId="20">
    <w:abstractNumId w:val="10"/>
  </w:num>
  <w:num w:numId="21">
    <w:abstractNumId w:val="14"/>
  </w:num>
  <w:num w:numId="22">
    <w:abstractNumId w:val="15"/>
  </w:num>
  <w:num w:numId="23">
    <w:abstractNumId w:val="12"/>
  </w:num>
  <w:num w:numId="24">
    <w:abstractNumId w:val="11"/>
  </w:num>
  <w:num w:numId="25">
    <w:abstractNumId w:val="9"/>
  </w:num>
  <w:num w:numId="26">
    <w:abstractNumId w:val="26"/>
  </w:num>
  <w:num w:numId="27">
    <w:abstractNumId w:val="25"/>
  </w:num>
  <w:num w:numId="28">
    <w:abstractNumId w:val="2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iNzY3YmYyOGE3ZDYzYzcxYTYyZjEzYTM5MjJmOTgifQ=="/>
  </w:docVars>
  <w:rsids>
    <w:rsidRoot w:val="00BA6747"/>
    <w:rsid w:val="0004516F"/>
    <w:rsid w:val="00046F13"/>
    <w:rsid w:val="0005760F"/>
    <w:rsid w:val="000E16CB"/>
    <w:rsid w:val="002116A7"/>
    <w:rsid w:val="002317C1"/>
    <w:rsid w:val="002E707D"/>
    <w:rsid w:val="003A65C1"/>
    <w:rsid w:val="00484242"/>
    <w:rsid w:val="004B3AF3"/>
    <w:rsid w:val="00516B61"/>
    <w:rsid w:val="00536AFE"/>
    <w:rsid w:val="00536F02"/>
    <w:rsid w:val="0057206E"/>
    <w:rsid w:val="0059154E"/>
    <w:rsid w:val="005D2D5E"/>
    <w:rsid w:val="006541D9"/>
    <w:rsid w:val="00674A59"/>
    <w:rsid w:val="00720C62"/>
    <w:rsid w:val="00724B35"/>
    <w:rsid w:val="0077037D"/>
    <w:rsid w:val="00771942"/>
    <w:rsid w:val="00803C0E"/>
    <w:rsid w:val="00897861"/>
    <w:rsid w:val="009B7A97"/>
    <w:rsid w:val="009D6216"/>
    <w:rsid w:val="00A35D89"/>
    <w:rsid w:val="00AB655C"/>
    <w:rsid w:val="00AC5745"/>
    <w:rsid w:val="00AF3A25"/>
    <w:rsid w:val="00B67F30"/>
    <w:rsid w:val="00BA6747"/>
    <w:rsid w:val="00BC545F"/>
    <w:rsid w:val="00BC5DB2"/>
    <w:rsid w:val="00C33C3A"/>
    <w:rsid w:val="00C6733C"/>
    <w:rsid w:val="00D17A9C"/>
    <w:rsid w:val="00D23522"/>
    <w:rsid w:val="00DF79E7"/>
    <w:rsid w:val="00E30EDA"/>
    <w:rsid w:val="00F16A50"/>
    <w:rsid w:val="00F432CF"/>
    <w:rsid w:val="00FE5D49"/>
    <w:rsid w:val="01AA7612"/>
    <w:rsid w:val="01D176A4"/>
    <w:rsid w:val="01DB6104"/>
    <w:rsid w:val="02474639"/>
    <w:rsid w:val="030B4F81"/>
    <w:rsid w:val="032614D2"/>
    <w:rsid w:val="0337535E"/>
    <w:rsid w:val="03440783"/>
    <w:rsid w:val="0361499A"/>
    <w:rsid w:val="03DF0F57"/>
    <w:rsid w:val="0430761F"/>
    <w:rsid w:val="0458009E"/>
    <w:rsid w:val="049D0C44"/>
    <w:rsid w:val="04B51FBB"/>
    <w:rsid w:val="04ED6A6C"/>
    <w:rsid w:val="051E1795"/>
    <w:rsid w:val="05745839"/>
    <w:rsid w:val="0579183C"/>
    <w:rsid w:val="05FD5D7E"/>
    <w:rsid w:val="06075B5F"/>
    <w:rsid w:val="064A337A"/>
    <w:rsid w:val="0671333D"/>
    <w:rsid w:val="06E70CFB"/>
    <w:rsid w:val="073C13A7"/>
    <w:rsid w:val="08020AB2"/>
    <w:rsid w:val="08240CC4"/>
    <w:rsid w:val="088B09A3"/>
    <w:rsid w:val="08CE1E55"/>
    <w:rsid w:val="09311C77"/>
    <w:rsid w:val="094C7053"/>
    <w:rsid w:val="097D4ECF"/>
    <w:rsid w:val="09977A6D"/>
    <w:rsid w:val="0A801619"/>
    <w:rsid w:val="0B9003E7"/>
    <w:rsid w:val="0C0D6041"/>
    <w:rsid w:val="0C8A677F"/>
    <w:rsid w:val="0E294B7A"/>
    <w:rsid w:val="0E5D6C2D"/>
    <w:rsid w:val="0F346728"/>
    <w:rsid w:val="0FE5761F"/>
    <w:rsid w:val="10307DD4"/>
    <w:rsid w:val="118A1673"/>
    <w:rsid w:val="11B36C9A"/>
    <w:rsid w:val="11DD6E63"/>
    <w:rsid w:val="1241185D"/>
    <w:rsid w:val="125E2109"/>
    <w:rsid w:val="12AA58F4"/>
    <w:rsid w:val="13003923"/>
    <w:rsid w:val="133E0622"/>
    <w:rsid w:val="1376784D"/>
    <w:rsid w:val="14882317"/>
    <w:rsid w:val="14EB6D47"/>
    <w:rsid w:val="160F5B7D"/>
    <w:rsid w:val="16352C0C"/>
    <w:rsid w:val="16A12AF5"/>
    <w:rsid w:val="16EF2972"/>
    <w:rsid w:val="1767603B"/>
    <w:rsid w:val="1791278E"/>
    <w:rsid w:val="17EE4066"/>
    <w:rsid w:val="18A264E4"/>
    <w:rsid w:val="1949521E"/>
    <w:rsid w:val="19527EBF"/>
    <w:rsid w:val="195A64F3"/>
    <w:rsid w:val="19903FE7"/>
    <w:rsid w:val="1AC17F49"/>
    <w:rsid w:val="1B7F3A17"/>
    <w:rsid w:val="1BF91BAF"/>
    <w:rsid w:val="1CA06924"/>
    <w:rsid w:val="1CA52874"/>
    <w:rsid w:val="1CB85A4E"/>
    <w:rsid w:val="1D1A7054"/>
    <w:rsid w:val="1D5A25C5"/>
    <w:rsid w:val="1E21181D"/>
    <w:rsid w:val="1E2A7FB9"/>
    <w:rsid w:val="1E72416F"/>
    <w:rsid w:val="1F23787D"/>
    <w:rsid w:val="1F655D63"/>
    <w:rsid w:val="200F23AC"/>
    <w:rsid w:val="20157DF8"/>
    <w:rsid w:val="20A33321"/>
    <w:rsid w:val="2104709D"/>
    <w:rsid w:val="210617F6"/>
    <w:rsid w:val="21851C46"/>
    <w:rsid w:val="21D71985"/>
    <w:rsid w:val="224E4A91"/>
    <w:rsid w:val="226F5DF1"/>
    <w:rsid w:val="227A12BA"/>
    <w:rsid w:val="22FD466A"/>
    <w:rsid w:val="23CD34A4"/>
    <w:rsid w:val="240B27CE"/>
    <w:rsid w:val="24DB0068"/>
    <w:rsid w:val="25BA5ED0"/>
    <w:rsid w:val="25D5023A"/>
    <w:rsid w:val="26F35E32"/>
    <w:rsid w:val="27710C8E"/>
    <w:rsid w:val="294B2C1A"/>
    <w:rsid w:val="29B43F0D"/>
    <w:rsid w:val="2C2E3333"/>
    <w:rsid w:val="2CAA06CD"/>
    <w:rsid w:val="2CBD4358"/>
    <w:rsid w:val="2CC87C7D"/>
    <w:rsid w:val="2CE3262B"/>
    <w:rsid w:val="2DDB0E3F"/>
    <w:rsid w:val="2DF55F57"/>
    <w:rsid w:val="2DF9543D"/>
    <w:rsid w:val="2E1A349E"/>
    <w:rsid w:val="2E54513A"/>
    <w:rsid w:val="2EDC61A4"/>
    <w:rsid w:val="2F2C0968"/>
    <w:rsid w:val="2FAD40F2"/>
    <w:rsid w:val="2FEB4571"/>
    <w:rsid w:val="30450A8C"/>
    <w:rsid w:val="30461C42"/>
    <w:rsid w:val="307759D9"/>
    <w:rsid w:val="307D0230"/>
    <w:rsid w:val="30967782"/>
    <w:rsid w:val="30DE315E"/>
    <w:rsid w:val="310A7F7D"/>
    <w:rsid w:val="316E291C"/>
    <w:rsid w:val="31C50E7D"/>
    <w:rsid w:val="32614FC2"/>
    <w:rsid w:val="330257DF"/>
    <w:rsid w:val="33503102"/>
    <w:rsid w:val="343C0D4B"/>
    <w:rsid w:val="34E61742"/>
    <w:rsid w:val="351041A1"/>
    <w:rsid w:val="3535337A"/>
    <w:rsid w:val="356B3A25"/>
    <w:rsid w:val="35AE0325"/>
    <w:rsid w:val="360A2225"/>
    <w:rsid w:val="36B96E85"/>
    <w:rsid w:val="37AF4E5A"/>
    <w:rsid w:val="38392A2C"/>
    <w:rsid w:val="38521F98"/>
    <w:rsid w:val="398166EC"/>
    <w:rsid w:val="3A471C0B"/>
    <w:rsid w:val="3A694FCB"/>
    <w:rsid w:val="3AD46C94"/>
    <w:rsid w:val="3AEE5DFF"/>
    <w:rsid w:val="3B876324"/>
    <w:rsid w:val="3C063FD4"/>
    <w:rsid w:val="3C1E5CD6"/>
    <w:rsid w:val="3C2444EF"/>
    <w:rsid w:val="3C8A7E96"/>
    <w:rsid w:val="3C9402F7"/>
    <w:rsid w:val="3CA54836"/>
    <w:rsid w:val="3D15556A"/>
    <w:rsid w:val="3DF261AC"/>
    <w:rsid w:val="3E176344"/>
    <w:rsid w:val="3E6E6CED"/>
    <w:rsid w:val="3F3372F2"/>
    <w:rsid w:val="3F6F22AD"/>
    <w:rsid w:val="3FA05CDE"/>
    <w:rsid w:val="4019254A"/>
    <w:rsid w:val="40807F93"/>
    <w:rsid w:val="40A023DA"/>
    <w:rsid w:val="41152D53"/>
    <w:rsid w:val="4161271C"/>
    <w:rsid w:val="42975177"/>
    <w:rsid w:val="42BD7B6B"/>
    <w:rsid w:val="432C4D44"/>
    <w:rsid w:val="44704D6B"/>
    <w:rsid w:val="449A4C12"/>
    <w:rsid w:val="44C0257F"/>
    <w:rsid w:val="44C86D8A"/>
    <w:rsid w:val="44DB5BA6"/>
    <w:rsid w:val="45366A2E"/>
    <w:rsid w:val="457E5DCB"/>
    <w:rsid w:val="458B4AB8"/>
    <w:rsid w:val="45CC17E9"/>
    <w:rsid w:val="465676AA"/>
    <w:rsid w:val="46D819DD"/>
    <w:rsid w:val="470767F8"/>
    <w:rsid w:val="478E3422"/>
    <w:rsid w:val="47CC468A"/>
    <w:rsid w:val="484104BC"/>
    <w:rsid w:val="484D6C28"/>
    <w:rsid w:val="496E316C"/>
    <w:rsid w:val="49A47659"/>
    <w:rsid w:val="49F270DC"/>
    <w:rsid w:val="4A8A5EBE"/>
    <w:rsid w:val="4B0E1653"/>
    <w:rsid w:val="4B2B6CD9"/>
    <w:rsid w:val="4CB50B8F"/>
    <w:rsid w:val="4D065C3D"/>
    <w:rsid w:val="4D2949C3"/>
    <w:rsid w:val="4DC15F37"/>
    <w:rsid w:val="4DE57D8E"/>
    <w:rsid w:val="4E5429F5"/>
    <w:rsid w:val="4E63263E"/>
    <w:rsid w:val="4E8E5645"/>
    <w:rsid w:val="4FAB09D2"/>
    <w:rsid w:val="4FCA73EA"/>
    <w:rsid w:val="4FE707F9"/>
    <w:rsid w:val="4FE92264"/>
    <w:rsid w:val="501E2A33"/>
    <w:rsid w:val="5086744F"/>
    <w:rsid w:val="50E63145"/>
    <w:rsid w:val="51170F56"/>
    <w:rsid w:val="516F3003"/>
    <w:rsid w:val="51EB32C9"/>
    <w:rsid w:val="52C66DD5"/>
    <w:rsid w:val="532375BC"/>
    <w:rsid w:val="53386CE2"/>
    <w:rsid w:val="534A69D1"/>
    <w:rsid w:val="534C28F3"/>
    <w:rsid w:val="5448416B"/>
    <w:rsid w:val="549C2350"/>
    <w:rsid w:val="54A1392A"/>
    <w:rsid w:val="553E431A"/>
    <w:rsid w:val="5562128B"/>
    <w:rsid w:val="559E6C20"/>
    <w:rsid w:val="55E94969"/>
    <w:rsid w:val="567606FA"/>
    <w:rsid w:val="5699025C"/>
    <w:rsid w:val="56BC2E08"/>
    <w:rsid w:val="57823023"/>
    <w:rsid w:val="584E5E80"/>
    <w:rsid w:val="58610A8E"/>
    <w:rsid w:val="58BB69B3"/>
    <w:rsid w:val="58C52E4E"/>
    <w:rsid w:val="58FB2A28"/>
    <w:rsid w:val="59391753"/>
    <w:rsid w:val="599D542B"/>
    <w:rsid w:val="5A342C0A"/>
    <w:rsid w:val="5AE866A7"/>
    <w:rsid w:val="5B1749B1"/>
    <w:rsid w:val="5C013B92"/>
    <w:rsid w:val="5C7E799F"/>
    <w:rsid w:val="5CC80639"/>
    <w:rsid w:val="5DAF1948"/>
    <w:rsid w:val="5E3555AE"/>
    <w:rsid w:val="5ECC4EDB"/>
    <w:rsid w:val="5F146EA6"/>
    <w:rsid w:val="5F1C60BD"/>
    <w:rsid w:val="5F804F9D"/>
    <w:rsid w:val="60483B4B"/>
    <w:rsid w:val="606F2632"/>
    <w:rsid w:val="608C5797"/>
    <w:rsid w:val="60B723C8"/>
    <w:rsid w:val="60CA4511"/>
    <w:rsid w:val="6158751A"/>
    <w:rsid w:val="61C8101A"/>
    <w:rsid w:val="622A5268"/>
    <w:rsid w:val="63E12EF8"/>
    <w:rsid w:val="640E7399"/>
    <w:rsid w:val="641116C4"/>
    <w:rsid w:val="641B18AB"/>
    <w:rsid w:val="644F7208"/>
    <w:rsid w:val="64B77A16"/>
    <w:rsid w:val="651E2BD4"/>
    <w:rsid w:val="653630DB"/>
    <w:rsid w:val="65783E0D"/>
    <w:rsid w:val="65805465"/>
    <w:rsid w:val="65A534ED"/>
    <w:rsid w:val="664C4851"/>
    <w:rsid w:val="66B27E1E"/>
    <w:rsid w:val="66D7461C"/>
    <w:rsid w:val="66F752DC"/>
    <w:rsid w:val="67680269"/>
    <w:rsid w:val="681B70E4"/>
    <w:rsid w:val="682F5379"/>
    <w:rsid w:val="68471A84"/>
    <w:rsid w:val="68BC085D"/>
    <w:rsid w:val="68DA23B0"/>
    <w:rsid w:val="69185D7B"/>
    <w:rsid w:val="693460C6"/>
    <w:rsid w:val="6A01345C"/>
    <w:rsid w:val="6AFD2E87"/>
    <w:rsid w:val="6C185636"/>
    <w:rsid w:val="6C55678A"/>
    <w:rsid w:val="6CB560E6"/>
    <w:rsid w:val="6E3636D3"/>
    <w:rsid w:val="6EA700E7"/>
    <w:rsid w:val="6ECE1D12"/>
    <w:rsid w:val="6EFF43B6"/>
    <w:rsid w:val="6F484E78"/>
    <w:rsid w:val="6F7018AD"/>
    <w:rsid w:val="7039545F"/>
    <w:rsid w:val="70EB4CB4"/>
    <w:rsid w:val="729B5A09"/>
    <w:rsid w:val="72C30814"/>
    <w:rsid w:val="7331419C"/>
    <w:rsid w:val="73A44DF2"/>
    <w:rsid w:val="73A937F2"/>
    <w:rsid w:val="73CF3479"/>
    <w:rsid w:val="73D81492"/>
    <w:rsid w:val="73ED1013"/>
    <w:rsid w:val="7437615F"/>
    <w:rsid w:val="75476D98"/>
    <w:rsid w:val="763C290A"/>
    <w:rsid w:val="76A1529D"/>
    <w:rsid w:val="776B03F9"/>
    <w:rsid w:val="77730E23"/>
    <w:rsid w:val="779240D1"/>
    <w:rsid w:val="7859644F"/>
    <w:rsid w:val="78BF4796"/>
    <w:rsid w:val="78F47F26"/>
    <w:rsid w:val="798E5845"/>
    <w:rsid w:val="79ED50A1"/>
    <w:rsid w:val="79F60624"/>
    <w:rsid w:val="7A007B29"/>
    <w:rsid w:val="7A114E18"/>
    <w:rsid w:val="7A8108D5"/>
    <w:rsid w:val="7AC566EE"/>
    <w:rsid w:val="7AD44AF7"/>
    <w:rsid w:val="7C0F1F77"/>
    <w:rsid w:val="7C5760DF"/>
    <w:rsid w:val="7D0106ED"/>
    <w:rsid w:val="7D221505"/>
    <w:rsid w:val="7D733FD3"/>
    <w:rsid w:val="7D8C35CF"/>
    <w:rsid w:val="7DA36176"/>
    <w:rsid w:val="7DEB644D"/>
    <w:rsid w:val="7E65520E"/>
    <w:rsid w:val="7F9E5B44"/>
    <w:rsid w:val="E7ECA33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ind w:left="540"/>
      <w:outlineLvl w:val="0"/>
    </w:pPr>
    <w:rPr>
      <w:b/>
      <w:bCs/>
      <w:sz w:val="32"/>
      <w:szCs w:val="32"/>
    </w:rPr>
  </w:style>
  <w:style w:type="paragraph" w:styleId="3">
    <w:name w:val="heading 2"/>
    <w:basedOn w:val="1"/>
    <w:next w:val="1"/>
    <w:qFormat/>
    <w:uiPriority w:val="1"/>
    <w:pPr>
      <w:spacing w:before="58"/>
      <w:ind w:left="561"/>
      <w:jc w:val="center"/>
      <w:outlineLvl w:val="1"/>
    </w:pPr>
    <w:rPr>
      <w:b/>
      <w:bCs/>
      <w:sz w:val="30"/>
      <w:szCs w:val="30"/>
    </w:rPr>
  </w:style>
  <w:style w:type="paragraph" w:styleId="4">
    <w:name w:val="heading 3"/>
    <w:basedOn w:val="1"/>
    <w:next w:val="5"/>
    <w:qFormat/>
    <w:uiPriority w:val="1"/>
    <w:pPr>
      <w:spacing w:before="62"/>
      <w:ind w:left="561" w:right="441"/>
      <w:jc w:val="center"/>
      <w:outlineLvl w:val="2"/>
    </w:pPr>
    <w:rPr>
      <w:b/>
      <w:bCs/>
      <w:sz w:val="28"/>
      <w:szCs w:val="28"/>
    </w:rPr>
  </w:style>
  <w:style w:type="paragraph" w:styleId="6">
    <w:name w:val="heading 4"/>
    <w:basedOn w:val="1"/>
    <w:next w:val="1"/>
    <w:qFormat/>
    <w:uiPriority w:val="1"/>
    <w:pPr>
      <w:ind w:left="540"/>
      <w:outlineLvl w:val="3"/>
    </w:pPr>
    <w:rPr>
      <w:sz w:val="28"/>
      <w:szCs w:val="28"/>
    </w:rPr>
  </w:style>
  <w:style w:type="paragraph" w:styleId="7">
    <w:name w:val="heading 5"/>
    <w:basedOn w:val="1"/>
    <w:next w:val="1"/>
    <w:autoRedefine/>
    <w:qFormat/>
    <w:uiPriority w:val="1"/>
    <w:pPr>
      <w:ind w:left="540"/>
      <w:outlineLvl w:val="4"/>
    </w:pPr>
    <w:rPr>
      <w:b/>
      <w:bCs/>
      <w:sz w:val="24"/>
      <w:szCs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8">
    <w:name w:val="List Number"/>
    <w:basedOn w:val="1"/>
    <w:semiHidden/>
    <w:unhideWhenUsed/>
    <w:qFormat/>
    <w:uiPriority w:val="99"/>
    <w:pPr>
      <w:numPr>
        <w:ilvl w:val="0"/>
        <w:numId w:val="1"/>
      </w:numPr>
    </w:pPr>
  </w:style>
  <w:style w:type="paragraph" w:styleId="9">
    <w:name w:val="annotation text"/>
    <w:basedOn w:val="1"/>
    <w:link w:val="50"/>
    <w:qFormat/>
    <w:uiPriority w:val="0"/>
  </w:style>
  <w:style w:type="paragraph" w:styleId="10">
    <w:name w:val="Body Text 3"/>
    <w:basedOn w:val="1"/>
    <w:qFormat/>
    <w:uiPriority w:val="0"/>
    <w:pPr>
      <w:widowControl/>
      <w:spacing w:line="360" w:lineRule="auto"/>
    </w:pPr>
    <w:rPr>
      <w:rFonts w:ascii="仿宋_GB2312" w:hAnsi="Calibri" w:eastAsia="仿宋_GB2312"/>
      <w:sz w:val="24"/>
      <w:szCs w:val="20"/>
    </w:rPr>
  </w:style>
  <w:style w:type="paragraph" w:styleId="11">
    <w:name w:val="Body Text"/>
    <w:basedOn w:val="1"/>
    <w:next w:val="12"/>
    <w:qFormat/>
    <w:uiPriority w:val="1"/>
    <w:rPr>
      <w:sz w:val="24"/>
      <w:szCs w:val="24"/>
    </w:rPr>
  </w:style>
  <w:style w:type="paragraph" w:styleId="12">
    <w:name w:val="Body Text First Indent"/>
    <w:basedOn w:val="11"/>
    <w:next w:val="1"/>
    <w:autoRedefine/>
    <w:qFormat/>
    <w:uiPriority w:val="99"/>
    <w:pPr>
      <w:tabs>
        <w:tab w:val="left" w:pos="208"/>
      </w:tabs>
      <w:spacing w:after="120"/>
      <w:ind w:firstLine="420"/>
    </w:pPr>
  </w:style>
  <w:style w:type="paragraph" w:styleId="13">
    <w:name w:val="Body Text Indent"/>
    <w:basedOn w:val="1"/>
    <w:qFormat/>
    <w:uiPriority w:val="99"/>
    <w:pPr>
      <w:ind w:firstLine="540"/>
    </w:pPr>
    <w:rPr>
      <w:sz w:val="28"/>
      <w:szCs w:val="20"/>
    </w:rPr>
  </w:style>
  <w:style w:type="paragraph" w:styleId="14">
    <w:name w:val="toc 3"/>
    <w:basedOn w:val="1"/>
    <w:next w:val="1"/>
    <w:qFormat/>
    <w:uiPriority w:val="39"/>
    <w:pPr>
      <w:ind w:left="840" w:leftChars="400"/>
    </w:pPr>
  </w:style>
  <w:style w:type="paragraph" w:styleId="15">
    <w:name w:val="Plain Text"/>
    <w:basedOn w:val="1"/>
    <w:qFormat/>
    <w:uiPriority w:val="0"/>
    <w:pPr>
      <w:spacing w:beforeLines="50" w:afterLines="50" w:line="400" w:lineRule="exact"/>
    </w:pPr>
    <w:rPr>
      <w:rFonts w:ascii="宋体" w:hAnsi="Courier New"/>
      <w:sz w:val="24"/>
    </w:rPr>
  </w:style>
  <w:style w:type="paragraph" w:styleId="16">
    <w:name w:val="Date"/>
    <w:basedOn w:val="1"/>
    <w:next w:val="1"/>
    <w:qFormat/>
    <w:uiPriority w:val="99"/>
    <w:pPr>
      <w:ind w:left="100" w:leftChars="2500"/>
    </w:pPr>
    <w:rPr>
      <w:rFonts w:ascii="宋体" w:hAnsi="宋体"/>
      <w:sz w:val="24"/>
    </w:rPr>
  </w:style>
  <w:style w:type="paragraph" w:styleId="17">
    <w:name w:val="Body Text Indent 2"/>
    <w:basedOn w:val="1"/>
    <w:autoRedefine/>
    <w:qFormat/>
    <w:uiPriority w:val="0"/>
    <w:pPr>
      <w:snapToGrid w:val="0"/>
      <w:spacing w:line="400" w:lineRule="exact"/>
      <w:ind w:firstLine="480"/>
    </w:pPr>
    <w:rPr>
      <w:rFonts w:eastAsia="仿宋_GB2312"/>
      <w:sz w:val="24"/>
    </w:rPr>
  </w:style>
  <w:style w:type="paragraph" w:styleId="18">
    <w:name w:val="Balloon Text"/>
    <w:basedOn w:val="1"/>
    <w:link w:val="49"/>
    <w:autoRedefine/>
    <w:qFormat/>
    <w:uiPriority w:val="0"/>
    <w:rPr>
      <w:sz w:val="18"/>
      <w:szCs w:val="18"/>
    </w:rPr>
  </w:style>
  <w:style w:type="paragraph" w:styleId="19">
    <w:name w:val="footer"/>
    <w:basedOn w:val="1"/>
    <w:autoRedefine/>
    <w:qFormat/>
    <w:uiPriority w:val="0"/>
    <w:pPr>
      <w:tabs>
        <w:tab w:val="center" w:pos="4153"/>
        <w:tab w:val="right" w:pos="8306"/>
      </w:tabs>
      <w:snapToGrid w:val="0"/>
    </w:pPr>
    <w:rPr>
      <w:sz w:val="18"/>
    </w:rPr>
  </w:style>
  <w:style w:type="paragraph" w:styleId="20">
    <w:name w:val="envelope return"/>
    <w:basedOn w:val="1"/>
    <w:qFormat/>
    <w:uiPriority w:val="0"/>
    <w:pPr>
      <w:widowControl/>
      <w:adjustRightInd w:val="0"/>
      <w:snapToGrid w:val="0"/>
      <w:spacing w:after="200"/>
    </w:pPr>
    <w:rPr>
      <w:rFonts w:ascii="Arial" w:hAnsi="Arial" w:eastAsia="微软雅黑"/>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2">
    <w:name w:val="toc 1"/>
    <w:basedOn w:val="1"/>
    <w:next w:val="1"/>
    <w:autoRedefine/>
    <w:qFormat/>
    <w:uiPriority w:val="39"/>
    <w:pPr>
      <w:tabs>
        <w:tab w:val="right" w:leader="dot" w:pos="9076"/>
      </w:tabs>
      <w:spacing w:before="4"/>
    </w:pPr>
    <w:rPr>
      <w:b/>
      <w:bCs/>
      <w:sz w:val="24"/>
      <w:szCs w:val="24"/>
      <w:lang w:val="en-US"/>
    </w:rPr>
  </w:style>
  <w:style w:type="paragraph" w:styleId="23">
    <w:name w:val="toc 4"/>
    <w:basedOn w:val="1"/>
    <w:next w:val="1"/>
    <w:qFormat/>
    <w:uiPriority w:val="0"/>
    <w:pPr>
      <w:ind w:left="1260" w:leftChars="600"/>
    </w:pPr>
    <w:rPr>
      <w:rFonts w:ascii="Calibri" w:hAnsi="Calibri" w:eastAsia="宋体" w:cs="Times New Roman"/>
      <w:szCs w:val="22"/>
    </w:rPr>
  </w:style>
  <w:style w:type="paragraph" w:styleId="24">
    <w:name w:val="List"/>
    <w:basedOn w:val="1"/>
    <w:qFormat/>
    <w:uiPriority w:val="0"/>
    <w:pPr>
      <w:ind w:left="200" w:hanging="200" w:hangingChars="200"/>
      <w:contextualSpacing/>
    </w:pPr>
  </w:style>
  <w:style w:type="paragraph" w:styleId="25">
    <w:name w:val="toc 6"/>
    <w:basedOn w:val="1"/>
    <w:next w:val="1"/>
    <w:qFormat/>
    <w:uiPriority w:val="39"/>
    <w:pPr>
      <w:ind w:left="1050"/>
    </w:pPr>
    <w:rPr>
      <w:rFonts w:ascii="Calibri" w:hAnsi="Calibri"/>
      <w:sz w:val="18"/>
      <w:szCs w:val="18"/>
    </w:rPr>
  </w:style>
  <w:style w:type="paragraph" w:styleId="26">
    <w:name w:val="toc 2"/>
    <w:basedOn w:val="1"/>
    <w:next w:val="1"/>
    <w:autoRedefine/>
    <w:qFormat/>
    <w:uiPriority w:val="39"/>
    <w:pPr>
      <w:tabs>
        <w:tab w:val="right" w:leader="dot" w:pos="9076"/>
      </w:tabs>
      <w:spacing w:before="4"/>
      <w:ind w:firstLine="480" w:firstLineChars="200"/>
    </w:pPr>
    <w:rPr>
      <w:bCs/>
      <w:sz w:val="24"/>
      <w:szCs w:val="24"/>
    </w:rPr>
  </w:style>
  <w:style w:type="paragraph" w:styleId="27">
    <w:name w:val="Body Text 2"/>
    <w:basedOn w:val="1"/>
    <w:qFormat/>
    <w:uiPriority w:val="0"/>
    <w:pPr>
      <w:spacing w:line="560" w:lineRule="exact"/>
    </w:pPr>
    <w:rPr>
      <w:rFonts w:ascii="仿宋_GB2312" w:hAnsi="Times New Roman" w:eastAsia="仿宋_GB2312" w:cs="Times New Roman"/>
      <w:sz w:val="24"/>
    </w:rPr>
  </w:style>
  <w:style w:type="paragraph" w:styleId="28">
    <w:name w:val="Normal (Web)"/>
    <w:basedOn w:val="1"/>
    <w:qFormat/>
    <w:uiPriority w:val="99"/>
    <w:pPr>
      <w:widowControl/>
    </w:pPr>
    <w:rPr>
      <w:rFonts w:ascii="宋体"/>
      <w:sz w:val="24"/>
      <w:szCs w:val="20"/>
    </w:rPr>
  </w:style>
  <w:style w:type="paragraph" w:styleId="29">
    <w:name w:val="Title"/>
    <w:basedOn w:val="1"/>
    <w:next w:val="1"/>
    <w:autoRedefine/>
    <w:qFormat/>
    <w:uiPriority w:val="0"/>
    <w:pPr>
      <w:widowControl/>
      <w:overflowPunct w:val="0"/>
      <w:adjustRightInd w:val="0"/>
      <w:jc w:val="center"/>
      <w:textAlignment w:val="baseline"/>
    </w:pPr>
    <w:rPr>
      <w:b/>
      <w:sz w:val="24"/>
      <w:lang w:val="en-GB" w:eastAsia="en-GB"/>
    </w:rPr>
  </w:style>
  <w:style w:type="paragraph" w:styleId="30">
    <w:name w:val="annotation subject"/>
    <w:basedOn w:val="9"/>
    <w:next w:val="9"/>
    <w:link w:val="51"/>
    <w:qFormat/>
    <w:uiPriority w:val="0"/>
    <w:rPr>
      <w:b/>
      <w:bCs/>
    </w:rPr>
  </w:style>
  <w:style w:type="paragraph" w:styleId="31">
    <w:name w:val="Body Text First Indent 2"/>
    <w:basedOn w:val="13"/>
    <w:autoRedefine/>
    <w:qFormat/>
    <w:uiPriority w:val="99"/>
    <w:pPr>
      <w:ind w:firstLine="420" w:firstLineChars="200"/>
    </w:p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rPr>
  </w:style>
  <w:style w:type="character" w:styleId="36">
    <w:name w:val="Hyperlink"/>
    <w:basedOn w:val="34"/>
    <w:autoRedefine/>
    <w:qFormat/>
    <w:uiPriority w:val="99"/>
    <w:rPr>
      <w:color w:val="0000FF"/>
      <w:u w:val="single"/>
    </w:rPr>
  </w:style>
  <w:style w:type="character" w:styleId="37">
    <w:name w:val="annotation reference"/>
    <w:basedOn w:val="34"/>
    <w:autoRedefine/>
    <w:qFormat/>
    <w:uiPriority w:val="0"/>
    <w:rPr>
      <w:sz w:val="21"/>
      <w:szCs w:val="21"/>
    </w:rPr>
  </w:style>
  <w:style w:type="character" w:styleId="38">
    <w:name w:val="HTML Sample"/>
    <w:basedOn w:val="34"/>
    <w:semiHidden/>
    <w:unhideWhenUsed/>
    <w:qFormat/>
    <w:uiPriority w:val="99"/>
    <w:rPr>
      <w:rFonts w:ascii="Courier New" w:hAnsi="Courier New"/>
    </w:rPr>
  </w:style>
  <w:style w:type="paragraph" w:customStyle="1" w:styleId="39">
    <w:name w:val="Body Text First Indent 21"/>
    <w:basedOn w:val="1"/>
    <w:qFormat/>
    <w:uiPriority w:val="0"/>
    <w:pPr>
      <w:adjustRightInd w:val="0"/>
      <w:spacing w:after="120"/>
      <w:ind w:left="200" w:leftChars="200" w:firstLine="420"/>
    </w:pPr>
    <w:rPr>
      <w:rFonts w:ascii="宋体" w:cs="宋体"/>
      <w:sz w:val="24"/>
      <w:szCs w:val="21"/>
    </w:rPr>
  </w:style>
  <w:style w:type="paragraph" w:customStyle="1" w:styleId="40">
    <w:name w:val="_Style 1"/>
    <w:basedOn w:val="1"/>
    <w:qFormat/>
    <w:uiPriority w:val="0"/>
    <w:pPr>
      <w:ind w:firstLine="420" w:firstLineChars="200"/>
    </w:pPr>
    <w:rPr>
      <w:rFonts w:ascii="Calibri" w:hAnsi="Calibri"/>
      <w:szCs w:val="22"/>
    </w:rPr>
  </w:style>
  <w:style w:type="paragraph" w:customStyle="1" w:styleId="41">
    <w:name w:val="样式 正文文本缩进 + 左  0 字符"/>
    <w:basedOn w:val="1"/>
    <w:qFormat/>
    <w:uiPriority w:val="0"/>
    <w:pPr>
      <w:spacing w:line="360" w:lineRule="auto"/>
      <w:ind w:firstLine="250" w:firstLineChars="250"/>
    </w:pPr>
    <w:rPr>
      <w:rFonts w:cs="宋体"/>
      <w:sz w:val="24"/>
    </w:rPr>
  </w:style>
  <w:style w:type="paragraph" w:customStyle="1" w:styleId="42">
    <w:name w:val="表格文字"/>
    <w:basedOn w:val="43"/>
    <w:next w:val="11"/>
    <w:qFormat/>
    <w:uiPriority w:val="0"/>
    <w:pPr>
      <w:adjustRightInd w:val="0"/>
      <w:spacing w:line="420" w:lineRule="atLeast"/>
      <w:textAlignment w:val="baseline"/>
    </w:pPr>
    <w:rPr>
      <w:szCs w:val="24"/>
    </w:rPr>
  </w:style>
  <w:style w:type="paragraph" w:customStyle="1" w:styleId="43">
    <w:name w:val="表格文字（两侧对齐）"/>
    <w:basedOn w:val="1"/>
    <w:qFormat/>
    <w:uiPriority w:val="0"/>
    <w:pPr>
      <w:snapToGrid w:val="0"/>
    </w:pPr>
    <w:rPr>
      <w:rFonts w:eastAsia="宋体"/>
      <w:sz w:val="20"/>
    </w:rPr>
  </w:style>
  <w:style w:type="paragraph" w:customStyle="1" w:styleId="44">
    <w:name w:val="标准正文"/>
    <w:basedOn w:val="1"/>
    <w:qFormat/>
    <w:uiPriority w:val="0"/>
    <w:pPr>
      <w:spacing w:line="360" w:lineRule="auto"/>
      <w:ind w:firstLine="200" w:firstLineChars="200"/>
    </w:pPr>
    <w:rPr>
      <w:rFonts w:ascii="Calibri" w:hAnsi="Calibri" w:eastAsia="宋体" w:cs="宋体"/>
      <w:sz w:val="24"/>
      <w:szCs w:val="20"/>
      <w:lang w:bidi="ar-SA"/>
    </w:rPr>
  </w:style>
  <w:style w:type="paragraph" w:customStyle="1" w:styleId="45">
    <w:name w:val="无间隔1"/>
    <w:qFormat/>
    <w:uiPriority w:val="99"/>
    <w:pPr>
      <w:adjustRightInd w:val="0"/>
      <w:snapToGrid w:val="0"/>
    </w:pPr>
    <w:rPr>
      <w:rFonts w:ascii="Tahoma" w:hAnsi="Tahoma" w:eastAsia="微软雅黑" w:cs="Times New Roman"/>
      <w:sz w:val="22"/>
      <w:szCs w:val="22"/>
      <w:lang w:val="en-US" w:eastAsia="zh-CN" w:bidi="ar-SA"/>
    </w:rPr>
  </w:style>
  <w:style w:type="table" w:customStyle="1" w:styleId="46">
    <w:name w:val="Table Normal"/>
    <w:autoRedefine/>
    <w:qFormat/>
    <w:uiPriority w:val="2"/>
    <w:tblPr>
      <w:tblCellMar>
        <w:top w:w="0" w:type="dxa"/>
        <w:left w:w="0" w:type="dxa"/>
        <w:bottom w:w="0" w:type="dxa"/>
        <w:right w:w="0" w:type="dxa"/>
      </w:tblCellMar>
    </w:tblPr>
  </w:style>
  <w:style w:type="paragraph" w:styleId="47">
    <w:name w:val="List Paragraph"/>
    <w:basedOn w:val="1"/>
    <w:qFormat/>
    <w:uiPriority w:val="1"/>
    <w:pPr>
      <w:spacing w:before="160"/>
      <w:ind w:left="540" w:firstLine="480"/>
    </w:pPr>
  </w:style>
  <w:style w:type="paragraph" w:customStyle="1" w:styleId="48">
    <w:name w:val="Table Paragraph"/>
    <w:basedOn w:val="1"/>
    <w:qFormat/>
    <w:uiPriority w:val="1"/>
  </w:style>
  <w:style w:type="character" w:customStyle="1" w:styleId="49">
    <w:name w:val="批注框文本 Char"/>
    <w:basedOn w:val="34"/>
    <w:link w:val="18"/>
    <w:qFormat/>
    <w:uiPriority w:val="0"/>
    <w:rPr>
      <w:rFonts w:ascii="仿宋" w:hAnsi="仿宋" w:eastAsia="仿宋" w:cs="仿宋"/>
      <w:sz w:val="18"/>
      <w:szCs w:val="18"/>
      <w:lang w:val="zh-CN" w:bidi="zh-CN"/>
    </w:rPr>
  </w:style>
  <w:style w:type="character" w:customStyle="1" w:styleId="50">
    <w:name w:val="批注文字 Char"/>
    <w:basedOn w:val="34"/>
    <w:link w:val="9"/>
    <w:qFormat/>
    <w:uiPriority w:val="0"/>
    <w:rPr>
      <w:rFonts w:ascii="仿宋" w:hAnsi="仿宋" w:eastAsia="仿宋" w:cs="仿宋"/>
      <w:sz w:val="22"/>
      <w:szCs w:val="22"/>
      <w:lang w:val="zh-CN" w:bidi="zh-CN"/>
    </w:rPr>
  </w:style>
  <w:style w:type="character" w:customStyle="1" w:styleId="51">
    <w:name w:val="批注主题 Char"/>
    <w:basedOn w:val="50"/>
    <w:link w:val="30"/>
    <w:qFormat/>
    <w:uiPriority w:val="0"/>
    <w:rPr>
      <w:rFonts w:ascii="仿宋" w:hAnsi="仿宋" w:eastAsia="仿宋" w:cs="仿宋"/>
      <w:b/>
      <w:bCs/>
      <w:sz w:val="22"/>
      <w:szCs w:val="22"/>
      <w:lang w:val="zh-CN" w:bidi="zh-CN"/>
    </w:rPr>
  </w:style>
  <w:style w:type="paragraph" w:customStyle="1" w:styleId="52">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纯文本_1"/>
    <w:basedOn w:val="54"/>
    <w:qFormat/>
    <w:uiPriority w:val="0"/>
    <w:rPr>
      <w:rFonts w:ascii="宋体" w:hAnsi="Courier New"/>
      <w:szCs w:val="20"/>
    </w:rPr>
  </w:style>
  <w:style w:type="paragraph" w:customStyle="1" w:styleId="5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纯文本_0"/>
    <w:basedOn w:val="1"/>
    <w:qFormat/>
    <w:uiPriority w:val="0"/>
    <w:rPr>
      <w:rFonts w:ascii="宋体" w:hAnsi="Courier New"/>
    </w:rPr>
  </w:style>
  <w:style w:type="paragraph" w:customStyle="1" w:styleId="56">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TOC Heading_cb59b4d9-91da-47c8-90c6-1a169de22f7e"/>
    <w:basedOn w:val="2"/>
    <w:next w:val="1"/>
    <w:qFormat/>
    <w:uiPriority w:val="39"/>
    <w:pPr>
      <w:keepNext/>
      <w:keepLines/>
      <w:widowControl/>
      <w:autoSpaceDE/>
      <w:autoSpaceDN/>
      <w:spacing w:before="240" w:line="259" w:lineRule="auto"/>
      <w:ind w:left="0"/>
      <w:outlineLvl w:val="9"/>
    </w:pPr>
    <w:rPr>
      <w:rFonts w:ascii="Cambria" w:hAnsi="Cambria" w:eastAsia="宋体" w:cs="宋体"/>
      <w:b w:val="0"/>
      <w:bCs w:val="0"/>
      <w:color w:val="376092"/>
      <w:lang w:val="en-US" w:bidi="ar-SA"/>
    </w:rPr>
  </w:style>
  <w:style w:type="paragraph" w:customStyle="1" w:styleId="60">
    <w:name w:val="样式 标题 31.1.1标题 333rd levelBOD 0Bold HeadCTH3H31Heading ...1"/>
    <w:basedOn w:val="4"/>
    <w:qFormat/>
    <w:uiPriority w:val="0"/>
    <w:pPr>
      <w:spacing w:before="0"/>
    </w:pPr>
    <w:rPr>
      <w:rFonts w:hAnsi="宋体" w:cs="宋体"/>
      <w:sz w:val="24"/>
    </w:rPr>
  </w:style>
  <w:style w:type="paragraph" w:customStyle="1" w:styleId="61">
    <w:name w:val="Body text|1"/>
    <w:basedOn w:val="1"/>
    <w:qFormat/>
    <w:uiPriority w:val="0"/>
    <w:pPr>
      <w:spacing w:line="434" w:lineRule="auto"/>
      <w:ind w:firstLine="380"/>
    </w:pPr>
    <w:rPr>
      <w:rFonts w:ascii="宋体" w:hAnsi="宋体" w:cs="宋体"/>
      <w:sz w:val="18"/>
      <w:szCs w:val="18"/>
      <w:lang w:val="zh-TW" w:eastAsia="zh-TW" w:bidi="zh-TW"/>
    </w:rPr>
  </w:style>
  <w:style w:type="paragraph" w:customStyle="1" w:styleId="62">
    <w:name w:val="正文1"/>
    <w:qFormat/>
    <w:uiPriority w:val="0"/>
    <w:rPr>
      <w:rFonts w:ascii="Times New Roman" w:hAnsi="Times New Roman" w:eastAsia="Times New Roman" w:cs="Times New Roman"/>
      <w:sz w:val="24"/>
      <w:szCs w:val="24"/>
      <w:lang w:val="en-US" w:eastAsia="zh-CN" w:bidi="ar-SA"/>
    </w:rPr>
  </w:style>
  <w:style w:type="paragraph" w:customStyle="1" w:styleId="63">
    <w:name w:val="正文1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64">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_15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普通(网站)_0"/>
    <w:basedOn w:val="52"/>
    <w:autoRedefine/>
    <w:unhideWhenUsed/>
    <w:qFormat/>
    <w:uiPriority w:val="0"/>
    <w:pPr>
      <w:spacing w:before="100" w:beforeAutospacing="1" w:after="100" w:afterAutospacing="1"/>
    </w:pPr>
    <w:rPr>
      <w:rFonts w:ascii="宋体"/>
      <w:sz w:val="24"/>
      <w:szCs w:val="22"/>
    </w:rPr>
  </w:style>
  <w:style w:type="paragraph" w:customStyle="1" w:styleId="67">
    <w:name w:val="*正文"/>
    <w:basedOn w:val="1"/>
    <w:autoRedefine/>
    <w:qFormat/>
    <w:uiPriority w:val="0"/>
    <w:pPr>
      <w:ind w:firstLine="200" w:firstLineChars="200"/>
      <w:jc w:val="both"/>
    </w:pPr>
    <w:rPr>
      <w:rFonts w:ascii="Calibri" w:hAnsi="Calibri"/>
      <w:kern w:val="2"/>
      <w:szCs w:val="28"/>
    </w:rPr>
  </w:style>
  <w:style w:type="paragraph" w:customStyle="1" w:styleId="68">
    <w:name w:val="Default"/>
    <w:next w:val="6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1">
    <w:name w:val="正文缩进1"/>
    <w:basedOn w:val="1"/>
    <w:qFormat/>
    <w:uiPriority w:val="0"/>
    <w:pPr>
      <w:adjustRightInd w:val="0"/>
      <w:ind w:firstLine="420"/>
    </w:pPr>
    <w:rPr>
      <w:rFonts w:ascii="宋体" w:hAnsi="Times New Roman"/>
      <w:sz w:val="24"/>
      <w:szCs w:val="20"/>
    </w:rPr>
  </w:style>
  <w:style w:type="paragraph" w:customStyle="1" w:styleId="72">
    <w:name w:val="Char"/>
    <w:basedOn w:val="1"/>
    <w:qFormat/>
    <w:uiPriority w:val="99"/>
    <w:rPr>
      <w:rFonts w:ascii="Tahoma" w:hAnsi="Tahoma"/>
      <w:sz w:val="24"/>
      <w:szCs w:val="20"/>
    </w:rPr>
  </w:style>
  <w:style w:type="paragraph" w:customStyle="1" w:styleId="73">
    <w:name w:val="缩进正文"/>
    <w:basedOn w:val="1"/>
    <w:autoRedefine/>
    <w:qFormat/>
    <w:uiPriority w:val="0"/>
    <w:pPr>
      <w:adjustRightInd w:val="0"/>
      <w:snapToGrid w:val="0"/>
      <w:spacing w:line="360" w:lineRule="auto"/>
      <w:ind w:firstLine="200" w:firstLineChars="200"/>
    </w:pPr>
    <w:rPr>
      <w:rFonts w:ascii="宋体"/>
      <w:snapToGrid w:val="0"/>
      <w:sz w:val="24"/>
      <w:szCs w:val="21"/>
    </w:rPr>
  </w:style>
  <w:style w:type="paragraph" w:customStyle="1" w:styleId="74">
    <w:name w:val="p0"/>
    <w:basedOn w:val="1"/>
    <w:autoRedefine/>
    <w:qFormat/>
    <w:uiPriority w:val="0"/>
    <w:pPr>
      <w:widowControl/>
      <w:spacing w:before="100" w:beforeAutospacing="1" w:after="100" w:afterAutospacing="1"/>
    </w:pPr>
    <w:rPr>
      <w:rFonts w:ascii="宋体" w:hAnsi="宋体" w:cs="宋体"/>
      <w:sz w:val="24"/>
    </w:rPr>
  </w:style>
  <w:style w:type="character" w:customStyle="1" w:styleId="75">
    <w:name w:val="NormalCharacter"/>
    <w:autoRedefine/>
    <w:qFormat/>
    <w:uiPriority w:val="0"/>
  </w:style>
  <w:style w:type="paragraph" w:customStyle="1" w:styleId="76">
    <w:name w:val="纯文本_4_0"/>
    <w:basedOn w:val="77"/>
    <w:qFormat/>
    <w:uiPriority w:val="0"/>
    <w:rPr>
      <w:rFonts w:ascii="宋体" w:hAnsi="Courier New"/>
      <w:szCs w:val="20"/>
    </w:rPr>
  </w:style>
  <w:style w:type="paragraph" w:customStyle="1" w:styleId="77">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正文_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0">
    <w:name w:val="BodyText1I2"/>
    <w:basedOn w:val="81"/>
    <w:qFormat/>
    <w:uiPriority w:val="0"/>
    <w:pPr>
      <w:spacing w:after="120" w:line="240" w:lineRule="auto"/>
      <w:ind w:left="420" w:leftChars="200" w:firstLine="420" w:firstLineChars="200"/>
    </w:pPr>
    <w:rPr>
      <w:rFonts w:eastAsia="宋体"/>
      <w:sz w:val="21"/>
    </w:rPr>
  </w:style>
  <w:style w:type="paragraph" w:customStyle="1" w:styleId="81">
    <w:name w:val="BodyTextIndent"/>
    <w:basedOn w:val="1"/>
    <w:autoRedefine/>
    <w:qFormat/>
    <w:uiPriority w:val="0"/>
    <w:pPr>
      <w:spacing w:line="380" w:lineRule="exact"/>
      <w:ind w:firstLine="480"/>
      <w:jc w:val="both"/>
      <w:textAlignment w:val="baseline"/>
    </w:pPr>
    <w:rPr>
      <w:rFonts w:ascii="Times New Roman" w:hAnsi="Times New Roman" w:eastAsia="方正书宋简体"/>
      <w:kern w:val="2"/>
      <w:sz w:val="24"/>
      <w:szCs w:val="24"/>
      <w:lang w:val="en-US" w:bidi="ar-SA"/>
    </w:rPr>
  </w:style>
  <w:style w:type="paragraph" w:customStyle="1" w:styleId="82">
    <w:name w:val="首行缩进"/>
    <w:basedOn w:val="1"/>
    <w:autoRedefine/>
    <w:qFormat/>
    <w:uiPriority w:val="0"/>
    <w:pPr>
      <w:spacing w:line="360" w:lineRule="auto"/>
      <w:ind w:firstLine="480" w:firstLineChars="200"/>
    </w:pPr>
    <w:rPr>
      <w:sz w:val="24"/>
    </w:rPr>
  </w:style>
  <w:style w:type="paragraph" w:styleId="83">
    <w:name w:val="No Spacing"/>
    <w:basedOn w:val="1"/>
    <w:autoRedefine/>
    <w:qFormat/>
    <w:uiPriority w:val="99"/>
  </w:style>
  <w:style w:type="paragraph" w:customStyle="1" w:styleId="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5">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86">
    <w:name w:val="Other|1"/>
    <w:basedOn w:val="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87">
    <w:name w:val="纯文本1"/>
    <w:basedOn w:val="1"/>
    <w:qFormat/>
    <w:uiPriority w:val="0"/>
    <w:pPr>
      <w:adjustRightInd w:val="0"/>
      <w:jc w:val="left"/>
    </w:pPr>
    <w:rPr>
      <w:rFonts w:ascii="宋体" w:hAnsi="Courier New" w:eastAsia="宋体" w:cs="Times New Roman"/>
      <w:sz w:val="24"/>
      <w:szCs w:val="20"/>
    </w:rPr>
  </w:style>
  <w:style w:type="paragraph" w:customStyle="1" w:styleId="88">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样式6"/>
    <w:basedOn w:val="1"/>
    <w:qFormat/>
    <w:uiPriority w:val="0"/>
    <w:pPr>
      <w:spacing w:line="360" w:lineRule="auto"/>
      <w:ind w:firstLine="200" w:firstLineChars="200"/>
      <w:jc w:val="left"/>
    </w:pPr>
    <w:rPr>
      <w:sz w:val="24"/>
    </w:rPr>
  </w:style>
  <w:style w:type="paragraph" w:customStyle="1" w:styleId="90">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PlainText"/>
    <w:basedOn w:val="1"/>
    <w:next w:val="1"/>
    <w:qFormat/>
    <w:uiPriority w:val="0"/>
    <w:pPr>
      <w:jc w:val="both"/>
      <w:textAlignment w:val="baseline"/>
    </w:pPr>
    <w:rPr>
      <w:rFonts w:ascii="宋体" w:hAnsi="Courier New"/>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20901</Words>
  <Characters>22764</Characters>
  <Lines>269</Lines>
  <Paragraphs>75</Paragraphs>
  <TotalTime>38</TotalTime>
  <ScaleCrop>false</ScaleCrop>
  <LinksUpToDate>false</LinksUpToDate>
  <CharactersWithSpaces>23559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2024-08-15T07:24:00Z</dcterms:created>
  <dc:creator>Administrator.SC-202204211204</dc:creator>
  <cp:lastModifiedBy>001</cp:lastModifiedBy>
  <cp:lastPrinted>2025-07-01T01:18:00Z</cp:lastPrinted>
  <dcterms:modified xsi:type="dcterms:W3CDTF">2025-07-02T06:59:32Z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WPS 文字</vt:lpwstr>
  </property>
  <property fmtid="{D5CDD505-2E9C-101B-9397-08002B2CF9AE}" pid="4" name="LastSaved">
    <vt:filetime>2021-05-21T00:00:00Z</vt:filetime>
  </property>
  <property fmtid="{D5CDD505-2E9C-101B-9397-08002B2CF9AE}" pid="5" name="KSOProductBuildVer">
    <vt:lpwstr>2052-12.1.0.21541</vt:lpwstr>
  </property>
  <property fmtid="{D5CDD505-2E9C-101B-9397-08002B2CF9AE}" pid="6" name="ICV">
    <vt:lpwstr>76B77A724E054F2BA5C3018BEC6BF9CB_13</vt:lpwstr>
  </property>
  <property fmtid="{D5CDD505-2E9C-101B-9397-08002B2CF9AE}" pid="7" name="KSOTemplateDocerSaveRecord">
    <vt:lpwstr>eyJoZGlkIjoiZDlmZmQ0MDc1YjUwNDEzOTk5NmZkYWMwNTFjODkzMTYiLCJ1c2VySWQiOiI0MTk3NDk0NDYifQ==</vt:lpwstr>
  </property>
</Properties>
</file>