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5E88">
      <w:pPr>
        <w:pStyle w:val="2"/>
        <w:rPr>
          <w:color w:val="auto"/>
          <w:sz w:val="20"/>
        </w:rPr>
      </w:pPr>
    </w:p>
    <w:p w14:paraId="660A0AF4">
      <w:pPr>
        <w:pStyle w:val="2"/>
        <w:rPr>
          <w:color w:val="auto"/>
          <w:sz w:val="20"/>
        </w:rPr>
      </w:pPr>
    </w:p>
    <w:p w14:paraId="3684A861">
      <w:pPr>
        <w:pStyle w:val="2"/>
        <w:jc w:val="center"/>
        <w:rPr>
          <w:rFonts w:hint="eastAsia" w:ascii="仿宋" w:hAnsi="仿宋" w:eastAsia="仿宋" w:cs="仿宋"/>
          <w:b/>
          <w:color w:val="auto"/>
          <w:sz w:val="48"/>
          <w:szCs w:val="16"/>
          <w:lang w:val="zh-CN" w:eastAsia="zh-CN" w:bidi="zh-CN"/>
        </w:rPr>
      </w:pPr>
      <w:r>
        <w:rPr>
          <w:rFonts w:hint="eastAsia" w:cs="仿宋"/>
          <w:b/>
          <w:color w:val="auto"/>
          <w:sz w:val="48"/>
          <w:szCs w:val="16"/>
          <w:lang w:val="zh-CN" w:eastAsia="zh-CN" w:bidi="zh-CN"/>
        </w:rPr>
        <w:t>遂昌县化工园区地下水污染专项整治全过程咨询服务</w:t>
      </w:r>
    </w:p>
    <w:p w14:paraId="275FFBE2">
      <w:pPr>
        <w:pStyle w:val="27"/>
        <w:rPr>
          <w:color w:val="auto"/>
        </w:rPr>
      </w:pPr>
    </w:p>
    <w:p w14:paraId="63511EE3">
      <w:pPr>
        <w:pStyle w:val="2"/>
        <w:rPr>
          <w:color w:val="auto"/>
          <w:sz w:val="20"/>
        </w:rPr>
      </w:pPr>
    </w:p>
    <w:p w14:paraId="58F80DB0">
      <w:pPr>
        <w:pStyle w:val="2"/>
        <w:rPr>
          <w:color w:val="auto"/>
          <w:sz w:val="20"/>
        </w:rPr>
      </w:pPr>
    </w:p>
    <w:p w14:paraId="24804FC2">
      <w:pPr>
        <w:pStyle w:val="2"/>
        <w:spacing w:before="3"/>
        <w:rPr>
          <w:color w:val="auto"/>
          <w:sz w:val="17"/>
        </w:rPr>
      </w:pPr>
    </w:p>
    <w:p w14:paraId="438AB7BA">
      <w:pPr>
        <w:spacing w:line="1059" w:lineRule="exact"/>
        <w:ind w:left="561" w:right="444"/>
        <w:jc w:val="center"/>
        <w:rPr>
          <w:rFonts w:hint="eastAsia"/>
          <w:b/>
          <w:color w:val="auto"/>
          <w:sz w:val="84"/>
        </w:rPr>
      </w:pPr>
      <w:bookmarkStart w:id="0" w:name="竞争性磋商文件"/>
      <w:bookmarkEnd w:id="0"/>
    </w:p>
    <w:p w14:paraId="52FB2143">
      <w:pPr>
        <w:spacing w:line="1059" w:lineRule="exact"/>
        <w:ind w:right="444"/>
        <w:jc w:val="center"/>
        <w:rPr>
          <w:b/>
          <w:color w:val="auto"/>
          <w:sz w:val="84"/>
        </w:rPr>
      </w:pPr>
      <w:r>
        <w:rPr>
          <w:rFonts w:hint="eastAsia"/>
          <w:b/>
          <w:color w:val="auto"/>
          <w:sz w:val="84"/>
        </w:rPr>
        <w:t>竞争性磋商文件</w:t>
      </w:r>
    </w:p>
    <w:p w14:paraId="107FD8F7">
      <w:pPr>
        <w:pStyle w:val="2"/>
        <w:spacing w:before="5"/>
        <w:rPr>
          <w:b/>
          <w:color w:val="auto"/>
          <w:sz w:val="110"/>
        </w:rPr>
      </w:pPr>
    </w:p>
    <w:p w14:paraId="747607D5">
      <w:pPr>
        <w:pStyle w:val="22"/>
        <w:ind w:left="0" w:leftChars="0" w:firstLine="0" w:firstLineChars="0"/>
        <w:rPr>
          <w:rFonts w:ascii="仿宋" w:hAnsi="仿宋"/>
          <w:color w:val="auto"/>
        </w:rPr>
      </w:pPr>
      <w:bookmarkStart w:id="1" w:name="采购编号:_ZJSW(2021)33-磋13"/>
      <w:bookmarkEnd w:id="1"/>
    </w:p>
    <w:p w14:paraId="43E9D5BC">
      <w:pPr>
        <w:jc w:val="both"/>
        <w:rPr>
          <w:b/>
          <w:color w:val="auto"/>
          <w:sz w:val="36"/>
        </w:rPr>
      </w:pPr>
    </w:p>
    <w:tbl>
      <w:tblPr>
        <w:tblStyle w:val="30"/>
        <w:tblW w:w="8472" w:type="dxa"/>
        <w:jc w:val="center"/>
        <w:tblLayout w:type="fixed"/>
        <w:tblCellMar>
          <w:top w:w="0" w:type="dxa"/>
          <w:left w:w="108" w:type="dxa"/>
          <w:bottom w:w="0" w:type="dxa"/>
          <w:right w:w="108" w:type="dxa"/>
        </w:tblCellMar>
      </w:tblPr>
      <w:tblGrid>
        <w:gridCol w:w="2873"/>
        <w:gridCol w:w="5599"/>
      </w:tblGrid>
      <w:tr w14:paraId="3FFA3D61">
        <w:tblPrEx>
          <w:tblCellMar>
            <w:top w:w="0" w:type="dxa"/>
            <w:left w:w="108" w:type="dxa"/>
            <w:bottom w:w="0" w:type="dxa"/>
            <w:right w:w="108" w:type="dxa"/>
          </w:tblCellMar>
        </w:tblPrEx>
        <w:trPr>
          <w:trHeight w:val="709" w:hRule="atLeast"/>
          <w:jc w:val="center"/>
        </w:trPr>
        <w:tc>
          <w:tcPr>
            <w:tcW w:w="2873" w:type="dxa"/>
            <w:shd w:val="clear" w:color="auto" w:fill="auto"/>
            <w:vAlign w:val="center"/>
          </w:tcPr>
          <w:p w14:paraId="3E232433">
            <w:pPr>
              <w:ind w:right="-114" w:rightChars="-52"/>
              <w:jc w:val="distribute"/>
              <w:rPr>
                <w:color w:val="auto"/>
                <w:sz w:val="32"/>
                <w:szCs w:val="32"/>
              </w:rPr>
            </w:pPr>
            <w:bookmarkStart w:id="2" w:name="_Toc493956012"/>
            <w:bookmarkStart w:id="3" w:name="_Toc493928402"/>
            <w:r>
              <w:rPr>
                <w:rFonts w:hint="eastAsia"/>
                <w:color w:val="auto"/>
                <w:sz w:val="32"/>
                <w:szCs w:val="32"/>
              </w:rPr>
              <w:t>项目编号：</w:t>
            </w:r>
            <w:bookmarkEnd w:id="2"/>
            <w:bookmarkEnd w:id="3"/>
          </w:p>
        </w:tc>
        <w:tc>
          <w:tcPr>
            <w:tcW w:w="5599" w:type="dxa"/>
            <w:shd w:val="clear" w:color="auto" w:fill="auto"/>
            <w:vAlign w:val="center"/>
          </w:tcPr>
          <w:p w14:paraId="591E92E4">
            <w:pPr>
              <w:rPr>
                <w:rFonts w:hint="eastAsia"/>
                <w:color w:val="auto"/>
                <w:sz w:val="32"/>
                <w:szCs w:val="32"/>
                <w:lang w:eastAsia="zh-CN"/>
              </w:rPr>
            </w:pPr>
            <w:r>
              <w:rPr>
                <w:rFonts w:hint="eastAsia"/>
                <w:color w:val="auto"/>
                <w:sz w:val="32"/>
                <w:szCs w:val="32"/>
                <w:lang w:val="en-US" w:eastAsia="zh-CN"/>
              </w:rPr>
              <w:t>ZJZCSC（2025）采0704号</w:t>
            </w:r>
          </w:p>
        </w:tc>
      </w:tr>
      <w:tr w14:paraId="69E62525">
        <w:tblPrEx>
          <w:tblCellMar>
            <w:top w:w="0" w:type="dxa"/>
            <w:left w:w="108" w:type="dxa"/>
            <w:bottom w:w="0" w:type="dxa"/>
            <w:right w:w="108" w:type="dxa"/>
          </w:tblCellMar>
        </w:tblPrEx>
        <w:trPr>
          <w:trHeight w:val="709" w:hRule="atLeast"/>
          <w:jc w:val="center"/>
        </w:trPr>
        <w:tc>
          <w:tcPr>
            <w:tcW w:w="2873" w:type="dxa"/>
            <w:shd w:val="clear" w:color="auto" w:fill="auto"/>
            <w:vAlign w:val="center"/>
          </w:tcPr>
          <w:p w14:paraId="69779124">
            <w:pPr>
              <w:ind w:right="-114" w:rightChars="-52"/>
              <w:jc w:val="distribute"/>
              <w:rPr>
                <w:color w:val="auto"/>
                <w:sz w:val="32"/>
                <w:szCs w:val="32"/>
              </w:rPr>
            </w:pPr>
            <w:bookmarkStart w:id="4" w:name="_Toc493956014"/>
            <w:bookmarkStart w:id="5" w:name="_Toc493928404"/>
            <w:r>
              <w:rPr>
                <w:rFonts w:hint="eastAsia"/>
                <w:color w:val="auto"/>
                <w:sz w:val="32"/>
                <w:szCs w:val="32"/>
              </w:rPr>
              <w:t>项目名称：</w:t>
            </w:r>
            <w:bookmarkEnd w:id="4"/>
            <w:bookmarkEnd w:id="5"/>
          </w:p>
        </w:tc>
        <w:tc>
          <w:tcPr>
            <w:tcW w:w="5599" w:type="dxa"/>
            <w:shd w:val="clear" w:color="auto" w:fill="auto"/>
            <w:vAlign w:val="center"/>
          </w:tcPr>
          <w:p w14:paraId="1C342B8C">
            <w:pPr>
              <w:rPr>
                <w:rFonts w:hint="eastAsia"/>
                <w:color w:val="auto"/>
                <w:sz w:val="32"/>
                <w:szCs w:val="32"/>
                <w:lang w:val="en-US" w:eastAsia="zh-CN"/>
              </w:rPr>
            </w:pPr>
            <w:r>
              <w:rPr>
                <w:rFonts w:hint="eastAsia"/>
                <w:color w:val="auto"/>
                <w:sz w:val="32"/>
                <w:szCs w:val="32"/>
                <w:lang w:val="en-US" w:eastAsia="zh-CN"/>
              </w:rPr>
              <w:t>遂昌县化工园区地下水污染专项整治全过程咨询服务</w:t>
            </w:r>
          </w:p>
        </w:tc>
      </w:tr>
      <w:tr w14:paraId="07D8D7D4">
        <w:tblPrEx>
          <w:tblCellMar>
            <w:top w:w="0" w:type="dxa"/>
            <w:left w:w="108" w:type="dxa"/>
            <w:bottom w:w="0" w:type="dxa"/>
            <w:right w:w="108" w:type="dxa"/>
          </w:tblCellMar>
        </w:tblPrEx>
        <w:trPr>
          <w:trHeight w:val="637" w:hRule="atLeast"/>
          <w:jc w:val="center"/>
        </w:trPr>
        <w:tc>
          <w:tcPr>
            <w:tcW w:w="2873" w:type="dxa"/>
            <w:shd w:val="clear" w:color="auto" w:fill="auto"/>
            <w:vAlign w:val="center"/>
          </w:tcPr>
          <w:p w14:paraId="65499CFA">
            <w:pPr>
              <w:ind w:right="-114" w:rightChars="-52"/>
              <w:jc w:val="distribute"/>
              <w:rPr>
                <w:color w:val="auto"/>
                <w:sz w:val="32"/>
                <w:szCs w:val="32"/>
              </w:rPr>
            </w:pPr>
            <w:bookmarkStart w:id="6" w:name="_Toc493928406"/>
            <w:bookmarkStart w:id="7" w:name="_Toc493956016"/>
            <w:r>
              <w:rPr>
                <w:rFonts w:hint="eastAsia"/>
                <w:color w:val="auto"/>
                <w:sz w:val="32"/>
                <w:szCs w:val="32"/>
              </w:rPr>
              <w:t>采 购 人：</w:t>
            </w:r>
            <w:bookmarkEnd w:id="6"/>
            <w:bookmarkEnd w:id="7"/>
          </w:p>
        </w:tc>
        <w:tc>
          <w:tcPr>
            <w:tcW w:w="5599" w:type="dxa"/>
            <w:shd w:val="clear" w:color="auto" w:fill="auto"/>
            <w:vAlign w:val="center"/>
          </w:tcPr>
          <w:p w14:paraId="50255759">
            <w:pPr>
              <w:rPr>
                <w:rFonts w:hint="eastAsia"/>
                <w:color w:val="auto"/>
                <w:sz w:val="32"/>
                <w:szCs w:val="32"/>
                <w:lang w:eastAsia="zh-CN"/>
              </w:rPr>
            </w:pPr>
            <w:r>
              <w:rPr>
                <w:rFonts w:hint="eastAsia"/>
                <w:color w:val="auto"/>
                <w:sz w:val="32"/>
                <w:szCs w:val="32"/>
                <w:lang w:eastAsia="zh-CN"/>
              </w:rPr>
              <w:t xml:space="preserve">浙江遂昌经济开发区管理委员会 </w:t>
            </w:r>
          </w:p>
        </w:tc>
      </w:tr>
      <w:tr w14:paraId="3EB627EB">
        <w:tblPrEx>
          <w:tblCellMar>
            <w:top w:w="0" w:type="dxa"/>
            <w:left w:w="108" w:type="dxa"/>
            <w:bottom w:w="0" w:type="dxa"/>
            <w:right w:w="108" w:type="dxa"/>
          </w:tblCellMar>
        </w:tblPrEx>
        <w:trPr>
          <w:trHeight w:val="637" w:hRule="atLeast"/>
          <w:jc w:val="center"/>
        </w:trPr>
        <w:tc>
          <w:tcPr>
            <w:tcW w:w="2873" w:type="dxa"/>
            <w:shd w:val="clear" w:color="auto" w:fill="auto"/>
            <w:vAlign w:val="center"/>
          </w:tcPr>
          <w:p w14:paraId="206273BB">
            <w:pPr>
              <w:ind w:right="-114" w:rightChars="-52"/>
              <w:jc w:val="distribute"/>
              <w:rPr>
                <w:rFonts w:hint="eastAsia"/>
                <w:color w:val="auto"/>
                <w:sz w:val="32"/>
                <w:szCs w:val="32"/>
              </w:rPr>
            </w:pPr>
            <w:r>
              <w:rPr>
                <w:rFonts w:hint="eastAsia"/>
                <w:color w:val="auto"/>
                <w:sz w:val="32"/>
                <w:szCs w:val="32"/>
                <w:highlight w:val="none"/>
              </w:rPr>
              <w:t>地        址：</w:t>
            </w:r>
          </w:p>
        </w:tc>
        <w:tc>
          <w:tcPr>
            <w:tcW w:w="5599" w:type="dxa"/>
            <w:shd w:val="clear" w:color="auto" w:fill="auto"/>
            <w:vAlign w:val="center"/>
          </w:tcPr>
          <w:p w14:paraId="12A53BD9">
            <w:pPr>
              <w:rPr>
                <w:rFonts w:hint="eastAsia"/>
                <w:color w:val="auto"/>
                <w:sz w:val="32"/>
                <w:szCs w:val="32"/>
                <w:lang w:eastAsia="zh-CN"/>
              </w:rPr>
            </w:pPr>
            <w:r>
              <w:rPr>
                <w:rFonts w:hint="eastAsia"/>
                <w:color w:val="auto"/>
                <w:sz w:val="32"/>
                <w:szCs w:val="32"/>
                <w:highlight w:val="none"/>
                <w:lang w:eastAsia="zh-CN"/>
              </w:rPr>
              <w:t>遂昌县云峰街道昌和路1号</w:t>
            </w:r>
          </w:p>
        </w:tc>
      </w:tr>
      <w:tr w14:paraId="226FED1D">
        <w:tblPrEx>
          <w:tblCellMar>
            <w:top w:w="0" w:type="dxa"/>
            <w:left w:w="108" w:type="dxa"/>
            <w:bottom w:w="0" w:type="dxa"/>
            <w:right w:w="108" w:type="dxa"/>
          </w:tblCellMar>
        </w:tblPrEx>
        <w:trPr>
          <w:trHeight w:val="637" w:hRule="atLeast"/>
          <w:jc w:val="center"/>
        </w:trPr>
        <w:tc>
          <w:tcPr>
            <w:tcW w:w="2873" w:type="dxa"/>
            <w:shd w:val="clear" w:color="auto" w:fill="auto"/>
            <w:vAlign w:val="center"/>
          </w:tcPr>
          <w:p w14:paraId="36D22598">
            <w:pPr>
              <w:ind w:right="-114" w:rightChars="-52"/>
              <w:jc w:val="distribute"/>
              <w:rPr>
                <w:rFonts w:hint="eastAsia"/>
                <w:color w:val="auto"/>
                <w:sz w:val="32"/>
                <w:szCs w:val="32"/>
              </w:rPr>
            </w:pPr>
          </w:p>
        </w:tc>
        <w:tc>
          <w:tcPr>
            <w:tcW w:w="5599" w:type="dxa"/>
            <w:shd w:val="clear" w:color="auto" w:fill="auto"/>
            <w:vAlign w:val="center"/>
          </w:tcPr>
          <w:p w14:paraId="7C374723">
            <w:pPr>
              <w:rPr>
                <w:rFonts w:hint="eastAsia"/>
                <w:color w:val="auto"/>
                <w:sz w:val="32"/>
                <w:szCs w:val="32"/>
                <w:lang w:eastAsia="zh-CN"/>
              </w:rPr>
            </w:pPr>
          </w:p>
        </w:tc>
      </w:tr>
      <w:tr w14:paraId="090C7155">
        <w:tblPrEx>
          <w:tblCellMar>
            <w:top w:w="0" w:type="dxa"/>
            <w:left w:w="108" w:type="dxa"/>
            <w:bottom w:w="0" w:type="dxa"/>
            <w:right w:w="108" w:type="dxa"/>
          </w:tblCellMar>
        </w:tblPrEx>
        <w:trPr>
          <w:trHeight w:val="709" w:hRule="atLeast"/>
          <w:jc w:val="center"/>
        </w:trPr>
        <w:tc>
          <w:tcPr>
            <w:tcW w:w="2873" w:type="dxa"/>
            <w:shd w:val="clear" w:color="auto" w:fill="auto"/>
            <w:vAlign w:val="center"/>
          </w:tcPr>
          <w:p w14:paraId="64447EC1">
            <w:pPr>
              <w:ind w:right="-114" w:rightChars="-52"/>
              <w:jc w:val="distribute"/>
              <w:rPr>
                <w:color w:val="auto"/>
                <w:sz w:val="32"/>
                <w:szCs w:val="32"/>
              </w:rPr>
            </w:pPr>
            <w:r>
              <w:rPr>
                <w:rFonts w:hint="eastAsia"/>
                <w:color w:val="auto"/>
                <w:sz w:val="32"/>
                <w:szCs w:val="32"/>
              </w:rPr>
              <w:t>采购代理机构：</w:t>
            </w:r>
          </w:p>
        </w:tc>
        <w:tc>
          <w:tcPr>
            <w:tcW w:w="5599" w:type="dxa"/>
            <w:shd w:val="clear" w:color="auto" w:fill="auto"/>
            <w:vAlign w:val="center"/>
          </w:tcPr>
          <w:p w14:paraId="05AF00B3">
            <w:pPr>
              <w:rPr>
                <w:rFonts w:hint="eastAsia"/>
                <w:color w:val="auto"/>
                <w:sz w:val="32"/>
                <w:szCs w:val="32"/>
                <w:lang w:eastAsia="zh-CN"/>
              </w:rPr>
            </w:pPr>
            <w:r>
              <w:rPr>
                <w:rFonts w:hint="eastAsia"/>
                <w:color w:val="auto"/>
                <w:sz w:val="32"/>
                <w:szCs w:val="32"/>
                <w:lang w:eastAsia="zh-CN"/>
              </w:rPr>
              <w:t>浙江至诚工程咨询有限责任公司</w:t>
            </w:r>
          </w:p>
        </w:tc>
      </w:tr>
      <w:tr w14:paraId="0743DDE2">
        <w:tblPrEx>
          <w:tblCellMar>
            <w:top w:w="0" w:type="dxa"/>
            <w:left w:w="108" w:type="dxa"/>
            <w:bottom w:w="0" w:type="dxa"/>
            <w:right w:w="108" w:type="dxa"/>
          </w:tblCellMar>
        </w:tblPrEx>
        <w:trPr>
          <w:trHeight w:val="709" w:hRule="atLeast"/>
          <w:jc w:val="center"/>
        </w:trPr>
        <w:tc>
          <w:tcPr>
            <w:tcW w:w="2873" w:type="dxa"/>
            <w:shd w:val="clear" w:color="auto" w:fill="auto"/>
            <w:vAlign w:val="center"/>
          </w:tcPr>
          <w:p w14:paraId="79721BE1">
            <w:pPr>
              <w:ind w:right="-114" w:rightChars="-52"/>
              <w:jc w:val="distribute"/>
              <w:rPr>
                <w:color w:val="auto"/>
                <w:sz w:val="32"/>
                <w:szCs w:val="32"/>
              </w:rPr>
            </w:pPr>
            <w:r>
              <w:rPr>
                <w:rFonts w:hint="eastAsia" w:ascii="仿宋" w:hAnsi="仿宋" w:eastAsia="仿宋" w:cs="仿宋"/>
                <w:color w:val="auto"/>
                <w:sz w:val="32"/>
                <w:szCs w:val="32"/>
              </w:rPr>
              <w:t>地        址：</w:t>
            </w:r>
          </w:p>
        </w:tc>
        <w:tc>
          <w:tcPr>
            <w:tcW w:w="5599" w:type="dxa"/>
            <w:shd w:val="clear" w:color="auto" w:fill="auto"/>
            <w:vAlign w:val="center"/>
          </w:tcPr>
          <w:p w14:paraId="078AD87A">
            <w:pPr>
              <w:rPr>
                <w:rFonts w:hint="eastAsia"/>
                <w:color w:val="auto"/>
                <w:sz w:val="32"/>
                <w:szCs w:val="32"/>
                <w:lang w:eastAsia="zh-CN"/>
              </w:rPr>
            </w:pPr>
            <w:r>
              <w:rPr>
                <w:rFonts w:hint="eastAsia"/>
                <w:color w:val="auto"/>
                <w:sz w:val="32"/>
                <w:szCs w:val="32"/>
                <w:lang w:val="en-US" w:eastAsia="zh-CN"/>
              </w:rPr>
              <w:t>遂昌县妙高街道凯恩路224号</w:t>
            </w:r>
          </w:p>
        </w:tc>
      </w:tr>
      <w:tr w14:paraId="6F9F1166">
        <w:tblPrEx>
          <w:tblCellMar>
            <w:top w:w="0" w:type="dxa"/>
            <w:left w:w="108" w:type="dxa"/>
            <w:bottom w:w="0" w:type="dxa"/>
            <w:right w:w="108" w:type="dxa"/>
          </w:tblCellMar>
        </w:tblPrEx>
        <w:trPr>
          <w:trHeight w:val="709" w:hRule="atLeast"/>
          <w:jc w:val="center"/>
        </w:trPr>
        <w:tc>
          <w:tcPr>
            <w:tcW w:w="2873" w:type="dxa"/>
            <w:shd w:val="clear" w:color="auto" w:fill="auto"/>
            <w:vAlign w:val="center"/>
          </w:tcPr>
          <w:p w14:paraId="2F4241AA">
            <w:pPr>
              <w:ind w:right="-114" w:rightChars="-52"/>
              <w:jc w:val="distribute"/>
              <w:rPr>
                <w:rFonts w:hint="eastAsia" w:ascii="仿宋" w:hAnsi="仿宋" w:eastAsia="仿宋" w:cs="仿宋"/>
                <w:color w:val="auto"/>
                <w:sz w:val="32"/>
                <w:szCs w:val="32"/>
              </w:rPr>
            </w:pPr>
          </w:p>
        </w:tc>
        <w:tc>
          <w:tcPr>
            <w:tcW w:w="5599" w:type="dxa"/>
            <w:shd w:val="clear" w:color="auto" w:fill="auto"/>
            <w:vAlign w:val="center"/>
          </w:tcPr>
          <w:p w14:paraId="2371693D">
            <w:pPr>
              <w:ind w:left="-108" w:leftChars="-49"/>
              <w:jc w:val="left"/>
              <w:rPr>
                <w:rFonts w:hint="eastAsia" w:ascii="仿宋" w:hAnsi="仿宋" w:eastAsia="仿宋" w:cs="仿宋"/>
                <w:color w:val="auto"/>
                <w:sz w:val="32"/>
                <w:szCs w:val="32"/>
                <w:lang w:val="en-US" w:eastAsia="zh-CN"/>
              </w:rPr>
            </w:pPr>
          </w:p>
        </w:tc>
      </w:tr>
      <w:tr w14:paraId="216C69E9">
        <w:tblPrEx>
          <w:tblCellMar>
            <w:top w:w="0" w:type="dxa"/>
            <w:left w:w="108" w:type="dxa"/>
            <w:bottom w:w="0" w:type="dxa"/>
            <w:right w:w="108" w:type="dxa"/>
          </w:tblCellMar>
        </w:tblPrEx>
        <w:trPr>
          <w:trHeight w:val="709" w:hRule="atLeast"/>
          <w:jc w:val="center"/>
        </w:trPr>
        <w:tc>
          <w:tcPr>
            <w:tcW w:w="8472" w:type="dxa"/>
            <w:gridSpan w:val="2"/>
            <w:shd w:val="clear" w:color="auto" w:fill="auto"/>
            <w:vAlign w:val="center"/>
          </w:tcPr>
          <w:p w14:paraId="0E96D22C">
            <w:pPr>
              <w:jc w:val="center"/>
              <w:rPr>
                <w:color w:val="auto"/>
                <w:sz w:val="32"/>
                <w:szCs w:val="32"/>
              </w:rPr>
            </w:pPr>
            <w:r>
              <w:rPr>
                <w:rFonts w:hint="eastAsia"/>
                <w:color w:val="auto"/>
                <w:sz w:val="32"/>
                <w:szCs w:val="32"/>
                <w:highlight w:val="none"/>
              </w:rPr>
              <w:t>二〇二</w:t>
            </w:r>
            <w:r>
              <w:rPr>
                <w:rFonts w:hint="eastAsia"/>
                <w:color w:val="auto"/>
                <w:sz w:val="32"/>
                <w:szCs w:val="32"/>
                <w:highlight w:val="none"/>
                <w:lang w:eastAsia="zh-CN"/>
              </w:rPr>
              <w:t>五</w:t>
            </w:r>
            <w:r>
              <w:rPr>
                <w:rFonts w:hint="eastAsia"/>
                <w:color w:val="auto"/>
                <w:sz w:val="32"/>
                <w:szCs w:val="32"/>
                <w:highlight w:val="none"/>
              </w:rPr>
              <w:t>年</w:t>
            </w:r>
            <w:r>
              <w:rPr>
                <w:rFonts w:hint="eastAsia"/>
                <w:color w:val="auto"/>
                <w:sz w:val="32"/>
                <w:szCs w:val="32"/>
                <w:highlight w:val="none"/>
                <w:lang w:val="en-US" w:eastAsia="zh-CN"/>
              </w:rPr>
              <w:t>七</w:t>
            </w:r>
            <w:r>
              <w:rPr>
                <w:rFonts w:hint="eastAsia"/>
                <w:color w:val="auto"/>
                <w:sz w:val="32"/>
                <w:szCs w:val="32"/>
                <w:highlight w:val="none"/>
              </w:rPr>
              <w:t>月</w:t>
            </w:r>
          </w:p>
        </w:tc>
      </w:tr>
    </w:tbl>
    <w:p w14:paraId="1B448A4A">
      <w:pPr>
        <w:rPr>
          <w:b/>
          <w:color w:val="auto"/>
          <w:sz w:val="36"/>
        </w:rPr>
      </w:pPr>
    </w:p>
    <w:p w14:paraId="55F6A08D">
      <w:pPr>
        <w:pStyle w:val="55"/>
        <w:jc w:val="center"/>
        <w:rPr>
          <w:rFonts w:hint="eastAsia" w:ascii="仿宋" w:hAnsi="仿宋" w:eastAsia="仿宋" w:cs="仿宋"/>
          <w:b/>
          <w:bCs/>
          <w:color w:val="auto"/>
          <w:lang w:val="zh-CN"/>
        </w:rPr>
        <w:sectPr>
          <w:headerReference r:id="rId3" w:type="default"/>
          <w:pgSz w:w="11910" w:h="16840"/>
          <w:pgMar w:top="1247" w:right="1247" w:bottom="1247" w:left="1587" w:header="884" w:footer="884" w:gutter="0"/>
          <w:cols w:space="0" w:num="1"/>
        </w:sectPr>
      </w:pPr>
    </w:p>
    <w:p w14:paraId="1AC00D2F">
      <w:pPr>
        <w:pStyle w:val="55"/>
        <w:jc w:val="center"/>
        <w:rPr>
          <w:rFonts w:hint="eastAsia" w:ascii="仿宋" w:hAnsi="仿宋" w:eastAsia="仿宋" w:cs="仿宋"/>
          <w:b/>
          <w:bCs/>
          <w:color w:val="auto"/>
        </w:rPr>
      </w:pPr>
      <w:r>
        <w:rPr>
          <w:rFonts w:hint="eastAsia" w:ascii="仿宋" w:hAnsi="仿宋" w:eastAsia="仿宋" w:cs="仿宋"/>
          <w:b/>
          <w:bCs/>
          <w:color w:val="auto"/>
          <w:lang w:val="zh-CN"/>
        </w:rPr>
        <w:t>目</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val="zh-CN"/>
        </w:rPr>
        <w:t>录</w:t>
      </w:r>
    </w:p>
    <w:p w14:paraId="0EBF07E9">
      <w:pPr>
        <w:pStyle w:val="20"/>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color w:val="auto"/>
        </w:rPr>
        <w:fldChar w:fldCharType="begin"/>
      </w:r>
      <w:r>
        <w:rPr>
          <w:rFonts w:hint="eastAsia"/>
          <w:color w:val="auto"/>
        </w:rPr>
        <w:instrText xml:space="preserve"> TOC \o "1-3" \h \z \u </w:instrText>
      </w:r>
      <w:r>
        <w:rPr>
          <w:rFonts w:hint="eastAsia"/>
          <w:color w:val="auto"/>
        </w:rPr>
        <w:fldChar w:fldCharType="separate"/>
      </w:r>
      <w:r>
        <w:rPr>
          <w:rFonts w:hint="eastAsia"/>
          <w:color w:val="auto"/>
        </w:rPr>
        <w:fldChar w:fldCharType="begin"/>
      </w:r>
      <w:r>
        <w:rPr>
          <w:rFonts w:hint="eastAsia"/>
          <w:color w:val="auto"/>
        </w:rPr>
        <w:instrText xml:space="preserve"> HYPERLINK \l _Toc15925 </w:instrText>
      </w:r>
      <w:r>
        <w:rPr>
          <w:rFonts w:hint="eastAsia"/>
          <w:color w:val="auto"/>
        </w:rPr>
        <w:fldChar w:fldCharType="separate"/>
      </w:r>
      <w:r>
        <w:rPr>
          <w:rFonts w:hint="eastAsia"/>
          <w:color w:val="auto"/>
        </w:rPr>
        <w:t>第一章</w:t>
      </w:r>
      <w:r>
        <w:rPr>
          <w:rFonts w:hint="eastAsia"/>
          <w:color w:val="auto"/>
          <w:lang w:val="en-US" w:eastAsia="zh-CN"/>
        </w:rPr>
        <w:t xml:space="preserve"> </w:t>
      </w:r>
      <w:r>
        <w:rPr>
          <w:rFonts w:hint="eastAsia"/>
          <w:color w:val="auto"/>
        </w:rPr>
        <w:t>竞争性磋商</w:t>
      </w:r>
      <w:r>
        <w:rPr>
          <w:rFonts w:hint="eastAsia"/>
          <w:color w:val="auto"/>
          <w:lang w:val="en-US"/>
        </w:rPr>
        <w:t>采购</w:t>
      </w:r>
      <w:r>
        <w:rPr>
          <w:rFonts w:hint="eastAsia"/>
          <w:color w:val="auto"/>
        </w:rPr>
        <w:t>公告</w:t>
      </w:r>
      <w:r>
        <w:rPr>
          <w:color w:val="auto"/>
        </w:rPr>
        <w:tab/>
      </w:r>
      <w:r>
        <w:rPr>
          <w:color w:val="auto"/>
        </w:rPr>
        <w:fldChar w:fldCharType="begin"/>
      </w:r>
      <w:r>
        <w:rPr>
          <w:color w:val="auto"/>
        </w:rPr>
        <w:instrText xml:space="preserve"> PAGEREF _Toc15925 \h </w:instrText>
      </w:r>
      <w:r>
        <w:rPr>
          <w:color w:val="auto"/>
        </w:rPr>
        <w:fldChar w:fldCharType="separate"/>
      </w:r>
      <w:r>
        <w:rPr>
          <w:color w:val="auto"/>
        </w:rPr>
        <w:t>3</w:t>
      </w:r>
      <w:r>
        <w:rPr>
          <w:color w:val="auto"/>
        </w:rPr>
        <w:fldChar w:fldCharType="end"/>
      </w:r>
      <w:r>
        <w:rPr>
          <w:rFonts w:hint="eastAsia"/>
          <w:color w:val="auto"/>
        </w:rPr>
        <w:fldChar w:fldCharType="end"/>
      </w:r>
    </w:p>
    <w:p w14:paraId="46333A66">
      <w:pPr>
        <w:pStyle w:val="20"/>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_Toc20822 </w:instrText>
      </w:r>
      <w:r>
        <w:rPr>
          <w:rFonts w:hint="eastAsia"/>
          <w:bCs/>
          <w:color w:val="auto"/>
          <w:szCs w:val="24"/>
        </w:rPr>
        <w:fldChar w:fldCharType="separate"/>
      </w:r>
      <w:r>
        <w:rPr>
          <w:rFonts w:hint="eastAsia" w:ascii="Times New Roman" w:hAnsi="Times New Roman"/>
          <w:color w:val="auto"/>
          <w:lang w:val="en-US"/>
        </w:rPr>
        <w:t>第二章</w:t>
      </w:r>
      <w:r>
        <w:rPr>
          <w:rFonts w:hint="eastAsia"/>
          <w:color w:val="auto"/>
          <w:lang w:val="en-US" w:eastAsia="zh-CN"/>
        </w:rPr>
        <w:t xml:space="preserve"> </w:t>
      </w:r>
      <w:r>
        <w:rPr>
          <w:rFonts w:hint="eastAsia" w:ascii="Times New Roman" w:hAnsi="Times New Roman"/>
          <w:color w:val="auto"/>
          <w:lang w:val="en-US"/>
        </w:rPr>
        <w:t>采购需求</w:t>
      </w:r>
      <w:r>
        <w:rPr>
          <w:color w:val="auto"/>
        </w:rPr>
        <w:tab/>
      </w:r>
      <w:r>
        <w:rPr>
          <w:color w:val="auto"/>
        </w:rPr>
        <w:fldChar w:fldCharType="begin"/>
      </w:r>
      <w:r>
        <w:rPr>
          <w:color w:val="auto"/>
        </w:rPr>
        <w:instrText xml:space="preserve"> PAGEREF _Toc20822 \h </w:instrText>
      </w:r>
      <w:r>
        <w:rPr>
          <w:color w:val="auto"/>
        </w:rPr>
        <w:fldChar w:fldCharType="separate"/>
      </w:r>
      <w:r>
        <w:rPr>
          <w:color w:val="auto"/>
        </w:rPr>
        <w:t>6</w:t>
      </w:r>
      <w:r>
        <w:rPr>
          <w:color w:val="auto"/>
        </w:rPr>
        <w:fldChar w:fldCharType="end"/>
      </w:r>
      <w:r>
        <w:rPr>
          <w:rFonts w:hint="eastAsia"/>
          <w:bCs/>
          <w:color w:val="auto"/>
          <w:szCs w:val="24"/>
        </w:rPr>
        <w:fldChar w:fldCharType="end"/>
      </w:r>
    </w:p>
    <w:p w14:paraId="63373588">
      <w:pPr>
        <w:pStyle w:val="20"/>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_Toc31775 </w:instrText>
      </w:r>
      <w:r>
        <w:rPr>
          <w:rFonts w:hint="eastAsia"/>
          <w:bCs/>
          <w:color w:val="auto"/>
          <w:szCs w:val="24"/>
        </w:rPr>
        <w:fldChar w:fldCharType="separate"/>
      </w:r>
      <w:r>
        <w:rPr>
          <w:rFonts w:hint="eastAsia"/>
          <w:color w:val="auto"/>
        </w:rPr>
        <w:t>第</w:t>
      </w:r>
      <w:r>
        <w:rPr>
          <w:rFonts w:hint="eastAsia"/>
          <w:color w:val="auto"/>
          <w:lang w:val="en-US"/>
        </w:rPr>
        <w:t>三</w:t>
      </w:r>
      <w:r>
        <w:rPr>
          <w:rFonts w:hint="eastAsia"/>
          <w:color w:val="auto"/>
        </w:rPr>
        <w:t>章</w:t>
      </w:r>
      <w:r>
        <w:rPr>
          <w:rFonts w:hint="eastAsia"/>
          <w:color w:val="auto"/>
          <w:lang w:val="en-US" w:eastAsia="zh-CN"/>
        </w:rPr>
        <w:t xml:space="preserve"> </w:t>
      </w:r>
      <w:r>
        <w:rPr>
          <w:rFonts w:hint="eastAsia"/>
          <w:color w:val="auto"/>
        </w:rPr>
        <w:t>供应商须知</w:t>
      </w:r>
      <w:r>
        <w:rPr>
          <w:color w:val="auto"/>
        </w:rPr>
        <w:tab/>
      </w:r>
      <w:r>
        <w:rPr>
          <w:color w:val="auto"/>
        </w:rPr>
        <w:fldChar w:fldCharType="begin"/>
      </w:r>
      <w:r>
        <w:rPr>
          <w:color w:val="auto"/>
        </w:rPr>
        <w:instrText xml:space="preserve"> PAGEREF _Toc31775 \h </w:instrText>
      </w:r>
      <w:r>
        <w:rPr>
          <w:color w:val="auto"/>
        </w:rPr>
        <w:fldChar w:fldCharType="separate"/>
      </w:r>
      <w:r>
        <w:rPr>
          <w:color w:val="auto"/>
        </w:rPr>
        <w:t>11</w:t>
      </w:r>
      <w:r>
        <w:rPr>
          <w:color w:val="auto"/>
        </w:rPr>
        <w:fldChar w:fldCharType="end"/>
      </w:r>
      <w:r>
        <w:rPr>
          <w:rFonts w:hint="eastAsia"/>
          <w:bCs/>
          <w:color w:val="auto"/>
          <w:szCs w:val="24"/>
        </w:rPr>
        <w:fldChar w:fldCharType="end"/>
      </w:r>
    </w:p>
    <w:p w14:paraId="43AD7ECB">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_Toc22603 </w:instrText>
      </w:r>
      <w:r>
        <w:rPr>
          <w:rFonts w:hint="eastAsia"/>
          <w:bCs/>
          <w:color w:val="auto"/>
          <w:szCs w:val="24"/>
        </w:rPr>
        <w:fldChar w:fldCharType="separate"/>
      </w:r>
      <w:r>
        <w:rPr>
          <w:rFonts w:hint="eastAsia"/>
          <w:color w:val="auto"/>
        </w:rPr>
        <w:t>供应商须知前附表</w:t>
      </w:r>
      <w:r>
        <w:rPr>
          <w:color w:val="auto"/>
        </w:rPr>
        <w:tab/>
      </w:r>
      <w:r>
        <w:rPr>
          <w:color w:val="auto"/>
        </w:rPr>
        <w:fldChar w:fldCharType="begin"/>
      </w:r>
      <w:r>
        <w:rPr>
          <w:color w:val="auto"/>
        </w:rPr>
        <w:instrText xml:space="preserve"> PAGEREF _Toc22603 \h </w:instrText>
      </w:r>
      <w:r>
        <w:rPr>
          <w:color w:val="auto"/>
        </w:rPr>
        <w:fldChar w:fldCharType="separate"/>
      </w:r>
      <w:r>
        <w:rPr>
          <w:color w:val="auto"/>
        </w:rPr>
        <w:t>11</w:t>
      </w:r>
      <w:r>
        <w:rPr>
          <w:color w:val="auto"/>
        </w:rPr>
        <w:fldChar w:fldCharType="end"/>
      </w:r>
      <w:r>
        <w:rPr>
          <w:rFonts w:hint="eastAsia"/>
          <w:bCs/>
          <w:color w:val="auto"/>
          <w:szCs w:val="24"/>
        </w:rPr>
        <w:fldChar w:fldCharType="end"/>
      </w:r>
    </w:p>
    <w:p w14:paraId="7FCF2D52">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_Toc19732 </w:instrText>
      </w:r>
      <w:r>
        <w:rPr>
          <w:rFonts w:hint="eastAsia"/>
          <w:bCs/>
          <w:color w:val="auto"/>
          <w:szCs w:val="24"/>
        </w:rPr>
        <w:fldChar w:fldCharType="separate"/>
      </w:r>
      <w:r>
        <w:rPr>
          <w:rFonts w:hint="eastAsia"/>
          <w:color w:val="auto"/>
          <w:lang w:val="en-US"/>
        </w:rPr>
        <w:t>一  总则</w:t>
      </w:r>
      <w:r>
        <w:rPr>
          <w:color w:val="auto"/>
        </w:rPr>
        <w:tab/>
      </w:r>
      <w:r>
        <w:rPr>
          <w:color w:val="auto"/>
        </w:rPr>
        <w:fldChar w:fldCharType="begin"/>
      </w:r>
      <w:r>
        <w:rPr>
          <w:color w:val="auto"/>
        </w:rPr>
        <w:instrText xml:space="preserve"> PAGEREF _Toc19732 \h </w:instrText>
      </w:r>
      <w:r>
        <w:rPr>
          <w:color w:val="auto"/>
        </w:rPr>
        <w:fldChar w:fldCharType="separate"/>
      </w:r>
      <w:r>
        <w:rPr>
          <w:color w:val="auto"/>
        </w:rPr>
        <w:t>13</w:t>
      </w:r>
      <w:r>
        <w:rPr>
          <w:color w:val="auto"/>
        </w:rPr>
        <w:fldChar w:fldCharType="end"/>
      </w:r>
      <w:r>
        <w:rPr>
          <w:rFonts w:hint="eastAsia"/>
          <w:bCs/>
          <w:color w:val="auto"/>
          <w:szCs w:val="24"/>
        </w:rPr>
        <w:fldChar w:fldCharType="end"/>
      </w:r>
    </w:p>
    <w:p w14:paraId="1433619A">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_Toc18815 </w:instrText>
      </w:r>
      <w:r>
        <w:rPr>
          <w:rFonts w:hint="eastAsia"/>
          <w:bCs/>
          <w:color w:val="auto"/>
          <w:szCs w:val="24"/>
        </w:rPr>
        <w:fldChar w:fldCharType="separate"/>
      </w:r>
      <w:r>
        <w:rPr>
          <w:rFonts w:hint="eastAsia"/>
          <w:color w:val="auto"/>
          <w:lang w:val="en-US"/>
        </w:rPr>
        <w:t>二  磋商文件说明</w:t>
      </w:r>
      <w:r>
        <w:rPr>
          <w:color w:val="auto"/>
        </w:rPr>
        <w:tab/>
      </w:r>
      <w:r>
        <w:rPr>
          <w:color w:val="auto"/>
        </w:rPr>
        <w:fldChar w:fldCharType="begin"/>
      </w:r>
      <w:r>
        <w:rPr>
          <w:color w:val="auto"/>
        </w:rPr>
        <w:instrText xml:space="preserve"> PAGEREF _Toc18815 \h </w:instrText>
      </w:r>
      <w:r>
        <w:rPr>
          <w:color w:val="auto"/>
        </w:rPr>
        <w:fldChar w:fldCharType="separate"/>
      </w:r>
      <w:r>
        <w:rPr>
          <w:color w:val="auto"/>
        </w:rPr>
        <w:t>14</w:t>
      </w:r>
      <w:r>
        <w:rPr>
          <w:color w:val="auto"/>
        </w:rPr>
        <w:fldChar w:fldCharType="end"/>
      </w:r>
      <w:r>
        <w:rPr>
          <w:rFonts w:hint="eastAsia"/>
          <w:bCs/>
          <w:color w:val="auto"/>
          <w:szCs w:val="24"/>
        </w:rPr>
        <w:fldChar w:fldCharType="end"/>
      </w:r>
    </w:p>
    <w:p w14:paraId="6F55C408">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_Toc8156 </w:instrText>
      </w:r>
      <w:r>
        <w:rPr>
          <w:rFonts w:hint="eastAsia"/>
          <w:bCs/>
          <w:color w:val="auto"/>
          <w:szCs w:val="24"/>
        </w:rPr>
        <w:fldChar w:fldCharType="separate"/>
      </w:r>
      <w:r>
        <w:rPr>
          <w:rFonts w:hint="eastAsia"/>
          <w:color w:val="auto"/>
          <w:lang w:val="en-US"/>
        </w:rPr>
        <w:t>三  响应文件的编写</w:t>
      </w:r>
      <w:r>
        <w:rPr>
          <w:color w:val="auto"/>
        </w:rPr>
        <w:tab/>
      </w:r>
      <w:r>
        <w:rPr>
          <w:color w:val="auto"/>
        </w:rPr>
        <w:fldChar w:fldCharType="begin"/>
      </w:r>
      <w:r>
        <w:rPr>
          <w:color w:val="auto"/>
        </w:rPr>
        <w:instrText xml:space="preserve"> PAGEREF _Toc8156 \h </w:instrText>
      </w:r>
      <w:r>
        <w:rPr>
          <w:color w:val="auto"/>
        </w:rPr>
        <w:fldChar w:fldCharType="separate"/>
      </w:r>
      <w:r>
        <w:rPr>
          <w:color w:val="auto"/>
        </w:rPr>
        <w:t>14</w:t>
      </w:r>
      <w:r>
        <w:rPr>
          <w:color w:val="auto"/>
        </w:rPr>
        <w:fldChar w:fldCharType="end"/>
      </w:r>
      <w:r>
        <w:rPr>
          <w:rFonts w:hint="eastAsia"/>
          <w:bCs/>
          <w:color w:val="auto"/>
          <w:szCs w:val="24"/>
        </w:rPr>
        <w:fldChar w:fldCharType="end"/>
      </w:r>
    </w:p>
    <w:p w14:paraId="474145A9">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_Toc26141 </w:instrText>
      </w:r>
      <w:r>
        <w:rPr>
          <w:rFonts w:hint="eastAsia"/>
          <w:bCs/>
          <w:color w:val="auto"/>
          <w:szCs w:val="24"/>
        </w:rPr>
        <w:fldChar w:fldCharType="separate"/>
      </w:r>
      <w:r>
        <w:rPr>
          <w:rFonts w:hint="eastAsia"/>
          <w:color w:val="auto"/>
          <w:lang w:val="en-US"/>
        </w:rPr>
        <w:t>四  履约保证金</w:t>
      </w:r>
      <w:r>
        <w:rPr>
          <w:color w:val="auto"/>
        </w:rPr>
        <w:tab/>
      </w:r>
      <w:r>
        <w:rPr>
          <w:color w:val="auto"/>
        </w:rPr>
        <w:fldChar w:fldCharType="begin"/>
      </w:r>
      <w:r>
        <w:rPr>
          <w:color w:val="auto"/>
        </w:rPr>
        <w:instrText xml:space="preserve"> PAGEREF _Toc26141 \h </w:instrText>
      </w:r>
      <w:r>
        <w:rPr>
          <w:color w:val="auto"/>
        </w:rPr>
        <w:fldChar w:fldCharType="separate"/>
      </w:r>
      <w:r>
        <w:rPr>
          <w:color w:val="auto"/>
        </w:rPr>
        <w:t>16</w:t>
      </w:r>
      <w:r>
        <w:rPr>
          <w:color w:val="auto"/>
        </w:rPr>
        <w:fldChar w:fldCharType="end"/>
      </w:r>
      <w:r>
        <w:rPr>
          <w:rFonts w:hint="eastAsia"/>
          <w:bCs/>
          <w:color w:val="auto"/>
          <w:szCs w:val="24"/>
        </w:rPr>
        <w:fldChar w:fldCharType="end"/>
      </w:r>
    </w:p>
    <w:p w14:paraId="1E3B14FA">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_Toc29376 </w:instrText>
      </w:r>
      <w:r>
        <w:rPr>
          <w:rFonts w:hint="eastAsia"/>
          <w:bCs/>
          <w:color w:val="auto"/>
          <w:szCs w:val="24"/>
        </w:rPr>
        <w:fldChar w:fldCharType="separate"/>
      </w:r>
      <w:r>
        <w:rPr>
          <w:rFonts w:hint="eastAsia"/>
          <w:color w:val="auto"/>
          <w:lang w:val="en-US"/>
        </w:rPr>
        <w:t>五  响应文件的加密、提交、修改和撤回</w:t>
      </w:r>
      <w:r>
        <w:rPr>
          <w:color w:val="auto"/>
        </w:rPr>
        <w:tab/>
      </w:r>
      <w:r>
        <w:rPr>
          <w:color w:val="auto"/>
        </w:rPr>
        <w:fldChar w:fldCharType="begin"/>
      </w:r>
      <w:r>
        <w:rPr>
          <w:color w:val="auto"/>
        </w:rPr>
        <w:instrText xml:space="preserve"> PAGEREF _Toc29376 \h </w:instrText>
      </w:r>
      <w:r>
        <w:rPr>
          <w:color w:val="auto"/>
        </w:rPr>
        <w:fldChar w:fldCharType="separate"/>
      </w:r>
      <w:r>
        <w:rPr>
          <w:color w:val="auto"/>
        </w:rPr>
        <w:t>16</w:t>
      </w:r>
      <w:r>
        <w:rPr>
          <w:color w:val="auto"/>
        </w:rPr>
        <w:fldChar w:fldCharType="end"/>
      </w:r>
      <w:r>
        <w:rPr>
          <w:rFonts w:hint="eastAsia"/>
          <w:bCs/>
          <w:color w:val="auto"/>
          <w:szCs w:val="24"/>
        </w:rPr>
        <w:fldChar w:fldCharType="end"/>
      </w:r>
    </w:p>
    <w:p w14:paraId="30D60601">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_Toc15440 </w:instrText>
      </w:r>
      <w:r>
        <w:rPr>
          <w:rFonts w:hint="eastAsia"/>
          <w:bCs/>
          <w:color w:val="auto"/>
          <w:szCs w:val="24"/>
        </w:rPr>
        <w:fldChar w:fldCharType="separate"/>
      </w:r>
      <w:r>
        <w:rPr>
          <w:rFonts w:hint="eastAsia"/>
          <w:color w:val="auto"/>
          <w:lang w:val="en-US"/>
        </w:rPr>
        <w:t>六  磋商和评审</w:t>
      </w:r>
      <w:r>
        <w:rPr>
          <w:color w:val="auto"/>
        </w:rPr>
        <w:tab/>
      </w:r>
      <w:r>
        <w:rPr>
          <w:color w:val="auto"/>
        </w:rPr>
        <w:fldChar w:fldCharType="begin"/>
      </w:r>
      <w:r>
        <w:rPr>
          <w:color w:val="auto"/>
        </w:rPr>
        <w:instrText xml:space="preserve"> PAGEREF _Toc15440 \h </w:instrText>
      </w:r>
      <w:r>
        <w:rPr>
          <w:color w:val="auto"/>
        </w:rPr>
        <w:fldChar w:fldCharType="separate"/>
      </w:r>
      <w:r>
        <w:rPr>
          <w:color w:val="auto"/>
        </w:rPr>
        <w:t>17</w:t>
      </w:r>
      <w:r>
        <w:rPr>
          <w:color w:val="auto"/>
        </w:rPr>
        <w:fldChar w:fldCharType="end"/>
      </w:r>
      <w:r>
        <w:rPr>
          <w:rFonts w:hint="eastAsia"/>
          <w:bCs/>
          <w:color w:val="auto"/>
          <w:szCs w:val="24"/>
        </w:rPr>
        <w:fldChar w:fldCharType="end"/>
      </w:r>
    </w:p>
    <w:p w14:paraId="7AF456AE">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_Toc10279 </w:instrText>
      </w:r>
      <w:r>
        <w:rPr>
          <w:rFonts w:hint="eastAsia"/>
          <w:bCs/>
          <w:color w:val="auto"/>
          <w:szCs w:val="24"/>
        </w:rPr>
        <w:fldChar w:fldCharType="separate"/>
      </w:r>
      <w:r>
        <w:rPr>
          <w:rFonts w:hint="eastAsia"/>
          <w:color w:val="auto"/>
          <w:lang w:val="en-US"/>
        </w:rPr>
        <w:t>七  磋商无效的情形</w:t>
      </w:r>
      <w:r>
        <w:rPr>
          <w:color w:val="auto"/>
        </w:rPr>
        <w:tab/>
      </w:r>
      <w:r>
        <w:rPr>
          <w:color w:val="auto"/>
        </w:rPr>
        <w:fldChar w:fldCharType="begin"/>
      </w:r>
      <w:r>
        <w:rPr>
          <w:color w:val="auto"/>
        </w:rPr>
        <w:instrText xml:space="preserve"> PAGEREF _Toc10279 \h </w:instrText>
      </w:r>
      <w:r>
        <w:rPr>
          <w:color w:val="auto"/>
        </w:rPr>
        <w:fldChar w:fldCharType="separate"/>
      </w:r>
      <w:r>
        <w:rPr>
          <w:color w:val="auto"/>
        </w:rPr>
        <w:t>20</w:t>
      </w:r>
      <w:r>
        <w:rPr>
          <w:color w:val="auto"/>
        </w:rPr>
        <w:fldChar w:fldCharType="end"/>
      </w:r>
      <w:r>
        <w:rPr>
          <w:rFonts w:hint="eastAsia"/>
          <w:bCs/>
          <w:color w:val="auto"/>
          <w:szCs w:val="24"/>
        </w:rPr>
        <w:fldChar w:fldCharType="end"/>
      </w:r>
    </w:p>
    <w:p w14:paraId="11EA2365">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_Toc1603 </w:instrText>
      </w:r>
      <w:r>
        <w:rPr>
          <w:rFonts w:hint="eastAsia"/>
          <w:bCs/>
          <w:color w:val="auto"/>
          <w:szCs w:val="24"/>
        </w:rPr>
        <w:fldChar w:fldCharType="separate"/>
      </w:r>
      <w:r>
        <w:rPr>
          <w:rFonts w:hint="eastAsia"/>
          <w:color w:val="auto"/>
          <w:lang w:val="en-US"/>
        </w:rPr>
        <w:t>八  法律责任</w:t>
      </w:r>
      <w:r>
        <w:rPr>
          <w:color w:val="auto"/>
        </w:rPr>
        <w:tab/>
      </w:r>
      <w:r>
        <w:rPr>
          <w:color w:val="auto"/>
        </w:rPr>
        <w:fldChar w:fldCharType="begin"/>
      </w:r>
      <w:r>
        <w:rPr>
          <w:color w:val="auto"/>
        </w:rPr>
        <w:instrText xml:space="preserve"> PAGEREF _Toc1603 \h </w:instrText>
      </w:r>
      <w:r>
        <w:rPr>
          <w:color w:val="auto"/>
        </w:rPr>
        <w:fldChar w:fldCharType="separate"/>
      </w:r>
      <w:r>
        <w:rPr>
          <w:color w:val="auto"/>
        </w:rPr>
        <w:t>21</w:t>
      </w:r>
      <w:r>
        <w:rPr>
          <w:color w:val="auto"/>
        </w:rPr>
        <w:fldChar w:fldCharType="end"/>
      </w:r>
      <w:r>
        <w:rPr>
          <w:rFonts w:hint="eastAsia"/>
          <w:bCs/>
          <w:color w:val="auto"/>
          <w:szCs w:val="24"/>
        </w:rPr>
        <w:fldChar w:fldCharType="end"/>
      </w:r>
    </w:p>
    <w:p w14:paraId="1BD96011">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_Toc21883 </w:instrText>
      </w:r>
      <w:r>
        <w:rPr>
          <w:rFonts w:hint="eastAsia"/>
          <w:bCs/>
          <w:color w:val="auto"/>
          <w:szCs w:val="24"/>
        </w:rPr>
        <w:fldChar w:fldCharType="separate"/>
      </w:r>
      <w:r>
        <w:rPr>
          <w:rFonts w:hint="eastAsia"/>
          <w:color w:val="auto"/>
          <w:lang w:val="en-US"/>
        </w:rPr>
        <w:t>九  询问</w:t>
      </w:r>
      <w:r>
        <w:rPr>
          <w:color w:val="auto"/>
        </w:rPr>
        <w:tab/>
      </w:r>
      <w:r>
        <w:rPr>
          <w:color w:val="auto"/>
        </w:rPr>
        <w:fldChar w:fldCharType="begin"/>
      </w:r>
      <w:r>
        <w:rPr>
          <w:color w:val="auto"/>
        </w:rPr>
        <w:instrText xml:space="preserve"> PAGEREF _Toc21883 \h </w:instrText>
      </w:r>
      <w:r>
        <w:rPr>
          <w:color w:val="auto"/>
        </w:rPr>
        <w:fldChar w:fldCharType="separate"/>
      </w:r>
      <w:r>
        <w:rPr>
          <w:color w:val="auto"/>
        </w:rPr>
        <w:t>23</w:t>
      </w:r>
      <w:r>
        <w:rPr>
          <w:color w:val="auto"/>
        </w:rPr>
        <w:fldChar w:fldCharType="end"/>
      </w:r>
      <w:r>
        <w:rPr>
          <w:rFonts w:hint="eastAsia"/>
          <w:bCs/>
          <w:color w:val="auto"/>
          <w:szCs w:val="24"/>
        </w:rPr>
        <w:fldChar w:fldCharType="end"/>
      </w:r>
    </w:p>
    <w:p w14:paraId="38FBF044">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_Toc32730 </w:instrText>
      </w:r>
      <w:r>
        <w:rPr>
          <w:rFonts w:hint="eastAsia"/>
          <w:bCs/>
          <w:color w:val="auto"/>
          <w:szCs w:val="24"/>
        </w:rPr>
        <w:fldChar w:fldCharType="separate"/>
      </w:r>
      <w:r>
        <w:rPr>
          <w:rFonts w:hint="eastAsia"/>
          <w:color w:val="auto"/>
          <w:lang w:val="en-US"/>
        </w:rPr>
        <w:t>十  质疑</w:t>
      </w:r>
      <w:r>
        <w:rPr>
          <w:color w:val="auto"/>
        </w:rPr>
        <w:tab/>
      </w:r>
      <w:r>
        <w:rPr>
          <w:color w:val="auto"/>
        </w:rPr>
        <w:fldChar w:fldCharType="begin"/>
      </w:r>
      <w:r>
        <w:rPr>
          <w:color w:val="auto"/>
        </w:rPr>
        <w:instrText xml:space="preserve"> PAGEREF _Toc32730 \h </w:instrText>
      </w:r>
      <w:r>
        <w:rPr>
          <w:color w:val="auto"/>
        </w:rPr>
        <w:fldChar w:fldCharType="separate"/>
      </w:r>
      <w:r>
        <w:rPr>
          <w:color w:val="auto"/>
        </w:rPr>
        <w:t>23</w:t>
      </w:r>
      <w:r>
        <w:rPr>
          <w:color w:val="auto"/>
        </w:rPr>
        <w:fldChar w:fldCharType="end"/>
      </w:r>
      <w:r>
        <w:rPr>
          <w:rFonts w:hint="eastAsia"/>
          <w:bCs/>
          <w:color w:val="auto"/>
          <w:szCs w:val="24"/>
        </w:rPr>
        <w:fldChar w:fldCharType="end"/>
      </w:r>
    </w:p>
    <w:p w14:paraId="45EB8A76">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_Toc31384 </w:instrText>
      </w:r>
      <w:r>
        <w:rPr>
          <w:rFonts w:hint="eastAsia"/>
          <w:bCs/>
          <w:color w:val="auto"/>
          <w:szCs w:val="24"/>
        </w:rPr>
        <w:fldChar w:fldCharType="separate"/>
      </w:r>
      <w:r>
        <w:rPr>
          <w:rFonts w:hint="eastAsia"/>
          <w:color w:val="auto"/>
          <w:lang w:val="en-US"/>
        </w:rPr>
        <w:t>十一  投诉</w:t>
      </w:r>
      <w:r>
        <w:rPr>
          <w:color w:val="auto"/>
        </w:rPr>
        <w:tab/>
      </w:r>
      <w:r>
        <w:rPr>
          <w:color w:val="auto"/>
        </w:rPr>
        <w:fldChar w:fldCharType="begin"/>
      </w:r>
      <w:r>
        <w:rPr>
          <w:color w:val="auto"/>
        </w:rPr>
        <w:instrText xml:space="preserve"> PAGEREF _Toc31384 \h </w:instrText>
      </w:r>
      <w:r>
        <w:rPr>
          <w:color w:val="auto"/>
        </w:rPr>
        <w:fldChar w:fldCharType="separate"/>
      </w:r>
      <w:r>
        <w:rPr>
          <w:color w:val="auto"/>
        </w:rPr>
        <w:t>24</w:t>
      </w:r>
      <w:r>
        <w:rPr>
          <w:color w:val="auto"/>
        </w:rPr>
        <w:fldChar w:fldCharType="end"/>
      </w:r>
      <w:r>
        <w:rPr>
          <w:rFonts w:hint="eastAsia"/>
          <w:bCs/>
          <w:color w:val="auto"/>
          <w:szCs w:val="24"/>
        </w:rPr>
        <w:fldChar w:fldCharType="end"/>
      </w:r>
    </w:p>
    <w:p w14:paraId="283BF4DC">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_Toc5890 </w:instrText>
      </w:r>
      <w:r>
        <w:rPr>
          <w:rFonts w:hint="eastAsia"/>
          <w:bCs/>
          <w:color w:val="auto"/>
          <w:szCs w:val="24"/>
        </w:rPr>
        <w:fldChar w:fldCharType="separate"/>
      </w:r>
      <w:r>
        <w:rPr>
          <w:rFonts w:hint="eastAsia"/>
          <w:color w:val="auto"/>
          <w:lang w:val="en-US"/>
        </w:rPr>
        <w:t>十二  授予合同</w:t>
      </w:r>
      <w:r>
        <w:rPr>
          <w:color w:val="auto"/>
        </w:rPr>
        <w:tab/>
      </w:r>
      <w:r>
        <w:rPr>
          <w:color w:val="auto"/>
        </w:rPr>
        <w:fldChar w:fldCharType="begin"/>
      </w:r>
      <w:r>
        <w:rPr>
          <w:color w:val="auto"/>
        </w:rPr>
        <w:instrText xml:space="preserve"> PAGEREF _Toc5890 \h </w:instrText>
      </w:r>
      <w:r>
        <w:rPr>
          <w:color w:val="auto"/>
        </w:rPr>
        <w:fldChar w:fldCharType="separate"/>
      </w:r>
      <w:r>
        <w:rPr>
          <w:color w:val="auto"/>
        </w:rPr>
        <w:t>24</w:t>
      </w:r>
      <w:r>
        <w:rPr>
          <w:color w:val="auto"/>
        </w:rPr>
        <w:fldChar w:fldCharType="end"/>
      </w:r>
      <w:r>
        <w:rPr>
          <w:rFonts w:hint="eastAsia"/>
          <w:bCs/>
          <w:color w:val="auto"/>
          <w:szCs w:val="24"/>
        </w:rPr>
        <w:fldChar w:fldCharType="end"/>
      </w:r>
    </w:p>
    <w:p w14:paraId="2C2A60D2">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_Toc27970 </w:instrText>
      </w:r>
      <w:r>
        <w:rPr>
          <w:rFonts w:hint="eastAsia"/>
          <w:bCs/>
          <w:color w:val="auto"/>
          <w:szCs w:val="24"/>
        </w:rPr>
        <w:fldChar w:fldCharType="separate"/>
      </w:r>
      <w:r>
        <w:rPr>
          <w:rFonts w:hint="eastAsia"/>
          <w:color w:val="auto"/>
          <w:lang w:val="en-US"/>
        </w:rPr>
        <w:t>十三  政府采购政策</w:t>
      </w:r>
      <w:r>
        <w:rPr>
          <w:color w:val="auto"/>
        </w:rPr>
        <w:tab/>
      </w:r>
      <w:r>
        <w:rPr>
          <w:color w:val="auto"/>
        </w:rPr>
        <w:fldChar w:fldCharType="begin"/>
      </w:r>
      <w:r>
        <w:rPr>
          <w:color w:val="auto"/>
        </w:rPr>
        <w:instrText xml:space="preserve"> PAGEREF _Toc27970 \h </w:instrText>
      </w:r>
      <w:r>
        <w:rPr>
          <w:color w:val="auto"/>
        </w:rPr>
        <w:fldChar w:fldCharType="separate"/>
      </w:r>
      <w:r>
        <w:rPr>
          <w:color w:val="auto"/>
        </w:rPr>
        <w:t>25</w:t>
      </w:r>
      <w:r>
        <w:rPr>
          <w:color w:val="auto"/>
        </w:rPr>
        <w:fldChar w:fldCharType="end"/>
      </w:r>
      <w:r>
        <w:rPr>
          <w:rFonts w:hint="eastAsia"/>
          <w:bCs/>
          <w:color w:val="auto"/>
          <w:szCs w:val="24"/>
        </w:rPr>
        <w:fldChar w:fldCharType="end"/>
      </w:r>
    </w:p>
    <w:p w14:paraId="0CF6B969">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_Toc13238 </w:instrText>
      </w:r>
      <w:r>
        <w:rPr>
          <w:rFonts w:hint="eastAsia"/>
          <w:bCs/>
          <w:color w:val="auto"/>
          <w:szCs w:val="24"/>
        </w:rPr>
        <w:fldChar w:fldCharType="separate"/>
      </w:r>
      <w:r>
        <w:rPr>
          <w:rFonts w:hint="eastAsia"/>
          <w:color w:val="auto"/>
          <w:lang w:val="en-US"/>
        </w:rPr>
        <w:t>十四  其他事项</w:t>
      </w:r>
      <w:r>
        <w:rPr>
          <w:color w:val="auto"/>
        </w:rPr>
        <w:tab/>
      </w:r>
      <w:r>
        <w:rPr>
          <w:color w:val="auto"/>
        </w:rPr>
        <w:fldChar w:fldCharType="begin"/>
      </w:r>
      <w:r>
        <w:rPr>
          <w:color w:val="auto"/>
        </w:rPr>
        <w:instrText xml:space="preserve"> PAGEREF _Toc13238 \h </w:instrText>
      </w:r>
      <w:r>
        <w:rPr>
          <w:color w:val="auto"/>
        </w:rPr>
        <w:fldChar w:fldCharType="separate"/>
      </w:r>
      <w:r>
        <w:rPr>
          <w:color w:val="auto"/>
        </w:rPr>
        <w:t>25</w:t>
      </w:r>
      <w:r>
        <w:rPr>
          <w:color w:val="auto"/>
        </w:rPr>
        <w:fldChar w:fldCharType="end"/>
      </w:r>
      <w:r>
        <w:rPr>
          <w:rFonts w:hint="eastAsia"/>
          <w:bCs/>
          <w:color w:val="auto"/>
          <w:szCs w:val="24"/>
        </w:rPr>
        <w:fldChar w:fldCharType="end"/>
      </w:r>
    </w:p>
    <w:p w14:paraId="6FA8D676">
      <w:pPr>
        <w:pStyle w:val="20"/>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_Toc25009 </w:instrText>
      </w:r>
      <w:r>
        <w:rPr>
          <w:rFonts w:hint="eastAsia"/>
          <w:bCs/>
          <w:color w:val="auto"/>
          <w:szCs w:val="24"/>
        </w:rPr>
        <w:fldChar w:fldCharType="separate"/>
      </w:r>
      <w:r>
        <w:rPr>
          <w:rFonts w:hint="eastAsia"/>
          <w:color w:val="auto"/>
        </w:rPr>
        <w:t>第四章 政府采购合同格式</w:t>
      </w:r>
      <w:r>
        <w:rPr>
          <w:color w:val="auto"/>
        </w:rPr>
        <w:tab/>
      </w:r>
      <w:r>
        <w:rPr>
          <w:color w:val="auto"/>
        </w:rPr>
        <w:fldChar w:fldCharType="begin"/>
      </w:r>
      <w:r>
        <w:rPr>
          <w:color w:val="auto"/>
        </w:rPr>
        <w:instrText xml:space="preserve"> PAGEREF _Toc25009 \h </w:instrText>
      </w:r>
      <w:r>
        <w:rPr>
          <w:color w:val="auto"/>
        </w:rPr>
        <w:fldChar w:fldCharType="separate"/>
      </w:r>
      <w:r>
        <w:rPr>
          <w:color w:val="auto"/>
        </w:rPr>
        <w:t>28</w:t>
      </w:r>
      <w:r>
        <w:rPr>
          <w:color w:val="auto"/>
        </w:rPr>
        <w:fldChar w:fldCharType="end"/>
      </w:r>
      <w:r>
        <w:rPr>
          <w:rFonts w:hint="eastAsia"/>
          <w:bCs/>
          <w:color w:val="auto"/>
          <w:szCs w:val="24"/>
        </w:rPr>
        <w:fldChar w:fldCharType="end"/>
      </w:r>
    </w:p>
    <w:p w14:paraId="6BDD47D5">
      <w:pPr>
        <w:pStyle w:val="20"/>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_Toc10096 </w:instrText>
      </w:r>
      <w:r>
        <w:rPr>
          <w:rFonts w:hint="eastAsia"/>
          <w:bCs/>
          <w:color w:val="auto"/>
          <w:szCs w:val="24"/>
        </w:rPr>
        <w:fldChar w:fldCharType="separate"/>
      </w:r>
      <w:r>
        <w:rPr>
          <w:rFonts w:hint="eastAsia"/>
          <w:color w:val="auto"/>
        </w:rPr>
        <w:t>第五章</w:t>
      </w:r>
      <w:r>
        <w:rPr>
          <w:rFonts w:hint="eastAsia"/>
          <w:color w:val="auto"/>
          <w:lang w:val="en-US" w:eastAsia="zh-CN"/>
        </w:rPr>
        <w:t xml:space="preserve"> </w:t>
      </w:r>
      <w:r>
        <w:rPr>
          <w:rFonts w:hint="eastAsia"/>
          <w:color w:val="auto"/>
        </w:rPr>
        <w:t>磋商相关文件格式</w:t>
      </w:r>
      <w:r>
        <w:rPr>
          <w:color w:val="auto"/>
        </w:rPr>
        <w:tab/>
      </w:r>
      <w:r>
        <w:rPr>
          <w:color w:val="auto"/>
        </w:rPr>
        <w:fldChar w:fldCharType="begin"/>
      </w:r>
      <w:r>
        <w:rPr>
          <w:color w:val="auto"/>
        </w:rPr>
        <w:instrText xml:space="preserve"> PAGEREF _Toc10096 \h </w:instrText>
      </w:r>
      <w:r>
        <w:rPr>
          <w:color w:val="auto"/>
        </w:rPr>
        <w:fldChar w:fldCharType="separate"/>
      </w:r>
      <w:r>
        <w:rPr>
          <w:color w:val="auto"/>
        </w:rPr>
        <w:t>33</w:t>
      </w:r>
      <w:r>
        <w:rPr>
          <w:color w:val="auto"/>
        </w:rPr>
        <w:fldChar w:fldCharType="end"/>
      </w:r>
      <w:r>
        <w:rPr>
          <w:rFonts w:hint="eastAsia"/>
          <w:bCs/>
          <w:color w:val="auto"/>
          <w:szCs w:val="24"/>
        </w:rPr>
        <w:fldChar w:fldCharType="end"/>
      </w:r>
    </w:p>
    <w:p w14:paraId="2685BA62">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_Toc11578 </w:instrText>
      </w:r>
      <w:r>
        <w:rPr>
          <w:rFonts w:hint="eastAsia"/>
          <w:bCs/>
          <w:color w:val="auto"/>
          <w:szCs w:val="24"/>
        </w:rPr>
        <w:fldChar w:fldCharType="separate"/>
      </w:r>
      <w:r>
        <w:rPr>
          <w:rFonts w:hint="eastAsia"/>
          <w:color w:val="auto"/>
        </w:rPr>
        <w:t>一</w:t>
      </w:r>
      <w:r>
        <w:rPr>
          <w:rFonts w:hint="eastAsia"/>
          <w:color w:val="auto"/>
          <w:lang w:val="en-US" w:eastAsia="zh-CN"/>
        </w:rPr>
        <w:t xml:space="preserve"> </w:t>
      </w:r>
      <w:r>
        <w:rPr>
          <w:rFonts w:hint="eastAsia"/>
          <w:color w:val="auto"/>
        </w:rPr>
        <w:t>资格审查文件格式</w:t>
      </w:r>
      <w:r>
        <w:rPr>
          <w:color w:val="auto"/>
        </w:rPr>
        <w:tab/>
      </w:r>
      <w:r>
        <w:rPr>
          <w:color w:val="auto"/>
        </w:rPr>
        <w:fldChar w:fldCharType="begin"/>
      </w:r>
      <w:r>
        <w:rPr>
          <w:color w:val="auto"/>
        </w:rPr>
        <w:instrText xml:space="preserve"> PAGEREF _Toc11578 \h </w:instrText>
      </w:r>
      <w:r>
        <w:rPr>
          <w:color w:val="auto"/>
        </w:rPr>
        <w:fldChar w:fldCharType="separate"/>
      </w:r>
      <w:r>
        <w:rPr>
          <w:color w:val="auto"/>
        </w:rPr>
        <w:t>33</w:t>
      </w:r>
      <w:r>
        <w:rPr>
          <w:color w:val="auto"/>
        </w:rPr>
        <w:fldChar w:fldCharType="end"/>
      </w:r>
      <w:r>
        <w:rPr>
          <w:rFonts w:hint="eastAsia"/>
          <w:bCs/>
          <w:color w:val="auto"/>
          <w:szCs w:val="24"/>
        </w:rPr>
        <w:fldChar w:fldCharType="end"/>
      </w:r>
    </w:p>
    <w:p w14:paraId="1480C0C6">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_Toc26463 </w:instrText>
      </w:r>
      <w:r>
        <w:rPr>
          <w:rFonts w:hint="eastAsia"/>
          <w:bCs/>
          <w:color w:val="auto"/>
          <w:szCs w:val="24"/>
        </w:rPr>
        <w:fldChar w:fldCharType="separate"/>
      </w:r>
      <w:r>
        <w:rPr>
          <w:rFonts w:hint="eastAsia"/>
          <w:color w:val="auto"/>
        </w:rPr>
        <w:t>二</w:t>
      </w:r>
      <w:r>
        <w:rPr>
          <w:rFonts w:hint="eastAsia"/>
          <w:color w:val="auto"/>
          <w:lang w:val="en-US" w:eastAsia="zh-CN"/>
        </w:rPr>
        <w:t xml:space="preserve"> </w:t>
      </w:r>
      <w:r>
        <w:rPr>
          <w:rFonts w:hint="eastAsia"/>
          <w:color w:val="auto"/>
        </w:rPr>
        <w:t>资信商务及技术文件格式</w:t>
      </w:r>
      <w:r>
        <w:rPr>
          <w:color w:val="auto"/>
        </w:rPr>
        <w:tab/>
      </w:r>
      <w:r>
        <w:rPr>
          <w:color w:val="auto"/>
        </w:rPr>
        <w:fldChar w:fldCharType="begin"/>
      </w:r>
      <w:r>
        <w:rPr>
          <w:color w:val="auto"/>
        </w:rPr>
        <w:instrText xml:space="preserve"> PAGEREF _Toc26463 \h </w:instrText>
      </w:r>
      <w:r>
        <w:rPr>
          <w:color w:val="auto"/>
        </w:rPr>
        <w:fldChar w:fldCharType="separate"/>
      </w:r>
      <w:r>
        <w:rPr>
          <w:color w:val="auto"/>
        </w:rPr>
        <w:t>42</w:t>
      </w:r>
      <w:r>
        <w:rPr>
          <w:color w:val="auto"/>
        </w:rPr>
        <w:fldChar w:fldCharType="end"/>
      </w:r>
      <w:r>
        <w:rPr>
          <w:rFonts w:hint="eastAsia"/>
          <w:bCs/>
          <w:color w:val="auto"/>
          <w:szCs w:val="24"/>
        </w:rPr>
        <w:fldChar w:fldCharType="end"/>
      </w:r>
    </w:p>
    <w:p w14:paraId="6EEBD9DE">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_Toc16461 </w:instrText>
      </w:r>
      <w:r>
        <w:rPr>
          <w:rFonts w:hint="eastAsia"/>
          <w:bCs/>
          <w:color w:val="auto"/>
          <w:szCs w:val="24"/>
        </w:rPr>
        <w:fldChar w:fldCharType="separate"/>
      </w:r>
      <w:r>
        <w:rPr>
          <w:rFonts w:hint="eastAsia"/>
          <w:color w:val="auto"/>
        </w:rPr>
        <w:t>三</w:t>
      </w:r>
      <w:r>
        <w:rPr>
          <w:rFonts w:hint="eastAsia"/>
          <w:color w:val="auto"/>
          <w:lang w:val="en-US" w:eastAsia="zh-CN"/>
        </w:rPr>
        <w:t xml:space="preserve"> </w:t>
      </w:r>
      <w:r>
        <w:rPr>
          <w:rFonts w:hint="eastAsia"/>
          <w:color w:val="auto"/>
        </w:rPr>
        <w:t>报价文件格式</w:t>
      </w:r>
      <w:r>
        <w:rPr>
          <w:color w:val="auto"/>
        </w:rPr>
        <w:tab/>
      </w:r>
      <w:r>
        <w:rPr>
          <w:color w:val="auto"/>
        </w:rPr>
        <w:fldChar w:fldCharType="begin"/>
      </w:r>
      <w:r>
        <w:rPr>
          <w:color w:val="auto"/>
        </w:rPr>
        <w:instrText xml:space="preserve"> PAGEREF _Toc16461 \h </w:instrText>
      </w:r>
      <w:r>
        <w:rPr>
          <w:color w:val="auto"/>
        </w:rPr>
        <w:fldChar w:fldCharType="separate"/>
      </w:r>
      <w:r>
        <w:rPr>
          <w:color w:val="auto"/>
        </w:rPr>
        <w:t>53</w:t>
      </w:r>
      <w:r>
        <w:rPr>
          <w:color w:val="auto"/>
        </w:rPr>
        <w:fldChar w:fldCharType="end"/>
      </w:r>
      <w:r>
        <w:rPr>
          <w:rFonts w:hint="eastAsia"/>
          <w:bCs/>
          <w:color w:val="auto"/>
          <w:szCs w:val="24"/>
        </w:rPr>
        <w:fldChar w:fldCharType="end"/>
      </w:r>
    </w:p>
    <w:p w14:paraId="6D388C9A">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_Toc20210 </w:instrText>
      </w:r>
      <w:r>
        <w:rPr>
          <w:rFonts w:hint="eastAsia"/>
          <w:bCs/>
          <w:color w:val="auto"/>
          <w:szCs w:val="24"/>
        </w:rPr>
        <w:fldChar w:fldCharType="separate"/>
      </w:r>
      <w:r>
        <w:rPr>
          <w:rFonts w:hint="eastAsia"/>
          <w:color w:val="auto"/>
          <w:lang w:eastAsia="zh-CN"/>
        </w:rPr>
        <w:t>四</w:t>
      </w:r>
      <w:r>
        <w:rPr>
          <w:rFonts w:hint="eastAsia"/>
          <w:color w:val="auto"/>
          <w:lang w:val="en-US" w:eastAsia="zh-CN"/>
        </w:rPr>
        <w:t xml:space="preserve"> </w:t>
      </w:r>
      <w:r>
        <w:rPr>
          <w:rFonts w:hint="eastAsia"/>
          <w:color w:val="auto"/>
        </w:rPr>
        <w:t>现场确认声明书</w:t>
      </w:r>
      <w:r>
        <w:rPr>
          <w:color w:val="auto"/>
        </w:rPr>
        <w:tab/>
      </w:r>
      <w:r>
        <w:rPr>
          <w:color w:val="auto"/>
        </w:rPr>
        <w:fldChar w:fldCharType="begin"/>
      </w:r>
      <w:r>
        <w:rPr>
          <w:color w:val="auto"/>
        </w:rPr>
        <w:instrText xml:space="preserve"> PAGEREF _Toc20210 \h </w:instrText>
      </w:r>
      <w:r>
        <w:rPr>
          <w:color w:val="auto"/>
        </w:rPr>
        <w:fldChar w:fldCharType="separate"/>
      </w:r>
      <w:r>
        <w:rPr>
          <w:color w:val="auto"/>
        </w:rPr>
        <w:t>61</w:t>
      </w:r>
      <w:r>
        <w:rPr>
          <w:color w:val="auto"/>
        </w:rPr>
        <w:fldChar w:fldCharType="end"/>
      </w:r>
      <w:r>
        <w:rPr>
          <w:rFonts w:hint="eastAsia"/>
          <w:bCs/>
          <w:color w:val="auto"/>
          <w:szCs w:val="24"/>
        </w:rPr>
        <w:fldChar w:fldCharType="end"/>
      </w:r>
    </w:p>
    <w:p w14:paraId="220E3286">
      <w:pPr>
        <w:pStyle w:val="20"/>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_Toc12458 </w:instrText>
      </w:r>
      <w:r>
        <w:rPr>
          <w:rFonts w:hint="eastAsia"/>
          <w:bCs/>
          <w:color w:val="auto"/>
          <w:szCs w:val="24"/>
        </w:rPr>
        <w:fldChar w:fldCharType="separate"/>
      </w:r>
      <w:r>
        <w:rPr>
          <w:rFonts w:hint="eastAsia"/>
          <w:color w:val="auto"/>
        </w:rPr>
        <w:t>第六章</w:t>
      </w:r>
      <w:r>
        <w:rPr>
          <w:rFonts w:hint="eastAsia"/>
          <w:color w:val="auto"/>
          <w:lang w:val="en-US" w:eastAsia="zh-CN"/>
        </w:rPr>
        <w:t xml:space="preserve"> </w:t>
      </w:r>
      <w:r>
        <w:rPr>
          <w:rFonts w:hint="eastAsia"/>
          <w:color w:val="auto"/>
        </w:rPr>
        <w:t>评标办法和细则</w:t>
      </w:r>
      <w:r>
        <w:rPr>
          <w:color w:val="auto"/>
        </w:rPr>
        <w:tab/>
      </w:r>
      <w:r>
        <w:rPr>
          <w:color w:val="auto"/>
        </w:rPr>
        <w:fldChar w:fldCharType="begin"/>
      </w:r>
      <w:r>
        <w:rPr>
          <w:color w:val="auto"/>
        </w:rPr>
        <w:instrText xml:space="preserve"> PAGEREF _Toc12458 \h </w:instrText>
      </w:r>
      <w:r>
        <w:rPr>
          <w:color w:val="auto"/>
        </w:rPr>
        <w:fldChar w:fldCharType="separate"/>
      </w:r>
      <w:r>
        <w:rPr>
          <w:color w:val="auto"/>
        </w:rPr>
        <w:t>62</w:t>
      </w:r>
      <w:r>
        <w:rPr>
          <w:color w:val="auto"/>
        </w:rPr>
        <w:fldChar w:fldCharType="end"/>
      </w:r>
      <w:r>
        <w:rPr>
          <w:rFonts w:hint="eastAsia"/>
          <w:bCs/>
          <w:color w:val="auto"/>
          <w:szCs w:val="24"/>
        </w:rPr>
        <w:fldChar w:fldCharType="end"/>
      </w:r>
    </w:p>
    <w:p w14:paraId="1B4E4744">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_Toc5308 </w:instrText>
      </w:r>
      <w:r>
        <w:rPr>
          <w:rFonts w:hint="eastAsia"/>
          <w:bCs/>
          <w:color w:val="auto"/>
          <w:szCs w:val="24"/>
        </w:rPr>
        <w:fldChar w:fldCharType="separate"/>
      </w:r>
      <w:r>
        <w:rPr>
          <w:rFonts w:hint="eastAsia"/>
          <w:color w:val="auto"/>
        </w:rPr>
        <w:t>一   总则</w:t>
      </w:r>
      <w:r>
        <w:rPr>
          <w:color w:val="auto"/>
        </w:rPr>
        <w:tab/>
      </w:r>
      <w:r>
        <w:rPr>
          <w:color w:val="auto"/>
        </w:rPr>
        <w:fldChar w:fldCharType="begin"/>
      </w:r>
      <w:r>
        <w:rPr>
          <w:color w:val="auto"/>
        </w:rPr>
        <w:instrText xml:space="preserve"> PAGEREF _Toc5308 \h </w:instrText>
      </w:r>
      <w:r>
        <w:rPr>
          <w:color w:val="auto"/>
        </w:rPr>
        <w:fldChar w:fldCharType="separate"/>
      </w:r>
      <w:r>
        <w:rPr>
          <w:color w:val="auto"/>
        </w:rPr>
        <w:t>62</w:t>
      </w:r>
      <w:r>
        <w:rPr>
          <w:color w:val="auto"/>
        </w:rPr>
        <w:fldChar w:fldCharType="end"/>
      </w:r>
      <w:r>
        <w:rPr>
          <w:rFonts w:hint="eastAsia"/>
          <w:bCs/>
          <w:color w:val="auto"/>
          <w:szCs w:val="24"/>
        </w:rPr>
        <w:fldChar w:fldCharType="end"/>
      </w:r>
    </w:p>
    <w:p w14:paraId="541745B5">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_Toc30275 </w:instrText>
      </w:r>
      <w:r>
        <w:rPr>
          <w:rFonts w:hint="eastAsia"/>
          <w:bCs/>
          <w:color w:val="auto"/>
          <w:szCs w:val="24"/>
        </w:rPr>
        <w:fldChar w:fldCharType="separate"/>
      </w:r>
      <w:r>
        <w:rPr>
          <w:rFonts w:hint="eastAsia"/>
          <w:color w:val="auto"/>
        </w:rPr>
        <w:t>二   磋商小组</w:t>
      </w:r>
      <w:r>
        <w:rPr>
          <w:color w:val="auto"/>
        </w:rPr>
        <w:tab/>
      </w:r>
      <w:r>
        <w:rPr>
          <w:color w:val="auto"/>
        </w:rPr>
        <w:fldChar w:fldCharType="begin"/>
      </w:r>
      <w:r>
        <w:rPr>
          <w:color w:val="auto"/>
        </w:rPr>
        <w:instrText xml:space="preserve"> PAGEREF _Toc30275 \h </w:instrText>
      </w:r>
      <w:r>
        <w:rPr>
          <w:color w:val="auto"/>
        </w:rPr>
        <w:fldChar w:fldCharType="separate"/>
      </w:r>
      <w:r>
        <w:rPr>
          <w:color w:val="auto"/>
        </w:rPr>
        <w:t>62</w:t>
      </w:r>
      <w:r>
        <w:rPr>
          <w:color w:val="auto"/>
        </w:rPr>
        <w:fldChar w:fldCharType="end"/>
      </w:r>
      <w:r>
        <w:rPr>
          <w:rFonts w:hint="eastAsia"/>
          <w:bCs/>
          <w:color w:val="auto"/>
          <w:szCs w:val="24"/>
        </w:rPr>
        <w:fldChar w:fldCharType="end"/>
      </w:r>
    </w:p>
    <w:p w14:paraId="4376DBE8">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_Toc27687 </w:instrText>
      </w:r>
      <w:r>
        <w:rPr>
          <w:rFonts w:hint="eastAsia"/>
          <w:bCs/>
          <w:color w:val="auto"/>
          <w:szCs w:val="24"/>
        </w:rPr>
        <w:fldChar w:fldCharType="separate"/>
      </w:r>
      <w:r>
        <w:rPr>
          <w:rFonts w:hint="eastAsia"/>
          <w:color w:val="auto"/>
        </w:rPr>
        <w:t>三   磋商程序</w:t>
      </w:r>
      <w:r>
        <w:rPr>
          <w:color w:val="auto"/>
        </w:rPr>
        <w:tab/>
      </w:r>
      <w:r>
        <w:rPr>
          <w:color w:val="auto"/>
        </w:rPr>
        <w:fldChar w:fldCharType="begin"/>
      </w:r>
      <w:r>
        <w:rPr>
          <w:color w:val="auto"/>
        </w:rPr>
        <w:instrText xml:space="preserve"> PAGEREF _Toc27687 \h </w:instrText>
      </w:r>
      <w:r>
        <w:rPr>
          <w:color w:val="auto"/>
        </w:rPr>
        <w:fldChar w:fldCharType="separate"/>
      </w:r>
      <w:r>
        <w:rPr>
          <w:color w:val="auto"/>
        </w:rPr>
        <w:t>63</w:t>
      </w:r>
      <w:r>
        <w:rPr>
          <w:color w:val="auto"/>
        </w:rPr>
        <w:fldChar w:fldCharType="end"/>
      </w:r>
      <w:r>
        <w:rPr>
          <w:rFonts w:hint="eastAsia"/>
          <w:bCs/>
          <w:color w:val="auto"/>
          <w:szCs w:val="24"/>
        </w:rPr>
        <w:fldChar w:fldCharType="end"/>
      </w:r>
    </w:p>
    <w:p w14:paraId="5DEA3D2A">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_Toc12290 </w:instrText>
      </w:r>
      <w:r>
        <w:rPr>
          <w:rFonts w:hint="eastAsia"/>
          <w:bCs/>
          <w:color w:val="auto"/>
          <w:szCs w:val="24"/>
        </w:rPr>
        <w:fldChar w:fldCharType="separate"/>
      </w:r>
      <w:r>
        <w:rPr>
          <w:rFonts w:hint="eastAsia"/>
          <w:color w:val="auto"/>
        </w:rPr>
        <w:t>四   磋商内容及规定</w:t>
      </w:r>
      <w:r>
        <w:rPr>
          <w:color w:val="auto"/>
        </w:rPr>
        <w:tab/>
      </w:r>
      <w:r>
        <w:rPr>
          <w:color w:val="auto"/>
        </w:rPr>
        <w:fldChar w:fldCharType="begin"/>
      </w:r>
      <w:r>
        <w:rPr>
          <w:color w:val="auto"/>
        </w:rPr>
        <w:instrText xml:space="preserve"> PAGEREF _Toc12290 \h </w:instrText>
      </w:r>
      <w:r>
        <w:rPr>
          <w:color w:val="auto"/>
        </w:rPr>
        <w:fldChar w:fldCharType="separate"/>
      </w:r>
      <w:r>
        <w:rPr>
          <w:color w:val="auto"/>
        </w:rPr>
        <w:t>65</w:t>
      </w:r>
      <w:r>
        <w:rPr>
          <w:color w:val="auto"/>
        </w:rPr>
        <w:fldChar w:fldCharType="end"/>
      </w:r>
      <w:r>
        <w:rPr>
          <w:rFonts w:hint="eastAsia"/>
          <w:bCs/>
          <w:color w:val="auto"/>
          <w:szCs w:val="24"/>
        </w:rPr>
        <w:fldChar w:fldCharType="end"/>
      </w:r>
    </w:p>
    <w:p w14:paraId="5A65219F">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_Toc21772 </w:instrText>
      </w:r>
      <w:r>
        <w:rPr>
          <w:rFonts w:hint="eastAsia"/>
          <w:bCs/>
          <w:color w:val="auto"/>
          <w:szCs w:val="24"/>
        </w:rPr>
        <w:fldChar w:fldCharType="separate"/>
      </w:r>
      <w:r>
        <w:rPr>
          <w:rFonts w:hint="eastAsia"/>
          <w:color w:val="auto"/>
        </w:rPr>
        <w:t>五   评标办法和细则</w:t>
      </w:r>
      <w:r>
        <w:rPr>
          <w:color w:val="auto"/>
        </w:rPr>
        <w:tab/>
      </w:r>
      <w:r>
        <w:rPr>
          <w:color w:val="auto"/>
        </w:rPr>
        <w:fldChar w:fldCharType="begin"/>
      </w:r>
      <w:r>
        <w:rPr>
          <w:color w:val="auto"/>
        </w:rPr>
        <w:instrText xml:space="preserve"> PAGEREF _Toc21772 \h </w:instrText>
      </w:r>
      <w:r>
        <w:rPr>
          <w:color w:val="auto"/>
        </w:rPr>
        <w:fldChar w:fldCharType="separate"/>
      </w:r>
      <w:r>
        <w:rPr>
          <w:color w:val="auto"/>
        </w:rPr>
        <w:t>65</w:t>
      </w:r>
      <w:r>
        <w:rPr>
          <w:color w:val="auto"/>
        </w:rPr>
        <w:fldChar w:fldCharType="end"/>
      </w:r>
      <w:r>
        <w:rPr>
          <w:rFonts w:hint="eastAsia"/>
          <w:bCs/>
          <w:color w:val="auto"/>
          <w:szCs w:val="24"/>
        </w:rPr>
        <w:fldChar w:fldCharType="end"/>
      </w:r>
    </w:p>
    <w:p w14:paraId="4A4D242E">
      <w:pPr>
        <w:pStyle w:val="23"/>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begin"/>
      </w:r>
      <w:r>
        <w:rPr>
          <w:rFonts w:hint="eastAsia"/>
          <w:bCs/>
          <w:color w:val="auto"/>
          <w:szCs w:val="24"/>
        </w:rPr>
        <w:instrText xml:space="preserve"> HYPERLINK \l _Toc12425 </w:instrText>
      </w:r>
      <w:r>
        <w:rPr>
          <w:rFonts w:hint="eastAsia"/>
          <w:bCs/>
          <w:color w:val="auto"/>
          <w:szCs w:val="24"/>
        </w:rPr>
        <w:fldChar w:fldCharType="separate"/>
      </w:r>
      <w:r>
        <w:rPr>
          <w:rFonts w:hint="eastAsia"/>
          <w:bCs w:val="0"/>
          <w:color w:val="auto"/>
          <w:szCs w:val="32"/>
        </w:rPr>
        <w:t>六   磋商纪律和要求</w:t>
      </w:r>
      <w:r>
        <w:rPr>
          <w:color w:val="auto"/>
        </w:rPr>
        <w:tab/>
      </w:r>
      <w:r>
        <w:rPr>
          <w:color w:val="auto"/>
        </w:rPr>
        <w:fldChar w:fldCharType="begin"/>
      </w:r>
      <w:r>
        <w:rPr>
          <w:color w:val="auto"/>
        </w:rPr>
        <w:instrText xml:space="preserve"> PAGEREF _Toc12425 \h </w:instrText>
      </w:r>
      <w:r>
        <w:rPr>
          <w:color w:val="auto"/>
        </w:rPr>
        <w:fldChar w:fldCharType="separate"/>
      </w:r>
      <w:r>
        <w:rPr>
          <w:color w:val="auto"/>
        </w:rPr>
        <w:t>68</w:t>
      </w:r>
      <w:r>
        <w:rPr>
          <w:color w:val="auto"/>
        </w:rPr>
        <w:fldChar w:fldCharType="end"/>
      </w:r>
      <w:r>
        <w:rPr>
          <w:rFonts w:hint="eastAsia"/>
          <w:bCs/>
          <w:color w:val="auto"/>
          <w:szCs w:val="24"/>
        </w:rPr>
        <w:fldChar w:fldCharType="end"/>
      </w:r>
    </w:p>
    <w:p w14:paraId="066EA861">
      <w:pPr>
        <w:keepNext w:val="0"/>
        <w:keepLines w:val="0"/>
        <w:pageBreakBefore w:val="0"/>
        <w:widowControl w:val="0"/>
        <w:kinsoku/>
        <w:wordWrap/>
        <w:overflowPunct/>
        <w:topLinePunct w:val="0"/>
        <w:autoSpaceDE w:val="0"/>
        <w:autoSpaceDN w:val="0"/>
        <w:bidi w:val="0"/>
        <w:adjustRightInd/>
        <w:snapToGrid/>
        <w:spacing w:line="288" w:lineRule="auto"/>
        <w:textAlignment w:val="auto"/>
        <w:rPr>
          <w:color w:val="auto"/>
        </w:rPr>
      </w:pPr>
      <w:r>
        <w:rPr>
          <w:rFonts w:hint="eastAsia"/>
          <w:bCs/>
          <w:color w:val="auto"/>
          <w:szCs w:val="24"/>
        </w:rPr>
        <w:fldChar w:fldCharType="end"/>
      </w:r>
    </w:p>
    <w:p w14:paraId="34729233">
      <w:pPr>
        <w:rPr>
          <w:color w:val="auto"/>
        </w:rPr>
        <w:sectPr>
          <w:headerReference r:id="rId4" w:type="default"/>
          <w:footerReference r:id="rId5" w:type="default"/>
          <w:pgSz w:w="11910" w:h="16840"/>
          <w:pgMar w:top="1247" w:right="1247" w:bottom="1247" w:left="1587" w:header="884" w:footer="884" w:gutter="0"/>
          <w:pgNumType w:fmt="decimal" w:start="2"/>
          <w:cols w:space="0" w:num="1"/>
        </w:sectPr>
      </w:pPr>
    </w:p>
    <w:p w14:paraId="78C40D70">
      <w:pPr>
        <w:pStyle w:val="3"/>
        <w:tabs>
          <w:tab w:val="left" w:pos="1406"/>
        </w:tabs>
        <w:spacing w:before="167"/>
        <w:ind w:left="119"/>
        <w:jc w:val="center"/>
        <w:rPr>
          <w:color w:val="auto"/>
        </w:rPr>
      </w:pPr>
      <w:bookmarkStart w:id="8" w:name="_Toc15925"/>
      <w:r>
        <w:rPr>
          <w:rFonts w:hint="eastAsia"/>
          <w:color w:val="auto"/>
        </w:rPr>
        <w:t>第一章</w:t>
      </w:r>
      <w:r>
        <w:rPr>
          <w:rFonts w:hint="eastAsia"/>
          <w:color w:val="auto"/>
          <w:lang w:val="en-US" w:eastAsia="zh-CN"/>
        </w:rPr>
        <w:t xml:space="preserve"> </w:t>
      </w:r>
      <w:r>
        <w:rPr>
          <w:rFonts w:hint="eastAsia"/>
          <w:color w:val="auto"/>
        </w:rPr>
        <w:t>竞争性磋商</w:t>
      </w:r>
      <w:r>
        <w:rPr>
          <w:rFonts w:hint="eastAsia"/>
          <w:color w:val="auto"/>
          <w:lang w:val="en-US"/>
        </w:rPr>
        <w:t>采购</w:t>
      </w:r>
      <w:r>
        <w:rPr>
          <w:rFonts w:hint="eastAsia"/>
          <w:color w:val="auto"/>
        </w:rPr>
        <w:t>公告</w:t>
      </w:r>
      <w:bookmarkEnd w:id="8"/>
    </w:p>
    <w:p w14:paraId="39523262">
      <w:pPr>
        <w:pStyle w:val="2"/>
        <w:spacing w:line="300" w:lineRule="auto"/>
        <w:rPr>
          <w:b/>
          <w:color w:val="auto"/>
          <w:sz w:val="26"/>
        </w:rPr>
      </w:pPr>
      <w:bookmarkStart w:id="9" w:name="一__竞争性磋商公告"/>
      <w:bookmarkEnd w:id="9"/>
      <w:r>
        <w:rPr>
          <w:color w:val="auto"/>
          <w:lang w:val="en-US" w:bidi="ar-SA"/>
        </w:rPr>
        <mc:AlternateContent>
          <mc:Choice Requires="wps">
            <w:drawing>
              <wp:anchor distT="0" distB="0" distL="114300" distR="114300" simplePos="0" relativeHeight="251661312" behindDoc="1" locked="0" layoutInCell="1" allowOverlap="1">
                <wp:simplePos x="0" y="0"/>
                <wp:positionH relativeFrom="page">
                  <wp:posOffset>870585</wp:posOffset>
                </wp:positionH>
                <wp:positionV relativeFrom="paragraph">
                  <wp:posOffset>194310</wp:posOffset>
                </wp:positionV>
                <wp:extent cx="6014085" cy="1311275"/>
                <wp:effectExtent l="5080" t="4445" r="19685" b="17780"/>
                <wp:wrapTopAndBottom/>
                <wp:docPr id="6" name="1026"/>
                <wp:cNvGraphicFramePr/>
                <a:graphic xmlns:a="http://schemas.openxmlformats.org/drawingml/2006/main">
                  <a:graphicData uri="http://schemas.microsoft.com/office/word/2010/wordprocessingShape">
                    <wps:wsp>
                      <wps:cNvSpPr/>
                      <wps:spPr>
                        <a:xfrm>
                          <a:off x="0" y="0"/>
                          <a:ext cx="6014085" cy="1311275"/>
                        </a:xfrm>
                        <a:prstGeom prst="rect">
                          <a:avLst/>
                        </a:prstGeom>
                        <a:noFill/>
                        <a:ln w="6096" cap="flat" cmpd="sng">
                          <a:solidFill>
                            <a:srgbClr val="000000"/>
                          </a:solidFill>
                          <a:prstDash val="solid"/>
                          <a:miter/>
                          <a:headEnd type="none" w="med" len="med"/>
                          <a:tailEnd type="none" w="med" len="med"/>
                        </a:ln>
                        <a:effectLst/>
                      </wps:spPr>
                      <wps:txbx>
                        <w:txbxContent>
                          <w:p w14:paraId="76178947">
                            <w:pPr>
                              <w:pStyle w:val="2"/>
                              <w:spacing w:before="100" w:line="360" w:lineRule="auto"/>
                              <w:ind w:left="79"/>
                            </w:pPr>
                            <w:r>
                              <w:t>项目概况：</w:t>
                            </w:r>
                          </w:p>
                          <w:p w14:paraId="1FF19A9A">
                            <w:pPr>
                              <w:pStyle w:val="2"/>
                              <w:spacing w:before="8" w:line="360" w:lineRule="auto"/>
                              <w:ind w:left="79" w:right="36" w:firstLine="480"/>
                              <w:jc w:val="both"/>
                              <w:rPr>
                                <w:color w:val="0000FF"/>
                              </w:rPr>
                            </w:pPr>
                            <w:r>
                              <w:rPr>
                                <w:rFonts w:hint="eastAsia"/>
                                <w:b/>
                                <w:bCs/>
                                <w:u w:val="single"/>
                                <w:lang w:val="en-US" w:eastAsia="zh-CN"/>
                              </w:rPr>
                              <w:t>遂昌县化工园区地下水污染专项整治全过程咨询服务</w:t>
                            </w:r>
                            <w:r>
                              <w:t>的潜在供应商应在</w:t>
                            </w:r>
                            <w:r>
                              <w:rPr>
                                <w:color w:val="000000"/>
                                <w:sz w:val="27"/>
                                <w:szCs w:val="27"/>
                              </w:rPr>
                              <w:t>政采云平台线上获取</w:t>
                            </w:r>
                            <w:r>
                              <w:t>（下载）采购文件，并于</w:t>
                            </w:r>
                            <w:r>
                              <w:rPr>
                                <w:rFonts w:hint="eastAsia"/>
                                <w:lang w:eastAsia="zh-CN"/>
                              </w:rPr>
                              <w:t>2025年7月21日09:00</w:t>
                            </w:r>
                            <w:r>
                              <w:t>（北京时间）前提交（上传）响应文件。</w:t>
                            </w:r>
                          </w:p>
                        </w:txbxContent>
                      </wps:txbx>
                      <wps:bodyPr lIns="0" tIns="0" rIns="0" bIns="0" upright="1"/>
                    </wps:wsp>
                  </a:graphicData>
                </a:graphic>
              </wp:anchor>
            </w:drawing>
          </mc:Choice>
          <mc:Fallback>
            <w:pict>
              <v:rect id="1026" o:spid="_x0000_s1026" o:spt="1" style="position:absolute;left:0pt;margin-left:68.55pt;margin-top:15.3pt;height:103.25pt;width:473.55pt;mso-position-horizontal-relative:page;mso-wrap-distance-bottom:0pt;mso-wrap-distance-top:0pt;z-index:-251655168;mso-width-relative:page;mso-height-relative:page;" filled="f" stroked="t" coordsize="21600,21600" o:gfxdata="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cwo3XAAAACwEAAA8AAAAAAAAAAQAgAAAAIgAAAGRycy9kb3du&#10;cmV2LnhtbFBLAQIUABQAAAAIAIdO4kDDivwfAAIAAC8EAAAOAAAAAAAAAAEAIAAAACYBAABkcnMv&#10;ZTJvRG9jLnhtbFBLBQYAAAAABgAGAFkBAACYBQAAAAA=&#10;">
                <v:fill on="f" focussize="0,0"/>
                <v:stroke weight="0.48pt" color="#000000" joinstyle="miter"/>
                <v:imagedata o:title=""/>
                <o:lock v:ext="edit" aspectratio="f"/>
                <v:textbox inset="0mm,0mm,0mm,0mm">
                  <w:txbxContent>
                    <w:p w14:paraId="76178947">
                      <w:pPr>
                        <w:pStyle w:val="2"/>
                        <w:spacing w:before="100" w:line="360" w:lineRule="auto"/>
                        <w:ind w:left="79"/>
                      </w:pPr>
                      <w:r>
                        <w:t>项目概况：</w:t>
                      </w:r>
                    </w:p>
                    <w:p w14:paraId="1FF19A9A">
                      <w:pPr>
                        <w:pStyle w:val="2"/>
                        <w:spacing w:before="8" w:line="360" w:lineRule="auto"/>
                        <w:ind w:left="79" w:right="36" w:firstLine="480"/>
                        <w:jc w:val="both"/>
                        <w:rPr>
                          <w:color w:val="0000FF"/>
                        </w:rPr>
                      </w:pPr>
                      <w:r>
                        <w:rPr>
                          <w:rFonts w:hint="eastAsia"/>
                          <w:b/>
                          <w:bCs/>
                          <w:u w:val="single"/>
                          <w:lang w:val="en-US" w:eastAsia="zh-CN"/>
                        </w:rPr>
                        <w:t>遂昌县化工园区地下水污染专项整治全过程咨询服务</w:t>
                      </w:r>
                      <w:r>
                        <w:t>的潜在供应商应在</w:t>
                      </w:r>
                      <w:r>
                        <w:rPr>
                          <w:color w:val="000000"/>
                          <w:sz w:val="27"/>
                          <w:szCs w:val="27"/>
                        </w:rPr>
                        <w:t>政采云平台线上获取</w:t>
                      </w:r>
                      <w:r>
                        <w:t>（下载）采购文件，并于</w:t>
                      </w:r>
                      <w:r>
                        <w:rPr>
                          <w:rFonts w:hint="eastAsia"/>
                          <w:lang w:eastAsia="zh-CN"/>
                        </w:rPr>
                        <w:t>2025年7月21日09:00</w:t>
                      </w:r>
                      <w:r>
                        <w:t>（北京时间）前提交（上传）响应文件。</w:t>
                      </w:r>
                    </w:p>
                  </w:txbxContent>
                </v:textbox>
                <w10:wrap type="topAndBottom"/>
              </v:rect>
            </w:pict>
          </mc:Fallback>
        </mc:AlternateContent>
      </w:r>
    </w:p>
    <w:p w14:paraId="03E32079">
      <w:pPr>
        <w:spacing w:line="360" w:lineRule="auto"/>
        <w:rPr>
          <w:b/>
          <w:bCs/>
          <w:color w:val="auto"/>
          <w:sz w:val="24"/>
          <w:szCs w:val="24"/>
        </w:rPr>
      </w:pPr>
      <w:r>
        <w:rPr>
          <w:rFonts w:hint="eastAsia"/>
          <w:b/>
          <w:bCs/>
          <w:color w:val="auto"/>
          <w:sz w:val="24"/>
          <w:szCs w:val="24"/>
        </w:rPr>
        <w:t>一、项目基本情况</w:t>
      </w:r>
    </w:p>
    <w:p w14:paraId="5DD46D7B">
      <w:pPr>
        <w:pStyle w:val="2"/>
        <w:spacing w:line="300" w:lineRule="auto"/>
        <w:ind w:firstLine="480" w:firstLineChars="200"/>
        <w:rPr>
          <w:rFonts w:hint="eastAsia" w:eastAsia="仿宋"/>
          <w:color w:val="auto"/>
          <w:lang w:val="en-US" w:eastAsia="zh-CN"/>
        </w:rPr>
      </w:pPr>
      <w:r>
        <w:rPr>
          <w:rFonts w:hint="eastAsia"/>
          <w:color w:val="auto"/>
        </w:rPr>
        <w:t>项目编号：</w:t>
      </w:r>
      <w:r>
        <w:rPr>
          <w:rFonts w:hint="eastAsia"/>
          <w:color w:val="auto"/>
          <w:lang w:val="en-US" w:eastAsia="zh-CN"/>
        </w:rPr>
        <w:t>ZJZCSC（2025）采0704号</w:t>
      </w:r>
    </w:p>
    <w:p w14:paraId="248C9548">
      <w:pPr>
        <w:pStyle w:val="2"/>
        <w:spacing w:line="300" w:lineRule="auto"/>
        <w:ind w:firstLine="480" w:firstLineChars="200"/>
        <w:rPr>
          <w:rFonts w:hint="eastAsia" w:eastAsia="仿宋"/>
          <w:color w:val="auto"/>
          <w:lang w:eastAsia="zh-CN"/>
        </w:rPr>
      </w:pPr>
      <w:r>
        <w:rPr>
          <w:rFonts w:hint="eastAsia"/>
          <w:color w:val="auto"/>
        </w:rPr>
        <w:t>项目名称：</w:t>
      </w:r>
      <w:r>
        <w:rPr>
          <w:rFonts w:hint="eastAsia"/>
          <w:color w:val="auto"/>
          <w:lang w:val="en-US" w:eastAsia="zh-CN"/>
        </w:rPr>
        <w:t>遂昌县化工园区地下水污染专项整治全过程咨询服务</w:t>
      </w:r>
    </w:p>
    <w:p w14:paraId="5162C8D4">
      <w:pPr>
        <w:pStyle w:val="2"/>
        <w:spacing w:line="300" w:lineRule="auto"/>
        <w:ind w:firstLine="480" w:firstLineChars="200"/>
        <w:rPr>
          <w:color w:val="auto"/>
        </w:rPr>
      </w:pPr>
      <w:r>
        <w:rPr>
          <w:rFonts w:hint="eastAsia"/>
          <w:color w:val="auto"/>
        </w:rPr>
        <w:t>采购方式：竞争性磋商</w:t>
      </w:r>
    </w:p>
    <w:p w14:paraId="1C873560">
      <w:pPr>
        <w:pStyle w:val="2"/>
        <w:spacing w:line="300" w:lineRule="auto"/>
        <w:ind w:firstLine="480" w:firstLineChars="200"/>
        <w:rPr>
          <w:rFonts w:hint="eastAsia" w:eastAsia="仿宋"/>
          <w:color w:val="auto"/>
          <w:lang w:val="en-US" w:eastAsia="zh-CN"/>
        </w:rPr>
      </w:pPr>
      <w:r>
        <w:rPr>
          <w:rFonts w:hint="eastAsia"/>
          <w:color w:val="auto"/>
        </w:rPr>
        <w:t>预算金额（元）：</w:t>
      </w:r>
      <w:r>
        <w:rPr>
          <w:rFonts w:hint="eastAsia"/>
          <w:color w:val="auto"/>
          <w:lang w:val="en-US" w:eastAsia="zh-CN"/>
        </w:rPr>
        <w:t xml:space="preserve">750000 </w:t>
      </w:r>
    </w:p>
    <w:p w14:paraId="3B580F61">
      <w:pPr>
        <w:pStyle w:val="2"/>
        <w:spacing w:line="300" w:lineRule="auto"/>
        <w:ind w:firstLine="480" w:firstLineChars="200"/>
        <w:rPr>
          <w:rFonts w:hint="eastAsia"/>
          <w:color w:val="auto"/>
          <w:lang w:val="en-US" w:eastAsia="zh-CN"/>
        </w:rPr>
      </w:pPr>
      <w:r>
        <w:rPr>
          <w:rFonts w:hint="eastAsia"/>
          <w:color w:val="auto"/>
        </w:rPr>
        <w:t>最高限价（元）：</w:t>
      </w:r>
      <w:r>
        <w:rPr>
          <w:rFonts w:hint="eastAsia"/>
          <w:color w:val="auto"/>
          <w:lang w:val="en-US" w:eastAsia="zh-CN"/>
        </w:rPr>
        <w:t xml:space="preserve">750000 </w:t>
      </w:r>
    </w:p>
    <w:p w14:paraId="1A4F89DB">
      <w:pPr>
        <w:pStyle w:val="2"/>
        <w:spacing w:line="300" w:lineRule="auto"/>
        <w:ind w:firstLine="480" w:firstLineChars="200"/>
        <w:rPr>
          <w:color w:val="auto"/>
          <w:lang w:val="en-US"/>
        </w:rPr>
      </w:pPr>
      <w:r>
        <w:rPr>
          <w:rFonts w:hint="eastAsia"/>
          <w:color w:val="auto"/>
          <w:lang w:val="en-US"/>
        </w:rPr>
        <w:t>组织形式：分散委托采购</w:t>
      </w:r>
    </w:p>
    <w:p w14:paraId="43AD2FDE">
      <w:pPr>
        <w:pStyle w:val="2"/>
        <w:spacing w:line="300" w:lineRule="auto"/>
        <w:ind w:firstLine="480" w:firstLineChars="200"/>
        <w:rPr>
          <w:rFonts w:hint="eastAsia"/>
          <w:color w:val="auto"/>
        </w:rPr>
      </w:pPr>
      <w:r>
        <w:rPr>
          <w:rFonts w:hint="eastAsia"/>
          <w:color w:val="auto"/>
        </w:rPr>
        <w:t>采购需求：见竞争性磋商文件第</w:t>
      </w:r>
      <w:r>
        <w:rPr>
          <w:rFonts w:hint="eastAsia"/>
          <w:color w:val="auto"/>
          <w:lang w:val="en-US"/>
        </w:rPr>
        <w:t>二</w:t>
      </w:r>
      <w:r>
        <w:rPr>
          <w:rFonts w:hint="eastAsia"/>
          <w:color w:val="auto"/>
        </w:rPr>
        <w:t>章 采购需求</w:t>
      </w:r>
    </w:p>
    <w:p w14:paraId="290871F1">
      <w:pPr>
        <w:rPr>
          <w:color w:val="auto"/>
        </w:rPr>
      </w:pPr>
    </w:p>
    <w:p w14:paraId="5B6619C6">
      <w:pPr>
        <w:pStyle w:val="2"/>
        <w:spacing w:line="300" w:lineRule="auto"/>
        <w:ind w:firstLine="480" w:firstLineChars="200"/>
        <w:rPr>
          <w:color w:val="auto"/>
        </w:rPr>
      </w:pPr>
      <w:r>
        <w:rPr>
          <w:rFonts w:hint="eastAsia"/>
          <w:color w:val="auto"/>
        </w:rPr>
        <w:t>数量：1</w:t>
      </w:r>
    </w:p>
    <w:p w14:paraId="69B91EB3">
      <w:pPr>
        <w:pStyle w:val="2"/>
        <w:spacing w:line="300" w:lineRule="auto"/>
        <w:ind w:firstLine="480" w:firstLineChars="200"/>
        <w:rPr>
          <w:rFonts w:hint="eastAsia" w:eastAsia="仿宋"/>
          <w:color w:val="auto"/>
          <w:lang w:val="en-US" w:eastAsia="zh-CN"/>
        </w:rPr>
      </w:pPr>
      <w:r>
        <w:rPr>
          <w:rFonts w:hint="eastAsia"/>
          <w:color w:val="auto"/>
        </w:rPr>
        <w:t>预算金额（元）：</w:t>
      </w:r>
      <w:r>
        <w:rPr>
          <w:rFonts w:hint="eastAsia"/>
          <w:color w:val="auto"/>
          <w:lang w:val="en-US" w:eastAsia="zh-CN"/>
        </w:rPr>
        <w:t xml:space="preserve">750000 </w:t>
      </w:r>
    </w:p>
    <w:p w14:paraId="51DEBC36">
      <w:pPr>
        <w:pStyle w:val="2"/>
        <w:spacing w:line="300" w:lineRule="auto"/>
        <w:ind w:firstLine="480" w:firstLineChars="200"/>
        <w:rPr>
          <w:color w:val="auto"/>
        </w:rPr>
      </w:pPr>
      <w:r>
        <w:rPr>
          <w:rFonts w:hint="eastAsia"/>
          <w:color w:val="auto"/>
        </w:rPr>
        <w:t xml:space="preserve"> </w:t>
      </w:r>
    </w:p>
    <w:p w14:paraId="048DA1AA">
      <w:pPr>
        <w:pStyle w:val="2"/>
        <w:spacing w:line="300" w:lineRule="auto"/>
        <w:ind w:firstLine="480" w:firstLineChars="200"/>
        <w:rPr>
          <w:color w:val="auto"/>
        </w:rPr>
      </w:pPr>
      <w:r>
        <w:rPr>
          <w:rFonts w:hint="eastAsia"/>
          <w:color w:val="auto"/>
        </w:rPr>
        <w:t>单位：项</w:t>
      </w:r>
    </w:p>
    <w:p w14:paraId="0817361D">
      <w:pPr>
        <w:pStyle w:val="2"/>
        <w:spacing w:line="300" w:lineRule="auto"/>
        <w:ind w:firstLine="480" w:firstLineChars="200"/>
        <w:rPr>
          <w:color w:val="auto"/>
        </w:rPr>
      </w:pPr>
      <w:r>
        <w:rPr>
          <w:rFonts w:hint="eastAsia"/>
          <w:color w:val="auto"/>
        </w:rPr>
        <w:t>简要规格描述：见磋商文件第</w:t>
      </w:r>
      <w:r>
        <w:rPr>
          <w:rFonts w:hint="eastAsia"/>
          <w:color w:val="auto"/>
          <w:lang w:val="en-US"/>
        </w:rPr>
        <w:t>二</w:t>
      </w:r>
      <w:r>
        <w:rPr>
          <w:rFonts w:hint="eastAsia"/>
          <w:color w:val="auto"/>
        </w:rPr>
        <w:t>章 采购需求</w:t>
      </w:r>
    </w:p>
    <w:p w14:paraId="08A708DB">
      <w:pPr>
        <w:pStyle w:val="2"/>
        <w:spacing w:line="300" w:lineRule="auto"/>
        <w:ind w:firstLine="480" w:firstLineChars="200"/>
        <w:rPr>
          <w:rFonts w:hint="eastAsia"/>
          <w:color w:val="auto"/>
        </w:rPr>
      </w:pPr>
      <w:r>
        <w:rPr>
          <w:rFonts w:hint="eastAsia"/>
          <w:color w:val="auto"/>
        </w:rPr>
        <w:t>备注：</w:t>
      </w:r>
    </w:p>
    <w:p w14:paraId="1AE47C50">
      <w:pPr>
        <w:rPr>
          <w:color w:val="auto"/>
        </w:rPr>
      </w:pPr>
    </w:p>
    <w:p w14:paraId="39161496">
      <w:pPr>
        <w:pStyle w:val="2"/>
        <w:spacing w:line="300" w:lineRule="auto"/>
        <w:ind w:firstLine="480" w:firstLineChars="200"/>
        <w:rPr>
          <w:color w:val="auto"/>
        </w:rPr>
      </w:pPr>
      <w:r>
        <w:rPr>
          <w:rFonts w:hint="eastAsia"/>
          <w:color w:val="auto"/>
        </w:rPr>
        <w:t>合同履约期限：</w:t>
      </w:r>
      <w:r>
        <w:rPr>
          <w:rFonts w:hint="eastAsia" w:ascii="仿宋" w:hAnsi="仿宋" w:eastAsia="仿宋" w:cs="仿宋"/>
          <w:color w:val="auto"/>
          <w:sz w:val="24"/>
        </w:rPr>
        <w:t>标项1，</w:t>
      </w:r>
      <w:r>
        <w:rPr>
          <w:rFonts w:hint="eastAsia"/>
          <w:color w:val="auto"/>
        </w:rPr>
        <w:t>见竞争性磋商文件。</w:t>
      </w:r>
    </w:p>
    <w:p w14:paraId="1CF65E9B">
      <w:pPr>
        <w:pStyle w:val="2"/>
        <w:spacing w:line="300" w:lineRule="auto"/>
        <w:ind w:firstLine="480" w:firstLineChars="200"/>
        <w:rPr>
          <w:color w:val="auto"/>
        </w:rPr>
      </w:pPr>
      <w:r>
        <w:rPr>
          <w:rFonts w:cs="仿宋_GB2312"/>
          <w:color w:val="auto"/>
        </w:rPr>
        <w:t>本项目（否）接受联合体投标。</w:t>
      </w:r>
    </w:p>
    <w:p w14:paraId="0E48C5A3">
      <w:pPr>
        <w:spacing w:line="360" w:lineRule="auto"/>
        <w:rPr>
          <w:b/>
          <w:bCs/>
          <w:color w:val="auto"/>
          <w:sz w:val="24"/>
          <w:szCs w:val="24"/>
        </w:rPr>
      </w:pPr>
      <w:r>
        <w:rPr>
          <w:rFonts w:hint="eastAsia"/>
          <w:b/>
          <w:bCs/>
          <w:color w:val="auto"/>
          <w:sz w:val="24"/>
          <w:szCs w:val="24"/>
        </w:rPr>
        <w:t>二、申请人的资格要求</w:t>
      </w:r>
    </w:p>
    <w:p w14:paraId="02FDA677">
      <w:pPr>
        <w:pStyle w:val="2"/>
        <w:spacing w:line="300" w:lineRule="auto"/>
        <w:ind w:firstLine="480" w:firstLineChars="200"/>
        <w:rPr>
          <w:color w:val="auto"/>
          <w:highlight w:val="none"/>
        </w:rPr>
      </w:pPr>
      <w:r>
        <w:rPr>
          <w:rFonts w:hint="eastAsia"/>
          <w:color w:val="auto"/>
          <w:lang w:val="en-US"/>
        </w:rPr>
        <w:t xml:space="preserve">1. </w:t>
      </w:r>
      <w:r>
        <w:rPr>
          <w:rFonts w:hint="eastAsia"/>
          <w:bCs/>
          <w:color w:val="auto"/>
        </w:rPr>
        <w:t>满足《中华人民共和国政府采购法》第二十二条规定，未被“信用中国”（www.creditchina.gov.cn)、中国政府采购网（www.ccgp.gov.cn）列入失信被执行人、重大税收违法案件当事人名单、政府采购严重违法失信行为</w:t>
      </w:r>
      <w:r>
        <w:rPr>
          <w:rFonts w:hint="eastAsia"/>
          <w:bCs/>
          <w:color w:val="auto"/>
          <w:highlight w:val="none"/>
        </w:rPr>
        <w:t>记录名单。</w:t>
      </w:r>
    </w:p>
    <w:p w14:paraId="63F92048">
      <w:pPr>
        <w:pStyle w:val="2"/>
        <w:spacing w:line="30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落实政府采购政策需满足的资格要求：无 </w:t>
      </w:r>
    </w:p>
    <w:p w14:paraId="3F9E00F9">
      <w:pPr>
        <w:pStyle w:val="2"/>
        <w:spacing w:line="300" w:lineRule="auto"/>
        <w:ind w:firstLine="480" w:firstLineChars="200"/>
        <w:rPr>
          <w:color w:val="auto"/>
          <w:lang w:val="en-US"/>
        </w:rPr>
      </w:pPr>
      <w:r>
        <w:rPr>
          <w:rFonts w:hint="eastAsia"/>
          <w:color w:val="auto"/>
          <w:lang w:val="en-US"/>
        </w:rPr>
        <w:t>3.</w:t>
      </w:r>
      <w:r>
        <w:rPr>
          <w:rFonts w:hint="eastAsia"/>
          <w:bCs/>
          <w:color w:val="auto"/>
        </w:rPr>
        <w:t>本项目的特定资格要求：无</w:t>
      </w:r>
    </w:p>
    <w:p w14:paraId="71A0CD8B">
      <w:pPr>
        <w:spacing w:line="360" w:lineRule="auto"/>
        <w:rPr>
          <w:b/>
          <w:bCs/>
          <w:color w:val="auto"/>
          <w:sz w:val="24"/>
          <w:szCs w:val="24"/>
        </w:rPr>
      </w:pPr>
      <w:r>
        <w:rPr>
          <w:rFonts w:hint="eastAsia"/>
          <w:b/>
          <w:bCs/>
          <w:color w:val="auto"/>
          <w:sz w:val="24"/>
          <w:szCs w:val="24"/>
        </w:rPr>
        <w:t>三、获取（下载）采购文件</w:t>
      </w:r>
    </w:p>
    <w:p w14:paraId="00876050">
      <w:pPr>
        <w:pStyle w:val="2"/>
        <w:spacing w:line="300" w:lineRule="auto"/>
        <w:ind w:firstLine="480" w:firstLineChars="200"/>
        <w:rPr>
          <w:color w:val="auto"/>
          <w:lang w:val="en-US"/>
        </w:rPr>
      </w:pPr>
      <w:r>
        <w:rPr>
          <w:rFonts w:hint="eastAsia"/>
          <w:color w:val="auto"/>
          <w:lang w:val="en-US"/>
        </w:rPr>
        <w:t>时间：发布公告之日至</w:t>
      </w:r>
      <w:r>
        <w:rPr>
          <w:rFonts w:hint="eastAsia"/>
          <w:color w:val="auto"/>
          <w:u w:val="single"/>
          <w:lang w:val="en-US" w:eastAsia="zh-CN"/>
        </w:rPr>
        <w:t>2025年7月21日</w:t>
      </w:r>
      <w:r>
        <w:rPr>
          <w:rFonts w:hint="eastAsia"/>
          <w:color w:val="auto"/>
          <w:lang w:val="en-US"/>
        </w:rPr>
        <w:t>，每天上午00:00至12:00，下午 12:00至23:59（北京时间，线上获取法定节假日均可，线下获取文件法定节假日除外）。</w:t>
      </w:r>
    </w:p>
    <w:p w14:paraId="1E4A9629">
      <w:pPr>
        <w:pStyle w:val="2"/>
        <w:spacing w:line="300" w:lineRule="auto"/>
        <w:ind w:firstLine="480" w:firstLineChars="200"/>
        <w:rPr>
          <w:color w:val="auto"/>
          <w:lang w:val="en-US"/>
        </w:rPr>
      </w:pPr>
      <w:r>
        <w:rPr>
          <w:rFonts w:hint="eastAsia"/>
          <w:color w:val="auto"/>
          <w:lang w:val="en-US"/>
        </w:rPr>
        <w:t>地点（网址）：政采云平台线上获取。</w:t>
      </w:r>
    </w:p>
    <w:p w14:paraId="7EDBFF5A">
      <w:pPr>
        <w:pStyle w:val="2"/>
        <w:spacing w:line="300" w:lineRule="auto"/>
        <w:ind w:firstLine="480" w:firstLineChars="200"/>
        <w:rPr>
          <w:color w:val="auto"/>
          <w:lang w:val="en-US"/>
        </w:rPr>
      </w:pPr>
      <w:r>
        <w:rPr>
          <w:rFonts w:hint="eastAsia"/>
          <w:color w:val="auto"/>
          <w:lang w:val="en-US"/>
        </w:rPr>
        <w:t>方式：供应商登录政采云平台https://www.zcygov.cn/在线申请获取采购文件（进入“项目采购”应用，在获取采购文件菜单中选择项目，申请获取采购文件）。</w:t>
      </w:r>
    </w:p>
    <w:p w14:paraId="4482F764">
      <w:pPr>
        <w:pStyle w:val="2"/>
        <w:spacing w:line="300" w:lineRule="auto"/>
        <w:ind w:firstLine="480" w:firstLineChars="200"/>
        <w:rPr>
          <w:color w:val="auto"/>
          <w:lang w:val="en-US"/>
        </w:rPr>
      </w:pPr>
      <w:r>
        <w:rPr>
          <w:rFonts w:hint="eastAsia"/>
          <w:color w:val="auto"/>
          <w:lang w:val="en-US"/>
        </w:rPr>
        <w:t>售价：0 元</w:t>
      </w:r>
    </w:p>
    <w:p w14:paraId="7FB98B60">
      <w:pPr>
        <w:spacing w:line="360" w:lineRule="auto"/>
        <w:rPr>
          <w:b/>
          <w:bCs/>
          <w:color w:val="auto"/>
          <w:sz w:val="24"/>
          <w:szCs w:val="24"/>
        </w:rPr>
      </w:pPr>
      <w:r>
        <w:rPr>
          <w:rFonts w:hint="eastAsia"/>
          <w:b/>
          <w:bCs/>
          <w:color w:val="auto"/>
          <w:sz w:val="24"/>
          <w:szCs w:val="24"/>
        </w:rPr>
        <w:t>四、响应文件提交（上传）</w:t>
      </w:r>
    </w:p>
    <w:p w14:paraId="5B69A55D">
      <w:pPr>
        <w:pStyle w:val="2"/>
        <w:spacing w:line="300" w:lineRule="auto"/>
        <w:ind w:firstLine="480" w:firstLineChars="200"/>
        <w:rPr>
          <w:color w:val="auto"/>
          <w:lang w:val="en-US"/>
        </w:rPr>
      </w:pPr>
      <w:r>
        <w:rPr>
          <w:rFonts w:hint="eastAsia"/>
          <w:color w:val="auto"/>
          <w:lang w:val="en-US"/>
        </w:rPr>
        <w:t>截止时间：</w:t>
      </w:r>
      <w:r>
        <w:rPr>
          <w:rFonts w:hint="eastAsia"/>
          <w:color w:val="auto"/>
          <w:u w:val="single"/>
          <w:lang w:val="en-US" w:eastAsia="zh-CN"/>
        </w:rPr>
        <w:t>2025年7月21日09:00</w:t>
      </w:r>
      <w:r>
        <w:rPr>
          <w:rFonts w:hint="eastAsia"/>
          <w:color w:val="auto"/>
          <w:lang w:val="en-US"/>
        </w:rPr>
        <w:t>（北京时间）</w:t>
      </w:r>
    </w:p>
    <w:p w14:paraId="6FE150C6">
      <w:pPr>
        <w:pStyle w:val="2"/>
        <w:spacing w:line="300" w:lineRule="auto"/>
        <w:ind w:firstLine="480" w:firstLineChars="200"/>
        <w:rPr>
          <w:color w:val="auto"/>
          <w:lang w:val="en-US"/>
        </w:rPr>
      </w:pPr>
      <w:r>
        <w:rPr>
          <w:rFonts w:hint="eastAsia"/>
          <w:color w:val="auto"/>
          <w:lang w:val="en-US"/>
        </w:rPr>
        <w:t>地点（网址）：请登录政采云投标客户端投标</w:t>
      </w:r>
    </w:p>
    <w:p w14:paraId="4730E972">
      <w:pPr>
        <w:spacing w:line="360" w:lineRule="auto"/>
        <w:rPr>
          <w:b/>
          <w:bCs/>
          <w:color w:val="auto"/>
          <w:sz w:val="24"/>
          <w:szCs w:val="24"/>
        </w:rPr>
      </w:pPr>
      <w:r>
        <w:rPr>
          <w:rFonts w:hint="eastAsia"/>
          <w:b/>
          <w:bCs/>
          <w:color w:val="auto"/>
          <w:sz w:val="24"/>
          <w:szCs w:val="24"/>
        </w:rPr>
        <w:t>五、响应文件开启</w:t>
      </w:r>
    </w:p>
    <w:p w14:paraId="3318CB12">
      <w:pPr>
        <w:pStyle w:val="2"/>
        <w:spacing w:line="300" w:lineRule="auto"/>
        <w:ind w:firstLine="480" w:firstLineChars="200"/>
        <w:rPr>
          <w:color w:val="auto"/>
          <w:lang w:val="en-US"/>
        </w:rPr>
      </w:pPr>
      <w:r>
        <w:rPr>
          <w:rFonts w:hint="eastAsia"/>
          <w:color w:val="auto"/>
          <w:lang w:val="en-US"/>
        </w:rPr>
        <w:t>开启时间：</w:t>
      </w:r>
      <w:r>
        <w:rPr>
          <w:rFonts w:hint="eastAsia"/>
          <w:color w:val="auto"/>
          <w:u w:val="single"/>
          <w:lang w:val="en-US" w:eastAsia="zh-CN"/>
        </w:rPr>
        <w:t>2025年7月21日09:00</w:t>
      </w:r>
      <w:r>
        <w:rPr>
          <w:rFonts w:hint="eastAsia"/>
          <w:color w:val="auto"/>
          <w:u w:val="none"/>
          <w:lang w:val="en-US"/>
        </w:rPr>
        <w:t>（北京时间）</w:t>
      </w:r>
    </w:p>
    <w:p w14:paraId="20E3DF41">
      <w:pPr>
        <w:pStyle w:val="2"/>
        <w:spacing w:line="300" w:lineRule="auto"/>
        <w:ind w:firstLine="480" w:firstLineChars="200"/>
        <w:rPr>
          <w:rFonts w:hint="eastAsia" w:eastAsia="仿宋"/>
          <w:color w:val="auto"/>
          <w:lang w:val="en-US" w:eastAsia="zh-CN"/>
        </w:rPr>
      </w:pPr>
      <w:r>
        <w:rPr>
          <w:rFonts w:hint="eastAsia"/>
          <w:color w:val="auto"/>
          <w:lang w:val="en-US"/>
        </w:rPr>
        <w:t>地点（网址）：</w:t>
      </w:r>
      <w:r>
        <w:rPr>
          <w:rFonts w:hint="eastAsia"/>
          <w:color w:val="auto"/>
          <w:sz w:val="24"/>
          <w:szCs w:val="24"/>
        </w:rPr>
        <w:t>浙江政府采购网—用户入驻/登录—用户登录—项目采购—开标评标—进入开标大厅</w:t>
      </w:r>
      <w:r>
        <w:rPr>
          <w:rFonts w:hint="eastAsia"/>
          <w:color w:val="auto"/>
          <w:sz w:val="24"/>
          <w:szCs w:val="24"/>
          <w:lang w:val="en-US" w:eastAsia="zh-CN"/>
        </w:rPr>
        <w:t>，</w:t>
      </w:r>
      <w:r>
        <w:rPr>
          <w:rFonts w:hint="eastAsia" w:ascii="仿宋" w:hAnsi="仿宋" w:eastAsia="仿宋" w:cs="仿宋"/>
          <w:color w:val="auto"/>
          <w:sz w:val="24"/>
          <w:szCs w:val="24"/>
          <w:highlight w:val="none"/>
          <w:lang w:eastAsia="zh-CN"/>
        </w:rPr>
        <w:t>遂昌县公共资源交易中心（遂昌县妙高街道君子路357号1号楼5楼开标室）</w:t>
      </w:r>
      <w:r>
        <w:rPr>
          <w:rFonts w:hint="eastAsia" w:cs="仿宋"/>
          <w:color w:val="auto"/>
          <w:sz w:val="24"/>
          <w:szCs w:val="24"/>
          <w:highlight w:val="none"/>
          <w:lang w:eastAsia="zh-CN"/>
        </w:rPr>
        <w:t>。</w:t>
      </w:r>
    </w:p>
    <w:p w14:paraId="3B73EFA2">
      <w:pPr>
        <w:spacing w:line="360" w:lineRule="auto"/>
        <w:rPr>
          <w:b/>
          <w:bCs/>
          <w:color w:val="auto"/>
          <w:sz w:val="24"/>
          <w:szCs w:val="24"/>
        </w:rPr>
      </w:pPr>
      <w:r>
        <w:rPr>
          <w:rFonts w:hint="eastAsia"/>
          <w:b/>
          <w:bCs/>
          <w:color w:val="auto"/>
          <w:sz w:val="24"/>
          <w:szCs w:val="24"/>
        </w:rPr>
        <w:t>六、公告期限</w:t>
      </w:r>
    </w:p>
    <w:p w14:paraId="39B7F619">
      <w:pPr>
        <w:pStyle w:val="2"/>
        <w:spacing w:line="300" w:lineRule="auto"/>
        <w:ind w:firstLine="480" w:firstLineChars="200"/>
        <w:rPr>
          <w:color w:val="auto"/>
          <w:lang w:val="en-US"/>
        </w:rPr>
      </w:pPr>
      <w:r>
        <w:rPr>
          <w:rFonts w:hint="eastAsia"/>
          <w:color w:val="auto"/>
          <w:lang w:val="en-US"/>
        </w:rPr>
        <w:t>自本公告发布之日起 3 个工作日。</w:t>
      </w:r>
    </w:p>
    <w:p w14:paraId="6049968E">
      <w:pPr>
        <w:spacing w:line="360" w:lineRule="auto"/>
        <w:rPr>
          <w:b/>
          <w:bCs/>
          <w:color w:val="auto"/>
          <w:sz w:val="24"/>
          <w:szCs w:val="24"/>
        </w:rPr>
      </w:pPr>
      <w:r>
        <w:rPr>
          <w:rFonts w:hint="eastAsia"/>
          <w:b/>
          <w:bCs/>
          <w:color w:val="auto"/>
          <w:sz w:val="24"/>
          <w:szCs w:val="24"/>
          <w:lang w:val="en-US"/>
        </w:rPr>
        <w:t>七</w:t>
      </w:r>
      <w:r>
        <w:rPr>
          <w:rFonts w:hint="eastAsia"/>
          <w:b/>
          <w:bCs/>
          <w:color w:val="auto"/>
          <w:sz w:val="24"/>
          <w:szCs w:val="24"/>
        </w:rPr>
        <w:t>、其他补充事宜</w:t>
      </w:r>
    </w:p>
    <w:p w14:paraId="3B423D5B">
      <w:pPr>
        <w:pStyle w:val="2"/>
        <w:spacing w:line="300" w:lineRule="auto"/>
        <w:ind w:firstLine="480" w:firstLineChars="200"/>
        <w:rPr>
          <w:color w:val="auto"/>
        </w:rPr>
      </w:pPr>
      <w:r>
        <w:rPr>
          <w:rFonts w:hint="eastAsia"/>
          <w:color w:val="auto"/>
        </w:rPr>
        <w:t>1.《浙江省财政厅关于进一步发挥政府采购政策功能全力推动经济稳进提质的通知》 （浙财采监</w:t>
      </w:r>
      <w:r>
        <w:rPr>
          <w:rFonts w:hint="eastAsia"/>
          <w:color w:val="auto"/>
          <w:lang w:eastAsia="zh-CN"/>
        </w:rPr>
        <w:t>〔2022〕3号</w:t>
      </w:r>
      <w:r>
        <w:rPr>
          <w:rFonts w:hint="eastAsia"/>
          <w:color w:val="auto"/>
        </w:rPr>
        <w:t>）、《浙江省财政厅关于进一步促进政府采购公平竞争打造最优营商环境的通知》（浙财采监</w:t>
      </w:r>
      <w:r>
        <w:rPr>
          <w:rFonts w:hint="eastAsia"/>
          <w:color w:val="auto"/>
          <w:lang w:eastAsia="zh-CN"/>
        </w:rPr>
        <w:t>〔2021〕22号</w:t>
      </w:r>
      <w:r>
        <w:rPr>
          <w:rFonts w:hint="eastAsia"/>
          <w:color w:val="auto"/>
        </w:rPr>
        <w:t>）已分别于2022年1月29日和2022年2月1日开始实施，此前有关规定与上述文件内容不一致的，按上述文件要求执行。</w:t>
      </w:r>
    </w:p>
    <w:p w14:paraId="61CAA21A">
      <w:pPr>
        <w:pStyle w:val="2"/>
        <w:spacing w:line="300" w:lineRule="auto"/>
        <w:ind w:firstLine="480" w:firstLineChars="200"/>
        <w:rPr>
          <w:color w:val="auto"/>
        </w:rPr>
      </w:pPr>
      <w:r>
        <w:rPr>
          <w:rFonts w:hint="eastAsia"/>
          <w:color w:val="auto"/>
        </w:rPr>
        <w:t>2.根据《浙江省财政厅关于进一步促进政府采购公平竞争打造最优营商环境的通知》（浙财采监</w:t>
      </w:r>
      <w:r>
        <w:rPr>
          <w:rFonts w:hint="eastAsia"/>
          <w:color w:val="auto"/>
          <w:lang w:eastAsia="zh-CN"/>
        </w:rPr>
        <w:t>〔2021〕22号</w:t>
      </w:r>
      <w:r>
        <w:rPr>
          <w:rFonts w:hint="eastAsia"/>
          <w:color w:val="auto"/>
        </w:rPr>
        <w:t>）文件关于“健全行政裁决机制”要求，鼓励供应商在线提起询问，路径为：政采云-项目采购-询问质疑投诉-询问列表</w:t>
      </w:r>
      <w:r>
        <w:rPr>
          <w:rFonts w:hint="eastAsia"/>
          <w:color w:val="auto"/>
          <w:lang w:eastAsia="zh-CN"/>
        </w:rPr>
        <w:t>：</w:t>
      </w:r>
      <w:r>
        <w:rPr>
          <w:rFonts w:hint="eastAsia"/>
          <w:color w:val="auto"/>
        </w:rPr>
        <w:t>鼓励供应商在线提起质疑，路径为：政采云-项目采购-询问质疑投诉-质疑列表。质疑供应商对在线质疑答复不满意的，可在线提起投诉，路径为：浙江政府服务网-政府采购投诉处理-在线办理。</w:t>
      </w:r>
    </w:p>
    <w:p w14:paraId="3CC3387D">
      <w:pPr>
        <w:pStyle w:val="2"/>
        <w:spacing w:line="300" w:lineRule="auto"/>
        <w:ind w:firstLine="480" w:firstLineChars="200"/>
        <w:rPr>
          <w:color w:val="auto"/>
          <w:lang w:val="en-US"/>
        </w:rPr>
      </w:pPr>
      <w:r>
        <w:rPr>
          <w:rFonts w:hint="eastAsia"/>
          <w:color w:val="auto"/>
          <w:lang w:val="en-US"/>
        </w:rPr>
        <w:t>3</w:t>
      </w:r>
      <w:r>
        <w:rPr>
          <w:rFonts w:hint="eastAsia"/>
          <w:color w:val="auto"/>
          <w:lang w:val="en-US" w:eastAsia="zh-CN"/>
        </w:rPr>
        <w:t>.</w:t>
      </w:r>
      <w:r>
        <w:rPr>
          <w:rFonts w:hint="eastAsia"/>
          <w:color w:val="auto"/>
        </w:rPr>
        <w:t>供应商认为采购文件使自己的权益受到损害的，可以自获取采购文件之日或者采购文件公告期限届满之日（公告期限届满后获取采购文件的，以公告期限届满之日为准）起 7 个工作日内，对采购文件需求的以书面形式向采购人提出质疑，对其他内容的以书面形式向采购人和采购代理机构</w:t>
      </w:r>
      <w:r>
        <w:rPr>
          <w:rFonts w:hint="eastAsia"/>
          <w:color w:val="auto"/>
          <w:lang w:val="en-US"/>
        </w:rPr>
        <w:t>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694814">
      <w:pPr>
        <w:pStyle w:val="2"/>
        <w:spacing w:line="300" w:lineRule="auto"/>
        <w:ind w:firstLine="480" w:firstLineChars="200"/>
        <w:rPr>
          <w:color w:val="auto"/>
          <w:lang w:val="en-US"/>
        </w:rPr>
      </w:pPr>
      <w:r>
        <w:rPr>
          <w:rFonts w:hint="eastAsia"/>
          <w:color w:val="auto"/>
          <w:lang w:val="en-US"/>
        </w:rPr>
        <w:t>4</w:t>
      </w:r>
      <w:r>
        <w:rPr>
          <w:rFonts w:hint="eastAsia"/>
          <w:color w:val="auto"/>
          <w:lang w:val="en-US" w:eastAsia="zh-CN"/>
        </w:rPr>
        <w:t>.</w:t>
      </w:r>
      <w:r>
        <w:rPr>
          <w:rFonts w:hint="eastAsia"/>
          <w:color w:val="auto"/>
          <w:lang w:val="en-US"/>
        </w:rPr>
        <w:t>其他事项：</w:t>
      </w:r>
    </w:p>
    <w:p w14:paraId="696812B1">
      <w:pPr>
        <w:pStyle w:val="2"/>
        <w:spacing w:line="300" w:lineRule="auto"/>
        <w:ind w:firstLine="480" w:firstLineChars="200"/>
        <w:rPr>
          <w:color w:val="auto"/>
          <w:lang w:val="en-US"/>
        </w:rPr>
      </w:pPr>
      <w:r>
        <w:rPr>
          <w:rFonts w:hint="eastAsia"/>
          <w:color w:val="auto"/>
          <w:lang w:val="en-US"/>
        </w:rPr>
        <w:t>（1）潜在供应商应当依照本公告第三条第3款规定方式获取采购文件，其他渠道获取采购文件的，不得对采购文件提起质疑投诉。</w:t>
      </w:r>
    </w:p>
    <w:p w14:paraId="71D05A8A">
      <w:pPr>
        <w:pStyle w:val="2"/>
        <w:spacing w:line="300" w:lineRule="auto"/>
        <w:ind w:firstLine="480" w:firstLineChars="200"/>
        <w:rPr>
          <w:color w:val="auto"/>
          <w:lang w:val="en-US"/>
        </w:rPr>
      </w:pPr>
      <w:r>
        <w:rPr>
          <w:rFonts w:hint="eastAsia"/>
          <w:color w:val="auto"/>
          <w:lang w:val="en-US"/>
        </w:rPr>
        <w:t>（2）备份投标文件：供应商自行确定是否提交；若提交请在投标文件截止时间前将备份投标文件打包压缩加密后（未加密造成泄密的由供应商自行承担）以电子邮件的形式发至</w:t>
      </w:r>
      <w:r>
        <w:rPr>
          <w:rFonts w:hint="eastAsia"/>
          <w:color w:val="auto"/>
          <w:lang w:val="en-US" w:eastAsia="zh-CN"/>
        </w:rPr>
        <w:t>779740329</w:t>
      </w:r>
      <w:r>
        <w:rPr>
          <w:rFonts w:hint="eastAsia"/>
          <w:color w:val="auto"/>
          <w:lang w:val="en-US"/>
        </w:rPr>
        <w:t>@qq.com</w:t>
      </w:r>
      <w:r>
        <w:rPr>
          <w:rFonts w:hint="eastAsia"/>
          <w:color w:val="auto"/>
          <w:u w:val="none"/>
          <w:lang w:val="en-US"/>
        </w:rPr>
        <w:t>，备份投标文件在“电子投标文件”在线解密失败后启用，否则不予以启用。</w:t>
      </w:r>
    </w:p>
    <w:p w14:paraId="7C9EA99D">
      <w:pPr>
        <w:spacing w:line="360" w:lineRule="auto"/>
        <w:rPr>
          <w:b/>
          <w:bCs/>
          <w:color w:val="auto"/>
          <w:sz w:val="24"/>
          <w:szCs w:val="24"/>
        </w:rPr>
      </w:pPr>
      <w:r>
        <w:rPr>
          <w:rFonts w:hint="eastAsia"/>
          <w:b/>
          <w:bCs/>
          <w:color w:val="auto"/>
          <w:sz w:val="24"/>
          <w:szCs w:val="24"/>
          <w:lang w:val="en-US"/>
        </w:rPr>
        <w:t>八、</w:t>
      </w:r>
      <w:r>
        <w:rPr>
          <w:rFonts w:hint="eastAsia"/>
          <w:b/>
          <w:bCs/>
          <w:color w:val="auto"/>
          <w:sz w:val="24"/>
          <w:szCs w:val="24"/>
        </w:rPr>
        <w:t>凡对本次招标提出询问、质疑、投诉，请按以下方式联系</w:t>
      </w:r>
    </w:p>
    <w:p w14:paraId="1D53879B">
      <w:pPr>
        <w:pStyle w:val="2"/>
        <w:spacing w:line="300" w:lineRule="auto"/>
        <w:ind w:firstLine="480" w:firstLineChars="200"/>
        <w:rPr>
          <w:color w:val="auto"/>
          <w:lang w:val="en-US"/>
        </w:rPr>
      </w:pPr>
      <w:r>
        <w:rPr>
          <w:rFonts w:hint="eastAsia"/>
          <w:color w:val="auto"/>
          <w:lang w:val="en-US"/>
        </w:rPr>
        <w:t>1.采购人信息</w:t>
      </w:r>
    </w:p>
    <w:p w14:paraId="65347F33">
      <w:pPr>
        <w:pStyle w:val="24"/>
        <w:spacing w:line="300" w:lineRule="auto"/>
        <w:ind w:firstLine="720" w:firstLineChars="300"/>
        <w:rPr>
          <w:rFonts w:ascii="仿宋"/>
          <w:color w:val="auto"/>
          <w:highlight w:val="none"/>
        </w:rPr>
      </w:pPr>
      <w:r>
        <w:rPr>
          <w:rFonts w:hint="eastAsia" w:ascii="仿宋"/>
          <w:color w:val="auto"/>
        </w:rPr>
        <w:t>名    称：</w:t>
      </w:r>
      <w:r>
        <w:rPr>
          <w:rFonts w:hint="eastAsia" w:ascii="仿宋"/>
          <w:color w:val="auto"/>
          <w:lang w:eastAsia="zh-CN"/>
        </w:rPr>
        <w:t xml:space="preserve">浙江遂昌经济开发区管理委员会 </w:t>
      </w:r>
      <w:r>
        <w:rPr>
          <w:rFonts w:hint="eastAsia" w:ascii="仿宋"/>
          <w:color w:val="auto"/>
          <w:highlight w:val="none"/>
        </w:rPr>
        <w:t>    </w:t>
      </w:r>
    </w:p>
    <w:p w14:paraId="17F0CD4C">
      <w:pPr>
        <w:pStyle w:val="24"/>
        <w:spacing w:line="300" w:lineRule="auto"/>
        <w:ind w:firstLine="720" w:firstLineChars="300"/>
        <w:rPr>
          <w:color w:val="auto"/>
          <w:highlight w:val="none"/>
        </w:rPr>
      </w:pPr>
      <w:r>
        <w:rPr>
          <w:rFonts w:hint="eastAsia" w:ascii="仿宋"/>
          <w:color w:val="auto"/>
          <w:highlight w:val="none"/>
        </w:rPr>
        <w:t>地    址：</w:t>
      </w:r>
      <w:r>
        <w:rPr>
          <w:rFonts w:hint="eastAsia" w:ascii="仿宋"/>
          <w:color w:val="auto"/>
          <w:highlight w:val="none"/>
          <w:lang w:eastAsia="zh-CN"/>
        </w:rPr>
        <w:t>遂昌县云峰街道昌和路1号</w:t>
      </w:r>
    </w:p>
    <w:p w14:paraId="50BB4D32">
      <w:pPr>
        <w:pStyle w:val="24"/>
        <w:spacing w:line="300" w:lineRule="auto"/>
        <w:ind w:firstLine="720" w:firstLineChars="300"/>
        <w:rPr>
          <w:rFonts w:hint="eastAsia" w:ascii="仿宋"/>
          <w:color w:val="auto"/>
          <w:highlight w:val="none"/>
          <w:lang w:val="en-US" w:eastAsia="zh-CN"/>
        </w:rPr>
      </w:pPr>
      <w:r>
        <w:rPr>
          <w:rFonts w:hint="eastAsia" w:ascii="仿宋"/>
          <w:color w:val="auto"/>
          <w:highlight w:val="none"/>
          <w:lang w:eastAsia="zh-CN"/>
        </w:rPr>
        <w:t>项目联系人（询问）：李先生</w:t>
      </w:r>
    </w:p>
    <w:p w14:paraId="2BAB8CCA">
      <w:pPr>
        <w:pStyle w:val="24"/>
        <w:spacing w:line="300" w:lineRule="auto"/>
        <w:ind w:firstLine="720" w:firstLineChars="300"/>
        <w:rPr>
          <w:rFonts w:hint="default" w:ascii="仿宋"/>
          <w:color w:val="auto"/>
          <w:highlight w:val="none"/>
          <w:lang w:val="en-US" w:eastAsia="zh-CN"/>
        </w:rPr>
      </w:pPr>
      <w:r>
        <w:rPr>
          <w:rFonts w:hint="eastAsia" w:ascii="仿宋"/>
          <w:color w:val="auto"/>
          <w:highlight w:val="none"/>
          <w:lang w:eastAsia="zh-CN"/>
        </w:rPr>
        <w:t>联系方式：</w:t>
      </w:r>
      <w:r>
        <w:rPr>
          <w:rFonts w:hint="eastAsia" w:ascii="仿宋"/>
          <w:color w:val="auto"/>
          <w:highlight w:val="none"/>
          <w:lang w:val="en-US" w:eastAsia="zh-CN"/>
        </w:rPr>
        <w:t>0578-8526588</w:t>
      </w:r>
    </w:p>
    <w:p w14:paraId="1D5BCF0C">
      <w:pPr>
        <w:pStyle w:val="24"/>
        <w:spacing w:line="300" w:lineRule="auto"/>
        <w:ind w:firstLine="720" w:firstLineChars="300"/>
        <w:rPr>
          <w:rFonts w:hint="eastAsia" w:ascii="仿宋" w:eastAsia="仿宋"/>
          <w:color w:val="auto"/>
          <w:highlight w:val="none"/>
          <w:lang w:val="en-US" w:eastAsia="zh-CN"/>
        </w:rPr>
      </w:pPr>
      <w:r>
        <w:rPr>
          <w:rFonts w:hint="eastAsia" w:ascii="仿宋"/>
          <w:color w:val="auto"/>
          <w:highlight w:val="none"/>
          <w:lang w:eastAsia="zh-CN"/>
        </w:rPr>
        <w:t>质疑联系人：张先生</w:t>
      </w:r>
    </w:p>
    <w:p w14:paraId="05F35D64">
      <w:pPr>
        <w:pStyle w:val="24"/>
        <w:spacing w:line="300" w:lineRule="auto"/>
        <w:ind w:firstLine="720" w:firstLineChars="300"/>
        <w:rPr>
          <w:rFonts w:hint="default" w:ascii="仿宋"/>
          <w:color w:val="auto"/>
          <w:highlight w:val="none"/>
          <w:lang w:val="en-US" w:eastAsia="zh-CN"/>
        </w:rPr>
      </w:pPr>
      <w:r>
        <w:rPr>
          <w:rFonts w:hint="eastAsia" w:ascii="仿宋"/>
          <w:color w:val="auto"/>
          <w:highlight w:val="none"/>
          <w:lang w:eastAsia="zh-CN"/>
        </w:rPr>
        <w:t>质疑联系方式：</w:t>
      </w:r>
      <w:r>
        <w:rPr>
          <w:rFonts w:hint="eastAsia" w:ascii="仿宋"/>
          <w:color w:val="auto"/>
          <w:highlight w:val="none"/>
          <w:lang w:val="en-US" w:eastAsia="zh-CN"/>
        </w:rPr>
        <w:t>0578-8526581</w:t>
      </w:r>
    </w:p>
    <w:p w14:paraId="518B2027">
      <w:pPr>
        <w:pStyle w:val="24"/>
        <w:spacing w:line="300" w:lineRule="auto"/>
        <w:rPr>
          <w:rFonts w:ascii="仿宋"/>
          <w:color w:val="auto"/>
          <w:highlight w:val="none"/>
        </w:rPr>
      </w:pPr>
    </w:p>
    <w:p w14:paraId="3BED4E8B">
      <w:pPr>
        <w:pStyle w:val="24"/>
        <w:spacing w:line="300" w:lineRule="auto"/>
        <w:ind w:firstLine="480" w:firstLineChars="200"/>
        <w:rPr>
          <w:rFonts w:ascii="仿宋"/>
          <w:color w:val="auto"/>
          <w:highlight w:val="none"/>
        </w:rPr>
      </w:pPr>
      <w:r>
        <w:rPr>
          <w:rFonts w:hint="eastAsia" w:ascii="仿宋"/>
          <w:color w:val="auto"/>
          <w:highlight w:val="none"/>
        </w:rPr>
        <w:t>2.采购代理机构信息            </w:t>
      </w:r>
    </w:p>
    <w:p w14:paraId="5DD41EDD">
      <w:pPr>
        <w:pStyle w:val="24"/>
        <w:spacing w:line="30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EFE067C">
      <w:pPr>
        <w:pStyle w:val="24"/>
        <w:spacing w:line="300" w:lineRule="auto"/>
        <w:ind w:firstLine="720" w:firstLineChars="300"/>
        <w:rPr>
          <w:rFonts w:ascii="仿宋"/>
          <w:color w:val="auto"/>
          <w:highlight w:val="none"/>
        </w:rPr>
      </w:pPr>
      <w:r>
        <w:rPr>
          <w:rFonts w:hint="eastAsia" w:ascii="仿宋"/>
          <w:color w:val="auto"/>
          <w:highlight w:val="none"/>
        </w:rPr>
        <w:t>地    址：遂昌县妙高街道凯恩路22</w:t>
      </w:r>
      <w:r>
        <w:rPr>
          <w:rFonts w:hint="eastAsia" w:ascii="仿宋"/>
          <w:color w:val="auto"/>
          <w:highlight w:val="none"/>
          <w:lang w:val="en-US"/>
        </w:rPr>
        <w:t>4</w:t>
      </w:r>
      <w:r>
        <w:rPr>
          <w:rFonts w:hint="eastAsia" w:ascii="仿宋"/>
          <w:color w:val="auto"/>
          <w:highlight w:val="none"/>
        </w:rPr>
        <w:t>号           </w:t>
      </w:r>
    </w:p>
    <w:p w14:paraId="6EE29DD1">
      <w:pPr>
        <w:pStyle w:val="24"/>
        <w:spacing w:line="300" w:lineRule="auto"/>
        <w:ind w:firstLine="720" w:firstLineChars="300"/>
        <w:rPr>
          <w:rFonts w:hint="eastAsia" w:ascii="仿宋"/>
          <w:color w:val="auto"/>
          <w:highlight w:val="none"/>
          <w:lang w:val="en-US" w:eastAsia="zh-CN"/>
        </w:rPr>
      </w:pPr>
      <w:r>
        <w:rPr>
          <w:rFonts w:hint="eastAsia" w:ascii="仿宋"/>
          <w:color w:val="auto"/>
          <w:highlight w:val="none"/>
        </w:rPr>
        <w:t>项目联系人（询问）：</w:t>
      </w:r>
      <w:r>
        <w:rPr>
          <w:rFonts w:hint="eastAsia" w:ascii="仿宋"/>
          <w:color w:val="auto"/>
          <w:highlight w:val="none"/>
          <w:lang w:eastAsia="zh-CN"/>
        </w:rPr>
        <w:t>蓝秋萍</w:t>
      </w:r>
      <w:r>
        <w:rPr>
          <w:rFonts w:hint="eastAsia" w:ascii="仿宋"/>
          <w:color w:val="auto"/>
          <w:highlight w:val="none"/>
          <w:lang w:val="en-US"/>
        </w:rPr>
        <w:t xml:space="preserve">     </w:t>
      </w:r>
      <w:r>
        <w:rPr>
          <w:rFonts w:hint="eastAsia" w:ascii="仿宋"/>
          <w:color w:val="auto"/>
          <w:highlight w:val="none"/>
          <w:lang w:val="en-US" w:eastAsia="zh-CN"/>
        </w:rPr>
        <w:t xml:space="preserve">     </w:t>
      </w:r>
    </w:p>
    <w:p w14:paraId="4F8A2979">
      <w:pPr>
        <w:pStyle w:val="24"/>
        <w:spacing w:line="300" w:lineRule="auto"/>
        <w:ind w:firstLine="720" w:firstLineChars="300"/>
        <w:rPr>
          <w:rFonts w:hint="default" w:ascii="仿宋" w:eastAsia="仿宋"/>
          <w:color w:val="auto"/>
          <w:highlight w:val="none"/>
          <w:lang w:val="en-US" w:eastAsia="zh-CN"/>
        </w:rPr>
      </w:pPr>
      <w:r>
        <w:rPr>
          <w:rFonts w:hint="eastAsia" w:ascii="仿宋"/>
          <w:color w:val="auto"/>
          <w:highlight w:val="none"/>
        </w:rPr>
        <w:t>项目联系方式（询问）：</w:t>
      </w:r>
      <w:r>
        <w:rPr>
          <w:rFonts w:hint="eastAsia" w:ascii="仿宋"/>
          <w:color w:val="auto"/>
          <w:highlight w:val="none"/>
          <w:lang w:val="en-US" w:eastAsia="zh-CN"/>
        </w:rPr>
        <w:t>18164539863</w:t>
      </w:r>
    </w:p>
    <w:p w14:paraId="21023295">
      <w:pPr>
        <w:pStyle w:val="24"/>
        <w:spacing w:line="300" w:lineRule="auto"/>
        <w:ind w:firstLine="720" w:firstLineChars="300"/>
        <w:rPr>
          <w:rFonts w:hint="eastAsia" w:ascii="仿宋"/>
          <w:color w:val="auto"/>
          <w:highlight w:val="none"/>
          <w:lang w:val="en-US" w:eastAsia="zh-CN"/>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eastAsia="zh-CN"/>
        </w:rPr>
        <w:t xml:space="preserve">       </w:t>
      </w:r>
    </w:p>
    <w:p w14:paraId="6E686810">
      <w:pPr>
        <w:pStyle w:val="24"/>
        <w:spacing w:line="300" w:lineRule="auto"/>
        <w:ind w:firstLine="720" w:firstLineChars="300"/>
        <w:rPr>
          <w:rFonts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4F3FF202">
      <w:pPr>
        <w:pStyle w:val="24"/>
        <w:spacing w:line="300" w:lineRule="auto"/>
        <w:ind w:firstLine="480" w:firstLineChars="200"/>
        <w:rPr>
          <w:rFonts w:ascii="仿宋"/>
          <w:color w:val="auto"/>
          <w:highlight w:val="none"/>
        </w:rPr>
      </w:pPr>
    </w:p>
    <w:p w14:paraId="3B6520AC">
      <w:pPr>
        <w:pStyle w:val="24"/>
        <w:spacing w:line="300" w:lineRule="auto"/>
        <w:ind w:firstLine="480" w:firstLineChars="200"/>
        <w:rPr>
          <w:rFonts w:ascii="仿宋"/>
          <w:color w:val="auto"/>
          <w:highlight w:val="none"/>
        </w:rPr>
      </w:pPr>
      <w:r>
        <w:rPr>
          <w:rFonts w:hint="eastAsia" w:ascii="仿宋"/>
          <w:color w:val="auto"/>
          <w:highlight w:val="none"/>
        </w:rPr>
        <w:t>3.同级政府采购监督管理部门            </w:t>
      </w:r>
    </w:p>
    <w:p w14:paraId="6D225FD6">
      <w:pPr>
        <w:pStyle w:val="24"/>
        <w:spacing w:line="300" w:lineRule="auto"/>
        <w:ind w:firstLine="720" w:firstLineChars="300"/>
        <w:rPr>
          <w:rFonts w:ascii="仿宋"/>
          <w:color w:val="auto"/>
          <w:highlight w:val="none"/>
        </w:rPr>
      </w:pPr>
      <w:r>
        <w:rPr>
          <w:rFonts w:hint="eastAsia" w:ascii="仿宋"/>
          <w:color w:val="auto"/>
          <w:highlight w:val="none"/>
        </w:rPr>
        <w:t>名    称：遂昌县财政局 </w:t>
      </w:r>
    </w:p>
    <w:p w14:paraId="46714D99">
      <w:pPr>
        <w:pStyle w:val="24"/>
        <w:spacing w:line="300" w:lineRule="auto"/>
        <w:ind w:firstLine="720" w:firstLineChars="300"/>
        <w:rPr>
          <w:rFonts w:ascii="仿宋"/>
          <w:color w:val="auto"/>
          <w:highlight w:val="none"/>
        </w:rPr>
      </w:pPr>
      <w:r>
        <w:rPr>
          <w:rFonts w:hint="eastAsia" w:ascii="仿宋"/>
          <w:color w:val="auto"/>
          <w:highlight w:val="none"/>
        </w:rPr>
        <w:t>地    址：遂昌县妙高街道</w:t>
      </w:r>
      <w:r>
        <w:rPr>
          <w:rFonts w:hint="eastAsia" w:ascii="仿宋"/>
          <w:color w:val="auto"/>
          <w:highlight w:val="none"/>
          <w:lang w:eastAsia="zh-CN"/>
        </w:rPr>
        <w:t>南街</w:t>
      </w:r>
      <w:r>
        <w:rPr>
          <w:rFonts w:hint="eastAsia" w:ascii="仿宋"/>
          <w:color w:val="auto"/>
          <w:highlight w:val="none"/>
          <w:lang w:val="en-US" w:eastAsia="zh-CN"/>
        </w:rPr>
        <w:t>66</w:t>
      </w:r>
      <w:r>
        <w:rPr>
          <w:rFonts w:hint="eastAsia" w:ascii="仿宋"/>
          <w:color w:val="auto"/>
          <w:highlight w:val="none"/>
        </w:rPr>
        <w:t>号</w:t>
      </w:r>
    </w:p>
    <w:p w14:paraId="22886035">
      <w:pPr>
        <w:pStyle w:val="24"/>
        <w:spacing w:line="300" w:lineRule="auto"/>
        <w:ind w:firstLine="720" w:firstLineChars="300"/>
        <w:rPr>
          <w:rFonts w:ascii="仿宋"/>
          <w:color w:val="auto"/>
          <w:highlight w:val="none"/>
        </w:rPr>
      </w:pPr>
      <w:r>
        <w:rPr>
          <w:rFonts w:hint="eastAsia" w:ascii="仿宋"/>
          <w:color w:val="auto"/>
          <w:highlight w:val="none"/>
        </w:rPr>
        <w:t>传    真：0578-8121718</w:t>
      </w:r>
    </w:p>
    <w:p w14:paraId="624CBD45">
      <w:pPr>
        <w:pStyle w:val="24"/>
        <w:spacing w:line="300" w:lineRule="auto"/>
        <w:ind w:firstLine="720" w:firstLineChars="300"/>
        <w:rPr>
          <w:rFonts w:ascii="仿宋"/>
          <w:color w:val="auto"/>
          <w:highlight w:val="none"/>
          <w:lang w:val="en-US"/>
        </w:rPr>
      </w:pPr>
      <w:r>
        <w:rPr>
          <w:rFonts w:hint="eastAsia" w:ascii="仿宋"/>
          <w:color w:val="auto"/>
          <w:highlight w:val="none"/>
        </w:rPr>
        <w:t>联系人 ：</w:t>
      </w:r>
      <w:r>
        <w:rPr>
          <w:rFonts w:hint="eastAsia" w:ascii="仿宋"/>
          <w:color w:val="auto"/>
          <w:highlight w:val="none"/>
          <w:lang w:val="en-US"/>
        </w:rPr>
        <w:t>李先生</w:t>
      </w:r>
    </w:p>
    <w:p w14:paraId="788563D6">
      <w:pPr>
        <w:pStyle w:val="24"/>
        <w:spacing w:line="300" w:lineRule="auto"/>
        <w:ind w:firstLine="720" w:firstLineChars="300"/>
        <w:rPr>
          <w:rFonts w:ascii="仿宋"/>
          <w:color w:val="auto"/>
          <w:highlight w:val="none"/>
        </w:rPr>
      </w:pPr>
      <w:r>
        <w:rPr>
          <w:rFonts w:hint="eastAsia" w:ascii="仿宋"/>
          <w:color w:val="auto"/>
          <w:highlight w:val="none"/>
        </w:rPr>
        <w:t>监督投诉电话：0578-8121718 </w:t>
      </w:r>
    </w:p>
    <w:p w14:paraId="7F8ABB38">
      <w:pPr>
        <w:pStyle w:val="2"/>
        <w:spacing w:line="300" w:lineRule="auto"/>
        <w:rPr>
          <w:b/>
          <w:bCs/>
          <w:color w:val="auto"/>
          <w:highlight w:val="none"/>
        </w:rPr>
      </w:pPr>
    </w:p>
    <w:p w14:paraId="1EEA2B96">
      <w:pPr>
        <w:pStyle w:val="27"/>
        <w:rPr>
          <w:color w:val="auto"/>
          <w:highlight w:val="none"/>
        </w:rPr>
      </w:pPr>
    </w:p>
    <w:p w14:paraId="1851C9CB">
      <w:pPr>
        <w:pStyle w:val="2"/>
        <w:spacing w:line="300" w:lineRule="auto"/>
        <w:jc w:val="both"/>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299278A0">
      <w:pPr>
        <w:pStyle w:val="2"/>
        <w:spacing w:line="30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68E9F1C3">
      <w:pPr>
        <w:pStyle w:val="2"/>
        <w:spacing w:line="300" w:lineRule="auto"/>
        <w:rPr>
          <w:color w:val="auto"/>
          <w:highlight w:val="none"/>
        </w:rPr>
      </w:pPr>
    </w:p>
    <w:p w14:paraId="32946F11">
      <w:pPr>
        <w:pStyle w:val="2"/>
        <w:spacing w:line="300" w:lineRule="auto"/>
        <w:rPr>
          <w:color w:val="auto"/>
          <w:sz w:val="26"/>
          <w:highlight w:val="none"/>
        </w:rPr>
      </w:pPr>
    </w:p>
    <w:p w14:paraId="4110CD31">
      <w:pPr>
        <w:pStyle w:val="27"/>
        <w:rPr>
          <w:color w:val="auto"/>
          <w:sz w:val="26"/>
          <w:highlight w:val="none"/>
        </w:rPr>
      </w:pPr>
    </w:p>
    <w:p w14:paraId="69D0E979">
      <w:pPr>
        <w:pStyle w:val="22"/>
        <w:rPr>
          <w:color w:val="auto"/>
          <w:sz w:val="26"/>
          <w:highlight w:val="none"/>
        </w:rPr>
      </w:pPr>
    </w:p>
    <w:p w14:paraId="21A8AB3B">
      <w:pPr>
        <w:rPr>
          <w:color w:val="auto"/>
        </w:rPr>
      </w:pPr>
    </w:p>
    <w:p w14:paraId="7B05E84F">
      <w:pPr>
        <w:pStyle w:val="3"/>
        <w:numPr>
          <w:ilvl w:val="0"/>
          <w:numId w:val="1"/>
        </w:numPr>
        <w:tabs>
          <w:tab w:val="left" w:pos="1406"/>
        </w:tabs>
        <w:spacing w:line="360" w:lineRule="auto"/>
        <w:ind w:left="119"/>
        <w:jc w:val="center"/>
        <w:rPr>
          <w:rFonts w:ascii="Times New Roman" w:hAnsi="Times New Roman"/>
          <w:color w:val="auto"/>
          <w:highlight w:val="none"/>
          <w:lang w:val="en-US"/>
        </w:rPr>
      </w:pPr>
      <w:bookmarkStart w:id="10" w:name="_Toc20822"/>
      <w:bookmarkStart w:id="11" w:name="_Toc16888"/>
      <w:bookmarkStart w:id="12" w:name="_Toc9108"/>
      <w:r>
        <w:rPr>
          <w:rFonts w:hint="eastAsia"/>
          <w:color w:val="auto"/>
          <w:highlight w:val="none"/>
          <w:lang w:val="en-US" w:eastAsia="zh-CN"/>
        </w:rPr>
        <w:t xml:space="preserve"> </w:t>
      </w:r>
      <w:r>
        <w:rPr>
          <w:rFonts w:hint="eastAsia" w:ascii="Times New Roman" w:hAnsi="Times New Roman"/>
          <w:color w:val="auto"/>
          <w:highlight w:val="none"/>
          <w:lang w:val="en-US"/>
        </w:rPr>
        <w:t>采购需求</w:t>
      </w:r>
      <w:bookmarkEnd w:id="10"/>
    </w:p>
    <w:p w14:paraId="53C2C1D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eastAsia" w:cs="仿宋"/>
          <w:b/>
          <w:bCs/>
          <w:color w:val="auto"/>
          <w:sz w:val="28"/>
          <w:szCs w:val="22"/>
          <w:lang w:val="en-US" w:eastAsia="zh-CN"/>
        </w:rPr>
      </w:pPr>
      <w:bookmarkStart w:id="13" w:name="_Toc42635989"/>
      <w:bookmarkStart w:id="14" w:name="_Toc28287"/>
      <w:bookmarkStart w:id="15" w:name="_Toc25059"/>
      <w:bookmarkStart w:id="16" w:name="_Toc7139"/>
      <w:r>
        <w:rPr>
          <w:rFonts w:hint="eastAsia" w:cs="仿宋"/>
          <w:b/>
          <w:bCs/>
          <w:color w:val="auto"/>
          <w:sz w:val="28"/>
          <w:szCs w:val="22"/>
          <w:lang w:val="en-US" w:eastAsia="zh-CN"/>
        </w:rPr>
        <w:t>项目背景</w:t>
      </w:r>
    </w:p>
    <w:p w14:paraId="1115C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color w:val="auto"/>
          <w:sz w:val="24"/>
          <w:szCs w:val="21"/>
          <w:lang w:val="en-US" w:eastAsia="zh-CN"/>
        </w:rPr>
      </w:pPr>
      <w:r>
        <w:rPr>
          <w:rFonts w:hint="default" w:cs="仿宋"/>
          <w:color w:val="auto"/>
          <w:sz w:val="24"/>
          <w:szCs w:val="21"/>
          <w:lang w:val="en-US" w:eastAsia="zh-CN"/>
        </w:rPr>
        <w:t>根据环办土壤函</w:t>
      </w:r>
      <w:r>
        <w:rPr>
          <w:rFonts w:hint="eastAsia" w:cs="仿宋"/>
          <w:color w:val="auto"/>
          <w:sz w:val="24"/>
          <w:szCs w:val="21"/>
          <w:lang w:val="en-US" w:eastAsia="zh-CN"/>
        </w:rPr>
        <w:t>〔2025〕139号</w:t>
      </w:r>
      <w:r>
        <w:rPr>
          <w:rFonts w:hint="default" w:cs="仿宋"/>
          <w:color w:val="auto"/>
          <w:sz w:val="24"/>
          <w:szCs w:val="21"/>
          <w:lang w:val="en-US" w:eastAsia="zh-CN"/>
        </w:rPr>
        <w:t>《关于印发《化工园区地下水污染专项整治工作方案》的通知》，遂昌县化工园区属于浙江省化工园区地下水污染风险分类情况清单中的高风险园区。需完成制定整治方案、开展污染整治、评估整治成效等工作。</w:t>
      </w:r>
    </w:p>
    <w:p w14:paraId="3971D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color w:val="auto"/>
          <w:sz w:val="24"/>
          <w:szCs w:val="24"/>
          <w:lang w:val="en-US" w:eastAsia="zh-CN"/>
        </w:rPr>
      </w:pPr>
      <w:r>
        <w:rPr>
          <w:rFonts w:hint="default" w:cs="仿宋"/>
          <w:color w:val="auto"/>
          <w:sz w:val="24"/>
          <w:szCs w:val="21"/>
          <w:lang w:val="en-US" w:eastAsia="zh-CN"/>
        </w:rPr>
        <w:t>结合《浙江省化工园区地下水污染专项整治工作实施方案（征求意见稿）</w:t>
      </w:r>
      <w:r>
        <w:rPr>
          <w:rFonts w:hint="eastAsia" w:cs="仿宋"/>
          <w:color w:val="auto"/>
          <w:sz w:val="24"/>
          <w:szCs w:val="21"/>
          <w:lang w:val="en-US" w:eastAsia="zh-CN"/>
        </w:rPr>
        <w:t>》《</w:t>
      </w:r>
      <w:r>
        <w:rPr>
          <w:rFonts w:hint="default" w:cs="仿宋"/>
          <w:color w:val="auto"/>
          <w:sz w:val="24"/>
          <w:szCs w:val="21"/>
          <w:lang w:val="en-US" w:eastAsia="zh-CN"/>
        </w:rPr>
        <w:t>2025年土壤、地下水、农业农村和重金属污染防治工作要点》等文件</w:t>
      </w:r>
      <w:r>
        <w:rPr>
          <w:rFonts w:hint="eastAsia" w:cs="仿宋"/>
          <w:color w:val="auto"/>
          <w:sz w:val="24"/>
          <w:szCs w:val="21"/>
          <w:lang w:val="en-US" w:eastAsia="zh-CN"/>
        </w:rPr>
        <w:t>要求</w:t>
      </w:r>
      <w:r>
        <w:rPr>
          <w:rFonts w:hint="default" w:cs="仿宋"/>
          <w:color w:val="auto"/>
          <w:sz w:val="24"/>
          <w:szCs w:val="21"/>
          <w:lang w:val="en-US" w:eastAsia="zh-CN"/>
        </w:rPr>
        <w:t>，</w:t>
      </w:r>
      <w:r>
        <w:rPr>
          <w:rFonts w:hint="eastAsia" w:cs="仿宋"/>
          <w:color w:val="auto"/>
          <w:sz w:val="24"/>
          <w:szCs w:val="21"/>
          <w:lang w:val="en-US" w:eastAsia="zh-CN"/>
        </w:rPr>
        <w:t>拟采购</w:t>
      </w:r>
      <w:r>
        <w:rPr>
          <w:rFonts w:hint="eastAsia" w:cs="仿宋"/>
          <w:color w:val="auto"/>
          <w:sz w:val="24"/>
          <w:szCs w:val="24"/>
          <w:lang w:val="en-US" w:eastAsia="zh-CN"/>
        </w:rPr>
        <w:t>遂昌县化工园区地下水污染专项整治全过程咨询服务。</w:t>
      </w:r>
    </w:p>
    <w:p w14:paraId="0652352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default" w:cs="仿宋"/>
          <w:b/>
          <w:bCs/>
          <w:color w:val="auto"/>
          <w:sz w:val="28"/>
          <w:szCs w:val="22"/>
          <w:lang w:val="en-US" w:eastAsia="zh-CN"/>
        </w:rPr>
      </w:pPr>
      <w:r>
        <w:rPr>
          <w:rFonts w:hint="eastAsia" w:cs="仿宋"/>
          <w:b/>
          <w:bCs/>
          <w:color w:val="auto"/>
          <w:sz w:val="28"/>
          <w:szCs w:val="22"/>
          <w:lang w:val="en-US" w:eastAsia="zh-CN"/>
        </w:rPr>
        <w:t>采购内容</w:t>
      </w:r>
    </w:p>
    <w:p w14:paraId="498AB6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1"/>
        </w:rPr>
      </w:pPr>
      <w:r>
        <w:rPr>
          <w:rFonts w:hint="eastAsia" w:ascii="仿宋" w:hAnsi="仿宋" w:eastAsia="仿宋" w:cs="仿宋"/>
          <w:b/>
          <w:bCs/>
          <w:color w:val="auto"/>
          <w:sz w:val="24"/>
          <w:szCs w:val="21"/>
          <w:lang w:val="en-US" w:eastAsia="zh-CN"/>
        </w:rPr>
        <w:t>1.制定</w:t>
      </w:r>
      <w:r>
        <w:rPr>
          <w:rFonts w:hint="eastAsia" w:ascii="仿宋" w:hAnsi="仿宋" w:eastAsia="仿宋" w:cs="仿宋"/>
          <w:b/>
          <w:bCs/>
          <w:color w:val="auto"/>
          <w:sz w:val="24"/>
          <w:szCs w:val="21"/>
        </w:rPr>
        <w:t>整治方案（</w:t>
      </w:r>
      <w:r>
        <w:rPr>
          <w:rFonts w:hint="eastAsia" w:ascii="仿宋" w:hAnsi="仿宋" w:eastAsia="仿宋" w:cs="仿宋"/>
          <w:b/>
          <w:bCs/>
          <w:color w:val="auto"/>
          <w:sz w:val="24"/>
          <w:szCs w:val="21"/>
          <w:lang w:val="en-US" w:eastAsia="zh-CN"/>
        </w:rPr>
        <w:t>2025年9</w:t>
      </w:r>
      <w:r>
        <w:rPr>
          <w:rFonts w:hint="eastAsia" w:ascii="仿宋" w:hAnsi="仿宋" w:eastAsia="仿宋" w:cs="仿宋"/>
          <w:b/>
          <w:bCs/>
          <w:color w:val="auto"/>
          <w:sz w:val="24"/>
          <w:szCs w:val="21"/>
        </w:rPr>
        <w:t>月底）</w:t>
      </w:r>
    </w:p>
    <w:p w14:paraId="094E7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highlight w:val="none"/>
        </w:rPr>
        <w:t>组织专业技术团队对遂昌县化</w:t>
      </w:r>
      <w:r>
        <w:rPr>
          <w:rFonts w:hint="eastAsia" w:ascii="仿宋" w:hAnsi="仿宋" w:eastAsia="仿宋" w:cs="仿宋"/>
          <w:color w:val="auto"/>
          <w:sz w:val="24"/>
          <w:szCs w:val="21"/>
        </w:rPr>
        <w:t>工园区开展污染源排查、人员访谈。对重点公共区域和重点企业，重点排查设施设备渗漏、防渗层破损、历史遗留固废等环境污染隐患，建立问题清单，制定整治方案。整治方案应明确断源任务、责任主体和时限要求，对短期内难以全面完成断源的，应明确分阶段断源任务；并进一步明确控制范围、阶段性目标、控制措施和时限要求。</w:t>
      </w:r>
    </w:p>
    <w:p w14:paraId="63FE91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1"/>
        </w:rPr>
      </w:pPr>
      <w:bookmarkStart w:id="17" w:name="_Hlk195176316"/>
      <w:r>
        <w:rPr>
          <w:rFonts w:hint="eastAsia" w:ascii="仿宋" w:hAnsi="仿宋" w:eastAsia="仿宋" w:cs="仿宋"/>
          <w:b/>
          <w:bCs/>
          <w:color w:val="auto"/>
          <w:sz w:val="24"/>
          <w:szCs w:val="21"/>
          <w:lang w:val="en-US" w:eastAsia="zh-CN"/>
        </w:rPr>
        <w:t>2.</w:t>
      </w:r>
      <w:bookmarkEnd w:id="17"/>
      <w:r>
        <w:rPr>
          <w:rFonts w:hint="eastAsia" w:ascii="仿宋" w:hAnsi="仿宋" w:eastAsia="仿宋" w:cs="仿宋"/>
          <w:b/>
          <w:bCs/>
          <w:color w:val="auto"/>
          <w:sz w:val="24"/>
          <w:szCs w:val="21"/>
        </w:rPr>
        <w:t>地下水监管方案及年度监测评估报告（</w:t>
      </w:r>
      <w:r>
        <w:rPr>
          <w:rFonts w:hint="eastAsia" w:ascii="仿宋" w:hAnsi="仿宋" w:eastAsia="仿宋" w:cs="仿宋"/>
          <w:b/>
          <w:bCs/>
          <w:color w:val="auto"/>
          <w:sz w:val="24"/>
          <w:szCs w:val="21"/>
          <w:lang w:val="en-US" w:eastAsia="zh-CN"/>
        </w:rPr>
        <w:t>2026年</w:t>
      </w:r>
      <w:r>
        <w:rPr>
          <w:rFonts w:hint="eastAsia" w:ascii="仿宋" w:hAnsi="仿宋" w:eastAsia="仿宋" w:cs="仿宋"/>
          <w:b/>
          <w:bCs/>
          <w:color w:val="auto"/>
          <w:sz w:val="24"/>
          <w:szCs w:val="21"/>
        </w:rPr>
        <w:t>11月底）</w:t>
      </w:r>
    </w:p>
    <w:p w14:paraId="627C9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2.1工作内容</w:t>
      </w:r>
    </w:p>
    <w:p w14:paraId="4CA12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lang w:val="en-US" w:eastAsia="zh-CN"/>
        </w:rPr>
        <w:t>2025年8月底前完善</w:t>
      </w:r>
      <w:r>
        <w:rPr>
          <w:rFonts w:hint="eastAsia" w:ascii="仿宋" w:hAnsi="仿宋" w:eastAsia="仿宋" w:cs="仿宋"/>
          <w:color w:val="auto"/>
          <w:sz w:val="24"/>
          <w:szCs w:val="21"/>
        </w:rPr>
        <w:t>遂昌县化工园区地下水环境监测体系和地下水污染防治长效监管机制，编制遂昌县化工园区地下水监管方案。按照监管方案</w:t>
      </w:r>
      <w:r>
        <w:rPr>
          <w:rFonts w:hint="eastAsia" w:ascii="仿宋" w:hAnsi="仿宋" w:eastAsia="仿宋" w:cs="仿宋"/>
          <w:color w:val="auto"/>
          <w:sz w:val="24"/>
          <w:szCs w:val="21"/>
          <w:lang w:eastAsia="zh-CN"/>
        </w:rPr>
        <w:t>开展采样监测工作</w:t>
      </w:r>
      <w:r>
        <w:rPr>
          <w:rFonts w:hint="eastAsia" w:ascii="仿宋" w:hAnsi="仿宋" w:eastAsia="仿宋" w:cs="仿宋"/>
          <w:color w:val="auto"/>
          <w:sz w:val="24"/>
          <w:szCs w:val="21"/>
        </w:rPr>
        <w:t>，2025年</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lang w:val="en-US" w:eastAsia="zh-CN"/>
        </w:rPr>
        <w:t>2026年分别</w:t>
      </w:r>
      <w:r>
        <w:rPr>
          <w:rFonts w:hint="eastAsia" w:ascii="仿宋" w:hAnsi="仿宋" w:eastAsia="仿宋" w:cs="仿宋"/>
          <w:color w:val="auto"/>
          <w:sz w:val="24"/>
          <w:szCs w:val="21"/>
        </w:rPr>
        <w:t>完成不少于2次（丰枯两期）地下水监测</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并对监测数据进行统计分析，形成年度监测评估报告。</w:t>
      </w:r>
    </w:p>
    <w:p w14:paraId="0063F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2.2化工园区概况</w:t>
      </w:r>
    </w:p>
    <w:p w14:paraId="66361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遂昌县化工园区</w:t>
      </w:r>
      <w:r>
        <w:rPr>
          <w:rFonts w:hint="eastAsia" w:ascii="仿宋" w:hAnsi="仿宋" w:eastAsia="仿宋" w:cs="仿宋"/>
          <w:color w:val="auto"/>
          <w:sz w:val="24"/>
          <w:szCs w:val="21"/>
          <w:lang w:eastAsia="zh-CN"/>
        </w:rPr>
        <w:t>总面积</w:t>
      </w:r>
      <w:r>
        <w:rPr>
          <w:rFonts w:hint="eastAsia" w:ascii="仿宋" w:hAnsi="仿宋" w:eastAsia="仿宋" w:cs="仿宋"/>
          <w:color w:val="auto"/>
          <w:sz w:val="24"/>
          <w:szCs w:val="21"/>
          <w:lang w:val="en-US" w:eastAsia="zh-CN"/>
        </w:rPr>
        <w:t>3011亩，</w:t>
      </w:r>
      <w:r>
        <w:rPr>
          <w:rFonts w:hint="eastAsia" w:ascii="仿宋" w:hAnsi="仿宋" w:eastAsia="仿宋" w:cs="仿宋"/>
          <w:color w:val="auto"/>
          <w:sz w:val="24"/>
          <w:szCs w:val="21"/>
        </w:rPr>
        <w:t>分为“一区两点”</w:t>
      </w:r>
      <w:r>
        <w:rPr>
          <w:rFonts w:hint="eastAsia" w:ascii="仿宋" w:hAnsi="仿宋" w:eastAsia="仿宋" w:cs="仿宋"/>
          <w:color w:val="auto"/>
          <w:sz w:val="24"/>
          <w:szCs w:val="21"/>
          <w:lang w:eastAsia="zh-CN"/>
        </w:rPr>
        <w:t>布局，其中</w:t>
      </w:r>
      <w:r>
        <w:rPr>
          <w:rFonts w:hint="eastAsia" w:ascii="仿宋" w:hAnsi="仿宋" w:eastAsia="仿宋" w:cs="仿宋"/>
          <w:color w:val="auto"/>
          <w:sz w:val="24"/>
          <w:szCs w:val="21"/>
          <w:lang w:val="en-US" w:eastAsia="zh-CN"/>
        </w:rPr>
        <w:t>龙板山化工集中区2641亩，目前部分区域尚在开发中，以2014年以后新建企业为主；上江化工集中点210亩和利民化工集中点159亩为老工业区，以老2010年前建设的企业为主。在产业上</w:t>
      </w:r>
      <w:r>
        <w:rPr>
          <w:rFonts w:hint="eastAsia" w:ascii="仿宋" w:hAnsi="仿宋" w:eastAsia="仿宋" w:cs="仿宋"/>
          <w:color w:val="auto"/>
          <w:sz w:val="24"/>
          <w:szCs w:val="21"/>
        </w:rPr>
        <w:t>主要集中两大产业，一是以涂料、鞋用树脂为主的</w:t>
      </w:r>
      <w:r>
        <w:rPr>
          <w:rFonts w:hint="eastAsia" w:ascii="仿宋" w:hAnsi="仿宋" w:eastAsia="仿宋" w:cs="仿宋"/>
          <w:color w:val="auto"/>
          <w:sz w:val="24"/>
          <w:szCs w:val="21"/>
          <w:lang w:eastAsia="zh-CN"/>
        </w:rPr>
        <w:t>树脂</w:t>
      </w:r>
      <w:r>
        <w:rPr>
          <w:rFonts w:hint="eastAsia" w:cs="仿宋"/>
          <w:color w:val="auto"/>
          <w:sz w:val="24"/>
          <w:szCs w:val="21"/>
          <w:lang w:eastAsia="zh-CN"/>
        </w:rPr>
        <w:t>行</w:t>
      </w:r>
      <w:r>
        <w:rPr>
          <w:rFonts w:hint="eastAsia" w:ascii="仿宋" w:hAnsi="仿宋" w:eastAsia="仿宋" w:cs="仿宋"/>
          <w:color w:val="auto"/>
          <w:sz w:val="24"/>
          <w:szCs w:val="21"/>
          <w:lang w:eastAsia="zh-CN"/>
        </w:rPr>
        <w:t>企</w:t>
      </w:r>
      <w:r>
        <w:rPr>
          <w:rFonts w:hint="eastAsia" w:ascii="仿宋" w:hAnsi="仿宋" w:eastAsia="仿宋" w:cs="仿宋"/>
          <w:color w:val="auto"/>
          <w:sz w:val="24"/>
          <w:szCs w:val="21"/>
        </w:rPr>
        <w:t>业，二是以医药中间体</w:t>
      </w:r>
      <w:r>
        <w:rPr>
          <w:rFonts w:hint="eastAsia" w:ascii="仿宋" w:hAnsi="仿宋" w:eastAsia="仿宋" w:cs="仿宋"/>
          <w:color w:val="auto"/>
          <w:sz w:val="24"/>
          <w:szCs w:val="21"/>
          <w:lang w:eastAsia="zh-CN"/>
        </w:rPr>
        <w:t>、贵金属催化剂为主的精细化工企业</w:t>
      </w:r>
      <w:r>
        <w:rPr>
          <w:rFonts w:hint="eastAsia" w:ascii="仿宋" w:hAnsi="仿宋" w:eastAsia="仿宋" w:cs="仿宋"/>
          <w:color w:val="auto"/>
          <w:sz w:val="24"/>
          <w:szCs w:val="21"/>
        </w:rPr>
        <w:t>。</w:t>
      </w:r>
    </w:p>
    <w:p w14:paraId="1E99E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2.3监测布点情况</w:t>
      </w:r>
    </w:p>
    <w:p w14:paraId="7B4B2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rPr>
        <w:t>2022年，丽水市生态环境局遂昌分局委托第三方单位开展遂昌县化工园区地下水污染专项调查。在园区上游布设对照点，园区周边布设污染扩散监测点，在园区内部布设内部监测点</w:t>
      </w:r>
      <w:r>
        <w:rPr>
          <w:rFonts w:hint="eastAsia" w:ascii="仿宋" w:hAnsi="仿宋" w:eastAsia="仿宋" w:cs="仿宋"/>
          <w:color w:val="auto"/>
          <w:sz w:val="24"/>
          <w:szCs w:val="21"/>
          <w:lang w:eastAsia="zh-CN"/>
        </w:rPr>
        <w:t>，共</w:t>
      </w:r>
      <w:r>
        <w:rPr>
          <w:rFonts w:hint="eastAsia" w:ascii="仿宋" w:hAnsi="仿宋" w:eastAsia="仿宋" w:cs="仿宋"/>
          <w:color w:val="auto"/>
          <w:sz w:val="24"/>
          <w:szCs w:val="21"/>
        </w:rPr>
        <w:t>新建地下水环境监测井25口，使用现有井5口</w:t>
      </w:r>
      <w:r>
        <w:rPr>
          <w:rFonts w:hint="eastAsia" w:ascii="仿宋" w:hAnsi="仿宋" w:eastAsia="仿宋" w:cs="仿宋"/>
          <w:color w:val="auto"/>
          <w:sz w:val="24"/>
          <w:szCs w:val="21"/>
          <w:lang w:val="en-US" w:eastAsia="zh-CN"/>
        </w:rPr>
        <w:t>。</w:t>
      </w:r>
    </w:p>
    <w:p w14:paraId="668E3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rPr>
        <w:t>2023年，丽水市生态环境局遂昌分局</w:t>
      </w:r>
      <w:r>
        <w:rPr>
          <w:rFonts w:hint="eastAsia" w:ascii="仿宋" w:hAnsi="仿宋" w:eastAsia="仿宋" w:cs="仿宋"/>
          <w:color w:val="auto"/>
          <w:sz w:val="24"/>
          <w:szCs w:val="21"/>
          <w:lang w:eastAsia="zh-CN"/>
        </w:rPr>
        <w:t>根据专项调查结果对</w:t>
      </w:r>
      <w:r>
        <w:rPr>
          <w:rFonts w:hint="eastAsia" w:ascii="仿宋" w:hAnsi="仿宋" w:eastAsia="仿宋" w:cs="仿宋"/>
          <w:color w:val="auto"/>
          <w:sz w:val="24"/>
          <w:szCs w:val="21"/>
        </w:rPr>
        <w:t>利民、上江化工集中点两个区块委托第三方单位开展遂昌县化工园区地下水环境状况详细调查</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在初步调查基础上进行了加密布点</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共布设82个调查点位</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其中已有监测井23口，新建监测井59口。</w:t>
      </w:r>
    </w:p>
    <w:p w14:paraId="1F0C9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根据前期调查建议和</w:t>
      </w:r>
      <w:r>
        <w:rPr>
          <w:rFonts w:hint="eastAsia" w:ascii="仿宋" w:hAnsi="仿宋" w:eastAsia="仿宋" w:cs="仿宋"/>
          <w:color w:val="auto"/>
          <w:sz w:val="24"/>
          <w:szCs w:val="21"/>
        </w:rPr>
        <w:t>《浙江省土壤和地下水环境质量监测网络建设方案》</w:t>
      </w:r>
      <w:r>
        <w:rPr>
          <w:rFonts w:hint="eastAsia" w:ascii="仿宋" w:hAnsi="仿宋" w:eastAsia="仿宋" w:cs="仿宋"/>
          <w:color w:val="auto"/>
          <w:sz w:val="24"/>
          <w:szCs w:val="21"/>
          <w:lang w:val="en-US" w:eastAsia="zh-CN"/>
        </w:rPr>
        <w:t>，本项目拟在遂昌县化工园区共布设2</w:t>
      </w:r>
      <w:r>
        <w:rPr>
          <w:rFonts w:hint="eastAsia" w:cs="仿宋"/>
          <w:color w:val="auto"/>
          <w:sz w:val="24"/>
          <w:szCs w:val="21"/>
          <w:lang w:val="en-US" w:eastAsia="zh-CN"/>
        </w:rPr>
        <w:t>1</w:t>
      </w:r>
      <w:r>
        <w:rPr>
          <w:rFonts w:hint="eastAsia" w:ascii="仿宋" w:hAnsi="仿宋" w:eastAsia="仿宋" w:cs="仿宋"/>
          <w:color w:val="auto"/>
          <w:sz w:val="24"/>
          <w:szCs w:val="21"/>
          <w:lang w:val="en-US" w:eastAsia="zh-CN"/>
        </w:rPr>
        <w:t>个点位的地下水监测网络，其中龙板山化工集中区布设</w:t>
      </w:r>
      <w:r>
        <w:rPr>
          <w:rFonts w:hint="eastAsia" w:cs="仿宋"/>
          <w:color w:val="auto"/>
          <w:sz w:val="24"/>
          <w:szCs w:val="21"/>
          <w:lang w:val="en-US" w:eastAsia="zh-CN"/>
        </w:rPr>
        <w:t>5</w:t>
      </w:r>
      <w:r>
        <w:rPr>
          <w:rFonts w:hint="eastAsia" w:ascii="仿宋" w:hAnsi="仿宋" w:eastAsia="仿宋" w:cs="仿宋"/>
          <w:color w:val="auto"/>
          <w:sz w:val="24"/>
          <w:szCs w:val="21"/>
          <w:lang w:val="en-US" w:eastAsia="zh-CN"/>
        </w:rPr>
        <w:t>个点位，利民化工集中点布设</w:t>
      </w:r>
      <w:r>
        <w:rPr>
          <w:rFonts w:hint="eastAsia" w:cs="仿宋"/>
          <w:color w:val="auto"/>
          <w:sz w:val="24"/>
          <w:szCs w:val="21"/>
          <w:lang w:val="en-US" w:eastAsia="zh-CN"/>
        </w:rPr>
        <w:t>8</w:t>
      </w:r>
      <w:r>
        <w:rPr>
          <w:rFonts w:hint="eastAsia" w:ascii="仿宋" w:hAnsi="仿宋" w:eastAsia="仿宋" w:cs="仿宋"/>
          <w:color w:val="auto"/>
          <w:sz w:val="24"/>
          <w:szCs w:val="21"/>
          <w:lang w:val="en-US" w:eastAsia="zh-CN"/>
        </w:rPr>
        <w:t>个点位，上江化工集中点布设</w:t>
      </w:r>
      <w:r>
        <w:rPr>
          <w:rFonts w:hint="eastAsia" w:cs="仿宋"/>
          <w:color w:val="auto"/>
          <w:sz w:val="24"/>
          <w:szCs w:val="21"/>
          <w:lang w:val="en-US" w:eastAsia="zh-CN"/>
        </w:rPr>
        <w:t>8</w:t>
      </w:r>
      <w:r>
        <w:rPr>
          <w:rFonts w:hint="eastAsia" w:ascii="仿宋" w:hAnsi="仿宋" w:eastAsia="仿宋" w:cs="仿宋"/>
          <w:color w:val="auto"/>
          <w:sz w:val="24"/>
          <w:szCs w:val="21"/>
          <w:lang w:val="en-US" w:eastAsia="zh-CN"/>
        </w:rPr>
        <w:t>个点位，</w:t>
      </w:r>
      <w:r>
        <w:rPr>
          <w:rFonts w:hint="eastAsia" w:cs="仿宋"/>
          <w:color w:val="auto"/>
          <w:sz w:val="24"/>
          <w:szCs w:val="21"/>
          <w:lang w:val="en-US" w:eastAsia="zh-CN"/>
        </w:rPr>
        <w:t>可</w:t>
      </w:r>
      <w:r>
        <w:rPr>
          <w:rFonts w:hint="eastAsia" w:ascii="仿宋" w:hAnsi="仿宋" w:eastAsia="仿宋" w:cs="仿宋"/>
          <w:color w:val="auto"/>
          <w:sz w:val="24"/>
          <w:szCs w:val="21"/>
          <w:lang w:val="en-US" w:eastAsia="zh-CN"/>
        </w:rPr>
        <w:t>利用已有监测井</w:t>
      </w:r>
      <w:r>
        <w:rPr>
          <w:rFonts w:hint="eastAsia" w:cs="仿宋"/>
          <w:color w:val="auto"/>
          <w:sz w:val="24"/>
          <w:szCs w:val="21"/>
          <w:lang w:val="en-US" w:eastAsia="zh-CN"/>
        </w:rPr>
        <w:t>点位18个</w:t>
      </w:r>
      <w:r>
        <w:rPr>
          <w:rFonts w:hint="eastAsia" w:ascii="仿宋" w:hAnsi="仿宋" w:eastAsia="仿宋" w:cs="仿宋"/>
          <w:color w:val="auto"/>
          <w:sz w:val="24"/>
          <w:szCs w:val="21"/>
          <w:lang w:val="en-US" w:eastAsia="zh-CN"/>
        </w:rPr>
        <w:t>。</w:t>
      </w:r>
    </w:p>
    <w:p w14:paraId="4039E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2.4监测指标</w:t>
      </w:r>
    </w:p>
    <w:p w14:paraId="709FA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锌、挥发性酚类( 以苯酚计)、耗氧量( CODMn法，以 O,计)、氨氮(以N计)、硝酸盐(以N计)、氟化物、碘化物、汞、砷、镉、镍、钴、钼、</w:t>
      </w:r>
      <w:r>
        <w:rPr>
          <w:rFonts w:hint="eastAsia" w:cs="仿宋"/>
          <w:color w:val="auto"/>
          <w:sz w:val="24"/>
          <w:szCs w:val="21"/>
          <w:lang w:val="en-US" w:eastAsia="zh-CN"/>
        </w:rPr>
        <w:t>甲苯、</w:t>
      </w:r>
      <w:r>
        <w:rPr>
          <w:rFonts w:hint="eastAsia" w:ascii="仿宋" w:hAnsi="仿宋" w:eastAsia="仿宋" w:cs="仿宋"/>
          <w:color w:val="auto"/>
          <w:sz w:val="24"/>
          <w:szCs w:val="21"/>
          <w:lang w:val="en-US" w:eastAsia="zh-CN"/>
        </w:rPr>
        <w:t>三氯甲烷、二氯甲烷、1,2-二氯乙烷、石油类。</w:t>
      </w:r>
    </w:p>
    <w:p w14:paraId="4D312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2.5监测频次</w:t>
      </w:r>
    </w:p>
    <w:p w14:paraId="1D4DA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根据</w:t>
      </w:r>
      <w:r>
        <w:rPr>
          <w:rFonts w:hint="eastAsia" w:ascii="仿宋" w:hAnsi="仿宋" w:eastAsia="仿宋" w:cs="仿宋"/>
          <w:color w:val="auto"/>
          <w:sz w:val="24"/>
          <w:szCs w:val="21"/>
          <w:lang w:eastAsia="zh-CN"/>
        </w:rPr>
        <w:t>《化工园区地下水污染专项整治工作方案》</w:t>
      </w:r>
      <w:r>
        <w:rPr>
          <w:rFonts w:hint="eastAsia" w:ascii="仿宋" w:hAnsi="仿宋" w:eastAsia="仿宋" w:cs="仿宋"/>
          <w:color w:val="auto"/>
          <w:sz w:val="24"/>
          <w:szCs w:val="21"/>
          <w:lang w:val="en-US" w:eastAsia="zh-CN"/>
        </w:rPr>
        <w:t>化工园区地下水监测结果分析基于2025年丰枯水期两轮次监测数据</w:t>
      </w:r>
      <w:r>
        <w:rPr>
          <w:rFonts w:hint="eastAsia" w:ascii="仿宋" w:hAnsi="仿宋" w:eastAsia="仿宋" w:cs="仿宋"/>
          <w:color w:val="auto"/>
          <w:sz w:val="24"/>
          <w:szCs w:val="21"/>
          <w:highlight w:val="none"/>
          <w:lang w:val="en-US" w:eastAsia="zh-CN"/>
        </w:rPr>
        <w:t>，因此本项目地下水共监测4次，2025年、2026年丰、枯水期各一次</w:t>
      </w:r>
      <w:r>
        <w:rPr>
          <w:rFonts w:hint="eastAsia" w:cs="仿宋"/>
          <w:color w:val="auto"/>
          <w:sz w:val="24"/>
          <w:szCs w:val="21"/>
          <w:highlight w:val="none"/>
          <w:lang w:val="en-US" w:eastAsia="zh-CN"/>
        </w:rPr>
        <w:t>，实际情况根据</w:t>
      </w:r>
      <w:r>
        <w:rPr>
          <w:rFonts w:hint="default" w:cs="仿宋"/>
          <w:color w:val="auto"/>
          <w:sz w:val="24"/>
          <w:szCs w:val="21"/>
          <w:lang w:val="en-US" w:eastAsia="zh-CN"/>
        </w:rPr>
        <w:t>《浙江省化工园区地下水污染专项整治工作实施方案（征求意见稿）</w:t>
      </w:r>
      <w:r>
        <w:rPr>
          <w:rFonts w:hint="eastAsia" w:cs="仿宋"/>
          <w:color w:val="auto"/>
          <w:sz w:val="24"/>
          <w:szCs w:val="21"/>
          <w:lang w:val="en-US" w:eastAsia="zh-CN"/>
        </w:rPr>
        <w:t>》要求调整</w:t>
      </w:r>
      <w:r>
        <w:rPr>
          <w:rFonts w:hint="eastAsia" w:ascii="仿宋" w:hAnsi="仿宋" w:eastAsia="仿宋" w:cs="仿宋"/>
          <w:color w:val="auto"/>
          <w:sz w:val="24"/>
          <w:szCs w:val="21"/>
        </w:rPr>
        <w:t>。</w:t>
      </w:r>
    </w:p>
    <w:p w14:paraId="149FA2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2.6年度评估报告</w:t>
      </w:r>
    </w:p>
    <w:p w14:paraId="2F8C8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rPr>
        <w:t>按照《化工园区地下水环境状况调查评估技术方案》对质量评价相关要求</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lang w:val="en-US" w:eastAsia="zh-CN"/>
        </w:rPr>
        <w:t>采用</w:t>
      </w:r>
      <w:r>
        <w:rPr>
          <w:rFonts w:hint="eastAsia" w:ascii="仿宋" w:hAnsi="仿宋" w:eastAsia="仿宋" w:cs="仿宋"/>
          <w:color w:val="auto"/>
          <w:sz w:val="24"/>
          <w:szCs w:val="21"/>
          <w:lang w:eastAsia="zh-CN"/>
        </w:rPr>
        <w:t>单项组分评价方法</w:t>
      </w:r>
      <w:r>
        <w:rPr>
          <w:rFonts w:hint="eastAsia" w:ascii="仿宋" w:hAnsi="仿宋" w:eastAsia="仿宋" w:cs="仿宋"/>
          <w:color w:val="auto"/>
          <w:sz w:val="24"/>
          <w:szCs w:val="21"/>
          <w:lang w:val="en-US" w:eastAsia="zh-CN"/>
        </w:rPr>
        <w:t>评价监测点位水质情况。针对水质评价超标的指标开展地下水污染评价，在除去背景值（或对照值）的前提下，以《地下水质量标准》《地表水环境质量标准》为对照，采用污染指数法分层进行地下水污染评价。</w:t>
      </w:r>
    </w:p>
    <w:p w14:paraId="62798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最终，</w:t>
      </w:r>
      <w:r>
        <w:rPr>
          <w:rFonts w:hint="eastAsia" w:ascii="仿宋" w:hAnsi="仿宋" w:eastAsia="仿宋" w:cs="仿宋"/>
          <w:color w:val="auto"/>
          <w:sz w:val="24"/>
          <w:szCs w:val="21"/>
          <w:highlight w:val="none"/>
        </w:rPr>
        <w:t>基于</w:t>
      </w:r>
      <w:r>
        <w:rPr>
          <w:rFonts w:hint="eastAsia" w:ascii="仿宋" w:hAnsi="仿宋" w:eastAsia="仿宋" w:cs="仿宋"/>
          <w:color w:val="auto"/>
          <w:sz w:val="24"/>
          <w:szCs w:val="21"/>
        </w:rPr>
        <w:t>丰枯两期</w:t>
      </w:r>
      <w:r>
        <w:rPr>
          <w:rFonts w:hint="eastAsia" w:ascii="仿宋" w:hAnsi="仿宋" w:eastAsia="仿宋" w:cs="仿宋"/>
          <w:color w:val="auto"/>
          <w:sz w:val="24"/>
          <w:szCs w:val="21"/>
          <w:lang w:val="en-US" w:eastAsia="zh-CN"/>
        </w:rPr>
        <w:t>和</w:t>
      </w:r>
      <w:r>
        <w:rPr>
          <w:rFonts w:hint="eastAsia" w:ascii="仿宋" w:hAnsi="仿宋" w:eastAsia="仿宋" w:cs="仿宋"/>
          <w:color w:val="auto"/>
          <w:sz w:val="24"/>
          <w:szCs w:val="21"/>
        </w:rPr>
        <w:t>相关历史数据</w:t>
      </w:r>
      <w:r>
        <w:rPr>
          <w:rFonts w:hint="eastAsia" w:ascii="仿宋" w:hAnsi="仿宋" w:eastAsia="仿宋" w:cs="仿宋"/>
          <w:color w:val="auto"/>
          <w:sz w:val="24"/>
          <w:szCs w:val="21"/>
          <w:lang w:val="en-US" w:eastAsia="zh-CN"/>
        </w:rPr>
        <w:t>及</w:t>
      </w:r>
      <w:r>
        <w:rPr>
          <w:rFonts w:hint="eastAsia" w:ascii="仿宋" w:hAnsi="仿宋" w:eastAsia="仿宋" w:cs="仿宋"/>
          <w:color w:val="auto"/>
          <w:sz w:val="24"/>
          <w:szCs w:val="21"/>
        </w:rPr>
        <w:t>以上监测结果分析</w:t>
      </w:r>
      <w:r>
        <w:rPr>
          <w:rFonts w:hint="eastAsia" w:ascii="仿宋" w:hAnsi="仿宋" w:eastAsia="仿宋" w:cs="仿宋"/>
          <w:color w:val="auto"/>
          <w:sz w:val="24"/>
          <w:szCs w:val="21"/>
          <w:lang w:val="en-US" w:eastAsia="zh-CN"/>
        </w:rPr>
        <w:t>化工园区地下水</w:t>
      </w:r>
      <w:r>
        <w:rPr>
          <w:rFonts w:hint="eastAsia" w:ascii="仿宋" w:hAnsi="仿宋" w:eastAsia="仿宋" w:cs="仿宋"/>
          <w:color w:val="auto"/>
          <w:sz w:val="24"/>
          <w:szCs w:val="21"/>
        </w:rPr>
        <w:t>污染趋势，</w:t>
      </w:r>
      <w:r>
        <w:rPr>
          <w:rFonts w:hint="eastAsia" w:ascii="仿宋" w:hAnsi="仿宋" w:eastAsia="仿宋" w:cs="仿宋"/>
          <w:color w:val="auto"/>
          <w:sz w:val="24"/>
          <w:szCs w:val="21"/>
          <w:lang w:val="en-US" w:eastAsia="zh-CN"/>
        </w:rPr>
        <w:t>编制年度监测评估报告。</w:t>
      </w:r>
    </w:p>
    <w:p w14:paraId="6D9937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1"/>
        </w:rPr>
      </w:pPr>
      <w:r>
        <w:rPr>
          <w:rFonts w:hint="eastAsia" w:ascii="仿宋" w:hAnsi="仿宋" w:eastAsia="仿宋" w:cs="仿宋"/>
          <w:b/>
          <w:bCs/>
          <w:color w:val="auto"/>
          <w:sz w:val="24"/>
          <w:szCs w:val="21"/>
          <w:lang w:val="en-US" w:eastAsia="zh-CN"/>
        </w:rPr>
        <w:t>3.</w:t>
      </w:r>
      <w:r>
        <w:rPr>
          <w:rFonts w:hint="eastAsia" w:ascii="仿宋" w:hAnsi="仿宋" w:eastAsia="仿宋" w:cs="仿宋"/>
          <w:b/>
          <w:bCs/>
          <w:color w:val="auto"/>
          <w:sz w:val="24"/>
          <w:szCs w:val="21"/>
        </w:rPr>
        <w:t>断源</w:t>
      </w:r>
      <w:r>
        <w:rPr>
          <w:rFonts w:hint="eastAsia" w:ascii="仿宋" w:hAnsi="仿宋" w:eastAsia="仿宋" w:cs="仿宋"/>
          <w:b/>
          <w:bCs/>
          <w:color w:val="auto"/>
          <w:sz w:val="24"/>
          <w:szCs w:val="21"/>
          <w:lang w:val="en-US" w:eastAsia="zh-CN"/>
        </w:rPr>
        <w:t>整改及问题销号</w:t>
      </w:r>
      <w:r>
        <w:rPr>
          <w:rFonts w:hint="eastAsia" w:ascii="仿宋" w:hAnsi="仿宋" w:eastAsia="仿宋" w:cs="仿宋"/>
          <w:b/>
          <w:bCs/>
          <w:color w:val="auto"/>
          <w:sz w:val="24"/>
          <w:szCs w:val="21"/>
        </w:rPr>
        <w:t>（</w:t>
      </w:r>
      <w:r>
        <w:rPr>
          <w:rFonts w:hint="eastAsia" w:ascii="仿宋" w:hAnsi="仿宋" w:eastAsia="仿宋" w:cs="仿宋"/>
          <w:b/>
          <w:bCs/>
          <w:color w:val="auto"/>
          <w:sz w:val="24"/>
          <w:szCs w:val="21"/>
          <w:lang w:val="en-US" w:eastAsia="zh-CN"/>
        </w:rPr>
        <w:t>2026年5</w:t>
      </w:r>
      <w:r>
        <w:rPr>
          <w:rFonts w:hint="eastAsia" w:ascii="仿宋" w:hAnsi="仿宋" w:eastAsia="仿宋" w:cs="仿宋"/>
          <w:b/>
          <w:bCs/>
          <w:color w:val="auto"/>
          <w:sz w:val="24"/>
          <w:szCs w:val="21"/>
        </w:rPr>
        <w:t>月底）</w:t>
      </w:r>
    </w:p>
    <w:p w14:paraId="5393F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根据整治方案和问题清单，</w:t>
      </w:r>
      <w:r>
        <w:rPr>
          <w:rFonts w:hint="eastAsia" w:ascii="仿宋" w:hAnsi="仿宋" w:eastAsia="仿宋" w:cs="仿宋"/>
          <w:color w:val="auto"/>
          <w:sz w:val="24"/>
          <w:szCs w:val="21"/>
          <w:lang w:eastAsia="zh-CN"/>
        </w:rPr>
        <w:t>协助</w:t>
      </w:r>
      <w:r>
        <w:rPr>
          <w:rFonts w:hint="eastAsia" w:ascii="仿宋" w:hAnsi="仿宋" w:eastAsia="仿宋" w:cs="仿宋"/>
          <w:color w:val="auto"/>
          <w:sz w:val="24"/>
          <w:szCs w:val="21"/>
        </w:rPr>
        <w:t>管理部门</w:t>
      </w:r>
      <w:r>
        <w:rPr>
          <w:rFonts w:hint="eastAsia" w:ascii="仿宋" w:hAnsi="仿宋" w:eastAsia="仿宋" w:cs="仿宋"/>
          <w:color w:val="auto"/>
          <w:sz w:val="24"/>
          <w:szCs w:val="21"/>
          <w:lang w:eastAsia="zh-CN"/>
        </w:rPr>
        <w:t>指导和</w:t>
      </w:r>
      <w:r>
        <w:rPr>
          <w:rFonts w:hint="eastAsia" w:ascii="仿宋" w:hAnsi="仿宋" w:eastAsia="仿宋" w:cs="仿宋"/>
          <w:color w:val="auto"/>
          <w:sz w:val="24"/>
          <w:szCs w:val="21"/>
        </w:rPr>
        <w:t>督促企业完成断源工作</w:t>
      </w:r>
      <w:r>
        <w:rPr>
          <w:rFonts w:hint="eastAsia" w:ascii="仿宋" w:hAnsi="仿宋" w:eastAsia="仿宋" w:cs="仿宋"/>
          <w:color w:val="auto"/>
          <w:sz w:val="24"/>
          <w:szCs w:val="21"/>
          <w:lang w:eastAsia="zh-CN"/>
        </w:rPr>
        <w:t>，完成</w:t>
      </w:r>
      <w:r>
        <w:rPr>
          <w:rFonts w:hint="eastAsia" w:ascii="仿宋" w:hAnsi="仿宋" w:eastAsia="仿宋" w:cs="仿宋"/>
          <w:color w:val="auto"/>
          <w:sz w:val="24"/>
          <w:szCs w:val="21"/>
        </w:rPr>
        <w:t>对单销号</w:t>
      </w:r>
      <w:r>
        <w:rPr>
          <w:rFonts w:hint="eastAsia" w:ascii="仿宋" w:hAnsi="仿宋" w:eastAsia="仿宋" w:cs="仿宋"/>
          <w:color w:val="auto"/>
          <w:sz w:val="24"/>
          <w:szCs w:val="21"/>
          <w:lang w:eastAsia="zh-CN"/>
        </w:rPr>
        <w:t>，开展</w:t>
      </w:r>
      <w:r>
        <w:rPr>
          <w:rFonts w:hint="eastAsia" w:ascii="仿宋" w:hAnsi="仿宋" w:eastAsia="仿宋" w:cs="仿宋"/>
          <w:color w:val="auto"/>
          <w:sz w:val="24"/>
          <w:szCs w:val="21"/>
        </w:rPr>
        <w:t>销号预评估</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指导土壤污染重点监管单位落实整改措施</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开展土壤污染重点监管单位隐患排查“回头看”工作。</w:t>
      </w:r>
    </w:p>
    <w:p w14:paraId="7AD9B3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1"/>
        </w:rPr>
      </w:pPr>
      <w:r>
        <w:rPr>
          <w:rFonts w:hint="eastAsia" w:ascii="仿宋" w:hAnsi="仿宋" w:eastAsia="仿宋" w:cs="仿宋"/>
          <w:b/>
          <w:bCs/>
          <w:color w:val="auto"/>
          <w:sz w:val="24"/>
          <w:szCs w:val="21"/>
          <w:lang w:val="en-US" w:eastAsia="zh-CN"/>
        </w:rPr>
        <w:t>4.</w:t>
      </w:r>
      <w:r>
        <w:rPr>
          <w:rFonts w:hint="eastAsia" w:ascii="仿宋" w:hAnsi="仿宋" w:eastAsia="仿宋" w:cs="仿宋"/>
          <w:b/>
          <w:bCs/>
          <w:color w:val="auto"/>
          <w:sz w:val="24"/>
          <w:szCs w:val="21"/>
        </w:rPr>
        <w:t>园区地下水</w:t>
      </w:r>
      <w:r>
        <w:rPr>
          <w:rFonts w:hint="eastAsia" w:cs="仿宋"/>
          <w:b/>
          <w:bCs/>
          <w:color w:val="auto"/>
          <w:sz w:val="24"/>
          <w:szCs w:val="21"/>
          <w:lang w:eastAsia="zh-CN"/>
        </w:rPr>
        <w:t>风险</w:t>
      </w:r>
      <w:r>
        <w:rPr>
          <w:rFonts w:hint="eastAsia" w:ascii="仿宋" w:hAnsi="仿宋" w:eastAsia="仿宋" w:cs="仿宋"/>
          <w:b/>
          <w:bCs/>
          <w:color w:val="auto"/>
          <w:sz w:val="24"/>
          <w:szCs w:val="21"/>
        </w:rPr>
        <w:t>管控工程全过程咨询服务</w:t>
      </w:r>
    </w:p>
    <w:p w14:paraId="29DEC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组织专业技术团队提供</w:t>
      </w:r>
      <w:r>
        <w:rPr>
          <w:rFonts w:hint="eastAsia" w:ascii="仿宋" w:hAnsi="仿宋" w:eastAsia="仿宋" w:cs="仿宋"/>
          <w:color w:val="auto"/>
          <w:sz w:val="24"/>
          <w:szCs w:val="21"/>
          <w:lang w:eastAsia="zh-CN"/>
        </w:rPr>
        <w:t>化工</w:t>
      </w:r>
      <w:r>
        <w:rPr>
          <w:rFonts w:hint="eastAsia" w:ascii="仿宋" w:hAnsi="仿宋" w:eastAsia="仿宋" w:cs="仿宋"/>
          <w:color w:val="auto"/>
          <w:sz w:val="24"/>
          <w:szCs w:val="21"/>
        </w:rPr>
        <w:t>园区地下水</w:t>
      </w:r>
      <w:r>
        <w:rPr>
          <w:rFonts w:hint="eastAsia" w:ascii="仿宋" w:hAnsi="仿宋" w:eastAsia="仿宋" w:cs="仿宋"/>
          <w:color w:val="auto"/>
          <w:sz w:val="24"/>
          <w:szCs w:val="21"/>
          <w:lang w:eastAsia="zh-CN"/>
        </w:rPr>
        <w:t>风险</w:t>
      </w:r>
      <w:r>
        <w:rPr>
          <w:rFonts w:hint="eastAsia" w:ascii="仿宋" w:hAnsi="仿宋" w:eastAsia="仿宋" w:cs="仿宋"/>
          <w:color w:val="auto"/>
          <w:sz w:val="24"/>
          <w:szCs w:val="21"/>
        </w:rPr>
        <w:t>管控工程全过程咨询服务，内容涵盖前期咨询、工程招投标。前期咨询主要包括以下内容：明确管控目标、政策法规审查</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lang w:val="en-US" w:eastAsia="zh-CN"/>
        </w:rPr>
        <w:t>初步设计方案</w:t>
      </w:r>
      <w:r>
        <w:rPr>
          <w:rFonts w:hint="eastAsia" w:cs="仿宋"/>
          <w:color w:val="auto"/>
          <w:sz w:val="24"/>
          <w:szCs w:val="21"/>
          <w:lang w:val="en-US" w:eastAsia="zh-CN"/>
        </w:rPr>
        <w:t>指导</w:t>
      </w:r>
      <w:r>
        <w:rPr>
          <w:rFonts w:hint="eastAsia" w:ascii="仿宋" w:hAnsi="仿宋" w:eastAsia="仿宋" w:cs="仿宋"/>
          <w:color w:val="auto"/>
          <w:sz w:val="24"/>
          <w:szCs w:val="21"/>
          <w:lang w:val="en-US" w:eastAsia="zh-CN"/>
        </w:rPr>
        <w:t>、应急方案审查</w:t>
      </w:r>
      <w:r>
        <w:rPr>
          <w:rFonts w:hint="eastAsia" w:ascii="仿宋" w:hAnsi="仿宋" w:eastAsia="仿宋" w:cs="仿宋"/>
          <w:color w:val="auto"/>
          <w:sz w:val="24"/>
          <w:szCs w:val="21"/>
        </w:rPr>
        <w:t>。工程招投标具体服务内容包括：招标文件</w:t>
      </w:r>
      <w:r>
        <w:rPr>
          <w:rFonts w:hint="eastAsia" w:ascii="仿宋" w:hAnsi="仿宋" w:eastAsia="仿宋" w:cs="仿宋"/>
          <w:color w:val="auto"/>
          <w:sz w:val="24"/>
          <w:szCs w:val="21"/>
          <w:lang w:val="en-US" w:eastAsia="zh-CN"/>
        </w:rPr>
        <w:t>审查</w:t>
      </w:r>
      <w:r>
        <w:rPr>
          <w:rFonts w:hint="eastAsia" w:ascii="仿宋" w:hAnsi="仿宋" w:eastAsia="仿宋" w:cs="仿宋"/>
          <w:color w:val="auto"/>
          <w:sz w:val="24"/>
          <w:szCs w:val="21"/>
        </w:rPr>
        <w:t>、投标单位资质审查、评标与合同签订支持。在确定工程实施主体后，提供工程指导服务，服务内容包括：施工方案审核、质量与进度监管、验收与运维指导。</w:t>
      </w:r>
    </w:p>
    <w:p w14:paraId="063C81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eastAsia" w:cs="仿宋"/>
          <w:b/>
          <w:bCs/>
          <w:color w:val="auto"/>
          <w:sz w:val="28"/>
          <w:szCs w:val="22"/>
          <w:lang w:val="en-US" w:eastAsia="zh-CN"/>
        </w:rPr>
      </w:pPr>
      <w:r>
        <w:rPr>
          <w:rFonts w:hint="eastAsia" w:cs="仿宋"/>
          <w:b/>
          <w:bCs/>
          <w:color w:val="auto"/>
          <w:sz w:val="28"/>
          <w:szCs w:val="22"/>
          <w:lang w:val="en-US" w:eastAsia="zh-CN"/>
        </w:rPr>
        <w:t>▲人员要求</w:t>
      </w:r>
    </w:p>
    <w:p w14:paraId="426B8891">
      <w:pPr>
        <w:pStyle w:val="74"/>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为了更好地完成各项工作任务，中标供应商应在遂昌成立项目组，合同期内确需换人的，中标供应商应提前7天向采购人提出书面报告并经采购人同意。项目组人员配置要求如下：</w:t>
      </w:r>
    </w:p>
    <w:p w14:paraId="419ABDB7">
      <w:pPr>
        <w:pStyle w:val="7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lang w:val="en-US" w:eastAsia="zh-CN"/>
        </w:rPr>
        <w:t>中标供应商</w:t>
      </w:r>
      <w:r>
        <w:rPr>
          <w:rFonts w:hint="eastAsia" w:ascii="仿宋" w:cs="仿宋"/>
          <w:color w:val="auto"/>
          <w:sz w:val="24"/>
          <w:szCs w:val="24"/>
          <w:highlight w:val="none"/>
          <w:lang w:val="en-US" w:eastAsia="zh-CN"/>
        </w:rPr>
        <w:t>须具备</w:t>
      </w:r>
      <w:r>
        <w:rPr>
          <w:rFonts w:hint="eastAsia" w:ascii="仿宋" w:hAnsi="仿宋" w:eastAsia="仿宋" w:cs="仿宋"/>
          <w:color w:val="auto"/>
          <w:sz w:val="24"/>
          <w:szCs w:val="24"/>
          <w:highlight w:val="none"/>
          <w:lang w:val="en-US" w:eastAsia="zh-CN"/>
        </w:rPr>
        <w:t>相关能力的团队能满足项目实施需求</w:t>
      </w:r>
      <w:r>
        <w:rPr>
          <w:rFonts w:hint="eastAsia" w:ascii="仿宋" w:cs="仿宋"/>
          <w:color w:val="auto"/>
          <w:sz w:val="24"/>
          <w:szCs w:val="24"/>
          <w:highlight w:val="none"/>
          <w:lang w:val="en-US" w:eastAsia="zh-CN"/>
        </w:rPr>
        <w:t>；</w:t>
      </w:r>
    </w:p>
    <w:p w14:paraId="4DB6758C">
      <w:pPr>
        <w:pStyle w:val="7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val="en-US" w:eastAsia="zh-CN"/>
        </w:rPr>
        <w:t>项目负责人1名，须具备</w:t>
      </w:r>
      <w:r>
        <w:rPr>
          <w:rFonts w:hint="eastAsia" w:asci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年以上企业（项目）管理经验</w:t>
      </w:r>
      <w:r>
        <w:rPr>
          <w:rFonts w:hint="eastAsia" w:ascii="仿宋" w:cs="仿宋"/>
          <w:color w:val="auto"/>
          <w:sz w:val="24"/>
          <w:szCs w:val="24"/>
          <w:highlight w:val="none"/>
          <w:lang w:val="en-US" w:eastAsia="zh-CN"/>
        </w:rPr>
        <w:t>；</w:t>
      </w:r>
    </w:p>
    <w:p w14:paraId="52B6C2F2">
      <w:pPr>
        <w:pStyle w:val="7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lang w:val="en-US" w:eastAsia="zh-CN"/>
        </w:rPr>
        <w:t>驻点技术人员</w:t>
      </w:r>
      <w:r>
        <w:rPr>
          <w:rFonts w:hint="eastAsia" w:asci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名，须</w:t>
      </w:r>
      <w:r>
        <w:rPr>
          <w:rFonts w:hint="eastAsia" w:ascii="仿宋" w:cs="仿宋"/>
          <w:color w:val="auto"/>
          <w:sz w:val="24"/>
          <w:szCs w:val="24"/>
          <w:highlight w:val="none"/>
          <w:lang w:val="en-US" w:eastAsia="zh-CN"/>
        </w:rPr>
        <w:t>具备环境专业中级及以上工程师职称证书；</w:t>
      </w:r>
    </w:p>
    <w:p w14:paraId="44581A1D">
      <w:pPr>
        <w:pStyle w:val="7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highlight w:val="none"/>
          <w:lang w:val="en-US" w:eastAsia="zh-CN"/>
        </w:rPr>
        <w:t>项目的专业技术人员经采购人试用后认为不合适的，或专业技术人员明显不符合招标要求，存在以次充好的，采购人有权要求中标供应商进行人员替换。</w:t>
      </w:r>
    </w:p>
    <w:p w14:paraId="609809D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eastAsia" w:cs="仿宋"/>
          <w:b/>
          <w:bCs/>
          <w:color w:val="auto"/>
          <w:sz w:val="28"/>
          <w:szCs w:val="22"/>
          <w:lang w:val="en-US" w:eastAsia="zh-CN"/>
        </w:rPr>
      </w:pPr>
      <w:r>
        <w:rPr>
          <w:rFonts w:hint="eastAsia" w:cs="仿宋"/>
          <w:b/>
          <w:bCs/>
          <w:color w:val="auto"/>
          <w:sz w:val="28"/>
          <w:szCs w:val="22"/>
          <w:lang w:val="en-US" w:eastAsia="zh-CN"/>
        </w:rPr>
        <w:t>服务要求</w:t>
      </w:r>
    </w:p>
    <w:p w14:paraId="55737DF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cs="仿宋"/>
          <w:color w:val="auto"/>
          <w:sz w:val="24"/>
          <w:szCs w:val="24"/>
          <w:highlight w:val="none"/>
          <w:lang w:val="en-US" w:eastAsia="zh-CN"/>
        </w:rPr>
      </w:pPr>
      <w:r>
        <w:rPr>
          <w:rFonts w:hint="eastAsia" w:cs="仿宋"/>
          <w:color w:val="auto"/>
          <w:sz w:val="24"/>
          <w:szCs w:val="24"/>
          <w:highlight w:val="none"/>
          <w:lang w:val="en-US" w:eastAsia="zh-CN"/>
        </w:rPr>
        <w:t>1.服务期限</w:t>
      </w:r>
    </w:p>
    <w:p w14:paraId="202D944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default" w:cs="仿宋"/>
          <w:color w:val="auto"/>
          <w:sz w:val="24"/>
          <w:szCs w:val="24"/>
          <w:highlight w:val="none"/>
          <w:lang w:val="en-US" w:eastAsia="zh-CN"/>
        </w:rPr>
      </w:pPr>
      <w:r>
        <w:rPr>
          <w:rFonts w:hint="eastAsia" w:cs="仿宋"/>
          <w:color w:val="auto"/>
          <w:sz w:val="24"/>
          <w:szCs w:val="24"/>
          <w:highlight w:val="none"/>
          <w:lang w:val="en-US" w:eastAsia="zh-CN"/>
        </w:rPr>
        <w:t>合同签订之日起至项目通过验收止。</w:t>
      </w:r>
    </w:p>
    <w:p w14:paraId="0A37280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服务质量要求</w:t>
      </w:r>
    </w:p>
    <w:p w14:paraId="064D4574">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中标供应商应根据相关文件、招标文件及合同内容履约，</w:t>
      </w:r>
      <w:r>
        <w:rPr>
          <w:rFonts w:hint="eastAsia" w:ascii="仿宋" w:hAnsi="仿宋" w:eastAsia="仿宋" w:cs="仿宋"/>
          <w:color w:val="auto"/>
          <w:sz w:val="24"/>
          <w:szCs w:val="24"/>
          <w:highlight w:val="none"/>
        </w:rPr>
        <w:t>采购人将根据工作量和服务质量相结合的方式对</w:t>
      </w:r>
      <w:r>
        <w:rPr>
          <w:rFonts w:hint="eastAsia" w:cs="仿宋"/>
          <w:color w:val="auto"/>
          <w:sz w:val="24"/>
          <w:szCs w:val="24"/>
          <w:highlight w:val="none"/>
          <w:lang w:val="en-US" w:eastAsia="zh-CN"/>
        </w:rPr>
        <w:t>其</w:t>
      </w:r>
      <w:r>
        <w:rPr>
          <w:rFonts w:hint="eastAsia" w:ascii="仿宋" w:hAnsi="仿宋" w:eastAsia="仿宋" w:cs="仿宋"/>
          <w:color w:val="auto"/>
          <w:sz w:val="24"/>
          <w:szCs w:val="24"/>
          <w:highlight w:val="none"/>
        </w:rPr>
        <w:t>实际开展</w:t>
      </w:r>
      <w:r>
        <w:rPr>
          <w:rFonts w:hint="eastAsia" w:cs="仿宋"/>
          <w:color w:val="auto"/>
          <w:sz w:val="24"/>
          <w:szCs w:val="24"/>
          <w:highlight w:val="none"/>
          <w:lang w:val="en-US" w:eastAsia="zh-CN"/>
        </w:rPr>
        <w:t>咨询</w:t>
      </w:r>
      <w:r>
        <w:rPr>
          <w:rFonts w:hint="eastAsia" w:ascii="仿宋" w:hAnsi="仿宋" w:eastAsia="仿宋" w:cs="仿宋"/>
          <w:color w:val="auto"/>
          <w:sz w:val="24"/>
          <w:szCs w:val="24"/>
          <w:highlight w:val="none"/>
        </w:rPr>
        <w:t>服务的情况进行定期检查监督，对工作落实情况和服务质量进行考核。</w:t>
      </w:r>
    </w:p>
    <w:p w14:paraId="3106422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安全要求</w:t>
      </w:r>
    </w:p>
    <w:p w14:paraId="2527D1D7">
      <w:pPr>
        <w:keepNext w:val="0"/>
        <w:keepLines w:val="0"/>
        <w:pageBreakBefore w:val="0"/>
        <w:numPr>
          <w:ilvl w:val="0"/>
          <w:numId w:val="0"/>
        </w:numPr>
        <w:kinsoku/>
        <w:wordWrap/>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在项目实施过程中发生的人身意外事故等一切责任由</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自行负责。</w:t>
      </w:r>
    </w:p>
    <w:p w14:paraId="0F6147B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eastAsia" w:cs="仿宋"/>
          <w:b/>
          <w:bCs/>
          <w:color w:val="auto"/>
          <w:sz w:val="28"/>
          <w:szCs w:val="22"/>
          <w:lang w:val="en-US" w:eastAsia="zh-CN"/>
        </w:rPr>
      </w:pPr>
      <w:bookmarkStart w:id="18" w:name="_Toc2317"/>
      <w:r>
        <w:rPr>
          <w:rFonts w:hint="eastAsia" w:cs="仿宋"/>
          <w:b/>
          <w:bCs/>
          <w:color w:val="auto"/>
          <w:sz w:val="28"/>
          <w:szCs w:val="22"/>
          <w:lang w:val="en-US" w:eastAsia="zh-CN"/>
        </w:rPr>
        <w:t>项目验收</w:t>
      </w:r>
      <w:bookmarkEnd w:id="18"/>
    </w:p>
    <w:p w14:paraId="21C7EE95">
      <w:pPr>
        <w:pStyle w:val="28"/>
        <w:keepNext w:val="0"/>
        <w:keepLines w:val="0"/>
        <w:pageBreakBefore w:val="0"/>
        <w:kinsoku/>
        <w:wordWrap/>
        <w:topLinePunct w:val="0"/>
        <w:bidi w:val="0"/>
        <w:spacing w:line="360" w:lineRule="auto"/>
        <w:ind w:firstLine="480"/>
        <w:rPr>
          <w:rFonts w:hint="eastAsia" w:ascii="仿宋" w:hAnsi="仿宋" w:eastAsia="仿宋" w:cs="仿宋"/>
          <w:bCs/>
          <w:color w:val="auto"/>
          <w:spacing w:val="0"/>
          <w:sz w:val="24"/>
          <w:szCs w:val="24"/>
        </w:rPr>
      </w:pP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bCs/>
          <w:color w:val="auto"/>
          <w:spacing w:val="0"/>
          <w:sz w:val="24"/>
          <w:szCs w:val="24"/>
        </w:rPr>
        <w:t>提交验收资料，由采购单位自行组织验收。</w:t>
      </w:r>
    </w:p>
    <w:p w14:paraId="19BAEA3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eastAsia" w:cs="仿宋"/>
          <w:b/>
          <w:bCs/>
          <w:color w:val="auto"/>
          <w:sz w:val="28"/>
          <w:szCs w:val="22"/>
          <w:lang w:val="en-US" w:eastAsia="zh-CN"/>
        </w:rPr>
      </w:pPr>
      <w:bookmarkStart w:id="19" w:name="_Toc1174"/>
      <w:r>
        <w:rPr>
          <w:rFonts w:hint="eastAsia" w:cs="仿宋"/>
          <w:b/>
          <w:bCs/>
          <w:color w:val="auto"/>
          <w:sz w:val="28"/>
          <w:szCs w:val="22"/>
          <w:lang w:val="en-US" w:eastAsia="zh-CN"/>
        </w:rPr>
        <w:t>付款方式</w:t>
      </w:r>
      <w:bookmarkEnd w:id="19"/>
    </w:p>
    <w:p w14:paraId="3C5A72F6">
      <w:pPr>
        <w:keepNext w:val="0"/>
        <w:keepLines w:val="0"/>
        <w:pageBreakBefore w:val="0"/>
        <w:kinsoku/>
        <w:wordWrap/>
        <w:topLinePunct w:val="0"/>
        <w:bidi w:val="0"/>
        <w:spacing w:line="360" w:lineRule="auto"/>
        <w:ind w:firstLine="480" w:firstLineChars="200"/>
        <w:rPr>
          <w:rFonts w:hint="eastAsia" w:ascii="仿宋" w:hAnsi="仿宋" w:eastAsia="仿宋" w:cs="仿宋"/>
          <w:bCs/>
          <w:color w:val="auto"/>
          <w:spacing w:val="0"/>
          <w:kern w:val="2"/>
          <w:sz w:val="24"/>
          <w:szCs w:val="24"/>
          <w:highlight w:val="none"/>
          <w:lang w:val="en-US" w:bidi="ar-SA"/>
        </w:rPr>
      </w:pPr>
      <w:r>
        <w:rPr>
          <w:rFonts w:hint="eastAsia" w:ascii="仿宋" w:hAnsi="仿宋" w:eastAsia="仿宋" w:cs="仿宋"/>
          <w:bCs/>
          <w:color w:val="auto"/>
          <w:spacing w:val="0"/>
          <w:kern w:val="2"/>
          <w:sz w:val="24"/>
          <w:szCs w:val="24"/>
          <w:highlight w:val="none"/>
          <w:lang w:val="en-US" w:bidi="ar-SA"/>
        </w:rPr>
        <w:t>合同签订且具备实施条件后7个工作日内，采购人凭中标供应商开具的发票支付合同总额的40%</w:t>
      </w:r>
      <w:r>
        <w:rPr>
          <w:rFonts w:hint="eastAsia" w:ascii="仿宋" w:hAnsi="仿宋" w:eastAsia="仿宋" w:cs="仿宋"/>
          <w:bCs/>
          <w:color w:val="auto"/>
          <w:spacing w:val="0"/>
          <w:kern w:val="2"/>
          <w:sz w:val="24"/>
          <w:szCs w:val="24"/>
          <w:highlight w:val="none"/>
          <w:lang w:val="en-US" w:eastAsia="zh-CN" w:bidi="ar-SA"/>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bCs/>
          <w:color w:val="auto"/>
          <w:spacing w:val="0"/>
          <w:kern w:val="2"/>
          <w:sz w:val="24"/>
          <w:szCs w:val="24"/>
          <w:highlight w:val="none"/>
          <w:lang w:val="en-US" w:bidi="ar-SA"/>
        </w:rPr>
        <w:t>；待履约完成并通过验收后，采购人</w:t>
      </w:r>
      <w:r>
        <w:rPr>
          <w:rFonts w:hint="eastAsia" w:cs="仿宋"/>
          <w:bCs/>
          <w:color w:val="auto"/>
          <w:spacing w:val="0"/>
          <w:kern w:val="2"/>
          <w:sz w:val="24"/>
          <w:szCs w:val="24"/>
          <w:highlight w:val="none"/>
          <w:lang w:val="en-US" w:eastAsia="zh-CN" w:bidi="ar-SA"/>
        </w:rPr>
        <w:t>根据考核结果，</w:t>
      </w:r>
      <w:r>
        <w:rPr>
          <w:rFonts w:hint="eastAsia" w:ascii="仿宋" w:hAnsi="仿宋" w:eastAsia="仿宋" w:cs="仿宋"/>
          <w:bCs/>
          <w:color w:val="auto"/>
          <w:spacing w:val="0"/>
          <w:kern w:val="2"/>
          <w:sz w:val="24"/>
          <w:szCs w:val="24"/>
          <w:highlight w:val="none"/>
          <w:lang w:val="en-US" w:bidi="ar-SA"/>
        </w:rPr>
        <w:t>凭中标供应商开具的发票于7个工作日内支付</w:t>
      </w:r>
      <w:r>
        <w:rPr>
          <w:rFonts w:hint="eastAsia" w:cs="仿宋"/>
          <w:bCs/>
          <w:color w:val="auto"/>
          <w:spacing w:val="0"/>
          <w:kern w:val="2"/>
          <w:sz w:val="24"/>
          <w:szCs w:val="24"/>
          <w:highlight w:val="none"/>
          <w:lang w:val="en-US" w:eastAsia="zh-CN" w:bidi="ar-SA"/>
        </w:rPr>
        <w:t>应付</w:t>
      </w:r>
      <w:r>
        <w:rPr>
          <w:rFonts w:hint="eastAsia" w:ascii="仿宋" w:hAnsi="仿宋" w:eastAsia="仿宋" w:cs="仿宋"/>
          <w:bCs/>
          <w:color w:val="auto"/>
          <w:spacing w:val="0"/>
          <w:kern w:val="2"/>
          <w:sz w:val="24"/>
          <w:szCs w:val="24"/>
          <w:highlight w:val="none"/>
          <w:lang w:val="en-US" w:bidi="ar-SA"/>
        </w:rPr>
        <w:t>合同</w:t>
      </w:r>
      <w:r>
        <w:rPr>
          <w:rFonts w:hint="eastAsia" w:cs="仿宋"/>
          <w:bCs/>
          <w:color w:val="auto"/>
          <w:spacing w:val="0"/>
          <w:kern w:val="2"/>
          <w:sz w:val="24"/>
          <w:szCs w:val="24"/>
          <w:highlight w:val="none"/>
          <w:lang w:val="en-US" w:eastAsia="zh-CN" w:bidi="ar-SA"/>
        </w:rPr>
        <w:t>款项</w:t>
      </w:r>
      <w:r>
        <w:rPr>
          <w:rFonts w:hint="eastAsia" w:ascii="仿宋" w:hAnsi="仿宋" w:eastAsia="仿宋" w:cs="仿宋"/>
          <w:bCs/>
          <w:color w:val="auto"/>
          <w:spacing w:val="0"/>
          <w:kern w:val="2"/>
          <w:sz w:val="24"/>
          <w:szCs w:val="24"/>
          <w:highlight w:val="none"/>
          <w:lang w:val="en-US" w:bidi="ar-SA"/>
        </w:rPr>
        <w:t>。</w:t>
      </w:r>
    </w:p>
    <w:p w14:paraId="2D904B83">
      <w:pPr>
        <w:snapToGrid w:val="0"/>
        <w:spacing w:line="360" w:lineRule="auto"/>
        <w:ind w:firstLine="482" w:firstLineChars="200"/>
        <w:rPr>
          <w:rFonts w:hint="eastAsia" w:ascii="仿宋" w:hAnsi="仿宋" w:eastAsia="仿宋" w:cs="仿宋"/>
          <w:bCs/>
          <w:color w:val="auto"/>
          <w:spacing w:val="0"/>
          <w:kern w:val="2"/>
          <w:sz w:val="24"/>
          <w:szCs w:val="24"/>
          <w:highlight w:val="none"/>
          <w:lang w:val="en-US" w:bidi="ar-SA"/>
        </w:rPr>
      </w:pPr>
      <w:r>
        <w:rPr>
          <w:rFonts w:hint="eastAsia" w:ascii="仿宋" w:hAnsi="仿宋" w:eastAsia="仿宋" w:cs="仿宋"/>
          <w:b/>
          <w:bCs/>
          <w:color w:val="auto"/>
          <w:sz w:val="24"/>
          <w:szCs w:val="24"/>
          <w:highlight w:val="none"/>
          <w:u w:val="single"/>
          <w:lang w:val="en-US" w:eastAsia="zh-CN"/>
        </w:rPr>
        <w:t>注：</w:t>
      </w:r>
      <w:r>
        <w:rPr>
          <w:rFonts w:hint="eastAsia" w:ascii="仿宋" w:hAnsi="仿宋" w:eastAsia="仿宋" w:cs="仿宋"/>
          <w:b/>
          <w:bCs/>
          <w:color w:val="auto"/>
          <w:sz w:val="24"/>
          <w:szCs w:val="24"/>
          <w:highlight w:val="none"/>
          <w:u w:val="single"/>
        </w:rPr>
        <w:t>供应商明确表示无需预付款或者主动要求降低预付款比例的，采购合同可不适用前述规定。</w:t>
      </w:r>
    </w:p>
    <w:p w14:paraId="7717EA4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textAlignment w:val="auto"/>
        <w:rPr>
          <w:rFonts w:hint="eastAsia" w:cs="仿宋"/>
          <w:b/>
          <w:bCs/>
          <w:color w:val="auto"/>
          <w:sz w:val="28"/>
          <w:szCs w:val="22"/>
          <w:highlight w:val="none"/>
          <w:lang w:val="en-US" w:eastAsia="zh-CN"/>
        </w:rPr>
      </w:pPr>
      <w:r>
        <w:rPr>
          <w:rFonts w:hint="eastAsia" w:cs="仿宋"/>
          <w:b/>
          <w:bCs/>
          <w:color w:val="auto"/>
          <w:sz w:val="28"/>
          <w:szCs w:val="22"/>
          <w:highlight w:val="none"/>
          <w:lang w:val="en-US" w:eastAsia="zh-CN"/>
        </w:rPr>
        <w:t>考核要求</w:t>
      </w:r>
    </w:p>
    <w:p w14:paraId="2B46FF78">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lang w:eastAsia="zh-CN"/>
        </w:rPr>
        <w:t>的工作进行考核，</w:t>
      </w:r>
      <w:r>
        <w:rPr>
          <w:rFonts w:hint="eastAsia" w:ascii="仿宋" w:hAnsi="仿宋" w:eastAsia="仿宋" w:cs="仿宋"/>
          <w:color w:val="auto"/>
          <w:sz w:val="24"/>
          <w:szCs w:val="24"/>
          <w:highlight w:val="none"/>
          <w:lang w:val="en-US" w:eastAsia="zh-CN"/>
        </w:rPr>
        <w:t>考核办法见</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考核评分表</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p w14:paraId="53CBF7FE">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考核评分表</w:t>
      </w:r>
    </w:p>
    <w:tbl>
      <w:tblPr>
        <w:tblStyle w:val="30"/>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305"/>
        <w:gridCol w:w="4796"/>
        <w:gridCol w:w="720"/>
      </w:tblGrid>
      <w:tr w14:paraId="70AD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415" w:type="dxa"/>
            <w:noWrap w:val="0"/>
            <w:vAlign w:val="center"/>
          </w:tcPr>
          <w:p w14:paraId="3DDDD3DD">
            <w:pPr>
              <w:pStyle w:val="24"/>
              <w:snapToGrid w:val="0"/>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考核内容</w:t>
            </w:r>
          </w:p>
        </w:tc>
        <w:tc>
          <w:tcPr>
            <w:tcW w:w="2305" w:type="dxa"/>
            <w:tcBorders>
              <w:left w:val="nil"/>
            </w:tcBorders>
            <w:noWrap w:val="0"/>
            <w:vAlign w:val="center"/>
          </w:tcPr>
          <w:p w14:paraId="52A5DBD3">
            <w:pPr>
              <w:pStyle w:val="24"/>
              <w:snapToGrid w:val="0"/>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基本要求</w:t>
            </w:r>
          </w:p>
        </w:tc>
        <w:tc>
          <w:tcPr>
            <w:tcW w:w="4796" w:type="dxa"/>
            <w:tcBorders>
              <w:left w:val="nil"/>
            </w:tcBorders>
            <w:noWrap w:val="0"/>
            <w:vAlign w:val="center"/>
          </w:tcPr>
          <w:p w14:paraId="168A8626">
            <w:pPr>
              <w:pStyle w:val="24"/>
              <w:snapToGrid w:val="0"/>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加减分条件</w:t>
            </w:r>
          </w:p>
        </w:tc>
        <w:tc>
          <w:tcPr>
            <w:tcW w:w="720" w:type="dxa"/>
            <w:tcBorders>
              <w:left w:val="nil"/>
            </w:tcBorders>
            <w:noWrap w:val="0"/>
            <w:vAlign w:val="center"/>
          </w:tcPr>
          <w:p w14:paraId="2D5C34E0">
            <w:pPr>
              <w:pStyle w:val="24"/>
              <w:snapToGrid w:val="0"/>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得分</w:t>
            </w:r>
          </w:p>
        </w:tc>
      </w:tr>
      <w:tr w14:paraId="020D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415" w:type="dxa"/>
            <w:noWrap w:val="0"/>
            <w:vAlign w:val="center"/>
          </w:tcPr>
          <w:p w14:paraId="4F3D6810">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职业道德</w:t>
            </w:r>
          </w:p>
          <w:p w14:paraId="6AAEDA90">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2305" w:type="dxa"/>
            <w:tcBorders>
              <w:left w:val="nil"/>
            </w:tcBorders>
            <w:noWrap w:val="0"/>
            <w:vAlign w:val="center"/>
          </w:tcPr>
          <w:p w14:paraId="434C0675">
            <w:pPr>
              <w:pStyle w:val="24"/>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遵守职业道德和社会公德；具有责任心，耐心沟通、热情服务，树立维护服务人员形象。</w:t>
            </w:r>
          </w:p>
        </w:tc>
        <w:tc>
          <w:tcPr>
            <w:tcW w:w="4796" w:type="dxa"/>
            <w:tcBorders>
              <w:left w:val="nil"/>
            </w:tcBorders>
            <w:noWrap w:val="0"/>
            <w:vAlign w:val="center"/>
          </w:tcPr>
          <w:p w14:paraId="27FEEC2F">
            <w:pPr>
              <w:pStyle w:val="24"/>
              <w:keepNext w:val="0"/>
              <w:keepLines w:val="0"/>
              <w:pageBreakBefore w:val="0"/>
              <w:widowControl/>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在开展服务时，因服务态度差，损害人员形象的，经查实，首次发现的每起扣5分；第二次发现的该项不得分，并责令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在5日内按规定更换人员，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不能及时更换人员的，终止合同；第三次发现的，直接终止合同。</w:t>
            </w:r>
          </w:p>
        </w:tc>
        <w:tc>
          <w:tcPr>
            <w:tcW w:w="720" w:type="dxa"/>
            <w:tcBorders>
              <w:left w:val="nil"/>
            </w:tcBorders>
            <w:noWrap w:val="0"/>
            <w:vAlign w:val="top"/>
          </w:tcPr>
          <w:p w14:paraId="03E6F2BE">
            <w:pPr>
              <w:pStyle w:val="24"/>
              <w:snapToGrid w:val="0"/>
              <w:spacing w:line="240" w:lineRule="auto"/>
              <w:ind w:firstLine="480" w:firstLineChars="200"/>
              <w:rPr>
                <w:rFonts w:hint="eastAsia" w:ascii="仿宋" w:hAnsi="仿宋" w:eastAsia="仿宋" w:cs="仿宋"/>
                <w:bCs/>
                <w:color w:val="auto"/>
                <w:sz w:val="24"/>
                <w:szCs w:val="24"/>
                <w:highlight w:val="none"/>
              </w:rPr>
            </w:pPr>
          </w:p>
        </w:tc>
      </w:tr>
      <w:tr w14:paraId="41E1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jc w:val="center"/>
        </w:trPr>
        <w:tc>
          <w:tcPr>
            <w:tcW w:w="1415" w:type="dxa"/>
            <w:noWrap w:val="0"/>
            <w:vAlign w:val="center"/>
          </w:tcPr>
          <w:p w14:paraId="6BE73FA9">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w:t>
            </w:r>
          </w:p>
          <w:p w14:paraId="5881DF76">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2305" w:type="dxa"/>
            <w:tcBorders>
              <w:left w:val="nil"/>
            </w:tcBorders>
            <w:noWrap w:val="0"/>
            <w:vAlign w:val="center"/>
          </w:tcPr>
          <w:p w14:paraId="2D97FC37">
            <w:pPr>
              <w:pStyle w:val="24"/>
              <w:keepNext w:val="0"/>
              <w:keepLines w:val="0"/>
              <w:pageBreakBefore w:val="0"/>
              <w:widowControl/>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在开展服务工作中严格执行相关法律法规及行业标准，分析判断准确，协调沟通到位，并服务企业积极落实整改。</w:t>
            </w:r>
          </w:p>
        </w:tc>
        <w:tc>
          <w:tcPr>
            <w:tcW w:w="4796" w:type="dxa"/>
            <w:tcBorders>
              <w:left w:val="nil"/>
            </w:tcBorders>
            <w:noWrap w:val="0"/>
            <w:vAlign w:val="center"/>
          </w:tcPr>
          <w:p w14:paraId="078A6D83">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1、服务中存在未执行相关法律法规及行业标准，未发现长期事实存在、明显的</w:t>
            </w:r>
            <w:r>
              <w:rPr>
                <w:rFonts w:hint="eastAsia" w:ascii="仿宋" w:cs="仿宋"/>
                <w:color w:val="auto"/>
                <w:sz w:val="24"/>
                <w:szCs w:val="24"/>
                <w:highlight w:val="none"/>
                <w:lang w:eastAsia="zh-CN"/>
              </w:rPr>
              <w:t>环境污染隐患</w:t>
            </w:r>
            <w:r>
              <w:rPr>
                <w:rFonts w:hint="eastAsia" w:ascii="仿宋" w:hAnsi="仿宋" w:eastAsia="仿宋" w:cs="仿宋"/>
                <w:color w:val="auto"/>
                <w:sz w:val="24"/>
                <w:szCs w:val="24"/>
                <w:highlight w:val="none"/>
              </w:rPr>
              <w:t>，</w:t>
            </w:r>
            <w:r>
              <w:rPr>
                <w:rFonts w:hint="eastAsia" w:ascii="仿宋" w:cs="仿宋"/>
                <w:color w:val="auto"/>
                <w:sz w:val="24"/>
                <w:szCs w:val="24"/>
                <w:highlight w:val="none"/>
                <w:lang w:val="en-US" w:eastAsia="zh-CN"/>
              </w:rPr>
              <w:t>整治方案</w:t>
            </w:r>
            <w:r>
              <w:rPr>
                <w:rFonts w:hint="eastAsia" w:ascii="仿宋" w:hAnsi="仿宋" w:eastAsia="仿宋" w:cs="仿宋"/>
                <w:color w:val="auto"/>
                <w:sz w:val="24"/>
                <w:szCs w:val="24"/>
                <w:highlight w:val="none"/>
              </w:rPr>
              <w:t>脱离实际，服务不到位等现象的，经查实，首次发现的每起扣5分；第二次发现的该项不得分，并责令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在5日内按规定更换人员，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不能及时更换人员的，终止合同；第三次发现的，直接终止合同。</w:t>
            </w:r>
          </w:p>
          <w:p w14:paraId="7775738C">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cs="仿宋"/>
                <w:color w:val="auto"/>
                <w:sz w:val="24"/>
                <w:szCs w:val="24"/>
                <w:highlight w:val="none"/>
                <w:lang w:val="en-US" w:eastAsia="zh-CN"/>
              </w:rPr>
              <w:t>开展污染源排查、人员访谈过程</w:t>
            </w:r>
            <w:r>
              <w:rPr>
                <w:rFonts w:hint="eastAsia" w:ascii="仿宋" w:hAnsi="仿宋" w:eastAsia="仿宋" w:cs="仿宋"/>
                <w:color w:val="auto"/>
                <w:sz w:val="24"/>
                <w:szCs w:val="24"/>
                <w:highlight w:val="none"/>
              </w:rPr>
              <w:t>中未发现</w:t>
            </w:r>
            <w:r>
              <w:rPr>
                <w:rFonts w:hint="eastAsia" w:ascii="仿宋" w:cs="仿宋"/>
                <w:color w:val="auto"/>
                <w:sz w:val="24"/>
                <w:szCs w:val="24"/>
                <w:highlight w:val="none"/>
                <w:lang w:val="en-US" w:eastAsia="zh-CN"/>
              </w:rPr>
              <w:t>环境污染隐患</w:t>
            </w:r>
            <w:r>
              <w:rPr>
                <w:rFonts w:hint="eastAsia" w:ascii="仿宋" w:hAnsi="仿宋" w:eastAsia="仿宋" w:cs="仿宋"/>
                <w:color w:val="auto"/>
                <w:sz w:val="24"/>
                <w:szCs w:val="24"/>
                <w:highlight w:val="none"/>
              </w:rPr>
              <w:t>的，或者发现</w:t>
            </w:r>
            <w:r>
              <w:rPr>
                <w:rFonts w:hint="eastAsia" w:ascii="仿宋" w:cs="仿宋"/>
                <w:color w:val="auto"/>
                <w:sz w:val="24"/>
                <w:szCs w:val="24"/>
                <w:highlight w:val="none"/>
                <w:lang w:val="en-US" w:eastAsia="zh-CN"/>
              </w:rPr>
              <w:t>环境污染隐患</w:t>
            </w:r>
            <w:r>
              <w:rPr>
                <w:rFonts w:hint="eastAsia" w:ascii="仿宋" w:hAnsi="仿宋" w:eastAsia="仿宋" w:cs="仿宋"/>
                <w:color w:val="auto"/>
                <w:sz w:val="24"/>
                <w:szCs w:val="24"/>
                <w:highlight w:val="none"/>
              </w:rPr>
              <w:t>未及时向</w:t>
            </w:r>
            <w:r>
              <w:rPr>
                <w:rFonts w:hint="eastAsia" w:ascii="仿宋" w:cs="仿宋"/>
                <w:color w:val="auto"/>
                <w:sz w:val="24"/>
                <w:szCs w:val="24"/>
                <w:highlight w:val="none"/>
                <w:lang w:eastAsia="zh-CN"/>
              </w:rPr>
              <w:t>浙江遂昌经济开发区管理委员会</w:t>
            </w:r>
            <w:r>
              <w:rPr>
                <w:rFonts w:hint="eastAsia" w:ascii="仿宋" w:hAnsi="仿宋" w:eastAsia="仿宋" w:cs="仿宋"/>
                <w:color w:val="auto"/>
                <w:sz w:val="24"/>
                <w:szCs w:val="24"/>
                <w:highlight w:val="none"/>
              </w:rPr>
              <w:t>报告的，经查实，首次发现的每起扣10分，并责令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在5日内按规定更换人员，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不能及时更换人员的，终止合同；第二次发现的，直接终止合同。</w:t>
            </w:r>
          </w:p>
        </w:tc>
        <w:tc>
          <w:tcPr>
            <w:tcW w:w="720" w:type="dxa"/>
            <w:tcBorders>
              <w:left w:val="nil"/>
            </w:tcBorders>
            <w:noWrap w:val="0"/>
            <w:vAlign w:val="top"/>
          </w:tcPr>
          <w:p w14:paraId="14E393D7">
            <w:pPr>
              <w:pStyle w:val="24"/>
              <w:snapToGrid w:val="0"/>
              <w:spacing w:line="240" w:lineRule="auto"/>
              <w:ind w:firstLine="480" w:firstLineChars="200"/>
              <w:rPr>
                <w:rFonts w:hint="eastAsia" w:ascii="仿宋" w:hAnsi="仿宋" w:eastAsia="仿宋" w:cs="仿宋"/>
                <w:bCs/>
                <w:color w:val="auto"/>
                <w:sz w:val="24"/>
                <w:szCs w:val="24"/>
                <w:highlight w:val="none"/>
              </w:rPr>
            </w:pPr>
          </w:p>
        </w:tc>
      </w:tr>
      <w:tr w14:paraId="23B9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1415" w:type="dxa"/>
            <w:noWrap w:val="0"/>
            <w:vAlign w:val="center"/>
          </w:tcPr>
          <w:p w14:paraId="0D55E64D">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职业态度</w:t>
            </w:r>
          </w:p>
          <w:p w14:paraId="48910381">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2305" w:type="dxa"/>
            <w:tcBorders>
              <w:left w:val="nil"/>
            </w:tcBorders>
            <w:noWrap w:val="0"/>
            <w:vAlign w:val="center"/>
          </w:tcPr>
          <w:p w14:paraId="4BC12F2C">
            <w:pPr>
              <w:pStyle w:val="24"/>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严格遵守工作纪律和各项规定，有事主动请假，确保人员固定，工作连续；</w:t>
            </w:r>
          </w:p>
          <w:p w14:paraId="2ADF07D3">
            <w:pPr>
              <w:pStyle w:val="24"/>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具有积极的工作态度和较强的事业心，工作不推诿、敷衍。</w:t>
            </w:r>
          </w:p>
        </w:tc>
        <w:tc>
          <w:tcPr>
            <w:tcW w:w="4796" w:type="dxa"/>
            <w:tcBorders>
              <w:left w:val="nil"/>
            </w:tcBorders>
            <w:noWrap w:val="0"/>
            <w:vAlign w:val="center"/>
          </w:tcPr>
          <w:p w14:paraId="6392AFD7">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w:t>
            </w:r>
            <w:r>
              <w:rPr>
                <w:rFonts w:hint="eastAsia" w:ascii="仿宋" w:hAnsi="仿宋" w:eastAsia="仿宋" w:cs="仿宋"/>
                <w:color w:val="auto"/>
                <w:sz w:val="24"/>
                <w:szCs w:val="24"/>
                <w:highlight w:val="none"/>
                <w:lang w:val="en-US" w:eastAsia="zh-CN"/>
              </w:rPr>
              <w:t>驻点技术</w:t>
            </w:r>
            <w:r>
              <w:rPr>
                <w:rFonts w:hint="eastAsia" w:ascii="仿宋" w:hAnsi="仿宋" w:eastAsia="仿宋" w:cs="仿宋"/>
                <w:color w:val="auto"/>
                <w:sz w:val="24"/>
                <w:szCs w:val="24"/>
                <w:highlight w:val="none"/>
              </w:rPr>
              <w:t>人员请假报</w:t>
            </w:r>
            <w:r>
              <w:rPr>
                <w:rFonts w:hint="eastAsia" w:ascii="仿宋" w:cs="仿宋"/>
                <w:color w:val="auto"/>
                <w:sz w:val="24"/>
                <w:szCs w:val="24"/>
                <w:highlight w:val="none"/>
                <w:lang w:eastAsia="zh-CN"/>
              </w:rPr>
              <w:t>浙江遂昌经济开发区管理委员会</w:t>
            </w:r>
            <w:r>
              <w:rPr>
                <w:rFonts w:hint="eastAsia" w:ascii="仿宋" w:hAnsi="仿宋" w:eastAsia="仿宋" w:cs="仿宋"/>
                <w:color w:val="auto"/>
                <w:sz w:val="24"/>
                <w:szCs w:val="24"/>
                <w:highlight w:val="none"/>
              </w:rPr>
              <w:t>审批；未履行请假手续的视为旷工。旷工每天扣5分，累计旷工达到3天的，该项不得分，并责令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在5日内按规定更换人员，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不能及时更换人员的，终止合同。</w:t>
            </w:r>
          </w:p>
          <w:p w14:paraId="6C341443">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2、不服从工作分配安排，工作中存在推诿、敷衍等现象，经查实，首次发现的，扣10分，第二次发现的，该项不得分，并责令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在5日内按规定更换人员，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不能及时更换人员的，终止合同；第三次发现的，直接终止合同。</w:t>
            </w:r>
          </w:p>
        </w:tc>
        <w:tc>
          <w:tcPr>
            <w:tcW w:w="720" w:type="dxa"/>
            <w:tcBorders>
              <w:left w:val="nil"/>
            </w:tcBorders>
            <w:noWrap w:val="0"/>
            <w:vAlign w:val="top"/>
          </w:tcPr>
          <w:p w14:paraId="4C6071B1">
            <w:pPr>
              <w:pStyle w:val="24"/>
              <w:snapToGrid w:val="0"/>
              <w:spacing w:line="240" w:lineRule="auto"/>
              <w:ind w:firstLine="480" w:firstLineChars="200"/>
              <w:rPr>
                <w:rFonts w:hint="eastAsia" w:ascii="仿宋" w:hAnsi="仿宋" w:eastAsia="仿宋" w:cs="仿宋"/>
                <w:bCs/>
                <w:color w:val="auto"/>
                <w:sz w:val="24"/>
                <w:szCs w:val="24"/>
                <w:highlight w:val="none"/>
              </w:rPr>
            </w:pPr>
          </w:p>
        </w:tc>
      </w:tr>
      <w:tr w14:paraId="1DF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vAlign w:val="center"/>
          </w:tcPr>
          <w:p w14:paraId="0CDB235B">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职业绩效</w:t>
            </w:r>
          </w:p>
          <w:p w14:paraId="67E62767">
            <w:pPr>
              <w:pStyle w:val="2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2305" w:type="dxa"/>
            <w:tcBorders>
              <w:left w:val="nil"/>
            </w:tcBorders>
            <w:noWrap w:val="0"/>
            <w:vAlign w:val="center"/>
          </w:tcPr>
          <w:p w14:paraId="2D4A215C">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全面、有效地完成各项任务，服</w:t>
            </w:r>
            <w:r>
              <w:rPr>
                <w:rFonts w:hint="eastAsia" w:ascii="仿宋" w:hAnsi="仿宋" w:eastAsia="仿宋" w:cs="仿宋"/>
                <w:color w:val="auto"/>
                <w:sz w:val="24"/>
                <w:szCs w:val="24"/>
                <w:highlight w:val="none"/>
                <w:lang w:val="en-US" w:eastAsia="zh-CN"/>
              </w:rPr>
              <w:t>务总体质量较好；</w:t>
            </w:r>
          </w:p>
          <w:p w14:paraId="159C0B69">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工作方法有创新，对完成工作任务有好方法、好措施、好手段并能及时总结、提炼、推动推广应用；</w:t>
            </w:r>
          </w:p>
          <w:p w14:paraId="3FCC3C04">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积极主动配合</w:t>
            </w:r>
            <w:r>
              <w:rPr>
                <w:rFonts w:hint="eastAsia" w:ascii="仿宋" w:cs="仿宋"/>
                <w:color w:val="auto"/>
                <w:sz w:val="24"/>
                <w:szCs w:val="24"/>
                <w:highlight w:val="none"/>
                <w:lang w:val="en-US" w:eastAsia="zh-CN"/>
              </w:rPr>
              <w:t>浙江遂昌经济开发区管理委员会</w:t>
            </w:r>
            <w:r>
              <w:rPr>
                <w:rFonts w:hint="eastAsia" w:ascii="仿宋" w:hAnsi="仿宋" w:eastAsia="仿宋" w:cs="仿宋"/>
                <w:color w:val="auto"/>
                <w:sz w:val="24"/>
                <w:szCs w:val="24"/>
                <w:highlight w:val="none"/>
              </w:rPr>
              <w:t>开展工作。</w:t>
            </w:r>
          </w:p>
        </w:tc>
        <w:tc>
          <w:tcPr>
            <w:tcW w:w="4796" w:type="dxa"/>
            <w:tcBorders>
              <w:left w:val="nil"/>
            </w:tcBorders>
            <w:noWrap w:val="0"/>
            <w:vAlign w:val="center"/>
          </w:tcPr>
          <w:p w14:paraId="4CAC46A3">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项目组应定期完成所布置的</w:t>
            </w:r>
            <w:r>
              <w:rPr>
                <w:rFonts w:hint="eastAsia" w:ascii="仿宋" w:cs="仿宋"/>
                <w:color w:val="auto"/>
                <w:sz w:val="24"/>
                <w:szCs w:val="24"/>
                <w:highlight w:val="none"/>
                <w:lang w:val="en-US" w:eastAsia="zh-CN"/>
              </w:rPr>
              <w:t>任务</w:t>
            </w:r>
            <w:r>
              <w:rPr>
                <w:rFonts w:hint="eastAsia" w:ascii="仿宋" w:hAnsi="仿宋" w:eastAsia="仿宋" w:cs="仿宋"/>
                <w:color w:val="auto"/>
                <w:sz w:val="24"/>
                <w:szCs w:val="24"/>
                <w:highlight w:val="none"/>
              </w:rPr>
              <w:t>，若无正当理由未按期完成任务的，首次发现的，扣10分；第二次发现的，该项不得分，并责令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在7日内按规定更换项目负责人，</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不能及时更换项目负责人的，终止合同；第三次发现的，直接终止合同；</w:t>
            </w:r>
          </w:p>
          <w:p w14:paraId="1B4476D6">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2、未及时完成交办的其他任务，首次发现的，扣10分；第二次发现的，该项不得分，并责令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在7日内按规定更换项目负责人，</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不能及时更换项目负责人的，终止合同；第三次发现的，直接终止合同；</w:t>
            </w:r>
          </w:p>
          <w:p w14:paraId="7865F72C">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3、对服务工作创新，协助开展相关试点工作，经上级部门认可的，每例加5分，最高不超过15分。</w:t>
            </w:r>
          </w:p>
        </w:tc>
        <w:tc>
          <w:tcPr>
            <w:tcW w:w="720" w:type="dxa"/>
            <w:tcBorders>
              <w:left w:val="nil"/>
            </w:tcBorders>
            <w:noWrap w:val="0"/>
            <w:vAlign w:val="top"/>
          </w:tcPr>
          <w:p w14:paraId="789DEA3F">
            <w:pPr>
              <w:pStyle w:val="24"/>
              <w:snapToGrid w:val="0"/>
              <w:spacing w:line="240" w:lineRule="auto"/>
              <w:ind w:firstLine="480" w:firstLineChars="200"/>
              <w:rPr>
                <w:rFonts w:hint="eastAsia" w:ascii="仿宋" w:hAnsi="仿宋" w:eastAsia="仿宋" w:cs="仿宋"/>
                <w:bCs/>
                <w:color w:val="auto"/>
                <w:sz w:val="24"/>
                <w:szCs w:val="24"/>
                <w:highlight w:val="none"/>
              </w:rPr>
            </w:pPr>
          </w:p>
        </w:tc>
      </w:tr>
      <w:tr w14:paraId="679D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15" w:type="dxa"/>
            <w:noWrap w:val="0"/>
            <w:vAlign w:val="center"/>
          </w:tcPr>
          <w:p w14:paraId="0207CB64">
            <w:pPr>
              <w:pStyle w:val="24"/>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综合评定（1</w:t>
            </w:r>
            <w:r>
              <w:rPr>
                <w:rFonts w:hint="eastAsia" w:asci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c>
          <w:tcPr>
            <w:tcW w:w="2305" w:type="dxa"/>
            <w:tcBorders>
              <w:left w:val="nil"/>
            </w:tcBorders>
            <w:noWrap w:val="0"/>
            <w:vAlign w:val="center"/>
          </w:tcPr>
          <w:p w14:paraId="4363C7E0">
            <w:pPr>
              <w:pStyle w:val="24"/>
              <w:keepNext w:val="0"/>
              <w:keepLines w:val="0"/>
              <w:pageBreakBefore w:val="0"/>
              <w:widowControl/>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根据服务开展情况，经</w:t>
            </w:r>
            <w:r>
              <w:rPr>
                <w:rFonts w:hint="eastAsia" w:ascii="仿宋" w:cs="仿宋"/>
                <w:color w:val="auto"/>
                <w:sz w:val="24"/>
                <w:szCs w:val="24"/>
                <w:highlight w:val="none"/>
                <w:lang w:eastAsia="zh-CN"/>
              </w:rPr>
              <w:t>管委会</w:t>
            </w:r>
            <w:r>
              <w:rPr>
                <w:rFonts w:hint="eastAsia" w:ascii="仿宋" w:hAnsi="仿宋" w:eastAsia="仿宋" w:cs="仿宋"/>
                <w:color w:val="auto"/>
                <w:sz w:val="24"/>
                <w:szCs w:val="24"/>
                <w:highlight w:val="none"/>
              </w:rPr>
              <w:t>领导集体讨论，对</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进行综合评分。最高</w:t>
            </w:r>
            <w:r>
              <w:rPr>
                <w:rFonts w:hint="eastAsia" w:ascii="仿宋" w:hAnsi="仿宋" w:eastAsia="仿宋" w:cs="仿宋"/>
                <w:color w:val="auto"/>
                <w:sz w:val="24"/>
                <w:szCs w:val="24"/>
                <w:highlight w:val="none"/>
                <w:lang w:val="en-US" w:eastAsia="zh-CN"/>
              </w:rPr>
              <w:t>1</w:t>
            </w:r>
            <w:r>
              <w:rPr>
                <w:rFonts w:hint="eastAsia" w:ascii="仿宋" w:cs="仿宋"/>
                <w:color w:val="auto"/>
                <w:sz w:val="24"/>
                <w:szCs w:val="24"/>
                <w:highlight w:val="none"/>
                <w:lang w:val="en-US" w:eastAsia="zh-CN"/>
              </w:rPr>
              <w:t>5</w:t>
            </w:r>
            <w:r>
              <w:rPr>
                <w:rFonts w:hint="eastAsia" w:ascii="仿宋" w:hAnsi="仿宋" w:eastAsia="仿宋" w:cs="仿宋"/>
                <w:color w:val="auto"/>
                <w:sz w:val="24"/>
                <w:szCs w:val="24"/>
                <w:highlight w:val="none"/>
              </w:rPr>
              <w:t>分，最低0分。</w:t>
            </w:r>
          </w:p>
        </w:tc>
        <w:tc>
          <w:tcPr>
            <w:tcW w:w="4796" w:type="dxa"/>
            <w:tcBorders>
              <w:left w:val="nil"/>
            </w:tcBorders>
            <w:noWrap w:val="0"/>
            <w:vAlign w:val="center"/>
          </w:tcPr>
          <w:p w14:paraId="06DBE000">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p>
        </w:tc>
        <w:tc>
          <w:tcPr>
            <w:tcW w:w="720" w:type="dxa"/>
            <w:tcBorders>
              <w:left w:val="nil"/>
            </w:tcBorders>
            <w:noWrap w:val="0"/>
            <w:vAlign w:val="top"/>
          </w:tcPr>
          <w:p w14:paraId="16EDA3D3">
            <w:pPr>
              <w:pStyle w:val="24"/>
              <w:snapToGrid w:val="0"/>
              <w:spacing w:line="240" w:lineRule="auto"/>
              <w:ind w:firstLine="480" w:firstLineChars="200"/>
              <w:rPr>
                <w:rFonts w:hint="eastAsia" w:ascii="仿宋" w:hAnsi="仿宋" w:eastAsia="仿宋" w:cs="仿宋"/>
                <w:bCs/>
                <w:color w:val="auto"/>
                <w:kern w:val="0"/>
                <w:sz w:val="24"/>
                <w:szCs w:val="24"/>
                <w:highlight w:val="none"/>
                <w:lang w:val="en-US" w:eastAsia="zh-CN" w:bidi="ar-SA"/>
              </w:rPr>
            </w:pPr>
          </w:p>
        </w:tc>
      </w:tr>
      <w:tr w14:paraId="2320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15" w:type="dxa"/>
            <w:noWrap w:val="0"/>
            <w:vAlign w:val="center"/>
          </w:tcPr>
          <w:p w14:paraId="2EB394B7">
            <w:pPr>
              <w:pStyle w:val="24"/>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廉洁规范（否决项）</w:t>
            </w:r>
          </w:p>
        </w:tc>
        <w:tc>
          <w:tcPr>
            <w:tcW w:w="2305" w:type="dxa"/>
            <w:tcBorders>
              <w:left w:val="nil"/>
            </w:tcBorders>
            <w:noWrap w:val="0"/>
            <w:vAlign w:val="center"/>
          </w:tcPr>
          <w:p w14:paraId="75C5BF2D">
            <w:pPr>
              <w:pStyle w:val="24"/>
              <w:keepNext w:val="0"/>
              <w:keepLines w:val="0"/>
              <w:pageBreakBefore w:val="0"/>
              <w:widowControl/>
              <w:kinsoku/>
              <w:wordWrap/>
              <w:overflowPunct/>
              <w:topLinePunct w:val="0"/>
              <w:autoSpaceDE/>
              <w:autoSpaceDN/>
              <w:bidi w:val="0"/>
              <w:adjustRightInd/>
              <w:snapToGrid w:val="0"/>
              <w:spacing w:line="24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严守《服务单位守则》与服务工作纪律和制度，做到公开、公平、公正地实施</w:t>
            </w:r>
            <w:r>
              <w:rPr>
                <w:rFonts w:hint="eastAsia" w:ascii="仿宋" w:cs="仿宋"/>
                <w:color w:val="auto"/>
                <w:sz w:val="24"/>
                <w:szCs w:val="24"/>
                <w:highlight w:val="none"/>
                <w:lang w:val="en-US" w:eastAsia="zh-CN"/>
              </w:rPr>
              <w:t>咨询服务</w:t>
            </w:r>
            <w:r>
              <w:rPr>
                <w:rFonts w:hint="eastAsia" w:ascii="仿宋" w:hAnsi="仿宋" w:eastAsia="仿宋" w:cs="仿宋"/>
                <w:color w:val="auto"/>
                <w:sz w:val="24"/>
                <w:szCs w:val="24"/>
                <w:highlight w:val="none"/>
              </w:rPr>
              <w:t>，严禁从事与</w:t>
            </w:r>
            <w:r>
              <w:rPr>
                <w:rFonts w:hint="eastAsia" w:ascii="仿宋" w:cs="仿宋"/>
                <w:color w:val="auto"/>
                <w:sz w:val="24"/>
                <w:szCs w:val="24"/>
                <w:highlight w:val="none"/>
                <w:lang w:val="en-US" w:eastAsia="zh-CN"/>
              </w:rPr>
              <w:t>本项目</w:t>
            </w:r>
            <w:r>
              <w:rPr>
                <w:rFonts w:hint="eastAsia" w:ascii="仿宋" w:hAnsi="仿宋" w:eastAsia="仿宋" w:cs="仿宋"/>
                <w:color w:val="auto"/>
                <w:sz w:val="24"/>
                <w:szCs w:val="24"/>
                <w:highlight w:val="none"/>
              </w:rPr>
              <w:t>无关事项。严禁向企业变相推销、承接相关有偿服务，以及其他违纪违规情形。</w:t>
            </w:r>
          </w:p>
        </w:tc>
        <w:tc>
          <w:tcPr>
            <w:tcW w:w="4796" w:type="dxa"/>
            <w:tcBorders>
              <w:left w:val="nil"/>
            </w:tcBorders>
            <w:noWrap w:val="0"/>
            <w:vAlign w:val="center"/>
          </w:tcPr>
          <w:p w14:paraId="1E9087AF">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有以下情形的，一经查实，立即终止合同，禁止参与其他相关招标业务，涉及违反国家法律法规的按相应法律法规处理：</w:t>
            </w:r>
          </w:p>
          <w:p w14:paraId="7362B7A7">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1、存在违反国家法律法规、不服从工作纪律和工作制度，利用</w:t>
            </w:r>
            <w:r>
              <w:rPr>
                <w:rFonts w:hint="eastAsia" w:ascii="仿宋" w:cs="仿宋"/>
                <w:color w:val="auto"/>
                <w:sz w:val="24"/>
                <w:szCs w:val="24"/>
                <w:highlight w:val="none"/>
                <w:lang w:val="en-US" w:eastAsia="zh-CN"/>
              </w:rPr>
              <w:t>咨询</w:t>
            </w:r>
            <w:r>
              <w:rPr>
                <w:rFonts w:hint="eastAsia" w:ascii="仿宋" w:hAnsi="仿宋" w:eastAsia="仿宋" w:cs="仿宋"/>
                <w:color w:val="auto"/>
                <w:sz w:val="24"/>
                <w:szCs w:val="24"/>
                <w:highlight w:val="none"/>
              </w:rPr>
              <w:t>服务行为向</w:t>
            </w:r>
            <w:r>
              <w:rPr>
                <w:rFonts w:hint="eastAsia" w:ascii="仿宋" w:cs="仿宋"/>
                <w:color w:val="auto"/>
                <w:sz w:val="24"/>
                <w:szCs w:val="24"/>
                <w:highlight w:val="none"/>
                <w:lang w:val="en-US" w:eastAsia="zh-CN"/>
              </w:rPr>
              <w:t>企业或个人</w:t>
            </w:r>
            <w:r>
              <w:rPr>
                <w:rFonts w:hint="eastAsia" w:ascii="仿宋" w:hAnsi="仿宋" w:eastAsia="仿宋" w:cs="仿宋"/>
                <w:color w:val="auto"/>
                <w:sz w:val="24"/>
                <w:szCs w:val="24"/>
                <w:highlight w:val="none"/>
              </w:rPr>
              <w:t>“吃、拿、卡、要”，变相推销、承接有偿服务等违纪违规行为；</w:t>
            </w:r>
          </w:p>
          <w:p w14:paraId="5404538F">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2、存在严重损害</w:t>
            </w:r>
            <w:r>
              <w:rPr>
                <w:rFonts w:hint="eastAsia" w:ascii="仿宋" w:cs="仿宋"/>
                <w:color w:val="auto"/>
                <w:sz w:val="24"/>
                <w:szCs w:val="24"/>
                <w:highlight w:val="none"/>
                <w:lang w:eastAsia="zh-CN"/>
              </w:rPr>
              <w:t>浙江遂昌经济开发区管理委员会</w:t>
            </w:r>
            <w:r>
              <w:rPr>
                <w:rFonts w:hint="eastAsia" w:ascii="仿宋" w:hAnsi="仿宋" w:eastAsia="仿宋" w:cs="仿宋"/>
                <w:color w:val="auto"/>
                <w:sz w:val="24"/>
                <w:szCs w:val="24"/>
                <w:highlight w:val="none"/>
              </w:rPr>
              <w:t>形象、弄虚作假、职业道德不良等行为；</w:t>
            </w:r>
          </w:p>
          <w:p w14:paraId="74193DB9">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3、存在</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严重违规行为的。</w:t>
            </w:r>
          </w:p>
        </w:tc>
        <w:tc>
          <w:tcPr>
            <w:tcW w:w="720" w:type="dxa"/>
            <w:tcBorders>
              <w:left w:val="nil"/>
            </w:tcBorders>
            <w:noWrap w:val="0"/>
            <w:vAlign w:val="top"/>
          </w:tcPr>
          <w:p w14:paraId="58893AC7">
            <w:pPr>
              <w:pStyle w:val="24"/>
              <w:snapToGrid w:val="0"/>
              <w:spacing w:line="240" w:lineRule="auto"/>
              <w:ind w:firstLine="480" w:firstLineChars="200"/>
              <w:rPr>
                <w:rFonts w:hint="eastAsia" w:ascii="仿宋" w:hAnsi="仿宋" w:eastAsia="仿宋" w:cs="仿宋"/>
                <w:bCs/>
                <w:color w:val="auto"/>
                <w:kern w:val="0"/>
                <w:sz w:val="24"/>
                <w:szCs w:val="24"/>
                <w:highlight w:val="none"/>
                <w:lang w:val="en-US" w:eastAsia="zh-CN" w:bidi="ar-SA"/>
              </w:rPr>
            </w:pPr>
          </w:p>
        </w:tc>
      </w:tr>
    </w:tbl>
    <w:p w14:paraId="250F76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11E214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根据实际考核情况，</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作为</w:t>
      </w:r>
      <w:r>
        <w:rPr>
          <w:rFonts w:hint="eastAsia" w:ascii="仿宋" w:hAnsi="仿宋" w:eastAsia="仿宋" w:cs="仿宋"/>
          <w:color w:val="auto"/>
          <w:sz w:val="24"/>
          <w:szCs w:val="24"/>
          <w:highlight w:val="none"/>
          <w:lang w:val="en-US" w:eastAsia="zh-CN"/>
        </w:rPr>
        <w:t>考核主体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有权</w:t>
      </w:r>
      <w:r>
        <w:rPr>
          <w:rFonts w:hint="eastAsia" w:ascii="仿宋" w:hAnsi="仿宋" w:eastAsia="仿宋" w:cs="仿宋"/>
          <w:color w:val="auto"/>
          <w:sz w:val="24"/>
          <w:szCs w:val="24"/>
          <w:highlight w:val="none"/>
          <w:lang w:eastAsia="zh-CN"/>
        </w:rPr>
        <w:t>分别</w:t>
      </w:r>
      <w:r>
        <w:rPr>
          <w:rFonts w:hint="eastAsia" w:ascii="仿宋" w:hAnsi="仿宋" w:eastAsia="仿宋" w:cs="仿宋"/>
          <w:color w:val="auto"/>
          <w:sz w:val="24"/>
          <w:szCs w:val="24"/>
          <w:highlight w:val="none"/>
        </w:rPr>
        <w:t>调整考核条款并进行修订。</w:t>
      </w:r>
      <w:r>
        <w:rPr>
          <w:rFonts w:hint="eastAsia" w:ascii="仿宋" w:hAnsi="仿宋" w:eastAsia="仿宋" w:cs="仿宋"/>
          <w:color w:val="auto"/>
          <w:sz w:val="24"/>
          <w:szCs w:val="24"/>
          <w:highlight w:val="none"/>
          <w:lang w:val="en-US" w:eastAsia="zh-CN"/>
        </w:rPr>
        <w:t>采用季度</w:t>
      </w:r>
      <w:r>
        <w:rPr>
          <w:rFonts w:hint="eastAsia" w:ascii="仿宋" w:hAnsi="仿宋" w:eastAsia="仿宋" w:cs="仿宋"/>
          <w:color w:val="auto"/>
          <w:sz w:val="24"/>
          <w:szCs w:val="24"/>
          <w:highlight w:val="none"/>
        </w:rPr>
        <w:t>考核评分方式，考核采取百分制。</w:t>
      </w:r>
    </w:p>
    <w:p w14:paraId="735D21B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考核得分为85分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及以上，按合同约定全额支付</w:t>
      </w:r>
      <w:r>
        <w:rPr>
          <w:rFonts w:hint="eastAsia" w:ascii="仿宋" w:hAnsi="仿宋" w:eastAsia="仿宋" w:cs="仿宋"/>
          <w:color w:val="auto"/>
          <w:sz w:val="24"/>
          <w:szCs w:val="24"/>
          <w:highlight w:val="none"/>
          <w:lang w:val="en-US" w:eastAsia="zh-CN"/>
        </w:rPr>
        <w:t>服务费</w:t>
      </w: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得分＞</w:t>
      </w:r>
      <w:r>
        <w:rPr>
          <w:rFonts w:hint="eastAsia" w:ascii="仿宋" w:hAnsi="仿宋" w:eastAsia="仿宋" w:cs="仿宋"/>
          <w:color w:val="auto"/>
          <w:sz w:val="24"/>
          <w:szCs w:val="24"/>
          <w:highlight w:val="none"/>
        </w:rPr>
        <w:t>60</w:t>
      </w:r>
      <w:r>
        <w:rPr>
          <w:rFonts w:hint="eastAsia" w:cs="仿宋"/>
          <w:color w:val="auto"/>
          <w:sz w:val="24"/>
          <w:szCs w:val="24"/>
          <w:highlight w:val="none"/>
          <w:lang w:eastAsia="zh-CN"/>
        </w:rPr>
        <w:t>且≤</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按照1分</w:t>
      </w:r>
      <w:r>
        <w:rPr>
          <w:rFonts w:hint="eastAsia" w:cs="仿宋"/>
          <w:color w:val="auto"/>
          <w:sz w:val="24"/>
          <w:szCs w:val="24"/>
          <w:highlight w:val="none"/>
          <w:lang w:val="en-US" w:eastAsia="zh-CN"/>
        </w:rPr>
        <w:t>扣</w:t>
      </w:r>
      <w:r>
        <w:rPr>
          <w:rFonts w:hint="eastAsia" w:ascii="仿宋" w:hAnsi="仿宋" w:eastAsia="仿宋" w:cs="仿宋"/>
          <w:color w:val="auto"/>
          <w:sz w:val="24"/>
          <w:szCs w:val="24"/>
          <w:highlight w:val="none"/>
          <w:lang w:val="en-US" w:eastAsia="zh-CN"/>
        </w:rPr>
        <w:t>2000元的标准扣罚服务费（不足1分按1分计）</w:t>
      </w:r>
      <w:r>
        <w:rPr>
          <w:rFonts w:hint="eastAsia" w:ascii="仿宋" w:hAnsi="仿宋" w:eastAsia="仿宋" w:cs="仿宋"/>
          <w:color w:val="auto"/>
          <w:sz w:val="24"/>
          <w:szCs w:val="24"/>
          <w:highlight w:val="none"/>
        </w:rPr>
        <w:t>，例如：得分为80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按照80分算，</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lang w:val="en-US" w:eastAsia="zh-CN"/>
        </w:rPr>
        <w:t>扣除服务费10000元</w:t>
      </w: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得分≤</w:t>
      </w:r>
      <w:r>
        <w:rPr>
          <w:rFonts w:hint="eastAsia" w:ascii="仿宋" w:hAnsi="仿宋" w:eastAsia="仿宋" w:cs="仿宋"/>
          <w:color w:val="auto"/>
          <w:sz w:val="24"/>
          <w:szCs w:val="24"/>
          <w:highlight w:val="none"/>
        </w:rPr>
        <w:t>60分</w:t>
      </w:r>
      <w:r>
        <w:rPr>
          <w:rFonts w:hint="eastAsia" w:cs="仿宋"/>
          <w:color w:val="auto"/>
          <w:sz w:val="24"/>
          <w:szCs w:val="24"/>
          <w:highlight w:val="none"/>
          <w:lang w:eastAsia="zh-CN"/>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不予支付服务费，</w:t>
      </w:r>
      <w:r>
        <w:rPr>
          <w:rFonts w:hint="eastAsia" w:ascii="仿宋" w:hAnsi="仿宋" w:eastAsia="仿宋" w:cs="仿宋"/>
          <w:color w:val="auto"/>
          <w:sz w:val="24"/>
          <w:szCs w:val="24"/>
          <w:highlight w:val="none"/>
          <w:lang w:val="en-US" w:eastAsia="zh-CN"/>
        </w:rPr>
        <w:t>采购人有权</w:t>
      </w:r>
      <w:r>
        <w:rPr>
          <w:rFonts w:hint="eastAsia" w:ascii="仿宋" w:hAnsi="仿宋" w:eastAsia="仿宋" w:cs="仿宋"/>
          <w:color w:val="auto"/>
          <w:sz w:val="24"/>
          <w:szCs w:val="24"/>
          <w:highlight w:val="none"/>
        </w:rPr>
        <w:t>解除合同。</w:t>
      </w:r>
    </w:p>
    <w:bookmarkEnd w:id="11"/>
    <w:bookmarkEnd w:id="12"/>
    <w:bookmarkEnd w:id="13"/>
    <w:bookmarkEnd w:id="14"/>
    <w:bookmarkEnd w:id="15"/>
    <w:bookmarkEnd w:id="16"/>
    <w:p w14:paraId="2EB19FBB">
      <w:pPr>
        <w:pStyle w:val="3"/>
        <w:tabs>
          <w:tab w:val="left" w:pos="1404"/>
        </w:tabs>
        <w:spacing w:before="54"/>
        <w:ind w:left="120"/>
        <w:jc w:val="center"/>
        <w:rPr>
          <w:color w:val="auto"/>
        </w:rPr>
      </w:pPr>
      <w:bookmarkStart w:id="20" w:name="_Toc31775"/>
      <w:r>
        <w:rPr>
          <w:rFonts w:hint="eastAsia"/>
          <w:color w:val="auto"/>
        </w:rPr>
        <w:t>第</w:t>
      </w:r>
      <w:r>
        <w:rPr>
          <w:rFonts w:hint="eastAsia"/>
          <w:color w:val="auto"/>
          <w:lang w:val="en-US"/>
        </w:rPr>
        <w:t>三</w:t>
      </w:r>
      <w:r>
        <w:rPr>
          <w:rFonts w:hint="eastAsia"/>
          <w:color w:val="auto"/>
        </w:rPr>
        <w:t>章</w:t>
      </w:r>
      <w:r>
        <w:rPr>
          <w:rFonts w:hint="eastAsia"/>
          <w:color w:val="auto"/>
          <w:lang w:val="en-US" w:eastAsia="zh-CN"/>
        </w:rPr>
        <w:t xml:space="preserve"> </w:t>
      </w:r>
      <w:r>
        <w:rPr>
          <w:rFonts w:hint="eastAsia"/>
          <w:color w:val="auto"/>
        </w:rPr>
        <w:t>供应商须知</w:t>
      </w:r>
      <w:bookmarkEnd w:id="20"/>
      <w:bookmarkStart w:id="21" w:name="前列表"/>
      <w:bookmarkEnd w:id="21"/>
    </w:p>
    <w:p w14:paraId="462E8C2B">
      <w:pPr>
        <w:pStyle w:val="4"/>
        <w:tabs>
          <w:tab w:val="left" w:pos="1291"/>
        </w:tabs>
        <w:spacing w:beforeLines="50" w:afterLines="50"/>
        <w:ind w:left="0" w:leftChars="0" w:firstLine="0" w:firstLineChars="0"/>
        <w:jc w:val="center"/>
        <w:rPr>
          <w:color w:val="auto"/>
        </w:rPr>
      </w:pPr>
      <w:bookmarkStart w:id="22" w:name="_Toc22603"/>
      <w:r>
        <w:rPr>
          <w:rFonts w:hint="eastAsia"/>
          <w:color w:val="auto"/>
        </w:rPr>
        <w:t>前附表</w:t>
      </w:r>
      <w:bookmarkEnd w:id="22"/>
    </w:p>
    <w:tbl>
      <w:tblPr>
        <w:tblStyle w:val="30"/>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1FF1038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3" w:hRule="atLeast"/>
        </w:trPr>
        <w:tc>
          <w:tcPr>
            <w:tcW w:w="709" w:type="dxa"/>
            <w:tcBorders>
              <w:bottom w:val="single" w:color="000000" w:sz="4" w:space="0"/>
              <w:right w:val="single" w:color="000000" w:sz="4" w:space="0"/>
            </w:tcBorders>
            <w:vAlign w:val="center"/>
          </w:tcPr>
          <w:p w14:paraId="374888B4">
            <w:pPr>
              <w:pStyle w:val="44"/>
              <w:spacing w:line="310" w:lineRule="atLeast"/>
              <w:jc w:val="center"/>
              <w:rPr>
                <w:b/>
                <w:color w:val="auto"/>
                <w:sz w:val="24"/>
                <w:szCs w:val="24"/>
              </w:rPr>
            </w:pPr>
            <w:r>
              <w:rPr>
                <w:rFonts w:hint="eastAsia"/>
                <w:b/>
                <w:color w:val="auto"/>
                <w:sz w:val="24"/>
                <w:szCs w:val="24"/>
              </w:rPr>
              <w:t>序号</w:t>
            </w:r>
          </w:p>
        </w:tc>
        <w:tc>
          <w:tcPr>
            <w:tcW w:w="1581" w:type="dxa"/>
            <w:tcBorders>
              <w:left w:val="single" w:color="000000" w:sz="4" w:space="0"/>
              <w:bottom w:val="single" w:color="000000" w:sz="4" w:space="0"/>
              <w:right w:val="single" w:color="000000" w:sz="4" w:space="0"/>
            </w:tcBorders>
            <w:vAlign w:val="center"/>
          </w:tcPr>
          <w:p w14:paraId="745B8521">
            <w:pPr>
              <w:pStyle w:val="44"/>
              <w:jc w:val="center"/>
              <w:rPr>
                <w:b/>
                <w:color w:val="auto"/>
                <w:sz w:val="24"/>
                <w:szCs w:val="24"/>
              </w:rPr>
            </w:pPr>
            <w:r>
              <w:rPr>
                <w:rFonts w:hint="eastAsia"/>
                <w:b/>
                <w:color w:val="auto"/>
                <w:sz w:val="24"/>
                <w:szCs w:val="24"/>
              </w:rPr>
              <w:t>须知项目</w:t>
            </w:r>
          </w:p>
        </w:tc>
        <w:tc>
          <w:tcPr>
            <w:tcW w:w="7226" w:type="dxa"/>
            <w:gridSpan w:val="3"/>
            <w:tcBorders>
              <w:left w:val="single" w:color="000000" w:sz="4" w:space="0"/>
              <w:bottom w:val="single" w:color="000000" w:sz="4" w:space="0"/>
            </w:tcBorders>
            <w:vAlign w:val="center"/>
          </w:tcPr>
          <w:p w14:paraId="1B6D569E">
            <w:pPr>
              <w:pStyle w:val="44"/>
              <w:jc w:val="center"/>
              <w:rPr>
                <w:b/>
                <w:color w:val="auto"/>
                <w:sz w:val="24"/>
                <w:szCs w:val="24"/>
              </w:rPr>
            </w:pPr>
            <w:r>
              <w:rPr>
                <w:rFonts w:hint="eastAsia"/>
                <w:b/>
                <w:color w:val="auto"/>
                <w:sz w:val="24"/>
                <w:szCs w:val="24"/>
              </w:rPr>
              <w:t>内容、要求和时间</w:t>
            </w:r>
          </w:p>
        </w:tc>
      </w:tr>
      <w:tr w14:paraId="2EEA749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5A5EBA28">
            <w:pPr>
              <w:pStyle w:val="44"/>
              <w:jc w:val="center"/>
              <w:rPr>
                <w:color w:val="auto"/>
                <w:sz w:val="24"/>
                <w:szCs w:val="24"/>
              </w:rPr>
            </w:pPr>
            <w:r>
              <w:rPr>
                <w:rFonts w:hint="eastAsia"/>
                <w:color w:val="auto"/>
                <w:sz w:val="24"/>
                <w:szCs w:val="24"/>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1647B18C">
            <w:pPr>
              <w:pStyle w:val="44"/>
              <w:jc w:val="center"/>
              <w:rPr>
                <w:color w:val="auto"/>
                <w:sz w:val="24"/>
                <w:szCs w:val="24"/>
              </w:rPr>
            </w:pPr>
            <w:r>
              <w:rPr>
                <w:rFonts w:hint="eastAsia"/>
                <w:color w:val="auto"/>
                <w:sz w:val="24"/>
                <w:szCs w:val="24"/>
              </w:rPr>
              <w:t>项目名称</w:t>
            </w:r>
          </w:p>
        </w:tc>
        <w:tc>
          <w:tcPr>
            <w:tcW w:w="7226" w:type="dxa"/>
            <w:gridSpan w:val="3"/>
            <w:tcBorders>
              <w:top w:val="single" w:color="000000" w:sz="4" w:space="0"/>
              <w:left w:val="single" w:color="000000" w:sz="4" w:space="0"/>
              <w:bottom w:val="single" w:color="000000" w:sz="4" w:space="0"/>
            </w:tcBorders>
            <w:vAlign w:val="center"/>
          </w:tcPr>
          <w:p w14:paraId="594AB102">
            <w:pPr>
              <w:pStyle w:val="44"/>
              <w:spacing w:line="278" w:lineRule="auto"/>
              <w:ind w:left="107" w:right="88"/>
              <w:jc w:val="both"/>
              <w:rPr>
                <w:rFonts w:hint="eastAsia"/>
                <w:color w:val="auto"/>
                <w:sz w:val="24"/>
                <w:szCs w:val="24"/>
                <w:lang w:eastAsia="zh-CN"/>
              </w:rPr>
            </w:pPr>
            <w:r>
              <w:rPr>
                <w:rFonts w:hint="eastAsia"/>
                <w:color w:val="auto"/>
                <w:sz w:val="24"/>
                <w:szCs w:val="24"/>
                <w:lang w:val="en-US" w:eastAsia="zh-CN"/>
              </w:rPr>
              <w:t>遂昌县化工园区地下水污染专项整治全过程咨询服务</w:t>
            </w:r>
          </w:p>
        </w:tc>
      </w:tr>
      <w:tr w14:paraId="58C7875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2C21D008">
            <w:pPr>
              <w:pStyle w:val="44"/>
              <w:jc w:val="center"/>
              <w:rPr>
                <w:color w:val="auto"/>
                <w:sz w:val="24"/>
                <w:szCs w:val="24"/>
              </w:rPr>
            </w:pPr>
            <w:r>
              <w:rPr>
                <w:rFonts w:hint="eastAsia"/>
                <w:color w:val="auto"/>
                <w:sz w:val="24"/>
                <w:szCs w:val="24"/>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462B39A8">
            <w:pPr>
              <w:pStyle w:val="44"/>
              <w:jc w:val="center"/>
              <w:rPr>
                <w:color w:val="auto"/>
                <w:sz w:val="24"/>
                <w:szCs w:val="24"/>
              </w:rPr>
            </w:pPr>
            <w:r>
              <w:rPr>
                <w:rFonts w:hint="eastAsia"/>
                <w:color w:val="auto"/>
                <w:sz w:val="24"/>
                <w:szCs w:val="24"/>
              </w:rPr>
              <w:t>采购人</w:t>
            </w:r>
          </w:p>
        </w:tc>
        <w:tc>
          <w:tcPr>
            <w:tcW w:w="7226" w:type="dxa"/>
            <w:gridSpan w:val="3"/>
            <w:tcBorders>
              <w:top w:val="single" w:color="000000" w:sz="4" w:space="0"/>
              <w:left w:val="single" w:color="000000" w:sz="4" w:space="0"/>
              <w:bottom w:val="single" w:color="000000" w:sz="4" w:space="0"/>
            </w:tcBorders>
            <w:vAlign w:val="center"/>
          </w:tcPr>
          <w:p w14:paraId="03E6ACF2">
            <w:pPr>
              <w:pStyle w:val="44"/>
              <w:spacing w:line="278" w:lineRule="auto"/>
              <w:ind w:left="107" w:right="88"/>
              <w:jc w:val="both"/>
              <w:rPr>
                <w:rFonts w:hint="eastAsia"/>
                <w:color w:val="auto"/>
                <w:sz w:val="24"/>
                <w:szCs w:val="24"/>
                <w:lang w:eastAsia="zh-CN"/>
              </w:rPr>
            </w:pPr>
            <w:r>
              <w:rPr>
                <w:rFonts w:hint="eastAsia"/>
                <w:color w:val="auto"/>
                <w:sz w:val="24"/>
                <w:szCs w:val="24"/>
                <w:lang w:eastAsia="zh-CN"/>
              </w:rPr>
              <w:t xml:space="preserve">浙江遂昌经济开发区管理委员会 </w:t>
            </w:r>
          </w:p>
        </w:tc>
      </w:tr>
      <w:tr w14:paraId="596D5BC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17856A46">
            <w:pPr>
              <w:pStyle w:val="44"/>
              <w:jc w:val="center"/>
              <w:rPr>
                <w:color w:val="auto"/>
                <w:sz w:val="24"/>
                <w:szCs w:val="24"/>
              </w:rPr>
            </w:pPr>
            <w:r>
              <w:rPr>
                <w:rFonts w:hint="eastAsia"/>
                <w:color w:val="auto"/>
                <w:sz w:val="24"/>
                <w:szCs w:val="24"/>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6CEF5275">
            <w:pPr>
              <w:pStyle w:val="44"/>
              <w:jc w:val="center"/>
              <w:rPr>
                <w:color w:val="auto"/>
                <w:sz w:val="24"/>
                <w:szCs w:val="24"/>
              </w:rPr>
            </w:pPr>
            <w:r>
              <w:rPr>
                <w:rFonts w:hint="eastAsia"/>
                <w:color w:val="auto"/>
                <w:sz w:val="24"/>
                <w:szCs w:val="24"/>
              </w:rPr>
              <w:t>采购代理机构</w:t>
            </w:r>
          </w:p>
        </w:tc>
        <w:tc>
          <w:tcPr>
            <w:tcW w:w="7226" w:type="dxa"/>
            <w:gridSpan w:val="3"/>
            <w:tcBorders>
              <w:top w:val="single" w:color="000000" w:sz="4" w:space="0"/>
              <w:left w:val="single" w:color="000000" w:sz="4" w:space="0"/>
              <w:bottom w:val="single" w:color="000000" w:sz="4" w:space="0"/>
            </w:tcBorders>
            <w:vAlign w:val="center"/>
          </w:tcPr>
          <w:p w14:paraId="220342A7">
            <w:pPr>
              <w:pStyle w:val="44"/>
              <w:spacing w:line="278" w:lineRule="auto"/>
              <w:ind w:left="107" w:right="88"/>
              <w:jc w:val="both"/>
              <w:rPr>
                <w:rFonts w:hint="eastAsia"/>
                <w:color w:val="auto"/>
                <w:sz w:val="24"/>
                <w:szCs w:val="24"/>
              </w:rPr>
            </w:pPr>
            <w:r>
              <w:rPr>
                <w:rFonts w:hint="eastAsia"/>
                <w:color w:val="auto"/>
                <w:sz w:val="24"/>
                <w:szCs w:val="24"/>
              </w:rPr>
              <w:t>浙江至诚工程咨询有限责任公司</w:t>
            </w:r>
          </w:p>
        </w:tc>
      </w:tr>
      <w:tr w14:paraId="0EB3BE5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6ADBB146">
            <w:pPr>
              <w:pStyle w:val="44"/>
              <w:jc w:val="center"/>
              <w:rPr>
                <w:color w:val="auto"/>
                <w:sz w:val="24"/>
                <w:szCs w:val="24"/>
              </w:rPr>
            </w:pPr>
            <w:r>
              <w:rPr>
                <w:rFonts w:hint="eastAsia"/>
                <w:color w:val="auto"/>
                <w:sz w:val="24"/>
                <w:szCs w:val="24"/>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3F3A3A56">
            <w:pPr>
              <w:pStyle w:val="44"/>
              <w:jc w:val="center"/>
              <w:rPr>
                <w:color w:val="auto"/>
                <w:sz w:val="24"/>
                <w:szCs w:val="24"/>
              </w:rPr>
            </w:pPr>
            <w:r>
              <w:rPr>
                <w:rFonts w:hint="eastAsia"/>
                <w:color w:val="auto"/>
                <w:sz w:val="24"/>
                <w:szCs w:val="24"/>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8FA7551">
            <w:pPr>
              <w:pStyle w:val="44"/>
              <w:spacing w:line="278" w:lineRule="auto"/>
              <w:ind w:left="107" w:right="88"/>
              <w:jc w:val="both"/>
              <w:rPr>
                <w:rFonts w:hint="eastAsia"/>
                <w:color w:val="auto"/>
                <w:sz w:val="24"/>
                <w:szCs w:val="24"/>
              </w:rPr>
            </w:pPr>
            <w:r>
              <w:rPr>
                <w:rFonts w:hint="eastAsia"/>
                <w:color w:val="auto"/>
                <w:sz w:val="24"/>
                <w:szCs w:val="24"/>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6CF937D9">
            <w:pPr>
              <w:pStyle w:val="44"/>
              <w:spacing w:line="278" w:lineRule="auto"/>
              <w:ind w:left="107" w:right="88"/>
              <w:jc w:val="both"/>
              <w:rPr>
                <w:rFonts w:hint="eastAsia"/>
                <w:color w:val="auto"/>
                <w:sz w:val="24"/>
                <w:szCs w:val="24"/>
              </w:rPr>
            </w:pPr>
            <w:r>
              <w:rPr>
                <w:rFonts w:hint="eastAsia"/>
                <w:color w:val="auto"/>
                <w:sz w:val="24"/>
                <w:szCs w:val="24"/>
              </w:rPr>
              <w:t>组织方式</w:t>
            </w:r>
          </w:p>
        </w:tc>
        <w:tc>
          <w:tcPr>
            <w:tcW w:w="3063" w:type="dxa"/>
            <w:tcBorders>
              <w:top w:val="single" w:color="000000" w:sz="4" w:space="0"/>
              <w:left w:val="single" w:color="000000" w:sz="4" w:space="0"/>
              <w:bottom w:val="single" w:color="000000" w:sz="4" w:space="0"/>
            </w:tcBorders>
            <w:vAlign w:val="center"/>
          </w:tcPr>
          <w:p w14:paraId="685D1449">
            <w:pPr>
              <w:pStyle w:val="44"/>
              <w:spacing w:line="278" w:lineRule="auto"/>
              <w:ind w:left="107" w:right="88"/>
              <w:jc w:val="both"/>
              <w:rPr>
                <w:rFonts w:hint="eastAsia"/>
                <w:color w:val="auto"/>
                <w:sz w:val="24"/>
                <w:szCs w:val="24"/>
              </w:rPr>
            </w:pPr>
            <w:r>
              <w:rPr>
                <w:rFonts w:hint="eastAsia"/>
                <w:color w:val="auto"/>
                <w:sz w:val="24"/>
                <w:szCs w:val="24"/>
              </w:rPr>
              <w:t>分散委托采购</w:t>
            </w:r>
          </w:p>
        </w:tc>
      </w:tr>
      <w:tr w14:paraId="27A97C9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041708DC">
            <w:pPr>
              <w:pStyle w:val="44"/>
              <w:jc w:val="center"/>
              <w:rPr>
                <w:color w:val="auto"/>
                <w:sz w:val="24"/>
                <w:szCs w:val="24"/>
              </w:rPr>
            </w:pPr>
            <w:r>
              <w:rPr>
                <w:rFonts w:hint="eastAsia"/>
                <w:color w:val="auto"/>
                <w:sz w:val="24"/>
                <w:szCs w:val="24"/>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621B1EA5">
            <w:pPr>
              <w:pStyle w:val="44"/>
              <w:jc w:val="center"/>
              <w:rPr>
                <w:color w:val="auto"/>
                <w:sz w:val="24"/>
                <w:szCs w:val="24"/>
              </w:rPr>
            </w:pPr>
            <w:r>
              <w:rPr>
                <w:rFonts w:hint="eastAsia"/>
                <w:color w:val="auto"/>
                <w:sz w:val="24"/>
                <w:szCs w:val="24"/>
              </w:rPr>
              <w:t>资格审查方式</w:t>
            </w:r>
          </w:p>
        </w:tc>
        <w:tc>
          <w:tcPr>
            <w:tcW w:w="7226" w:type="dxa"/>
            <w:gridSpan w:val="3"/>
            <w:tcBorders>
              <w:top w:val="single" w:color="000000" w:sz="4" w:space="0"/>
              <w:left w:val="single" w:color="000000" w:sz="4" w:space="0"/>
              <w:bottom w:val="single" w:color="000000" w:sz="4" w:space="0"/>
            </w:tcBorders>
            <w:vAlign w:val="center"/>
          </w:tcPr>
          <w:p w14:paraId="3B6356C7">
            <w:pPr>
              <w:pStyle w:val="44"/>
              <w:spacing w:line="240" w:lineRule="auto"/>
              <w:ind w:left="107" w:right="88"/>
              <w:jc w:val="both"/>
              <w:rPr>
                <w:rFonts w:hint="eastAsia"/>
                <w:color w:val="auto"/>
                <w:sz w:val="24"/>
                <w:szCs w:val="24"/>
              </w:rPr>
            </w:pPr>
            <w:r>
              <w:rPr>
                <w:rFonts w:hint="eastAsia"/>
                <w:color w:val="auto"/>
                <w:sz w:val="24"/>
                <w:szCs w:val="24"/>
              </w:rPr>
              <w:t>采用资格后审，供应商获取竞争性磋商文件或提交响应文件不表明已获取磋商资格，磋商会上通过资格审查的供应商才具有磋商资格。</w:t>
            </w:r>
          </w:p>
        </w:tc>
      </w:tr>
      <w:tr w14:paraId="71B1193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53" w:hRule="atLeast"/>
        </w:trPr>
        <w:tc>
          <w:tcPr>
            <w:tcW w:w="709" w:type="dxa"/>
            <w:tcBorders>
              <w:top w:val="single" w:color="000000" w:sz="4" w:space="0"/>
              <w:bottom w:val="single" w:color="000000" w:sz="4" w:space="0"/>
              <w:right w:val="single" w:color="000000" w:sz="4" w:space="0"/>
            </w:tcBorders>
            <w:vAlign w:val="center"/>
          </w:tcPr>
          <w:p w14:paraId="3AEBD949">
            <w:pPr>
              <w:pStyle w:val="44"/>
              <w:jc w:val="center"/>
              <w:rPr>
                <w:color w:val="auto"/>
                <w:sz w:val="24"/>
                <w:szCs w:val="24"/>
                <w:highlight w:val="none"/>
              </w:rPr>
            </w:pPr>
            <w:r>
              <w:rPr>
                <w:rFonts w:hint="eastAsia"/>
                <w:color w:val="auto"/>
                <w:sz w:val="24"/>
                <w:szCs w:val="24"/>
                <w:highlight w:val="none"/>
              </w:rPr>
              <w:t>6</w:t>
            </w:r>
          </w:p>
        </w:tc>
        <w:tc>
          <w:tcPr>
            <w:tcW w:w="1581" w:type="dxa"/>
            <w:tcBorders>
              <w:top w:val="single" w:color="000000" w:sz="4" w:space="0"/>
              <w:left w:val="single" w:color="000000" w:sz="4" w:space="0"/>
              <w:bottom w:val="single" w:color="000000" w:sz="4" w:space="0"/>
              <w:right w:val="single" w:color="000000" w:sz="4" w:space="0"/>
            </w:tcBorders>
            <w:vAlign w:val="center"/>
          </w:tcPr>
          <w:p w14:paraId="42A5E10C">
            <w:pPr>
              <w:pStyle w:val="44"/>
              <w:jc w:val="center"/>
              <w:rPr>
                <w:color w:val="auto"/>
                <w:sz w:val="24"/>
                <w:szCs w:val="24"/>
                <w:highlight w:val="none"/>
              </w:rPr>
            </w:pPr>
            <w:r>
              <w:rPr>
                <w:rFonts w:hint="eastAsia"/>
                <w:color w:val="auto"/>
                <w:sz w:val="24"/>
                <w:szCs w:val="24"/>
                <w:highlight w:val="none"/>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3349066B">
            <w:pPr>
              <w:numPr>
                <w:ilvl w:val="0"/>
                <w:numId w:val="0"/>
              </w:numPr>
              <w:spacing w:line="240" w:lineRule="auto"/>
              <w:ind w:firstLine="240" w:firstLineChars="100"/>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b/>
                <w:bCs/>
                <w:color w:val="auto"/>
                <w:sz w:val="24"/>
                <w:szCs w:val="24"/>
                <w:highlight w:val="none"/>
                <w:u w:val="single"/>
                <w:lang w:val="en-US" w:eastAsia="zh-CN"/>
              </w:rPr>
              <w:t>非</w:t>
            </w:r>
            <w:r>
              <w:rPr>
                <w:rFonts w:hint="eastAsia" w:ascii="仿宋" w:hAnsi="仿宋" w:eastAsia="仿宋" w:cs="仿宋"/>
                <w:color w:val="auto"/>
                <w:sz w:val="24"/>
                <w:szCs w:val="24"/>
                <w:highlight w:val="none"/>
              </w:rPr>
              <w:t>专门面向中小企业的项目</w:t>
            </w:r>
            <w:r>
              <w:rPr>
                <w:rFonts w:hint="eastAsia" w:ascii="仿宋" w:hAnsi="仿宋" w:eastAsia="仿宋" w:cs="仿宋"/>
                <w:color w:val="auto"/>
                <w:sz w:val="24"/>
                <w:szCs w:val="24"/>
                <w:highlight w:val="none"/>
                <w:lang w:eastAsia="zh-CN"/>
              </w:rPr>
              <w:t>；</w:t>
            </w:r>
          </w:p>
          <w:p w14:paraId="5EA7A65C">
            <w:pPr>
              <w:numPr>
                <w:ilvl w:val="0"/>
                <w:numId w:val="0"/>
              </w:numPr>
              <w:spacing w:line="240" w:lineRule="auto"/>
              <w:ind w:leftChars="0" w:firstLine="240" w:firstLineChars="100"/>
              <w:rPr>
                <w:rFonts w:hint="eastAsia" w:ascii="仿宋" w:hAnsi="仿宋" w:eastAsia="仿宋" w:cs="仿宋"/>
                <w:bCs/>
                <w:snapToGrid w:val="0"/>
                <w:color w:val="auto"/>
                <w:sz w:val="24"/>
                <w:highlight w:val="none"/>
                <w:lang w:val="en-US" w:eastAsia="zh-CN"/>
              </w:rPr>
            </w:pPr>
            <w:r>
              <w:rPr>
                <w:rFonts w:hint="eastAsia" w:cs="仿宋"/>
                <w:bCs/>
                <w:snapToGrid w:val="0"/>
                <w:color w:val="auto"/>
                <w:sz w:val="24"/>
                <w:szCs w:val="24"/>
                <w:highlight w:val="none"/>
                <w:lang w:val="en-US" w:eastAsia="zh-CN"/>
              </w:rPr>
              <w:t>2.</w:t>
            </w:r>
            <w:r>
              <w:rPr>
                <w:rFonts w:hint="eastAsia" w:ascii="仿宋" w:hAnsi="仿宋" w:eastAsia="仿宋" w:cs="仿宋"/>
                <w:bCs/>
                <w:snapToGrid w:val="0"/>
                <w:color w:val="auto"/>
                <w:sz w:val="24"/>
                <w:szCs w:val="24"/>
                <w:highlight w:val="none"/>
              </w:rPr>
              <w:t>对小型和微型企业报价给予</w:t>
            </w:r>
            <w:r>
              <w:rPr>
                <w:rFonts w:hint="eastAsia" w:ascii="仿宋" w:hAnsi="仿宋" w:eastAsia="仿宋" w:cs="仿宋"/>
                <w:b/>
                <w:bCs w:val="0"/>
                <w:snapToGrid w:val="0"/>
                <w:color w:val="auto"/>
                <w:sz w:val="24"/>
                <w:szCs w:val="24"/>
                <w:highlight w:val="none"/>
                <w:u w:val="single"/>
                <w:lang w:val="en-US" w:eastAsia="zh-CN"/>
              </w:rPr>
              <w:t>1</w:t>
            </w:r>
            <w:r>
              <w:rPr>
                <w:rFonts w:hint="eastAsia" w:ascii="仿宋" w:hAnsi="仿宋" w:eastAsia="仿宋" w:cs="仿宋"/>
                <w:b/>
                <w:bCs w:val="0"/>
                <w:snapToGrid w:val="0"/>
                <w:color w:val="auto"/>
                <w:sz w:val="24"/>
                <w:szCs w:val="24"/>
                <w:highlight w:val="none"/>
                <w:u w:val="single"/>
              </w:rPr>
              <w:t>0%</w:t>
            </w:r>
            <w:r>
              <w:rPr>
                <w:rFonts w:hint="eastAsia" w:ascii="仿宋" w:hAnsi="仿宋" w:eastAsia="仿宋" w:cs="仿宋"/>
                <w:bCs/>
                <w:snapToGrid w:val="0"/>
                <w:color w:val="auto"/>
                <w:sz w:val="24"/>
                <w:szCs w:val="24"/>
                <w:highlight w:val="none"/>
              </w:rPr>
              <w:t>的扣除，用扣除后的价格参加评审</w:t>
            </w:r>
            <w:r>
              <w:rPr>
                <w:rFonts w:hint="eastAsia" w:ascii="仿宋" w:hAnsi="仿宋" w:eastAsia="仿宋" w:cs="仿宋"/>
                <w:bCs/>
                <w:snapToGrid w:val="0"/>
                <w:color w:val="auto"/>
                <w:sz w:val="24"/>
                <w:szCs w:val="24"/>
                <w:highlight w:val="none"/>
                <w:lang w:eastAsia="zh-CN"/>
              </w:rPr>
              <w:t>；</w:t>
            </w:r>
          </w:p>
          <w:p w14:paraId="6A079456">
            <w:pPr>
              <w:numPr>
                <w:ilvl w:val="0"/>
                <w:numId w:val="0"/>
              </w:numPr>
              <w:spacing w:line="240" w:lineRule="auto"/>
              <w:ind w:leftChars="0" w:firstLine="240" w:firstLineChars="100"/>
              <w:rPr>
                <w:rFonts w:hint="eastAsia" w:ascii="仿宋" w:hAnsi="仿宋" w:eastAsia="仿宋" w:cs="仿宋"/>
                <w:bCs/>
                <w:snapToGrid w:val="0"/>
                <w:color w:val="auto"/>
                <w:sz w:val="24"/>
                <w:szCs w:val="22"/>
                <w:highlight w:val="none"/>
                <w:lang w:val="en-US" w:eastAsia="zh-CN" w:bidi="zh-CN"/>
              </w:rPr>
            </w:pPr>
            <w:r>
              <w:rPr>
                <w:rFonts w:hint="eastAsia" w:cs="仿宋"/>
                <w:bCs/>
                <w:snapToGrid w:val="0"/>
                <w:color w:val="auto"/>
                <w:sz w:val="24"/>
                <w:szCs w:val="24"/>
                <w:highlight w:val="none"/>
                <w:lang w:val="en-US" w:eastAsia="zh-CN"/>
              </w:rPr>
              <w:t>3.</w:t>
            </w:r>
            <w:r>
              <w:rPr>
                <w:rFonts w:hint="eastAsia" w:ascii="仿宋" w:hAnsi="仿宋" w:eastAsia="仿宋" w:cs="仿宋"/>
                <w:bCs/>
                <w:snapToGrid w:val="0"/>
                <w:color w:val="auto"/>
                <w:sz w:val="24"/>
                <w:szCs w:val="24"/>
                <w:highlight w:val="none"/>
              </w:rPr>
              <w:t>本项目对应的中小企业划分标准所属行业：</w:t>
            </w:r>
            <w:r>
              <w:rPr>
                <w:rFonts w:hint="eastAsia" w:cs="仿宋"/>
                <w:b/>
                <w:bCs w:val="0"/>
                <w:snapToGrid w:val="0"/>
                <w:color w:val="auto"/>
                <w:sz w:val="24"/>
                <w:szCs w:val="24"/>
                <w:highlight w:val="none"/>
                <w:u w:val="single"/>
                <w:lang w:val="en-US" w:eastAsia="zh-CN"/>
              </w:rPr>
              <w:t>其他未列明行业</w:t>
            </w:r>
          </w:p>
        </w:tc>
      </w:tr>
      <w:tr w14:paraId="71C402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6B17CCA0">
            <w:pPr>
              <w:pStyle w:val="44"/>
              <w:jc w:val="center"/>
              <w:rPr>
                <w:color w:val="auto"/>
                <w:sz w:val="24"/>
                <w:szCs w:val="24"/>
              </w:rPr>
            </w:pPr>
            <w:r>
              <w:rPr>
                <w:rFonts w:hint="eastAsia"/>
                <w:color w:val="auto"/>
                <w:sz w:val="24"/>
                <w:szCs w:val="24"/>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3478EDA5">
            <w:pPr>
              <w:pStyle w:val="44"/>
              <w:jc w:val="center"/>
              <w:rPr>
                <w:color w:val="auto"/>
                <w:sz w:val="24"/>
                <w:szCs w:val="24"/>
              </w:rPr>
            </w:pPr>
            <w:r>
              <w:rPr>
                <w:rFonts w:hint="eastAsia"/>
                <w:color w:val="auto"/>
                <w:sz w:val="24"/>
                <w:szCs w:val="24"/>
              </w:rPr>
              <w:t>磋商有效期</w:t>
            </w:r>
          </w:p>
        </w:tc>
        <w:tc>
          <w:tcPr>
            <w:tcW w:w="7226" w:type="dxa"/>
            <w:gridSpan w:val="3"/>
            <w:tcBorders>
              <w:top w:val="single" w:color="000000" w:sz="4" w:space="0"/>
              <w:left w:val="single" w:color="000000" w:sz="4" w:space="0"/>
              <w:bottom w:val="single" w:color="000000" w:sz="4" w:space="0"/>
            </w:tcBorders>
            <w:vAlign w:val="center"/>
          </w:tcPr>
          <w:p w14:paraId="7FA631DC">
            <w:pPr>
              <w:pStyle w:val="44"/>
              <w:spacing w:line="278" w:lineRule="auto"/>
              <w:ind w:left="107" w:right="88"/>
              <w:jc w:val="both"/>
              <w:rPr>
                <w:rFonts w:hint="eastAsia"/>
                <w:color w:val="auto"/>
                <w:sz w:val="24"/>
                <w:szCs w:val="24"/>
              </w:rPr>
            </w:pPr>
            <w:r>
              <w:rPr>
                <w:rFonts w:hint="eastAsia"/>
                <w:color w:val="auto"/>
                <w:sz w:val="24"/>
                <w:szCs w:val="24"/>
              </w:rPr>
              <w:t>提交响应文件的截止之日起 90 天内有效</w:t>
            </w:r>
          </w:p>
        </w:tc>
      </w:tr>
      <w:tr w14:paraId="53A8C6A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1A5CCBCC">
            <w:pPr>
              <w:pStyle w:val="44"/>
              <w:jc w:val="center"/>
              <w:rPr>
                <w:color w:val="auto"/>
                <w:sz w:val="24"/>
                <w:szCs w:val="24"/>
              </w:rPr>
            </w:pPr>
            <w:r>
              <w:rPr>
                <w:rFonts w:hint="eastAsia"/>
                <w:color w:val="auto"/>
                <w:sz w:val="24"/>
                <w:szCs w:val="24"/>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62A11537">
            <w:pPr>
              <w:pStyle w:val="44"/>
              <w:jc w:val="center"/>
              <w:rPr>
                <w:color w:val="auto"/>
                <w:sz w:val="24"/>
                <w:szCs w:val="24"/>
              </w:rPr>
            </w:pPr>
            <w:r>
              <w:rPr>
                <w:rFonts w:hint="eastAsia"/>
                <w:color w:val="auto"/>
                <w:sz w:val="24"/>
                <w:szCs w:val="24"/>
              </w:rPr>
              <w:t>响应文件组成</w:t>
            </w:r>
          </w:p>
        </w:tc>
        <w:tc>
          <w:tcPr>
            <w:tcW w:w="7226" w:type="dxa"/>
            <w:gridSpan w:val="3"/>
            <w:tcBorders>
              <w:top w:val="single" w:color="000000" w:sz="4" w:space="0"/>
              <w:left w:val="single" w:color="000000" w:sz="4" w:space="0"/>
              <w:bottom w:val="single" w:color="000000" w:sz="4" w:space="0"/>
            </w:tcBorders>
            <w:vAlign w:val="center"/>
          </w:tcPr>
          <w:p w14:paraId="641DF812">
            <w:pPr>
              <w:pStyle w:val="44"/>
              <w:spacing w:line="278" w:lineRule="auto"/>
              <w:ind w:right="88" w:firstLine="240" w:firstLineChars="100"/>
              <w:jc w:val="both"/>
              <w:rPr>
                <w:rFonts w:hint="eastAsia"/>
                <w:color w:val="auto"/>
                <w:sz w:val="24"/>
                <w:szCs w:val="24"/>
              </w:rPr>
            </w:pPr>
            <w:r>
              <w:rPr>
                <w:rFonts w:hint="eastAsia"/>
                <w:color w:val="auto"/>
                <w:sz w:val="24"/>
                <w:szCs w:val="24"/>
                <w:lang w:val="en-US" w:eastAsia="zh-CN"/>
              </w:rPr>
              <w:t>1.</w:t>
            </w:r>
            <w:r>
              <w:rPr>
                <w:rFonts w:hint="eastAsia"/>
                <w:color w:val="auto"/>
                <w:sz w:val="24"/>
                <w:szCs w:val="24"/>
              </w:rPr>
              <w:t>“电子加密响应文件”在线上传递交，</w:t>
            </w:r>
            <w:r>
              <w:rPr>
                <w:rFonts w:hint="eastAsia"/>
                <w:color w:val="auto"/>
                <w:sz w:val="24"/>
                <w:szCs w:val="24"/>
                <w:lang w:val="en-US" w:eastAsia="zh-CN"/>
              </w:rPr>
              <w:t xml:space="preserve">1 </w:t>
            </w:r>
            <w:r>
              <w:rPr>
                <w:rFonts w:hint="eastAsia"/>
                <w:color w:val="auto"/>
                <w:sz w:val="24"/>
                <w:szCs w:val="24"/>
              </w:rPr>
              <w:t>份。</w:t>
            </w:r>
          </w:p>
          <w:p w14:paraId="0F5C270E">
            <w:pPr>
              <w:pStyle w:val="44"/>
              <w:spacing w:line="278" w:lineRule="auto"/>
              <w:ind w:right="88" w:firstLine="240" w:firstLineChars="100"/>
              <w:jc w:val="both"/>
              <w:rPr>
                <w:rFonts w:hint="eastAsia"/>
                <w:color w:val="auto"/>
                <w:sz w:val="24"/>
                <w:szCs w:val="24"/>
              </w:rPr>
            </w:pPr>
            <w:r>
              <w:rPr>
                <w:rFonts w:hint="eastAsia"/>
                <w:color w:val="auto"/>
                <w:sz w:val="24"/>
                <w:szCs w:val="24"/>
                <w:lang w:val="en-US" w:eastAsia="zh-CN"/>
              </w:rPr>
              <w:t>2.</w:t>
            </w:r>
            <w:r>
              <w:rPr>
                <w:rFonts w:hint="eastAsia"/>
                <w:color w:val="auto"/>
                <w:sz w:val="24"/>
                <w:szCs w:val="24"/>
              </w:rPr>
              <w:t>以电子邮件提供的备份加密电子响应文件数量 1 份。（自行决定，非必须要求）</w:t>
            </w:r>
          </w:p>
        </w:tc>
      </w:tr>
      <w:tr w14:paraId="11420C6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45544B56">
            <w:pPr>
              <w:pStyle w:val="44"/>
              <w:jc w:val="center"/>
              <w:rPr>
                <w:color w:val="auto"/>
                <w:sz w:val="24"/>
                <w:szCs w:val="24"/>
              </w:rPr>
            </w:pPr>
            <w:r>
              <w:rPr>
                <w:rFonts w:hint="eastAsia"/>
                <w:color w:val="auto"/>
                <w:sz w:val="24"/>
                <w:szCs w:val="24"/>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63C2E653">
            <w:pPr>
              <w:pStyle w:val="44"/>
              <w:jc w:val="center"/>
              <w:rPr>
                <w:color w:val="auto"/>
                <w:sz w:val="24"/>
                <w:szCs w:val="24"/>
              </w:rPr>
            </w:pPr>
            <w:r>
              <w:rPr>
                <w:rFonts w:hint="eastAsia"/>
                <w:color w:val="auto"/>
                <w:sz w:val="24"/>
                <w:szCs w:val="24"/>
              </w:rPr>
              <w:t>磋商文件质疑</w:t>
            </w:r>
          </w:p>
        </w:tc>
        <w:tc>
          <w:tcPr>
            <w:tcW w:w="7226" w:type="dxa"/>
            <w:gridSpan w:val="3"/>
            <w:tcBorders>
              <w:top w:val="single" w:color="000000" w:sz="4" w:space="0"/>
              <w:left w:val="single" w:color="000000" w:sz="4" w:space="0"/>
              <w:bottom w:val="single" w:color="000000" w:sz="4" w:space="0"/>
            </w:tcBorders>
            <w:vAlign w:val="center"/>
          </w:tcPr>
          <w:p w14:paraId="0577C5B5">
            <w:pPr>
              <w:pStyle w:val="44"/>
              <w:spacing w:line="278" w:lineRule="auto"/>
              <w:ind w:right="88" w:firstLine="240" w:firstLineChars="100"/>
              <w:jc w:val="both"/>
              <w:rPr>
                <w:rFonts w:hint="eastAsia"/>
                <w:color w:val="auto"/>
                <w:sz w:val="24"/>
                <w:szCs w:val="24"/>
              </w:rPr>
            </w:pPr>
            <w:r>
              <w:rPr>
                <w:rFonts w:hint="eastAsia"/>
                <w:color w:val="auto"/>
                <w:sz w:val="24"/>
                <w:szCs w:val="24"/>
                <w:lang w:val="en-US" w:eastAsia="zh-CN"/>
              </w:rPr>
              <w:t>1.</w:t>
            </w:r>
            <w:r>
              <w:rPr>
                <w:rFonts w:hint="eastAsia"/>
                <w:color w:val="auto"/>
                <w:sz w:val="24"/>
                <w:szCs w:val="24"/>
              </w:rPr>
              <w:t>只有通过电子交易平台“潜在供应商”栏获取竞争性磋商文件的供应商才能对竞争性磋商文件提出质疑（质疑时间见前附表），否则不予受理。</w:t>
            </w:r>
          </w:p>
          <w:p w14:paraId="0896695A">
            <w:pPr>
              <w:pStyle w:val="44"/>
              <w:spacing w:line="278" w:lineRule="auto"/>
              <w:ind w:right="88" w:firstLine="240" w:firstLineChars="100"/>
              <w:jc w:val="both"/>
              <w:rPr>
                <w:rFonts w:hint="eastAsia"/>
                <w:color w:val="auto"/>
                <w:sz w:val="24"/>
                <w:szCs w:val="24"/>
              </w:rPr>
            </w:pPr>
            <w:r>
              <w:rPr>
                <w:rFonts w:hint="eastAsia"/>
                <w:color w:val="auto"/>
                <w:sz w:val="24"/>
                <w:szCs w:val="24"/>
                <w:lang w:val="en-US" w:eastAsia="zh-CN"/>
              </w:rPr>
              <w:t>2.</w:t>
            </w:r>
            <w:r>
              <w:rPr>
                <w:rFonts w:hint="eastAsia"/>
                <w:color w:val="auto"/>
                <w:sz w:val="24"/>
                <w:szCs w:val="24"/>
              </w:rPr>
              <w:t>质疑期限为自磋商公告期限届满之日（磋商公告届满日为公告发布后的第</w:t>
            </w:r>
            <w:r>
              <w:rPr>
                <w:rFonts w:hint="eastAsia"/>
                <w:color w:val="auto"/>
                <w:sz w:val="24"/>
                <w:szCs w:val="24"/>
                <w:lang w:val="en-US"/>
              </w:rPr>
              <w:t>4</w:t>
            </w:r>
            <w:r>
              <w:rPr>
                <w:rFonts w:hint="eastAsia"/>
                <w:color w:val="auto"/>
                <w:sz w:val="24"/>
                <w:szCs w:val="24"/>
              </w:rPr>
              <w:t>个工作日）起 7 个工作日内，以书面形式向采购人和采购代理机构一次性提出质疑。</w:t>
            </w:r>
          </w:p>
        </w:tc>
      </w:tr>
      <w:tr w14:paraId="61763C4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3EB221B6">
            <w:pPr>
              <w:pStyle w:val="44"/>
              <w:jc w:val="center"/>
              <w:rPr>
                <w:color w:val="auto"/>
                <w:sz w:val="24"/>
                <w:szCs w:val="24"/>
              </w:rPr>
            </w:pPr>
            <w:r>
              <w:rPr>
                <w:rFonts w:hint="eastAsia"/>
                <w:color w:val="auto"/>
                <w:sz w:val="24"/>
                <w:szCs w:val="24"/>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27959A4B">
            <w:pPr>
              <w:pStyle w:val="44"/>
              <w:jc w:val="center"/>
              <w:rPr>
                <w:color w:val="auto"/>
                <w:sz w:val="24"/>
                <w:szCs w:val="24"/>
              </w:rPr>
            </w:pPr>
            <w:r>
              <w:rPr>
                <w:rFonts w:hint="eastAsia"/>
                <w:color w:val="auto"/>
                <w:sz w:val="24"/>
                <w:szCs w:val="24"/>
              </w:rPr>
              <w:t>现场踏勘</w:t>
            </w:r>
          </w:p>
        </w:tc>
        <w:tc>
          <w:tcPr>
            <w:tcW w:w="7226" w:type="dxa"/>
            <w:gridSpan w:val="3"/>
            <w:tcBorders>
              <w:top w:val="single" w:color="000000" w:sz="4" w:space="0"/>
              <w:left w:val="single" w:color="000000" w:sz="4" w:space="0"/>
              <w:bottom w:val="single" w:color="000000" w:sz="4" w:space="0"/>
            </w:tcBorders>
            <w:vAlign w:val="center"/>
          </w:tcPr>
          <w:p w14:paraId="68688A95">
            <w:pPr>
              <w:pStyle w:val="44"/>
              <w:spacing w:line="278" w:lineRule="auto"/>
              <w:ind w:left="107" w:right="88"/>
              <w:jc w:val="both"/>
              <w:rPr>
                <w:rFonts w:hint="eastAsia"/>
                <w:color w:val="auto"/>
                <w:sz w:val="24"/>
                <w:szCs w:val="24"/>
                <w:lang w:val="en-US" w:eastAsia="zh-CN"/>
              </w:rPr>
            </w:pPr>
            <w:r>
              <w:rPr>
                <w:rFonts w:hint="eastAsia"/>
                <w:color w:val="auto"/>
                <w:sz w:val="24"/>
                <w:szCs w:val="24"/>
                <w:lang w:val="en-US" w:eastAsia="zh-CN"/>
              </w:rPr>
              <w:t>不组织。</w:t>
            </w:r>
          </w:p>
        </w:tc>
      </w:tr>
      <w:tr w14:paraId="2D24D21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34ED7338">
            <w:pPr>
              <w:pStyle w:val="44"/>
              <w:jc w:val="center"/>
              <w:rPr>
                <w:color w:val="auto"/>
                <w:sz w:val="24"/>
                <w:szCs w:val="24"/>
              </w:rPr>
            </w:pPr>
            <w:r>
              <w:rPr>
                <w:rFonts w:hint="eastAsia"/>
                <w:color w:val="auto"/>
                <w:sz w:val="24"/>
                <w:szCs w:val="24"/>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7258DACD">
            <w:pPr>
              <w:pStyle w:val="44"/>
              <w:spacing w:line="278" w:lineRule="auto"/>
              <w:jc w:val="center"/>
              <w:rPr>
                <w:color w:val="auto"/>
                <w:sz w:val="24"/>
                <w:szCs w:val="24"/>
              </w:rPr>
            </w:pPr>
            <w:r>
              <w:rPr>
                <w:rFonts w:hint="eastAsia"/>
                <w:color w:val="auto"/>
                <w:sz w:val="24"/>
                <w:szCs w:val="24"/>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3D8B73D4">
            <w:pPr>
              <w:pStyle w:val="44"/>
              <w:spacing w:line="278" w:lineRule="auto"/>
              <w:ind w:left="107" w:right="88"/>
              <w:jc w:val="both"/>
              <w:rPr>
                <w:rFonts w:hint="eastAsia"/>
                <w:color w:val="auto"/>
                <w:sz w:val="24"/>
                <w:szCs w:val="24"/>
                <w:lang w:val="en-US" w:eastAsia="zh-CN"/>
              </w:rPr>
            </w:pPr>
            <w:r>
              <w:rPr>
                <w:rFonts w:hint="eastAsia"/>
                <w:color w:val="auto"/>
                <w:sz w:val="24"/>
                <w:szCs w:val="24"/>
                <w:lang w:val="en-US" w:eastAsia="zh-CN"/>
              </w:rPr>
              <w:t>磋商截止时间 5 天前，发布网址同招标公告发布网址。</w:t>
            </w:r>
          </w:p>
        </w:tc>
      </w:tr>
      <w:tr w14:paraId="078C1B5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1C01B946">
            <w:pPr>
              <w:pStyle w:val="44"/>
              <w:jc w:val="center"/>
              <w:rPr>
                <w:color w:val="auto"/>
                <w:sz w:val="24"/>
                <w:szCs w:val="24"/>
                <w:lang w:val="en-US"/>
              </w:rPr>
            </w:pPr>
            <w:r>
              <w:rPr>
                <w:rFonts w:hint="eastAsia"/>
                <w:color w:val="auto"/>
                <w:sz w:val="24"/>
                <w:szCs w:val="24"/>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05EF3B8B">
            <w:pPr>
              <w:pStyle w:val="44"/>
              <w:spacing w:line="278" w:lineRule="auto"/>
              <w:jc w:val="center"/>
              <w:rPr>
                <w:color w:val="auto"/>
                <w:sz w:val="24"/>
                <w:szCs w:val="24"/>
              </w:rPr>
            </w:pPr>
            <w:r>
              <w:rPr>
                <w:rFonts w:hint="eastAsia"/>
                <w:color w:val="auto"/>
                <w:sz w:val="24"/>
                <w:szCs w:val="24"/>
              </w:rPr>
              <w:t>响应文件提交</w:t>
            </w:r>
          </w:p>
          <w:p w14:paraId="4E35AE28">
            <w:pPr>
              <w:pStyle w:val="44"/>
              <w:spacing w:line="278" w:lineRule="auto"/>
              <w:jc w:val="center"/>
              <w:rPr>
                <w:color w:val="auto"/>
                <w:sz w:val="24"/>
                <w:szCs w:val="24"/>
              </w:rPr>
            </w:pPr>
            <w:r>
              <w:rPr>
                <w:rFonts w:hint="eastAsia"/>
                <w:color w:val="auto"/>
                <w:sz w:val="24"/>
                <w:szCs w:val="24"/>
              </w:rPr>
              <w:t>方式</w:t>
            </w:r>
          </w:p>
        </w:tc>
        <w:tc>
          <w:tcPr>
            <w:tcW w:w="7226" w:type="dxa"/>
            <w:gridSpan w:val="3"/>
            <w:tcBorders>
              <w:top w:val="single" w:color="000000" w:sz="4" w:space="0"/>
              <w:left w:val="single" w:color="000000" w:sz="4" w:space="0"/>
              <w:bottom w:val="single" w:color="000000" w:sz="8" w:space="0"/>
            </w:tcBorders>
            <w:vAlign w:val="center"/>
          </w:tcPr>
          <w:p w14:paraId="0D3EDFB1">
            <w:pPr>
              <w:pStyle w:val="44"/>
              <w:spacing w:line="278" w:lineRule="auto"/>
              <w:ind w:right="88" w:firstLine="240" w:firstLineChars="100"/>
              <w:jc w:val="both"/>
              <w:rPr>
                <w:rFonts w:hint="eastAsia"/>
                <w:color w:val="auto"/>
                <w:sz w:val="24"/>
                <w:szCs w:val="24"/>
                <w:lang w:val="en-US" w:eastAsia="zh-CN"/>
              </w:rPr>
            </w:pPr>
            <w:r>
              <w:rPr>
                <w:rFonts w:hint="eastAsia"/>
                <w:color w:val="auto"/>
                <w:sz w:val="24"/>
                <w:szCs w:val="24"/>
                <w:lang w:val="en-US" w:eastAsia="zh-CN"/>
              </w:rPr>
              <w:t>1.本项目实行电子招投标。供应商须在磋商截止时间前，前往“政采云平台”（</w:t>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"http://www.zcygov.cn/" \h </w:instrText>
            </w:r>
            <w:r>
              <w:rPr>
                <w:rFonts w:hint="eastAsia"/>
                <w:color w:val="auto"/>
                <w:sz w:val="24"/>
                <w:szCs w:val="24"/>
                <w:lang w:val="en-US" w:eastAsia="zh-CN"/>
              </w:rPr>
              <w:fldChar w:fldCharType="separate"/>
            </w:r>
            <w:r>
              <w:rPr>
                <w:rFonts w:hint="eastAsia"/>
                <w:color w:val="auto"/>
                <w:sz w:val="24"/>
                <w:szCs w:val="24"/>
                <w:lang w:val="en-US" w:eastAsia="zh-CN"/>
              </w:rPr>
              <w:t>www.zcygov.cn</w:t>
            </w:r>
            <w:r>
              <w:rPr>
                <w:rFonts w:hint="eastAsia"/>
                <w:color w:val="auto"/>
                <w:sz w:val="24"/>
                <w:szCs w:val="24"/>
                <w:lang w:val="en-US" w:eastAsia="zh-CN"/>
              </w:rPr>
              <w:fldChar w:fldCharType="end"/>
            </w:r>
            <w:r>
              <w:rPr>
                <w:rFonts w:hint="eastAsia"/>
                <w:color w:val="auto"/>
                <w:sz w:val="24"/>
                <w:szCs w:val="24"/>
                <w:lang w:val="en-US" w:eastAsia="zh-CN"/>
              </w:rPr>
              <w:t>）上传“电子加密响应文件”，无需到达现场提交响应文件。</w:t>
            </w:r>
          </w:p>
          <w:p w14:paraId="16254BE3">
            <w:pPr>
              <w:pStyle w:val="44"/>
              <w:spacing w:line="278" w:lineRule="auto"/>
              <w:ind w:right="88" w:firstLine="240" w:firstLineChars="100"/>
              <w:jc w:val="both"/>
              <w:rPr>
                <w:rFonts w:hint="eastAsia"/>
                <w:color w:val="auto"/>
                <w:sz w:val="24"/>
                <w:szCs w:val="24"/>
                <w:lang w:val="en-US" w:eastAsia="zh-CN"/>
              </w:rPr>
            </w:pPr>
            <w:r>
              <w:rPr>
                <w:rFonts w:hint="eastAsia"/>
                <w:color w:val="auto"/>
                <w:sz w:val="24"/>
                <w:szCs w:val="24"/>
                <w:lang w:val="en-US" w:eastAsia="zh-CN"/>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302B1789">
      <w:pPr>
        <w:pStyle w:val="2"/>
        <w:spacing w:before="9"/>
        <w:rPr>
          <w:color w:val="auto"/>
          <w:sz w:val="3"/>
        </w:rPr>
      </w:pPr>
    </w:p>
    <w:tbl>
      <w:tblPr>
        <w:tblStyle w:val="30"/>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7A982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4" w:hRule="atLeast"/>
        </w:trPr>
        <w:tc>
          <w:tcPr>
            <w:tcW w:w="700" w:type="dxa"/>
            <w:tcBorders>
              <w:left w:val="double" w:color="000000" w:sz="0" w:space="0"/>
              <w:bottom w:val="single" w:color="000000" w:sz="4" w:space="0"/>
              <w:right w:val="single" w:color="000000" w:sz="4" w:space="0"/>
            </w:tcBorders>
            <w:vAlign w:val="center"/>
          </w:tcPr>
          <w:p w14:paraId="22307F67">
            <w:pPr>
              <w:pStyle w:val="44"/>
              <w:ind w:left="167" w:right="167"/>
              <w:jc w:val="center"/>
              <w:rPr>
                <w:color w:val="auto"/>
                <w:sz w:val="24"/>
                <w:szCs w:val="24"/>
              </w:rPr>
            </w:pPr>
            <w:r>
              <w:rPr>
                <w:rFonts w:hint="eastAsia"/>
                <w:color w:val="auto"/>
                <w:sz w:val="24"/>
                <w:szCs w:val="24"/>
              </w:rPr>
              <w:t>13</w:t>
            </w:r>
          </w:p>
        </w:tc>
        <w:tc>
          <w:tcPr>
            <w:tcW w:w="1567" w:type="dxa"/>
            <w:tcBorders>
              <w:left w:val="single" w:color="000000" w:sz="4" w:space="0"/>
              <w:bottom w:val="single" w:color="000000" w:sz="4" w:space="0"/>
              <w:right w:val="single" w:color="000000" w:sz="4" w:space="0"/>
            </w:tcBorders>
            <w:vAlign w:val="center"/>
          </w:tcPr>
          <w:p w14:paraId="45032A6A">
            <w:pPr>
              <w:pStyle w:val="44"/>
              <w:spacing w:line="278" w:lineRule="auto"/>
              <w:ind w:left="117" w:right="105"/>
              <w:jc w:val="center"/>
              <w:rPr>
                <w:color w:val="auto"/>
                <w:sz w:val="24"/>
                <w:szCs w:val="24"/>
              </w:rPr>
            </w:pPr>
            <w:r>
              <w:rPr>
                <w:rFonts w:hint="eastAsia"/>
                <w:color w:val="auto"/>
                <w:sz w:val="24"/>
                <w:szCs w:val="24"/>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144A3C29">
            <w:pPr>
              <w:pStyle w:val="44"/>
              <w:spacing w:before="114" w:line="278" w:lineRule="auto"/>
              <w:ind w:left="107" w:right="86" w:firstLine="240" w:firstLineChars="100"/>
              <w:jc w:val="both"/>
              <w:rPr>
                <w:color w:val="auto"/>
                <w:sz w:val="24"/>
                <w:szCs w:val="24"/>
              </w:rPr>
            </w:pPr>
            <w:r>
              <w:rPr>
                <w:rFonts w:hint="eastAsia"/>
                <w:color w:val="auto"/>
                <w:sz w:val="24"/>
                <w:szCs w:val="24"/>
                <w:lang w:val="en-US" w:eastAsia="zh-CN"/>
              </w:rPr>
              <w:t>1.</w:t>
            </w:r>
            <w:r>
              <w:rPr>
                <w:rFonts w:hint="eastAsia"/>
                <w:color w:val="auto"/>
                <w:sz w:val="24"/>
                <w:szCs w:val="24"/>
              </w:rPr>
              <w:t>磋商后，采购组织机构将向各供应商发出“电子加密响应文件”的解密通知，各供应商代表应当在接到解密通知后 30 分钟内自行完成“电子加密响应文件”的在线解密。</w:t>
            </w:r>
          </w:p>
          <w:p w14:paraId="2EB5CCCF">
            <w:pPr>
              <w:pStyle w:val="44"/>
              <w:spacing w:line="278" w:lineRule="auto"/>
              <w:ind w:left="107" w:right="76" w:firstLine="240" w:firstLineChars="100"/>
              <w:jc w:val="both"/>
              <w:rPr>
                <w:color w:val="auto"/>
                <w:sz w:val="24"/>
                <w:szCs w:val="24"/>
              </w:rPr>
            </w:pPr>
            <w:r>
              <w:rPr>
                <w:rFonts w:hint="eastAsia"/>
                <w:color w:val="auto"/>
                <w:sz w:val="24"/>
                <w:szCs w:val="24"/>
                <w:lang w:val="en-US" w:eastAsia="zh-CN"/>
              </w:rPr>
              <w:t>2.</w:t>
            </w:r>
            <w:r>
              <w:rPr>
                <w:rFonts w:hint="eastAsia"/>
                <w:color w:val="auto"/>
                <w:sz w:val="24"/>
                <w:szCs w:val="24"/>
              </w:rPr>
              <w:t>备份响应文件在“电子加密响应文件”在线解密失败后启用，否则不予以启用；供应商确认“电子加密响应文件”在线解密失败后，将打包压缩加密的备份响应文件的解密密码在解密规定的时间（磋商截止时间后</w:t>
            </w:r>
            <w:r>
              <w:rPr>
                <w:rFonts w:hint="eastAsia"/>
                <w:color w:val="auto"/>
                <w:sz w:val="24"/>
                <w:szCs w:val="24"/>
                <w:lang w:val="en-US" w:eastAsia="zh-CN"/>
              </w:rPr>
              <w:t>30</w:t>
            </w:r>
            <w:r>
              <w:rPr>
                <w:rFonts w:hint="eastAsia"/>
                <w:color w:val="auto"/>
                <w:sz w:val="24"/>
                <w:szCs w:val="24"/>
              </w:rPr>
              <w:t xml:space="preserve">分钟内）发送至邮箱 </w:t>
            </w:r>
            <w:r>
              <w:rPr>
                <w:rFonts w:hint="eastAsia"/>
                <w:b/>
                <w:color w:val="auto"/>
                <w:sz w:val="24"/>
                <w:szCs w:val="24"/>
                <w:u w:val="none"/>
                <w:lang w:val="en-US" w:eastAsia="zh-CN"/>
              </w:rPr>
              <w:t>779740329</w:t>
            </w:r>
            <w:r>
              <w:rPr>
                <w:rFonts w:hint="eastAsia"/>
                <w:b/>
                <w:color w:val="auto"/>
                <w:sz w:val="24"/>
                <w:szCs w:val="24"/>
                <w:u w:val="none"/>
              </w:rPr>
              <w:t>@qq.com</w:t>
            </w:r>
            <w:r>
              <w:rPr>
                <w:rFonts w:hint="eastAsia"/>
                <w:color w:val="auto"/>
                <w:sz w:val="24"/>
                <w:szCs w:val="24"/>
              </w:rPr>
              <w:t>内，未在规定时间内发送造成的磋商无效或失败由供应商自行</w:t>
            </w:r>
            <w:r>
              <w:rPr>
                <w:rFonts w:hint="eastAsia"/>
                <w:color w:val="auto"/>
                <w:sz w:val="24"/>
                <w:szCs w:val="24"/>
                <w:lang w:eastAsia="zh-CN"/>
              </w:rPr>
              <w:t>承担</w:t>
            </w:r>
            <w:r>
              <w:rPr>
                <w:rFonts w:hint="eastAsia"/>
                <w:color w:val="auto"/>
                <w:sz w:val="24"/>
                <w:szCs w:val="24"/>
              </w:rPr>
              <w:t>后果。</w:t>
            </w:r>
          </w:p>
        </w:tc>
      </w:tr>
      <w:tr w14:paraId="498AD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6"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B53000E">
            <w:pPr>
              <w:pStyle w:val="44"/>
              <w:ind w:left="167" w:right="167"/>
              <w:jc w:val="center"/>
              <w:rPr>
                <w:color w:val="auto"/>
                <w:sz w:val="24"/>
                <w:szCs w:val="24"/>
              </w:rPr>
            </w:pPr>
            <w:r>
              <w:rPr>
                <w:rFonts w:hint="eastAsia"/>
                <w:color w:val="auto"/>
                <w:sz w:val="24"/>
                <w:szCs w:val="24"/>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1C2B71F7">
            <w:pPr>
              <w:pStyle w:val="44"/>
              <w:spacing w:line="278" w:lineRule="auto"/>
              <w:ind w:left="117" w:right="105"/>
              <w:jc w:val="center"/>
              <w:rPr>
                <w:color w:val="auto"/>
                <w:sz w:val="24"/>
                <w:szCs w:val="24"/>
              </w:rPr>
            </w:pPr>
            <w:r>
              <w:rPr>
                <w:rFonts w:hint="eastAsia"/>
                <w:color w:val="auto"/>
                <w:sz w:val="24"/>
                <w:szCs w:val="24"/>
              </w:rPr>
              <w:t>磋商时间及</w:t>
            </w:r>
          </w:p>
          <w:p w14:paraId="18F19618">
            <w:pPr>
              <w:pStyle w:val="44"/>
              <w:spacing w:line="278" w:lineRule="auto"/>
              <w:ind w:left="117" w:right="105"/>
              <w:jc w:val="center"/>
              <w:rPr>
                <w:color w:val="auto"/>
                <w:sz w:val="24"/>
                <w:szCs w:val="24"/>
              </w:rPr>
            </w:pPr>
            <w:r>
              <w:rPr>
                <w:rFonts w:hint="eastAsia"/>
                <w:color w:val="auto"/>
                <w:sz w:val="24"/>
                <w:szCs w:val="24"/>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6F3932AD">
            <w:pPr>
              <w:pStyle w:val="44"/>
              <w:spacing w:before="118"/>
              <w:ind w:left="107"/>
              <w:rPr>
                <w:b/>
                <w:color w:val="auto"/>
                <w:sz w:val="24"/>
                <w:szCs w:val="24"/>
              </w:rPr>
            </w:pPr>
            <w:r>
              <w:rPr>
                <w:rFonts w:hint="eastAsia"/>
                <w:b/>
                <w:color w:val="auto"/>
                <w:sz w:val="24"/>
                <w:szCs w:val="24"/>
                <w:u w:val="single"/>
              </w:rPr>
              <w:t>时间：</w:t>
            </w:r>
            <w:r>
              <w:rPr>
                <w:rFonts w:hint="eastAsia"/>
                <w:b/>
                <w:color w:val="auto"/>
                <w:sz w:val="24"/>
                <w:szCs w:val="24"/>
                <w:u w:val="single"/>
                <w:lang w:val="en-US" w:eastAsia="zh-CN"/>
              </w:rPr>
              <w:t>2025年7月21日09时00分</w:t>
            </w:r>
            <w:r>
              <w:rPr>
                <w:rFonts w:hint="eastAsia"/>
                <w:b/>
                <w:color w:val="auto"/>
                <w:sz w:val="24"/>
                <w:szCs w:val="24"/>
                <w:u w:val="single"/>
              </w:rPr>
              <w:t>开始</w:t>
            </w:r>
          </w:p>
          <w:p w14:paraId="5573A575">
            <w:pPr>
              <w:pStyle w:val="44"/>
              <w:spacing w:before="43" w:line="278" w:lineRule="auto"/>
              <w:ind w:left="107" w:right="27"/>
              <w:rPr>
                <w:rFonts w:hint="eastAsia" w:eastAsia="仿宋"/>
                <w:color w:val="auto"/>
                <w:sz w:val="24"/>
                <w:szCs w:val="24"/>
                <w:lang w:val="en-US" w:eastAsia="zh-CN"/>
              </w:rPr>
            </w:pPr>
            <w:r>
              <w:rPr>
                <w:rFonts w:hint="eastAsia"/>
                <w:color w:val="auto"/>
                <w:sz w:val="24"/>
                <w:szCs w:val="24"/>
              </w:rPr>
              <w:t>地点：浙江政府采购网—用户入驻/登录—用户登录—项目采购—开标评标—进入开标大厅</w:t>
            </w:r>
            <w:r>
              <w:rPr>
                <w:rFonts w:hint="eastAsia"/>
                <w:color w:val="auto"/>
                <w:sz w:val="24"/>
                <w:szCs w:val="24"/>
                <w:lang w:eastAsia="zh-CN"/>
              </w:rPr>
              <w:t>，</w:t>
            </w:r>
            <w:r>
              <w:rPr>
                <w:rFonts w:hint="eastAsia" w:ascii="仿宋" w:hAnsi="仿宋" w:eastAsia="仿宋" w:cs="仿宋"/>
                <w:color w:val="auto"/>
                <w:sz w:val="24"/>
                <w:szCs w:val="24"/>
                <w:highlight w:val="none"/>
                <w:lang w:eastAsia="zh-CN"/>
              </w:rPr>
              <w:t>遂昌县公共资源交易中心（遂昌县妙高街道君子路357号1号楼5楼开标室）</w:t>
            </w:r>
          </w:p>
        </w:tc>
      </w:tr>
      <w:tr w14:paraId="4028F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3D395154">
            <w:pPr>
              <w:pStyle w:val="44"/>
              <w:ind w:left="167" w:right="167"/>
              <w:jc w:val="center"/>
              <w:rPr>
                <w:color w:val="auto"/>
                <w:sz w:val="24"/>
                <w:szCs w:val="24"/>
              </w:rPr>
            </w:pPr>
            <w:r>
              <w:rPr>
                <w:rFonts w:hint="eastAsia"/>
                <w:color w:val="auto"/>
                <w:sz w:val="24"/>
                <w:szCs w:val="24"/>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0C9E6A77">
            <w:pPr>
              <w:pStyle w:val="44"/>
              <w:spacing w:line="278" w:lineRule="auto"/>
              <w:ind w:left="117" w:right="105"/>
              <w:jc w:val="center"/>
              <w:rPr>
                <w:rFonts w:hint="eastAsia" w:eastAsia="仿宋"/>
                <w:color w:val="auto"/>
                <w:sz w:val="24"/>
                <w:szCs w:val="24"/>
                <w:lang w:eastAsia="zh-CN"/>
              </w:rPr>
            </w:pPr>
            <w:r>
              <w:rPr>
                <w:rFonts w:hint="eastAsia"/>
                <w:color w:val="auto"/>
                <w:sz w:val="24"/>
                <w:szCs w:val="24"/>
              </w:rPr>
              <w:t>成交结果公告及</w:t>
            </w:r>
            <w:r>
              <w:rPr>
                <w:rFonts w:hint="eastAsia"/>
                <w:color w:val="auto"/>
                <w:sz w:val="24"/>
                <w:szCs w:val="24"/>
                <w:lang w:eastAsia="zh-CN"/>
              </w:rPr>
              <w:t>中标（成交）通知书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70FD5E92">
            <w:pPr>
              <w:pStyle w:val="44"/>
              <w:spacing w:line="278" w:lineRule="auto"/>
              <w:ind w:left="107" w:right="88"/>
              <w:jc w:val="both"/>
              <w:rPr>
                <w:color w:val="auto"/>
                <w:sz w:val="24"/>
                <w:szCs w:val="24"/>
              </w:rPr>
            </w:pPr>
            <w:r>
              <w:rPr>
                <w:rFonts w:hint="eastAsia"/>
                <w:color w:val="auto"/>
                <w:sz w:val="24"/>
                <w:szCs w:val="24"/>
              </w:rPr>
              <w:t xml:space="preserve">评标报告经采购人确认后2 个工作日内，成交公告在丽水市公共资源交易网 </w:t>
            </w:r>
            <w:r>
              <w:rPr>
                <w:rFonts w:hint="eastAsia"/>
                <w:color w:val="auto"/>
                <w:sz w:val="24"/>
                <w:szCs w:val="24"/>
                <w:u w:val="none"/>
              </w:rPr>
              <w:t xml:space="preserve">http://lssggzy.lishui.gov.cn/ </w:t>
            </w:r>
            <w:r>
              <w:rPr>
                <w:rFonts w:hint="eastAsia"/>
                <w:color w:val="auto"/>
                <w:sz w:val="24"/>
                <w:szCs w:val="24"/>
              </w:rPr>
              <w:t>和浙江省政府采购网</w:t>
            </w:r>
            <w:r>
              <w:rPr>
                <w:rFonts w:hint="eastAsia"/>
                <w:color w:val="auto"/>
              </w:rPr>
              <w:t>https://zfcg.czt.zj.gov.cn/</w:t>
            </w:r>
            <w:r>
              <w:rPr>
                <w:rFonts w:hint="eastAsia"/>
                <w:color w:val="auto"/>
                <w:sz w:val="24"/>
                <w:szCs w:val="24"/>
              </w:rPr>
              <w:t>上发布，并发出</w:t>
            </w:r>
            <w:r>
              <w:rPr>
                <w:rFonts w:hint="eastAsia"/>
                <w:color w:val="auto"/>
                <w:sz w:val="24"/>
                <w:szCs w:val="24"/>
                <w:lang w:eastAsia="zh-CN"/>
              </w:rPr>
              <w:t>中标（成交）通知书</w:t>
            </w:r>
            <w:r>
              <w:rPr>
                <w:rFonts w:hint="eastAsia"/>
                <w:color w:val="auto"/>
                <w:sz w:val="24"/>
                <w:szCs w:val="24"/>
              </w:rPr>
              <w:t>。</w:t>
            </w:r>
          </w:p>
        </w:tc>
      </w:tr>
      <w:tr w14:paraId="6AA93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60408D45">
            <w:pPr>
              <w:pStyle w:val="44"/>
              <w:spacing w:before="1"/>
              <w:ind w:left="167" w:right="167"/>
              <w:jc w:val="center"/>
              <w:rPr>
                <w:color w:val="auto"/>
                <w:sz w:val="24"/>
                <w:szCs w:val="24"/>
              </w:rPr>
            </w:pPr>
            <w:r>
              <w:rPr>
                <w:rFonts w:hint="eastAsia"/>
                <w:color w:val="auto"/>
                <w:sz w:val="24"/>
                <w:szCs w:val="24"/>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0FD40735">
            <w:pPr>
              <w:pStyle w:val="44"/>
              <w:spacing w:line="278" w:lineRule="auto"/>
              <w:ind w:left="117" w:right="105"/>
              <w:jc w:val="center"/>
              <w:rPr>
                <w:color w:val="auto"/>
                <w:sz w:val="24"/>
                <w:szCs w:val="24"/>
              </w:rPr>
            </w:pPr>
            <w:r>
              <w:rPr>
                <w:rFonts w:hint="eastAsia"/>
                <w:color w:val="auto"/>
                <w:sz w:val="24"/>
                <w:szCs w:val="24"/>
              </w:rPr>
              <w:t>评标办法和</w:t>
            </w:r>
          </w:p>
          <w:p w14:paraId="51D7410B">
            <w:pPr>
              <w:pStyle w:val="44"/>
              <w:spacing w:line="278" w:lineRule="auto"/>
              <w:ind w:left="117" w:right="105"/>
              <w:jc w:val="center"/>
              <w:rPr>
                <w:color w:val="auto"/>
                <w:sz w:val="24"/>
                <w:szCs w:val="24"/>
              </w:rPr>
            </w:pPr>
            <w:r>
              <w:rPr>
                <w:rFonts w:hint="eastAsia"/>
                <w:color w:val="auto"/>
                <w:sz w:val="24"/>
                <w:szCs w:val="24"/>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759ECAE1">
            <w:pPr>
              <w:pStyle w:val="44"/>
              <w:ind w:left="107"/>
              <w:rPr>
                <w:color w:val="auto"/>
                <w:sz w:val="24"/>
                <w:szCs w:val="24"/>
              </w:rPr>
            </w:pPr>
            <w:r>
              <w:rPr>
                <w:rFonts w:hint="eastAsia"/>
                <w:color w:val="auto"/>
                <w:sz w:val="24"/>
                <w:szCs w:val="24"/>
              </w:rPr>
              <w:t>见本磋商文件第六章</w:t>
            </w:r>
          </w:p>
        </w:tc>
      </w:tr>
      <w:tr w14:paraId="414E8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470DA27">
            <w:pPr>
              <w:pStyle w:val="44"/>
              <w:ind w:left="167" w:right="167"/>
              <w:jc w:val="center"/>
              <w:rPr>
                <w:color w:val="auto"/>
                <w:sz w:val="24"/>
                <w:szCs w:val="24"/>
              </w:rPr>
            </w:pPr>
            <w:r>
              <w:rPr>
                <w:rFonts w:hint="eastAsia"/>
                <w:color w:val="auto"/>
                <w:sz w:val="24"/>
                <w:szCs w:val="24"/>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4C96D8AE">
            <w:pPr>
              <w:pStyle w:val="44"/>
              <w:spacing w:line="278" w:lineRule="auto"/>
              <w:ind w:left="117" w:right="105"/>
              <w:jc w:val="center"/>
              <w:rPr>
                <w:color w:val="auto"/>
                <w:sz w:val="24"/>
                <w:szCs w:val="24"/>
              </w:rPr>
            </w:pPr>
            <w:r>
              <w:rPr>
                <w:rFonts w:hint="eastAsia"/>
                <w:color w:val="auto"/>
                <w:sz w:val="24"/>
                <w:szCs w:val="24"/>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5BC1222A">
            <w:pPr>
              <w:pStyle w:val="44"/>
              <w:spacing w:before="1"/>
              <w:ind w:left="107"/>
              <w:rPr>
                <w:color w:val="auto"/>
                <w:sz w:val="24"/>
                <w:szCs w:val="24"/>
              </w:rPr>
            </w:pPr>
            <w:r>
              <w:rPr>
                <w:rFonts w:hint="eastAsia"/>
                <w:color w:val="auto"/>
                <w:sz w:val="24"/>
                <w:szCs w:val="24"/>
                <w:lang w:eastAsia="zh-CN"/>
              </w:rPr>
              <w:t>中标（成交）通知书</w:t>
            </w:r>
            <w:r>
              <w:rPr>
                <w:rFonts w:hint="eastAsia"/>
                <w:color w:val="auto"/>
                <w:sz w:val="24"/>
                <w:szCs w:val="24"/>
              </w:rPr>
              <w:t>发出之日起 30 日内，按照采购文件确定的事项签订政府采购合同</w:t>
            </w:r>
          </w:p>
        </w:tc>
      </w:tr>
      <w:tr w14:paraId="74633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725492B5">
            <w:pPr>
              <w:pStyle w:val="44"/>
              <w:ind w:left="167" w:right="167"/>
              <w:jc w:val="center"/>
              <w:rPr>
                <w:color w:val="auto"/>
                <w:sz w:val="24"/>
                <w:szCs w:val="24"/>
              </w:rPr>
            </w:pPr>
            <w:r>
              <w:rPr>
                <w:rFonts w:hint="eastAsia"/>
                <w:color w:val="auto"/>
                <w:sz w:val="24"/>
                <w:szCs w:val="24"/>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47B72BA5">
            <w:pPr>
              <w:pStyle w:val="44"/>
              <w:spacing w:line="278" w:lineRule="auto"/>
              <w:ind w:left="117" w:right="105"/>
              <w:jc w:val="center"/>
              <w:rPr>
                <w:color w:val="auto"/>
                <w:sz w:val="24"/>
                <w:szCs w:val="24"/>
              </w:rPr>
            </w:pPr>
            <w:r>
              <w:rPr>
                <w:rFonts w:hint="eastAsia"/>
                <w:color w:val="auto"/>
                <w:sz w:val="24"/>
                <w:szCs w:val="24"/>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128B2124">
            <w:pPr>
              <w:pStyle w:val="44"/>
              <w:spacing w:before="20" w:line="279" w:lineRule="auto"/>
              <w:ind w:left="108"/>
              <w:rPr>
                <w:color w:val="auto"/>
                <w:sz w:val="24"/>
                <w:szCs w:val="24"/>
              </w:rPr>
            </w:pPr>
            <w:r>
              <w:rPr>
                <w:rFonts w:hint="eastAsia"/>
                <w:color w:val="auto"/>
                <w:sz w:val="24"/>
                <w:szCs w:val="24"/>
              </w:rPr>
              <w:t>丽水市公共资源交易网</w:t>
            </w:r>
            <w:r>
              <w:rPr>
                <w:rFonts w:hint="eastAsia"/>
                <w:color w:val="auto"/>
                <w:sz w:val="24"/>
                <w:szCs w:val="24"/>
                <w:u w:val="single"/>
              </w:rPr>
              <w:t>http://lssggzy.lishui.gov.cn/</w:t>
            </w:r>
            <w:r>
              <w:rPr>
                <w:rFonts w:hint="eastAsia"/>
                <w:color w:val="auto"/>
                <w:sz w:val="24"/>
                <w:szCs w:val="24"/>
              </w:rPr>
              <w:t xml:space="preserve">； </w:t>
            </w:r>
          </w:p>
          <w:p w14:paraId="763E7435">
            <w:pPr>
              <w:pStyle w:val="44"/>
              <w:spacing w:before="20" w:line="279" w:lineRule="auto"/>
              <w:ind w:left="108"/>
              <w:rPr>
                <w:color w:val="auto"/>
                <w:sz w:val="24"/>
                <w:szCs w:val="24"/>
              </w:rPr>
            </w:pPr>
            <w:r>
              <w:rPr>
                <w:rFonts w:hint="eastAsia"/>
                <w:color w:val="auto"/>
                <w:sz w:val="24"/>
                <w:szCs w:val="24"/>
              </w:rPr>
              <w:t xml:space="preserve">浙江省政府采购网 </w:t>
            </w:r>
            <w:r>
              <w:rPr>
                <w:rFonts w:hint="eastAsia"/>
                <w:color w:val="auto"/>
                <w:sz w:val="24"/>
                <w:szCs w:val="24"/>
                <w:u w:val="single"/>
              </w:rPr>
              <w:t>https://zfcg.czt.zj.gov.cn/</w:t>
            </w:r>
            <w:r>
              <w:rPr>
                <w:rFonts w:hint="eastAsia"/>
                <w:color w:val="auto"/>
                <w:sz w:val="24"/>
                <w:szCs w:val="24"/>
              </w:rPr>
              <w:t>。</w:t>
            </w:r>
          </w:p>
        </w:tc>
      </w:tr>
      <w:tr w14:paraId="331A2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6DC7934">
            <w:pPr>
              <w:pStyle w:val="44"/>
              <w:spacing w:before="173"/>
              <w:ind w:left="167" w:right="167"/>
              <w:jc w:val="center"/>
              <w:rPr>
                <w:color w:val="auto"/>
                <w:sz w:val="24"/>
                <w:szCs w:val="24"/>
              </w:rPr>
            </w:pPr>
            <w:r>
              <w:rPr>
                <w:rFonts w:hint="eastAsia"/>
                <w:color w:val="auto"/>
                <w:sz w:val="24"/>
                <w:szCs w:val="24"/>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14E858EB">
            <w:pPr>
              <w:pStyle w:val="44"/>
              <w:ind w:left="114" w:right="105"/>
              <w:jc w:val="center"/>
              <w:rPr>
                <w:color w:val="auto"/>
                <w:sz w:val="24"/>
                <w:szCs w:val="24"/>
              </w:rPr>
            </w:pPr>
            <w:r>
              <w:rPr>
                <w:rFonts w:hint="eastAsia"/>
                <w:color w:val="auto"/>
                <w:sz w:val="24"/>
                <w:szCs w:val="24"/>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28C67A63">
            <w:pPr>
              <w:pStyle w:val="44"/>
              <w:ind w:left="107"/>
              <w:rPr>
                <w:color w:val="auto"/>
                <w:sz w:val="24"/>
                <w:szCs w:val="24"/>
              </w:rPr>
            </w:pPr>
            <w:r>
              <w:rPr>
                <w:rFonts w:hint="eastAsia"/>
                <w:color w:val="auto"/>
                <w:sz w:val="24"/>
                <w:szCs w:val="24"/>
              </w:rPr>
              <w:t>本项目采购文件的解释权属于浙江至诚工程咨询有限责任公司</w:t>
            </w:r>
          </w:p>
        </w:tc>
      </w:tr>
      <w:tr w14:paraId="4A472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684BA3D4">
            <w:pPr>
              <w:pStyle w:val="44"/>
              <w:ind w:left="167" w:right="167"/>
              <w:jc w:val="center"/>
              <w:rPr>
                <w:color w:val="auto"/>
                <w:sz w:val="24"/>
                <w:szCs w:val="24"/>
              </w:rPr>
            </w:pPr>
            <w:r>
              <w:rPr>
                <w:rFonts w:hint="eastAsia"/>
                <w:color w:val="auto"/>
                <w:sz w:val="24"/>
                <w:szCs w:val="24"/>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1B9471E4">
            <w:pPr>
              <w:pStyle w:val="44"/>
              <w:spacing w:before="173"/>
              <w:ind w:left="114" w:right="105"/>
              <w:jc w:val="center"/>
              <w:rPr>
                <w:color w:val="auto"/>
                <w:sz w:val="24"/>
                <w:szCs w:val="24"/>
              </w:rPr>
            </w:pPr>
            <w:r>
              <w:rPr>
                <w:rFonts w:hint="eastAsia"/>
                <w:color w:val="auto"/>
                <w:sz w:val="24"/>
                <w:szCs w:val="24"/>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6CBAB3F1">
            <w:pPr>
              <w:pStyle w:val="44"/>
              <w:spacing w:before="173"/>
              <w:ind w:left="107"/>
              <w:rPr>
                <w:color w:val="auto"/>
                <w:sz w:val="24"/>
                <w:szCs w:val="24"/>
              </w:rPr>
            </w:pPr>
            <w:r>
              <w:rPr>
                <w:rFonts w:hint="eastAsia"/>
                <w:color w:val="auto"/>
                <w:sz w:val="24"/>
                <w:szCs w:val="24"/>
              </w:rPr>
              <w:t>本项目招标代理服务费由</w:t>
            </w:r>
            <w:r>
              <w:rPr>
                <w:rFonts w:hint="eastAsia"/>
                <w:color w:val="auto"/>
                <w:sz w:val="24"/>
                <w:szCs w:val="24"/>
                <w:lang w:eastAsia="zh-CN"/>
              </w:rPr>
              <w:t>中标供应商</w:t>
            </w:r>
            <w:r>
              <w:rPr>
                <w:rFonts w:hint="eastAsia"/>
                <w:color w:val="auto"/>
                <w:sz w:val="24"/>
                <w:szCs w:val="24"/>
              </w:rPr>
              <w:t>支付。</w:t>
            </w:r>
          </w:p>
        </w:tc>
      </w:tr>
      <w:tr w14:paraId="512B6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36CC4478">
            <w:pPr>
              <w:pStyle w:val="44"/>
              <w:ind w:left="167" w:right="167"/>
              <w:jc w:val="center"/>
              <w:rPr>
                <w:color w:val="auto"/>
                <w:sz w:val="24"/>
                <w:szCs w:val="24"/>
                <w:lang w:val="en-US"/>
              </w:rPr>
            </w:pPr>
            <w:r>
              <w:rPr>
                <w:rFonts w:hint="eastAsia"/>
                <w:color w:val="auto"/>
                <w:sz w:val="24"/>
                <w:szCs w:val="24"/>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150372CA">
            <w:pPr>
              <w:pStyle w:val="44"/>
              <w:ind w:left="116" w:right="105"/>
              <w:jc w:val="center"/>
              <w:rPr>
                <w:b/>
                <w:color w:val="auto"/>
                <w:sz w:val="24"/>
                <w:szCs w:val="24"/>
              </w:rPr>
            </w:pPr>
            <w:r>
              <w:rPr>
                <w:rFonts w:hint="eastAsia"/>
                <w:b/>
                <w:color w:val="auto"/>
                <w:sz w:val="24"/>
                <w:szCs w:val="24"/>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14C63519">
            <w:pPr>
              <w:pStyle w:val="44"/>
              <w:spacing w:before="177" w:line="278" w:lineRule="auto"/>
              <w:ind w:left="107" w:right="59"/>
              <w:rPr>
                <w:b/>
                <w:color w:val="auto"/>
                <w:sz w:val="24"/>
                <w:szCs w:val="24"/>
              </w:rPr>
            </w:pPr>
            <w:r>
              <w:rPr>
                <w:rFonts w:hint="eastAsia"/>
                <w:b/>
                <w:color w:val="auto"/>
                <w:sz w:val="24"/>
                <w:szCs w:val="24"/>
              </w:rPr>
              <w:t>1</w:t>
            </w:r>
            <w:r>
              <w:rPr>
                <w:rFonts w:hint="eastAsia"/>
                <w:b/>
                <w:color w:val="auto"/>
                <w:sz w:val="24"/>
                <w:szCs w:val="24"/>
                <w:lang w:val="en-US" w:eastAsia="zh-CN"/>
              </w:rPr>
              <w:t>.</w:t>
            </w:r>
            <w:r>
              <w:rPr>
                <w:rFonts w:hint="eastAsia"/>
                <w:b/>
                <w:color w:val="auto"/>
                <w:sz w:val="24"/>
                <w:szCs w:val="24"/>
              </w:rPr>
              <w:t>请供应商根据资格审查要求和响应文件格式要求及评标办法要求提供相关原件扫描件，未提供原件扫描件所造成的风险由供应商自行承担。</w:t>
            </w:r>
          </w:p>
          <w:p w14:paraId="3FECFC25">
            <w:pPr>
              <w:pStyle w:val="44"/>
              <w:spacing w:line="278" w:lineRule="auto"/>
              <w:ind w:left="107" w:right="59"/>
              <w:rPr>
                <w:b/>
                <w:color w:val="auto"/>
                <w:sz w:val="24"/>
                <w:szCs w:val="24"/>
              </w:rPr>
            </w:pPr>
            <w:r>
              <w:rPr>
                <w:rFonts w:hint="eastAsia"/>
                <w:b/>
                <w:color w:val="auto"/>
                <w:sz w:val="24"/>
                <w:szCs w:val="24"/>
              </w:rPr>
              <w:t>2</w:t>
            </w:r>
            <w:r>
              <w:rPr>
                <w:rFonts w:hint="eastAsia"/>
                <w:b/>
                <w:color w:val="auto"/>
                <w:sz w:val="24"/>
                <w:szCs w:val="24"/>
                <w:lang w:val="en-US" w:eastAsia="zh-CN"/>
              </w:rPr>
              <w:t>.</w:t>
            </w:r>
            <w:r>
              <w:rPr>
                <w:rFonts w:hint="eastAsia"/>
                <w:b/>
                <w:color w:val="auto"/>
                <w:sz w:val="24"/>
                <w:szCs w:val="24"/>
              </w:rPr>
              <w:t>请务必确保响应文件制作客户端为最新版本，旧版本可能导致响应文件解密失败。</w:t>
            </w:r>
          </w:p>
          <w:p w14:paraId="3C8B8FCC">
            <w:pPr>
              <w:pStyle w:val="44"/>
              <w:spacing w:line="278" w:lineRule="auto"/>
              <w:ind w:left="107" w:right="59"/>
              <w:rPr>
                <w:b/>
                <w:color w:val="auto"/>
                <w:sz w:val="24"/>
                <w:szCs w:val="24"/>
              </w:rPr>
            </w:pPr>
            <w:r>
              <w:rPr>
                <w:rFonts w:hint="eastAsia"/>
                <w:b/>
                <w:color w:val="auto"/>
                <w:sz w:val="24"/>
                <w:szCs w:val="24"/>
              </w:rPr>
              <w:t>3</w:t>
            </w:r>
            <w:r>
              <w:rPr>
                <w:rFonts w:hint="eastAsia"/>
                <w:b/>
                <w:color w:val="auto"/>
                <w:sz w:val="24"/>
                <w:szCs w:val="24"/>
                <w:lang w:val="en-US" w:eastAsia="zh-CN"/>
              </w:rPr>
              <w:t>.</w:t>
            </w:r>
            <w:r>
              <w:rPr>
                <w:rFonts w:hint="eastAsia"/>
                <w:b/>
                <w:color w:val="auto"/>
                <w:sz w:val="24"/>
                <w:szCs w:val="24"/>
              </w:rPr>
              <w:t>请务必确保响应文件制作时所用的 CA 锁与响应文件解密时的 CA 锁为同一把，否则可能导致响应文件解密失败。</w:t>
            </w:r>
          </w:p>
        </w:tc>
      </w:tr>
    </w:tbl>
    <w:p w14:paraId="77F7E678">
      <w:pPr>
        <w:spacing w:line="278" w:lineRule="auto"/>
        <w:rPr>
          <w:color w:val="auto"/>
          <w:sz w:val="21"/>
        </w:rPr>
        <w:sectPr>
          <w:pgSz w:w="11910" w:h="16840"/>
          <w:pgMar w:top="1247" w:right="1247" w:bottom="1247" w:left="1587" w:header="884" w:footer="884" w:gutter="0"/>
          <w:pgNumType w:fmt="decimal"/>
          <w:cols w:space="0" w:num="1"/>
        </w:sectPr>
      </w:pPr>
    </w:p>
    <w:p w14:paraId="5F89A279">
      <w:pPr>
        <w:pStyle w:val="4"/>
        <w:tabs>
          <w:tab w:val="left" w:pos="1291"/>
        </w:tabs>
        <w:spacing w:before="0" w:line="360" w:lineRule="auto"/>
        <w:ind w:left="0"/>
        <w:jc w:val="left"/>
        <w:rPr>
          <w:color w:val="auto"/>
          <w:lang w:val="en-US"/>
        </w:rPr>
      </w:pPr>
      <w:bookmarkStart w:id="23" w:name="_Toc19732"/>
      <w:r>
        <w:rPr>
          <w:rFonts w:hint="eastAsia"/>
          <w:color w:val="auto"/>
          <w:lang w:val="en-US"/>
        </w:rPr>
        <w:t>一  总则</w:t>
      </w:r>
      <w:bookmarkEnd w:id="23"/>
    </w:p>
    <w:p w14:paraId="40D8EBF1">
      <w:pPr>
        <w:pStyle w:val="43"/>
        <w:tabs>
          <w:tab w:val="left" w:pos="1440"/>
        </w:tabs>
        <w:spacing w:before="0" w:line="360" w:lineRule="auto"/>
        <w:ind w:left="0" w:firstLine="482" w:firstLineChars="200"/>
        <w:rPr>
          <w:b/>
          <w:color w:val="auto"/>
          <w:sz w:val="24"/>
        </w:rPr>
      </w:pPr>
      <w:r>
        <w:rPr>
          <w:rFonts w:hint="eastAsia"/>
          <w:b/>
          <w:color w:val="auto"/>
          <w:sz w:val="24"/>
          <w:lang w:val="en-US"/>
        </w:rPr>
        <w:t>1.</w:t>
      </w:r>
      <w:r>
        <w:rPr>
          <w:rFonts w:hint="eastAsia"/>
          <w:b/>
          <w:color w:val="auto"/>
          <w:sz w:val="24"/>
        </w:rPr>
        <w:t>适用范围</w:t>
      </w:r>
    </w:p>
    <w:p w14:paraId="25E15C9E">
      <w:pPr>
        <w:pStyle w:val="43"/>
        <w:numPr>
          <w:ilvl w:val="1"/>
          <w:numId w:val="6"/>
        </w:numPr>
        <w:tabs>
          <w:tab w:val="left" w:pos="1100"/>
        </w:tabs>
        <w:spacing w:before="0" w:line="360" w:lineRule="auto"/>
        <w:ind w:left="0" w:firstLine="480" w:firstLineChars="200"/>
        <w:rPr>
          <w:b/>
          <w:color w:val="auto"/>
          <w:sz w:val="24"/>
        </w:rPr>
      </w:pPr>
      <w:r>
        <w:rPr>
          <w:rFonts w:hint="eastAsia"/>
          <w:color w:val="auto"/>
          <w:sz w:val="24"/>
        </w:rPr>
        <w:t>磋商文件适用于本次所述项目的采购行为（法律、法规另有规定的，从其规定）。</w:t>
      </w:r>
    </w:p>
    <w:p w14:paraId="213DC4DD">
      <w:pPr>
        <w:pStyle w:val="43"/>
        <w:tabs>
          <w:tab w:val="left" w:pos="1440"/>
        </w:tabs>
        <w:spacing w:before="0" w:line="360" w:lineRule="auto"/>
        <w:ind w:left="0" w:firstLine="482" w:firstLineChars="200"/>
        <w:rPr>
          <w:b/>
          <w:color w:val="auto"/>
          <w:sz w:val="24"/>
        </w:rPr>
      </w:pPr>
      <w:r>
        <w:rPr>
          <w:rFonts w:hint="eastAsia"/>
          <w:b/>
          <w:color w:val="auto"/>
          <w:sz w:val="24"/>
          <w:lang w:val="en-US"/>
        </w:rPr>
        <w:t>2</w:t>
      </w:r>
      <w:r>
        <w:rPr>
          <w:rFonts w:hint="eastAsia"/>
          <w:b/>
          <w:color w:val="auto"/>
          <w:sz w:val="24"/>
          <w:lang w:val="en-US" w:eastAsia="zh-CN"/>
        </w:rPr>
        <w:t>.</w:t>
      </w:r>
      <w:r>
        <w:rPr>
          <w:rFonts w:hint="eastAsia"/>
          <w:b/>
          <w:color w:val="auto"/>
          <w:sz w:val="24"/>
        </w:rPr>
        <w:t>定义</w:t>
      </w:r>
    </w:p>
    <w:p w14:paraId="42509674">
      <w:pPr>
        <w:pStyle w:val="43"/>
        <w:numPr>
          <w:ilvl w:val="2"/>
          <w:numId w:val="7"/>
        </w:numPr>
        <w:spacing w:before="0" w:line="360" w:lineRule="auto"/>
        <w:ind w:left="0" w:firstLine="480" w:firstLineChars="200"/>
        <w:rPr>
          <w:color w:val="auto"/>
          <w:sz w:val="24"/>
        </w:rPr>
      </w:pPr>
      <w:r>
        <w:rPr>
          <w:rFonts w:hint="eastAsia"/>
          <w:color w:val="auto"/>
          <w:sz w:val="24"/>
        </w:rPr>
        <w:t>“采购人”系</w:t>
      </w:r>
      <w:r>
        <w:rPr>
          <w:rFonts w:hint="eastAsia"/>
          <w:color w:val="auto"/>
          <w:sz w:val="24"/>
          <w:lang w:eastAsia="zh-CN"/>
        </w:rPr>
        <w:t xml:space="preserve">浙江遂昌经济开发区管理委员会 </w:t>
      </w:r>
      <w:r>
        <w:rPr>
          <w:rFonts w:hint="eastAsia"/>
          <w:color w:val="auto"/>
          <w:sz w:val="24"/>
        </w:rPr>
        <w:t>。</w:t>
      </w:r>
    </w:p>
    <w:p w14:paraId="14C6AD21">
      <w:pPr>
        <w:pStyle w:val="43"/>
        <w:numPr>
          <w:ilvl w:val="2"/>
          <w:numId w:val="7"/>
        </w:numPr>
        <w:spacing w:before="0" w:line="360" w:lineRule="auto"/>
        <w:ind w:left="0" w:firstLine="480" w:firstLineChars="200"/>
        <w:rPr>
          <w:color w:val="auto"/>
          <w:sz w:val="24"/>
        </w:rPr>
      </w:pPr>
      <w:r>
        <w:rPr>
          <w:rFonts w:hint="eastAsia"/>
          <w:color w:val="auto"/>
          <w:sz w:val="24"/>
        </w:rPr>
        <w:t>“供应商”系指符合本项目供应商应具备的资格要求并报名参与项目磋商的供应商。</w:t>
      </w:r>
    </w:p>
    <w:p w14:paraId="3EC510D6">
      <w:pPr>
        <w:pStyle w:val="43"/>
        <w:numPr>
          <w:ilvl w:val="2"/>
          <w:numId w:val="7"/>
        </w:numPr>
        <w:spacing w:before="0" w:line="360" w:lineRule="auto"/>
        <w:ind w:left="0" w:firstLine="480" w:firstLineChars="200"/>
        <w:rPr>
          <w:color w:val="auto"/>
          <w:sz w:val="24"/>
        </w:rPr>
      </w:pPr>
      <w:r>
        <w:rPr>
          <w:rFonts w:hint="eastAsia"/>
          <w:color w:val="auto"/>
          <w:sz w:val="24"/>
        </w:rPr>
        <w:t>“采购代理机构”系指浙江至诚工程咨询有限责任公司。</w:t>
      </w:r>
    </w:p>
    <w:p w14:paraId="629A4392">
      <w:pPr>
        <w:pStyle w:val="43"/>
        <w:numPr>
          <w:ilvl w:val="2"/>
          <w:numId w:val="7"/>
        </w:numPr>
        <w:spacing w:before="0" w:line="360" w:lineRule="auto"/>
        <w:ind w:left="0" w:firstLine="480" w:firstLineChars="200"/>
        <w:rPr>
          <w:color w:val="auto"/>
          <w:sz w:val="24"/>
        </w:rPr>
      </w:pPr>
      <w:r>
        <w:rPr>
          <w:rFonts w:hint="eastAsia"/>
          <w:color w:val="auto"/>
          <w:sz w:val="24"/>
        </w:rPr>
        <w:t>“负责人”系指法人企业的法定代表人，或其他组织为法律、行政法规规定代表单位行使职权的主要负责人。</w:t>
      </w:r>
    </w:p>
    <w:p w14:paraId="0FCF63D5">
      <w:pPr>
        <w:pStyle w:val="43"/>
        <w:numPr>
          <w:ilvl w:val="2"/>
          <w:numId w:val="7"/>
        </w:numPr>
        <w:spacing w:before="0" w:line="360" w:lineRule="auto"/>
        <w:ind w:left="0" w:firstLine="480" w:firstLineChars="200"/>
        <w:rPr>
          <w:color w:val="auto"/>
          <w:sz w:val="24"/>
        </w:rPr>
      </w:pPr>
      <w:r>
        <w:rPr>
          <w:rFonts w:hint="eastAsia"/>
          <w:color w:val="auto"/>
          <w:sz w:val="24"/>
        </w:rPr>
        <w:t>“合同”系指委托方、受托方双方签署的规定委托方、受托方双方权利与义务的协议，以及所有的附件、附录和磋商文件所提到的构成合同的所有文件。</w:t>
      </w:r>
    </w:p>
    <w:p w14:paraId="0CFDA73E">
      <w:pPr>
        <w:pStyle w:val="43"/>
        <w:numPr>
          <w:ilvl w:val="2"/>
          <w:numId w:val="7"/>
        </w:numPr>
        <w:spacing w:before="0" w:line="360" w:lineRule="auto"/>
        <w:ind w:left="0" w:firstLine="480" w:firstLineChars="200"/>
        <w:rPr>
          <w:color w:val="auto"/>
          <w:sz w:val="24"/>
        </w:rPr>
      </w:pPr>
      <w:r>
        <w:rPr>
          <w:rFonts w:hint="eastAsia"/>
          <w:color w:val="auto"/>
          <w:sz w:val="24"/>
        </w:rPr>
        <w:t>“产品”系指供应商按磋商文件规定，须向采购人提供的一切产品（包括： 虚拟产品），以及产品相关的保险、税金、备品备件、附件、耗材、工具、手册及其它有关技术资料和材料等。</w:t>
      </w:r>
    </w:p>
    <w:p w14:paraId="76FA266A">
      <w:pPr>
        <w:pStyle w:val="43"/>
        <w:numPr>
          <w:ilvl w:val="2"/>
          <w:numId w:val="7"/>
        </w:numPr>
        <w:spacing w:before="0" w:line="360" w:lineRule="auto"/>
        <w:ind w:left="0" w:firstLine="480" w:firstLineChars="200"/>
        <w:rPr>
          <w:color w:val="auto"/>
          <w:sz w:val="24"/>
        </w:rPr>
      </w:pPr>
      <w:r>
        <w:rPr>
          <w:rFonts w:hint="eastAsia"/>
          <w:color w:val="auto"/>
          <w:sz w:val="24"/>
        </w:rPr>
        <w:t>“服务”系指供应商按磋商文件规定应承担的送货上门、安装、调试、技术协助、校准、培训、技术指导以及其他类似的附随义务。</w:t>
      </w:r>
    </w:p>
    <w:p w14:paraId="3CFCE367">
      <w:pPr>
        <w:pStyle w:val="43"/>
        <w:numPr>
          <w:ilvl w:val="2"/>
          <w:numId w:val="7"/>
        </w:numPr>
        <w:spacing w:before="0" w:line="360" w:lineRule="auto"/>
        <w:ind w:left="0" w:firstLine="480" w:firstLineChars="200"/>
        <w:rPr>
          <w:color w:val="auto"/>
          <w:sz w:val="24"/>
        </w:rPr>
      </w:pPr>
      <w:r>
        <w:rPr>
          <w:rFonts w:hint="eastAsia"/>
          <w:color w:val="auto"/>
          <w:sz w:val="24"/>
          <w:szCs w:val="24"/>
        </w:rPr>
        <w:t>本文件所指的公章均指供应商的</w:t>
      </w:r>
      <w:r>
        <w:rPr>
          <w:rFonts w:hint="eastAsia"/>
          <w:b/>
          <w:color w:val="auto"/>
          <w:sz w:val="24"/>
          <w:szCs w:val="24"/>
        </w:rPr>
        <w:t>CA</w:t>
      </w:r>
      <w:r>
        <w:rPr>
          <w:rFonts w:hint="eastAsia"/>
          <w:color w:val="auto"/>
          <w:sz w:val="24"/>
          <w:szCs w:val="24"/>
        </w:rPr>
        <w:t>电子章；</w:t>
      </w:r>
    </w:p>
    <w:p w14:paraId="6BCB0C28">
      <w:pPr>
        <w:pStyle w:val="43"/>
        <w:numPr>
          <w:ilvl w:val="2"/>
          <w:numId w:val="7"/>
        </w:numPr>
        <w:spacing w:before="0" w:line="360" w:lineRule="auto"/>
        <w:ind w:left="0" w:firstLine="480" w:firstLineChars="200"/>
        <w:rPr>
          <w:color w:val="auto"/>
          <w:sz w:val="24"/>
        </w:rPr>
      </w:pPr>
      <w:r>
        <w:rPr>
          <w:rFonts w:hint="eastAsia"/>
          <w:color w:val="auto"/>
          <w:sz w:val="24"/>
        </w:rPr>
        <w:t>“▲” 系指实质性要求条款。</w:t>
      </w:r>
    </w:p>
    <w:p w14:paraId="743304D4">
      <w:pPr>
        <w:pStyle w:val="43"/>
        <w:tabs>
          <w:tab w:val="left" w:pos="1440"/>
        </w:tabs>
        <w:spacing w:before="0" w:line="360" w:lineRule="auto"/>
        <w:ind w:left="0" w:firstLine="482" w:firstLineChars="200"/>
        <w:rPr>
          <w:b/>
          <w:color w:val="auto"/>
          <w:sz w:val="24"/>
          <w:lang w:val="en-US"/>
        </w:rPr>
      </w:pPr>
      <w:r>
        <w:rPr>
          <w:rFonts w:hint="eastAsia"/>
          <w:b/>
          <w:color w:val="auto"/>
          <w:sz w:val="24"/>
          <w:lang w:val="en-US"/>
        </w:rPr>
        <w:t>3.供应商基本要求</w:t>
      </w:r>
    </w:p>
    <w:p w14:paraId="426E05D1">
      <w:pPr>
        <w:pStyle w:val="43"/>
        <w:numPr>
          <w:ilvl w:val="1"/>
          <w:numId w:val="0"/>
        </w:numPr>
        <w:tabs>
          <w:tab w:val="left" w:pos="1100"/>
        </w:tabs>
        <w:spacing w:before="0" w:line="360" w:lineRule="auto"/>
        <w:ind w:firstLine="480" w:firstLineChars="200"/>
        <w:rPr>
          <w:color w:val="auto"/>
          <w:sz w:val="24"/>
        </w:rPr>
      </w:pPr>
      <w:r>
        <w:rPr>
          <w:color w:val="auto"/>
          <w:sz w:val="24"/>
          <w:szCs w:val="24"/>
        </w:rPr>
        <w:t>3.1</w:t>
      </w:r>
      <w:r>
        <w:rPr>
          <w:rFonts w:hint="eastAsia"/>
          <w:color w:val="auto"/>
          <w:sz w:val="24"/>
          <w:szCs w:val="24"/>
          <w:lang w:val="en-US" w:eastAsia="zh-CN"/>
        </w:rPr>
        <w:t xml:space="preserve"> </w:t>
      </w:r>
      <w:r>
        <w:rPr>
          <w:rFonts w:hint="eastAsia"/>
          <w:color w:val="auto"/>
          <w:sz w:val="24"/>
        </w:rPr>
        <w:t>符合第一章第“二”条规定；</w:t>
      </w:r>
    </w:p>
    <w:p w14:paraId="585404C2">
      <w:pPr>
        <w:pStyle w:val="43"/>
        <w:numPr>
          <w:ilvl w:val="1"/>
          <w:numId w:val="0"/>
        </w:numPr>
        <w:tabs>
          <w:tab w:val="left" w:pos="1100"/>
        </w:tabs>
        <w:spacing w:before="0" w:line="360" w:lineRule="auto"/>
        <w:ind w:firstLine="482" w:firstLineChars="200"/>
        <w:rPr>
          <w:b/>
          <w:color w:val="auto"/>
          <w:sz w:val="24"/>
        </w:rPr>
      </w:pPr>
      <w:r>
        <w:rPr>
          <w:b/>
          <w:color w:val="auto"/>
          <w:sz w:val="24"/>
          <w:szCs w:val="24"/>
        </w:rPr>
        <w:t>3.2</w:t>
      </w:r>
      <w:r>
        <w:rPr>
          <w:rFonts w:hint="eastAsia"/>
          <w:color w:val="auto"/>
          <w:sz w:val="24"/>
        </w:rPr>
        <w:t>供应商应遵守有关的法律、法规和规章条例。</w:t>
      </w:r>
    </w:p>
    <w:p w14:paraId="28D9E970">
      <w:pPr>
        <w:pStyle w:val="43"/>
        <w:tabs>
          <w:tab w:val="left" w:pos="1100"/>
        </w:tabs>
        <w:spacing w:before="0" w:line="360" w:lineRule="auto"/>
        <w:ind w:left="440" w:leftChars="200" w:firstLine="0"/>
        <w:rPr>
          <w:b/>
          <w:color w:val="auto"/>
          <w:sz w:val="24"/>
        </w:rPr>
      </w:pPr>
      <w:r>
        <w:rPr>
          <w:rFonts w:hint="eastAsia"/>
          <w:b/>
          <w:color w:val="auto"/>
          <w:sz w:val="24"/>
        </w:rPr>
        <w:t>4.联合体说明</w:t>
      </w:r>
    </w:p>
    <w:p w14:paraId="65F7CED1">
      <w:pPr>
        <w:spacing w:line="360" w:lineRule="auto"/>
        <w:ind w:firstLine="480" w:firstLineChars="200"/>
        <w:rPr>
          <w:color w:val="auto"/>
          <w:sz w:val="24"/>
        </w:rPr>
      </w:pPr>
      <w:r>
        <w:rPr>
          <w:rFonts w:hint="eastAsia"/>
          <w:color w:val="auto"/>
          <w:sz w:val="24"/>
        </w:rPr>
        <w:t>4.1 本项目不接受联合体磋商。</w:t>
      </w:r>
    </w:p>
    <w:p w14:paraId="7AEA4E17">
      <w:pPr>
        <w:spacing w:line="360" w:lineRule="auto"/>
        <w:ind w:firstLine="482" w:firstLineChars="200"/>
        <w:rPr>
          <w:b/>
          <w:color w:val="auto"/>
          <w:sz w:val="24"/>
        </w:rPr>
      </w:pPr>
      <w:r>
        <w:rPr>
          <w:rFonts w:hint="eastAsia"/>
          <w:b/>
          <w:color w:val="auto"/>
          <w:sz w:val="24"/>
        </w:rPr>
        <w:t>5.特别说明</w:t>
      </w:r>
    </w:p>
    <w:p w14:paraId="773C7107">
      <w:pPr>
        <w:pStyle w:val="2"/>
        <w:spacing w:line="360" w:lineRule="auto"/>
        <w:ind w:firstLine="480" w:firstLineChars="200"/>
        <w:rPr>
          <w:color w:val="auto"/>
        </w:rPr>
      </w:pPr>
      <w:r>
        <w:rPr>
          <w:rFonts w:hint="eastAsia"/>
          <w:color w:val="auto"/>
        </w:rPr>
        <w:t>▲5.1 单位负责人为同一人或者存在直接控股、管理关系的不同供应商，以及属于同一母公司或集团的不同供应商不得参加同一合同项下的政府采购活动。</w:t>
      </w:r>
    </w:p>
    <w:p w14:paraId="7B1F81C4">
      <w:pPr>
        <w:pStyle w:val="2"/>
        <w:spacing w:line="360" w:lineRule="auto"/>
        <w:ind w:firstLine="482" w:firstLineChars="200"/>
        <w:rPr>
          <w:color w:val="auto"/>
        </w:rPr>
      </w:pPr>
      <w:r>
        <w:rPr>
          <w:rFonts w:hint="eastAsia"/>
          <w:b/>
          <w:color w:val="auto"/>
        </w:rPr>
        <w:t>▲</w:t>
      </w:r>
      <w:r>
        <w:rPr>
          <w:rFonts w:hint="eastAsia"/>
          <w:color w:val="auto"/>
        </w:rPr>
        <w:t>5.2 为采购项目提供整体设计、规范编制或者项目管理、监理、检测等服务的供应商，不得再参加该采购项目的其他采购活动。</w:t>
      </w:r>
    </w:p>
    <w:p w14:paraId="59880C4D">
      <w:pPr>
        <w:pStyle w:val="2"/>
        <w:spacing w:line="360" w:lineRule="auto"/>
        <w:ind w:firstLine="482" w:firstLineChars="200"/>
        <w:rPr>
          <w:b/>
          <w:bCs/>
          <w:color w:val="auto"/>
        </w:rPr>
      </w:pPr>
      <w:r>
        <w:rPr>
          <w:rFonts w:hint="eastAsia"/>
          <w:b/>
          <w:bCs/>
          <w:color w:val="auto"/>
        </w:rPr>
        <w:t>5.3 供应商自行踏勘现场，自行承担所有与磋商有关的费用。</w:t>
      </w:r>
    </w:p>
    <w:p w14:paraId="547ADDAB">
      <w:pPr>
        <w:pStyle w:val="4"/>
        <w:tabs>
          <w:tab w:val="left" w:pos="1291"/>
        </w:tabs>
        <w:spacing w:before="0" w:line="360" w:lineRule="auto"/>
        <w:ind w:left="0"/>
        <w:jc w:val="left"/>
        <w:rPr>
          <w:color w:val="auto"/>
          <w:lang w:val="en-US"/>
        </w:rPr>
      </w:pPr>
      <w:bookmarkStart w:id="24" w:name="二___磋商文件说明"/>
      <w:bookmarkEnd w:id="24"/>
      <w:bookmarkStart w:id="25" w:name="_Toc18815"/>
      <w:r>
        <w:rPr>
          <w:rFonts w:hint="eastAsia"/>
          <w:color w:val="auto"/>
          <w:lang w:val="en-US"/>
        </w:rPr>
        <w:t>二  磋商文件说明</w:t>
      </w:r>
      <w:bookmarkEnd w:id="25"/>
    </w:p>
    <w:p w14:paraId="439F72C1">
      <w:pPr>
        <w:spacing w:line="360" w:lineRule="auto"/>
        <w:ind w:firstLine="482" w:firstLineChars="200"/>
        <w:rPr>
          <w:b/>
          <w:color w:val="auto"/>
          <w:sz w:val="24"/>
        </w:rPr>
      </w:pPr>
      <w:r>
        <w:rPr>
          <w:rFonts w:hint="eastAsia"/>
          <w:b/>
          <w:color w:val="auto"/>
          <w:sz w:val="24"/>
          <w:lang w:val="en-US"/>
        </w:rPr>
        <w:t>6.</w:t>
      </w:r>
      <w:r>
        <w:rPr>
          <w:rFonts w:hint="eastAsia"/>
          <w:b/>
          <w:color w:val="auto"/>
          <w:sz w:val="24"/>
        </w:rPr>
        <w:t>磋商文件的构成</w:t>
      </w:r>
    </w:p>
    <w:p w14:paraId="483F5DAD">
      <w:pPr>
        <w:pStyle w:val="43"/>
        <w:numPr>
          <w:ilvl w:val="1"/>
          <w:numId w:val="8"/>
        </w:numPr>
        <w:tabs>
          <w:tab w:val="left" w:pos="880"/>
        </w:tabs>
        <w:spacing w:before="0" w:line="360" w:lineRule="auto"/>
        <w:ind w:left="0" w:firstLine="480" w:firstLineChars="200"/>
        <w:rPr>
          <w:color w:val="auto"/>
          <w:sz w:val="24"/>
        </w:rPr>
      </w:pPr>
      <w:r>
        <w:rPr>
          <w:rFonts w:hint="eastAsia"/>
          <w:color w:val="auto"/>
          <w:sz w:val="24"/>
        </w:rPr>
        <w:t>磋商文件用以阐明所需货物及服务、招标、磋商程序和合同条款。磋商文件由下述部分组成：</w:t>
      </w:r>
    </w:p>
    <w:p w14:paraId="377DA328">
      <w:pPr>
        <w:pStyle w:val="43"/>
        <w:numPr>
          <w:ilvl w:val="2"/>
          <w:numId w:val="8"/>
        </w:numPr>
        <w:spacing w:before="0" w:line="360" w:lineRule="auto"/>
        <w:ind w:left="0" w:firstLine="480" w:firstLineChars="200"/>
        <w:rPr>
          <w:color w:val="auto"/>
          <w:sz w:val="24"/>
        </w:rPr>
      </w:pPr>
      <w:r>
        <w:rPr>
          <w:rFonts w:hint="eastAsia"/>
          <w:color w:val="auto"/>
          <w:sz w:val="24"/>
        </w:rPr>
        <w:t>竞争性磋商公告</w:t>
      </w:r>
    </w:p>
    <w:p w14:paraId="2F386CAF">
      <w:pPr>
        <w:pStyle w:val="43"/>
        <w:numPr>
          <w:ilvl w:val="2"/>
          <w:numId w:val="8"/>
        </w:numPr>
        <w:spacing w:before="0" w:line="360" w:lineRule="auto"/>
        <w:ind w:left="0" w:firstLine="480" w:firstLineChars="200"/>
        <w:rPr>
          <w:color w:val="auto"/>
          <w:sz w:val="24"/>
        </w:rPr>
      </w:pPr>
      <w:r>
        <w:rPr>
          <w:rFonts w:hint="eastAsia"/>
          <w:color w:val="auto"/>
          <w:sz w:val="24"/>
        </w:rPr>
        <w:t>供应商须知</w:t>
      </w:r>
    </w:p>
    <w:p w14:paraId="5CC1EF07">
      <w:pPr>
        <w:pStyle w:val="43"/>
        <w:numPr>
          <w:ilvl w:val="2"/>
          <w:numId w:val="8"/>
        </w:numPr>
        <w:spacing w:before="0" w:line="360" w:lineRule="auto"/>
        <w:ind w:left="0" w:firstLine="480" w:firstLineChars="200"/>
        <w:rPr>
          <w:color w:val="auto"/>
          <w:sz w:val="24"/>
        </w:rPr>
      </w:pPr>
      <w:r>
        <w:rPr>
          <w:rFonts w:hint="eastAsia"/>
          <w:color w:val="auto"/>
          <w:sz w:val="24"/>
        </w:rPr>
        <w:t>采购需求</w:t>
      </w:r>
    </w:p>
    <w:p w14:paraId="43D5AF9A">
      <w:pPr>
        <w:pStyle w:val="43"/>
        <w:numPr>
          <w:ilvl w:val="2"/>
          <w:numId w:val="8"/>
        </w:numPr>
        <w:spacing w:before="0" w:line="360" w:lineRule="auto"/>
        <w:ind w:left="0" w:firstLine="480" w:firstLineChars="200"/>
        <w:rPr>
          <w:color w:val="auto"/>
          <w:sz w:val="24"/>
        </w:rPr>
      </w:pPr>
      <w:r>
        <w:rPr>
          <w:rFonts w:hint="eastAsia"/>
          <w:color w:val="auto"/>
          <w:sz w:val="24"/>
        </w:rPr>
        <w:t>政府采购合同格式</w:t>
      </w:r>
    </w:p>
    <w:p w14:paraId="74BFBA7A">
      <w:pPr>
        <w:pStyle w:val="43"/>
        <w:numPr>
          <w:ilvl w:val="2"/>
          <w:numId w:val="8"/>
        </w:numPr>
        <w:spacing w:before="0" w:line="360" w:lineRule="auto"/>
        <w:ind w:left="0" w:firstLine="480" w:firstLineChars="200"/>
        <w:rPr>
          <w:color w:val="auto"/>
          <w:sz w:val="24"/>
        </w:rPr>
      </w:pPr>
      <w:r>
        <w:rPr>
          <w:rFonts w:hint="eastAsia"/>
          <w:color w:val="auto"/>
          <w:sz w:val="24"/>
        </w:rPr>
        <w:t>磋商相关文件格式</w:t>
      </w:r>
    </w:p>
    <w:p w14:paraId="405CE8D1">
      <w:pPr>
        <w:pStyle w:val="43"/>
        <w:numPr>
          <w:ilvl w:val="2"/>
          <w:numId w:val="8"/>
        </w:numPr>
        <w:spacing w:before="0" w:line="360" w:lineRule="auto"/>
        <w:ind w:left="0" w:firstLine="480" w:firstLineChars="200"/>
        <w:jc w:val="both"/>
        <w:rPr>
          <w:color w:val="auto"/>
          <w:sz w:val="24"/>
        </w:rPr>
      </w:pPr>
      <w:r>
        <w:rPr>
          <w:rFonts w:hint="eastAsia"/>
          <w:color w:val="auto"/>
          <w:sz w:val="24"/>
        </w:rPr>
        <w:t>评标办法和细则</w:t>
      </w:r>
    </w:p>
    <w:p w14:paraId="29FA442C">
      <w:pPr>
        <w:pStyle w:val="43"/>
        <w:numPr>
          <w:ilvl w:val="2"/>
          <w:numId w:val="8"/>
        </w:numPr>
        <w:spacing w:before="0" w:line="360" w:lineRule="auto"/>
        <w:ind w:left="0" w:firstLine="480" w:firstLineChars="200"/>
        <w:jc w:val="both"/>
        <w:rPr>
          <w:color w:val="auto"/>
          <w:sz w:val="24"/>
        </w:rPr>
      </w:pPr>
      <w:r>
        <w:rPr>
          <w:rFonts w:hint="eastAsia"/>
          <w:color w:val="auto"/>
          <w:sz w:val="24"/>
        </w:rPr>
        <w:t>与本项目有关的磋商文件澄清、答复、修改、补充的内容。</w:t>
      </w:r>
    </w:p>
    <w:p w14:paraId="6F8D9B2A">
      <w:pPr>
        <w:pStyle w:val="43"/>
        <w:spacing w:before="0" w:line="360" w:lineRule="auto"/>
        <w:ind w:left="440" w:leftChars="200" w:firstLine="0"/>
        <w:jc w:val="both"/>
        <w:rPr>
          <w:b/>
          <w:color w:val="auto"/>
          <w:sz w:val="24"/>
        </w:rPr>
      </w:pPr>
      <w:r>
        <w:rPr>
          <w:rFonts w:hint="eastAsia"/>
          <w:b/>
          <w:color w:val="auto"/>
          <w:sz w:val="24"/>
        </w:rPr>
        <w:t>7.供应商的风险</w:t>
      </w:r>
    </w:p>
    <w:p w14:paraId="6BBA54FF">
      <w:pPr>
        <w:pStyle w:val="2"/>
        <w:spacing w:line="360" w:lineRule="auto"/>
        <w:ind w:firstLine="480" w:firstLineChars="200"/>
        <w:jc w:val="both"/>
        <w:rPr>
          <w:color w:val="auto"/>
        </w:rPr>
      </w:pPr>
      <w:r>
        <w:rPr>
          <w:rFonts w:hint="eastAsia"/>
          <w:color w:val="auto"/>
        </w:rPr>
        <w:t>7.1 供应商应认真阅读磋商文件中的所有条款。供应商没有按照磋商文件的要求提供全部资料，或者供应商没有对磋商文件在各方面作出实质性响应是供应商的风险，并可能导致其磋商被拒绝。</w:t>
      </w:r>
    </w:p>
    <w:p w14:paraId="2C7EBF4B">
      <w:pPr>
        <w:spacing w:line="360" w:lineRule="auto"/>
        <w:ind w:firstLine="482" w:firstLineChars="200"/>
        <w:rPr>
          <w:b/>
          <w:color w:val="auto"/>
          <w:sz w:val="24"/>
          <w:lang w:val="en-US"/>
        </w:rPr>
      </w:pPr>
      <w:r>
        <w:rPr>
          <w:rFonts w:hint="eastAsia"/>
          <w:b/>
          <w:color w:val="auto"/>
          <w:sz w:val="24"/>
          <w:lang w:val="en-US"/>
        </w:rPr>
        <w:t>8.磋商文件的发布及澄清</w:t>
      </w:r>
    </w:p>
    <w:p w14:paraId="033C60BC">
      <w:pPr>
        <w:pStyle w:val="43"/>
        <w:numPr>
          <w:ilvl w:val="1"/>
          <w:numId w:val="9"/>
        </w:numPr>
        <w:tabs>
          <w:tab w:val="left" w:pos="1100"/>
        </w:tabs>
        <w:spacing w:before="0" w:line="360" w:lineRule="auto"/>
        <w:ind w:left="0" w:firstLine="480" w:firstLineChars="200"/>
        <w:jc w:val="both"/>
        <w:rPr>
          <w:color w:val="auto"/>
          <w:sz w:val="24"/>
        </w:rPr>
      </w:pPr>
      <w:r>
        <w:rPr>
          <w:rFonts w:hint="eastAsia"/>
          <w:color w:val="auto"/>
          <w:sz w:val="24"/>
        </w:rPr>
        <w:t>磋商文件澄清、答复、修改、补充的内容为磋商文件的组成部分。</w:t>
      </w:r>
    </w:p>
    <w:p w14:paraId="41794F1B">
      <w:pPr>
        <w:pStyle w:val="43"/>
        <w:numPr>
          <w:ilvl w:val="1"/>
          <w:numId w:val="9"/>
        </w:numPr>
        <w:tabs>
          <w:tab w:val="left" w:pos="1100"/>
        </w:tabs>
        <w:spacing w:before="0" w:line="360" w:lineRule="auto"/>
        <w:ind w:left="0" w:firstLine="480" w:firstLineChars="200"/>
        <w:jc w:val="both"/>
        <w:rPr>
          <w:color w:val="auto"/>
          <w:sz w:val="24"/>
        </w:rPr>
      </w:pPr>
      <w:r>
        <w:rPr>
          <w:rFonts w:hint="eastAsia"/>
          <w:color w:val="auto"/>
          <w:sz w:val="24"/>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w:t>
      </w:r>
      <w:r>
        <w:rPr>
          <w:rFonts w:hint="eastAsia"/>
          <w:color w:val="auto"/>
          <w:sz w:val="24"/>
          <w:lang w:eastAsia="zh-CN"/>
        </w:rPr>
        <w:t>，</w:t>
      </w:r>
      <w:r>
        <w:rPr>
          <w:rFonts w:hint="eastAsia"/>
          <w:color w:val="auto"/>
          <w:sz w:val="24"/>
        </w:rPr>
        <w:t>在 “丽水市公共资源交易网”和“浙江省政府采购网”</w:t>
      </w:r>
      <w:r>
        <w:rPr>
          <w:rFonts w:hint="eastAsia"/>
          <w:color w:val="auto"/>
          <w:sz w:val="24"/>
          <w:lang w:eastAsia="zh-CN"/>
        </w:rPr>
        <w:t>发布</w:t>
      </w:r>
      <w:r>
        <w:rPr>
          <w:rFonts w:hint="eastAsia"/>
          <w:color w:val="auto"/>
          <w:sz w:val="24"/>
        </w:rPr>
        <w:t>更正公告，并对其具有约束力。不足 5 日的，采购代理机构有权顺延提交响应文件的截止时间。</w:t>
      </w:r>
    </w:p>
    <w:p w14:paraId="60FDBE0A">
      <w:pPr>
        <w:pStyle w:val="4"/>
        <w:tabs>
          <w:tab w:val="left" w:pos="1291"/>
        </w:tabs>
        <w:spacing w:before="0" w:line="360" w:lineRule="auto"/>
        <w:ind w:left="0"/>
        <w:jc w:val="left"/>
        <w:rPr>
          <w:color w:val="auto"/>
          <w:lang w:val="en-US"/>
        </w:rPr>
      </w:pPr>
      <w:bookmarkStart w:id="26" w:name="三___投标文件的编写"/>
      <w:bookmarkEnd w:id="26"/>
      <w:bookmarkStart w:id="27" w:name="_Toc8156"/>
      <w:r>
        <w:rPr>
          <w:rFonts w:hint="eastAsia"/>
          <w:color w:val="auto"/>
          <w:lang w:val="en-US"/>
        </w:rPr>
        <w:t>三  响应文件的编写</w:t>
      </w:r>
      <w:bookmarkEnd w:id="27"/>
    </w:p>
    <w:p w14:paraId="0E6DCCAE">
      <w:pPr>
        <w:spacing w:line="360" w:lineRule="auto"/>
        <w:ind w:firstLine="482" w:firstLineChars="200"/>
        <w:rPr>
          <w:b/>
          <w:color w:val="auto"/>
          <w:sz w:val="24"/>
          <w:lang w:val="en-US"/>
        </w:rPr>
      </w:pPr>
      <w:r>
        <w:rPr>
          <w:rFonts w:hint="eastAsia"/>
          <w:b/>
          <w:color w:val="auto"/>
          <w:sz w:val="24"/>
          <w:lang w:val="en-US"/>
        </w:rPr>
        <w:t>9.要求</w:t>
      </w:r>
    </w:p>
    <w:p w14:paraId="375DB60C">
      <w:pPr>
        <w:pStyle w:val="43"/>
        <w:tabs>
          <w:tab w:val="left" w:pos="880"/>
        </w:tabs>
        <w:spacing w:before="0" w:line="360" w:lineRule="auto"/>
        <w:ind w:left="0" w:firstLineChars="200"/>
        <w:rPr>
          <w:rFonts w:hint="eastAsia"/>
          <w:color w:val="auto"/>
          <w:sz w:val="24"/>
          <w:lang w:val="en-US"/>
        </w:rPr>
      </w:pPr>
      <w:r>
        <w:rPr>
          <w:rFonts w:hint="eastAsia"/>
          <w:color w:val="auto"/>
          <w:sz w:val="24"/>
          <w:lang w:val="en-US"/>
        </w:rPr>
        <w:t>9.1 供应商应仔细阅读磋商文件的所有内容，按照磋商文件的要求提交响应文件，并对所提供的全部资料的真实性承担法律责任。</w:t>
      </w:r>
    </w:p>
    <w:p w14:paraId="36A2DB57">
      <w:pPr>
        <w:pStyle w:val="43"/>
        <w:tabs>
          <w:tab w:val="left" w:pos="880"/>
        </w:tabs>
        <w:spacing w:before="0" w:line="360" w:lineRule="auto"/>
        <w:ind w:left="0" w:firstLineChars="200"/>
        <w:rPr>
          <w:color w:val="auto"/>
          <w:sz w:val="24"/>
        </w:rPr>
      </w:pPr>
      <w:r>
        <w:rPr>
          <w:rFonts w:hint="eastAsia"/>
          <w:color w:val="auto"/>
          <w:sz w:val="24"/>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rPr>
        <w:t>由供应商承担。</w:t>
      </w:r>
    </w:p>
    <w:p w14:paraId="1C6225D7">
      <w:pPr>
        <w:pStyle w:val="43"/>
        <w:tabs>
          <w:tab w:val="left" w:pos="880"/>
        </w:tabs>
        <w:spacing w:before="0" w:line="360" w:lineRule="auto"/>
        <w:ind w:left="0" w:firstLine="482" w:firstLineChars="200"/>
        <w:rPr>
          <w:b/>
          <w:bCs/>
          <w:color w:val="auto"/>
          <w:sz w:val="24"/>
        </w:rPr>
      </w:pPr>
      <w:r>
        <w:rPr>
          <w:rFonts w:hint="eastAsia"/>
          <w:b/>
          <w:bCs/>
          <w:color w:val="auto"/>
          <w:sz w:val="24"/>
          <w:lang w:val="en-US"/>
        </w:rPr>
        <w:t xml:space="preserve">9.3 </w:t>
      </w:r>
      <w:r>
        <w:rPr>
          <w:rFonts w:hint="eastAsia"/>
          <w:b/>
          <w:bCs/>
          <w:color w:val="auto"/>
          <w:sz w:val="24"/>
        </w:rPr>
        <w:t>响应文件的形式和效力</w:t>
      </w:r>
    </w:p>
    <w:p w14:paraId="52F43D9E">
      <w:pPr>
        <w:pStyle w:val="43"/>
        <w:tabs>
          <w:tab w:val="left" w:pos="880"/>
        </w:tabs>
        <w:spacing w:before="0" w:line="360" w:lineRule="auto"/>
        <w:ind w:left="0" w:firstLine="482" w:firstLineChars="200"/>
        <w:rPr>
          <w:b/>
          <w:bCs/>
          <w:color w:val="auto"/>
          <w:sz w:val="24"/>
        </w:rPr>
      </w:pPr>
      <w:r>
        <w:rPr>
          <w:rFonts w:hint="eastAsia"/>
          <w:b/>
          <w:bCs/>
          <w:color w:val="auto"/>
          <w:sz w:val="24"/>
          <w:lang w:val="en-US"/>
        </w:rPr>
        <w:t>9.3.1</w:t>
      </w:r>
      <w:r>
        <w:rPr>
          <w:rFonts w:hint="eastAsia"/>
          <w:b/>
          <w:bCs/>
          <w:color w:val="auto"/>
          <w:sz w:val="24"/>
          <w:lang w:val="en-US" w:eastAsia="zh-CN"/>
        </w:rPr>
        <w:t xml:space="preserve"> </w:t>
      </w:r>
      <w:r>
        <w:rPr>
          <w:rFonts w:hint="eastAsia"/>
          <w:b/>
          <w:bCs/>
          <w:color w:val="auto"/>
          <w:sz w:val="24"/>
        </w:rPr>
        <w:t>响应文件的形式：响应文件分为电子响应文件、备份响应文件。</w:t>
      </w:r>
    </w:p>
    <w:p w14:paraId="6C505A0F">
      <w:pPr>
        <w:pStyle w:val="43"/>
        <w:tabs>
          <w:tab w:val="left" w:pos="880"/>
        </w:tabs>
        <w:spacing w:before="0" w:line="360" w:lineRule="auto"/>
        <w:ind w:left="0" w:firstLine="482" w:firstLineChars="200"/>
        <w:rPr>
          <w:b/>
          <w:bCs/>
          <w:color w:val="auto"/>
          <w:sz w:val="24"/>
        </w:rPr>
      </w:pPr>
      <w:r>
        <w:rPr>
          <w:rFonts w:hint="eastAsia"/>
          <w:b/>
          <w:bCs/>
          <w:color w:val="auto"/>
          <w:sz w:val="24"/>
          <w:lang w:val="en-US"/>
        </w:rPr>
        <w:t>9.3.2</w:t>
      </w:r>
      <w:r>
        <w:rPr>
          <w:rFonts w:hint="eastAsia"/>
          <w:b/>
          <w:bCs/>
          <w:color w:val="auto"/>
          <w:sz w:val="24"/>
          <w:lang w:val="en-US" w:eastAsia="zh-CN"/>
        </w:rPr>
        <w:t xml:space="preserve"> </w:t>
      </w:r>
      <w:r>
        <w:rPr>
          <w:rFonts w:hint="eastAsia"/>
          <w:b/>
          <w:bCs/>
          <w:color w:val="auto"/>
          <w:sz w:val="24"/>
        </w:rPr>
        <w:t>响应文件的效力</w:t>
      </w:r>
    </w:p>
    <w:p w14:paraId="747323A6">
      <w:pPr>
        <w:pStyle w:val="2"/>
        <w:spacing w:line="360" w:lineRule="auto"/>
        <w:ind w:firstLine="480" w:firstLineChars="200"/>
        <w:rPr>
          <w:color w:val="auto"/>
        </w:rPr>
      </w:pPr>
      <w:r>
        <w:rPr>
          <w:rFonts w:hint="eastAsia"/>
          <w:color w:val="auto"/>
        </w:rPr>
        <w:t>响应文件的启用，按先后顺位分别为电子响应文件、备份响应文件。</w:t>
      </w:r>
    </w:p>
    <w:p w14:paraId="3BC9C293">
      <w:pPr>
        <w:pStyle w:val="2"/>
        <w:spacing w:line="360" w:lineRule="auto"/>
        <w:ind w:firstLine="480" w:firstLineChars="200"/>
        <w:rPr>
          <w:color w:val="auto"/>
        </w:rPr>
      </w:pPr>
      <w:r>
        <w:rPr>
          <w:rFonts w:hint="eastAsia"/>
          <w:color w:val="auto"/>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29E6E7A8">
      <w:pPr>
        <w:spacing w:line="360" w:lineRule="auto"/>
        <w:ind w:firstLine="482" w:firstLineChars="200"/>
        <w:rPr>
          <w:b/>
          <w:color w:val="auto"/>
          <w:sz w:val="24"/>
          <w:lang w:val="en-US"/>
        </w:rPr>
      </w:pPr>
      <w:r>
        <w:rPr>
          <w:rFonts w:hint="eastAsia"/>
          <w:b/>
          <w:color w:val="auto"/>
          <w:sz w:val="24"/>
          <w:lang w:val="en-US"/>
        </w:rPr>
        <w:t>10.响应文件的组成</w:t>
      </w:r>
    </w:p>
    <w:p w14:paraId="438374EA">
      <w:pPr>
        <w:pStyle w:val="2"/>
        <w:spacing w:line="360" w:lineRule="auto"/>
        <w:ind w:firstLine="480" w:firstLineChars="200"/>
        <w:rPr>
          <w:color w:val="auto"/>
        </w:rPr>
      </w:pPr>
      <w:r>
        <w:rPr>
          <w:rFonts w:hint="eastAsia"/>
          <w:color w:val="auto"/>
          <w:lang w:val="en-US"/>
        </w:rPr>
        <w:t>10.1</w:t>
      </w:r>
      <w:r>
        <w:rPr>
          <w:rFonts w:hint="eastAsia"/>
          <w:color w:val="auto"/>
          <w:lang w:val="en-US" w:eastAsia="zh-CN"/>
        </w:rPr>
        <w:t xml:space="preserve"> </w:t>
      </w:r>
      <w:r>
        <w:rPr>
          <w:rFonts w:hint="eastAsia"/>
          <w:color w:val="auto"/>
        </w:rPr>
        <w:t>响应文件应分为资格审查文件、资信商务及技术文件、报价文件三部分。资格审查文件、资信商务及技术文件如有报价的内容</w:t>
      </w:r>
      <w:r>
        <w:rPr>
          <w:rFonts w:hint="eastAsia"/>
          <w:color w:val="auto"/>
          <w:lang w:eastAsia="zh-CN"/>
        </w:rPr>
        <w:t>，</w:t>
      </w:r>
      <w:r>
        <w:rPr>
          <w:rFonts w:hint="eastAsia"/>
          <w:color w:val="auto"/>
        </w:rPr>
        <w:t xml:space="preserve"> 其响应文件无效。报价文件如有资信商务及技术内容</w:t>
      </w:r>
      <w:r>
        <w:rPr>
          <w:rFonts w:hint="eastAsia"/>
          <w:color w:val="auto"/>
          <w:lang w:eastAsia="zh-CN"/>
        </w:rPr>
        <w:t>，</w:t>
      </w:r>
      <w:r>
        <w:rPr>
          <w:rFonts w:hint="eastAsia"/>
          <w:color w:val="auto"/>
        </w:rPr>
        <w:t xml:space="preserve"> 其资信商务及技术内容评标时将作为无效内容。</w:t>
      </w:r>
    </w:p>
    <w:p w14:paraId="72D669B5">
      <w:pPr>
        <w:spacing w:line="360" w:lineRule="auto"/>
        <w:ind w:firstLine="482" w:firstLineChars="200"/>
        <w:rPr>
          <w:b/>
          <w:color w:val="auto"/>
          <w:sz w:val="24"/>
          <w:lang w:val="en-US"/>
        </w:rPr>
      </w:pPr>
      <w:r>
        <w:rPr>
          <w:rFonts w:hint="eastAsia"/>
          <w:b/>
          <w:color w:val="auto"/>
          <w:sz w:val="24"/>
          <w:lang w:val="en-US"/>
        </w:rPr>
        <w:t>11.</w:t>
      </w:r>
      <w:r>
        <w:rPr>
          <w:rFonts w:hint="eastAsia"/>
          <w:b/>
          <w:color w:val="auto"/>
          <w:sz w:val="24"/>
          <w:lang w:val="en-US" w:eastAsia="zh-CN"/>
        </w:rPr>
        <w:t xml:space="preserve"> </w:t>
      </w:r>
      <w:r>
        <w:rPr>
          <w:rFonts w:hint="eastAsia"/>
          <w:b/>
          <w:color w:val="auto"/>
          <w:sz w:val="24"/>
          <w:lang w:val="en-US"/>
        </w:rPr>
        <w:t>响应文件编制内容和要求</w:t>
      </w:r>
    </w:p>
    <w:p w14:paraId="4D450FEC">
      <w:pPr>
        <w:pStyle w:val="43"/>
        <w:tabs>
          <w:tab w:val="left" w:pos="1625"/>
        </w:tabs>
        <w:spacing w:before="0" w:line="360" w:lineRule="auto"/>
        <w:ind w:left="0" w:firstLine="482" w:firstLineChars="200"/>
        <w:jc w:val="both"/>
        <w:rPr>
          <w:color w:val="auto"/>
          <w:sz w:val="24"/>
        </w:rPr>
      </w:pPr>
      <w:r>
        <w:rPr>
          <w:rFonts w:hint="eastAsia"/>
          <w:b/>
          <w:color w:val="auto"/>
          <w:sz w:val="24"/>
          <w:lang w:val="en-US"/>
        </w:rPr>
        <w:t xml:space="preserve">11.1 </w:t>
      </w:r>
      <w:r>
        <w:rPr>
          <w:rFonts w:hint="eastAsia"/>
          <w:b/>
          <w:color w:val="auto"/>
          <w:sz w:val="24"/>
        </w:rPr>
        <w:t>资格审查文件编制内容和要求：</w:t>
      </w:r>
      <w:r>
        <w:rPr>
          <w:rFonts w:hint="eastAsia"/>
          <w:color w:val="auto"/>
          <w:sz w:val="24"/>
        </w:rPr>
        <w:t>格式见第五章资格审查文件格式</w:t>
      </w:r>
    </w:p>
    <w:p w14:paraId="52335C4C">
      <w:pPr>
        <w:pStyle w:val="2"/>
        <w:spacing w:line="360" w:lineRule="auto"/>
        <w:ind w:firstLine="480" w:firstLineChars="200"/>
        <w:rPr>
          <w:color w:val="auto"/>
        </w:rPr>
      </w:pPr>
      <w:r>
        <w:rPr>
          <w:rFonts w:hint="eastAsia"/>
          <w:color w:val="auto"/>
        </w:rPr>
        <w:t>▲11.1.1 公司有效营业执照扫描件；</w:t>
      </w:r>
    </w:p>
    <w:p w14:paraId="7D2CCD5A">
      <w:pPr>
        <w:pStyle w:val="2"/>
        <w:spacing w:line="360" w:lineRule="auto"/>
        <w:ind w:firstLine="480" w:firstLineChars="200"/>
        <w:rPr>
          <w:color w:val="auto"/>
        </w:rPr>
      </w:pPr>
      <w:r>
        <w:rPr>
          <w:rFonts w:hint="eastAsia"/>
          <w:color w:val="auto"/>
        </w:rPr>
        <w:t xml:space="preserve">▲11.1.2 </w:t>
      </w:r>
      <w:r>
        <w:rPr>
          <w:rFonts w:hint="eastAsia"/>
          <w:color w:val="auto"/>
          <w:lang w:val="en-US" w:eastAsia="zh-CN"/>
        </w:rPr>
        <w:t>法定代表人资格证明书或授权委托书</w:t>
      </w:r>
      <w:r>
        <w:rPr>
          <w:rFonts w:hint="eastAsia"/>
          <w:color w:val="auto"/>
        </w:rPr>
        <w:t>（委托代理人参加磋商的，提供负责人身份证扫描件，同时提供授权委托书及委托代理人身份证扫描件）；</w:t>
      </w:r>
    </w:p>
    <w:p w14:paraId="68D57831">
      <w:pPr>
        <w:pStyle w:val="2"/>
        <w:spacing w:line="360" w:lineRule="auto"/>
        <w:ind w:firstLine="480" w:firstLineChars="200"/>
        <w:rPr>
          <w:color w:val="auto"/>
          <w:highlight w:val="none"/>
        </w:rPr>
      </w:pPr>
      <w:r>
        <w:rPr>
          <w:rFonts w:hint="eastAsia"/>
          <w:color w:val="auto"/>
        </w:rPr>
        <w:t>▲11.1.3 政府采购资格承诺函</w:t>
      </w:r>
      <w:r>
        <w:rPr>
          <w:rFonts w:hint="eastAsia"/>
          <w:color w:val="auto"/>
          <w:highlight w:val="none"/>
        </w:rPr>
        <w:t>，见资格审查文件格式；</w:t>
      </w:r>
    </w:p>
    <w:p w14:paraId="65C52FE9">
      <w:pPr>
        <w:pStyle w:val="2"/>
        <w:spacing w:line="360" w:lineRule="auto"/>
        <w:ind w:firstLine="480" w:firstLineChars="200"/>
        <w:rPr>
          <w:color w:val="auto"/>
          <w:highlight w:val="none"/>
        </w:rPr>
      </w:pPr>
      <w:r>
        <w:rPr>
          <w:rFonts w:hint="eastAsia"/>
          <w:color w:val="auto"/>
          <w:highlight w:val="none"/>
        </w:rPr>
        <w:t>▲11.1.4 资格声明，见资格审查文件格式；</w:t>
      </w:r>
    </w:p>
    <w:p w14:paraId="09B02F61">
      <w:pPr>
        <w:pStyle w:val="2"/>
        <w:spacing w:line="360" w:lineRule="auto"/>
        <w:ind w:firstLine="480" w:firstLineChars="200"/>
        <w:rPr>
          <w:color w:val="auto"/>
          <w:highlight w:val="none"/>
        </w:rPr>
      </w:pPr>
      <w:r>
        <w:rPr>
          <w:rFonts w:hint="eastAsia"/>
          <w:color w:val="auto"/>
          <w:highlight w:val="none"/>
        </w:rPr>
        <w:t xml:space="preserve">▲11.1.5 </w:t>
      </w:r>
      <w:r>
        <w:rPr>
          <w:rFonts w:hint="eastAsia" w:ascii="仿宋" w:hAnsi="仿宋" w:eastAsia="仿宋" w:cs="仿宋"/>
          <w:color w:val="auto"/>
          <w:sz w:val="24"/>
        </w:rPr>
        <w:t>信用信息记录查询（注：本项内容由代理机构在资格审查现场完成查询，故不作导入资格审查文件要求。）</w:t>
      </w:r>
    </w:p>
    <w:p w14:paraId="1AD78B25">
      <w:pPr>
        <w:pStyle w:val="43"/>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69E5FE72">
      <w:pPr>
        <w:pStyle w:val="43"/>
        <w:tabs>
          <w:tab w:val="left" w:pos="1560"/>
        </w:tabs>
        <w:spacing w:before="0" w:line="360" w:lineRule="auto"/>
        <w:ind w:left="0" w:firstLine="482" w:firstLineChars="200"/>
        <w:rPr>
          <w:b/>
          <w:bCs/>
          <w:color w:val="auto"/>
          <w:sz w:val="24"/>
        </w:rPr>
      </w:pPr>
      <w:r>
        <w:rPr>
          <w:rFonts w:hint="eastAsia"/>
          <w:b/>
          <w:bCs/>
          <w:color w:val="auto"/>
          <w:sz w:val="24"/>
          <w:highlight w:val="none"/>
          <w:lang w:val="en-US"/>
        </w:rPr>
        <w:t>11.2</w:t>
      </w:r>
      <w:r>
        <w:rPr>
          <w:rFonts w:hint="eastAsia"/>
          <w:b/>
          <w:bCs/>
          <w:color w:val="auto"/>
          <w:sz w:val="24"/>
          <w:highlight w:val="none"/>
          <w:lang w:val="en-US" w:eastAsia="zh-CN"/>
        </w:rPr>
        <w:t xml:space="preserve"> </w:t>
      </w:r>
      <w:r>
        <w:rPr>
          <w:rFonts w:hint="eastAsia"/>
          <w:b/>
          <w:bCs/>
          <w:color w:val="auto"/>
          <w:sz w:val="24"/>
          <w:highlight w:val="none"/>
        </w:rPr>
        <w:t>资信商务及技术文件编制内容和</w:t>
      </w:r>
      <w:r>
        <w:rPr>
          <w:rFonts w:hint="eastAsia"/>
          <w:b/>
          <w:bCs/>
          <w:color w:val="auto"/>
          <w:sz w:val="24"/>
        </w:rPr>
        <w:t>要求：</w:t>
      </w:r>
    </w:p>
    <w:p w14:paraId="53B80EE7">
      <w:pPr>
        <w:pStyle w:val="43"/>
        <w:tabs>
          <w:tab w:val="left" w:pos="1800"/>
        </w:tabs>
        <w:spacing w:before="0" w:line="360" w:lineRule="auto"/>
        <w:ind w:left="0" w:firstLineChars="200"/>
        <w:rPr>
          <w:color w:val="auto"/>
          <w:sz w:val="24"/>
        </w:rPr>
      </w:pPr>
      <w:r>
        <w:rPr>
          <w:rFonts w:hint="eastAsia"/>
          <w:color w:val="auto"/>
          <w:sz w:val="24"/>
          <w:lang w:val="en-US"/>
        </w:rPr>
        <w:t>11.2.1</w:t>
      </w:r>
      <w:r>
        <w:rPr>
          <w:rFonts w:hint="eastAsia"/>
          <w:color w:val="auto"/>
          <w:sz w:val="24"/>
        </w:rPr>
        <w:t>按磋商文件第五章磋商相关文件格式所列的内容、格式的要求</w:t>
      </w:r>
      <w:r>
        <w:rPr>
          <w:rFonts w:hint="eastAsia"/>
          <w:color w:val="auto"/>
          <w:sz w:val="24"/>
          <w:lang w:eastAsia="zh-CN"/>
        </w:rPr>
        <w:t>，</w:t>
      </w:r>
      <w:r>
        <w:rPr>
          <w:rFonts w:hint="eastAsia"/>
          <w:color w:val="auto"/>
          <w:sz w:val="24"/>
        </w:rPr>
        <w:t>及供应商认为有必要提供</w:t>
      </w:r>
      <w:r>
        <w:rPr>
          <w:rFonts w:hint="eastAsia"/>
          <w:color w:val="auto"/>
          <w:sz w:val="24"/>
          <w:lang w:eastAsia="zh-CN"/>
        </w:rPr>
        <w:t>的其他文件</w:t>
      </w:r>
      <w:r>
        <w:rPr>
          <w:rFonts w:hint="eastAsia"/>
          <w:color w:val="auto"/>
          <w:sz w:val="24"/>
        </w:rPr>
        <w:t>；</w:t>
      </w:r>
    </w:p>
    <w:p w14:paraId="6AED0017">
      <w:pPr>
        <w:pStyle w:val="43"/>
        <w:tabs>
          <w:tab w:val="left" w:pos="1800"/>
        </w:tabs>
        <w:spacing w:before="0" w:line="360" w:lineRule="auto"/>
        <w:ind w:left="0" w:firstLineChars="200"/>
        <w:rPr>
          <w:color w:val="auto"/>
          <w:sz w:val="24"/>
        </w:rPr>
      </w:pPr>
      <w:r>
        <w:rPr>
          <w:rFonts w:hint="eastAsia"/>
          <w:color w:val="auto"/>
          <w:sz w:val="24"/>
          <w:lang w:val="en-US"/>
        </w:rPr>
        <w:t xml:space="preserve">11.2.2 </w:t>
      </w:r>
      <w:r>
        <w:rPr>
          <w:rFonts w:hint="eastAsia"/>
          <w:color w:val="auto"/>
          <w:sz w:val="24"/>
        </w:rPr>
        <w:t>供应商需对照磋商文件第</w:t>
      </w:r>
      <w:r>
        <w:rPr>
          <w:rFonts w:hint="eastAsia"/>
          <w:color w:val="auto"/>
          <w:sz w:val="24"/>
          <w:lang w:val="en-US"/>
        </w:rPr>
        <w:t>二</w:t>
      </w:r>
      <w:r>
        <w:rPr>
          <w:rFonts w:hint="eastAsia"/>
          <w:color w:val="auto"/>
          <w:sz w:val="24"/>
        </w:rPr>
        <w:t>章招标要求所列的内容；</w:t>
      </w:r>
    </w:p>
    <w:p w14:paraId="074414C1">
      <w:pPr>
        <w:pStyle w:val="43"/>
        <w:tabs>
          <w:tab w:val="left" w:pos="1800"/>
        </w:tabs>
        <w:spacing w:before="0" w:line="360" w:lineRule="auto"/>
        <w:ind w:left="0" w:firstLineChars="200"/>
        <w:rPr>
          <w:color w:val="auto"/>
          <w:sz w:val="24"/>
        </w:rPr>
      </w:pPr>
      <w:r>
        <w:rPr>
          <w:rFonts w:hint="eastAsia"/>
          <w:color w:val="auto"/>
          <w:sz w:val="24"/>
          <w:lang w:val="en-US"/>
        </w:rPr>
        <w:t xml:space="preserve">11.2.3 </w:t>
      </w:r>
      <w:r>
        <w:rPr>
          <w:rFonts w:hint="eastAsia"/>
          <w:color w:val="auto"/>
          <w:sz w:val="24"/>
        </w:rPr>
        <w:t>资格证明文件及其他相关资料；</w:t>
      </w:r>
    </w:p>
    <w:p w14:paraId="5DDFFB91">
      <w:pPr>
        <w:pStyle w:val="43"/>
        <w:tabs>
          <w:tab w:val="left" w:pos="1800"/>
        </w:tabs>
        <w:spacing w:before="0" w:line="360" w:lineRule="auto"/>
        <w:ind w:left="0" w:firstLineChars="200"/>
        <w:jc w:val="both"/>
        <w:rPr>
          <w:color w:val="auto"/>
          <w:sz w:val="24"/>
        </w:rPr>
      </w:pPr>
      <w:r>
        <w:rPr>
          <w:rFonts w:hint="eastAsia"/>
          <w:color w:val="auto"/>
          <w:sz w:val="24"/>
          <w:lang w:val="en-US"/>
        </w:rPr>
        <w:t xml:space="preserve">11.2.4 </w:t>
      </w:r>
      <w:r>
        <w:rPr>
          <w:rFonts w:hint="eastAsia"/>
          <w:color w:val="auto"/>
          <w:sz w:val="24"/>
        </w:rPr>
        <w:t>供应商认为有必要提交的其他资料文件；</w:t>
      </w:r>
    </w:p>
    <w:p w14:paraId="43927995">
      <w:pPr>
        <w:pStyle w:val="43"/>
        <w:tabs>
          <w:tab w:val="left" w:pos="1560"/>
        </w:tabs>
        <w:spacing w:before="0" w:line="360" w:lineRule="auto"/>
        <w:ind w:left="0" w:firstLine="482" w:firstLineChars="200"/>
        <w:jc w:val="both"/>
        <w:rPr>
          <w:b/>
          <w:bCs/>
          <w:color w:val="auto"/>
          <w:sz w:val="24"/>
        </w:rPr>
      </w:pPr>
      <w:r>
        <w:rPr>
          <w:rFonts w:hint="eastAsia"/>
          <w:b/>
          <w:bCs/>
          <w:color w:val="auto"/>
          <w:sz w:val="24"/>
          <w:lang w:val="en-US"/>
        </w:rPr>
        <w:t xml:space="preserve">11.3 </w:t>
      </w:r>
      <w:r>
        <w:rPr>
          <w:rFonts w:hint="eastAsia"/>
          <w:b/>
          <w:bCs/>
          <w:color w:val="auto"/>
          <w:sz w:val="24"/>
        </w:rPr>
        <w:t>报价文件内容</w:t>
      </w:r>
      <w:r>
        <w:rPr>
          <w:rFonts w:hint="eastAsia"/>
          <w:b/>
          <w:bCs/>
          <w:color w:val="auto"/>
          <w:sz w:val="24"/>
          <w:lang w:eastAsia="zh-CN"/>
        </w:rPr>
        <w:t>：</w:t>
      </w:r>
      <w:r>
        <w:rPr>
          <w:rFonts w:hint="eastAsia"/>
          <w:b/>
          <w:bCs/>
          <w:color w:val="auto"/>
          <w:sz w:val="24"/>
        </w:rPr>
        <w:t xml:space="preserve"> 见第五章格式。</w:t>
      </w:r>
    </w:p>
    <w:p w14:paraId="66CCDDEE">
      <w:pPr>
        <w:pStyle w:val="43"/>
        <w:tabs>
          <w:tab w:val="left" w:pos="1800"/>
        </w:tabs>
        <w:spacing w:before="0" w:line="360" w:lineRule="auto"/>
        <w:ind w:left="0" w:firstLineChars="200"/>
        <w:jc w:val="both"/>
        <w:rPr>
          <w:color w:val="auto"/>
          <w:sz w:val="24"/>
        </w:rPr>
      </w:pPr>
      <w:r>
        <w:rPr>
          <w:rFonts w:hint="eastAsia"/>
          <w:color w:val="auto"/>
          <w:sz w:val="24"/>
          <w:lang w:val="en-US"/>
        </w:rPr>
        <w:t>11.3.1</w:t>
      </w:r>
      <w:r>
        <w:rPr>
          <w:rFonts w:hint="eastAsia"/>
          <w:color w:val="auto"/>
          <w:sz w:val="24"/>
        </w:rPr>
        <w:t>磋商报价要求</w:t>
      </w:r>
    </w:p>
    <w:p w14:paraId="6098ECCA">
      <w:pPr>
        <w:pStyle w:val="2"/>
        <w:spacing w:line="360" w:lineRule="auto"/>
        <w:ind w:firstLine="482" w:firstLineChars="200"/>
        <w:rPr>
          <w:b/>
          <w:bCs/>
          <w:color w:val="auto"/>
          <w:lang w:val="en-US"/>
        </w:rPr>
      </w:pPr>
      <w:r>
        <w:rPr>
          <w:rFonts w:hint="eastAsia"/>
          <w:b/>
          <w:bCs/>
          <w:color w:val="auto"/>
          <w:lang w:val="en-US"/>
        </w:rPr>
        <w:t>▲供应商应在磋商文件所附的磋商价格表上写明磋商报价。供应商只允许有一个  报价</w:t>
      </w:r>
      <w:r>
        <w:rPr>
          <w:rFonts w:hint="eastAsia"/>
          <w:b/>
          <w:bCs/>
          <w:color w:val="auto"/>
          <w:lang w:val="en-US" w:eastAsia="zh-CN"/>
        </w:rPr>
        <w:t>，</w:t>
      </w:r>
      <w:r>
        <w:rPr>
          <w:rFonts w:hint="eastAsia"/>
          <w:b/>
          <w:bCs/>
          <w:color w:val="auto"/>
          <w:lang w:val="en-US"/>
        </w:rPr>
        <w:t>采购人不接受有任何选择的报价，磋商报价高于最高限价的作响应文件无效处  理。</w:t>
      </w:r>
    </w:p>
    <w:p w14:paraId="7EB21974">
      <w:pPr>
        <w:numPr>
          <w:ilvl w:val="0"/>
          <w:numId w:val="10"/>
        </w:numPr>
        <w:spacing w:line="360" w:lineRule="auto"/>
        <w:ind w:firstLine="482" w:firstLineChars="200"/>
        <w:rPr>
          <w:b/>
          <w:color w:val="auto"/>
          <w:sz w:val="24"/>
          <w:lang w:val="en-US"/>
        </w:rPr>
      </w:pPr>
      <w:r>
        <w:rPr>
          <w:rFonts w:hint="eastAsia"/>
          <w:b/>
          <w:color w:val="auto"/>
          <w:sz w:val="24"/>
          <w:lang w:val="en-US"/>
        </w:rPr>
        <w:t>排版</w:t>
      </w:r>
    </w:p>
    <w:p w14:paraId="50AEBA44">
      <w:pPr>
        <w:pStyle w:val="2"/>
        <w:spacing w:line="360" w:lineRule="auto"/>
        <w:ind w:firstLine="480" w:firstLineChars="200"/>
        <w:rPr>
          <w:color w:val="auto"/>
          <w:lang w:val="en-US"/>
        </w:rPr>
      </w:pPr>
      <w:r>
        <w:rPr>
          <w:rFonts w:hint="eastAsia"/>
          <w:color w:val="auto"/>
          <w:lang w:val="en-US"/>
        </w:rPr>
        <w:t>12.1 供应商应当按照响应文件各部分的组成内容的相关顺序进行排版。</w:t>
      </w:r>
    </w:p>
    <w:p w14:paraId="4772EF7F">
      <w:pPr>
        <w:numPr>
          <w:ilvl w:val="0"/>
          <w:numId w:val="10"/>
        </w:numPr>
        <w:spacing w:line="360" w:lineRule="auto"/>
        <w:ind w:firstLine="482" w:firstLineChars="200"/>
        <w:rPr>
          <w:rFonts w:hint="eastAsia"/>
          <w:b/>
          <w:color w:val="auto"/>
          <w:sz w:val="24"/>
          <w:lang w:val="en-US"/>
        </w:rPr>
      </w:pPr>
      <w:r>
        <w:rPr>
          <w:rFonts w:hint="eastAsia"/>
          <w:b/>
          <w:color w:val="auto"/>
          <w:sz w:val="24"/>
          <w:lang w:val="en-US"/>
        </w:rPr>
        <w:t>磋商有效期</w:t>
      </w:r>
    </w:p>
    <w:p w14:paraId="456F4243">
      <w:pPr>
        <w:spacing w:line="360" w:lineRule="auto"/>
        <w:ind w:firstLine="480" w:firstLineChars="200"/>
        <w:rPr>
          <w:color w:val="auto"/>
          <w:sz w:val="24"/>
        </w:rPr>
      </w:pPr>
      <w:r>
        <w:rPr>
          <w:rFonts w:hint="eastAsia"/>
          <w:color w:val="auto"/>
          <w:sz w:val="24"/>
        </w:rPr>
        <w:t>▲13.1 提交响应文件的截止之日起 90 天内有效。</w:t>
      </w:r>
    </w:p>
    <w:p w14:paraId="2B0994DD">
      <w:pPr>
        <w:numPr>
          <w:ilvl w:val="0"/>
          <w:numId w:val="10"/>
        </w:numPr>
        <w:spacing w:line="360" w:lineRule="auto"/>
        <w:ind w:left="0" w:leftChars="0" w:firstLine="482" w:firstLineChars="200"/>
        <w:rPr>
          <w:b/>
          <w:color w:val="auto"/>
          <w:sz w:val="24"/>
        </w:rPr>
      </w:pPr>
      <w:r>
        <w:rPr>
          <w:rFonts w:hint="eastAsia"/>
          <w:b/>
          <w:color w:val="auto"/>
          <w:sz w:val="24"/>
        </w:rPr>
        <w:t>响应文件的签署及规定</w:t>
      </w:r>
    </w:p>
    <w:p w14:paraId="5771BB5D">
      <w:pPr>
        <w:pStyle w:val="43"/>
        <w:tabs>
          <w:tab w:val="left" w:pos="1563"/>
        </w:tabs>
        <w:spacing w:before="0" w:line="360" w:lineRule="auto"/>
        <w:ind w:left="0" w:firstLineChars="200"/>
        <w:rPr>
          <w:color w:val="auto"/>
          <w:sz w:val="24"/>
        </w:rPr>
      </w:pPr>
      <w:r>
        <w:rPr>
          <w:rFonts w:hint="eastAsia"/>
          <w:color w:val="auto"/>
          <w:sz w:val="24"/>
          <w:lang w:val="en-US"/>
        </w:rPr>
        <w:t>14.1</w:t>
      </w:r>
      <w:r>
        <w:rPr>
          <w:rFonts w:hint="eastAsia"/>
          <w:color w:val="auto"/>
          <w:sz w:val="24"/>
          <w:lang w:val="en-US" w:eastAsia="zh-CN"/>
        </w:rPr>
        <w:t xml:space="preserve"> </w:t>
      </w:r>
      <w:r>
        <w:rPr>
          <w:rFonts w:hint="eastAsia"/>
          <w:color w:val="auto"/>
          <w:sz w:val="24"/>
        </w:rPr>
        <w:t>供应商应按磋商文件规定的内容和要求编制响应文件，响应文件须清楚的标明“资格审查文件”、“资信商务及技术文件”、“报价文件”。</w:t>
      </w:r>
    </w:p>
    <w:p w14:paraId="660B324E">
      <w:pPr>
        <w:pStyle w:val="43"/>
        <w:tabs>
          <w:tab w:val="left" w:pos="1560"/>
        </w:tabs>
        <w:spacing w:before="0" w:line="360" w:lineRule="auto"/>
        <w:ind w:left="0" w:firstLineChars="200"/>
        <w:rPr>
          <w:color w:val="auto"/>
          <w:sz w:val="24"/>
        </w:rPr>
      </w:pPr>
      <w:r>
        <w:rPr>
          <w:rFonts w:hint="eastAsia"/>
          <w:color w:val="auto"/>
          <w:sz w:val="24"/>
          <w:lang w:val="en-US"/>
        </w:rPr>
        <w:t>14.2</w:t>
      </w:r>
      <w:r>
        <w:rPr>
          <w:rFonts w:hint="eastAsia"/>
          <w:color w:val="auto"/>
          <w:sz w:val="24"/>
          <w:lang w:val="en-US" w:eastAsia="zh-CN"/>
        </w:rPr>
        <w:t xml:space="preserve"> </w:t>
      </w:r>
      <w:r>
        <w:rPr>
          <w:rFonts w:hint="eastAsia"/>
          <w:color w:val="auto"/>
          <w:sz w:val="24"/>
        </w:rPr>
        <w:t xml:space="preserve">电子响应文件及备份响应文件中须加盖公章部分均采用 </w:t>
      </w:r>
      <w:r>
        <w:rPr>
          <w:rFonts w:hint="eastAsia"/>
          <w:b/>
          <w:color w:val="auto"/>
          <w:sz w:val="24"/>
        </w:rPr>
        <w:t>CA</w:t>
      </w:r>
      <w:r>
        <w:rPr>
          <w:rFonts w:hint="eastAsia"/>
          <w:color w:val="auto"/>
          <w:sz w:val="24"/>
        </w:rPr>
        <w:t>签章（响应文件格式有特殊要求的除外）。</w:t>
      </w:r>
    </w:p>
    <w:p w14:paraId="47D336D1">
      <w:pPr>
        <w:pStyle w:val="43"/>
        <w:tabs>
          <w:tab w:val="left" w:pos="1560"/>
        </w:tabs>
        <w:spacing w:before="0" w:line="360" w:lineRule="auto"/>
        <w:ind w:left="0" w:firstLineChars="200"/>
        <w:rPr>
          <w:color w:val="auto"/>
          <w:sz w:val="34"/>
        </w:rPr>
      </w:pPr>
      <w:r>
        <w:rPr>
          <w:rFonts w:hint="eastAsia"/>
          <w:color w:val="auto"/>
          <w:sz w:val="24"/>
          <w:lang w:val="en-US"/>
        </w:rPr>
        <w:t>14.3</w:t>
      </w:r>
      <w:r>
        <w:rPr>
          <w:rFonts w:hint="eastAsia"/>
          <w:color w:val="auto"/>
          <w:sz w:val="24"/>
          <w:lang w:val="en-US" w:eastAsia="zh-CN"/>
        </w:rPr>
        <w:t xml:space="preserve"> </w:t>
      </w:r>
      <w:r>
        <w:rPr>
          <w:rFonts w:hint="eastAsia"/>
          <w:color w:val="auto"/>
          <w:sz w:val="24"/>
        </w:rPr>
        <w:t>电报、电话、传真形式的磋商概不接受。</w:t>
      </w:r>
    </w:p>
    <w:p w14:paraId="7C7DE8B7">
      <w:pPr>
        <w:pStyle w:val="4"/>
        <w:tabs>
          <w:tab w:val="left" w:pos="1291"/>
        </w:tabs>
        <w:spacing w:before="0" w:line="360" w:lineRule="auto"/>
        <w:ind w:left="0"/>
        <w:jc w:val="left"/>
        <w:rPr>
          <w:color w:val="auto"/>
          <w:lang w:val="en-US"/>
        </w:rPr>
      </w:pPr>
      <w:bookmarkStart w:id="28" w:name="四___履约保证金"/>
      <w:bookmarkEnd w:id="28"/>
      <w:bookmarkStart w:id="29" w:name="_Toc26141"/>
      <w:r>
        <w:rPr>
          <w:rFonts w:hint="eastAsia"/>
          <w:color w:val="auto"/>
          <w:lang w:val="en-US"/>
        </w:rPr>
        <w:t>四  履约保证金</w:t>
      </w:r>
      <w:bookmarkEnd w:id="29"/>
    </w:p>
    <w:p w14:paraId="3C5F72AF">
      <w:pPr>
        <w:pStyle w:val="43"/>
        <w:tabs>
          <w:tab w:val="left" w:pos="1560"/>
        </w:tabs>
        <w:spacing w:before="0" w:line="360" w:lineRule="auto"/>
        <w:ind w:left="0" w:firstLineChars="200"/>
        <w:rPr>
          <w:rFonts w:hint="eastAsia" w:eastAsia="仿宋"/>
          <w:color w:val="auto"/>
          <w:sz w:val="24"/>
          <w:lang w:val="en-US" w:eastAsia="zh-CN"/>
        </w:rPr>
      </w:pPr>
      <w:r>
        <w:rPr>
          <w:rFonts w:hint="eastAsia"/>
          <w:color w:val="auto"/>
          <w:sz w:val="24"/>
          <w:lang w:val="en-US"/>
        </w:rPr>
        <w:t>15.1</w:t>
      </w:r>
      <w:r>
        <w:rPr>
          <w:rFonts w:hint="eastAsia"/>
          <w:color w:val="auto"/>
          <w:sz w:val="24"/>
          <w:lang w:val="en-US" w:eastAsia="zh-CN"/>
        </w:rPr>
        <w:t xml:space="preserve"> </w:t>
      </w:r>
      <w:r>
        <w:rPr>
          <w:rFonts w:hint="eastAsia"/>
          <w:color w:val="auto"/>
          <w:sz w:val="24"/>
          <w:lang w:val="en-US"/>
        </w:rPr>
        <w:t>履约保证金：见投标人须知前附表</w:t>
      </w:r>
      <w:r>
        <w:rPr>
          <w:rFonts w:hint="eastAsia"/>
          <w:color w:val="auto"/>
          <w:sz w:val="24"/>
          <w:lang w:val="en-US" w:eastAsia="zh-CN"/>
        </w:rPr>
        <w:t>。</w:t>
      </w:r>
    </w:p>
    <w:p w14:paraId="0287645D">
      <w:pPr>
        <w:pStyle w:val="4"/>
        <w:tabs>
          <w:tab w:val="left" w:pos="1291"/>
        </w:tabs>
        <w:spacing w:before="0" w:line="360" w:lineRule="auto"/>
        <w:ind w:left="0"/>
        <w:jc w:val="left"/>
        <w:rPr>
          <w:rFonts w:hint="eastAsia"/>
          <w:color w:val="auto"/>
          <w:lang w:val="en-US"/>
        </w:rPr>
      </w:pPr>
      <w:bookmarkStart w:id="30" w:name="五___投标文件的加密、提交、修改和撤回"/>
      <w:bookmarkEnd w:id="30"/>
      <w:bookmarkStart w:id="31" w:name="_Toc29376"/>
      <w:r>
        <w:rPr>
          <w:rFonts w:hint="eastAsia"/>
          <w:color w:val="auto"/>
          <w:lang w:val="en-US"/>
        </w:rPr>
        <w:t>五  响应文件的加密、提交、修改和撤回</w:t>
      </w:r>
      <w:bookmarkEnd w:id="31"/>
    </w:p>
    <w:p w14:paraId="720DEEE6">
      <w:pPr>
        <w:pStyle w:val="2"/>
        <w:numPr>
          <w:ilvl w:val="0"/>
          <w:numId w:val="11"/>
        </w:numPr>
        <w:spacing w:line="360" w:lineRule="auto"/>
        <w:ind w:firstLine="482" w:firstLineChars="200"/>
        <w:rPr>
          <w:b/>
          <w:bCs/>
          <w:color w:val="auto"/>
          <w:lang w:val="en-US"/>
        </w:rPr>
      </w:pPr>
      <w:r>
        <w:rPr>
          <w:rFonts w:hint="eastAsia"/>
          <w:b/>
          <w:bCs/>
          <w:color w:val="auto"/>
          <w:lang w:val="en-US"/>
        </w:rPr>
        <w:t>响应文件的导入和加密</w:t>
      </w:r>
    </w:p>
    <w:p w14:paraId="744BBB7E">
      <w:pPr>
        <w:pStyle w:val="43"/>
        <w:numPr>
          <w:ilvl w:val="1"/>
          <w:numId w:val="11"/>
        </w:numPr>
        <w:tabs>
          <w:tab w:val="left" w:pos="1563"/>
        </w:tabs>
        <w:spacing w:before="0" w:line="360" w:lineRule="auto"/>
        <w:ind w:firstLine="480" w:firstLineChars="200"/>
        <w:rPr>
          <w:color w:val="auto"/>
          <w:sz w:val="24"/>
        </w:rPr>
      </w:pPr>
      <w:r>
        <w:rPr>
          <w:rFonts w:hint="eastAsia"/>
          <w:color w:val="auto"/>
          <w:sz w:val="24"/>
        </w:rPr>
        <w:t>供应商应当按照资格审查文件、资信商务及技术文件、报价文件三部分分别导入相应位置，各文件之间不得混装；</w:t>
      </w:r>
    </w:p>
    <w:p w14:paraId="4C4A3AA7">
      <w:pPr>
        <w:pStyle w:val="43"/>
        <w:numPr>
          <w:ilvl w:val="1"/>
          <w:numId w:val="11"/>
        </w:numPr>
        <w:tabs>
          <w:tab w:val="left" w:pos="1563"/>
        </w:tabs>
        <w:spacing w:before="0" w:line="360" w:lineRule="auto"/>
        <w:ind w:firstLine="480" w:firstLineChars="200"/>
        <w:rPr>
          <w:color w:val="auto"/>
          <w:sz w:val="24"/>
        </w:rPr>
      </w:pPr>
      <w:r>
        <w:rPr>
          <w:rFonts w:hint="eastAsia"/>
          <w:color w:val="auto"/>
          <w:sz w:val="24"/>
        </w:rPr>
        <w:t>电子响应文件按政采云平台供应商项目采购-电子招投标操作指南进行加密； 将最后生成的具有电子签章的备份响应文件进行压缩并加密。</w:t>
      </w:r>
    </w:p>
    <w:p w14:paraId="03F43D75">
      <w:pPr>
        <w:pStyle w:val="2"/>
        <w:numPr>
          <w:ilvl w:val="0"/>
          <w:numId w:val="11"/>
        </w:numPr>
        <w:spacing w:line="360" w:lineRule="auto"/>
        <w:ind w:firstLine="482" w:firstLineChars="200"/>
        <w:rPr>
          <w:b/>
          <w:bCs/>
          <w:color w:val="auto"/>
          <w:lang w:val="en-US"/>
        </w:rPr>
      </w:pPr>
      <w:r>
        <w:rPr>
          <w:rFonts w:hint="eastAsia"/>
          <w:b/>
          <w:bCs/>
          <w:color w:val="auto"/>
          <w:lang w:val="en-US"/>
        </w:rPr>
        <w:t>响应文件的提交</w:t>
      </w:r>
    </w:p>
    <w:p w14:paraId="08F400DA">
      <w:pPr>
        <w:pStyle w:val="43"/>
        <w:numPr>
          <w:ilvl w:val="1"/>
          <w:numId w:val="12"/>
        </w:numPr>
        <w:tabs>
          <w:tab w:val="left" w:pos="1100"/>
        </w:tabs>
        <w:spacing w:before="0" w:line="360" w:lineRule="auto"/>
        <w:ind w:left="0" w:firstLine="480" w:firstLineChars="200"/>
        <w:rPr>
          <w:color w:val="auto"/>
          <w:sz w:val="24"/>
        </w:rPr>
      </w:pPr>
      <w:r>
        <w:rPr>
          <w:rFonts w:hint="eastAsia"/>
          <w:color w:val="auto"/>
          <w:sz w:val="24"/>
        </w:rPr>
        <w:t>响应文件提交截止时间：见供应商须知前列表。</w:t>
      </w:r>
    </w:p>
    <w:p w14:paraId="1C58CB00">
      <w:pPr>
        <w:pStyle w:val="43"/>
        <w:numPr>
          <w:ilvl w:val="1"/>
          <w:numId w:val="12"/>
        </w:numPr>
        <w:tabs>
          <w:tab w:val="left" w:pos="1100"/>
        </w:tabs>
        <w:spacing w:before="0" w:line="360" w:lineRule="auto"/>
        <w:ind w:left="0" w:firstLine="480" w:firstLineChars="200"/>
        <w:rPr>
          <w:color w:val="auto"/>
          <w:sz w:val="24"/>
        </w:rPr>
      </w:pPr>
      <w:r>
        <w:rPr>
          <w:rFonts w:hint="eastAsia"/>
          <w:color w:val="auto"/>
          <w:sz w:val="24"/>
        </w:rPr>
        <w:t>响应文件提交地点：见供应商须知前列表。</w:t>
      </w:r>
    </w:p>
    <w:p w14:paraId="0C84E65C">
      <w:pPr>
        <w:pStyle w:val="43"/>
        <w:numPr>
          <w:ilvl w:val="1"/>
          <w:numId w:val="12"/>
        </w:numPr>
        <w:tabs>
          <w:tab w:val="left" w:pos="1100"/>
        </w:tabs>
        <w:spacing w:before="0" w:line="360" w:lineRule="auto"/>
        <w:ind w:left="0" w:firstLine="480" w:firstLineChars="200"/>
        <w:rPr>
          <w:color w:val="auto"/>
          <w:sz w:val="24"/>
        </w:rPr>
      </w:pPr>
      <w:r>
        <w:rPr>
          <w:rFonts w:hint="eastAsia"/>
          <w:color w:val="auto"/>
          <w:sz w:val="24"/>
        </w:rPr>
        <w:t>不予接收的响应文件情形：</w:t>
      </w:r>
    </w:p>
    <w:p w14:paraId="0650CBCB">
      <w:pPr>
        <w:pStyle w:val="2"/>
        <w:spacing w:line="360" w:lineRule="auto"/>
        <w:ind w:firstLine="480" w:firstLineChars="200"/>
        <w:rPr>
          <w:color w:val="auto"/>
        </w:rPr>
      </w:pPr>
      <w:r>
        <w:rPr>
          <w:rFonts w:hint="eastAsia"/>
          <w:color w:val="auto"/>
        </w:rPr>
        <w:t>⑴磋商截止时间前未完成传输的电子响应文件；</w:t>
      </w:r>
    </w:p>
    <w:p w14:paraId="3CE7D72D">
      <w:pPr>
        <w:pStyle w:val="2"/>
        <w:spacing w:line="360" w:lineRule="auto"/>
        <w:ind w:firstLine="480" w:firstLineChars="200"/>
        <w:rPr>
          <w:color w:val="auto"/>
        </w:rPr>
      </w:pPr>
      <w:r>
        <w:rPr>
          <w:rFonts w:hint="eastAsia"/>
          <w:color w:val="auto"/>
        </w:rPr>
        <w:t>⑵未生成加密的电子响应文件；</w:t>
      </w:r>
    </w:p>
    <w:p w14:paraId="56F0C2B9">
      <w:pPr>
        <w:pStyle w:val="2"/>
        <w:spacing w:line="360" w:lineRule="auto"/>
        <w:ind w:firstLine="480" w:firstLineChars="200"/>
        <w:rPr>
          <w:color w:val="auto"/>
        </w:rPr>
      </w:pPr>
      <w:r>
        <w:rPr>
          <w:rFonts w:hint="eastAsia"/>
          <w:color w:val="auto"/>
        </w:rPr>
        <w:t>⑶在规定时间内未解密的电子响应文件，或者解密不成功未提供备份响应文件的。</w:t>
      </w:r>
    </w:p>
    <w:p w14:paraId="3C9F8410">
      <w:pPr>
        <w:pStyle w:val="43"/>
        <w:numPr>
          <w:ilvl w:val="1"/>
          <w:numId w:val="12"/>
        </w:numPr>
        <w:tabs>
          <w:tab w:val="left" w:pos="1100"/>
        </w:tabs>
        <w:spacing w:before="0" w:line="360" w:lineRule="auto"/>
        <w:ind w:left="0" w:firstLine="480" w:firstLineChars="200"/>
        <w:rPr>
          <w:color w:val="auto"/>
          <w:sz w:val="24"/>
          <w:szCs w:val="24"/>
          <w:lang w:val="en-US"/>
        </w:rPr>
      </w:pPr>
      <w:r>
        <w:rPr>
          <w:rFonts w:hint="eastAsia"/>
          <w:color w:val="auto"/>
          <w:sz w:val="24"/>
        </w:rPr>
        <w:t>供应商所提交的响应文件不予退还。</w:t>
      </w:r>
    </w:p>
    <w:p w14:paraId="7859DBAB">
      <w:pPr>
        <w:pStyle w:val="2"/>
        <w:numPr>
          <w:ilvl w:val="0"/>
          <w:numId w:val="11"/>
        </w:numPr>
        <w:spacing w:line="360" w:lineRule="auto"/>
        <w:ind w:firstLine="482" w:firstLineChars="200"/>
        <w:rPr>
          <w:b/>
          <w:bCs/>
          <w:color w:val="auto"/>
          <w:lang w:val="en-US"/>
        </w:rPr>
      </w:pPr>
      <w:r>
        <w:rPr>
          <w:rFonts w:hint="eastAsia"/>
          <w:b/>
          <w:bCs/>
          <w:color w:val="auto"/>
          <w:lang w:val="en-US"/>
        </w:rPr>
        <w:t>响应文件的修改和撤销</w:t>
      </w:r>
    </w:p>
    <w:p w14:paraId="5D1D9EF2">
      <w:pPr>
        <w:pStyle w:val="43"/>
        <w:numPr>
          <w:ilvl w:val="1"/>
          <w:numId w:val="13"/>
        </w:numPr>
        <w:tabs>
          <w:tab w:val="left" w:pos="1100"/>
        </w:tabs>
        <w:spacing w:before="0" w:line="360" w:lineRule="auto"/>
        <w:ind w:left="0" w:firstLine="480" w:firstLineChars="200"/>
        <w:jc w:val="both"/>
        <w:rPr>
          <w:color w:val="auto"/>
          <w:sz w:val="24"/>
        </w:rPr>
      </w:pPr>
      <w:r>
        <w:rPr>
          <w:rFonts w:hint="eastAsia"/>
          <w:color w:val="auto"/>
          <w:sz w:val="24"/>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023D4C1E">
      <w:pPr>
        <w:pStyle w:val="43"/>
        <w:numPr>
          <w:ilvl w:val="1"/>
          <w:numId w:val="13"/>
        </w:numPr>
        <w:tabs>
          <w:tab w:val="left" w:pos="1100"/>
        </w:tabs>
        <w:spacing w:before="0" w:line="360" w:lineRule="auto"/>
        <w:ind w:left="0" w:firstLine="480" w:firstLineChars="200"/>
        <w:jc w:val="both"/>
        <w:rPr>
          <w:color w:val="auto"/>
          <w:sz w:val="24"/>
        </w:rPr>
      </w:pPr>
      <w:r>
        <w:rPr>
          <w:rFonts w:hint="eastAsia"/>
          <w:color w:val="auto"/>
          <w:sz w:val="24"/>
        </w:rPr>
        <w:t>补充、修改后重新提交的电子响应文件应按磋商文件的规定编制、导入、加密和提交；</w:t>
      </w:r>
    </w:p>
    <w:p w14:paraId="6F5B6325">
      <w:pPr>
        <w:pStyle w:val="2"/>
        <w:spacing w:line="360" w:lineRule="auto"/>
        <w:ind w:firstLine="482" w:firstLineChars="200"/>
        <w:jc w:val="both"/>
        <w:rPr>
          <w:color w:val="auto"/>
        </w:rPr>
      </w:pPr>
      <w:r>
        <w:rPr>
          <w:rFonts w:hint="eastAsia"/>
          <w:b/>
          <w:color w:val="auto"/>
        </w:rPr>
        <w:t>▲</w:t>
      </w:r>
      <w:r>
        <w:rPr>
          <w:rFonts w:hint="eastAsia"/>
          <w:color w:val="auto"/>
        </w:rPr>
        <w:t>18.3 在磋商截止时间后</w:t>
      </w:r>
      <w:r>
        <w:rPr>
          <w:rFonts w:hint="eastAsia"/>
          <w:color w:val="auto"/>
          <w:lang w:eastAsia="zh-CN"/>
        </w:rPr>
        <w:t>，</w:t>
      </w:r>
      <w:r>
        <w:rPr>
          <w:rFonts w:hint="eastAsia"/>
          <w:color w:val="auto"/>
        </w:rPr>
        <w:t>供应商不得修改、撤回已提交的响应文件；</w:t>
      </w:r>
    </w:p>
    <w:p w14:paraId="1CDC7705">
      <w:pPr>
        <w:pStyle w:val="2"/>
        <w:spacing w:line="360" w:lineRule="auto"/>
        <w:ind w:firstLine="480" w:firstLineChars="200"/>
        <w:jc w:val="both"/>
        <w:rPr>
          <w:color w:val="auto"/>
          <w:sz w:val="28"/>
        </w:rPr>
      </w:pPr>
      <w:r>
        <w:rPr>
          <w:rFonts w:hint="eastAsia"/>
          <w:color w:val="auto"/>
        </w:rPr>
        <w:t>▲18.4 补充、修改后的电子响应文件、备份响应文件内容均应相同。</w:t>
      </w:r>
    </w:p>
    <w:p w14:paraId="394198A3">
      <w:pPr>
        <w:pStyle w:val="4"/>
        <w:tabs>
          <w:tab w:val="left" w:pos="1291"/>
        </w:tabs>
        <w:spacing w:before="0" w:line="360" w:lineRule="auto"/>
        <w:ind w:left="0"/>
        <w:jc w:val="left"/>
        <w:rPr>
          <w:color w:val="auto"/>
          <w:lang w:val="en-US"/>
        </w:rPr>
      </w:pPr>
      <w:bookmarkStart w:id="32" w:name="六___磋商和评审"/>
      <w:bookmarkEnd w:id="32"/>
      <w:bookmarkStart w:id="33" w:name="_Toc15440"/>
      <w:r>
        <w:rPr>
          <w:rFonts w:hint="eastAsia"/>
          <w:color w:val="auto"/>
          <w:lang w:val="en-US"/>
        </w:rPr>
        <w:t>六  磋商和评审</w:t>
      </w:r>
      <w:bookmarkEnd w:id="33"/>
    </w:p>
    <w:p w14:paraId="4A374E08">
      <w:pPr>
        <w:pStyle w:val="2"/>
        <w:numPr>
          <w:ilvl w:val="0"/>
          <w:numId w:val="11"/>
        </w:numPr>
        <w:spacing w:line="360" w:lineRule="auto"/>
        <w:ind w:firstLine="482" w:firstLineChars="200"/>
        <w:rPr>
          <w:b/>
          <w:bCs/>
          <w:color w:val="auto"/>
        </w:rPr>
      </w:pPr>
      <w:r>
        <w:rPr>
          <w:rFonts w:hint="eastAsia"/>
          <w:b/>
          <w:bCs/>
          <w:color w:val="auto"/>
        </w:rPr>
        <w:t>磋商</w:t>
      </w:r>
    </w:p>
    <w:p w14:paraId="604E80EB">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优先采用电子响应文件进行磋商、评审，电子响应文件未按时解密的，采用备份响应文件磋商、评审。</w:t>
      </w:r>
    </w:p>
    <w:p w14:paraId="243DDC87">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采购代理机构在磋商文件规定的时间和地点组织磋商会，供应商可自行决定是否派代表参加磋商会议，供应商未安排人员到场的应准时在线参加，否则产生的风险由供应商自行承担。</w:t>
      </w:r>
    </w:p>
    <w:p w14:paraId="1FC3E59A">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磋商会议由采购代理机构主持，主持人介绍项目前期基本情况，宣布评审期间的有关事项。由代理机构工作人员开启电子响应文件解密通道，解密时限以政采云电子交易平台为准。</w:t>
      </w:r>
    </w:p>
    <w:p w14:paraId="6B9E07B3">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电子响应文件无法解密的，代理机构通过电子交易平台“异常处理”通道上传备份响应文件，上传之前须由供应商代表提供备份响应文件密码进行解密。</w:t>
      </w:r>
    </w:p>
    <w:p w14:paraId="34DF7BF7">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解密成功的供应商不足三家的，按相关规定重新组织采购。</w:t>
      </w:r>
    </w:p>
    <w:p w14:paraId="335D128C">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供应商根据解密后交易平台公布的供应商名单及信息，通过现场或邮件方式提交《政府采购活动现场确认声明书》（见第五章格式），提交时间在名单公布后的</w:t>
      </w:r>
      <w:r>
        <w:rPr>
          <w:rFonts w:hint="eastAsia"/>
          <w:color w:val="auto"/>
          <w:sz w:val="24"/>
          <w:lang w:val="en-US" w:eastAsia="zh-CN"/>
        </w:rPr>
        <w:t>3</w:t>
      </w:r>
      <w:r>
        <w:rPr>
          <w:rFonts w:hint="eastAsia"/>
          <w:color w:val="auto"/>
          <w:sz w:val="24"/>
        </w:rPr>
        <w:t>0 分钟内。</w:t>
      </w:r>
    </w:p>
    <w:p w14:paraId="386D504F">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供应商认为采购人员及相关人员与其他供应商有利害关系的，可向采购代理机构提出回避申请，并说明理由，申请须由供应商代表签字或盖章。</w:t>
      </w:r>
    </w:p>
    <w:p w14:paraId="39B4D278">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按规定提交《政府采购活动现场确认声明书》（见第五章格式）。</w:t>
      </w:r>
    </w:p>
    <w:p w14:paraId="32CE0658">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供应商对记录表有疑义的，供应商代表在磋商会议结束前可以向采购代理机构通过现场或电子邮件的方式（</w:t>
      </w:r>
      <w:r>
        <w:rPr>
          <w:rFonts w:hint="eastAsia"/>
          <w:color w:val="auto"/>
          <w:sz w:val="24"/>
          <w:u w:val="none"/>
          <w:lang w:val="en-US" w:eastAsia="zh-CN"/>
        </w:rPr>
        <w:t>779740329</w:t>
      </w:r>
      <w:r>
        <w:rPr>
          <w:rFonts w:hint="eastAsia"/>
          <w:color w:val="auto"/>
          <w:sz w:val="24"/>
          <w:u w:val="none"/>
        </w:rPr>
        <w:t>@qq.com</w:t>
      </w:r>
      <w:r>
        <w:rPr>
          <w:rFonts w:hint="eastAsia"/>
          <w:color w:val="auto"/>
          <w:sz w:val="24"/>
        </w:rPr>
        <w:t>）提出申请，并说明理由，申请须由供应商代表签字或盖章。</w:t>
      </w:r>
    </w:p>
    <w:p w14:paraId="0265BBA9">
      <w:pPr>
        <w:pStyle w:val="43"/>
        <w:numPr>
          <w:ilvl w:val="1"/>
          <w:numId w:val="14"/>
        </w:numPr>
        <w:tabs>
          <w:tab w:val="left" w:pos="1100"/>
        </w:tabs>
        <w:spacing w:before="0" w:line="360" w:lineRule="auto"/>
        <w:ind w:left="0" w:firstLine="480" w:firstLineChars="200"/>
        <w:jc w:val="both"/>
        <w:rPr>
          <w:color w:val="auto"/>
          <w:sz w:val="24"/>
        </w:rPr>
      </w:pPr>
      <w:r>
        <w:rPr>
          <w:rFonts w:hint="eastAsia"/>
          <w:color w:val="auto"/>
          <w:sz w:val="24"/>
        </w:rPr>
        <w:t>磋商会议结束。</w:t>
      </w:r>
    </w:p>
    <w:p w14:paraId="2F2BF9CA">
      <w:pPr>
        <w:pStyle w:val="2"/>
        <w:numPr>
          <w:ilvl w:val="0"/>
          <w:numId w:val="11"/>
        </w:numPr>
        <w:spacing w:line="360" w:lineRule="auto"/>
        <w:ind w:firstLine="482" w:firstLineChars="200"/>
        <w:rPr>
          <w:b/>
          <w:bCs/>
          <w:color w:val="auto"/>
        </w:rPr>
      </w:pPr>
      <w:r>
        <w:rPr>
          <w:rFonts w:hint="eastAsia"/>
          <w:b/>
          <w:bCs/>
          <w:color w:val="auto"/>
        </w:rPr>
        <w:t>资格审查</w:t>
      </w:r>
    </w:p>
    <w:p w14:paraId="1555A2D1">
      <w:pPr>
        <w:pStyle w:val="2"/>
        <w:spacing w:line="360" w:lineRule="auto"/>
        <w:ind w:firstLine="480" w:firstLineChars="200"/>
        <w:rPr>
          <w:color w:val="auto"/>
          <w:lang w:val="en-US"/>
        </w:rPr>
      </w:pPr>
      <w:r>
        <w:rPr>
          <w:rFonts w:hint="eastAsia"/>
          <w:color w:val="auto"/>
          <w:lang w:val="en-US"/>
        </w:rPr>
        <w:t>20.1 采购人或采购代理机构按资格要求和资格审查文件要求对供应商进行资格审查及记录</w:t>
      </w:r>
      <w:r>
        <w:rPr>
          <w:rFonts w:hint="eastAsia"/>
          <w:color w:val="auto"/>
          <w:lang w:val="en-US" w:eastAsia="zh-CN"/>
        </w:rPr>
        <w:t>，</w:t>
      </w:r>
      <w:r>
        <w:rPr>
          <w:rFonts w:hint="eastAsia"/>
          <w:color w:val="auto"/>
          <w:lang w:val="en-US"/>
        </w:rPr>
        <w:t xml:space="preserve"> 并通过政采云平台公布审查结果。</w:t>
      </w:r>
    </w:p>
    <w:p w14:paraId="3E77D7CB">
      <w:pPr>
        <w:pStyle w:val="2"/>
        <w:spacing w:line="360" w:lineRule="auto"/>
        <w:ind w:firstLine="482" w:firstLineChars="200"/>
        <w:rPr>
          <w:b/>
          <w:bCs/>
          <w:color w:val="auto"/>
          <w:lang w:val="en-US"/>
        </w:rPr>
      </w:pPr>
      <w:r>
        <w:rPr>
          <w:rFonts w:hint="eastAsia"/>
          <w:b/>
          <w:bCs/>
          <w:color w:val="auto"/>
          <w:lang w:val="en-US"/>
        </w:rPr>
        <w:t>20.2 经资格审查后合格的供应商不足三家的，不得进入评审，并按相关规定重新组织招标。</w:t>
      </w:r>
    </w:p>
    <w:p w14:paraId="22D3BE50">
      <w:pPr>
        <w:pStyle w:val="2"/>
        <w:numPr>
          <w:ilvl w:val="0"/>
          <w:numId w:val="11"/>
        </w:numPr>
        <w:spacing w:line="360" w:lineRule="auto"/>
        <w:ind w:firstLine="482" w:firstLineChars="200"/>
        <w:rPr>
          <w:b/>
          <w:bCs/>
          <w:color w:val="auto"/>
        </w:rPr>
      </w:pPr>
      <w:r>
        <w:rPr>
          <w:rFonts w:hint="eastAsia"/>
          <w:b/>
          <w:bCs/>
          <w:color w:val="auto"/>
        </w:rPr>
        <w:t>评审流程</w:t>
      </w:r>
    </w:p>
    <w:p w14:paraId="4B238F2E">
      <w:pPr>
        <w:pStyle w:val="2"/>
        <w:spacing w:line="360" w:lineRule="auto"/>
        <w:ind w:firstLine="480" w:firstLineChars="200"/>
        <w:rPr>
          <w:color w:val="auto"/>
          <w:lang w:val="en-US"/>
        </w:rPr>
      </w:pPr>
      <w:r>
        <w:rPr>
          <w:rFonts w:hint="eastAsia"/>
          <w:color w:val="auto"/>
          <w:lang w:val="en-US"/>
        </w:rPr>
        <w:t>21.1评</w:t>
      </w:r>
      <w:r>
        <w:rPr>
          <w:rFonts w:hint="eastAsia"/>
          <w:color w:val="auto"/>
          <w:highlight w:val="none"/>
          <w:lang w:val="en-US"/>
        </w:rPr>
        <w:t>标委员会由采购代理机构组建：评标委员会由评审专家或采购人代表和评审专家组成，成员人数为3人以上单数，其中评审专家</w:t>
      </w:r>
      <w:r>
        <w:rPr>
          <w:rFonts w:hint="eastAsia"/>
          <w:color w:val="auto"/>
          <w:lang w:val="en-US"/>
        </w:rPr>
        <w:t>不少于成员总数的三分之二，评审专家按规定从评审专家库中随机抽取。如有特殊情况的，按相关规定组建评标委员会。</w:t>
      </w:r>
    </w:p>
    <w:p w14:paraId="6E257B2A">
      <w:pPr>
        <w:pStyle w:val="2"/>
        <w:spacing w:line="360" w:lineRule="auto"/>
        <w:ind w:firstLine="482" w:firstLineChars="200"/>
        <w:rPr>
          <w:b/>
          <w:bCs/>
          <w:color w:val="auto"/>
        </w:rPr>
      </w:pPr>
      <w:r>
        <w:rPr>
          <w:rFonts w:hint="eastAsia"/>
          <w:b/>
          <w:bCs/>
          <w:color w:val="auto"/>
          <w:lang w:val="en-US"/>
        </w:rPr>
        <w:t>21.1.1</w:t>
      </w:r>
      <w:r>
        <w:rPr>
          <w:rFonts w:hint="eastAsia"/>
          <w:b/>
          <w:bCs/>
          <w:color w:val="auto"/>
        </w:rPr>
        <w:t>符合性审查</w:t>
      </w:r>
    </w:p>
    <w:p w14:paraId="2B802486">
      <w:pPr>
        <w:pStyle w:val="2"/>
        <w:spacing w:line="360" w:lineRule="auto"/>
        <w:ind w:firstLine="480" w:firstLineChars="200"/>
        <w:rPr>
          <w:b/>
          <w:bCs/>
          <w:color w:val="auto"/>
          <w:lang w:val="en-US"/>
        </w:rPr>
      </w:pPr>
      <w:r>
        <w:rPr>
          <w:rFonts w:hint="eastAsia"/>
          <w:color w:val="auto"/>
          <w:lang w:val="en-US"/>
        </w:rPr>
        <w:t>根据磋商文件的规定，从响应文件的有效性、完整性和对磋商文件的响应程度进行审查，以确定是否对磋商文件的实质性要求作出响应。</w:t>
      </w:r>
      <w:r>
        <w:rPr>
          <w:rFonts w:hint="eastAsia"/>
          <w:b/>
          <w:bCs/>
          <w:color w:val="auto"/>
          <w:lang w:val="en-US"/>
        </w:rPr>
        <w:t>通过符合性审查不足三家的，除采购任务取消情形外，按相关规定重新组织招标。</w:t>
      </w:r>
    </w:p>
    <w:p w14:paraId="54533080">
      <w:pPr>
        <w:pStyle w:val="2"/>
        <w:spacing w:line="360" w:lineRule="auto"/>
        <w:ind w:firstLine="482" w:firstLineChars="200"/>
        <w:rPr>
          <w:b/>
          <w:bCs/>
          <w:color w:val="auto"/>
          <w:lang w:val="en-US"/>
        </w:rPr>
      </w:pPr>
      <w:r>
        <w:rPr>
          <w:rFonts w:hint="eastAsia"/>
          <w:b/>
          <w:bCs/>
          <w:color w:val="auto"/>
          <w:lang w:val="en-US"/>
        </w:rPr>
        <w:t>21.1.2资信商务及技术文件评审</w:t>
      </w:r>
    </w:p>
    <w:p w14:paraId="3EFAC63E">
      <w:pPr>
        <w:pStyle w:val="2"/>
        <w:spacing w:line="360" w:lineRule="auto"/>
        <w:ind w:firstLine="482" w:firstLineChars="200"/>
        <w:rPr>
          <w:color w:val="auto"/>
        </w:rPr>
      </w:pPr>
      <w:r>
        <w:rPr>
          <w:rFonts w:hint="eastAsia"/>
          <w:b/>
          <w:color w:val="auto"/>
          <w:lang w:val="en-US"/>
        </w:rPr>
        <w:t>21.1.2.1</w:t>
      </w:r>
      <w:r>
        <w:rPr>
          <w:rFonts w:hint="eastAsia"/>
          <w:b/>
          <w:color w:val="auto"/>
        </w:rPr>
        <w:t>资信商务文件评审：</w:t>
      </w:r>
      <w:r>
        <w:rPr>
          <w:rFonts w:hint="eastAsia"/>
          <w:color w:val="auto"/>
        </w:rPr>
        <w:t>评标委员会依据磋商文件的规定，对各供应商的资信商务文件进行评审，对客观分应统一意见后统一给分。</w:t>
      </w:r>
    </w:p>
    <w:p w14:paraId="21861B11">
      <w:pPr>
        <w:pStyle w:val="2"/>
        <w:spacing w:line="360" w:lineRule="auto"/>
        <w:ind w:firstLine="482" w:firstLineChars="200"/>
        <w:rPr>
          <w:color w:val="auto"/>
        </w:rPr>
      </w:pPr>
      <w:r>
        <w:rPr>
          <w:rFonts w:hint="eastAsia"/>
          <w:b/>
          <w:color w:val="auto"/>
          <w:lang w:val="en-US"/>
        </w:rPr>
        <w:t>21.1.2.2</w:t>
      </w:r>
      <w:r>
        <w:rPr>
          <w:rFonts w:hint="eastAsia"/>
          <w:b/>
          <w:color w:val="auto"/>
        </w:rPr>
        <w:t>技术文件评审：</w:t>
      </w:r>
      <w:r>
        <w:rPr>
          <w:rFonts w:hint="eastAsia"/>
          <w:color w:val="auto"/>
        </w:rPr>
        <w:t>评标委员会依据磋商文件的规定，对各供应商的技术文件进行独立评审。对各响应文件进行比较和必要的澄清，</w:t>
      </w:r>
    </w:p>
    <w:p w14:paraId="3788B33C">
      <w:pPr>
        <w:pStyle w:val="2"/>
        <w:spacing w:line="360" w:lineRule="auto"/>
        <w:ind w:firstLine="482" w:firstLineChars="200"/>
        <w:rPr>
          <w:b/>
          <w:color w:val="auto"/>
        </w:rPr>
      </w:pPr>
      <w:r>
        <w:rPr>
          <w:rFonts w:hint="eastAsia"/>
          <w:b/>
          <w:bCs/>
          <w:color w:val="auto"/>
        </w:rPr>
        <w:t>21.2.3</w:t>
      </w:r>
      <w:r>
        <w:rPr>
          <w:rFonts w:hint="eastAsia"/>
          <w:b/>
          <w:color w:val="auto"/>
        </w:rPr>
        <w:t>报价文件评审</w:t>
      </w:r>
    </w:p>
    <w:p w14:paraId="17DA0559">
      <w:pPr>
        <w:pStyle w:val="2"/>
        <w:spacing w:line="360" w:lineRule="auto"/>
        <w:ind w:firstLine="480" w:firstLineChars="200"/>
        <w:rPr>
          <w:color w:val="auto"/>
        </w:rPr>
      </w:pPr>
      <w:r>
        <w:rPr>
          <w:rFonts w:hint="eastAsia"/>
          <w:color w:val="auto"/>
        </w:rPr>
        <w:t>评标委员会依据磋商文件的规定，对各供应商的报价的合理性进行审查，必要时可要求供应商对其报价做出澄清、说明。</w:t>
      </w:r>
    </w:p>
    <w:p w14:paraId="3AE2FDB6">
      <w:pPr>
        <w:pStyle w:val="2"/>
        <w:numPr>
          <w:ilvl w:val="0"/>
          <w:numId w:val="11"/>
        </w:numPr>
        <w:spacing w:line="360" w:lineRule="auto"/>
        <w:ind w:firstLine="482" w:firstLineChars="200"/>
        <w:rPr>
          <w:b/>
          <w:bCs/>
          <w:color w:val="auto"/>
        </w:rPr>
      </w:pPr>
      <w:r>
        <w:rPr>
          <w:rFonts w:hint="eastAsia"/>
          <w:b/>
          <w:bCs/>
          <w:color w:val="auto"/>
        </w:rPr>
        <w:t>响应文件的澄清</w:t>
      </w:r>
    </w:p>
    <w:p w14:paraId="583D2E93">
      <w:pPr>
        <w:pStyle w:val="2"/>
        <w:spacing w:line="360" w:lineRule="auto"/>
        <w:ind w:firstLine="480" w:firstLineChars="200"/>
        <w:rPr>
          <w:color w:val="auto"/>
        </w:rPr>
      </w:pPr>
      <w:r>
        <w:rPr>
          <w:rFonts w:hint="eastAsia"/>
          <w:color w:val="auto"/>
          <w:lang w:val="en-US"/>
        </w:rPr>
        <w:t xml:space="preserve">22.1 </w:t>
      </w:r>
      <w:r>
        <w:rPr>
          <w:rFonts w:hint="eastAsia"/>
          <w:color w:val="auto"/>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67D84058">
      <w:pPr>
        <w:pStyle w:val="2"/>
        <w:spacing w:line="360" w:lineRule="auto"/>
        <w:ind w:firstLine="480" w:firstLineChars="200"/>
        <w:rPr>
          <w:color w:val="auto"/>
        </w:rPr>
      </w:pPr>
      <w:r>
        <w:rPr>
          <w:rFonts w:hint="eastAsia"/>
          <w:color w:val="auto"/>
        </w:rPr>
        <w:t>⑵供应商的澄清、说明或补正将作为响应文件的一部分。</w:t>
      </w:r>
    </w:p>
    <w:p w14:paraId="42C24509">
      <w:pPr>
        <w:pStyle w:val="2"/>
        <w:spacing w:line="360" w:lineRule="auto"/>
        <w:ind w:firstLine="480" w:firstLineChars="200"/>
        <w:rPr>
          <w:color w:val="auto"/>
          <w:lang w:val="en-US"/>
        </w:rPr>
      </w:pPr>
      <w:r>
        <w:rPr>
          <w:rFonts w:hint="eastAsia"/>
          <w:color w:val="auto"/>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7C5870F5">
      <w:pPr>
        <w:pStyle w:val="2"/>
        <w:spacing w:line="360" w:lineRule="auto"/>
        <w:ind w:firstLine="480" w:firstLineChars="200"/>
        <w:rPr>
          <w:color w:val="auto"/>
          <w:lang w:val="en-US"/>
        </w:rPr>
      </w:pPr>
      <w:r>
        <w:rPr>
          <w:rFonts w:hint="eastAsia"/>
          <w:color w:val="auto"/>
          <w:lang w:val="en-US"/>
        </w:rPr>
        <w:t>22.3不接受供应商主动对响应文件的澄清、说明或者补正。</w:t>
      </w:r>
    </w:p>
    <w:p w14:paraId="0177902D">
      <w:pPr>
        <w:pStyle w:val="2"/>
        <w:spacing w:line="360" w:lineRule="auto"/>
        <w:ind w:firstLine="480" w:firstLineChars="200"/>
        <w:rPr>
          <w:color w:val="auto"/>
          <w:lang w:val="en-US"/>
        </w:rPr>
      </w:pPr>
      <w:r>
        <w:rPr>
          <w:rFonts w:hint="eastAsia"/>
          <w:color w:val="auto"/>
          <w:lang w:val="en-US"/>
        </w:rPr>
        <w:t>22.4报价算术错误将按以下方法修正：</w:t>
      </w:r>
    </w:p>
    <w:p w14:paraId="4C78B82B">
      <w:pPr>
        <w:pStyle w:val="2"/>
        <w:numPr>
          <w:ilvl w:val="0"/>
          <w:numId w:val="15"/>
        </w:numPr>
        <w:spacing w:line="360" w:lineRule="auto"/>
        <w:ind w:firstLine="480" w:firstLineChars="200"/>
        <w:rPr>
          <w:color w:val="auto"/>
        </w:rPr>
      </w:pPr>
      <w:r>
        <w:rPr>
          <w:rFonts w:hint="eastAsia" w:ascii="仿宋" w:hAnsi="仿宋" w:eastAsia="仿宋" w:cs="仿宋"/>
          <w:color w:val="auto"/>
          <w:sz w:val="24"/>
        </w:rPr>
        <w:t>报价文件中开标一览表（报价表）内容与报价明细表相应内容不一致的，以开标一览表（报价表）为准（政采云系统开启报价若与报价文件不一致以报价文件为准）</w:t>
      </w:r>
      <w:r>
        <w:rPr>
          <w:rFonts w:hint="eastAsia"/>
          <w:color w:val="auto"/>
        </w:rPr>
        <w:t>；</w:t>
      </w:r>
    </w:p>
    <w:p w14:paraId="67B278BD">
      <w:pPr>
        <w:pStyle w:val="2"/>
        <w:numPr>
          <w:ilvl w:val="0"/>
          <w:numId w:val="15"/>
        </w:numPr>
        <w:spacing w:line="360" w:lineRule="auto"/>
        <w:ind w:firstLine="480" w:firstLineChars="200"/>
        <w:rPr>
          <w:color w:val="auto"/>
        </w:rPr>
      </w:pPr>
      <w:r>
        <w:rPr>
          <w:rFonts w:hint="eastAsia"/>
          <w:color w:val="auto"/>
        </w:rPr>
        <w:t>报价文件的大写金额和小写金额不一致的，以大写金额为准；</w:t>
      </w:r>
    </w:p>
    <w:p w14:paraId="7F5DBAB6">
      <w:pPr>
        <w:pStyle w:val="2"/>
        <w:numPr>
          <w:ilvl w:val="0"/>
          <w:numId w:val="15"/>
        </w:numPr>
        <w:spacing w:line="360" w:lineRule="auto"/>
        <w:ind w:firstLine="480" w:firstLineChars="200"/>
        <w:rPr>
          <w:color w:val="auto"/>
        </w:rPr>
      </w:pPr>
      <w:r>
        <w:rPr>
          <w:rFonts w:hint="eastAsia"/>
          <w:color w:val="auto"/>
        </w:rPr>
        <w:t>单价金额小数点或者百分比有明显错位的，以磋商一览表（报价表）的总价为准，并修改单价；</w:t>
      </w:r>
    </w:p>
    <w:p w14:paraId="6C5B06BC">
      <w:pPr>
        <w:pStyle w:val="2"/>
        <w:numPr>
          <w:ilvl w:val="0"/>
          <w:numId w:val="15"/>
        </w:numPr>
        <w:spacing w:line="360" w:lineRule="auto"/>
        <w:ind w:firstLine="480" w:firstLineChars="200"/>
        <w:rPr>
          <w:color w:val="auto"/>
        </w:rPr>
      </w:pPr>
      <w:r>
        <w:rPr>
          <w:rFonts w:hint="eastAsia"/>
          <w:color w:val="auto"/>
        </w:rPr>
        <w:t>总价金额与按单价汇总金额不一致的，以单价金额计算结果为准；</w:t>
      </w:r>
    </w:p>
    <w:p w14:paraId="77139662">
      <w:pPr>
        <w:pStyle w:val="2"/>
        <w:numPr>
          <w:ilvl w:val="0"/>
          <w:numId w:val="15"/>
        </w:numPr>
        <w:spacing w:line="360" w:lineRule="auto"/>
        <w:ind w:firstLine="480" w:firstLineChars="200"/>
        <w:rPr>
          <w:color w:val="auto"/>
        </w:rPr>
      </w:pPr>
      <w:r>
        <w:rPr>
          <w:rFonts w:hint="eastAsia"/>
          <w:color w:val="auto"/>
        </w:rPr>
        <w:t>同时出现两种以上不一致的，按上述顺序修正；</w:t>
      </w:r>
    </w:p>
    <w:p w14:paraId="3BADFD90">
      <w:pPr>
        <w:pStyle w:val="2"/>
        <w:numPr>
          <w:ilvl w:val="0"/>
          <w:numId w:val="15"/>
        </w:numPr>
        <w:spacing w:line="360" w:lineRule="auto"/>
        <w:ind w:firstLine="480" w:firstLineChars="200"/>
        <w:rPr>
          <w:b/>
          <w:color w:val="auto"/>
        </w:rPr>
      </w:pPr>
      <w:r>
        <w:rPr>
          <w:rFonts w:hint="eastAsia"/>
          <w:color w:val="auto"/>
        </w:rPr>
        <w:t>对不同文字文本响应文件的解释发生异议的，以中文文本为准；</w:t>
      </w:r>
    </w:p>
    <w:p w14:paraId="6E63523A">
      <w:pPr>
        <w:pStyle w:val="2"/>
        <w:numPr>
          <w:ilvl w:val="0"/>
          <w:numId w:val="15"/>
        </w:numPr>
        <w:spacing w:line="360" w:lineRule="auto"/>
        <w:ind w:firstLine="480" w:firstLineChars="200"/>
        <w:rPr>
          <w:b/>
          <w:color w:val="auto"/>
        </w:rPr>
      </w:pPr>
      <w:r>
        <w:rPr>
          <w:rFonts w:hint="eastAsia"/>
          <w:color w:val="auto"/>
        </w:rPr>
        <w:t>电子响应文件修正错误的磋商报价，通过</w:t>
      </w:r>
      <w:r>
        <w:rPr>
          <w:rFonts w:hint="eastAsia"/>
          <w:b/>
          <w:color w:val="auto"/>
        </w:rPr>
        <w:t>电子交易平台，经供应商同意签章确认后产生约束力；若供应商不接受修正后的磋商报价，则其磋商将作为无效磋商处理。</w:t>
      </w:r>
    </w:p>
    <w:p w14:paraId="6FFA4A8B">
      <w:pPr>
        <w:pStyle w:val="2"/>
        <w:numPr>
          <w:ilvl w:val="0"/>
          <w:numId w:val="11"/>
        </w:numPr>
        <w:spacing w:line="360" w:lineRule="auto"/>
        <w:ind w:firstLine="482" w:firstLineChars="200"/>
        <w:rPr>
          <w:b/>
          <w:bCs/>
          <w:color w:val="auto"/>
        </w:rPr>
      </w:pPr>
      <w:r>
        <w:rPr>
          <w:rFonts w:hint="eastAsia"/>
          <w:b/>
          <w:bCs/>
          <w:color w:val="auto"/>
        </w:rPr>
        <w:t>对响应文件的比较和评估</w:t>
      </w:r>
    </w:p>
    <w:p w14:paraId="4ED316E4">
      <w:pPr>
        <w:pStyle w:val="2"/>
        <w:spacing w:line="360" w:lineRule="auto"/>
        <w:ind w:firstLine="480" w:firstLineChars="200"/>
        <w:rPr>
          <w:color w:val="auto"/>
          <w:lang w:val="en-US"/>
        </w:rPr>
      </w:pPr>
      <w:r>
        <w:rPr>
          <w:rFonts w:hint="eastAsia"/>
          <w:color w:val="auto"/>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759FE787">
      <w:pPr>
        <w:pStyle w:val="2"/>
        <w:numPr>
          <w:ilvl w:val="0"/>
          <w:numId w:val="11"/>
        </w:numPr>
        <w:spacing w:line="360" w:lineRule="auto"/>
        <w:ind w:firstLine="482" w:firstLineChars="200"/>
        <w:rPr>
          <w:b/>
          <w:bCs/>
          <w:color w:val="auto"/>
        </w:rPr>
      </w:pPr>
      <w:r>
        <w:rPr>
          <w:rFonts w:hint="eastAsia"/>
          <w:b/>
          <w:bCs/>
          <w:color w:val="auto"/>
        </w:rPr>
        <w:t>评标报告</w:t>
      </w:r>
    </w:p>
    <w:p w14:paraId="72BEB858">
      <w:pPr>
        <w:pStyle w:val="2"/>
        <w:spacing w:line="360" w:lineRule="auto"/>
        <w:ind w:firstLine="480" w:firstLineChars="200"/>
        <w:rPr>
          <w:rFonts w:hint="eastAsia"/>
          <w:color w:val="auto"/>
          <w:lang w:val="en-US"/>
        </w:rPr>
      </w:pPr>
      <w:r>
        <w:rPr>
          <w:rFonts w:hint="eastAsia"/>
          <w:color w:val="auto"/>
          <w:lang w:val="en-US"/>
        </w:rPr>
        <w:t>24.1磋商小组根据磋商记录、全体磋商小组成员签字的原始评审记录、评审结果编写评审报告，并推荐3名及以上成交候选人，评审报告由磋商小组成员签字确认后提交。</w:t>
      </w:r>
    </w:p>
    <w:p w14:paraId="0D3910A1">
      <w:pPr>
        <w:pStyle w:val="2"/>
        <w:spacing w:line="360" w:lineRule="auto"/>
        <w:ind w:firstLine="480" w:firstLineChars="200"/>
        <w:rPr>
          <w:color w:val="auto"/>
          <w:lang w:val="en-US"/>
        </w:rPr>
      </w:pPr>
      <w:r>
        <w:rPr>
          <w:rFonts w:hint="eastAsia"/>
          <w:color w:val="auto"/>
          <w:lang w:val="en-US"/>
        </w:rPr>
        <w:t>24.2评审报告由评标委员会成员签字确认提交，持不同意见的评标委员会成员应当在评标报告上签署不同意见及理由，否则视为同意评标报告。</w:t>
      </w:r>
    </w:p>
    <w:p w14:paraId="0B7FC3BD">
      <w:pPr>
        <w:pStyle w:val="2"/>
        <w:spacing w:line="360" w:lineRule="auto"/>
        <w:ind w:firstLine="480" w:firstLineChars="200"/>
        <w:rPr>
          <w:color w:val="auto"/>
          <w:lang w:val="en-US"/>
        </w:rPr>
      </w:pPr>
      <w:r>
        <w:rPr>
          <w:rFonts w:hint="eastAsia"/>
          <w:color w:val="auto"/>
          <w:lang w:val="en-US"/>
        </w:rPr>
        <w:t>24.3评标结束后，采购代理机构公布评标结果。</w:t>
      </w:r>
    </w:p>
    <w:p w14:paraId="76A2674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25.采购过程中出现以下情形，导致电子交易平台无法正常运行，或者无法保证电子交易的公平、公正和安全时，可中止电子交易活动：</w:t>
      </w:r>
    </w:p>
    <w:p w14:paraId="35664E26">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（一）电子交易平台发生故障而无法登录访问的； </w:t>
      </w:r>
    </w:p>
    <w:p w14:paraId="046DF8E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（二）电子交易平台应用或数据库出现错误，不能进行正常操作的；</w:t>
      </w:r>
    </w:p>
    <w:p w14:paraId="4AA100F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（三）电子交易平台发现严重安全漏洞，有潜在泄密危险的；</w:t>
      </w:r>
    </w:p>
    <w:p w14:paraId="0689F21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（四）病毒发作导致不能进行正常操作的； </w:t>
      </w:r>
    </w:p>
    <w:p w14:paraId="4807AFF5">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（五）其他无法保证电子交易的公平、公正和安全的情况。</w:t>
      </w:r>
    </w:p>
    <w:p w14:paraId="66A0CE19">
      <w:pPr>
        <w:spacing w:line="360" w:lineRule="auto"/>
        <w:rPr>
          <w:rFonts w:hint="eastAsia" w:ascii="仿宋" w:hAnsi="仿宋" w:eastAsia="仿宋" w:cs="仿宋"/>
          <w:color w:val="auto"/>
          <w:sz w:val="24"/>
        </w:rPr>
      </w:pPr>
      <w:r>
        <w:rPr>
          <w:rFonts w:hint="eastAsia" w:ascii="仿宋" w:hAnsi="仿宋" w:eastAsia="仿宋" w:cs="仿宋"/>
          <w:color w:val="auto"/>
          <w:sz w:val="24"/>
        </w:rPr>
        <w:t>出现前款规定情形，不影响采购公平、公正性的，采购代理机构可以待上述情形消除后继续组织电子交易活动；影响或可能影响采购公平、公正性的，重新组织采购。</w:t>
      </w:r>
    </w:p>
    <w:p w14:paraId="69CB2A6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26.采购代理机构或评审小组因不可抗力（不可抗力包括但不限于自然灾害、断电、传播疫病等）原因造成电子交易活动无法正常运行的，将采取以下措施：</w:t>
      </w:r>
    </w:p>
    <w:p w14:paraId="3BF537A7">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⑴短时间内能消除不可抗力因素的，采购代理机构或评审小组在消除不可抗力因素后继续组织电子交易活动。</w:t>
      </w:r>
    </w:p>
    <w:p w14:paraId="638F16BB">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⑵长时间内无法消除不可抗力因素的，采购代理机构或评审小组将中止电子交易活动。中止电子交易活动的，采购人应当重新组织政府采购活动。</w:t>
      </w:r>
    </w:p>
    <w:p w14:paraId="743EF74C">
      <w:pPr>
        <w:pStyle w:val="2"/>
        <w:numPr>
          <w:ilvl w:val="0"/>
          <w:numId w:val="0"/>
        </w:numPr>
        <w:spacing w:line="360" w:lineRule="auto"/>
        <w:ind w:firstLine="482" w:firstLineChars="200"/>
        <w:rPr>
          <w:b/>
          <w:bCs/>
          <w:color w:val="auto"/>
        </w:rPr>
      </w:pPr>
      <w:r>
        <w:rPr>
          <w:rFonts w:hint="eastAsia"/>
          <w:b/>
          <w:bCs/>
          <w:color w:val="auto"/>
          <w:lang w:val="en-US" w:eastAsia="zh-CN"/>
        </w:rPr>
        <w:t>27.</w:t>
      </w:r>
      <w:r>
        <w:rPr>
          <w:rFonts w:hint="eastAsia"/>
          <w:b/>
          <w:bCs/>
          <w:color w:val="auto"/>
        </w:rPr>
        <w:t>保密和评审过程的监控</w:t>
      </w:r>
    </w:p>
    <w:p w14:paraId="5B9F94C1">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7</w:t>
      </w:r>
      <w:r>
        <w:rPr>
          <w:rFonts w:hint="eastAsia"/>
          <w:color w:val="auto"/>
          <w:lang w:val="en-US"/>
        </w:rPr>
        <w:t>.1自磋商时间起至成交结果公告发布时间止，凡属于审查、澄清、评估和比较磋商的有关资料，且与授予合同有关的信息都不得向任何供应商或与上述评审过程无关的人员透露。</w:t>
      </w:r>
    </w:p>
    <w:p w14:paraId="46C6608E">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7</w:t>
      </w:r>
      <w:r>
        <w:rPr>
          <w:rFonts w:hint="eastAsia"/>
          <w:color w:val="auto"/>
          <w:lang w:val="en-US"/>
        </w:rPr>
        <w:t>.2本项目磋商、评审过程实行全程录音、录像监控，供应商在磋商、评审过程中所进行的试图影响评审结果的不公正行为或授予合同决定的过程施加影响的企图和行为，可能导致其磋商被拒绝。</w:t>
      </w:r>
    </w:p>
    <w:p w14:paraId="7AD14DE2">
      <w:pPr>
        <w:pStyle w:val="4"/>
        <w:tabs>
          <w:tab w:val="left" w:pos="1291"/>
        </w:tabs>
        <w:spacing w:before="0" w:line="360" w:lineRule="auto"/>
        <w:ind w:left="0"/>
        <w:jc w:val="left"/>
        <w:rPr>
          <w:color w:val="auto"/>
          <w:lang w:val="en-US"/>
        </w:rPr>
      </w:pPr>
      <w:bookmarkStart w:id="34" w:name="七___投标无效的情形"/>
      <w:bookmarkEnd w:id="34"/>
      <w:bookmarkStart w:id="35" w:name="_Toc10279"/>
      <w:r>
        <w:rPr>
          <w:rFonts w:hint="eastAsia"/>
          <w:color w:val="auto"/>
          <w:lang w:val="en-US"/>
        </w:rPr>
        <w:t>七  磋商无效的情形</w:t>
      </w:r>
      <w:bookmarkEnd w:id="35"/>
    </w:p>
    <w:p w14:paraId="1C960F73">
      <w:pPr>
        <w:pStyle w:val="2"/>
        <w:numPr>
          <w:ilvl w:val="0"/>
          <w:numId w:val="0"/>
        </w:numPr>
        <w:spacing w:line="360" w:lineRule="auto"/>
        <w:ind w:firstLine="480" w:firstLineChars="200"/>
        <w:rPr>
          <w:color w:val="auto"/>
        </w:rPr>
      </w:pPr>
      <w:r>
        <w:rPr>
          <w:rFonts w:hint="eastAsia"/>
          <w:color w:val="auto"/>
          <w:lang w:val="en-US" w:eastAsia="zh-CN"/>
        </w:rPr>
        <w:t>28.</w:t>
      </w:r>
      <w:r>
        <w:rPr>
          <w:rFonts w:hint="eastAsia"/>
          <w:color w:val="auto"/>
        </w:rPr>
        <w:t>实质上没有响应磋商文件要求的磋商将被视为无效磋商。供应商不得通过修正或</w:t>
      </w:r>
      <w:r>
        <w:rPr>
          <w:rFonts w:hint="eastAsia"/>
          <w:color w:val="auto"/>
          <w:lang w:eastAsia="zh-CN"/>
        </w:rPr>
        <w:t>撤销</w:t>
      </w:r>
      <w:r>
        <w:rPr>
          <w:rFonts w:hint="eastAsia"/>
          <w:color w:val="auto"/>
        </w:rPr>
        <w:t>不合要求的偏离或保留从而使其磋商成为实质上响应的磋商。供应商如有下列情形之一的，其磋商将被拒绝，响应文件无效：</w:t>
      </w:r>
    </w:p>
    <w:p w14:paraId="607AF8FE">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.1电报、电话、传真形式提交响应文件的；</w:t>
      </w:r>
    </w:p>
    <w:p w14:paraId="5DBB049D">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.2供应商未按磋商文件规定的时间和地点提交电子响应文件的；</w:t>
      </w:r>
    </w:p>
    <w:p w14:paraId="72FC6730">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.3未按磋商文件规定要求签署、盖章的；</w:t>
      </w:r>
    </w:p>
    <w:p w14:paraId="79BE461D">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.4不具备响应文件规定资格要求的；</w:t>
      </w:r>
    </w:p>
    <w:p w14:paraId="4CCF212C">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.5磋商有效期不足的；</w:t>
      </w:r>
    </w:p>
    <w:p w14:paraId="17FCEED5">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w:t>
      </w:r>
      <w:r>
        <w:rPr>
          <w:rFonts w:hint="eastAsia"/>
          <w:color w:val="auto"/>
          <w:lang w:val="en-US" w:eastAsia="zh-CN"/>
        </w:rPr>
        <w:t>6</w:t>
      </w:r>
      <w:r>
        <w:rPr>
          <w:rFonts w:hint="eastAsia"/>
          <w:color w:val="auto"/>
          <w:lang w:val="en-US"/>
        </w:rPr>
        <w:t>评审委员会评定有实质上“▲”条款的负偏离的 ；</w:t>
      </w:r>
    </w:p>
    <w:p w14:paraId="71431B66">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w:t>
      </w:r>
      <w:r>
        <w:rPr>
          <w:rFonts w:hint="eastAsia"/>
          <w:color w:val="auto"/>
          <w:lang w:val="en-US" w:eastAsia="zh-CN"/>
        </w:rPr>
        <w:t>7</w:t>
      </w:r>
      <w:r>
        <w:rPr>
          <w:rFonts w:hint="eastAsia"/>
          <w:color w:val="auto"/>
          <w:lang w:val="en-US"/>
        </w:rPr>
        <w:t>响应文件含有采购人不能接受的附加条款的；</w:t>
      </w:r>
    </w:p>
    <w:p w14:paraId="6C62EF9B">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w:t>
      </w:r>
      <w:r>
        <w:rPr>
          <w:rFonts w:hint="eastAsia"/>
          <w:color w:val="auto"/>
          <w:lang w:val="en-US" w:eastAsia="zh-CN"/>
        </w:rPr>
        <w:t>8</w:t>
      </w:r>
      <w:r>
        <w:rPr>
          <w:rFonts w:hint="eastAsia"/>
          <w:color w:val="auto"/>
          <w:lang w:val="en-US"/>
        </w:rPr>
        <w:t>磋商报价高于磋商文件中规定的预算金额或者最高限价的；</w:t>
      </w:r>
    </w:p>
    <w:p w14:paraId="579C281C">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w:t>
      </w:r>
      <w:r>
        <w:rPr>
          <w:rFonts w:hint="eastAsia"/>
          <w:color w:val="auto"/>
          <w:lang w:val="en-US" w:eastAsia="zh-CN"/>
        </w:rPr>
        <w:t>9</w:t>
      </w:r>
      <w:r>
        <w:rPr>
          <w:rFonts w:hint="eastAsia"/>
          <w:color w:val="auto"/>
          <w:lang w:val="en-US"/>
        </w:rPr>
        <w:t>磋商文件中未要求，但供应商给予赠品、回扣或与采购无关的其他商品、服务的；</w:t>
      </w:r>
    </w:p>
    <w:p w14:paraId="4302105B">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.1</w:t>
      </w:r>
      <w:r>
        <w:rPr>
          <w:rFonts w:hint="eastAsia"/>
          <w:color w:val="auto"/>
          <w:lang w:val="en-US" w:eastAsia="zh-CN"/>
        </w:rPr>
        <w:t>0</w:t>
      </w:r>
      <w:r>
        <w:rPr>
          <w:rFonts w:hint="eastAsia"/>
          <w:color w:val="auto"/>
          <w:lang w:val="en-US"/>
        </w:rPr>
        <w:t>磋商报价存在漏项或报价数量少于采购要求的；</w:t>
      </w:r>
    </w:p>
    <w:p w14:paraId="7219F0ED">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.1</w:t>
      </w:r>
      <w:r>
        <w:rPr>
          <w:rFonts w:hint="eastAsia"/>
          <w:color w:val="auto"/>
          <w:lang w:val="en-US" w:eastAsia="zh-CN"/>
        </w:rPr>
        <w:t>1</w:t>
      </w:r>
      <w:r>
        <w:rPr>
          <w:rFonts w:hint="eastAsia"/>
          <w:color w:val="auto"/>
          <w:lang w:val="en-US"/>
        </w:rPr>
        <w:t>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003161AF">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.1</w:t>
      </w:r>
      <w:r>
        <w:rPr>
          <w:rFonts w:hint="eastAsia"/>
          <w:color w:val="auto"/>
          <w:lang w:val="en-US" w:eastAsia="zh-CN"/>
        </w:rPr>
        <w:t>2</w:t>
      </w:r>
      <w:r>
        <w:rPr>
          <w:rFonts w:hint="eastAsia"/>
          <w:color w:val="auto"/>
          <w:lang w:val="en-US"/>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05503891">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.1</w:t>
      </w:r>
      <w:r>
        <w:rPr>
          <w:rFonts w:hint="eastAsia"/>
          <w:color w:val="auto"/>
          <w:lang w:val="en-US" w:eastAsia="zh-CN"/>
        </w:rPr>
        <w:t>3</w:t>
      </w:r>
      <w:r>
        <w:rPr>
          <w:rFonts w:hint="eastAsia"/>
          <w:color w:val="auto"/>
          <w:lang w:val="en-US"/>
        </w:rPr>
        <w:t>提供虚假材料谋取成交的；</w:t>
      </w:r>
    </w:p>
    <w:p w14:paraId="412B5AB7">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8</w:t>
      </w:r>
      <w:r>
        <w:rPr>
          <w:rFonts w:hint="eastAsia"/>
          <w:color w:val="auto"/>
          <w:lang w:val="en-US"/>
        </w:rPr>
        <w:t>.1</w:t>
      </w:r>
      <w:r>
        <w:rPr>
          <w:rFonts w:hint="eastAsia"/>
          <w:color w:val="auto"/>
          <w:lang w:val="en-US" w:eastAsia="zh-CN"/>
        </w:rPr>
        <w:t>4</w:t>
      </w:r>
      <w:r>
        <w:rPr>
          <w:rFonts w:hint="eastAsia"/>
          <w:color w:val="auto"/>
          <w:lang w:val="en-US"/>
        </w:rPr>
        <w:t>在招标过程中与采购人进行协商谈判、不按磋商文件和成交人的响应文件订立合同，或者与采购人另行订立背离合同实质性内容的协议的；</w:t>
      </w:r>
    </w:p>
    <w:p w14:paraId="294B26D7">
      <w:pPr>
        <w:pStyle w:val="2"/>
        <w:spacing w:line="360" w:lineRule="auto"/>
        <w:ind w:firstLine="480" w:firstLineChars="200"/>
        <w:rPr>
          <w:rFonts w:hint="eastAsia"/>
          <w:color w:val="auto"/>
          <w:highlight w:val="none"/>
          <w:lang w:val="en-US"/>
        </w:rPr>
      </w:pPr>
      <w:r>
        <w:rPr>
          <w:rFonts w:hint="eastAsia"/>
          <w:color w:val="auto"/>
          <w:highlight w:val="none"/>
          <w:lang w:val="en-US" w:eastAsia="zh-CN"/>
        </w:rPr>
        <w:t>28.15</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IP地址相同的，</w:t>
      </w:r>
      <w:r>
        <w:rPr>
          <w:rFonts w:hint="eastAsia"/>
          <w:color w:val="auto"/>
          <w:highlight w:val="none"/>
          <w:lang w:val="en-US" w:eastAsia="zh-CN"/>
        </w:rPr>
        <w:t>供应商</w:t>
      </w:r>
      <w:r>
        <w:rPr>
          <w:rFonts w:hint="eastAsia"/>
          <w:color w:val="auto"/>
          <w:highlight w:val="none"/>
          <w:lang w:val="en-US"/>
        </w:rPr>
        <w:t>未作合理说明，或理由不充分的，作无效响应处理。</w:t>
      </w:r>
    </w:p>
    <w:p w14:paraId="40B6A656">
      <w:pPr>
        <w:pStyle w:val="2"/>
        <w:spacing w:line="360" w:lineRule="auto"/>
        <w:ind w:firstLine="480" w:firstLineChars="200"/>
        <w:rPr>
          <w:rFonts w:hint="eastAsia"/>
          <w:color w:val="auto"/>
          <w:highlight w:val="none"/>
          <w:lang w:val="en-US"/>
        </w:rPr>
      </w:pPr>
      <w:r>
        <w:rPr>
          <w:rFonts w:hint="eastAsia"/>
          <w:color w:val="auto"/>
          <w:highlight w:val="none"/>
          <w:lang w:val="en-US" w:eastAsia="zh-CN"/>
        </w:rPr>
        <w:t>28.16</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MAC、设备硬件信息相同的，作无效响应处理，经核实存在串围标情形的，由财政部门按规定处理。</w:t>
      </w:r>
    </w:p>
    <w:p w14:paraId="7AB4B2F6">
      <w:pPr>
        <w:pStyle w:val="2"/>
        <w:spacing w:line="360" w:lineRule="auto"/>
        <w:ind w:firstLine="480" w:firstLineChars="200"/>
        <w:rPr>
          <w:color w:val="auto"/>
          <w:lang w:val="en-US"/>
        </w:rPr>
      </w:pPr>
      <w:r>
        <w:rPr>
          <w:rFonts w:hint="eastAsia"/>
          <w:color w:val="auto"/>
          <w:highlight w:val="none"/>
          <w:lang w:val="en-US"/>
        </w:rPr>
        <w:t>2</w:t>
      </w:r>
      <w:r>
        <w:rPr>
          <w:rFonts w:hint="eastAsia"/>
          <w:color w:val="auto"/>
          <w:highlight w:val="none"/>
          <w:lang w:val="en-US" w:eastAsia="zh-CN"/>
        </w:rPr>
        <w:t>8</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r>
        <w:rPr>
          <w:rFonts w:hint="eastAsia"/>
          <w:color w:val="auto"/>
          <w:lang w:val="en-US"/>
        </w:rPr>
        <w:t>。</w:t>
      </w:r>
    </w:p>
    <w:p w14:paraId="178B3FEA">
      <w:pPr>
        <w:pStyle w:val="4"/>
        <w:tabs>
          <w:tab w:val="left" w:pos="1291"/>
        </w:tabs>
        <w:spacing w:before="0" w:line="360" w:lineRule="auto"/>
        <w:ind w:left="0"/>
        <w:jc w:val="left"/>
        <w:rPr>
          <w:color w:val="auto"/>
          <w:lang w:val="en-US"/>
        </w:rPr>
      </w:pPr>
      <w:bookmarkStart w:id="36" w:name="八___法律责任"/>
      <w:bookmarkEnd w:id="36"/>
      <w:bookmarkStart w:id="37" w:name="_Toc1603"/>
      <w:r>
        <w:rPr>
          <w:rFonts w:hint="eastAsia"/>
          <w:color w:val="auto"/>
          <w:lang w:val="en-US"/>
        </w:rPr>
        <w:t>八  法律责任</w:t>
      </w:r>
      <w:bookmarkEnd w:id="37"/>
    </w:p>
    <w:p w14:paraId="2143705D">
      <w:pPr>
        <w:pStyle w:val="2"/>
        <w:numPr>
          <w:ilvl w:val="0"/>
          <w:numId w:val="0"/>
        </w:numPr>
        <w:spacing w:line="360" w:lineRule="auto"/>
        <w:ind w:firstLine="482" w:firstLineChars="200"/>
        <w:rPr>
          <w:b/>
          <w:bCs/>
          <w:color w:val="auto"/>
        </w:rPr>
      </w:pPr>
      <w:r>
        <w:rPr>
          <w:rFonts w:hint="eastAsia"/>
          <w:b/>
          <w:bCs/>
          <w:color w:val="auto"/>
          <w:lang w:val="en-US" w:eastAsia="zh-CN"/>
        </w:rPr>
        <w:t>29.</w:t>
      </w:r>
      <w:r>
        <w:rPr>
          <w:rFonts w:hint="eastAsia"/>
          <w:b/>
          <w:bCs/>
          <w:color w:val="auto"/>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3C1033F">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9</w:t>
      </w:r>
      <w:r>
        <w:rPr>
          <w:rFonts w:hint="eastAsia"/>
          <w:color w:val="auto"/>
          <w:lang w:val="en-US"/>
        </w:rPr>
        <w:t>.1提供虚假材料谋取成交的；</w:t>
      </w:r>
    </w:p>
    <w:p w14:paraId="492A2B5D">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9</w:t>
      </w:r>
      <w:r>
        <w:rPr>
          <w:rFonts w:hint="eastAsia"/>
          <w:color w:val="auto"/>
          <w:lang w:val="en-US"/>
        </w:rPr>
        <w:t>.2采取不正当手段诋毁、排挤其他供应商的；</w:t>
      </w:r>
    </w:p>
    <w:p w14:paraId="72FA2962">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9</w:t>
      </w:r>
      <w:r>
        <w:rPr>
          <w:rFonts w:hint="eastAsia"/>
          <w:color w:val="auto"/>
          <w:lang w:val="en-US"/>
        </w:rPr>
        <w:t>.3与采购人、其他供应商或者采购代理机构恶意串通的；</w:t>
      </w:r>
    </w:p>
    <w:p w14:paraId="2CF844B4">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9</w:t>
      </w:r>
      <w:r>
        <w:rPr>
          <w:rFonts w:hint="eastAsia"/>
          <w:color w:val="auto"/>
          <w:lang w:val="en-US"/>
        </w:rPr>
        <w:t>.4向采购人、采购代理机构行贿或者提供其他不正当利益的；</w:t>
      </w:r>
    </w:p>
    <w:p w14:paraId="341CB69C">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9</w:t>
      </w:r>
      <w:r>
        <w:rPr>
          <w:rFonts w:hint="eastAsia"/>
          <w:color w:val="auto"/>
          <w:lang w:val="en-US"/>
        </w:rPr>
        <w:t>.5在招标采购过程中与采购人进行协商谈判的；</w:t>
      </w:r>
    </w:p>
    <w:p w14:paraId="79468A1F">
      <w:pPr>
        <w:pStyle w:val="2"/>
        <w:spacing w:line="360" w:lineRule="auto"/>
        <w:ind w:firstLine="480" w:firstLineChars="200"/>
        <w:rPr>
          <w:color w:val="auto"/>
          <w:lang w:val="en-US"/>
        </w:rPr>
      </w:pPr>
      <w:r>
        <w:rPr>
          <w:rFonts w:hint="eastAsia"/>
          <w:color w:val="auto"/>
          <w:lang w:val="en-US"/>
        </w:rPr>
        <w:t>2</w:t>
      </w:r>
      <w:r>
        <w:rPr>
          <w:rFonts w:hint="eastAsia"/>
          <w:color w:val="auto"/>
          <w:lang w:val="en-US" w:eastAsia="zh-CN"/>
        </w:rPr>
        <w:t>9</w:t>
      </w:r>
      <w:r>
        <w:rPr>
          <w:rFonts w:hint="eastAsia"/>
          <w:color w:val="auto"/>
          <w:lang w:val="en-US"/>
        </w:rPr>
        <w:t>.6拒绝有关部门监督检查或者提供虚假情况的；</w:t>
      </w:r>
    </w:p>
    <w:p w14:paraId="6BF4D58C">
      <w:pPr>
        <w:pStyle w:val="2"/>
        <w:spacing w:line="360" w:lineRule="auto"/>
        <w:ind w:firstLine="480" w:firstLineChars="200"/>
        <w:rPr>
          <w:color w:val="auto"/>
          <w:lang w:val="en-US"/>
        </w:rPr>
      </w:pPr>
      <w:r>
        <w:rPr>
          <w:rFonts w:hint="eastAsia"/>
          <w:color w:val="auto"/>
          <w:lang w:val="en-US"/>
        </w:rPr>
        <w:t>供应商有前款 2</w:t>
      </w:r>
      <w:r>
        <w:rPr>
          <w:rFonts w:hint="eastAsia"/>
          <w:color w:val="auto"/>
          <w:lang w:val="en-US" w:eastAsia="zh-CN"/>
        </w:rPr>
        <w:t>9</w:t>
      </w:r>
      <w:r>
        <w:rPr>
          <w:rFonts w:hint="eastAsia"/>
          <w:color w:val="auto"/>
          <w:lang w:val="en-US"/>
        </w:rPr>
        <w:t>.1 至 2</w:t>
      </w:r>
      <w:r>
        <w:rPr>
          <w:rFonts w:hint="eastAsia"/>
          <w:color w:val="auto"/>
          <w:lang w:val="en-US" w:eastAsia="zh-CN"/>
        </w:rPr>
        <w:t>9</w:t>
      </w:r>
      <w:r>
        <w:rPr>
          <w:rFonts w:hint="eastAsia"/>
          <w:color w:val="auto"/>
          <w:lang w:val="en-US"/>
        </w:rPr>
        <w:t>.6 项情形之一的，成交无效。</w:t>
      </w:r>
    </w:p>
    <w:p w14:paraId="4524E784">
      <w:pPr>
        <w:pStyle w:val="2"/>
        <w:numPr>
          <w:ilvl w:val="0"/>
          <w:numId w:val="0"/>
        </w:numPr>
        <w:spacing w:line="360" w:lineRule="auto"/>
        <w:ind w:firstLine="482" w:firstLineChars="200"/>
        <w:rPr>
          <w:b/>
          <w:bCs/>
          <w:color w:val="auto"/>
        </w:rPr>
      </w:pPr>
      <w:r>
        <w:rPr>
          <w:rFonts w:hint="eastAsia"/>
          <w:b/>
          <w:bCs/>
          <w:color w:val="auto"/>
          <w:lang w:val="en-US" w:eastAsia="zh-CN"/>
        </w:rPr>
        <w:t>30.</w:t>
      </w:r>
      <w:r>
        <w:rPr>
          <w:rFonts w:hint="eastAsia"/>
          <w:b/>
          <w:bCs/>
          <w:color w:val="auto"/>
        </w:rPr>
        <w:t>供应商有下列情形之一的，依照政府采购法第七十七条第一款的规定追究法  律责任：</w:t>
      </w:r>
    </w:p>
    <w:p w14:paraId="5631554A">
      <w:pPr>
        <w:pStyle w:val="2"/>
        <w:spacing w:line="360" w:lineRule="auto"/>
        <w:ind w:firstLine="480" w:firstLineChars="200"/>
        <w:rPr>
          <w:color w:val="auto"/>
          <w:lang w:val="en-US"/>
        </w:rPr>
      </w:pPr>
      <w:r>
        <w:rPr>
          <w:rFonts w:hint="eastAsia"/>
          <w:color w:val="auto"/>
          <w:lang w:val="en-US" w:eastAsia="zh-CN"/>
        </w:rPr>
        <w:t>30</w:t>
      </w:r>
      <w:r>
        <w:rPr>
          <w:rFonts w:hint="eastAsia"/>
          <w:color w:val="auto"/>
          <w:lang w:val="en-US"/>
        </w:rPr>
        <w:t>.1向评标委员会或者评标委员会成员行贿或者提供其他不正当利益；</w:t>
      </w:r>
    </w:p>
    <w:p w14:paraId="30FC4810">
      <w:pPr>
        <w:pStyle w:val="2"/>
        <w:spacing w:line="360" w:lineRule="auto"/>
        <w:ind w:firstLine="480" w:firstLineChars="200"/>
        <w:rPr>
          <w:color w:val="auto"/>
          <w:lang w:val="en-US"/>
        </w:rPr>
      </w:pPr>
      <w:r>
        <w:rPr>
          <w:rFonts w:hint="eastAsia"/>
          <w:color w:val="auto"/>
          <w:lang w:val="en-US" w:eastAsia="zh-CN"/>
        </w:rPr>
        <w:t>30</w:t>
      </w:r>
      <w:r>
        <w:rPr>
          <w:rFonts w:hint="eastAsia"/>
          <w:color w:val="auto"/>
          <w:lang w:val="en-US"/>
        </w:rPr>
        <w:t>.2中标或者成交后无正当理由拒不与采购人签订政府采购合同；</w:t>
      </w:r>
    </w:p>
    <w:p w14:paraId="55D330B2">
      <w:pPr>
        <w:pStyle w:val="2"/>
        <w:spacing w:line="360" w:lineRule="auto"/>
        <w:ind w:firstLine="480" w:firstLineChars="200"/>
        <w:rPr>
          <w:color w:val="auto"/>
          <w:lang w:val="en-US"/>
        </w:rPr>
      </w:pPr>
      <w:r>
        <w:rPr>
          <w:rFonts w:hint="eastAsia"/>
          <w:color w:val="auto"/>
          <w:lang w:val="en-US" w:eastAsia="zh-CN"/>
        </w:rPr>
        <w:t>30</w:t>
      </w:r>
      <w:r>
        <w:rPr>
          <w:rFonts w:hint="eastAsia"/>
          <w:color w:val="auto"/>
          <w:lang w:val="en-US"/>
        </w:rPr>
        <w:t>.3未按照磋商文件确定的事项签订政府采购合同；</w:t>
      </w:r>
    </w:p>
    <w:p w14:paraId="650E890E">
      <w:pPr>
        <w:pStyle w:val="2"/>
        <w:spacing w:line="360" w:lineRule="auto"/>
        <w:ind w:firstLine="480" w:firstLineChars="200"/>
        <w:rPr>
          <w:color w:val="auto"/>
          <w:lang w:val="en-US"/>
        </w:rPr>
      </w:pPr>
      <w:r>
        <w:rPr>
          <w:rFonts w:hint="eastAsia"/>
          <w:color w:val="auto"/>
          <w:lang w:val="en-US" w:eastAsia="zh-CN"/>
        </w:rPr>
        <w:t>30</w:t>
      </w:r>
      <w:r>
        <w:rPr>
          <w:rFonts w:hint="eastAsia"/>
          <w:color w:val="auto"/>
          <w:lang w:val="en-US"/>
        </w:rPr>
        <w:t>.4将政府采购合同转包；</w:t>
      </w:r>
    </w:p>
    <w:p w14:paraId="5D19273C">
      <w:pPr>
        <w:pStyle w:val="2"/>
        <w:spacing w:line="360" w:lineRule="auto"/>
        <w:ind w:firstLine="480" w:firstLineChars="200"/>
        <w:rPr>
          <w:color w:val="auto"/>
          <w:lang w:val="en-US"/>
        </w:rPr>
      </w:pPr>
      <w:r>
        <w:rPr>
          <w:rFonts w:hint="eastAsia"/>
          <w:color w:val="auto"/>
          <w:lang w:val="en-US" w:eastAsia="zh-CN"/>
        </w:rPr>
        <w:t>30</w:t>
      </w:r>
      <w:r>
        <w:rPr>
          <w:rFonts w:hint="eastAsia"/>
          <w:color w:val="auto"/>
          <w:lang w:val="en-US"/>
        </w:rPr>
        <w:t>.5提供假冒伪劣产品；</w:t>
      </w:r>
    </w:p>
    <w:p w14:paraId="634B243F">
      <w:pPr>
        <w:pStyle w:val="2"/>
        <w:spacing w:line="360" w:lineRule="auto"/>
        <w:ind w:firstLine="480" w:firstLineChars="200"/>
        <w:rPr>
          <w:color w:val="auto"/>
          <w:lang w:val="en-US"/>
        </w:rPr>
      </w:pPr>
      <w:r>
        <w:rPr>
          <w:rFonts w:hint="eastAsia"/>
          <w:color w:val="auto"/>
          <w:lang w:val="en-US" w:eastAsia="zh-CN"/>
        </w:rPr>
        <w:t>30</w:t>
      </w:r>
      <w:r>
        <w:rPr>
          <w:rFonts w:hint="eastAsia"/>
          <w:color w:val="auto"/>
          <w:lang w:val="en-US"/>
        </w:rPr>
        <w:t>.6擅自变更、中止或者终止政府采购合同。</w:t>
      </w:r>
    </w:p>
    <w:p w14:paraId="243718F7">
      <w:pPr>
        <w:pStyle w:val="2"/>
        <w:spacing w:line="360" w:lineRule="auto"/>
        <w:ind w:firstLine="480" w:firstLineChars="200"/>
        <w:rPr>
          <w:color w:val="auto"/>
          <w:lang w:val="en-US"/>
        </w:rPr>
      </w:pPr>
      <w:r>
        <w:rPr>
          <w:rFonts w:hint="eastAsia"/>
          <w:color w:val="auto"/>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CAC9C65">
      <w:pPr>
        <w:pStyle w:val="2"/>
        <w:numPr>
          <w:ilvl w:val="0"/>
          <w:numId w:val="0"/>
        </w:numPr>
        <w:spacing w:line="360" w:lineRule="auto"/>
        <w:ind w:firstLine="482" w:firstLineChars="200"/>
        <w:rPr>
          <w:b/>
          <w:bCs/>
          <w:color w:val="auto"/>
        </w:rPr>
      </w:pPr>
      <w:r>
        <w:rPr>
          <w:rFonts w:hint="eastAsia"/>
          <w:b/>
          <w:bCs/>
          <w:color w:val="auto"/>
          <w:lang w:val="en-US" w:eastAsia="zh-CN"/>
        </w:rPr>
        <w:t>31.</w:t>
      </w:r>
      <w:r>
        <w:rPr>
          <w:rFonts w:hint="eastAsia"/>
          <w:b/>
          <w:bCs/>
          <w:color w:val="auto"/>
        </w:rPr>
        <w:t>供应商捏造事实、提供虚假材料或者以非法手段取得证明材料进行投诉的，  由财政部门列入不良行为记录名单，禁止其 1 至 3 年内参加政府采购活动。</w:t>
      </w:r>
    </w:p>
    <w:p w14:paraId="3B3E8D41">
      <w:pPr>
        <w:pStyle w:val="2"/>
        <w:numPr>
          <w:ilvl w:val="0"/>
          <w:numId w:val="0"/>
        </w:numPr>
        <w:spacing w:line="360" w:lineRule="auto"/>
        <w:ind w:firstLine="482" w:firstLineChars="200"/>
        <w:rPr>
          <w:b/>
          <w:bCs/>
          <w:color w:val="auto"/>
        </w:rPr>
      </w:pPr>
      <w:r>
        <w:rPr>
          <w:rFonts w:hint="eastAsia"/>
          <w:b/>
          <w:bCs/>
          <w:color w:val="auto"/>
          <w:lang w:val="en-US" w:eastAsia="zh-CN"/>
        </w:rPr>
        <w:t>32.</w:t>
      </w:r>
      <w:r>
        <w:rPr>
          <w:rFonts w:hint="eastAsia"/>
          <w:b/>
          <w:bCs/>
          <w:color w:val="auto"/>
        </w:rPr>
        <w:t>有下列情形之一的，属于恶意串通，对供应商依照政府采购法第七十七条第  一款的规定追究法律责任，对采购人、采购代理机构及其工作人员依照政府采购法第  七十二条的规定追究法律责任：</w:t>
      </w:r>
    </w:p>
    <w:p w14:paraId="2C6D9991">
      <w:pPr>
        <w:pStyle w:val="2"/>
        <w:spacing w:line="360" w:lineRule="auto"/>
        <w:ind w:firstLine="480" w:firstLineChars="200"/>
        <w:rPr>
          <w:color w:val="auto"/>
          <w:lang w:val="en-US"/>
        </w:rPr>
      </w:pPr>
      <w:r>
        <w:rPr>
          <w:rFonts w:hint="eastAsia"/>
          <w:color w:val="auto"/>
          <w:lang w:val="en-US" w:eastAsia="zh-CN"/>
        </w:rPr>
        <w:t>32</w:t>
      </w:r>
      <w:r>
        <w:rPr>
          <w:rFonts w:hint="eastAsia"/>
          <w:color w:val="auto"/>
          <w:lang w:val="en-US"/>
        </w:rPr>
        <w:t>.1供应商直接或者间接从采购人或者采购代理机构处获得其他供应商的相关情况并修改其响应文件；</w:t>
      </w:r>
    </w:p>
    <w:p w14:paraId="2758A2B1">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.2供应商按照采购人或者采购代理机构的授意撤换、修改响应文件；</w:t>
      </w:r>
    </w:p>
    <w:p w14:paraId="544D3DEF">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.3供应商之间协商报价、技术方案等响应文件的实质性内容；</w:t>
      </w:r>
    </w:p>
    <w:p w14:paraId="431BC2A1">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.4属于同一集团、协会、商会等组织成员的供应商按照该组织要求协同参加政府采购活动；</w:t>
      </w:r>
    </w:p>
    <w:p w14:paraId="05E940CE">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.5供应商之间事先约定由某一特定供应商中标、成交；</w:t>
      </w:r>
    </w:p>
    <w:p w14:paraId="03765C10">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.6供应商之间商定部分供应商放弃参加政府采购活动或者放弃中标、成交；</w:t>
      </w:r>
    </w:p>
    <w:p w14:paraId="0838BEF4">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7供应商与采购人或者采购代理机构之间、供应商相互之间，为谋求特定供应商中标、成交或者排斥其他供应商的其他串通行为；</w:t>
      </w:r>
    </w:p>
    <w:p w14:paraId="3850AAAD">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.8不同供应商的响应文件由同一单位或者个人编制；</w:t>
      </w:r>
    </w:p>
    <w:p w14:paraId="6FA5FDC5">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.9不同供应商委托同一单位或者个人办理磋商事宜；</w:t>
      </w:r>
    </w:p>
    <w:p w14:paraId="0AB00C7D">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.10不同供应商的响应文件载明的项目管理成员或者联系人员为同一人；</w:t>
      </w:r>
    </w:p>
    <w:p w14:paraId="359F0AF9">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.11不同供应商的响应文件异常一致或者磋商报价呈规律性差异；</w:t>
      </w:r>
    </w:p>
    <w:p w14:paraId="1F97C0D8">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2</w:t>
      </w:r>
      <w:r>
        <w:rPr>
          <w:rFonts w:hint="eastAsia"/>
          <w:color w:val="auto"/>
          <w:lang w:val="en-US"/>
        </w:rPr>
        <w:t>.12不同供应商的响应文件相互混装。</w:t>
      </w:r>
    </w:p>
    <w:p w14:paraId="6CEB395D">
      <w:pPr>
        <w:pStyle w:val="4"/>
        <w:tabs>
          <w:tab w:val="left" w:pos="1291"/>
        </w:tabs>
        <w:spacing w:before="0" w:line="360" w:lineRule="auto"/>
        <w:ind w:left="0"/>
        <w:jc w:val="left"/>
        <w:rPr>
          <w:color w:val="auto"/>
          <w:lang w:val="en-US"/>
        </w:rPr>
      </w:pPr>
      <w:bookmarkStart w:id="38" w:name="九___询问"/>
      <w:bookmarkEnd w:id="38"/>
      <w:bookmarkStart w:id="39" w:name="_Toc21883"/>
      <w:r>
        <w:rPr>
          <w:rFonts w:hint="eastAsia"/>
          <w:color w:val="auto"/>
          <w:lang w:val="en-US"/>
        </w:rPr>
        <w:t>九  询问</w:t>
      </w:r>
      <w:bookmarkEnd w:id="39"/>
    </w:p>
    <w:p w14:paraId="60A301B0">
      <w:pPr>
        <w:pStyle w:val="2"/>
        <w:numPr>
          <w:ilvl w:val="0"/>
          <w:numId w:val="0"/>
        </w:numPr>
        <w:spacing w:line="360" w:lineRule="auto"/>
        <w:ind w:firstLine="480" w:firstLineChars="200"/>
        <w:rPr>
          <w:b w:val="0"/>
          <w:bCs w:val="0"/>
          <w:color w:val="auto"/>
        </w:rPr>
      </w:pPr>
      <w:r>
        <w:rPr>
          <w:rFonts w:hint="eastAsia"/>
          <w:b w:val="0"/>
          <w:bCs w:val="0"/>
          <w:color w:val="auto"/>
          <w:lang w:val="en-US" w:eastAsia="zh-CN"/>
        </w:rPr>
        <w:t>33.</w:t>
      </w:r>
      <w:r>
        <w:rPr>
          <w:rFonts w:hint="eastAsia"/>
          <w:b w:val="0"/>
          <w:bCs w:val="0"/>
          <w:color w:val="auto"/>
        </w:rPr>
        <w:t>供应商有权就采购活动的事项在有效时限内提出询问。</w:t>
      </w:r>
    </w:p>
    <w:p w14:paraId="4E7C090D">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3</w:t>
      </w:r>
      <w:r>
        <w:rPr>
          <w:rFonts w:hint="eastAsia"/>
          <w:color w:val="auto"/>
          <w:lang w:val="en-US"/>
        </w:rPr>
        <w:t>.1供应商对采购活动事项有疑问的，可向采购代理机构提出询问，采购代理机构将在 3 个工作日内对供应商依法提出的询问作出答复，但答复的内容不涉及商业秘密。</w:t>
      </w:r>
    </w:p>
    <w:p w14:paraId="4C3F213A">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3</w:t>
      </w:r>
      <w:r>
        <w:rPr>
          <w:rFonts w:hint="eastAsia"/>
          <w:color w:val="auto"/>
          <w:lang w:val="en-US"/>
        </w:rPr>
        <w:t>.2对磋商文件有疑问的，应在规定的时间内向采购代理机构书面提出。</w:t>
      </w:r>
    </w:p>
    <w:p w14:paraId="53071DE4">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3</w:t>
      </w:r>
      <w:r>
        <w:rPr>
          <w:rFonts w:hint="eastAsia"/>
          <w:color w:val="auto"/>
          <w:lang w:val="en-US"/>
        </w:rPr>
        <w:t>.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6F41E4B6">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3</w:t>
      </w:r>
      <w:r>
        <w:rPr>
          <w:rFonts w:hint="eastAsia"/>
          <w:color w:val="auto"/>
          <w:lang w:val="en-US"/>
        </w:rPr>
        <w:t>.2.2采购代理机构将在磋商截止时间十五日前对供应商澄清的要求予以答复， 答复内容将在丽水市公共资源交易网（</w:t>
      </w:r>
      <w:r>
        <w:rPr>
          <w:rFonts w:hint="eastAsia"/>
          <w:color w:val="auto"/>
        </w:rPr>
        <w:t>https://lssggzy.lishui.gov.cn/</w:t>
      </w:r>
      <w:r>
        <w:rPr>
          <w:rFonts w:hint="eastAsia"/>
          <w:color w:val="auto"/>
          <w:lang w:val="en-US"/>
        </w:rPr>
        <w:t>） 和浙江省政府采购网</w:t>
      </w:r>
      <w:r>
        <w:rPr>
          <w:rFonts w:hint="eastAsia"/>
          <w:color w:val="auto"/>
          <w:u w:val="none"/>
          <w:lang w:val="en-US"/>
        </w:rPr>
        <w:t>（https://zfcg.czt.zj.gov.cn/</w:t>
      </w:r>
      <w:r>
        <w:rPr>
          <w:rFonts w:hint="eastAsia"/>
          <w:color w:val="auto"/>
          <w:lang w:val="en-US"/>
        </w:rPr>
        <w:t>）上予以公布，请供应商务必关注相关网站，供应商因自身贻误行为导致磋商失败的，责任自负。</w:t>
      </w:r>
    </w:p>
    <w:p w14:paraId="1298927D">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3</w:t>
      </w:r>
      <w:r>
        <w:rPr>
          <w:rFonts w:hint="eastAsia"/>
          <w:color w:val="auto"/>
          <w:lang w:val="en-US"/>
        </w:rPr>
        <w:t>.3供应商提出的询问超出采购人对采购代理机构委托授权范围的，采购代理机构应当告知供应商向采购人提出。</w:t>
      </w:r>
    </w:p>
    <w:p w14:paraId="5EB50B6D">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3</w:t>
      </w:r>
      <w:r>
        <w:rPr>
          <w:rFonts w:hint="eastAsia"/>
          <w:color w:val="auto"/>
          <w:lang w:val="en-US"/>
        </w:rPr>
        <w:t>.4政府采购评审专家应当配合采购人或者采购代理机构答复供应商的询问。</w:t>
      </w:r>
    </w:p>
    <w:p w14:paraId="27AF95EC">
      <w:pPr>
        <w:pStyle w:val="4"/>
        <w:tabs>
          <w:tab w:val="left" w:pos="1291"/>
        </w:tabs>
        <w:spacing w:before="0" w:line="360" w:lineRule="auto"/>
        <w:ind w:left="0"/>
        <w:jc w:val="left"/>
        <w:rPr>
          <w:color w:val="auto"/>
          <w:lang w:val="en-US"/>
        </w:rPr>
      </w:pPr>
      <w:bookmarkStart w:id="40" w:name="十___质疑"/>
      <w:bookmarkEnd w:id="40"/>
      <w:bookmarkStart w:id="41" w:name="_Toc32730"/>
      <w:r>
        <w:rPr>
          <w:rFonts w:hint="eastAsia"/>
          <w:color w:val="auto"/>
          <w:lang w:val="en-US"/>
        </w:rPr>
        <w:t>十  质疑</w:t>
      </w:r>
      <w:bookmarkEnd w:id="41"/>
    </w:p>
    <w:p w14:paraId="490396A7">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55E25B07">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.2质疑的主要内容应符合《政府采购质疑和投诉办法》规定以及浙江省和丽水市相关文件的规定。质疑内容涉及保密事项，质疑供应商应提供有效的信息来源或有效证据。</w:t>
      </w:r>
    </w:p>
    <w:p w14:paraId="29430FC9">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.3质疑供应商可直接提交、传真或邮寄方式提交质疑书（一式三份以上）。以其他方式提出的质疑，采购代理机构可不予接受、答复。</w:t>
      </w:r>
    </w:p>
    <w:p w14:paraId="51BF06F5">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.3.1邮寄方式送达质疑书的，以采购代理机构实际收到邮件之日作为收到质疑的日期。</w:t>
      </w:r>
    </w:p>
    <w:p w14:paraId="1DB1CFAA">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.3.2传真方式送达质疑书的，质疑供应商应当取得采购代理机构确认收到传真的意见，并及时将质疑书原件送达采购代理机构。采购代理机构以实际收到原件之日作为收到质疑的日期。</w:t>
      </w:r>
    </w:p>
    <w:p w14:paraId="125EC97B">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.3.3在质疑期限届满前，质疑书已经邮寄或传真成功的，质疑不视为过期。</w:t>
      </w:r>
    </w:p>
    <w:p w14:paraId="0853F2C5">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.4质疑供应商提供的相关材料中有外文资料的，应将与质疑相关的外文资料完整、客观、真实地翻译为中文，并注明翻译人员姓名、工作单位、联系方式等信息。</w:t>
      </w:r>
    </w:p>
    <w:p w14:paraId="76960E11">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.5采购代理机构在收到质疑供应商的书面质疑后 7 个工作日内作出答复，并以书面形式答复质疑供应商。</w:t>
      </w:r>
    </w:p>
    <w:p w14:paraId="60307990">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4</w:t>
      </w:r>
      <w:r>
        <w:rPr>
          <w:rFonts w:hint="eastAsia"/>
          <w:color w:val="auto"/>
          <w:lang w:val="en-US"/>
        </w:rPr>
        <w:t>.6质疑供应商捏造事实、提供虚假材料进行质疑的，采购代理机构报告同级财政部门，由同级财政部门审查，情况属实的，应列入不良行为记录，并在指定的媒体上公告。</w:t>
      </w:r>
    </w:p>
    <w:p w14:paraId="0D3F19E9">
      <w:pPr>
        <w:pStyle w:val="4"/>
        <w:tabs>
          <w:tab w:val="left" w:pos="1291"/>
        </w:tabs>
        <w:spacing w:before="0" w:line="360" w:lineRule="auto"/>
        <w:ind w:left="0"/>
        <w:jc w:val="left"/>
        <w:rPr>
          <w:color w:val="auto"/>
          <w:lang w:val="en-US"/>
        </w:rPr>
      </w:pPr>
      <w:bookmarkStart w:id="42" w:name="十一__投诉"/>
      <w:bookmarkEnd w:id="42"/>
      <w:bookmarkStart w:id="43" w:name="_Toc31384"/>
      <w:r>
        <w:rPr>
          <w:rFonts w:hint="eastAsia"/>
          <w:color w:val="auto"/>
          <w:lang w:val="en-US"/>
        </w:rPr>
        <w:t>十一  投诉</w:t>
      </w:r>
      <w:bookmarkEnd w:id="43"/>
    </w:p>
    <w:p w14:paraId="2ED921CE">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5</w:t>
      </w:r>
      <w:r>
        <w:rPr>
          <w:rFonts w:hint="eastAsia"/>
          <w:color w:val="auto"/>
          <w:lang w:val="en-US"/>
        </w:rPr>
        <w:t>.质疑供应商对采购代理机构的答复不满意或者采购代理机构未在规定时间内答复的，可以在答复期满后十五个工作日内按有关规定，向同级</w:t>
      </w:r>
      <w:r>
        <w:rPr>
          <w:rFonts w:hint="eastAsia"/>
          <w:color w:val="auto"/>
          <w:lang w:val="en-US" w:eastAsia="zh-CN"/>
        </w:rPr>
        <w:t>政府采购管理部门</w:t>
      </w:r>
      <w:r>
        <w:rPr>
          <w:rFonts w:hint="eastAsia"/>
          <w:color w:val="auto"/>
          <w:lang w:val="en-US"/>
        </w:rPr>
        <w:t>投诉。</w:t>
      </w:r>
    </w:p>
    <w:p w14:paraId="2A008A78">
      <w:pPr>
        <w:pStyle w:val="4"/>
        <w:tabs>
          <w:tab w:val="left" w:pos="1291"/>
        </w:tabs>
        <w:spacing w:before="0" w:line="360" w:lineRule="auto"/>
        <w:ind w:left="0"/>
        <w:jc w:val="left"/>
        <w:rPr>
          <w:color w:val="auto"/>
          <w:lang w:val="en-US"/>
        </w:rPr>
      </w:pPr>
      <w:bookmarkStart w:id="44" w:name="十二__授予合同"/>
      <w:bookmarkEnd w:id="44"/>
      <w:bookmarkStart w:id="45" w:name="_Toc5890"/>
      <w:r>
        <w:rPr>
          <w:rFonts w:hint="eastAsia"/>
          <w:color w:val="auto"/>
          <w:lang w:val="en-US"/>
        </w:rPr>
        <w:t>十二  授予合同</w:t>
      </w:r>
      <w:bookmarkEnd w:id="45"/>
    </w:p>
    <w:p w14:paraId="276A4FA2">
      <w:pPr>
        <w:pStyle w:val="2"/>
        <w:spacing w:line="360" w:lineRule="auto"/>
        <w:ind w:firstLine="482" w:firstLineChars="200"/>
        <w:rPr>
          <w:rFonts w:hint="eastAsia" w:eastAsia="仿宋"/>
          <w:b/>
          <w:bCs/>
          <w:color w:val="auto"/>
          <w:lang w:val="en-US" w:eastAsia="zh-CN"/>
        </w:rPr>
      </w:pPr>
      <w:r>
        <w:rPr>
          <w:rFonts w:hint="eastAsia"/>
          <w:b/>
          <w:bCs/>
          <w:color w:val="auto"/>
          <w:lang w:val="en-US"/>
        </w:rPr>
        <w:t>3</w:t>
      </w:r>
      <w:r>
        <w:rPr>
          <w:rFonts w:hint="eastAsia"/>
          <w:b/>
          <w:bCs/>
          <w:color w:val="auto"/>
          <w:lang w:val="en-US" w:eastAsia="zh-CN"/>
        </w:rPr>
        <w:t>6</w:t>
      </w:r>
      <w:r>
        <w:rPr>
          <w:rFonts w:hint="eastAsia"/>
          <w:b/>
          <w:bCs/>
          <w:color w:val="auto"/>
          <w:lang w:val="en-US"/>
        </w:rPr>
        <w:t>. 成交结果公告及</w:t>
      </w:r>
      <w:r>
        <w:rPr>
          <w:rFonts w:hint="eastAsia"/>
          <w:b/>
          <w:bCs/>
          <w:color w:val="auto"/>
          <w:lang w:val="en-US" w:eastAsia="zh-CN"/>
        </w:rPr>
        <w:t>中标（成交）通知书</w:t>
      </w:r>
    </w:p>
    <w:p w14:paraId="7EB24B63">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6</w:t>
      </w:r>
      <w:r>
        <w:rPr>
          <w:rFonts w:hint="eastAsia"/>
          <w:color w:val="auto"/>
          <w:lang w:val="en-US"/>
        </w:rPr>
        <w:t>.1采购代理机构将在“丽水市公共资源交易网”和“浙江省政府采购网”上发布成交结果公告。成交结果公告内容不包括国家秘密、商业秘密。</w:t>
      </w:r>
    </w:p>
    <w:p w14:paraId="63BD91A1">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6</w:t>
      </w:r>
      <w:r>
        <w:rPr>
          <w:rFonts w:hint="eastAsia"/>
          <w:color w:val="auto"/>
          <w:lang w:val="en-US"/>
        </w:rPr>
        <w:t>.2发布成交公告的同时，采购代理机构向成交人书面发出</w:t>
      </w:r>
      <w:r>
        <w:rPr>
          <w:rFonts w:hint="eastAsia"/>
          <w:color w:val="auto"/>
          <w:lang w:val="en-US" w:eastAsia="zh-CN"/>
        </w:rPr>
        <w:t>中标（</w:t>
      </w:r>
      <w:r>
        <w:rPr>
          <w:rFonts w:hint="eastAsia"/>
          <w:color w:val="auto"/>
          <w:lang w:val="en-US"/>
        </w:rPr>
        <w:t>成交</w:t>
      </w:r>
      <w:r>
        <w:rPr>
          <w:rFonts w:hint="eastAsia"/>
          <w:color w:val="auto"/>
          <w:lang w:val="en-US" w:eastAsia="zh-CN"/>
        </w:rPr>
        <w:t>）</w:t>
      </w:r>
      <w:r>
        <w:rPr>
          <w:rFonts w:hint="eastAsia"/>
          <w:color w:val="auto"/>
          <w:lang w:val="en-US"/>
        </w:rPr>
        <w:t>通知书。</w:t>
      </w:r>
    </w:p>
    <w:p w14:paraId="37DC1D42">
      <w:pPr>
        <w:pStyle w:val="2"/>
        <w:numPr>
          <w:ilvl w:val="0"/>
          <w:numId w:val="0"/>
        </w:numPr>
        <w:spacing w:line="360" w:lineRule="auto"/>
        <w:ind w:firstLine="482" w:firstLineChars="200"/>
        <w:rPr>
          <w:b/>
          <w:bCs/>
          <w:color w:val="auto"/>
          <w:lang w:val="en-US"/>
        </w:rPr>
      </w:pPr>
      <w:r>
        <w:rPr>
          <w:rFonts w:hint="eastAsia"/>
          <w:b/>
          <w:bCs/>
          <w:color w:val="auto"/>
          <w:lang w:val="en-US" w:eastAsia="zh-CN"/>
        </w:rPr>
        <w:t>37.</w:t>
      </w:r>
      <w:r>
        <w:rPr>
          <w:rFonts w:hint="eastAsia"/>
          <w:b/>
          <w:bCs/>
          <w:color w:val="auto"/>
          <w:lang w:val="en-US"/>
        </w:rPr>
        <w:t>授予合同时变更数量的</w:t>
      </w:r>
      <w:r>
        <w:rPr>
          <w:rFonts w:hint="eastAsia"/>
          <w:b/>
          <w:bCs/>
          <w:color w:val="auto"/>
          <w:lang w:val="en-US" w:eastAsia="zh-CN"/>
        </w:rPr>
        <w:t>权利</w:t>
      </w:r>
    </w:p>
    <w:p w14:paraId="76FF6C73">
      <w:pPr>
        <w:pStyle w:val="2"/>
        <w:spacing w:line="360" w:lineRule="auto"/>
        <w:ind w:firstLine="480" w:firstLineChars="200"/>
        <w:rPr>
          <w:color w:val="auto"/>
          <w:lang w:val="en-US"/>
        </w:rPr>
      </w:pPr>
      <w:r>
        <w:rPr>
          <w:rFonts w:hint="eastAsia"/>
          <w:color w:val="auto"/>
          <w:lang w:val="en-US"/>
        </w:rPr>
        <w:t>3</w:t>
      </w:r>
      <w:r>
        <w:rPr>
          <w:rFonts w:hint="eastAsia"/>
          <w:color w:val="auto"/>
          <w:lang w:val="en-US" w:eastAsia="zh-CN"/>
        </w:rPr>
        <w:t>7</w:t>
      </w:r>
      <w:r>
        <w:rPr>
          <w:rFonts w:hint="eastAsia"/>
          <w:color w:val="auto"/>
          <w:lang w:val="en-US"/>
        </w:rPr>
        <w:t>.1 采购人需追加与合同标的相同的货物、工程或者服务的，在不改变合同其他条款的前提下，可经同级</w:t>
      </w:r>
      <w:r>
        <w:rPr>
          <w:rFonts w:hint="eastAsia"/>
          <w:color w:val="auto"/>
          <w:lang w:val="en-US" w:eastAsia="zh-CN"/>
        </w:rPr>
        <w:t>政府采购管理部门</w:t>
      </w:r>
      <w:r>
        <w:rPr>
          <w:rFonts w:hint="eastAsia"/>
          <w:color w:val="auto"/>
          <w:lang w:val="en-US"/>
        </w:rPr>
        <w:t>批准直接与成交人签订补充合同，补充合同需交由同级</w:t>
      </w:r>
      <w:r>
        <w:rPr>
          <w:rFonts w:hint="eastAsia"/>
          <w:color w:val="auto"/>
          <w:lang w:val="en-US" w:eastAsia="zh-CN"/>
        </w:rPr>
        <w:t>政府采购管理部门</w:t>
      </w:r>
      <w:r>
        <w:rPr>
          <w:rFonts w:hint="eastAsia"/>
          <w:color w:val="auto"/>
          <w:lang w:val="en-US"/>
        </w:rPr>
        <w:t>备案，但所补充合同的采购金额不得超过原合同采购金额的10%。</w:t>
      </w:r>
    </w:p>
    <w:p w14:paraId="6A22B424">
      <w:pPr>
        <w:pStyle w:val="2"/>
        <w:spacing w:line="360" w:lineRule="auto"/>
        <w:ind w:firstLine="482" w:firstLineChars="200"/>
        <w:rPr>
          <w:b/>
          <w:bCs/>
          <w:color w:val="auto"/>
          <w:lang w:val="en-US"/>
        </w:rPr>
      </w:pPr>
      <w:r>
        <w:rPr>
          <w:rFonts w:hint="eastAsia"/>
          <w:b/>
          <w:bCs/>
          <w:color w:val="auto"/>
          <w:lang w:val="en-US"/>
        </w:rPr>
        <w:t>3</w:t>
      </w:r>
      <w:r>
        <w:rPr>
          <w:rFonts w:hint="eastAsia"/>
          <w:b/>
          <w:bCs/>
          <w:color w:val="auto"/>
          <w:lang w:val="en-US" w:eastAsia="zh-CN"/>
        </w:rPr>
        <w:t>8</w:t>
      </w:r>
      <w:r>
        <w:rPr>
          <w:rFonts w:hint="eastAsia"/>
          <w:b/>
          <w:bCs/>
          <w:color w:val="auto"/>
          <w:lang w:val="en-US"/>
        </w:rPr>
        <w:t>. 签订合同</w:t>
      </w:r>
    </w:p>
    <w:p w14:paraId="432E5246">
      <w:pPr>
        <w:pStyle w:val="43"/>
        <w:numPr>
          <w:ilvl w:val="0"/>
          <w:numId w:val="0"/>
        </w:numPr>
        <w:tabs>
          <w:tab w:val="left" w:pos="1100"/>
        </w:tabs>
        <w:spacing w:before="0" w:line="360" w:lineRule="auto"/>
        <w:ind w:left="462" w:leftChars="0"/>
        <w:jc w:val="both"/>
        <w:rPr>
          <w:color w:val="auto"/>
          <w:sz w:val="24"/>
        </w:rPr>
      </w:pPr>
      <w:r>
        <w:rPr>
          <w:rFonts w:hint="eastAsia"/>
          <w:color w:val="auto"/>
          <w:sz w:val="24"/>
          <w:lang w:val="en-US" w:eastAsia="zh-CN"/>
        </w:rPr>
        <w:t>38.1</w:t>
      </w:r>
      <w:r>
        <w:rPr>
          <w:rFonts w:hint="eastAsia"/>
          <w:color w:val="auto"/>
          <w:sz w:val="24"/>
        </w:rPr>
        <w:t>成交人自</w:t>
      </w:r>
      <w:r>
        <w:rPr>
          <w:rFonts w:hint="eastAsia"/>
          <w:color w:val="auto"/>
          <w:sz w:val="24"/>
          <w:lang w:eastAsia="zh-CN"/>
        </w:rPr>
        <w:t>中标（成交）通知书</w:t>
      </w:r>
      <w:r>
        <w:rPr>
          <w:rFonts w:hint="eastAsia"/>
          <w:color w:val="auto"/>
          <w:sz w:val="24"/>
        </w:rPr>
        <w:t>发出之日起 30 天内与采购人</w:t>
      </w:r>
      <w:r>
        <w:rPr>
          <w:rFonts w:hint="eastAsia"/>
          <w:color w:val="auto"/>
          <w:sz w:val="24"/>
          <w:lang w:eastAsia="zh-CN"/>
        </w:rPr>
        <w:t>签订</w:t>
      </w:r>
      <w:r>
        <w:rPr>
          <w:rFonts w:hint="eastAsia"/>
          <w:color w:val="auto"/>
          <w:sz w:val="24"/>
        </w:rPr>
        <w:t>合同。</w:t>
      </w:r>
    </w:p>
    <w:p w14:paraId="250E3F3D">
      <w:pPr>
        <w:pStyle w:val="43"/>
        <w:numPr>
          <w:ilvl w:val="0"/>
          <w:numId w:val="0"/>
        </w:numPr>
        <w:tabs>
          <w:tab w:val="left" w:pos="1100"/>
        </w:tabs>
        <w:spacing w:before="0" w:line="360" w:lineRule="auto"/>
        <w:ind w:left="462" w:leftChars="0"/>
        <w:jc w:val="both"/>
        <w:rPr>
          <w:color w:val="auto"/>
          <w:sz w:val="24"/>
        </w:rPr>
      </w:pPr>
      <w:r>
        <w:rPr>
          <w:rFonts w:hint="eastAsia"/>
          <w:color w:val="auto"/>
          <w:sz w:val="24"/>
          <w:lang w:val="en-US" w:eastAsia="zh-CN"/>
        </w:rPr>
        <w:t>38.2</w:t>
      </w:r>
      <w:r>
        <w:rPr>
          <w:rFonts w:hint="eastAsia"/>
          <w:color w:val="auto"/>
          <w:sz w:val="24"/>
        </w:rPr>
        <w:t>磋商文件、成交人的响应文件及其澄清文件等</w:t>
      </w:r>
      <w:r>
        <w:rPr>
          <w:rFonts w:hint="eastAsia"/>
          <w:color w:val="auto"/>
          <w:sz w:val="24"/>
          <w:lang w:eastAsia="zh-CN"/>
        </w:rPr>
        <w:t>，</w:t>
      </w:r>
      <w:r>
        <w:rPr>
          <w:rFonts w:hint="eastAsia"/>
          <w:color w:val="auto"/>
          <w:sz w:val="24"/>
        </w:rPr>
        <w:t>均为签订合同的依据。</w:t>
      </w:r>
    </w:p>
    <w:p w14:paraId="57921404">
      <w:pPr>
        <w:pStyle w:val="43"/>
        <w:numPr>
          <w:ilvl w:val="0"/>
          <w:numId w:val="0"/>
        </w:numPr>
        <w:tabs>
          <w:tab w:val="left" w:pos="1100"/>
        </w:tabs>
        <w:spacing w:before="0" w:line="360" w:lineRule="auto"/>
        <w:ind w:firstLine="480" w:firstLineChars="200"/>
        <w:jc w:val="both"/>
        <w:rPr>
          <w:color w:val="auto"/>
          <w:sz w:val="24"/>
        </w:rPr>
      </w:pPr>
      <w:r>
        <w:rPr>
          <w:rFonts w:hint="eastAsia"/>
          <w:color w:val="auto"/>
          <w:sz w:val="24"/>
          <w:lang w:val="en-US" w:eastAsia="zh-CN"/>
        </w:rPr>
        <w:t>38.3</w:t>
      </w:r>
      <w:r>
        <w:rPr>
          <w:rFonts w:hint="eastAsia"/>
          <w:color w:val="auto"/>
          <w:sz w:val="24"/>
        </w:rPr>
        <w:t>成交人不遵守磋商文件和响应文件的要约条款及所作的承诺</w:t>
      </w:r>
      <w:r>
        <w:rPr>
          <w:rFonts w:hint="eastAsia"/>
          <w:color w:val="auto"/>
          <w:sz w:val="24"/>
          <w:lang w:eastAsia="zh-CN"/>
        </w:rPr>
        <w:t>，</w:t>
      </w:r>
      <w:r>
        <w:rPr>
          <w:rFonts w:hint="eastAsia"/>
          <w:color w:val="auto"/>
          <w:sz w:val="24"/>
        </w:rPr>
        <w:t>擅自修改报价或在</w:t>
      </w:r>
      <w:r>
        <w:rPr>
          <w:rFonts w:hint="eastAsia"/>
          <w:color w:val="auto"/>
          <w:sz w:val="24"/>
          <w:lang w:eastAsia="zh-CN"/>
        </w:rPr>
        <w:t>中标（成交）通知书</w:t>
      </w:r>
      <w:r>
        <w:rPr>
          <w:rFonts w:hint="eastAsia"/>
          <w:color w:val="auto"/>
          <w:sz w:val="24"/>
        </w:rPr>
        <w:t>发出之日起 30 天内</w:t>
      </w:r>
      <w:r>
        <w:rPr>
          <w:rFonts w:hint="eastAsia"/>
          <w:color w:val="auto"/>
          <w:sz w:val="24"/>
          <w:lang w:eastAsia="zh-CN"/>
        </w:rPr>
        <w:t>，</w:t>
      </w:r>
      <w:r>
        <w:rPr>
          <w:rFonts w:hint="eastAsia"/>
          <w:color w:val="auto"/>
          <w:sz w:val="24"/>
        </w:rPr>
        <w:t>借故拖延、拒签合同者</w:t>
      </w:r>
      <w:r>
        <w:rPr>
          <w:rFonts w:hint="eastAsia"/>
          <w:color w:val="auto"/>
          <w:sz w:val="24"/>
          <w:lang w:eastAsia="zh-CN"/>
        </w:rPr>
        <w:t>，</w:t>
      </w:r>
      <w:r>
        <w:rPr>
          <w:rFonts w:hint="eastAsia"/>
          <w:color w:val="auto"/>
          <w:sz w:val="24"/>
        </w:rPr>
        <w:t>采购人有权取消该供应商的成交资格。</w:t>
      </w:r>
    </w:p>
    <w:p w14:paraId="6267773E">
      <w:pPr>
        <w:pStyle w:val="2"/>
        <w:spacing w:line="360" w:lineRule="auto"/>
        <w:ind w:firstLine="480" w:firstLineChars="200"/>
        <w:rPr>
          <w:color w:val="auto"/>
        </w:rPr>
      </w:pPr>
      <w:r>
        <w:rPr>
          <w:rFonts w:hint="eastAsia"/>
          <w:color w:val="auto"/>
        </w:rPr>
        <w:t>按有关法律法规成交人拒绝与采购人签订合同的，采购人重新开展政府采购活动。</w:t>
      </w:r>
    </w:p>
    <w:p w14:paraId="798C5BC1">
      <w:pPr>
        <w:pStyle w:val="43"/>
        <w:numPr>
          <w:ilvl w:val="0"/>
          <w:numId w:val="0"/>
        </w:numPr>
        <w:tabs>
          <w:tab w:val="left" w:pos="1100"/>
        </w:tabs>
        <w:spacing w:before="0" w:line="360" w:lineRule="auto"/>
        <w:ind w:firstLine="480" w:firstLineChars="200"/>
        <w:jc w:val="both"/>
        <w:rPr>
          <w:color w:val="auto"/>
          <w:sz w:val="24"/>
        </w:rPr>
      </w:pPr>
      <w:r>
        <w:rPr>
          <w:rFonts w:hint="eastAsia"/>
          <w:color w:val="auto"/>
          <w:sz w:val="24"/>
          <w:lang w:val="en-US" w:eastAsia="zh-CN"/>
        </w:rPr>
        <w:t>38.4</w:t>
      </w:r>
      <w:r>
        <w:rPr>
          <w:rFonts w:hint="eastAsia"/>
          <w:color w:val="auto"/>
          <w:sz w:val="24"/>
        </w:rPr>
        <w:t>询问或者质疑事项可能影响成交结果的，采购人应当暂停签订合同，已经签订合同的，应当中止履行合同。（成交结果的质疑期为成交结果公告期限届满之日起七个工作日）。</w:t>
      </w:r>
    </w:p>
    <w:p w14:paraId="6DE01632">
      <w:pPr>
        <w:pStyle w:val="43"/>
        <w:numPr>
          <w:ilvl w:val="0"/>
          <w:numId w:val="0"/>
        </w:numPr>
        <w:tabs>
          <w:tab w:val="left" w:pos="1100"/>
        </w:tabs>
        <w:spacing w:before="0" w:line="360" w:lineRule="auto"/>
        <w:ind w:firstLine="480" w:firstLineChars="200"/>
        <w:jc w:val="both"/>
        <w:rPr>
          <w:color w:val="auto"/>
        </w:rPr>
      </w:pPr>
      <w:r>
        <w:rPr>
          <w:rFonts w:hint="eastAsia"/>
          <w:color w:val="auto"/>
          <w:sz w:val="24"/>
          <w:lang w:val="en-US" w:eastAsia="zh-CN"/>
        </w:rPr>
        <w:t>38.5</w:t>
      </w:r>
      <w:r>
        <w:rPr>
          <w:rFonts w:hint="eastAsia"/>
          <w:color w:val="auto"/>
          <w:sz w:val="24"/>
        </w:rPr>
        <w:t>采购人应当自政府采购合同签订之日起 2 个工作日内，将政府采购合同在省级以上人民政府财政部门指定的媒体上公告，但政府采购合同中涉及国家秘密、商业秘密的内容除外。</w:t>
      </w:r>
    </w:p>
    <w:p w14:paraId="25708B36">
      <w:pPr>
        <w:pStyle w:val="4"/>
        <w:tabs>
          <w:tab w:val="left" w:pos="1291"/>
        </w:tabs>
        <w:spacing w:before="0" w:line="360" w:lineRule="auto"/>
        <w:ind w:left="0"/>
        <w:jc w:val="left"/>
        <w:rPr>
          <w:rFonts w:hint="eastAsia"/>
          <w:color w:val="auto"/>
          <w:lang w:val="en-US"/>
        </w:rPr>
      </w:pPr>
      <w:bookmarkStart w:id="46" w:name="十四__政府采购政策"/>
      <w:bookmarkEnd w:id="46"/>
      <w:bookmarkStart w:id="47" w:name="十三__验收"/>
      <w:bookmarkEnd w:id="47"/>
      <w:bookmarkStart w:id="48" w:name="_Toc27970"/>
      <w:r>
        <w:rPr>
          <w:rFonts w:hint="eastAsia"/>
          <w:color w:val="auto"/>
          <w:lang w:val="en-US"/>
        </w:rPr>
        <w:t xml:space="preserve">十三 </w:t>
      </w:r>
      <w:bookmarkStart w:id="49" w:name="_Toc493955970"/>
      <w:bookmarkStart w:id="50" w:name="_Toc16571"/>
      <w:bookmarkStart w:id="51" w:name="_Toc15728"/>
      <w:bookmarkStart w:id="52" w:name="_Toc73349340"/>
      <w:bookmarkStart w:id="53" w:name="_Toc494558365"/>
      <w:bookmarkStart w:id="54" w:name="_Toc495479104"/>
      <w:r>
        <w:rPr>
          <w:rFonts w:hint="eastAsia"/>
          <w:color w:val="auto"/>
          <w:lang w:val="en-US"/>
        </w:rPr>
        <w:t xml:space="preserve"> 验收</w:t>
      </w:r>
      <w:bookmarkEnd w:id="49"/>
      <w:bookmarkEnd w:id="50"/>
      <w:bookmarkEnd w:id="51"/>
      <w:bookmarkEnd w:id="52"/>
      <w:bookmarkEnd w:id="53"/>
      <w:bookmarkEnd w:id="54"/>
    </w:p>
    <w:p w14:paraId="122314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 采购人应当按照政府采购合同规定的技术、服务、安全标准组织对供应商履约情况进行验收，并出具验收书。验收书应当包括每一项技术、服务、安全标准的履约情况。</w:t>
      </w:r>
    </w:p>
    <w:p w14:paraId="07F2C17F">
      <w:pPr>
        <w:pStyle w:val="24"/>
        <w:snapToGrid w:val="0"/>
        <w:spacing w:before="0" w:beforeAutospacing="0" w:after="0" w:afterAutospacing="0"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39.1 如本项目采购人将邀请其他供应商或者第三方机构参与验收、核对成交标的的技术指标、承诺等内容，是否和磋商文件、成交人响应文件的内容相符合。</w:t>
      </w:r>
    </w:p>
    <w:p w14:paraId="1CCA71C7">
      <w:pPr>
        <w:pStyle w:val="24"/>
        <w:snapToGrid w:val="0"/>
        <w:spacing w:before="0" w:beforeAutospacing="0" w:after="0" w:afterAutospacing="0"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39.2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665FDC2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39.3其他供应商应遵守诚实信用、实事求是的原则，在验收期间积极配合采购人组织的验收工作，不得影响或阻扰验收工作的正常进行。参与验收的一切费用，原则上由供应商自行承担。</w:t>
      </w:r>
    </w:p>
    <w:bookmarkEnd w:id="48"/>
    <w:p w14:paraId="62FF55FE">
      <w:pPr>
        <w:pStyle w:val="4"/>
        <w:tabs>
          <w:tab w:val="left" w:pos="1291"/>
        </w:tabs>
        <w:spacing w:before="0" w:line="360" w:lineRule="auto"/>
        <w:ind w:left="0"/>
        <w:jc w:val="left"/>
        <w:rPr>
          <w:rFonts w:hint="eastAsia"/>
          <w:color w:val="auto"/>
          <w:lang w:val="en-US"/>
        </w:rPr>
      </w:pPr>
      <w:bookmarkStart w:id="55" w:name="_Toc3495"/>
      <w:bookmarkStart w:id="56" w:name="_Toc6384"/>
      <w:bookmarkStart w:id="57" w:name="_Toc73349341"/>
      <w:bookmarkStart w:id="58" w:name="_Toc13238"/>
      <w:r>
        <w:rPr>
          <w:rFonts w:hint="eastAsia"/>
          <w:color w:val="auto"/>
          <w:lang w:val="en-US"/>
        </w:rPr>
        <w:t>十四  政府采购政策</w:t>
      </w:r>
      <w:bookmarkEnd w:id="55"/>
      <w:bookmarkEnd w:id="56"/>
      <w:bookmarkEnd w:id="57"/>
    </w:p>
    <w:p w14:paraId="254EFD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40. 关于</w:t>
      </w:r>
      <w:r>
        <w:rPr>
          <w:rFonts w:hint="eastAsia" w:ascii="仿宋" w:hAnsi="仿宋" w:eastAsia="仿宋" w:cs="仿宋"/>
          <w:color w:val="auto"/>
          <w:sz w:val="24"/>
          <w:highlight w:val="none"/>
        </w:rPr>
        <w:t>中小企业参与政府采购活动的规定</w:t>
      </w:r>
    </w:p>
    <w:p w14:paraId="768C5DB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40.1</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eastAsia="zh-CN"/>
        </w:rPr>
        <w:t>非</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专门</w:t>
      </w:r>
      <w:r>
        <w:rPr>
          <w:rFonts w:hint="eastAsia" w:ascii="仿宋" w:hAnsi="仿宋" w:eastAsia="仿宋" w:cs="仿宋"/>
          <w:b/>
          <w:color w:val="auto"/>
          <w:sz w:val="24"/>
        </w:rPr>
        <w:t>面向中小企业采购。</w:t>
      </w:r>
    </w:p>
    <w:p w14:paraId="50CF4614">
      <w:pPr>
        <w:adjustRightInd w:val="0"/>
        <w:snapToGrid w:val="0"/>
        <w:spacing w:line="360" w:lineRule="auto"/>
        <w:ind w:firstLine="480" w:firstLineChars="200"/>
        <w:rPr>
          <w:rFonts w:hint="eastAsia" w:ascii="仿宋" w:hAnsi="仿宋" w:eastAsia="仿宋" w:cs="仿宋"/>
          <w:b/>
          <w:color w:val="auto"/>
          <w:sz w:val="24"/>
          <w:u w:val="single"/>
          <w:lang w:val="en-US"/>
        </w:rPr>
      </w:pPr>
      <w:r>
        <w:rPr>
          <w:rFonts w:hint="eastAsia" w:ascii="仿宋" w:hAnsi="仿宋" w:eastAsia="仿宋" w:cs="仿宋"/>
          <w:color w:val="auto"/>
          <w:sz w:val="24"/>
        </w:rPr>
        <w:t>40.2本项目对应的中小企业划分标准所属行</w:t>
      </w:r>
      <w:r>
        <w:rPr>
          <w:rFonts w:hint="eastAsia" w:ascii="仿宋" w:hAnsi="仿宋" w:eastAsia="仿宋" w:cs="仿宋"/>
          <w:color w:val="auto"/>
          <w:sz w:val="24"/>
          <w:highlight w:val="none"/>
        </w:rPr>
        <w:t>业：</w:t>
      </w:r>
      <w:r>
        <w:rPr>
          <w:rFonts w:hint="eastAsia" w:cs="仿宋"/>
          <w:b/>
          <w:color w:val="auto"/>
          <w:sz w:val="24"/>
          <w:highlight w:val="none"/>
          <w:u w:val="single"/>
          <w:lang w:val="en-US" w:eastAsia="zh-CN"/>
        </w:rPr>
        <w:t>其他未列明行业</w:t>
      </w:r>
    </w:p>
    <w:p w14:paraId="0D20F3EA">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0</w:t>
      </w:r>
      <w:r>
        <w:rPr>
          <w:rFonts w:hint="eastAsia" w:ascii="仿宋" w:hAnsi="仿宋" w:eastAsia="仿宋" w:cs="仿宋"/>
          <w:color w:val="auto"/>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45578BD">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5718C603">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国务院批准的中小企业划分标准：具体见工信部联企业</w:t>
      </w:r>
      <w:r>
        <w:rPr>
          <w:rFonts w:hint="eastAsia" w:cs="仿宋"/>
          <w:color w:val="auto"/>
          <w:sz w:val="24"/>
          <w:lang w:eastAsia="zh-CN"/>
        </w:rPr>
        <w:t>〔2011〕300号</w:t>
      </w:r>
      <w:r>
        <w:rPr>
          <w:rFonts w:hint="eastAsia" w:ascii="仿宋" w:hAnsi="仿宋" w:eastAsia="仿宋" w:cs="仿宋"/>
          <w:color w:val="auto"/>
          <w:sz w:val="24"/>
        </w:rPr>
        <w:t>。</w:t>
      </w:r>
    </w:p>
    <w:p w14:paraId="1C57C469">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0</w:t>
      </w:r>
      <w:r>
        <w:rPr>
          <w:rFonts w:hint="eastAsia" w:ascii="仿宋" w:hAnsi="仿宋" w:eastAsia="仿宋" w:cs="仿宋"/>
          <w:color w:val="auto"/>
          <w:sz w:val="24"/>
        </w:rPr>
        <w:t>.4在政府采购活动中，供应商提供的货物、工程或者服务符合下列情形的，视为本办法规定的中小企业：</w:t>
      </w:r>
    </w:p>
    <w:p w14:paraId="4D6359F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（一）在货物采购项目中，货物由中小企业制造，即货物由中小企业生产且使用该中小企业商号或者注册商标；</w:t>
      </w:r>
    </w:p>
    <w:p w14:paraId="53A8D8D2">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（二）在工程采购项目中，工程由中小企业承建，即工程施工单位为中小企业；</w:t>
      </w:r>
    </w:p>
    <w:p w14:paraId="178B6E2D">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（三）在服务采购项目中，服务由中小企业承接，即提供服务的人员为中小企业依照《</w:t>
      </w:r>
      <w:r>
        <w:rPr>
          <w:rFonts w:hint="eastAsia" w:ascii="仿宋" w:hAnsi="仿宋" w:eastAsia="仿宋" w:cs="仿宋"/>
          <w:color w:val="auto"/>
          <w:sz w:val="24"/>
          <w:szCs w:val="24"/>
        </w:rPr>
        <w:t>中华人民共和国劳动合同法</w:t>
      </w:r>
      <w:r>
        <w:rPr>
          <w:rFonts w:hint="eastAsia" w:ascii="仿宋" w:hAnsi="仿宋" w:eastAsia="仿宋" w:cs="仿宋"/>
          <w:color w:val="auto"/>
          <w:sz w:val="24"/>
        </w:rPr>
        <w:t>》订立劳动合同的从业人员。</w:t>
      </w:r>
    </w:p>
    <w:p w14:paraId="4109997A">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在货物采购项目中，供应商提供的货物既有中小企业制造货物，也有大型企业制造货物的，视为非中小企业。</w:t>
      </w:r>
    </w:p>
    <w:p w14:paraId="5198FA99">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0</w:t>
      </w:r>
      <w:r>
        <w:rPr>
          <w:rFonts w:hint="eastAsia" w:ascii="仿宋" w:hAnsi="仿宋" w:eastAsia="仿宋" w:cs="仿宋"/>
          <w:color w:val="auto"/>
          <w:sz w:val="24"/>
        </w:rPr>
        <w:t>.5本项目对符合《政府采购促进中小企业发展管理办法》（财库〔2020〕46号）、《关于进一步加大政府采购支持中小企业力度的通知》（财库〔2022〕19号）规定的小微企业报价给予</w:t>
      </w:r>
      <w:r>
        <w:rPr>
          <w:rFonts w:hint="eastAsia" w:ascii="仿宋" w:hAnsi="仿宋" w:eastAsia="仿宋" w:cs="仿宋"/>
          <w:color w:val="auto"/>
          <w:sz w:val="24"/>
          <w:u w:val="single"/>
        </w:rPr>
        <w:t>10%</w:t>
      </w:r>
      <w:r>
        <w:rPr>
          <w:rFonts w:hint="eastAsia" w:ascii="仿宋" w:hAnsi="仿宋" w:eastAsia="仿宋" w:cs="仿宋"/>
          <w:color w:val="auto"/>
          <w:sz w:val="24"/>
        </w:rPr>
        <w:t>的扣除，用扣除后的价格参加评审</w:t>
      </w:r>
      <w:r>
        <w:rPr>
          <w:rFonts w:hint="eastAsia" w:ascii="仿宋" w:hAnsi="仿宋" w:eastAsia="仿宋" w:cs="仿宋"/>
          <w:color w:val="auto"/>
          <w:sz w:val="24"/>
          <w:lang w:eastAsia="zh-CN"/>
        </w:rPr>
        <w:t>。</w:t>
      </w:r>
    </w:p>
    <w:p w14:paraId="03CD7658">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0</w:t>
      </w:r>
      <w:r>
        <w:rPr>
          <w:rFonts w:hint="eastAsia" w:ascii="仿宋" w:hAnsi="仿宋" w:eastAsia="仿宋" w:cs="仿宋"/>
          <w:color w:val="auto"/>
          <w:sz w:val="24"/>
        </w:rPr>
        <w:t>.6中小企业应按照招标文件格式要求提供《中小企业声明函》，否则不得享受相关中小企业扶持政策。</w:t>
      </w:r>
    </w:p>
    <w:p w14:paraId="4263B11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0</w:t>
      </w:r>
      <w:r>
        <w:rPr>
          <w:rFonts w:hint="eastAsia" w:ascii="仿宋" w:hAnsi="仿宋" w:eastAsia="仿宋" w:cs="仿宋"/>
          <w:color w:val="auto"/>
          <w:sz w:val="24"/>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696D1E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.8根据《关于促进残疾人就业政府采购政策的通知》（财库</w:t>
      </w:r>
      <w:r>
        <w:rPr>
          <w:rFonts w:hint="eastAsia" w:ascii="仿宋" w:hAnsi="仿宋" w:eastAsia="仿宋" w:cs="仿宋"/>
          <w:color w:val="auto"/>
          <w:sz w:val="24"/>
        </w:rPr>
        <w:t>〔</w:t>
      </w:r>
      <w:r>
        <w:rPr>
          <w:rFonts w:hint="eastAsia" w:ascii="仿宋" w:hAnsi="仿宋" w:eastAsia="仿宋" w:cs="仿宋"/>
          <w:color w:val="auto"/>
          <w:sz w:val="24"/>
          <w:highlight w:val="none"/>
        </w:rPr>
        <w:t>2017</w:t>
      </w:r>
      <w:r>
        <w:rPr>
          <w:rFonts w:hint="eastAsia" w:ascii="仿宋" w:hAnsi="仿宋" w:eastAsia="仿宋" w:cs="仿宋"/>
          <w:color w:val="auto"/>
          <w:sz w:val="24"/>
        </w:rPr>
        <w:t>〕</w:t>
      </w:r>
      <w:r>
        <w:rPr>
          <w:rFonts w:hint="eastAsia" w:ascii="仿宋" w:hAnsi="仿宋" w:eastAsia="仿宋" w:cs="仿宋"/>
          <w:color w:val="auto"/>
          <w:sz w:val="24"/>
          <w:highlight w:val="none"/>
        </w:rPr>
        <w:t>141号）规定，在政府采购活动中，残疾人福利性单位视同小型、微型企业。残疾人福利性单位参加政府采购活动时，提供《残疾人福利性单位声明函》。</w:t>
      </w:r>
    </w:p>
    <w:p w14:paraId="400A6ED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.9按规定享受扶持政策获得政府采购合同的，小微企业不得将合同分包给大中型企业，中型企业不得将合同分包给大型企业。</w:t>
      </w:r>
    </w:p>
    <w:p w14:paraId="12D203F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.10供应商按照《政府采购促进中小企业发展管理办法》（财库</w:t>
      </w:r>
      <w:r>
        <w:rPr>
          <w:rFonts w:hint="eastAsia" w:ascii="仿宋" w:hAnsi="仿宋" w:eastAsia="仿宋" w:cs="仿宋"/>
          <w:color w:val="auto"/>
          <w:sz w:val="24"/>
        </w:rPr>
        <w:t>〔</w:t>
      </w:r>
      <w:r>
        <w:rPr>
          <w:rFonts w:hint="eastAsia" w:ascii="仿宋" w:hAnsi="仿宋" w:eastAsia="仿宋" w:cs="仿宋"/>
          <w:color w:val="auto"/>
          <w:sz w:val="24"/>
          <w:highlight w:val="none"/>
        </w:rPr>
        <w:t>2020</w:t>
      </w:r>
      <w:r>
        <w:rPr>
          <w:rFonts w:hint="eastAsia" w:ascii="仿宋" w:hAnsi="仿宋" w:eastAsia="仿宋" w:cs="仿宋"/>
          <w:color w:val="auto"/>
          <w:sz w:val="24"/>
        </w:rPr>
        <w:t>〕</w:t>
      </w:r>
      <w:r>
        <w:rPr>
          <w:rFonts w:hint="eastAsia" w:ascii="仿宋" w:hAnsi="仿宋" w:eastAsia="仿宋" w:cs="仿宋"/>
          <w:color w:val="auto"/>
          <w:sz w:val="24"/>
          <w:highlight w:val="none"/>
        </w:rPr>
        <w:t>46号）规定提供声明函内容不实的，属于提供虚假材料谋取中标、成交，依照《中华人民共和国政府采购法》等国家有关规定追究相应责任。</w:t>
      </w:r>
    </w:p>
    <w:bookmarkEnd w:id="58"/>
    <w:p w14:paraId="63F7CBC9">
      <w:pPr>
        <w:pStyle w:val="4"/>
        <w:tabs>
          <w:tab w:val="left" w:pos="1291"/>
        </w:tabs>
        <w:spacing w:before="0" w:line="360" w:lineRule="auto"/>
        <w:ind w:left="0"/>
        <w:jc w:val="left"/>
        <w:rPr>
          <w:rFonts w:hint="eastAsia"/>
          <w:color w:val="auto"/>
          <w:lang w:val="en-US"/>
        </w:rPr>
      </w:pPr>
      <w:r>
        <w:rPr>
          <w:rFonts w:hint="eastAsia"/>
          <w:color w:val="auto"/>
          <w:lang w:val="en-US"/>
        </w:rPr>
        <w:t>十五  其他事项</w:t>
      </w:r>
    </w:p>
    <w:p w14:paraId="208A8F00">
      <w:p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41.</w:t>
      </w:r>
      <w:r>
        <w:rPr>
          <w:rFonts w:hint="eastAsia" w:ascii="仿宋" w:hAnsi="仿宋" w:eastAsia="仿宋" w:cs="仿宋"/>
          <w:color w:val="auto"/>
          <w:sz w:val="24"/>
        </w:rPr>
        <w:t xml:space="preserve"> 解释权 </w:t>
      </w:r>
    </w:p>
    <w:p w14:paraId="41683B7F">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41.1本磋商文件是根据国家有关法律、法规、规章和有关规定编制的，解释权属采购代理机构。</w:t>
      </w:r>
    </w:p>
    <w:p w14:paraId="4BBABAF3">
      <w:p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41.2.采购代理机构</w:t>
      </w:r>
      <w:r>
        <w:rPr>
          <w:rFonts w:hint="eastAsia" w:ascii="仿宋" w:hAnsi="仿宋" w:eastAsia="仿宋" w:cs="仿宋"/>
          <w:color w:val="auto"/>
          <w:sz w:val="24"/>
        </w:rPr>
        <w:t>对决标结果不负责解释。</w:t>
      </w:r>
    </w:p>
    <w:p w14:paraId="16A92607">
      <w:pPr>
        <w:pStyle w:val="43"/>
        <w:numPr>
          <w:ilvl w:val="0"/>
          <w:numId w:val="0"/>
        </w:numPr>
        <w:tabs>
          <w:tab w:val="left" w:pos="880"/>
        </w:tabs>
        <w:spacing w:before="0" w:line="360" w:lineRule="auto"/>
        <w:ind w:firstLine="480" w:firstLineChars="200"/>
        <w:jc w:val="left"/>
        <w:rPr>
          <w:rFonts w:hint="eastAsia" w:ascii="仿宋_GB2312" w:eastAsia="仿宋_GB2312"/>
          <w:color w:val="auto"/>
          <w:sz w:val="24"/>
        </w:rPr>
      </w:pPr>
      <w:r>
        <w:rPr>
          <w:rFonts w:hint="eastAsia"/>
          <w:b w:val="0"/>
          <w:bCs w:val="0"/>
          <w:color w:val="auto"/>
          <w:sz w:val="24"/>
          <w:highlight w:val="none"/>
          <w:lang w:val="en-US" w:eastAsia="zh-CN"/>
        </w:rPr>
        <w:t>42.</w:t>
      </w:r>
      <w:r>
        <w:rPr>
          <w:rFonts w:hint="eastAsia"/>
          <w:b w:val="0"/>
          <w:bCs w:val="0"/>
          <w:color w:val="auto"/>
          <w:sz w:val="24"/>
          <w:highlight w:val="none"/>
        </w:rPr>
        <w:t>采购代理服务费</w:t>
      </w:r>
      <w:r>
        <w:rPr>
          <w:rFonts w:hint="eastAsia"/>
          <w:b w:val="0"/>
          <w:bCs w:val="0"/>
          <w:color w:val="auto"/>
          <w:sz w:val="24"/>
          <w:highlight w:val="none"/>
          <w:lang w:eastAsia="zh-CN"/>
        </w:rPr>
        <w:t>：</w:t>
      </w:r>
      <w:r>
        <w:rPr>
          <w:rFonts w:hint="eastAsia"/>
          <w:b w:val="0"/>
          <w:bCs w:val="0"/>
          <w:color w:val="auto"/>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bCs/>
          <w:color w:val="auto"/>
          <w:sz w:val="24"/>
          <w:highlight w:val="none"/>
        </w:rPr>
        <w:t>费用以中标价为基数按下表</w:t>
      </w:r>
      <w:r>
        <w:rPr>
          <w:rFonts w:hint="eastAsia"/>
          <w:bCs/>
          <w:color w:val="auto"/>
          <w:sz w:val="24"/>
          <w:highlight w:val="none"/>
          <w:lang w:val="en-US" w:eastAsia="zh-CN"/>
        </w:rPr>
        <w:t>服务</w:t>
      </w:r>
      <w:r>
        <w:rPr>
          <w:rFonts w:hint="eastAsia"/>
          <w:bCs/>
          <w:color w:val="auto"/>
          <w:sz w:val="24"/>
          <w:highlight w:val="none"/>
          <w:lang w:eastAsia="zh-CN"/>
        </w:rPr>
        <w:t>招标</w:t>
      </w:r>
      <w:r>
        <w:rPr>
          <w:rFonts w:hint="eastAsia"/>
          <w:bCs/>
          <w:color w:val="auto"/>
          <w:sz w:val="24"/>
          <w:highlight w:val="none"/>
        </w:rPr>
        <w:t>收费标准计取</w:t>
      </w:r>
      <w:r>
        <w:rPr>
          <w:rFonts w:hint="eastAsia"/>
          <w:bCs/>
          <w:color w:val="auto"/>
          <w:sz w:val="24"/>
          <w:highlight w:val="none"/>
          <w:lang w:eastAsia="zh-CN"/>
        </w:rPr>
        <w:t>，</w:t>
      </w:r>
      <w:r>
        <w:rPr>
          <w:rFonts w:hint="eastAsia"/>
          <w:bCs/>
          <w:color w:val="auto"/>
          <w:sz w:val="24"/>
          <w:highlight w:val="none"/>
        </w:rPr>
        <w:t>成交人在成交结果公告发出后5个工作日内向采购代理机构缴纳代理服务费</w:t>
      </w:r>
      <w:r>
        <w:rPr>
          <w:rFonts w:hint="eastAsia" w:ascii="仿宋" w:hAnsi="仿宋" w:eastAsia="仿宋" w:cs="仿宋"/>
          <w:caps w:val="0"/>
          <w:color w:val="auto"/>
          <w:spacing w:val="0"/>
          <w:sz w:val="24"/>
        </w:rPr>
        <w:t>。</w:t>
      </w:r>
      <w:bookmarkStart w:id="120" w:name="_GoBack"/>
      <w:bookmarkEnd w:id="12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3259"/>
      </w:tblGrid>
      <w:tr w14:paraId="5C81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40" w:type="dxa"/>
            <w:tcBorders>
              <w:top w:val="single" w:color="auto" w:sz="4" w:space="0"/>
              <w:left w:val="single" w:color="auto" w:sz="4" w:space="0"/>
              <w:bottom w:val="single" w:color="auto" w:sz="4" w:space="0"/>
              <w:right w:val="single" w:color="auto" w:sz="4" w:space="0"/>
            </w:tcBorders>
            <w:noWrap w:val="0"/>
            <w:vAlign w:val="center"/>
          </w:tcPr>
          <w:p w14:paraId="6810B051">
            <w:pPr>
              <w:spacing w:line="240" w:lineRule="auto"/>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中标金额（万元）</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7E5A8B57">
            <w:pPr>
              <w:spacing w:line="240" w:lineRule="auto"/>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服务招标</w:t>
            </w:r>
          </w:p>
        </w:tc>
      </w:tr>
      <w:tr w14:paraId="608D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40" w:type="dxa"/>
            <w:tcBorders>
              <w:top w:val="single" w:color="auto" w:sz="4" w:space="0"/>
              <w:left w:val="single" w:color="auto" w:sz="4" w:space="0"/>
              <w:bottom w:val="single" w:color="auto" w:sz="4" w:space="0"/>
              <w:right w:val="single" w:color="auto" w:sz="4" w:space="0"/>
            </w:tcBorders>
            <w:noWrap w:val="0"/>
            <w:vAlign w:val="center"/>
          </w:tcPr>
          <w:p w14:paraId="738353C7">
            <w:pPr>
              <w:spacing w:line="240" w:lineRule="auto"/>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100以下</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3A7E3484">
            <w:pPr>
              <w:spacing w:line="240" w:lineRule="auto"/>
              <w:ind w:left="960" w:hanging="960" w:hangingChars="400"/>
              <w:jc w:val="center"/>
              <w:rPr>
                <w:rFonts w:hint="eastAsia" w:ascii="仿宋" w:hAnsi="仿宋" w:eastAsia="仿宋" w:cs="仿宋"/>
                <w:color w:val="auto"/>
                <w:sz w:val="24"/>
              </w:rPr>
            </w:pPr>
            <w:r>
              <w:rPr>
                <w:rFonts w:hint="eastAsia" w:cs="仿宋"/>
                <w:color w:val="auto"/>
                <w:sz w:val="24"/>
                <w:lang w:val="en-US" w:eastAsia="zh-CN"/>
              </w:rPr>
              <w:t>0.75</w:t>
            </w:r>
            <w:r>
              <w:rPr>
                <w:rFonts w:hint="eastAsia" w:ascii="仿宋" w:hAnsi="仿宋" w:eastAsia="仿宋" w:cs="仿宋"/>
                <w:color w:val="auto"/>
                <w:sz w:val="24"/>
              </w:rPr>
              <w:t>%</w:t>
            </w:r>
          </w:p>
        </w:tc>
      </w:tr>
    </w:tbl>
    <w:p w14:paraId="3920767C">
      <w:pPr>
        <w:spacing w:line="360" w:lineRule="auto"/>
        <w:ind w:firstLine="482" w:firstLineChars="200"/>
        <w:rPr>
          <w:b/>
          <w:bCs/>
          <w:color w:val="auto"/>
          <w:sz w:val="24"/>
          <w:szCs w:val="24"/>
          <w:highlight w:val="yellow"/>
        </w:rPr>
      </w:pPr>
    </w:p>
    <w:p w14:paraId="24D619C9">
      <w:pPr>
        <w:spacing w:line="360" w:lineRule="auto"/>
        <w:rPr>
          <w:b/>
          <w:bCs/>
          <w:color w:val="auto"/>
          <w:highlight w:val="yellow"/>
        </w:rPr>
      </w:pPr>
    </w:p>
    <w:p w14:paraId="701F2D94">
      <w:pPr>
        <w:pStyle w:val="8"/>
        <w:rPr>
          <w:color w:val="auto"/>
        </w:rPr>
        <w:sectPr>
          <w:headerReference r:id="rId6" w:type="default"/>
          <w:pgSz w:w="11910" w:h="16840"/>
          <w:pgMar w:top="1247" w:right="1247" w:bottom="1247" w:left="1587" w:header="884" w:footer="884" w:gutter="0"/>
          <w:pgNumType w:fmt="decimal"/>
          <w:cols w:space="0" w:num="1"/>
        </w:sectPr>
      </w:pPr>
    </w:p>
    <w:p w14:paraId="5593BA8E">
      <w:pPr>
        <w:pStyle w:val="2"/>
        <w:spacing w:before="9"/>
        <w:rPr>
          <w:color w:val="auto"/>
          <w:sz w:val="9"/>
        </w:rPr>
      </w:pPr>
    </w:p>
    <w:p w14:paraId="61B9E6E8">
      <w:pPr>
        <w:pStyle w:val="3"/>
        <w:tabs>
          <w:tab w:val="left" w:pos="1404"/>
        </w:tabs>
        <w:spacing w:before="54"/>
        <w:ind w:left="120"/>
        <w:jc w:val="center"/>
        <w:rPr>
          <w:rFonts w:hint="eastAsia"/>
          <w:color w:val="auto"/>
        </w:rPr>
      </w:pPr>
      <w:bookmarkStart w:id="59" w:name="_Toc25009"/>
    </w:p>
    <w:p w14:paraId="06470ED3">
      <w:pPr>
        <w:pStyle w:val="3"/>
        <w:tabs>
          <w:tab w:val="left" w:pos="1404"/>
        </w:tabs>
        <w:spacing w:before="54"/>
        <w:ind w:left="120"/>
        <w:jc w:val="center"/>
        <w:rPr>
          <w:color w:val="auto"/>
        </w:rPr>
      </w:pPr>
      <w:r>
        <w:rPr>
          <w:rFonts w:hint="eastAsia"/>
          <w:color w:val="auto"/>
        </w:rPr>
        <w:t>第四章 政府采购合同格式</w:t>
      </w:r>
      <w:bookmarkEnd w:id="59"/>
    </w:p>
    <w:p w14:paraId="56881947">
      <w:pPr>
        <w:widowControl/>
        <w:jc w:val="center"/>
        <w:rPr>
          <w:color w:val="auto"/>
          <w:sz w:val="32"/>
          <w:szCs w:val="20"/>
        </w:rPr>
      </w:pPr>
    </w:p>
    <w:p w14:paraId="6E7E07CA">
      <w:pPr>
        <w:widowControl/>
        <w:jc w:val="center"/>
        <w:rPr>
          <w:color w:val="auto"/>
          <w:sz w:val="32"/>
          <w:szCs w:val="20"/>
        </w:rPr>
      </w:pPr>
      <w:r>
        <w:rPr>
          <w:rFonts w:hint="eastAsia"/>
          <w:color w:val="auto"/>
          <w:sz w:val="32"/>
          <w:szCs w:val="20"/>
        </w:rPr>
        <w:t>政 府 采 购 合 同</w:t>
      </w:r>
    </w:p>
    <w:p w14:paraId="12FDAF9B">
      <w:pPr>
        <w:widowControl/>
        <w:rPr>
          <w:color w:val="auto"/>
          <w:sz w:val="24"/>
          <w:szCs w:val="20"/>
        </w:rPr>
      </w:pPr>
    </w:p>
    <w:p w14:paraId="5B3A7D1C">
      <w:pPr>
        <w:widowControl/>
        <w:rPr>
          <w:color w:val="auto"/>
          <w:sz w:val="24"/>
          <w:szCs w:val="20"/>
        </w:rPr>
      </w:pPr>
    </w:p>
    <w:p w14:paraId="693F71D0">
      <w:pPr>
        <w:widowControl/>
        <w:rPr>
          <w:color w:val="auto"/>
          <w:sz w:val="24"/>
          <w:szCs w:val="21"/>
        </w:rPr>
      </w:pPr>
      <w:r>
        <w:rPr>
          <w:rFonts w:hint="eastAsia"/>
          <w:b/>
          <w:color w:val="auto"/>
          <w:sz w:val="24"/>
          <w:szCs w:val="21"/>
        </w:rPr>
        <w:t xml:space="preserve">      </w:t>
      </w:r>
      <w:r>
        <w:rPr>
          <w:rFonts w:hint="eastAsia"/>
          <w:b/>
          <w:color w:val="auto"/>
          <w:sz w:val="24"/>
          <w:szCs w:val="21"/>
          <w:lang w:val="en-US" w:eastAsia="zh-CN"/>
        </w:rPr>
        <w:t xml:space="preserve">                                          </w:t>
      </w:r>
      <w:r>
        <w:rPr>
          <w:rFonts w:hint="eastAsia"/>
          <w:b/>
          <w:color w:val="auto"/>
          <w:sz w:val="24"/>
          <w:szCs w:val="21"/>
        </w:rPr>
        <w:t xml:space="preserve"> 合同编号：</w:t>
      </w:r>
    </w:p>
    <w:p w14:paraId="35C44E0D">
      <w:pPr>
        <w:widowControl/>
        <w:rPr>
          <w:color w:val="auto"/>
          <w:sz w:val="24"/>
          <w:szCs w:val="21"/>
        </w:rPr>
      </w:pPr>
    </w:p>
    <w:p w14:paraId="66FC50AD">
      <w:pPr>
        <w:widowControl/>
        <w:rPr>
          <w:color w:val="auto"/>
          <w:sz w:val="24"/>
          <w:szCs w:val="21"/>
        </w:rPr>
      </w:pPr>
    </w:p>
    <w:p w14:paraId="611CB13A">
      <w:pPr>
        <w:widowControl/>
        <w:ind w:firstLine="960" w:firstLineChars="400"/>
        <w:rPr>
          <w:color w:val="auto"/>
          <w:sz w:val="24"/>
          <w:szCs w:val="21"/>
        </w:rPr>
      </w:pPr>
      <w:r>
        <w:rPr>
          <w:rFonts w:hint="eastAsia"/>
          <w:color w:val="auto"/>
          <w:sz w:val="24"/>
          <w:szCs w:val="21"/>
        </w:rPr>
        <w:t>项目名称：</w:t>
      </w:r>
    </w:p>
    <w:p w14:paraId="2D9F24E6">
      <w:pPr>
        <w:widowControl/>
        <w:snapToGrid w:val="0"/>
        <w:spacing w:before="119" w:line="272" w:lineRule="atLeast"/>
        <w:ind w:left="958"/>
        <w:rPr>
          <w:color w:val="auto"/>
          <w:sz w:val="24"/>
          <w:szCs w:val="21"/>
        </w:rPr>
      </w:pPr>
    </w:p>
    <w:p w14:paraId="35C820E9">
      <w:pPr>
        <w:widowControl/>
        <w:snapToGrid w:val="0"/>
        <w:spacing w:before="119" w:line="272" w:lineRule="atLeast"/>
        <w:ind w:left="958"/>
        <w:rPr>
          <w:color w:val="auto"/>
          <w:sz w:val="24"/>
          <w:szCs w:val="21"/>
        </w:rPr>
      </w:pPr>
      <w:r>
        <w:rPr>
          <w:rFonts w:hint="eastAsia"/>
          <w:color w:val="auto"/>
          <w:sz w:val="24"/>
          <w:szCs w:val="21"/>
        </w:rPr>
        <w:t>服务内容：</w:t>
      </w:r>
    </w:p>
    <w:p w14:paraId="5CDEAAAC">
      <w:pPr>
        <w:widowControl/>
        <w:snapToGrid w:val="0"/>
        <w:spacing w:before="119" w:line="272" w:lineRule="atLeast"/>
        <w:ind w:left="958"/>
        <w:rPr>
          <w:color w:val="auto"/>
          <w:sz w:val="24"/>
          <w:szCs w:val="21"/>
        </w:rPr>
      </w:pPr>
    </w:p>
    <w:p w14:paraId="21D70A8B">
      <w:pPr>
        <w:widowControl/>
        <w:snapToGrid w:val="0"/>
        <w:spacing w:before="119" w:line="272" w:lineRule="atLeast"/>
        <w:rPr>
          <w:color w:val="auto"/>
          <w:sz w:val="24"/>
          <w:szCs w:val="21"/>
        </w:rPr>
      </w:pPr>
    </w:p>
    <w:p w14:paraId="66AC018B">
      <w:pPr>
        <w:widowControl/>
        <w:snapToGrid w:val="0"/>
        <w:spacing w:before="119" w:line="272" w:lineRule="atLeast"/>
        <w:rPr>
          <w:color w:val="auto"/>
          <w:sz w:val="24"/>
          <w:szCs w:val="21"/>
        </w:rPr>
      </w:pPr>
    </w:p>
    <w:p w14:paraId="6DD9EEA5">
      <w:pPr>
        <w:widowControl/>
        <w:snapToGrid w:val="0"/>
        <w:spacing w:before="119" w:line="272" w:lineRule="atLeast"/>
        <w:ind w:left="958"/>
        <w:rPr>
          <w:color w:val="auto"/>
          <w:sz w:val="24"/>
          <w:szCs w:val="21"/>
        </w:rPr>
      </w:pPr>
      <w:r>
        <w:rPr>
          <w:rFonts w:hint="eastAsia"/>
          <w:color w:val="auto"/>
          <w:sz w:val="24"/>
          <w:szCs w:val="21"/>
        </w:rPr>
        <w:t>服务需求方：</w:t>
      </w:r>
    </w:p>
    <w:p w14:paraId="76544DB9">
      <w:pPr>
        <w:widowControl/>
        <w:snapToGrid w:val="0"/>
        <w:spacing w:before="119" w:line="272" w:lineRule="atLeast"/>
        <w:ind w:left="958"/>
        <w:rPr>
          <w:color w:val="auto"/>
          <w:sz w:val="24"/>
          <w:szCs w:val="21"/>
        </w:rPr>
      </w:pPr>
    </w:p>
    <w:p w14:paraId="397927FC">
      <w:pPr>
        <w:widowControl/>
        <w:snapToGrid w:val="0"/>
        <w:spacing w:before="119" w:line="272" w:lineRule="atLeast"/>
        <w:ind w:left="958"/>
        <w:rPr>
          <w:color w:val="auto"/>
          <w:sz w:val="24"/>
          <w:szCs w:val="21"/>
        </w:rPr>
      </w:pPr>
      <w:r>
        <w:rPr>
          <w:rFonts w:hint="eastAsia"/>
          <w:color w:val="auto"/>
          <w:sz w:val="24"/>
          <w:szCs w:val="21"/>
        </w:rPr>
        <w:t>提供服务方：</w:t>
      </w:r>
    </w:p>
    <w:p w14:paraId="49D87332">
      <w:pPr>
        <w:widowControl/>
        <w:snapToGrid w:val="0"/>
        <w:spacing w:before="119" w:line="272" w:lineRule="atLeast"/>
        <w:rPr>
          <w:color w:val="auto"/>
          <w:sz w:val="24"/>
          <w:szCs w:val="21"/>
        </w:rPr>
      </w:pPr>
    </w:p>
    <w:p w14:paraId="53E4CB37">
      <w:pPr>
        <w:widowControl/>
        <w:snapToGrid w:val="0"/>
        <w:spacing w:before="119" w:line="272" w:lineRule="atLeast"/>
        <w:ind w:left="958"/>
        <w:jc w:val="center"/>
        <w:rPr>
          <w:color w:val="auto"/>
          <w:sz w:val="24"/>
          <w:szCs w:val="21"/>
        </w:rPr>
      </w:pPr>
    </w:p>
    <w:p w14:paraId="27B53012">
      <w:pPr>
        <w:widowControl/>
        <w:snapToGrid w:val="0"/>
        <w:spacing w:before="119" w:line="272" w:lineRule="atLeast"/>
        <w:ind w:left="958"/>
        <w:jc w:val="center"/>
        <w:rPr>
          <w:color w:val="auto"/>
          <w:sz w:val="24"/>
          <w:szCs w:val="21"/>
        </w:rPr>
      </w:pPr>
    </w:p>
    <w:p w14:paraId="57563E84">
      <w:pPr>
        <w:widowControl/>
        <w:snapToGrid w:val="0"/>
        <w:spacing w:before="119" w:line="272" w:lineRule="atLeast"/>
        <w:ind w:left="958"/>
        <w:rPr>
          <w:color w:val="auto"/>
          <w:sz w:val="24"/>
          <w:szCs w:val="21"/>
        </w:rPr>
      </w:pPr>
      <w:r>
        <w:rPr>
          <w:rFonts w:hint="eastAsia"/>
          <w:color w:val="auto"/>
          <w:sz w:val="24"/>
          <w:szCs w:val="21"/>
        </w:rPr>
        <w:t>签署地点：</w:t>
      </w:r>
    </w:p>
    <w:p w14:paraId="732113CE">
      <w:pPr>
        <w:widowControl/>
        <w:snapToGrid w:val="0"/>
        <w:spacing w:before="119" w:line="272" w:lineRule="atLeast"/>
        <w:ind w:left="958"/>
        <w:rPr>
          <w:color w:val="auto"/>
          <w:sz w:val="24"/>
          <w:szCs w:val="21"/>
        </w:rPr>
      </w:pPr>
    </w:p>
    <w:p w14:paraId="3E5892A3">
      <w:pPr>
        <w:widowControl/>
        <w:snapToGrid w:val="0"/>
        <w:spacing w:before="119" w:line="272" w:lineRule="atLeast"/>
        <w:ind w:left="958"/>
        <w:rPr>
          <w:color w:val="auto"/>
          <w:sz w:val="24"/>
          <w:szCs w:val="21"/>
        </w:rPr>
      </w:pPr>
      <w:r>
        <w:rPr>
          <w:rFonts w:hint="eastAsia"/>
          <w:color w:val="auto"/>
          <w:sz w:val="24"/>
          <w:szCs w:val="21"/>
        </w:rPr>
        <w:t>签署日期：</w:t>
      </w:r>
    </w:p>
    <w:p w14:paraId="70873BC8">
      <w:pPr>
        <w:widowControl/>
        <w:snapToGrid w:val="0"/>
        <w:spacing w:before="119" w:line="272" w:lineRule="atLeast"/>
        <w:ind w:left="958"/>
        <w:rPr>
          <w:color w:val="auto"/>
          <w:sz w:val="24"/>
          <w:szCs w:val="21"/>
        </w:rPr>
      </w:pPr>
    </w:p>
    <w:p w14:paraId="5DA1EE63">
      <w:pPr>
        <w:widowControl/>
        <w:snapToGrid w:val="0"/>
        <w:spacing w:before="120" w:after="120" w:line="540" w:lineRule="exact"/>
        <w:rPr>
          <w:color w:val="auto"/>
          <w:szCs w:val="20"/>
        </w:rPr>
      </w:pPr>
    </w:p>
    <w:p w14:paraId="76D503B7">
      <w:pPr>
        <w:widowControl/>
        <w:rPr>
          <w:color w:val="auto"/>
          <w:szCs w:val="20"/>
        </w:rPr>
      </w:pPr>
    </w:p>
    <w:p w14:paraId="16A3B419">
      <w:pPr>
        <w:widowControl/>
        <w:snapToGrid w:val="0"/>
        <w:spacing w:before="120" w:after="120" w:line="540" w:lineRule="exact"/>
        <w:rPr>
          <w:color w:val="auto"/>
          <w:szCs w:val="20"/>
        </w:rPr>
      </w:pPr>
    </w:p>
    <w:p w14:paraId="59DBBF81">
      <w:pPr>
        <w:pStyle w:val="2"/>
        <w:tabs>
          <w:tab w:val="left" w:pos="208"/>
        </w:tabs>
        <w:rPr>
          <w:color w:val="auto"/>
        </w:rPr>
      </w:pPr>
    </w:p>
    <w:p w14:paraId="71E6546E">
      <w:pPr>
        <w:pStyle w:val="27"/>
        <w:ind w:firstLine="210"/>
        <w:rPr>
          <w:color w:val="auto"/>
        </w:rPr>
      </w:pPr>
    </w:p>
    <w:p w14:paraId="3C1DA1ED">
      <w:pPr>
        <w:rPr>
          <w:color w:val="auto"/>
        </w:rPr>
      </w:pPr>
    </w:p>
    <w:p w14:paraId="20263E43">
      <w:pPr>
        <w:pStyle w:val="27"/>
        <w:ind w:firstLine="210"/>
        <w:rPr>
          <w:color w:val="auto"/>
        </w:rPr>
      </w:pPr>
    </w:p>
    <w:p w14:paraId="7491766C">
      <w:pPr>
        <w:pStyle w:val="27"/>
        <w:ind w:firstLine="210"/>
        <w:rPr>
          <w:color w:val="auto"/>
        </w:rPr>
      </w:pPr>
    </w:p>
    <w:p w14:paraId="5B3DAA0B">
      <w:pPr>
        <w:widowControl/>
        <w:rPr>
          <w:color w:val="auto"/>
          <w:szCs w:val="20"/>
        </w:rPr>
      </w:pPr>
    </w:p>
    <w:p w14:paraId="0F934E93">
      <w:pPr>
        <w:rPr>
          <w:color w:val="auto"/>
          <w:sz w:val="24"/>
        </w:rPr>
      </w:pPr>
      <w:bookmarkStart w:id="60" w:name="_Toc13758"/>
      <w:r>
        <w:rPr>
          <w:rFonts w:hint="eastAsia"/>
          <w:color w:val="auto"/>
          <w:sz w:val="24"/>
        </w:rPr>
        <w:br w:type="page"/>
      </w:r>
    </w:p>
    <w:p w14:paraId="38761C65">
      <w:pPr>
        <w:snapToGrid w:val="0"/>
        <w:spacing w:line="329" w:lineRule="auto"/>
        <w:rPr>
          <w:color w:val="auto"/>
          <w:sz w:val="24"/>
          <w:u w:val="single"/>
        </w:rPr>
      </w:pPr>
      <w:r>
        <w:rPr>
          <w:rFonts w:hint="eastAsia"/>
          <w:color w:val="auto"/>
          <w:sz w:val="24"/>
        </w:rPr>
        <w:t>甲方（采购人）：</w:t>
      </w:r>
    </w:p>
    <w:p w14:paraId="6646D2D8">
      <w:pPr>
        <w:snapToGrid w:val="0"/>
        <w:spacing w:line="329" w:lineRule="auto"/>
        <w:rPr>
          <w:color w:val="auto"/>
          <w:sz w:val="24"/>
        </w:rPr>
      </w:pPr>
      <w:r>
        <w:rPr>
          <w:rFonts w:hint="eastAsia"/>
          <w:color w:val="auto"/>
          <w:sz w:val="24"/>
        </w:rPr>
        <w:t>乙方（成交供应商）：</w:t>
      </w:r>
    </w:p>
    <w:p w14:paraId="20022AC9">
      <w:pPr>
        <w:keepNext/>
        <w:keepLines/>
        <w:spacing w:beforeLines="50" w:line="360" w:lineRule="auto"/>
        <w:outlineLvl w:val="1"/>
        <w:rPr>
          <w:rFonts w:hint="eastAsia" w:ascii="仿宋" w:hAnsi="仿宋" w:eastAsia="仿宋" w:cs="仿宋"/>
          <w:b/>
          <w:bCs/>
          <w:color w:val="auto"/>
          <w:sz w:val="24"/>
          <w:szCs w:val="24"/>
        </w:rPr>
      </w:pPr>
      <w:bookmarkStart w:id="61" w:name="_Toc29814"/>
      <w:bookmarkStart w:id="62" w:name="_Toc10680"/>
      <w:bookmarkStart w:id="63" w:name="_Toc20171"/>
      <w:bookmarkStart w:id="64" w:name="_Toc31975"/>
    </w:p>
    <w:bookmarkEnd w:id="60"/>
    <w:bookmarkEnd w:id="61"/>
    <w:bookmarkEnd w:id="62"/>
    <w:bookmarkEnd w:id="63"/>
    <w:bookmarkEnd w:id="64"/>
    <w:p w14:paraId="2616FADD">
      <w:pPr>
        <w:snapToGrid w:val="0"/>
        <w:spacing w:line="360" w:lineRule="auto"/>
        <w:ind w:firstLine="480" w:firstLineChars="200"/>
        <w:rPr>
          <w:rFonts w:hint="eastAsia" w:ascii="仿宋" w:hAnsi="仿宋" w:eastAsia="仿宋" w:cs="仿宋"/>
          <w:color w:val="auto"/>
          <w:sz w:val="24"/>
          <w:highlight w:val="none"/>
        </w:rPr>
      </w:pPr>
      <w:bookmarkStart w:id="65" w:name="_Toc24069"/>
      <w:bookmarkStart w:id="66" w:name="_Toc6345"/>
      <w:bookmarkStart w:id="67" w:name="_Toc8352"/>
      <w:bookmarkStart w:id="68" w:name="_Toc3831"/>
      <w:bookmarkStart w:id="69" w:name="_Toc21028"/>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eastAsia="zh-CN"/>
        </w:rPr>
        <w:t>（</w:t>
      </w:r>
      <w:r>
        <w:rPr>
          <w:rFonts w:hint="eastAsia" w:ascii="仿宋" w:hAnsi="仿宋" w:eastAsia="仿宋" w:cs="仿宋"/>
          <w:color w:val="auto"/>
          <w:sz w:val="24"/>
          <w:highlight w:val="none"/>
          <w:u w:val="single"/>
        </w:rPr>
        <w:t>甲方</w:t>
      </w:r>
      <w:r>
        <w:rPr>
          <w:rFonts w:hint="eastAsia" w:cs="仿宋"/>
          <w:color w:val="auto"/>
          <w:sz w:val="24"/>
          <w:highlight w:val="none"/>
          <w:u w:val="single"/>
          <w:lang w:eastAsia="zh-CN"/>
        </w:rPr>
        <w:t>）</w:t>
      </w:r>
      <w:r>
        <w:rPr>
          <w:rFonts w:hint="eastAsia" w:ascii="仿宋" w:hAnsi="仿宋" w:eastAsia="仿宋" w:cs="仿宋"/>
          <w:color w:val="auto"/>
          <w:sz w:val="24"/>
          <w:highlight w:val="none"/>
        </w:rPr>
        <w:t>的</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eastAsia="zh-CN"/>
        </w:rPr>
        <w:t>（</w:t>
      </w:r>
      <w:r>
        <w:rPr>
          <w:rFonts w:hint="eastAsia" w:ascii="仿宋" w:hAnsi="仿宋" w:eastAsia="仿宋" w:cs="仿宋"/>
          <w:color w:val="auto"/>
          <w:sz w:val="24"/>
          <w:highlight w:val="none"/>
          <w:u w:val="single"/>
        </w:rPr>
        <w:t>项目名称</w:t>
      </w:r>
      <w:r>
        <w:rPr>
          <w:rFonts w:hint="eastAsia" w:cs="仿宋"/>
          <w:color w:val="auto"/>
          <w:sz w:val="24"/>
          <w:highlight w:val="none"/>
          <w:u w:val="single"/>
          <w:lang w:eastAsia="zh-CN"/>
        </w:rPr>
        <w:t>）</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eastAsia="zh-CN"/>
        </w:rPr>
        <w:t>（</w:t>
      </w:r>
      <w:r>
        <w:rPr>
          <w:rFonts w:hint="eastAsia" w:ascii="仿宋" w:hAnsi="仿宋" w:eastAsia="仿宋" w:cs="仿宋"/>
          <w:color w:val="auto"/>
          <w:sz w:val="24"/>
          <w:highlight w:val="none"/>
          <w:u w:val="single"/>
        </w:rPr>
        <w:t>采购代理机构</w:t>
      </w:r>
      <w:r>
        <w:rPr>
          <w:rFonts w:hint="eastAsia" w:cs="仿宋"/>
          <w:color w:val="auto"/>
          <w:sz w:val="24"/>
          <w:highlight w:val="none"/>
          <w:u w:val="single"/>
          <w:lang w:eastAsia="zh-CN"/>
        </w:rPr>
        <w:t>）</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（项目编号）</w:t>
      </w:r>
      <w:r>
        <w:rPr>
          <w:rFonts w:hint="eastAsia" w:ascii="仿宋" w:hAnsi="仿宋" w:eastAsia="仿宋" w:cs="仿宋"/>
          <w:color w:val="auto"/>
          <w:sz w:val="24"/>
          <w:highlight w:val="none"/>
        </w:rPr>
        <w:t>竞争性磋商文件在</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进行采购。经评审委员会评定</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eastAsia="zh-CN"/>
        </w:rPr>
        <w:t>（</w:t>
      </w:r>
      <w:r>
        <w:rPr>
          <w:rFonts w:hint="eastAsia" w:ascii="仿宋" w:hAnsi="仿宋" w:eastAsia="仿宋" w:cs="仿宋"/>
          <w:color w:val="auto"/>
          <w:sz w:val="24"/>
          <w:highlight w:val="none"/>
        </w:rPr>
        <w:t>乙方</w:t>
      </w:r>
      <w:r>
        <w:rPr>
          <w:rFonts w:hint="eastAsia" w:cs="仿宋"/>
          <w:color w:val="auto"/>
          <w:sz w:val="24"/>
          <w:highlight w:val="none"/>
          <w:lang w:eastAsia="zh-CN"/>
        </w:rPr>
        <w:t>）</w:t>
      </w:r>
      <w:r>
        <w:rPr>
          <w:rFonts w:hint="eastAsia" w:ascii="仿宋" w:hAnsi="仿宋" w:eastAsia="仿宋" w:cs="仿宋"/>
          <w:color w:val="auto"/>
          <w:sz w:val="24"/>
          <w:highlight w:val="none"/>
        </w:rPr>
        <w:t>为成交人。甲乙双方依据《中华人民共和国政府采购法》、《中华人民共和国民法典》，在平等自愿的基础上，同意按照下面的条款和条件，签署本合同。</w:t>
      </w:r>
    </w:p>
    <w:p w14:paraId="2C625F9D">
      <w:pPr>
        <w:snapToGrid w:val="0"/>
        <w:spacing w:before="119"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1.合同文件</w:t>
      </w:r>
    </w:p>
    <w:p w14:paraId="007EC2EF">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下列文件构成本合同的组成部分，应该认为是一个整体，彼此相互解释，相互补充。组成合同的多个文件的优先支配地位的次序如下：</w:t>
      </w:r>
    </w:p>
    <w:p w14:paraId="4111587C">
      <w:pPr>
        <w:snapToGrid w:val="0"/>
        <w:spacing w:before="119" w:line="419" w:lineRule="atLeast"/>
        <w:ind w:firstLine="538"/>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a.本合同书　</w:t>
      </w:r>
    </w:p>
    <w:p w14:paraId="0C5B4138">
      <w:pPr>
        <w:snapToGrid w:val="0"/>
        <w:spacing w:before="119" w:line="419" w:lineRule="atLeast"/>
        <w:ind w:firstLine="538"/>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b.</w:t>
      </w:r>
      <w:r>
        <w:rPr>
          <w:rFonts w:hint="eastAsia" w:cs="仿宋"/>
          <w:color w:val="auto"/>
          <w:sz w:val="24"/>
          <w:szCs w:val="21"/>
          <w:highlight w:val="none"/>
          <w:lang w:eastAsia="zh-CN"/>
        </w:rPr>
        <w:t>中标（成交）通知书</w:t>
      </w:r>
      <w:r>
        <w:rPr>
          <w:rFonts w:hint="eastAsia" w:ascii="仿宋" w:hAnsi="仿宋" w:eastAsia="仿宋" w:cs="仿宋"/>
          <w:color w:val="auto"/>
          <w:sz w:val="24"/>
          <w:szCs w:val="21"/>
          <w:highlight w:val="none"/>
        </w:rPr>
        <w:tab/>
      </w:r>
    </w:p>
    <w:p w14:paraId="7D3D6B02">
      <w:pPr>
        <w:snapToGrid w:val="0"/>
        <w:spacing w:before="119" w:line="419" w:lineRule="atLeast"/>
        <w:ind w:firstLine="538"/>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c. 变更补充文件</w:t>
      </w:r>
    </w:p>
    <w:p w14:paraId="563DFBCF">
      <w:pPr>
        <w:snapToGrid w:val="0"/>
        <w:spacing w:before="119" w:line="419" w:lineRule="atLeast"/>
        <w:ind w:firstLine="538"/>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d.成交人响应文件</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eastAsia="zh-CN"/>
        </w:rPr>
        <w:t>（</w:t>
      </w:r>
      <w:r>
        <w:rPr>
          <w:rFonts w:hint="eastAsia" w:ascii="仿宋" w:hAnsi="仿宋" w:eastAsia="仿宋" w:cs="仿宋"/>
          <w:color w:val="auto"/>
          <w:sz w:val="24"/>
          <w:szCs w:val="21"/>
          <w:highlight w:val="none"/>
        </w:rPr>
        <w:t>含澄清内容</w:t>
      </w:r>
      <w:r>
        <w:rPr>
          <w:rFonts w:hint="eastAsia" w:cs="仿宋"/>
          <w:color w:val="auto"/>
          <w:sz w:val="24"/>
          <w:szCs w:val="21"/>
          <w:highlight w:val="none"/>
          <w:lang w:eastAsia="zh-CN"/>
        </w:rPr>
        <w:t>）</w:t>
      </w:r>
    </w:p>
    <w:p w14:paraId="07F19376">
      <w:pPr>
        <w:snapToGrid w:val="0"/>
        <w:spacing w:before="119" w:after="147" w:line="419" w:lineRule="atLeast"/>
        <w:ind w:firstLine="538"/>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e.竞争性磋商文件</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cs="仿宋"/>
          <w:color w:val="auto"/>
          <w:sz w:val="24"/>
          <w:szCs w:val="21"/>
          <w:highlight w:val="none"/>
          <w:lang w:val="en-US" w:eastAsia="zh-CN"/>
        </w:rPr>
        <w:t xml:space="preserve">     </w:t>
      </w:r>
      <w:r>
        <w:rPr>
          <w:rFonts w:hint="eastAsia" w:cs="仿宋"/>
          <w:color w:val="auto"/>
          <w:sz w:val="24"/>
          <w:szCs w:val="21"/>
          <w:highlight w:val="none"/>
          <w:lang w:eastAsia="zh-CN"/>
        </w:rPr>
        <w:t>（</w:t>
      </w:r>
      <w:r>
        <w:rPr>
          <w:rFonts w:hint="eastAsia" w:ascii="仿宋" w:hAnsi="仿宋" w:eastAsia="仿宋" w:cs="仿宋"/>
          <w:color w:val="auto"/>
          <w:sz w:val="24"/>
          <w:szCs w:val="21"/>
          <w:highlight w:val="none"/>
        </w:rPr>
        <w:t>含澄清修改文件</w:t>
      </w:r>
      <w:r>
        <w:rPr>
          <w:rFonts w:hint="eastAsia" w:cs="仿宋"/>
          <w:color w:val="auto"/>
          <w:sz w:val="24"/>
          <w:szCs w:val="21"/>
          <w:highlight w:val="none"/>
          <w:lang w:eastAsia="zh-CN"/>
        </w:rPr>
        <w:t>）</w:t>
      </w:r>
    </w:p>
    <w:p w14:paraId="0A9BE818">
      <w:pPr>
        <w:snapToGrid w:val="0"/>
        <w:spacing w:before="119"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2.服务内容</w:t>
      </w:r>
    </w:p>
    <w:p w14:paraId="75599F2F">
      <w:pPr>
        <w:snapToGrid w:val="0"/>
        <w:spacing w:before="119" w:line="419" w:lineRule="atLeast"/>
        <w:ind w:firstLine="453"/>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本合同总价内包含的服务内容________________________________</w:t>
      </w:r>
    </w:p>
    <w:p w14:paraId="0F609C52">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3.合同总价</w:t>
      </w:r>
    </w:p>
    <w:p w14:paraId="5E740659">
      <w:pPr>
        <w:snapToGrid w:val="0"/>
        <w:spacing w:before="119" w:line="419" w:lineRule="atLeast"/>
        <w:ind w:firstLine="453"/>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本合同总价为</w:t>
      </w:r>
      <w:r>
        <w:rPr>
          <w:rFonts w:hint="eastAsia" w:ascii="仿宋" w:hAnsi="仿宋" w:eastAsia="仿宋" w:cs="仿宋"/>
          <w:color w:val="auto"/>
          <w:sz w:val="24"/>
          <w:szCs w:val="21"/>
          <w:highlight w:val="none"/>
          <w:u w:val="single"/>
        </w:rPr>
        <w:t xml:space="preserve">    　          　   </w:t>
      </w:r>
    </w:p>
    <w:p w14:paraId="23916DBF">
      <w:pPr>
        <w:snapToGrid w:val="0"/>
        <w:spacing w:before="119" w:line="419" w:lineRule="atLeast"/>
        <w:ind w:firstLine="453"/>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分项价格：</w:t>
      </w:r>
      <w:r>
        <w:rPr>
          <w:rFonts w:hint="eastAsia" w:ascii="仿宋" w:hAnsi="仿宋" w:eastAsia="仿宋" w:cs="仿宋"/>
          <w:color w:val="auto"/>
          <w:sz w:val="24"/>
          <w:szCs w:val="21"/>
          <w:highlight w:val="none"/>
          <w:u w:val="single"/>
        </w:rPr>
        <w:t>　　　　　　　       　　　　　</w:t>
      </w:r>
    </w:p>
    <w:p w14:paraId="0ABCD87B">
      <w:pPr>
        <w:snapToGrid w:val="0"/>
        <w:spacing w:before="238"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4.付款方式</w:t>
      </w:r>
    </w:p>
    <w:p w14:paraId="5CABA30C">
      <w:pPr>
        <w:pStyle w:val="2"/>
        <w:spacing w:line="360" w:lineRule="auto"/>
        <w:ind w:firstLine="480" w:firstLineChars="200"/>
        <w:jc w:val="both"/>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1"/>
          <w:highlight w:val="none"/>
          <w:u w:val="single"/>
        </w:rPr>
        <w:t xml:space="preserve">　          　  </w:t>
      </w:r>
    </w:p>
    <w:p w14:paraId="6F2797AE">
      <w:pPr>
        <w:snapToGrid w:val="0"/>
        <w:spacing w:before="238"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5.进度要求</w:t>
      </w:r>
    </w:p>
    <w:p w14:paraId="5DB00535">
      <w:pPr>
        <w:snapToGrid w:val="0"/>
        <w:spacing w:before="119" w:line="419" w:lineRule="atLeast"/>
        <w:ind w:firstLine="481"/>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xml:space="preserve">　　　　　　   </w:t>
      </w:r>
    </w:p>
    <w:p w14:paraId="77FFC19A">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6.使用合同文件和资料</w:t>
      </w:r>
    </w:p>
    <w:p w14:paraId="3830B71C">
      <w:pPr>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 没有甲方事先书面同意，乙方不得将由甲方或代表甲方提供的有关合同或任何合同条文、计划、图纸或资料提供</w:t>
      </w:r>
      <w:r>
        <w:rPr>
          <w:rFonts w:hint="eastAsia" w:cs="仿宋"/>
          <w:color w:val="auto"/>
          <w:sz w:val="24"/>
          <w:szCs w:val="21"/>
          <w:highlight w:val="none"/>
          <w:lang w:eastAsia="zh-CN"/>
        </w:rPr>
        <w:t>给与</w:t>
      </w:r>
      <w:r>
        <w:rPr>
          <w:rFonts w:hint="eastAsia" w:ascii="仿宋" w:hAnsi="仿宋" w:eastAsia="仿宋" w:cs="仿宋"/>
          <w:color w:val="auto"/>
          <w:sz w:val="24"/>
          <w:szCs w:val="21"/>
          <w:highlight w:val="none"/>
        </w:rPr>
        <w:t>履行本合同无关的任何其他人。即使向与履行本合同有关的人员提供，也应注意保密并限于履行合同必须的范围。</w:t>
      </w:r>
    </w:p>
    <w:p w14:paraId="03115561">
      <w:pPr>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6.2 没有甲方事先书面同意，除了履行本合同之外，乙方不应使用6.1条款所列举的任何文件和资料。</w:t>
      </w:r>
    </w:p>
    <w:p w14:paraId="6C5B025E">
      <w:pPr>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6.3 除了合同本身外， 6.1条款所列举的任何文件是甲方的财产。如果甲方有要求，乙方应在完成合同后将这些文件及全部复制件归还给甲方。</w:t>
      </w:r>
    </w:p>
    <w:p w14:paraId="055CDF91">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7.知识产权</w:t>
      </w:r>
    </w:p>
    <w:p w14:paraId="71E8D0ED">
      <w:pPr>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2B8544E1">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8.不可抗力</w:t>
      </w:r>
    </w:p>
    <w:p w14:paraId="045F06D5">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3D7F198">
      <w:pPr>
        <w:snapToGrid w:val="0"/>
        <w:spacing w:before="238" w:line="419" w:lineRule="atLeast"/>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C4144BA">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9.税费</w:t>
      </w:r>
    </w:p>
    <w:p w14:paraId="04CC66DA">
      <w:pPr>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9.1根据国家现行税法对乙方征收的与合同有关的一切税费均由乙方负担。</w:t>
      </w:r>
    </w:p>
    <w:p w14:paraId="3186DC62">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10.违约终止合同</w:t>
      </w:r>
    </w:p>
    <w:p w14:paraId="31E14F1F">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10.1如果乙方有下述违约行为或采购文件中规定</w:t>
      </w:r>
      <w:r>
        <w:rPr>
          <w:rFonts w:hint="eastAsia" w:cs="仿宋"/>
          <w:color w:val="auto"/>
          <w:sz w:val="24"/>
          <w:szCs w:val="21"/>
          <w:highlight w:val="none"/>
          <w:lang w:eastAsia="zh-CN"/>
        </w:rPr>
        <w:t>的其他</w:t>
      </w:r>
      <w:r>
        <w:rPr>
          <w:rFonts w:hint="eastAsia" w:ascii="仿宋" w:hAnsi="仿宋" w:eastAsia="仿宋" w:cs="仿宋"/>
          <w:color w:val="auto"/>
          <w:sz w:val="24"/>
          <w:szCs w:val="21"/>
          <w:highlight w:val="none"/>
        </w:rPr>
        <w:t>违约行为的情况，甲方可以向乙方发出书面违约通知，全部或部分地终止合同，在这些情况下，并不影响甲方向乙方提出的索赔：</w:t>
      </w:r>
    </w:p>
    <w:p w14:paraId="04E1B72C">
      <w:pPr>
        <w:numPr>
          <w:ilvl w:val="0"/>
          <w:numId w:val="16"/>
        </w:numPr>
        <w:tabs>
          <w:tab w:val="left" w:pos="875"/>
        </w:tabs>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乙方未能在合同规定的限期或甲方同意延长的最终限期内提供全部或部分服务项目、技术文件；</w:t>
      </w:r>
    </w:p>
    <w:p w14:paraId="18180C94">
      <w:pPr>
        <w:numPr>
          <w:ilvl w:val="0"/>
          <w:numId w:val="16"/>
        </w:numPr>
        <w:tabs>
          <w:tab w:val="left" w:pos="875"/>
        </w:tabs>
        <w:snapToGrid w:val="0"/>
        <w:spacing w:before="238" w:line="419"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乙方未能使合同的服务项目达到合同附件规定的最低技术要求；</w:t>
      </w:r>
    </w:p>
    <w:p w14:paraId="75120EE4">
      <w:pPr>
        <w:snapToGrid w:val="0"/>
        <w:spacing w:before="238" w:line="419" w:lineRule="atLeast"/>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32B5C7E3">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10.2在甲方根据第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97D0EA4">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11.其他情况终止合同</w:t>
      </w:r>
    </w:p>
    <w:p w14:paraId="4B1B1C19">
      <w:pPr>
        <w:snapToGrid w:val="0"/>
        <w:spacing w:before="238" w:line="419" w:lineRule="atLeast"/>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11.1如果乙方破产或发生资不抵债的情况，甲方可在任何时候以书面通知终止合同，而不给对方补偿。该终止合同将不损害或影响甲方已经采取或将要采取的补救措施的权利。</w:t>
      </w:r>
    </w:p>
    <w:p w14:paraId="59EDFF7C">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11.2 如果甲方认定乙方在竞标、采购和合同执行等过程中有腐败或欺诈行为，甲方有权在任何时候发出书面通知终止合同。</w:t>
      </w:r>
    </w:p>
    <w:p w14:paraId="4ACB1B29">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11.3如果合同履行过程中出现危害国家利益和社会公众利益的，甲方有权在任何时候发出书面通知终止合同。</w:t>
      </w:r>
    </w:p>
    <w:p w14:paraId="7983D9DC">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12.转让和分包</w:t>
      </w:r>
    </w:p>
    <w:p w14:paraId="682A1F7C">
      <w:pPr>
        <w:snapToGrid w:val="0"/>
        <w:spacing w:before="238" w:line="419" w:lineRule="atLeast"/>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12.1乙方不得部分转让</w:t>
      </w:r>
      <w:r>
        <w:rPr>
          <w:rFonts w:hint="eastAsia" w:ascii="仿宋" w:hAnsi="仿宋" w:eastAsia="仿宋" w:cs="仿宋"/>
          <w:color w:val="auto"/>
          <w:sz w:val="24"/>
          <w:szCs w:val="21"/>
          <w:highlight w:val="none"/>
          <w:lang w:eastAsia="zh-CN"/>
        </w:rPr>
        <w:t>、分包或</w:t>
      </w:r>
      <w:r>
        <w:rPr>
          <w:rFonts w:hint="eastAsia" w:ascii="仿宋" w:hAnsi="仿宋" w:eastAsia="仿宋" w:cs="仿宋"/>
          <w:color w:val="auto"/>
          <w:sz w:val="24"/>
          <w:szCs w:val="21"/>
          <w:highlight w:val="none"/>
        </w:rPr>
        <w:t>全部转让其应履行的合同义务。</w:t>
      </w:r>
    </w:p>
    <w:p w14:paraId="13EEAE79">
      <w:pPr>
        <w:snapToGrid w:val="0"/>
        <w:spacing w:before="238" w:line="419" w:lineRule="atLeas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13.合同的协商变更与修改</w:t>
      </w:r>
    </w:p>
    <w:p w14:paraId="7DA014EF">
      <w:pPr>
        <w:snapToGrid w:val="0"/>
        <w:spacing w:before="238" w:after="240" w:line="419" w:lineRule="atLeast"/>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13.1 甲方可以以书面方式向乙方发出变更要求，协商在本合同的一般范围内变更事项，合同修改书应由双方授权代表签字，具有合同的法律效力。</w:t>
      </w:r>
    </w:p>
    <w:p w14:paraId="3E0C0F27">
      <w:pPr>
        <w:snapToGrid w:val="0"/>
        <w:spacing w:before="238"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14.争端的解决</w:t>
      </w:r>
    </w:p>
    <w:p w14:paraId="5B84E715">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14.1 合同实施或与合同有关的一切争端应依据《中华人民共和国民法典》并通过双方协商解决。如果协商不能解决争议，则采取以下第</w:t>
      </w:r>
      <w:r>
        <w:rPr>
          <w:rFonts w:hint="eastAsia" w:ascii="仿宋" w:hAnsi="仿宋" w:eastAsia="仿宋" w:cs="仿宋"/>
          <w:color w:val="auto"/>
          <w:sz w:val="24"/>
          <w:szCs w:val="21"/>
          <w:highlight w:val="none"/>
          <w:u w:val="single"/>
        </w:rPr>
        <w:t xml:space="preserve">  14.1.1   </w:t>
      </w:r>
      <w:r>
        <w:rPr>
          <w:rFonts w:hint="eastAsia" w:ascii="仿宋" w:hAnsi="仿宋" w:eastAsia="仿宋" w:cs="仿宋"/>
          <w:color w:val="auto"/>
          <w:sz w:val="24"/>
          <w:szCs w:val="21"/>
          <w:highlight w:val="none"/>
        </w:rPr>
        <w:t>种方式解决争议：</w:t>
      </w:r>
    </w:p>
    <w:p w14:paraId="29D1C3D5">
      <w:pPr>
        <w:snapToGrid w:val="0"/>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14.1.1向甲方所在地有管辖权的人民法院提起诉讼；</w:t>
      </w:r>
    </w:p>
    <w:p w14:paraId="29053746">
      <w:pPr>
        <w:snapToGrid w:val="0"/>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14.1.2向</w:t>
      </w:r>
      <w:r>
        <w:rPr>
          <w:rFonts w:hint="eastAsia" w:ascii="仿宋" w:hAnsi="仿宋" w:eastAsia="仿宋" w:cs="仿宋"/>
          <w:color w:val="auto"/>
          <w:sz w:val="24"/>
          <w:szCs w:val="21"/>
          <w:highlight w:val="none"/>
          <w:u w:val="single"/>
        </w:rPr>
        <w:t xml:space="preserve"> 丽水 </w:t>
      </w:r>
      <w:r>
        <w:rPr>
          <w:rFonts w:hint="eastAsia" w:ascii="仿宋" w:hAnsi="仿宋" w:eastAsia="仿宋" w:cs="仿宋"/>
          <w:color w:val="auto"/>
          <w:sz w:val="24"/>
          <w:szCs w:val="21"/>
          <w:highlight w:val="none"/>
        </w:rPr>
        <w:t>仲裁委员会按其仲裁规则申请仲裁。</w:t>
      </w:r>
    </w:p>
    <w:p w14:paraId="6D46F8D9">
      <w:pPr>
        <w:snapToGrid w:val="0"/>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14.2在仲裁或诉讼期间，本合同应继续履行。</w:t>
      </w:r>
    </w:p>
    <w:p w14:paraId="70318BD3">
      <w:pPr>
        <w:snapToGrid w:val="0"/>
        <w:spacing w:before="238"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15.通知</w:t>
      </w:r>
    </w:p>
    <w:p w14:paraId="79F4157F">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15.1本合同任何一方给另一方的通知，都应以书面或传真的形式发送，而另一方应以书面或传真形式确认，回复对方。</w:t>
      </w:r>
    </w:p>
    <w:p w14:paraId="15570E73">
      <w:pPr>
        <w:snapToGrid w:val="0"/>
        <w:spacing w:before="238" w:line="419" w:lineRule="atLeas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15.2 通知以送到日期或通知书的生效日起为生效日期，两者中以较晚的一个日期为准。</w:t>
      </w:r>
    </w:p>
    <w:p w14:paraId="2F7B0167">
      <w:pPr>
        <w:snapToGrid w:val="0"/>
        <w:spacing w:before="238"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16.</w:t>
      </w:r>
      <w:r>
        <w:rPr>
          <w:rFonts w:hint="eastAsia" w:ascii="仿宋" w:hAnsi="仿宋" w:eastAsia="仿宋" w:cs="仿宋"/>
          <w:color w:val="auto"/>
          <w:sz w:val="24"/>
          <w:szCs w:val="21"/>
          <w:highlight w:val="none"/>
        </w:rPr>
        <w:t>鉴于甲方将按照本合同向乙方支付款项，乙方在此保证全部按照合同的规定向甲方提供服务并修补缺陷。</w:t>
      </w:r>
    </w:p>
    <w:p w14:paraId="22FEE7C3">
      <w:pPr>
        <w:snapToGrid w:val="0"/>
        <w:spacing w:before="238"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鉴于乙方将按本合同规定提供服务并修补缺陷，甲方在此保证按照合同规定的时间和方式向甲方支付合同价</w:t>
      </w:r>
      <w:r>
        <w:rPr>
          <w:rFonts w:hint="eastAsia" w:cs="仿宋"/>
          <w:color w:val="auto"/>
          <w:sz w:val="24"/>
          <w:szCs w:val="21"/>
          <w:highlight w:val="none"/>
          <w:lang w:eastAsia="zh-CN"/>
        </w:rPr>
        <w:t>或其他</w:t>
      </w:r>
      <w:r>
        <w:rPr>
          <w:rFonts w:hint="eastAsia" w:ascii="仿宋" w:hAnsi="仿宋" w:eastAsia="仿宋" w:cs="仿宋"/>
          <w:color w:val="auto"/>
          <w:sz w:val="24"/>
          <w:szCs w:val="21"/>
          <w:highlight w:val="none"/>
        </w:rPr>
        <w:t>按合同应支付的金额。</w:t>
      </w:r>
    </w:p>
    <w:p w14:paraId="393F68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仿宋"/>
          <w:b/>
          <w:color w:val="auto"/>
          <w:sz w:val="24"/>
          <w:szCs w:val="24"/>
          <w:lang w:val="en-US" w:eastAsia="zh-CN"/>
        </w:rPr>
      </w:pPr>
      <w:r>
        <w:rPr>
          <w:rFonts w:hint="eastAsia" w:cs="仿宋"/>
          <w:b/>
          <w:color w:val="auto"/>
          <w:sz w:val="24"/>
          <w:szCs w:val="24"/>
          <w:lang w:val="en-US" w:eastAsia="zh-CN"/>
        </w:rPr>
        <w:t>17.其他约定事项：</w:t>
      </w:r>
    </w:p>
    <w:p w14:paraId="2C300C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仿宋"/>
          <w:b/>
          <w:color w:val="auto"/>
          <w:sz w:val="24"/>
          <w:szCs w:val="24"/>
          <w:lang w:val="en-US" w:eastAsia="zh-CN"/>
        </w:rPr>
      </w:pPr>
      <w:r>
        <w:rPr>
          <w:rFonts w:hint="eastAsia" w:cs="仿宋"/>
          <w:b/>
          <w:color w:val="auto"/>
          <w:sz w:val="24"/>
          <w:szCs w:val="24"/>
          <w:lang w:val="en-US" w:eastAsia="zh-CN"/>
        </w:rPr>
        <w:t>18.本合同未尽事宜，遵照《中华人民共和国民法典》有关条文执行。</w:t>
      </w:r>
    </w:p>
    <w:p w14:paraId="1CE2F2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仿宋"/>
          <w:b/>
          <w:color w:val="auto"/>
          <w:sz w:val="24"/>
          <w:szCs w:val="24"/>
          <w:lang w:val="en-US" w:eastAsia="zh-CN"/>
        </w:rPr>
      </w:pPr>
      <w:r>
        <w:rPr>
          <w:rFonts w:hint="eastAsia" w:cs="仿宋"/>
          <w:b/>
          <w:color w:val="auto"/>
          <w:sz w:val="24"/>
          <w:szCs w:val="24"/>
          <w:lang w:val="en-US" w:eastAsia="zh-CN"/>
        </w:rPr>
        <w:t>19.本合同一式六份，甲、乙双方各执二份，代理机构和采购监督管理部门备案各一份。</w:t>
      </w:r>
    </w:p>
    <w:bookmarkEnd w:id="65"/>
    <w:bookmarkEnd w:id="66"/>
    <w:bookmarkEnd w:id="67"/>
    <w:bookmarkEnd w:id="68"/>
    <w:bookmarkEnd w:id="69"/>
    <w:p w14:paraId="643D8EC5">
      <w:pPr>
        <w:rPr>
          <w:color w:val="auto"/>
        </w:rPr>
      </w:pPr>
    </w:p>
    <w:p w14:paraId="75F241A8">
      <w:pPr>
        <w:pStyle w:val="27"/>
        <w:rPr>
          <w:color w:val="auto"/>
        </w:rPr>
      </w:pPr>
    </w:p>
    <w:p w14:paraId="5AC80E94">
      <w:pPr>
        <w:rPr>
          <w:color w:val="auto"/>
        </w:rPr>
      </w:pPr>
    </w:p>
    <w:tbl>
      <w:tblPr>
        <w:tblStyle w:val="30"/>
        <w:tblW w:w="9219" w:type="dxa"/>
        <w:jc w:val="center"/>
        <w:tblLayout w:type="fixed"/>
        <w:tblCellMar>
          <w:top w:w="0" w:type="dxa"/>
          <w:left w:w="108" w:type="dxa"/>
          <w:bottom w:w="0" w:type="dxa"/>
          <w:right w:w="108" w:type="dxa"/>
        </w:tblCellMar>
      </w:tblPr>
      <w:tblGrid>
        <w:gridCol w:w="4610"/>
        <w:gridCol w:w="4609"/>
      </w:tblGrid>
      <w:tr w14:paraId="7DFF7561">
        <w:tblPrEx>
          <w:tblCellMar>
            <w:top w:w="0" w:type="dxa"/>
            <w:left w:w="108" w:type="dxa"/>
            <w:bottom w:w="0" w:type="dxa"/>
            <w:right w:w="108" w:type="dxa"/>
          </w:tblCellMar>
        </w:tblPrEx>
        <w:trPr>
          <w:trHeight w:val="553" w:hRule="atLeast"/>
          <w:jc w:val="center"/>
        </w:trPr>
        <w:tc>
          <w:tcPr>
            <w:tcW w:w="4610" w:type="dxa"/>
            <w:noWrap/>
            <w:vAlign w:val="center"/>
          </w:tcPr>
          <w:p w14:paraId="120E13BC">
            <w:pPr>
              <w:widowControl/>
              <w:rPr>
                <w:color w:val="auto"/>
                <w:sz w:val="24"/>
                <w:u w:val="single"/>
              </w:rPr>
            </w:pPr>
            <w:r>
              <w:rPr>
                <w:rFonts w:hint="eastAsia"/>
                <w:color w:val="auto"/>
                <w:sz w:val="24"/>
              </w:rPr>
              <w:t>甲方（盖单位章）：</w:t>
            </w:r>
          </w:p>
        </w:tc>
        <w:tc>
          <w:tcPr>
            <w:tcW w:w="4609" w:type="dxa"/>
            <w:noWrap/>
            <w:vAlign w:val="center"/>
          </w:tcPr>
          <w:p w14:paraId="199ECC20">
            <w:pPr>
              <w:widowControl/>
              <w:rPr>
                <w:color w:val="auto"/>
                <w:sz w:val="24"/>
                <w:u w:val="single"/>
              </w:rPr>
            </w:pPr>
            <w:r>
              <w:rPr>
                <w:rFonts w:hint="eastAsia"/>
                <w:color w:val="auto"/>
                <w:sz w:val="24"/>
              </w:rPr>
              <w:t>乙方（盖单位章）：</w:t>
            </w:r>
          </w:p>
        </w:tc>
      </w:tr>
      <w:tr w14:paraId="42BFE356">
        <w:tblPrEx>
          <w:tblCellMar>
            <w:top w:w="0" w:type="dxa"/>
            <w:left w:w="108" w:type="dxa"/>
            <w:bottom w:w="0" w:type="dxa"/>
            <w:right w:w="108" w:type="dxa"/>
          </w:tblCellMar>
        </w:tblPrEx>
        <w:trPr>
          <w:trHeight w:val="1106" w:hRule="atLeast"/>
          <w:jc w:val="center"/>
        </w:trPr>
        <w:tc>
          <w:tcPr>
            <w:tcW w:w="4610" w:type="dxa"/>
            <w:noWrap/>
            <w:vAlign w:val="center"/>
          </w:tcPr>
          <w:p w14:paraId="32155DC7">
            <w:pPr>
              <w:widowControl/>
              <w:rPr>
                <w:rFonts w:hint="eastAsia"/>
                <w:color w:val="auto"/>
                <w:sz w:val="24"/>
                <w:lang w:eastAsia="zh-CN"/>
              </w:rPr>
            </w:pPr>
            <w:r>
              <w:rPr>
                <w:rFonts w:hint="eastAsia"/>
                <w:color w:val="auto"/>
                <w:sz w:val="24"/>
              </w:rPr>
              <w:t>法定代表人</w:t>
            </w:r>
            <w:r>
              <w:rPr>
                <w:rFonts w:hint="eastAsia"/>
                <w:color w:val="auto"/>
                <w:sz w:val="24"/>
                <w:lang w:eastAsia="zh-CN"/>
              </w:rPr>
              <w:t>或</w:t>
            </w:r>
          </w:p>
          <w:p w14:paraId="50082D14">
            <w:pPr>
              <w:widowControl/>
              <w:rPr>
                <w:color w:val="auto"/>
                <w:sz w:val="24"/>
              </w:rPr>
            </w:pPr>
            <w:r>
              <w:rPr>
                <w:rFonts w:hint="eastAsia"/>
                <w:color w:val="auto"/>
                <w:sz w:val="24"/>
              </w:rPr>
              <w:t>授权代表（签字或盖章）</w:t>
            </w:r>
            <w:r>
              <w:rPr>
                <w:rFonts w:hint="eastAsia"/>
                <w:color w:val="auto"/>
                <w:sz w:val="24"/>
                <w:lang w:eastAsia="zh-CN"/>
              </w:rPr>
              <w:t>：</w:t>
            </w:r>
          </w:p>
        </w:tc>
        <w:tc>
          <w:tcPr>
            <w:tcW w:w="4609" w:type="dxa"/>
            <w:noWrap/>
            <w:vAlign w:val="center"/>
          </w:tcPr>
          <w:p w14:paraId="51F59E2F">
            <w:pPr>
              <w:widowControl/>
              <w:rPr>
                <w:rFonts w:hint="eastAsia"/>
                <w:color w:val="auto"/>
                <w:sz w:val="24"/>
                <w:lang w:eastAsia="zh-CN"/>
              </w:rPr>
            </w:pPr>
            <w:r>
              <w:rPr>
                <w:rFonts w:hint="eastAsia"/>
                <w:color w:val="auto"/>
                <w:sz w:val="24"/>
              </w:rPr>
              <w:t>法定代表人</w:t>
            </w:r>
            <w:r>
              <w:rPr>
                <w:rFonts w:hint="eastAsia"/>
                <w:color w:val="auto"/>
                <w:sz w:val="24"/>
                <w:lang w:eastAsia="zh-CN"/>
              </w:rPr>
              <w:t>或</w:t>
            </w:r>
          </w:p>
          <w:p w14:paraId="6214F24F">
            <w:pPr>
              <w:widowControl/>
              <w:rPr>
                <w:color w:val="auto"/>
                <w:sz w:val="24"/>
                <w:u w:val="single"/>
              </w:rPr>
            </w:pPr>
            <w:r>
              <w:rPr>
                <w:rFonts w:hint="eastAsia"/>
                <w:color w:val="auto"/>
                <w:sz w:val="24"/>
              </w:rPr>
              <w:t>授权代表（签字或盖章）</w:t>
            </w:r>
            <w:r>
              <w:rPr>
                <w:rFonts w:hint="eastAsia"/>
                <w:color w:val="auto"/>
                <w:sz w:val="24"/>
                <w:lang w:eastAsia="zh-CN"/>
              </w:rPr>
              <w:t>：</w:t>
            </w:r>
          </w:p>
        </w:tc>
      </w:tr>
      <w:tr w14:paraId="5DB795F6">
        <w:tblPrEx>
          <w:tblCellMar>
            <w:top w:w="0" w:type="dxa"/>
            <w:left w:w="108" w:type="dxa"/>
            <w:bottom w:w="0" w:type="dxa"/>
            <w:right w:w="108" w:type="dxa"/>
          </w:tblCellMar>
        </w:tblPrEx>
        <w:trPr>
          <w:trHeight w:val="553" w:hRule="atLeast"/>
          <w:jc w:val="center"/>
        </w:trPr>
        <w:tc>
          <w:tcPr>
            <w:tcW w:w="4610" w:type="dxa"/>
            <w:noWrap/>
            <w:vAlign w:val="center"/>
          </w:tcPr>
          <w:p w14:paraId="67FF6FF9">
            <w:pPr>
              <w:widowControl/>
              <w:rPr>
                <w:color w:val="auto"/>
                <w:sz w:val="24"/>
                <w:u w:val="single"/>
              </w:rPr>
            </w:pPr>
            <w:r>
              <w:rPr>
                <w:rFonts w:hint="eastAsia"/>
                <w:color w:val="auto"/>
                <w:sz w:val="24"/>
              </w:rPr>
              <w:t>地　　址：</w:t>
            </w:r>
          </w:p>
        </w:tc>
        <w:tc>
          <w:tcPr>
            <w:tcW w:w="4609" w:type="dxa"/>
            <w:noWrap/>
            <w:vAlign w:val="center"/>
          </w:tcPr>
          <w:p w14:paraId="125F0CC7">
            <w:pPr>
              <w:widowControl/>
              <w:rPr>
                <w:color w:val="auto"/>
                <w:sz w:val="24"/>
                <w:u w:val="single"/>
              </w:rPr>
            </w:pPr>
            <w:r>
              <w:rPr>
                <w:rFonts w:hint="eastAsia"/>
                <w:color w:val="auto"/>
                <w:sz w:val="24"/>
              </w:rPr>
              <w:t>地　　址：</w:t>
            </w:r>
          </w:p>
        </w:tc>
      </w:tr>
      <w:tr w14:paraId="3FE0BC4A">
        <w:tblPrEx>
          <w:tblCellMar>
            <w:top w:w="0" w:type="dxa"/>
            <w:left w:w="108" w:type="dxa"/>
            <w:bottom w:w="0" w:type="dxa"/>
            <w:right w:w="108" w:type="dxa"/>
          </w:tblCellMar>
        </w:tblPrEx>
        <w:trPr>
          <w:trHeight w:val="553" w:hRule="atLeast"/>
          <w:jc w:val="center"/>
        </w:trPr>
        <w:tc>
          <w:tcPr>
            <w:tcW w:w="4610" w:type="dxa"/>
            <w:noWrap/>
            <w:vAlign w:val="center"/>
          </w:tcPr>
          <w:p w14:paraId="4CBD4A4A">
            <w:pPr>
              <w:widowControl/>
              <w:rPr>
                <w:color w:val="auto"/>
                <w:sz w:val="24"/>
                <w:u w:val="single"/>
              </w:rPr>
            </w:pPr>
            <w:r>
              <w:rPr>
                <w:rFonts w:hint="eastAsia"/>
                <w:color w:val="auto"/>
                <w:sz w:val="24"/>
              </w:rPr>
              <w:t>邮政编码：</w:t>
            </w:r>
          </w:p>
        </w:tc>
        <w:tc>
          <w:tcPr>
            <w:tcW w:w="4609" w:type="dxa"/>
            <w:noWrap/>
            <w:vAlign w:val="center"/>
          </w:tcPr>
          <w:p w14:paraId="193E48B7">
            <w:pPr>
              <w:widowControl/>
              <w:rPr>
                <w:color w:val="auto"/>
                <w:sz w:val="24"/>
                <w:u w:val="single"/>
              </w:rPr>
            </w:pPr>
            <w:r>
              <w:rPr>
                <w:rFonts w:hint="eastAsia"/>
                <w:color w:val="auto"/>
                <w:sz w:val="24"/>
              </w:rPr>
              <w:t>邮政编码：</w:t>
            </w:r>
          </w:p>
        </w:tc>
      </w:tr>
      <w:tr w14:paraId="2A5603BB">
        <w:tblPrEx>
          <w:tblCellMar>
            <w:top w:w="0" w:type="dxa"/>
            <w:left w:w="108" w:type="dxa"/>
            <w:bottom w:w="0" w:type="dxa"/>
            <w:right w:w="108" w:type="dxa"/>
          </w:tblCellMar>
        </w:tblPrEx>
        <w:trPr>
          <w:trHeight w:val="553" w:hRule="atLeast"/>
          <w:jc w:val="center"/>
        </w:trPr>
        <w:tc>
          <w:tcPr>
            <w:tcW w:w="4610" w:type="dxa"/>
            <w:noWrap/>
            <w:vAlign w:val="center"/>
          </w:tcPr>
          <w:p w14:paraId="45729ADB">
            <w:pPr>
              <w:widowControl/>
              <w:rPr>
                <w:color w:val="auto"/>
                <w:sz w:val="24"/>
              </w:rPr>
            </w:pPr>
            <w:r>
              <w:rPr>
                <w:rFonts w:hint="eastAsia"/>
                <w:color w:val="auto"/>
                <w:sz w:val="24"/>
              </w:rPr>
              <w:t>电　　话：</w:t>
            </w:r>
          </w:p>
        </w:tc>
        <w:tc>
          <w:tcPr>
            <w:tcW w:w="4609" w:type="dxa"/>
            <w:noWrap/>
            <w:vAlign w:val="center"/>
          </w:tcPr>
          <w:p w14:paraId="612FD1C4">
            <w:pPr>
              <w:widowControl/>
              <w:rPr>
                <w:color w:val="auto"/>
                <w:sz w:val="24"/>
              </w:rPr>
            </w:pPr>
            <w:r>
              <w:rPr>
                <w:rFonts w:hint="eastAsia"/>
                <w:color w:val="auto"/>
                <w:sz w:val="24"/>
              </w:rPr>
              <w:t>电　　话：</w:t>
            </w:r>
          </w:p>
        </w:tc>
      </w:tr>
      <w:tr w14:paraId="07E302C9">
        <w:tblPrEx>
          <w:tblCellMar>
            <w:top w:w="0" w:type="dxa"/>
            <w:left w:w="108" w:type="dxa"/>
            <w:bottom w:w="0" w:type="dxa"/>
            <w:right w:w="108" w:type="dxa"/>
          </w:tblCellMar>
        </w:tblPrEx>
        <w:trPr>
          <w:trHeight w:val="553" w:hRule="atLeast"/>
          <w:jc w:val="center"/>
        </w:trPr>
        <w:tc>
          <w:tcPr>
            <w:tcW w:w="4610" w:type="dxa"/>
            <w:noWrap/>
            <w:vAlign w:val="center"/>
          </w:tcPr>
          <w:p w14:paraId="5BBDA29E">
            <w:pPr>
              <w:widowControl/>
              <w:rPr>
                <w:color w:val="auto"/>
                <w:sz w:val="24"/>
                <w:u w:val="single"/>
              </w:rPr>
            </w:pPr>
            <w:r>
              <w:rPr>
                <w:rFonts w:hint="eastAsia"/>
                <w:color w:val="auto"/>
                <w:sz w:val="24"/>
              </w:rPr>
              <w:t>开户银行：</w:t>
            </w:r>
          </w:p>
        </w:tc>
        <w:tc>
          <w:tcPr>
            <w:tcW w:w="4609" w:type="dxa"/>
            <w:noWrap/>
            <w:vAlign w:val="center"/>
          </w:tcPr>
          <w:p w14:paraId="38383B3E">
            <w:pPr>
              <w:widowControl/>
              <w:rPr>
                <w:color w:val="auto"/>
                <w:sz w:val="24"/>
                <w:u w:val="single"/>
              </w:rPr>
            </w:pPr>
            <w:r>
              <w:rPr>
                <w:rFonts w:hint="eastAsia"/>
                <w:color w:val="auto"/>
                <w:sz w:val="24"/>
              </w:rPr>
              <w:t>开户银行：</w:t>
            </w:r>
          </w:p>
        </w:tc>
      </w:tr>
      <w:tr w14:paraId="33B93638">
        <w:tblPrEx>
          <w:tblCellMar>
            <w:top w:w="0" w:type="dxa"/>
            <w:left w:w="108" w:type="dxa"/>
            <w:bottom w:w="0" w:type="dxa"/>
            <w:right w:w="108" w:type="dxa"/>
          </w:tblCellMar>
        </w:tblPrEx>
        <w:trPr>
          <w:trHeight w:val="553" w:hRule="atLeast"/>
          <w:jc w:val="center"/>
        </w:trPr>
        <w:tc>
          <w:tcPr>
            <w:tcW w:w="4610" w:type="dxa"/>
            <w:noWrap/>
            <w:vAlign w:val="center"/>
          </w:tcPr>
          <w:p w14:paraId="47A3A97F">
            <w:pPr>
              <w:widowControl/>
              <w:rPr>
                <w:color w:val="auto"/>
                <w:sz w:val="24"/>
                <w:u w:val="single"/>
              </w:rPr>
            </w:pPr>
            <w:r>
              <w:rPr>
                <w:rFonts w:hint="eastAsia"/>
                <w:color w:val="auto"/>
                <w:sz w:val="24"/>
              </w:rPr>
              <w:t>账　　号：</w:t>
            </w:r>
          </w:p>
        </w:tc>
        <w:tc>
          <w:tcPr>
            <w:tcW w:w="4609" w:type="dxa"/>
            <w:noWrap/>
            <w:vAlign w:val="center"/>
          </w:tcPr>
          <w:p w14:paraId="4942D757">
            <w:pPr>
              <w:widowControl/>
              <w:rPr>
                <w:color w:val="auto"/>
                <w:sz w:val="24"/>
                <w:u w:val="single"/>
              </w:rPr>
            </w:pPr>
            <w:r>
              <w:rPr>
                <w:rFonts w:hint="eastAsia"/>
                <w:color w:val="auto"/>
                <w:sz w:val="24"/>
              </w:rPr>
              <w:t>账　　号：</w:t>
            </w:r>
          </w:p>
        </w:tc>
      </w:tr>
      <w:tr w14:paraId="6BB76DAB">
        <w:tblPrEx>
          <w:tblCellMar>
            <w:top w:w="0" w:type="dxa"/>
            <w:left w:w="108" w:type="dxa"/>
            <w:bottom w:w="0" w:type="dxa"/>
            <w:right w:w="108" w:type="dxa"/>
          </w:tblCellMar>
        </w:tblPrEx>
        <w:trPr>
          <w:trHeight w:val="553" w:hRule="atLeast"/>
          <w:jc w:val="center"/>
        </w:trPr>
        <w:tc>
          <w:tcPr>
            <w:tcW w:w="4610" w:type="dxa"/>
            <w:noWrap/>
            <w:vAlign w:val="center"/>
          </w:tcPr>
          <w:p w14:paraId="078A5A9A">
            <w:pPr>
              <w:widowControl/>
              <w:rPr>
                <w:color w:val="auto"/>
                <w:sz w:val="24"/>
              </w:rPr>
            </w:pPr>
            <w:r>
              <w:rPr>
                <w:rFonts w:hint="eastAsia"/>
                <w:color w:val="auto"/>
                <w:sz w:val="24"/>
              </w:rPr>
              <w:t>签订时间：      年　 月　 日</w:t>
            </w:r>
          </w:p>
        </w:tc>
        <w:tc>
          <w:tcPr>
            <w:tcW w:w="4609" w:type="dxa"/>
            <w:noWrap/>
            <w:vAlign w:val="center"/>
          </w:tcPr>
          <w:p w14:paraId="76042B95">
            <w:pPr>
              <w:widowControl/>
              <w:rPr>
                <w:color w:val="auto"/>
                <w:sz w:val="24"/>
              </w:rPr>
            </w:pPr>
            <w:r>
              <w:rPr>
                <w:rFonts w:hint="eastAsia"/>
                <w:color w:val="auto"/>
                <w:sz w:val="24"/>
              </w:rPr>
              <w:t>签订时间：      年 　 月　 日</w:t>
            </w:r>
          </w:p>
        </w:tc>
      </w:tr>
    </w:tbl>
    <w:p w14:paraId="2C04C863">
      <w:pPr>
        <w:rPr>
          <w:color w:val="auto"/>
        </w:rPr>
      </w:pPr>
    </w:p>
    <w:p w14:paraId="03889B2E">
      <w:pPr>
        <w:pStyle w:val="9"/>
        <w:spacing w:line="360" w:lineRule="auto"/>
        <w:ind w:firstLine="0"/>
        <w:rPr>
          <w:rFonts w:hint="eastAsia"/>
          <w:b/>
          <w:color w:val="auto"/>
          <w:sz w:val="24"/>
          <w:szCs w:val="24"/>
        </w:rPr>
      </w:pPr>
      <w:r>
        <w:rPr>
          <w:rFonts w:hint="eastAsia"/>
          <w:b/>
          <w:color w:val="auto"/>
          <w:sz w:val="24"/>
          <w:szCs w:val="24"/>
        </w:rPr>
        <w:t>注：本合同仅作示范文本，具体以双方</w:t>
      </w:r>
      <w:r>
        <w:rPr>
          <w:rFonts w:hint="eastAsia"/>
          <w:b/>
          <w:color w:val="auto"/>
          <w:sz w:val="24"/>
          <w:szCs w:val="24"/>
          <w:lang w:eastAsia="zh-CN"/>
        </w:rPr>
        <w:t>签订的</w:t>
      </w:r>
      <w:r>
        <w:rPr>
          <w:rFonts w:hint="eastAsia"/>
          <w:b/>
          <w:color w:val="auto"/>
          <w:sz w:val="24"/>
          <w:szCs w:val="24"/>
        </w:rPr>
        <w:t>正式合同为准，合同内容不得违背竞争性磋商文件、供应商响应文件及磋商现场承诺内容等实质性要求。</w:t>
      </w:r>
    </w:p>
    <w:p w14:paraId="53DF0EB0">
      <w:pPr>
        <w:pStyle w:val="37"/>
        <w:rPr>
          <w:rFonts w:hint="eastAsia"/>
          <w:b/>
          <w:color w:val="auto"/>
          <w:sz w:val="24"/>
          <w:szCs w:val="24"/>
        </w:rPr>
      </w:pPr>
    </w:p>
    <w:p w14:paraId="143D3D05">
      <w:pPr>
        <w:pStyle w:val="3"/>
        <w:tabs>
          <w:tab w:val="left" w:pos="1404"/>
        </w:tabs>
        <w:spacing w:before="54"/>
        <w:ind w:left="120"/>
        <w:jc w:val="center"/>
        <w:rPr>
          <w:rFonts w:hint="eastAsia"/>
          <w:color w:val="auto"/>
        </w:rPr>
      </w:pPr>
      <w:bookmarkStart w:id="70" w:name="_Toc10096"/>
    </w:p>
    <w:p w14:paraId="099E8BBC">
      <w:pPr>
        <w:pStyle w:val="3"/>
        <w:tabs>
          <w:tab w:val="left" w:pos="1404"/>
        </w:tabs>
        <w:spacing w:before="54"/>
        <w:ind w:left="120"/>
        <w:jc w:val="center"/>
        <w:rPr>
          <w:color w:val="auto"/>
        </w:rPr>
      </w:pPr>
      <w:r>
        <w:rPr>
          <w:rFonts w:hint="eastAsia"/>
          <w:color w:val="auto"/>
        </w:rPr>
        <w:t>第五章</w:t>
      </w:r>
      <w:r>
        <w:rPr>
          <w:rFonts w:hint="eastAsia"/>
          <w:color w:val="auto"/>
          <w:lang w:val="en-US" w:eastAsia="zh-CN"/>
        </w:rPr>
        <w:t xml:space="preserve"> </w:t>
      </w:r>
      <w:r>
        <w:rPr>
          <w:rFonts w:hint="eastAsia"/>
          <w:color w:val="auto"/>
        </w:rPr>
        <w:t>磋商相关文件格式</w:t>
      </w:r>
      <w:bookmarkEnd w:id="70"/>
    </w:p>
    <w:p w14:paraId="421B4E9E">
      <w:pPr>
        <w:pStyle w:val="2"/>
        <w:rPr>
          <w:b/>
          <w:color w:val="auto"/>
          <w:sz w:val="32"/>
        </w:rPr>
      </w:pPr>
    </w:p>
    <w:p w14:paraId="34C71B02">
      <w:pPr>
        <w:pStyle w:val="2"/>
        <w:spacing w:before="11"/>
        <w:rPr>
          <w:b/>
          <w:color w:val="auto"/>
          <w:sz w:val="27"/>
        </w:rPr>
      </w:pPr>
    </w:p>
    <w:p w14:paraId="38127968">
      <w:pPr>
        <w:rPr>
          <w:b/>
          <w:color w:val="auto"/>
          <w:sz w:val="27"/>
        </w:rPr>
      </w:pPr>
    </w:p>
    <w:p w14:paraId="67FE2EF3">
      <w:pPr>
        <w:pStyle w:val="13"/>
        <w:spacing w:before="120" w:after="120"/>
        <w:rPr>
          <w:rFonts w:ascii="仿宋" w:hAnsi="仿宋"/>
          <w:b/>
          <w:color w:val="auto"/>
          <w:sz w:val="27"/>
        </w:rPr>
      </w:pPr>
    </w:p>
    <w:p w14:paraId="2C004A7A">
      <w:pPr>
        <w:rPr>
          <w:b/>
          <w:color w:val="auto"/>
          <w:sz w:val="27"/>
        </w:rPr>
      </w:pPr>
    </w:p>
    <w:p w14:paraId="36BDD5C3">
      <w:pPr>
        <w:pStyle w:val="13"/>
        <w:spacing w:before="120" w:after="120"/>
        <w:rPr>
          <w:rFonts w:ascii="仿宋" w:hAnsi="仿宋"/>
          <w:b/>
          <w:color w:val="auto"/>
          <w:sz w:val="27"/>
        </w:rPr>
      </w:pPr>
    </w:p>
    <w:p w14:paraId="5150F122">
      <w:pPr>
        <w:rPr>
          <w:color w:val="auto"/>
        </w:rPr>
      </w:pPr>
    </w:p>
    <w:p w14:paraId="531A0DEE">
      <w:pPr>
        <w:pStyle w:val="4"/>
        <w:tabs>
          <w:tab w:val="left" w:pos="991"/>
        </w:tabs>
        <w:ind w:left="240"/>
        <w:rPr>
          <w:color w:val="auto"/>
        </w:rPr>
      </w:pPr>
      <w:bookmarkStart w:id="71" w:name="一___资格审查文件格式"/>
      <w:bookmarkEnd w:id="71"/>
      <w:bookmarkStart w:id="72" w:name="_Toc11578"/>
      <w:r>
        <w:rPr>
          <w:rFonts w:hint="eastAsia"/>
          <w:color w:val="auto"/>
        </w:rPr>
        <w:t>一</w:t>
      </w:r>
      <w:r>
        <w:rPr>
          <w:rFonts w:hint="eastAsia"/>
          <w:color w:val="auto"/>
          <w:lang w:val="en-US" w:eastAsia="zh-CN"/>
        </w:rPr>
        <w:t xml:space="preserve"> </w:t>
      </w:r>
      <w:r>
        <w:rPr>
          <w:rFonts w:hint="eastAsia"/>
          <w:color w:val="auto"/>
        </w:rPr>
        <w:t>资格审查文件格式</w:t>
      </w:r>
      <w:bookmarkEnd w:id="72"/>
    </w:p>
    <w:p w14:paraId="3D7DC68C">
      <w:pPr>
        <w:pStyle w:val="4"/>
        <w:tabs>
          <w:tab w:val="left" w:pos="991"/>
        </w:tabs>
        <w:ind w:left="240"/>
        <w:rPr>
          <w:color w:val="auto"/>
        </w:rPr>
        <w:sectPr>
          <w:headerReference r:id="rId7" w:type="default"/>
          <w:pgSz w:w="11910" w:h="16840"/>
          <w:pgMar w:top="1247" w:right="1247" w:bottom="1247" w:left="1587" w:header="884" w:footer="884" w:gutter="0"/>
          <w:pgNumType w:fmt="decimal"/>
          <w:cols w:space="0" w:num="1"/>
        </w:sectPr>
      </w:pPr>
    </w:p>
    <w:p w14:paraId="2DAFB8C3">
      <w:pPr>
        <w:spacing w:before="124"/>
        <w:ind w:left="561" w:right="439"/>
        <w:jc w:val="center"/>
        <w:rPr>
          <w:b/>
          <w:color w:val="auto"/>
          <w:sz w:val="36"/>
        </w:rPr>
      </w:pPr>
      <w:r>
        <w:rPr>
          <w:rFonts w:hint="eastAsia"/>
          <w:b/>
          <w:color w:val="auto"/>
          <w:sz w:val="36"/>
        </w:rPr>
        <w:t>资格审查文件封面</w:t>
      </w:r>
    </w:p>
    <w:p w14:paraId="49BF5523">
      <w:pPr>
        <w:pStyle w:val="2"/>
        <w:rPr>
          <w:b/>
          <w:color w:val="auto"/>
          <w:sz w:val="36"/>
        </w:rPr>
      </w:pPr>
    </w:p>
    <w:p w14:paraId="4A576D07">
      <w:pPr>
        <w:pStyle w:val="2"/>
        <w:rPr>
          <w:b/>
          <w:color w:val="auto"/>
          <w:sz w:val="36"/>
        </w:rPr>
      </w:pPr>
    </w:p>
    <w:p w14:paraId="396FC804">
      <w:pPr>
        <w:pStyle w:val="2"/>
        <w:spacing w:before="1"/>
        <w:rPr>
          <w:b/>
          <w:color w:val="auto"/>
          <w:sz w:val="38"/>
        </w:rPr>
      </w:pPr>
    </w:p>
    <w:p w14:paraId="46A653C7">
      <w:pPr>
        <w:spacing w:before="1"/>
        <w:ind w:left="2037"/>
        <w:rPr>
          <w:color w:val="auto"/>
          <w:sz w:val="36"/>
        </w:rPr>
      </w:pPr>
      <w:r>
        <w:rPr>
          <w:rFonts w:hint="eastAsia"/>
          <w:color w:val="auto"/>
          <w:sz w:val="36"/>
        </w:rPr>
        <w:t>项目编号：</w:t>
      </w:r>
    </w:p>
    <w:p w14:paraId="1B12A413">
      <w:pPr>
        <w:pStyle w:val="2"/>
        <w:rPr>
          <w:color w:val="auto"/>
          <w:sz w:val="36"/>
        </w:rPr>
      </w:pPr>
    </w:p>
    <w:p w14:paraId="74801A80">
      <w:pPr>
        <w:pStyle w:val="2"/>
        <w:rPr>
          <w:color w:val="auto"/>
          <w:sz w:val="36"/>
        </w:rPr>
      </w:pPr>
    </w:p>
    <w:p w14:paraId="30BEC32D">
      <w:pPr>
        <w:pStyle w:val="2"/>
        <w:rPr>
          <w:color w:val="auto"/>
          <w:sz w:val="36"/>
        </w:rPr>
      </w:pPr>
    </w:p>
    <w:p w14:paraId="5EF2EA01">
      <w:pPr>
        <w:pStyle w:val="2"/>
        <w:spacing w:before="10"/>
        <w:rPr>
          <w:color w:val="auto"/>
          <w:sz w:val="50"/>
        </w:rPr>
      </w:pPr>
    </w:p>
    <w:p w14:paraId="6A5D78B3">
      <w:pPr>
        <w:ind w:left="2037"/>
        <w:rPr>
          <w:color w:val="auto"/>
          <w:sz w:val="36"/>
        </w:rPr>
      </w:pPr>
      <w:r>
        <w:rPr>
          <w:rFonts w:hint="eastAsia"/>
          <w:color w:val="auto"/>
          <w:sz w:val="36"/>
        </w:rPr>
        <w:t>项目名称：</w:t>
      </w:r>
    </w:p>
    <w:p w14:paraId="7B2396F7">
      <w:pPr>
        <w:pStyle w:val="2"/>
        <w:rPr>
          <w:color w:val="auto"/>
          <w:sz w:val="36"/>
        </w:rPr>
      </w:pPr>
    </w:p>
    <w:p w14:paraId="234205A5">
      <w:pPr>
        <w:pStyle w:val="2"/>
        <w:rPr>
          <w:color w:val="auto"/>
          <w:sz w:val="36"/>
        </w:rPr>
      </w:pPr>
    </w:p>
    <w:p w14:paraId="0CAA24BB">
      <w:pPr>
        <w:pStyle w:val="2"/>
        <w:spacing w:before="1"/>
        <w:rPr>
          <w:color w:val="auto"/>
          <w:sz w:val="38"/>
        </w:rPr>
      </w:pPr>
    </w:p>
    <w:p w14:paraId="7B3800F0">
      <w:pPr>
        <w:ind w:left="2037"/>
        <w:rPr>
          <w:color w:val="auto"/>
          <w:sz w:val="36"/>
        </w:rPr>
      </w:pPr>
      <w:r>
        <w:rPr>
          <w:rFonts w:hint="eastAsia"/>
          <w:color w:val="auto"/>
          <w:sz w:val="36"/>
        </w:rPr>
        <w:t>响应文件名称：资格审查文件</w:t>
      </w:r>
    </w:p>
    <w:p w14:paraId="74DDDC36">
      <w:pPr>
        <w:pStyle w:val="2"/>
        <w:rPr>
          <w:color w:val="auto"/>
          <w:sz w:val="36"/>
        </w:rPr>
      </w:pPr>
    </w:p>
    <w:p w14:paraId="01D2E702">
      <w:pPr>
        <w:pStyle w:val="2"/>
        <w:rPr>
          <w:color w:val="auto"/>
          <w:sz w:val="36"/>
        </w:rPr>
      </w:pPr>
    </w:p>
    <w:p w14:paraId="058E1419">
      <w:pPr>
        <w:pStyle w:val="2"/>
        <w:rPr>
          <w:color w:val="auto"/>
          <w:sz w:val="36"/>
        </w:rPr>
      </w:pPr>
    </w:p>
    <w:p w14:paraId="4245E6A5">
      <w:pPr>
        <w:pStyle w:val="2"/>
        <w:spacing w:before="11"/>
        <w:rPr>
          <w:color w:val="auto"/>
          <w:sz w:val="50"/>
        </w:rPr>
      </w:pPr>
    </w:p>
    <w:p w14:paraId="6D69F9E9">
      <w:pPr>
        <w:ind w:left="2037"/>
        <w:rPr>
          <w:color w:val="auto"/>
          <w:sz w:val="36"/>
        </w:rPr>
      </w:pPr>
      <w:r>
        <w:rPr>
          <w:rFonts w:hint="eastAsia"/>
          <w:color w:val="auto"/>
          <w:sz w:val="36"/>
        </w:rPr>
        <w:t>供应商名称（CA 签章）：</w:t>
      </w:r>
    </w:p>
    <w:p w14:paraId="0D78757A">
      <w:pPr>
        <w:pStyle w:val="2"/>
        <w:rPr>
          <w:color w:val="auto"/>
          <w:sz w:val="36"/>
        </w:rPr>
      </w:pPr>
    </w:p>
    <w:p w14:paraId="3BBD59E4">
      <w:pPr>
        <w:pStyle w:val="2"/>
        <w:rPr>
          <w:color w:val="auto"/>
          <w:sz w:val="36"/>
        </w:rPr>
      </w:pPr>
    </w:p>
    <w:p w14:paraId="3697E749">
      <w:pPr>
        <w:pStyle w:val="2"/>
        <w:spacing w:before="1"/>
        <w:rPr>
          <w:color w:val="auto"/>
          <w:sz w:val="38"/>
        </w:rPr>
      </w:pPr>
    </w:p>
    <w:p w14:paraId="34CECED4">
      <w:pPr>
        <w:ind w:left="2037"/>
        <w:rPr>
          <w:color w:val="auto"/>
          <w:sz w:val="36"/>
        </w:rPr>
      </w:pPr>
      <w:r>
        <w:rPr>
          <w:rFonts w:hint="eastAsia"/>
          <w:color w:val="auto"/>
          <w:sz w:val="36"/>
        </w:rPr>
        <w:t>供应商地址：</w:t>
      </w:r>
    </w:p>
    <w:p w14:paraId="72C49ABB">
      <w:pPr>
        <w:rPr>
          <w:color w:val="auto"/>
          <w:sz w:val="36"/>
        </w:rPr>
        <w:sectPr>
          <w:pgSz w:w="11910" w:h="16840"/>
          <w:pgMar w:top="1247" w:right="1247" w:bottom="1247" w:left="1587" w:header="884" w:footer="884" w:gutter="0"/>
          <w:pgNumType w:fmt="decimal"/>
          <w:cols w:space="0" w:num="1"/>
        </w:sectPr>
      </w:pPr>
    </w:p>
    <w:p w14:paraId="387FFC43">
      <w:pPr>
        <w:pStyle w:val="2"/>
        <w:rPr>
          <w:color w:val="auto"/>
          <w:sz w:val="20"/>
        </w:rPr>
      </w:pPr>
    </w:p>
    <w:p w14:paraId="73EF4EDC">
      <w:pPr>
        <w:pStyle w:val="2"/>
        <w:rPr>
          <w:color w:val="auto"/>
          <w:sz w:val="20"/>
        </w:rPr>
      </w:pPr>
    </w:p>
    <w:p w14:paraId="71E84F62">
      <w:pPr>
        <w:pStyle w:val="2"/>
        <w:spacing w:before="4"/>
        <w:rPr>
          <w:color w:val="auto"/>
          <w:sz w:val="16"/>
        </w:rPr>
      </w:pPr>
    </w:p>
    <w:p w14:paraId="4F141D39">
      <w:pPr>
        <w:spacing w:before="55" w:line="480" w:lineRule="auto"/>
        <w:ind w:left="540"/>
        <w:jc w:val="center"/>
        <w:rPr>
          <w:b/>
          <w:color w:val="auto"/>
          <w:sz w:val="32"/>
        </w:rPr>
      </w:pPr>
      <w:r>
        <w:rPr>
          <w:rFonts w:hint="eastAsia"/>
          <w:b/>
          <w:color w:val="auto"/>
          <w:sz w:val="32"/>
        </w:rPr>
        <w:t>目 录</w:t>
      </w:r>
    </w:p>
    <w:p w14:paraId="59768698">
      <w:pPr>
        <w:pStyle w:val="3"/>
        <w:spacing w:line="360" w:lineRule="auto"/>
        <w:rPr>
          <w:rFonts w:hint="eastAsia"/>
          <w:b w:val="0"/>
          <w:bCs w:val="0"/>
          <w:color w:val="auto"/>
          <w:sz w:val="30"/>
          <w:szCs w:val="30"/>
          <w:highlight w:val="none"/>
          <w:lang w:val="en-US" w:eastAsia="zh-CN"/>
        </w:rPr>
      </w:pPr>
      <w:bookmarkStart w:id="73" w:name="_Toc14921"/>
      <w:bookmarkStart w:id="74" w:name="_Toc14291"/>
      <w:r>
        <w:rPr>
          <w:rFonts w:hint="eastAsia"/>
          <w:b w:val="0"/>
          <w:bCs w:val="0"/>
          <w:color w:val="auto"/>
          <w:sz w:val="30"/>
          <w:szCs w:val="30"/>
          <w:highlight w:val="none"/>
          <w:lang w:val="en-US" w:eastAsia="zh-CN"/>
        </w:rPr>
        <w:t>1.公司有效营业执照</w:t>
      </w:r>
      <w:bookmarkEnd w:id="73"/>
      <w:bookmarkEnd w:id="74"/>
    </w:p>
    <w:p w14:paraId="3607D6F6">
      <w:pPr>
        <w:pStyle w:val="3"/>
        <w:spacing w:line="360" w:lineRule="auto"/>
        <w:rPr>
          <w:rFonts w:hint="eastAsia"/>
          <w:b w:val="0"/>
          <w:bCs w:val="0"/>
          <w:color w:val="auto"/>
          <w:sz w:val="30"/>
          <w:szCs w:val="30"/>
          <w:highlight w:val="none"/>
          <w:lang w:val="en-US" w:eastAsia="zh-CN"/>
        </w:rPr>
      </w:pPr>
      <w:bookmarkStart w:id="75" w:name="_Toc11208"/>
      <w:bookmarkStart w:id="76" w:name="_Toc19764"/>
      <w:r>
        <w:rPr>
          <w:rFonts w:hint="eastAsia"/>
          <w:b w:val="0"/>
          <w:bCs w:val="0"/>
          <w:color w:val="auto"/>
          <w:sz w:val="30"/>
          <w:szCs w:val="30"/>
          <w:highlight w:val="none"/>
          <w:lang w:val="en-US" w:eastAsia="zh-CN"/>
        </w:rPr>
        <w:t>2.法定代表人资格证明书或授权委托书</w:t>
      </w:r>
      <w:bookmarkEnd w:id="75"/>
      <w:bookmarkEnd w:id="76"/>
    </w:p>
    <w:p w14:paraId="2A145051">
      <w:pPr>
        <w:pStyle w:val="3"/>
        <w:spacing w:line="360" w:lineRule="auto"/>
        <w:rPr>
          <w:rFonts w:hint="eastAsia"/>
          <w:b w:val="0"/>
          <w:bCs w:val="0"/>
          <w:color w:val="auto"/>
          <w:sz w:val="30"/>
          <w:szCs w:val="30"/>
          <w:highlight w:val="none"/>
          <w:lang w:val="en-US" w:eastAsia="zh-CN"/>
        </w:rPr>
      </w:pPr>
      <w:bookmarkStart w:id="77" w:name="_Toc9684"/>
      <w:bookmarkStart w:id="78" w:name="_Toc29049"/>
      <w:r>
        <w:rPr>
          <w:rFonts w:hint="eastAsia"/>
          <w:b w:val="0"/>
          <w:bCs w:val="0"/>
          <w:color w:val="auto"/>
          <w:sz w:val="30"/>
          <w:szCs w:val="30"/>
          <w:highlight w:val="none"/>
          <w:lang w:val="en-US" w:eastAsia="zh-CN"/>
        </w:rPr>
        <w:t>3.政府采购资格承诺函</w:t>
      </w:r>
      <w:bookmarkEnd w:id="77"/>
      <w:bookmarkEnd w:id="78"/>
    </w:p>
    <w:p w14:paraId="06199B6F">
      <w:pPr>
        <w:pStyle w:val="3"/>
        <w:spacing w:line="360" w:lineRule="auto"/>
        <w:rPr>
          <w:rFonts w:hint="eastAsia"/>
          <w:b w:val="0"/>
          <w:bCs w:val="0"/>
          <w:color w:val="auto"/>
          <w:sz w:val="30"/>
          <w:szCs w:val="30"/>
          <w:highlight w:val="none"/>
          <w:lang w:val="en-US" w:eastAsia="zh-CN"/>
        </w:rPr>
      </w:pPr>
      <w:bookmarkStart w:id="79" w:name="_Toc25932"/>
      <w:bookmarkStart w:id="80" w:name="_Toc18971"/>
      <w:r>
        <w:rPr>
          <w:rFonts w:hint="eastAsia"/>
          <w:b w:val="0"/>
          <w:bCs w:val="0"/>
          <w:color w:val="auto"/>
          <w:sz w:val="30"/>
          <w:szCs w:val="30"/>
          <w:highlight w:val="none"/>
          <w:lang w:val="en-US" w:eastAsia="zh-CN"/>
        </w:rPr>
        <w:t>4.资格声明</w:t>
      </w:r>
      <w:bookmarkEnd w:id="79"/>
      <w:bookmarkEnd w:id="80"/>
    </w:p>
    <w:p w14:paraId="648BA1F9">
      <w:pPr>
        <w:spacing w:line="360" w:lineRule="auto"/>
        <w:rPr>
          <w:b w:val="0"/>
          <w:bCs w:val="0"/>
          <w:color w:val="auto"/>
          <w:sz w:val="30"/>
          <w:szCs w:val="30"/>
          <w:lang w:val="en-US"/>
        </w:rPr>
      </w:pPr>
    </w:p>
    <w:p w14:paraId="5E800B5D">
      <w:pPr>
        <w:rPr>
          <w:color w:val="auto"/>
          <w:lang w:val="en-US"/>
        </w:rPr>
        <w:sectPr>
          <w:pgSz w:w="11910" w:h="16840"/>
          <w:pgMar w:top="1247" w:right="1247" w:bottom="1247" w:left="1587" w:header="884" w:footer="884" w:gutter="0"/>
          <w:pgNumType w:fmt="decimal"/>
          <w:cols w:space="0" w:num="1"/>
        </w:sectPr>
      </w:pPr>
    </w:p>
    <w:p w14:paraId="3843A1DF">
      <w:pPr>
        <w:pStyle w:val="2"/>
        <w:spacing w:before="1"/>
        <w:rPr>
          <w:color w:val="auto"/>
          <w:sz w:val="17"/>
        </w:rPr>
      </w:pPr>
    </w:p>
    <w:p w14:paraId="6927B84B">
      <w:pPr>
        <w:spacing w:before="58"/>
        <w:ind w:left="561" w:right="127"/>
        <w:jc w:val="center"/>
        <w:rPr>
          <w:b/>
          <w:color w:val="auto"/>
          <w:sz w:val="30"/>
        </w:rPr>
      </w:pPr>
      <w:r>
        <w:rPr>
          <w:rFonts w:hint="eastAsia"/>
          <w:b/>
          <w:color w:val="auto"/>
          <w:sz w:val="30"/>
        </w:rPr>
        <w:t>▲1</w:t>
      </w:r>
      <w:r>
        <w:rPr>
          <w:rFonts w:hint="eastAsia"/>
          <w:b/>
          <w:color w:val="auto"/>
          <w:sz w:val="30"/>
          <w:lang w:val="en-US" w:eastAsia="zh-CN"/>
        </w:rPr>
        <w:t>.</w:t>
      </w:r>
      <w:r>
        <w:rPr>
          <w:rFonts w:hint="eastAsia"/>
          <w:b/>
          <w:color w:val="auto"/>
          <w:sz w:val="30"/>
        </w:rPr>
        <w:t>公司有效营业执照</w:t>
      </w:r>
    </w:p>
    <w:p w14:paraId="4D9FBFC8">
      <w:pPr>
        <w:pStyle w:val="2"/>
        <w:spacing w:before="11"/>
        <w:rPr>
          <w:b/>
          <w:color w:val="auto"/>
          <w:sz w:val="14"/>
        </w:rPr>
      </w:pPr>
    </w:p>
    <w:p w14:paraId="2C1A5FF9">
      <w:pPr>
        <w:spacing w:line="480" w:lineRule="auto"/>
        <w:rPr>
          <w:color w:val="auto"/>
          <w:sz w:val="20"/>
        </w:rPr>
      </w:pPr>
      <w:r>
        <w:rPr>
          <w:rFonts w:hint="eastAsia"/>
          <w:color w:val="auto"/>
          <w:sz w:val="28"/>
          <w:szCs w:val="28"/>
        </w:rPr>
        <w:t>要求：</w:t>
      </w:r>
    </w:p>
    <w:p w14:paraId="67638CF0">
      <w:pPr>
        <w:spacing w:line="480" w:lineRule="auto"/>
        <w:ind w:firstLine="560" w:firstLineChars="200"/>
        <w:rPr>
          <w:color w:val="auto"/>
          <w:sz w:val="28"/>
          <w:szCs w:val="28"/>
        </w:rPr>
      </w:pPr>
      <w:r>
        <w:rPr>
          <w:rFonts w:hint="eastAsia"/>
          <w:color w:val="auto"/>
          <w:sz w:val="28"/>
          <w:szCs w:val="28"/>
        </w:rPr>
        <w:t>提供有效的营业执照扫描件并加盖电子公章。</w:t>
      </w:r>
    </w:p>
    <w:p w14:paraId="12B11D4C">
      <w:pPr>
        <w:spacing w:line="480" w:lineRule="auto"/>
        <w:rPr>
          <w:color w:val="auto"/>
          <w:sz w:val="28"/>
          <w:szCs w:val="28"/>
        </w:rPr>
        <w:sectPr>
          <w:pgSz w:w="11910" w:h="16840"/>
          <w:pgMar w:top="1247" w:right="1247" w:bottom="1247" w:left="1587" w:header="884" w:footer="884" w:gutter="0"/>
          <w:pgNumType w:fmt="decimal"/>
          <w:cols w:space="0" w:num="1"/>
        </w:sectPr>
      </w:pPr>
    </w:p>
    <w:p w14:paraId="3CEAD061">
      <w:pPr>
        <w:pStyle w:val="2"/>
        <w:spacing w:before="5"/>
        <w:rPr>
          <w:color w:val="auto"/>
          <w:sz w:val="8"/>
        </w:rPr>
      </w:pPr>
    </w:p>
    <w:p w14:paraId="068D3F9F">
      <w:pPr>
        <w:spacing w:before="58"/>
        <w:ind w:left="561" w:right="439"/>
        <w:jc w:val="center"/>
        <w:rPr>
          <w:b/>
          <w:color w:val="auto"/>
          <w:sz w:val="30"/>
        </w:rPr>
      </w:pPr>
      <w:r>
        <w:rPr>
          <w:rFonts w:hint="eastAsia"/>
          <w:color w:val="auto"/>
          <w:sz w:val="24"/>
        </w:rPr>
        <w:t>▲</w:t>
      </w:r>
      <w:r>
        <w:rPr>
          <w:rFonts w:hint="eastAsia"/>
          <w:b/>
          <w:color w:val="auto"/>
          <w:sz w:val="30"/>
        </w:rPr>
        <w:t>2</w:t>
      </w:r>
      <w:r>
        <w:rPr>
          <w:rFonts w:hint="eastAsia"/>
          <w:b/>
          <w:color w:val="auto"/>
          <w:sz w:val="30"/>
          <w:lang w:val="en-US" w:eastAsia="zh-CN"/>
        </w:rPr>
        <w:t>.</w:t>
      </w:r>
      <w:r>
        <w:rPr>
          <w:rFonts w:hint="eastAsia"/>
          <w:b/>
          <w:color w:val="auto"/>
          <w:sz w:val="30"/>
        </w:rPr>
        <w:t>法定代表人资格证明书或授权委托书</w:t>
      </w:r>
    </w:p>
    <w:p w14:paraId="5F6B9AD9">
      <w:pPr>
        <w:pStyle w:val="43"/>
        <w:numPr>
          <w:ilvl w:val="1"/>
          <w:numId w:val="17"/>
        </w:numPr>
        <w:tabs>
          <w:tab w:val="left" w:pos="3812"/>
        </w:tabs>
        <w:spacing w:before="239"/>
        <w:ind w:hanging="529"/>
        <w:jc w:val="left"/>
        <w:rPr>
          <w:b/>
          <w:color w:val="auto"/>
          <w:sz w:val="30"/>
        </w:rPr>
      </w:pPr>
      <w:r>
        <w:rPr>
          <w:rFonts w:hint="eastAsia"/>
          <w:b/>
          <w:color w:val="auto"/>
          <w:sz w:val="30"/>
        </w:rPr>
        <w:t>法定代表人资格证明书</w:t>
      </w:r>
    </w:p>
    <w:p w14:paraId="7B988ECD">
      <w:pPr>
        <w:pStyle w:val="2"/>
        <w:rPr>
          <w:b/>
          <w:color w:val="auto"/>
          <w:sz w:val="20"/>
        </w:rPr>
      </w:pPr>
    </w:p>
    <w:p w14:paraId="5A90B06E">
      <w:pPr>
        <w:pStyle w:val="2"/>
        <w:rPr>
          <w:b/>
          <w:color w:val="auto"/>
          <w:sz w:val="20"/>
        </w:rPr>
      </w:pPr>
    </w:p>
    <w:p w14:paraId="7FE40DB9">
      <w:pPr>
        <w:pStyle w:val="2"/>
        <w:spacing w:before="5"/>
        <w:rPr>
          <w:b/>
          <w:color w:val="auto"/>
          <w:sz w:val="17"/>
        </w:rPr>
      </w:pPr>
    </w:p>
    <w:p w14:paraId="4E21BA6A">
      <w:pPr>
        <w:pStyle w:val="2"/>
        <w:spacing w:before="66" w:line="608" w:lineRule="auto"/>
        <w:ind w:firstLine="240" w:firstLineChars="100"/>
        <w:rPr>
          <w:color w:val="auto"/>
          <w:lang w:val="en-US"/>
        </w:rPr>
      </w:pPr>
      <w:r>
        <w:rPr>
          <w:rFonts w:hint="eastAsia"/>
          <w:color w:val="auto"/>
        </w:rPr>
        <w:t xml:space="preserve">单位名称： </w:t>
      </w:r>
    </w:p>
    <w:p w14:paraId="76D6FABF">
      <w:pPr>
        <w:pStyle w:val="2"/>
        <w:spacing w:before="66" w:line="608" w:lineRule="auto"/>
        <w:ind w:firstLine="240" w:firstLineChars="100"/>
        <w:rPr>
          <w:color w:val="auto"/>
        </w:rPr>
      </w:pPr>
      <w:r>
        <w:rPr>
          <w:rFonts w:hint="eastAsia"/>
          <w:color w:val="auto"/>
        </w:rPr>
        <w:t>地址：</w:t>
      </w:r>
    </w:p>
    <w:p w14:paraId="0FCE5420">
      <w:pPr>
        <w:pStyle w:val="2"/>
        <w:tabs>
          <w:tab w:val="left" w:pos="3239"/>
          <w:tab w:val="left" w:pos="5159"/>
          <w:tab w:val="left" w:pos="7079"/>
        </w:tabs>
        <w:spacing w:line="307" w:lineRule="exact"/>
        <w:ind w:firstLine="240" w:firstLineChars="100"/>
        <w:rPr>
          <w:color w:val="auto"/>
        </w:rPr>
      </w:pPr>
      <w:r>
        <w:rPr>
          <w:rFonts w:hint="eastAsia"/>
          <w:color w:val="auto"/>
        </w:rPr>
        <w:t>姓名：</w:t>
      </w:r>
      <w:r>
        <w:rPr>
          <w:rFonts w:hint="eastAsia"/>
          <w:color w:val="auto"/>
        </w:rPr>
        <w:tab/>
      </w:r>
      <w:r>
        <w:rPr>
          <w:rFonts w:hint="eastAsia"/>
          <w:color w:val="auto"/>
        </w:rPr>
        <w:t>性别：</w:t>
      </w:r>
      <w:r>
        <w:rPr>
          <w:rFonts w:hint="eastAsia"/>
          <w:color w:val="auto"/>
        </w:rPr>
        <w:tab/>
      </w:r>
      <w:r>
        <w:rPr>
          <w:rFonts w:hint="eastAsia"/>
          <w:color w:val="auto"/>
        </w:rPr>
        <w:t>年龄：</w:t>
      </w:r>
      <w:r>
        <w:rPr>
          <w:rFonts w:hint="eastAsia"/>
          <w:color w:val="auto"/>
        </w:rPr>
        <w:tab/>
      </w:r>
      <w:r>
        <w:rPr>
          <w:rFonts w:hint="eastAsia"/>
          <w:color w:val="auto"/>
        </w:rPr>
        <w:t>职务：</w:t>
      </w:r>
    </w:p>
    <w:p w14:paraId="15A7F9A1">
      <w:pPr>
        <w:pStyle w:val="2"/>
        <w:rPr>
          <w:color w:val="auto"/>
        </w:rPr>
      </w:pPr>
    </w:p>
    <w:p w14:paraId="69AB1A18">
      <w:pPr>
        <w:pStyle w:val="2"/>
        <w:tabs>
          <w:tab w:val="left" w:pos="3251"/>
        </w:tabs>
        <w:spacing w:line="360" w:lineRule="auto"/>
        <w:ind w:firstLine="480" w:firstLineChars="200"/>
        <w:rPr>
          <w:color w:val="auto"/>
        </w:rPr>
      </w:pPr>
      <w:r>
        <w:rPr>
          <w:rFonts w:hint="eastAsia"/>
          <w:color w:val="auto"/>
        </w:rPr>
        <w:t>系</w:t>
      </w:r>
      <w:r>
        <w:rPr>
          <w:rFonts w:hint="eastAsia"/>
          <w:color w:val="auto"/>
          <w:u w:val="single"/>
        </w:rPr>
        <w:tab/>
      </w:r>
      <w:r>
        <w:rPr>
          <w:rFonts w:hint="eastAsia"/>
          <w:color w:val="auto"/>
          <w:u w:val="single"/>
        </w:rPr>
        <w:t>（供应商全称）</w:t>
      </w:r>
      <w:r>
        <w:rPr>
          <w:rFonts w:hint="eastAsia"/>
          <w:color w:val="auto"/>
        </w:rPr>
        <w:t>的法定代表人。为参加就贵方组织的有关</w:t>
      </w:r>
      <w:r>
        <w:rPr>
          <w:rFonts w:hint="eastAsia"/>
          <w:color w:val="auto"/>
          <w:u w:val="single"/>
        </w:rPr>
        <w:t>（采购项目名称）（项目编号：</w:t>
      </w:r>
      <w:r>
        <w:rPr>
          <w:rFonts w:hint="eastAsia"/>
          <w:color w:val="auto"/>
          <w:u w:val="single"/>
        </w:rPr>
        <w:tab/>
      </w:r>
      <w:r>
        <w:rPr>
          <w:rFonts w:hint="eastAsia"/>
          <w:color w:val="auto"/>
          <w:u w:val="single"/>
        </w:rPr>
        <w:t>）</w:t>
      </w:r>
      <w:r>
        <w:rPr>
          <w:rFonts w:hint="eastAsia"/>
          <w:color w:val="auto"/>
        </w:rPr>
        <w:t>项目的磋商活动，签署并全权办理针对上述项目的磋商、评标、签约等具体事务和签署相关文件。</w:t>
      </w:r>
    </w:p>
    <w:p w14:paraId="032E3A95">
      <w:pPr>
        <w:pStyle w:val="2"/>
        <w:spacing w:before="7"/>
        <w:rPr>
          <w:color w:val="auto"/>
          <w:sz w:val="30"/>
        </w:rPr>
      </w:pPr>
    </w:p>
    <w:p w14:paraId="0169CACD">
      <w:pPr>
        <w:pStyle w:val="2"/>
        <w:spacing w:before="1"/>
        <w:ind w:left="960"/>
        <w:rPr>
          <w:color w:val="auto"/>
        </w:rPr>
      </w:pPr>
      <w:r>
        <w:rPr>
          <w:rFonts w:hint="eastAsia"/>
          <w:color w:val="auto"/>
        </w:rPr>
        <w:t>特此证明。</w:t>
      </w:r>
    </w:p>
    <w:p w14:paraId="4A5E3119">
      <w:pPr>
        <w:pStyle w:val="2"/>
        <w:rPr>
          <w:color w:val="auto"/>
        </w:rPr>
      </w:pPr>
    </w:p>
    <w:p w14:paraId="3286F2F3">
      <w:pPr>
        <w:pStyle w:val="2"/>
        <w:spacing w:before="162"/>
        <w:ind w:left="4860"/>
        <w:rPr>
          <w:color w:val="auto"/>
        </w:rPr>
      </w:pPr>
      <w:r>
        <w:rPr>
          <w:rFonts w:hint="eastAsia"/>
          <w:color w:val="auto"/>
        </w:rPr>
        <w:t>供应商：</w:t>
      </w:r>
      <w:r>
        <w:rPr>
          <w:rFonts w:hint="eastAsia"/>
          <w:color w:val="auto"/>
          <w:lang w:eastAsia="zh-CN"/>
        </w:rPr>
        <w:t>（</w:t>
      </w:r>
      <w:r>
        <w:rPr>
          <w:rFonts w:hint="eastAsia"/>
          <w:color w:val="auto"/>
        </w:rPr>
        <w:t>盖章</w:t>
      </w:r>
      <w:r>
        <w:rPr>
          <w:rFonts w:hint="eastAsia"/>
          <w:color w:val="auto"/>
          <w:lang w:eastAsia="zh-CN"/>
        </w:rPr>
        <w:t>）</w:t>
      </w:r>
    </w:p>
    <w:p w14:paraId="229B8DFE">
      <w:pPr>
        <w:pStyle w:val="2"/>
        <w:rPr>
          <w:color w:val="auto"/>
        </w:rPr>
      </w:pPr>
    </w:p>
    <w:p w14:paraId="795378DB">
      <w:pPr>
        <w:pStyle w:val="2"/>
        <w:tabs>
          <w:tab w:val="left" w:pos="6419"/>
          <w:tab w:val="left" w:pos="7379"/>
          <w:tab w:val="left" w:pos="8159"/>
        </w:tabs>
        <w:spacing w:before="163"/>
        <w:ind w:left="4860"/>
        <w:rPr>
          <w:color w:val="auto"/>
        </w:rPr>
      </w:pPr>
      <w:r>
        <w:rPr>
          <w:rFonts w:hint="eastAsia"/>
          <w:color w:val="auto"/>
        </w:rPr>
        <w:t>日期：</w:t>
      </w:r>
      <w:r>
        <w:rPr>
          <w:rFonts w:hint="eastAsia"/>
          <w:color w:val="auto"/>
          <w:u w:val="single"/>
        </w:rPr>
        <w:tab/>
      </w:r>
      <w:r>
        <w:rPr>
          <w:rFonts w:hint="eastAsia"/>
          <w:color w:val="auto"/>
        </w:rPr>
        <w:t>年</w:t>
      </w:r>
      <w:r>
        <w:rPr>
          <w:rFonts w:hint="eastAsia"/>
          <w:color w:val="auto"/>
          <w:u w:val="single"/>
        </w:rPr>
        <w:tab/>
      </w:r>
      <w:r>
        <w:rPr>
          <w:rFonts w:hint="eastAsia"/>
          <w:color w:val="auto"/>
        </w:rPr>
        <w:t>月</w:t>
      </w:r>
      <w:r>
        <w:rPr>
          <w:rFonts w:hint="eastAsia"/>
          <w:color w:val="auto"/>
          <w:u w:val="single"/>
        </w:rPr>
        <w:tab/>
      </w:r>
      <w:r>
        <w:rPr>
          <w:rFonts w:hint="eastAsia"/>
          <w:color w:val="auto"/>
        </w:rPr>
        <w:t>日</w:t>
      </w:r>
    </w:p>
    <w:p w14:paraId="1F5C59CE">
      <w:pPr>
        <w:pStyle w:val="2"/>
        <w:spacing w:before="81" w:line="302" w:lineRule="auto"/>
        <w:ind w:left="115" w:right="508" w:firstLine="240"/>
        <w:rPr>
          <w:color w:val="auto"/>
        </w:rPr>
      </w:pPr>
      <w:r>
        <w:rPr>
          <w:rFonts w:hint="eastAsia"/>
          <w:color w:val="auto"/>
        </w:rPr>
        <w:t>▲本“法定代表人资格证明书”需附法定代表人身份证件扫描件，如扫描件不清晰或错误的，后果由供应商承担。</w:t>
      </w:r>
    </w:p>
    <w:p w14:paraId="37FFC3F1">
      <w:pPr>
        <w:spacing w:before="116" w:after="19"/>
        <w:ind w:left="540"/>
        <w:rPr>
          <w:color w:val="auto"/>
          <w:sz w:val="24"/>
        </w:rPr>
      </w:pPr>
      <w:r>
        <w:rPr>
          <w:rFonts w:hint="eastAsia"/>
          <w:b/>
          <w:color w:val="auto"/>
          <w:sz w:val="24"/>
        </w:rPr>
        <w:t>法定代表人</w:t>
      </w:r>
      <w:r>
        <w:rPr>
          <w:rFonts w:hint="eastAsia"/>
          <w:color w:val="auto"/>
          <w:sz w:val="24"/>
        </w:rPr>
        <w:t>身份证件扫描件：</w:t>
      </w:r>
    </w:p>
    <w:p w14:paraId="2FF9B1B0">
      <w:pPr>
        <w:pStyle w:val="2"/>
        <w:rPr>
          <w:color w:val="auto"/>
          <w:sz w:val="20"/>
        </w:rPr>
      </w:pPr>
      <w:r>
        <w:rPr>
          <w:color w:val="auto"/>
          <w:sz w:val="20"/>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7121D07F">
                            <w:pPr>
                              <w:pStyle w:val="2"/>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7121D07F">
                      <w:pPr>
                        <w:pStyle w:val="2"/>
                        <w:tabs>
                          <w:tab w:val="left" w:pos="4903"/>
                        </w:tabs>
                        <w:spacing w:before="111"/>
                        <w:ind w:left="223"/>
                        <w:jc w:val="both"/>
                      </w:pPr>
                      <w:r>
                        <w:t>正面：</w:t>
                      </w:r>
                      <w:r>
                        <w:tab/>
                      </w:r>
                      <w:r>
                        <w:t>反面：</w:t>
                      </w:r>
                    </w:p>
                  </w:txbxContent>
                </v:textbox>
                <w10:wrap type="none"/>
                <w10:anchorlock/>
              </v:rect>
            </w:pict>
          </mc:Fallback>
        </mc:AlternateContent>
      </w:r>
    </w:p>
    <w:p w14:paraId="7F12E976">
      <w:pPr>
        <w:rPr>
          <w:color w:val="auto"/>
          <w:sz w:val="20"/>
        </w:rPr>
        <w:sectPr>
          <w:pgSz w:w="11910" w:h="16840"/>
          <w:pgMar w:top="1247" w:right="1247" w:bottom="1247" w:left="1587" w:header="884" w:footer="884" w:gutter="0"/>
          <w:pgNumType w:fmt="decimal"/>
          <w:cols w:space="0" w:num="1"/>
        </w:sectPr>
      </w:pPr>
    </w:p>
    <w:p w14:paraId="7C44E1D7">
      <w:pPr>
        <w:pStyle w:val="2"/>
        <w:spacing w:before="5"/>
        <w:rPr>
          <w:color w:val="auto"/>
          <w:sz w:val="8"/>
        </w:rPr>
      </w:pPr>
    </w:p>
    <w:p w14:paraId="461DF67B">
      <w:pPr>
        <w:pStyle w:val="43"/>
        <w:numPr>
          <w:ilvl w:val="1"/>
          <w:numId w:val="17"/>
        </w:numPr>
        <w:tabs>
          <w:tab w:val="left" w:pos="4428"/>
        </w:tabs>
        <w:spacing w:before="58"/>
        <w:ind w:left="4428"/>
        <w:jc w:val="left"/>
        <w:rPr>
          <w:b/>
          <w:color w:val="auto"/>
          <w:sz w:val="30"/>
        </w:rPr>
      </w:pPr>
      <w:r>
        <w:rPr>
          <w:rFonts w:hint="eastAsia"/>
          <w:b/>
          <w:color w:val="auto"/>
          <w:sz w:val="30"/>
        </w:rPr>
        <w:t>授权委托书</w:t>
      </w:r>
    </w:p>
    <w:p w14:paraId="61F61A9D">
      <w:pPr>
        <w:pStyle w:val="2"/>
        <w:spacing w:before="232" w:line="360" w:lineRule="auto"/>
        <w:rPr>
          <w:color w:val="auto"/>
        </w:rPr>
      </w:pPr>
      <w:r>
        <w:rPr>
          <w:rFonts w:hint="eastAsia"/>
          <w:color w:val="auto"/>
          <w:u w:val="single"/>
        </w:rPr>
        <w:t xml:space="preserve">（代理机构名称） </w:t>
      </w:r>
      <w:r>
        <w:rPr>
          <w:rFonts w:hint="eastAsia"/>
          <w:color w:val="auto"/>
        </w:rPr>
        <w:t>：</w:t>
      </w:r>
    </w:p>
    <w:p w14:paraId="4E490437">
      <w:pPr>
        <w:pStyle w:val="2"/>
        <w:tabs>
          <w:tab w:val="left" w:pos="3004"/>
          <w:tab w:val="left" w:pos="4984"/>
          <w:tab w:val="left" w:pos="6227"/>
        </w:tabs>
        <w:spacing w:line="360" w:lineRule="auto"/>
        <w:ind w:firstLine="480" w:firstLineChars="200"/>
        <w:rPr>
          <w:color w:val="auto"/>
        </w:rPr>
      </w:pPr>
      <w:r>
        <w:rPr>
          <w:rFonts w:hint="eastAsia"/>
          <w:color w:val="auto"/>
        </w:rPr>
        <w:t>我</w:t>
      </w:r>
      <w:r>
        <w:rPr>
          <w:rFonts w:hint="eastAsia"/>
          <w:color w:val="auto"/>
          <w:u w:val="single"/>
        </w:rPr>
        <w:tab/>
      </w:r>
      <w:r>
        <w:rPr>
          <w:rFonts w:hint="eastAsia"/>
          <w:color w:val="auto"/>
          <w:u w:val="single"/>
        </w:rPr>
        <w:t>（</w:t>
      </w:r>
      <w:r>
        <w:rPr>
          <w:rFonts w:hint="eastAsia"/>
          <w:color w:val="auto"/>
        </w:rPr>
        <w:t>负责人姓名）系</w:t>
      </w:r>
      <w:r>
        <w:rPr>
          <w:rFonts w:hint="eastAsia"/>
          <w:color w:val="auto"/>
          <w:u w:val="single"/>
        </w:rPr>
        <w:tab/>
      </w:r>
      <w:r>
        <w:rPr>
          <w:rFonts w:hint="eastAsia"/>
          <w:color w:val="auto"/>
          <w:u w:val="single"/>
          <w:lang w:val="en-US" w:eastAsia="zh-CN"/>
        </w:rPr>
        <w:t xml:space="preserve">          </w:t>
      </w:r>
      <w:r>
        <w:rPr>
          <w:rFonts w:hint="eastAsia"/>
          <w:color w:val="auto"/>
        </w:rPr>
        <w:t>（供应商全称）的负责人，现授权委托本单位在职职工</w:t>
      </w:r>
      <w:r>
        <w:rPr>
          <w:rFonts w:hint="eastAsia"/>
          <w:color w:val="auto"/>
          <w:u w:val="single"/>
        </w:rPr>
        <w:tab/>
      </w:r>
      <w:r>
        <w:rPr>
          <w:rFonts w:hint="eastAsia"/>
          <w:color w:val="auto"/>
        </w:rPr>
        <w:t>（姓名）以我方的名义参加就贵方组织的</w:t>
      </w:r>
      <w:r>
        <w:rPr>
          <w:rFonts w:hint="eastAsia"/>
          <w:color w:val="auto"/>
          <w:u w:val="single"/>
        </w:rPr>
        <w:t>（采购项目名称）</w:t>
      </w:r>
      <w:r>
        <w:rPr>
          <w:rFonts w:hint="eastAsia"/>
          <w:color w:val="auto"/>
        </w:rPr>
        <w:t>（项目编号：</w:t>
      </w:r>
      <w:r>
        <w:rPr>
          <w:rFonts w:hint="eastAsia"/>
          <w:color w:val="auto"/>
          <w:u w:val="single"/>
        </w:rPr>
        <w:tab/>
      </w:r>
      <w:r>
        <w:rPr>
          <w:rFonts w:hint="eastAsia"/>
          <w:color w:val="auto"/>
        </w:rPr>
        <w:t>）项目的招标活动，并代表我方全权办理针对上述项目的招标、磋商、评审、签约等具体事务和签署相关文件。</w:t>
      </w:r>
    </w:p>
    <w:p w14:paraId="26CC8D11">
      <w:pPr>
        <w:pStyle w:val="2"/>
        <w:spacing w:line="360" w:lineRule="auto"/>
        <w:ind w:firstLine="480" w:firstLineChars="200"/>
        <w:rPr>
          <w:color w:val="auto"/>
        </w:rPr>
      </w:pPr>
      <w:r>
        <w:rPr>
          <w:rFonts w:hint="eastAsia"/>
          <w:color w:val="auto"/>
        </w:rPr>
        <w:t>我方对委托代理人的签字或盖章事项负全部责任。</w:t>
      </w:r>
    </w:p>
    <w:p w14:paraId="3BBC026F">
      <w:pPr>
        <w:pStyle w:val="2"/>
        <w:spacing w:line="360" w:lineRule="auto"/>
        <w:ind w:firstLine="480" w:firstLineChars="200"/>
        <w:rPr>
          <w:color w:val="auto"/>
        </w:rPr>
      </w:pPr>
      <w:r>
        <w:rPr>
          <w:rFonts w:hint="eastAsia"/>
          <w:color w:val="auto"/>
        </w:rPr>
        <w:t>本授权书自签署之日起生效，在撤销授权的书面通知送达贵方以前，本授权委托书一直有效。委托代理人在授权书有效期内签署的所有文件不因授权的撤销而失效。</w:t>
      </w:r>
    </w:p>
    <w:p w14:paraId="5A76CF5F">
      <w:pPr>
        <w:pStyle w:val="2"/>
        <w:spacing w:line="360" w:lineRule="auto"/>
        <w:ind w:firstLine="480" w:firstLineChars="200"/>
        <w:rPr>
          <w:color w:val="auto"/>
        </w:rPr>
      </w:pPr>
      <w:r>
        <w:rPr>
          <w:rFonts w:hint="eastAsia"/>
          <w:color w:val="auto"/>
        </w:rPr>
        <w:t>委托代理人无转委托权，特此声明。</w:t>
      </w:r>
    </w:p>
    <w:p w14:paraId="20F315B4">
      <w:pPr>
        <w:pStyle w:val="2"/>
        <w:rPr>
          <w:color w:val="auto"/>
        </w:rPr>
      </w:pPr>
    </w:p>
    <w:p w14:paraId="262E8354">
      <w:pPr>
        <w:pStyle w:val="2"/>
        <w:spacing w:before="10"/>
        <w:rPr>
          <w:color w:val="auto"/>
          <w:sz w:val="20"/>
        </w:rPr>
      </w:pPr>
    </w:p>
    <w:p w14:paraId="44A0A762">
      <w:pPr>
        <w:pStyle w:val="2"/>
        <w:tabs>
          <w:tab w:val="left" w:pos="3899"/>
        </w:tabs>
        <w:ind w:right="1224"/>
        <w:jc w:val="right"/>
        <w:rPr>
          <w:color w:val="auto"/>
        </w:rPr>
      </w:pPr>
      <w:r>
        <w:rPr>
          <w:rFonts w:hint="eastAsia"/>
          <w:color w:val="auto"/>
        </w:rPr>
        <w:t>负责人签字/盖章：</w:t>
      </w:r>
      <w:r>
        <w:rPr>
          <w:rFonts w:hint="eastAsia"/>
          <w:color w:val="auto"/>
          <w:u w:val="single"/>
        </w:rPr>
        <w:tab/>
      </w:r>
    </w:p>
    <w:p w14:paraId="14683B70">
      <w:pPr>
        <w:pStyle w:val="2"/>
        <w:tabs>
          <w:tab w:val="left" w:pos="3500"/>
        </w:tabs>
        <w:spacing w:before="131"/>
        <w:ind w:right="1184"/>
        <w:jc w:val="right"/>
        <w:rPr>
          <w:color w:val="auto"/>
        </w:rPr>
      </w:pPr>
      <w:r>
        <w:rPr>
          <w:rFonts w:hint="eastAsia"/>
          <w:color w:val="auto"/>
        </w:rPr>
        <w:t>供应商盖章：</w:t>
      </w:r>
      <w:r>
        <w:rPr>
          <w:rFonts w:hint="eastAsia"/>
          <w:color w:val="auto"/>
          <w:u w:val="single"/>
        </w:rPr>
        <w:tab/>
      </w:r>
    </w:p>
    <w:p w14:paraId="462CAF29">
      <w:pPr>
        <w:pStyle w:val="2"/>
        <w:tabs>
          <w:tab w:val="left" w:pos="760"/>
          <w:tab w:val="left" w:pos="3299"/>
        </w:tabs>
        <w:spacing w:before="135"/>
        <w:ind w:right="1104"/>
        <w:jc w:val="right"/>
        <w:rPr>
          <w:color w:val="auto"/>
        </w:rPr>
      </w:pPr>
      <w:r>
        <w:rPr>
          <w:rFonts w:hint="eastAsia"/>
          <w:color w:val="auto"/>
        </w:rPr>
        <w:t>日</w:t>
      </w:r>
      <w:r>
        <w:rPr>
          <w:rFonts w:hint="eastAsia"/>
          <w:color w:val="auto"/>
        </w:rPr>
        <w:tab/>
      </w:r>
      <w:r>
        <w:rPr>
          <w:rFonts w:hint="eastAsia"/>
          <w:color w:val="auto"/>
        </w:rPr>
        <w:t>期：</w:t>
      </w:r>
      <w:r>
        <w:rPr>
          <w:rFonts w:hint="eastAsia"/>
          <w:color w:val="auto"/>
          <w:u w:val="single"/>
        </w:rPr>
        <w:tab/>
      </w:r>
    </w:p>
    <w:p w14:paraId="39F551F8">
      <w:pPr>
        <w:pStyle w:val="2"/>
        <w:spacing w:line="360" w:lineRule="auto"/>
        <w:rPr>
          <w:color w:val="auto"/>
          <w:sz w:val="20"/>
        </w:rPr>
      </w:pPr>
    </w:p>
    <w:p w14:paraId="21B96F9D">
      <w:pPr>
        <w:pStyle w:val="2"/>
        <w:spacing w:before="2" w:line="360" w:lineRule="auto"/>
        <w:rPr>
          <w:color w:val="auto"/>
          <w:sz w:val="11"/>
        </w:rPr>
      </w:pPr>
    </w:p>
    <w:p w14:paraId="04288B01">
      <w:pPr>
        <w:pStyle w:val="2"/>
        <w:pBdr>
          <w:bottom w:val="single" w:color="auto" w:sz="4" w:space="0"/>
        </w:pBdr>
        <w:spacing w:before="2" w:line="360" w:lineRule="auto"/>
        <w:rPr>
          <w:color w:val="auto"/>
          <w:sz w:val="6"/>
        </w:rPr>
      </w:pPr>
    </w:p>
    <w:p w14:paraId="4BD94932">
      <w:pPr>
        <w:pStyle w:val="2"/>
        <w:tabs>
          <w:tab w:val="left" w:pos="5999"/>
        </w:tabs>
        <w:spacing w:before="67" w:line="345" w:lineRule="auto"/>
        <w:ind w:right="3265" w:firstLine="240" w:firstLineChars="100"/>
        <w:rPr>
          <w:color w:val="auto"/>
        </w:rPr>
      </w:pPr>
      <w:r>
        <w:rPr>
          <w:rFonts w:hint="eastAsia"/>
          <w:color w:val="auto"/>
        </w:rPr>
        <w:t>附：委托代理人工作单位：</w:t>
      </w:r>
    </w:p>
    <w:p w14:paraId="7ABAA088">
      <w:pPr>
        <w:pStyle w:val="2"/>
        <w:tabs>
          <w:tab w:val="left" w:pos="5999"/>
        </w:tabs>
        <w:spacing w:line="346" w:lineRule="auto"/>
        <w:ind w:firstLine="240" w:firstLineChars="100"/>
        <w:rPr>
          <w:color w:val="auto"/>
        </w:rPr>
      </w:pPr>
      <w:r>
        <w:rPr>
          <w:rFonts w:hint="eastAsia"/>
          <w:color w:val="auto"/>
        </w:rPr>
        <w:t>职务： 身份证号码： 性别：</w:t>
      </w:r>
    </w:p>
    <w:p w14:paraId="503E1338">
      <w:pPr>
        <w:pStyle w:val="2"/>
        <w:spacing w:before="9"/>
        <w:rPr>
          <w:color w:val="auto"/>
          <w:sz w:val="33"/>
        </w:rPr>
      </w:pPr>
    </w:p>
    <w:p w14:paraId="45BF2BD5">
      <w:pPr>
        <w:pStyle w:val="2"/>
        <w:spacing w:line="364" w:lineRule="auto"/>
        <w:ind w:right="417"/>
        <w:rPr>
          <w:color w:val="auto"/>
        </w:rPr>
      </w:pPr>
      <w:r>
        <w:rPr>
          <w:rFonts w:hint="eastAsia"/>
          <w:b w:val="0"/>
          <w:bCs/>
          <w:color w:val="auto"/>
        </w:rPr>
        <w:t>注：1</w:t>
      </w:r>
      <w:r>
        <w:rPr>
          <w:rFonts w:hint="eastAsia"/>
          <w:b w:val="0"/>
          <w:bCs/>
          <w:color w:val="auto"/>
          <w:lang w:val="en-US" w:eastAsia="zh-CN"/>
        </w:rPr>
        <w:t>.</w:t>
      </w:r>
      <w:r>
        <w:rPr>
          <w:rFonts w:hint="eastAsia"/>
          <w:b w:val="0"/>
          <w:bCs/>
          <w:color w:val="auto"/>
        </w:rPr>
        <w:t>供应</w:t>
      </w:r>
      <w:r>
        <w:rPr>
          <w:rFonts w:hint="eastAsia"/>
          <w:color w:val="auto"/>
        </w:rPr>
        <w:t>商为法人企业的，其负责人为其法定代表人；供应商为其他组织的， 其负责人为法律、行政法规规定代表单位行使职权的主要负责人。</w:t>
      </w:r>
    </w:p>
    <w:p w14:paraId="71A1A9E4">
      <w:pPr>
        <w:pStyle w:val="2"/>
        <w:spacing w:before="1"/>
        <w:ind w:firstLine="480" w:firstLineChars="200"/>
        <w:rPr>
          <w:color w:val="auto"/>
        </w:rPr>
      </w:pPr>
      <w:r>
        <w:rPr>
          <w:rFonts w:hint="eastAsia"/>
          <w:color w:val="auto"/>
        </w:rPr>
        <w:t>2</w:t>
      </w:r>
      <w:r>
        <w:rPr>
          <w:rFonts w:hint="eastAsia"/>
          <w:color w:val="auto"/>
          <w:lang w:val="en-US" w:eastAsia="zh-CN"/>
        </w:rPr>
        <w:t>.</w:t>
      </w:r>
      <w:r>
        <w:rPr>
          <w:rFonts w:hint="eastAsia"/>
          <w:color w:val="auto"/>
        </w:rPr>
        <w:t>委托人为上述条款中的负责人。</w:t>
      </w:r>
    </w:p>
    <w:p w14:paraId="2FA2CAE2">
      <w:pPr>
        <w:pStyle w:val="2"/>
        <w:spacing w:before="161" w:line="364" w:lineRule="auto"/>
        <w:ind w:right="417" w:firstLine="240" w:firstLineChars="100"/>
        <w:rPr>
          <w:color w:val="auto"/>
        </w:rPr>
      </w:pPr>
      <w:r>
        <w:rPr>
          <w:rFonts w:hint="eastAsia"/>
          <w:color w:val="auto"/>
        </w:rPr>
        <w:t>▲3</w:t>
      </w:r>
      <w:r>
        <w:rPr>
          <w:rFonts w:hint="eastAsia"/>
          <w:color w:val="auto"/>
          <w:lang w:val="en-US" w:eastAsia="zh-CN"/>
        </w:rPr>
        <w:t>.</w:t>
      </w:r>
      <w:r>
        <w:rPr>
          <w:rFonts w:hint="eastAsia"/>
          <w:color w:val="auto"/>
        </w:rPr>
        <w:t>本“授权委托书”需附负责人和委托代理人身份证件扫描件，如扫描件不清晰或错误的，后果由供应商承担。</w:t>
      </w:r>
    </w:p>
    <w:p w14:paraId="3092196D">
      <w:pPr>
        <w:spacing w:line="364" w:lineRule="auto"/>
        <w:rPr>
          <w:color w:val="auto"/>
        </w:rPr>
        <w:sectPr>
          <w:pgSz w:w="11910" w:h="16840"/>
          <w:pgMar w:top="1247" w:right="1247" w:bottom="1247" w:left="1587" w:header="884" w:footer="884" w:gutter="0"/>
          <w:pgNumType w:fmt="decimal"/>
          <w:cols w:space="0" w:num="1"/>
        </w:sectPr>
      </w:pPr>
    </w:p>
    <w:p w14:paraId="57964600">
      <w:pPr>
        <w:pStyle w:val="2"/>
        <w:spacing w:before="158" w:after="19"/>
        <w:rPr>
          <w:color w:val="auto"/>
        </w:rPr>
      </w:pPr>
      <w:r>
        <w:rPr>
          <w:rFonts w:hint="eastAsia"/>
          <w:color w:val="auto"/>
        </w:rPr>
        <w:t>负责人身份证件扫描件：</w:t>
      </w:r>
    </w:p>
    <w:p w14:paraId="35D75819">
      <w:pPr>
        <w:pStyle w:val="2"/>
        <w:rPr>
          <w:color w:val="auto"/>
          <w:sz w:val="20"/>
        </w:rPr>
      </w:pPr>
      <w:r>
        <w:rPr>
          <w:color w:val="auto"/>
          <w:sz w:val="20"/>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273FFBA1">
                            <w:pPr>
                              <w:pStyle w:val="2"/>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273FFBA1">
                      <w:pPr>
                        <w:pStyle w:val="2"/>
                        <w:tabs>
                          <w:tab w:val="left" w:pos="4782"/>
                        </w:tabs>
                        <w:spacing w:before="113"/>
                        <w:ind w:left="102"/>
                      </w:pPr>
                      <w:r>
                        <w:t>正面：</w:t>
                      </w:r>
                      <w:r>
                        <w:tab/>
                      </w:r>
                      <w:r>
                        <w:t>反面：</w:t>
                      </w:r>
                    </w:p>
                  </w:txbxContent>
                </v:textbox>
                <w10:wrap type="none"/>
                <w10:anchorlock/>
              </v:rect>
            </w:pict>
          </mc:Fallback>
        </mc:AlternateContent>
      </w:r>
    </w:p>
    <w:p w14:paraId="416BF3A9">
      <w:pPr>
        <w:pStyle w:val="2"/>
        <w:spacing w:before="74" w:after="19"/>
        <w:rPr>
          <w:color w:val="auto"/>
        </w:rPr>
      </w:pPr>
      <w:r>
        <w:rPr>
          <w:rFonts w:hint="eastAsia"/>
          <w:color w:val="auto"/>
        </w:rPr>
        <w:t>委托代理人身份证件扫描件：</w:t>
      </w:r>
    </w:p>
    <w:p w14:paraId="581B524E">
      <w:pPr>
        <w:pStyle w:val="2"/>
        <w:rPr>
          <w:color w:val="auto"/>
          <w:sz w:val="20"/>
        </w:rPr>
      </w:pPr>
      <w:r>
        <w:rPr>
          <w:color w:val="auto"/>
          <w:sz w:val="20"/>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59536B31">
                            <w:pPr>
                              <w:pStyle w:val="2"/>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59536B31">
                      <w:pPr>
                        <w:pStyle w:val="2"/>
                        <w:tabs>
                          <w:tab w:val="left" w:pos="4782"/>
                        </w:tabs>
                        <w:spacing w:before="113"/>
                        <w:ind w:left="102"/>
                      </w:pPr>
                      <w:r>
                        <w:t>正面：</w:t>
                      </w:r>
                      <w:r>
                        <w:tab/>
                      </w:r>
                      <w:r>
                        <w:t>反面：</w:t>
                      </w:r>
                    </w:p>
                  </w:txbxContent>
                </v:textbox>
                <w10:wrap type="none"/>
                <w10:anchorlock/>
              </v:rect>
            </w:pict>
          </mc:Fallback>
        </mc:AlternateContent>
      </w:r>
    </w:p>
    <w:p w14:paraId="0CBD09A1">
      <w:pPr>
        <w:rPr>
          <w:color w:val="auto"/>
          <w:sz w:val="20"/>
        </w:rPr>
        <w:sectPr>
          <w:pgSz w:w="11910" w:h="16840"/>
          <w:pgMar w:top="1247" w:right="1247" w:bottom="1247" w:left="1587" w:header="884" w:footer="884" w:gutter="0"/>
          <w:pgNumType w:fmt="decimal"/>
          <w:cols w:space="0" w:num="1"/>
        </w:sectPr>
      </w:pPr>
    </w:p>
    <w:p w14:paraId="1F1CA59F">
      <w:pPr>
        <w:pStyle w:val="2"/>
        <w:spacing w:before="10"/>
        <w:rPr>
          <w:color w:val="auto"/>
          <w:sz w:val="13"/>
        </w:rPr>
      </w:pPr>
    </w:p>
    <w:p w14:paraId="714BA355">
      <w:pPr>
        <w:spacing w:before="58"/>
        <w:ind w:left="561" w:right="547"/>
        <w:jc w:val="center"/>
        <w:rPr>
          <w:b/>
          <w:color w:val="auto"/>
          <w:sz w:val="30"/>
        </w:rPr>
      </w:pPr>
      <w:r>
        <w:rPr>
          <w:rFonts w:hint="eastAsia"/>
          <w:color w:val="auto"/>
          <w:sz w:val="24"/>
        </w:rPr>
        <w:t>▲</w:t>
      </w:r>
      <w:r>
        <w:rPr>
          <w:rFonts w:hint="eastAsia"/>
          <w:b/>
          <w:color w:val="auto"/>
          <w:sz w:val="30"/>
        </w:rPr>
        <w:t>3</w:t>
      </w:r>
      <w:r>
        <w:rPr>
          <w:rFonts w:hint="eastAsia"/>
          <w:b/>
          <w:color w:val="auto"/>
          <w:sz w:val="30"/>
          <w:lang w:val="en-US" w:eastAsia="zh-CN"/>
        </w:rPr>
        <w:t>.</w:t>
      </w:r>
      <w:r>
        <w:rPr>
          <w:rFonts w:hint="eastAsia"/>
          <w:b/>
          <w:color w:val="auto"/>
          <w:sz w:val="30"/>
        </w:rPr>
        <w:t>政府采购资格承诺函</w:t>
      </w:r>
    </w:p>
    <w:p w14:paraId="05E9AA51">
      <w:pPr>
        <w:pStyle w:val="2"/>
        <w:rPr>
          <w:b/>
          <w:color w:val="auto"/>
          <w:sz w:val="30"/>
        </w:rPr>
      </w:pPr>
    </w:p>
    <w:p w14:paraId="3925F776">
      <w:pPr>
        <w:pStyle w:val="2"/>
        <w:spacing w:before="11"/>
        <w:rPr>
          <w:b/>
          <w:color w:val="auto"/>
          <w:sz w:val="27"/>
        </w:rPr>
      </w:pPr>
    </w:p>
    <w:p w14:paraId="4A11D514">
      <w:pPr>
        <w:pStyle w:val="2"/>
        <w:tabs>
          <w:tab w:val="left" w:pos="4391"/>
          <w:tab w:val="left" w:pos="8603"/>
        </w:tabs>
        <w:spacing w:line="360" w:lineRule="auto"/>
        <w:ind w:firstLine="480" w:firstLineChars="200"/>
        <w:rPr>
          <w:color w:val="auto"/>
        </w:rPr>
      </w:pPr>
      <w:r>
        <w:rPr>
          <w:rFonts w:hint="eastAsia"/>
          <w:color w:val="auto"/>
        </w:rPr>
        <w:t>我单位</w:t>
      </w:r>
      <w:r>
        <w:rPr>
          <w:rFonts w:hint="eastAsia"/>
          <w:color w:val="auto"/>
          <w:u w:val="single"/>
        </w:rPr>
        <w:tab/>
      </w:r>
      <w:r>
        <w:rPr>
          <w:rFonts w:hint="eastAsia"/>
          <w:color w:val="auto"/>
          <w:u w:val="single"/>
        </w:rPr>
        <w:t>（供应商全称）</w:t>
      </w:r>
      <w:r>
        <w:rPr>
          <w:rFonts w:hint="eastAsia"/>
          <w:color w:val="auto"/>
        </w:rPr>
        <w:t>参与</w:t>
      </w:r>
      <w:r>
        <w:rPr>
          <w:rFonts w:hint="eastAsia"/>
          <w:color w:val="auto"/>
          <w:u w:val="single"/>
        </w:rPr>
        <w:tab/>
      </w:r>
      <w:r>
        <w:rPr>
          <w:rFonts w:hint="eastAsia"/>
          <w:color w:val="auto"/>
        </w:rPr>
        <w:t>采购项目（项目编号：</w:t>
      </w:r>
      <w:r>
        <w:rPr>
          <w:rFonts w:hint="eastAsia"/>
          <w:color w:val="auto"/>
          <w:u w:val="single"/>
        </w:rPr>
        <w:tab/>
      </w:r>
      <w:r>
        <w:rPr>
          <w:rFonts w:hint="eastAsia"/>
          <w:color w:val="auto"/>
        </w:rPr>
        <w:t xml:space="preserve">）磋商，郑重承诺具备下列条件： </w:t>
      </w:r>
    </w:p>
    <w:p w14:paraId="41D83213">
      <w:pPr>
        <w:pStyle w:val="2"/>
        <w:tabs>
          <w:tab w:val="left" w:pos="4391"/>
          <w:tab w:val="left" w:pos="8603"/>
        </w:tabs>
        <w:spacing w:line="360" w:lineRule="auto"/>
        <w:ind w:firstLine="480" w:firstLineChars="200"/>
        <w:rPr>
          <w:color w:val="auto"/>
        </w:rPr>
      </w:pPr>
      <w:r>
        <w:rPr>
          <w:rFonts w:hint="eastAsia"/>
          <w:color w:val="auto"/>
        </w:rPr>
        <w:t>1</w:t>
      </w:r>
      <w:r>
        <w:rPr>
          <w:rFonts w:hint="eastAsia"/>
          <w:color w:val="auto"/>
          <w:lang w:val="en-US" w:eastAsia="zh-CN"/>
        </w:rPr>
        <w:t>.</w:t>
      </w:r>
      <w:r>
        <w:rPr>
          <w:rFonts w:hint="eastAsia"/>
          <w:color w:val="auto"/>
        </w:rPr>
        <w:t>具有独立承担民事责任的能力；</w:t>
      </w:r>
    </w:p>
    <w:p w14:paraId="1EEBA370">
      <w:pPr>
        <w:pStyle w:val="43"/>
        <w:tabs>
          <w:tab w:val="left" w:pos="1261"/>
        </w:tabs>
        <w:spacing w:before="0" w:line="360" w:lineRule="auto"/>
        <w:ind w:left="0" w:firstLineChars="200"/>
        <w:rPr>
          <w:color w:val="auto"/>
        </w:rPr>
      </w:pPr>
      <w:r>
        <w:rPr>
          <w:rFonts w:hint="eastAsia"/>
          <w:color w:val="auto"/>
          <w:sz w:val="24"/>
          <w:lang w:val="en-US"/>
        </w:rPr>
        <w:t>2</w:t>
      </w:r>
      <w:r>
        <w:rPr>
          <w:rFonts w:hint="eastAsia"/>
          <w:color w:val="auto"/>
          <w:sz w:val="24"/>
          <w:lang w:val="en-US" w:eastAsia="zh-CN"/>
        </w:rPr>
        <w:t>.</w:t>
      </w:r>
      <w:r>
        <w:rPr>
          <w:rFonts w:hint="eastAsia"/>
          <w:color w:val="auto"/>
          <w:sz w:val="24"/>
        </w:rPr>
        <w:t>具有良好的商业信誉和健全的财务会计制度；</w:t>
      </w:r>
    </w:p>
    <w:p w14:paraId="22148B2E">
      <w:pPr>
        <w:pStyle w:val="43"/>
        <w:tabs>
          <w:tab w:val="left" w:pos="1261"/>
        </w:tabs>
        <w:spacing w:before="0" w:line="360" w:lineRule="auto"/>
        <w:ind w:left="0" w:firstLineChars="200"/>
        <w:rPr>
          <w:color w:val="auto"/>
        </w:rPr>
      </w:pPr>
      <w:r>
        <w:rPr>
          <w:rFonts w:hint="eastAsia"/>
          <w:color w:val="auto"/>
          <w:sz w:val="24"/>
          <w:lang w:val="en-US"/>
        </w:rPr>
        <w:t>3</w:t>
      </w:r>
      <w:r>
        <w:rPr>
          <w:rFonts w:hint="eastAsia"/>
          <w:color w:val="auto"/>
          <w:sz w:val="24"/>
          <w:lang w:val="en-US" w:eastAsia="zh-CN"/>
        </w:rPr>
        <w:t>.</w:t>
      </w:r>
      <w:r>
        <w:rPr>
          <w:rFonts w:hint="eastAsia"/>
          <w:color w:val="auto"/>
          <w:sz w:val="24"/>
        </w:rPr>
        <w:t>具有履行合同所必需的设备和专业技术能力；</w:t>
      </w:r>
    </w:p>
    <w:p w14:paraId="774E8F16">
      <w:pPr>
        <w:pStyle w:val="43"/>
        <w:tabs>
          <w:tab w:val="left" w:pos="1261"/>
        </w:tabs>
        <w:spacing w:before="0" w:line="360" w:lineRule="auto"/>
        <w:ind w:left="0" w:firstLineChars="200"/>
        <w:rPr>
          <w:color w:val="auto"/>
        </w:rPr>
      </w:pPr>
      <w:r>
        <w:rPr>
          <w:rFonts w:hint="eastAsia"/>
          <w:color w:val="auto"/>
          <w:sz w:val="24"/>
          <w:lang w:val="en-US"/>
        </w:rPr>
        <w:t>4</w:t>
      </w:r>
      <w:r>
        <w:rPr>
          <w:rFonts w:hint="eastAsia"/>
          <w:color w:val="auto"/>
          <w:sz w:val="24"/>
          <w:lang w:val="en-US" w:eastAsia="zh-CN"/>
        </w:rPr>
        <w:t>.</w:t>
      </w:r>
      <w:r>
        <w:rPr>
          <w:rFonts w:hint="eastAsia"/>
          <w:color w:val="auto"/>
          <w:sz w:val="24"/>
        </w:rPr>
        <w:t>有依法缴纳税收和社会保障资金的良好记录；</w:t>
      </w:r>
    </w:p>
    <w:p w14:paraId="5068BEEC">
      <w:pPr>
        <w:pStyle w:val="43"/>
        <w:tabs>
          <w:tab w:val="left" w:pos="1261"/>
        </w:tabs>
        <w:spacing w:before="0" w:line="360" w:lineRule="auto"/>
        <w:ind w:left="0" w:firstLineChars="200"/>
        <w:rPr>
          <w:color w:val="auto"/>
        </w:rPr>
      </w:pPr>
      <w:r>
        <w:rPr>
          <w:rFonts w:hint="eastAsia"/>
          <w:color w:val="auto"/>
          <w:sz w:val="24"/>
          <w:lang w:val="en-US"/>
        </w:rPr>
        <w:t>5</w:t>
      </w:r>
      <w:r>
        <w:rPr>
          <w:rFonts w:hint="eastAsia"/>
          <w:color w:val="auto"/>
          <w:sz w:val="24"/>
          <w:lang w:val="en-US" w:eastAsia="zh-CN"/>
        </w:rPr>
        <w:t>.</w:t>
      </w:r>
      <w:r>
        <w:rPr>
          <w:rFonts w:hint="eastAsia"/>
          <w:color w:val="auto"/>
          <w:sz w:val="24"/>
        </w:rPr>
        <w:t>参加本项目采购活动前三年内</w:t>
      </w:r>
      <w:r>
        <w:rPr>
          <w:rFonts w:hint="eastAsia"/>
          <w:color w:val="auto"/>
          <w:sz w:val="24"/>
          <w:lang w:eastAsia="zh-CN"/>
        </w:rPr>
        <w:t>，</w:t>
      </w:r>
      <w:r>
        <w:rPr>
          <w:rFonts w:hint="eastAsia"/>
          <w:color w:val="auto"/>
          <w:sz w:val="24"/>
        </w:rPr>
        <w:t>在经营活动中没有重大违法记录（包括行贿犯罪记录）。</w:t>
      </w:r>
    </w:p>
    <w:p w14:paraId="6CA88600">
      <w:pPr>
        <w:pStyle w:val="43"/>
        <w:tabs>
          <w:tab w:val="left" w:pos="1380"/>
        </w:tabs>
        <w:spacing w:before="0" w:line="360" w:lineRule="auto"/>
        <w:ind w:left="0" w:firstLineChars="200"/>
        <w:rPr>
          <w:b/>
          <w:color w:val="auto"/>
          <w:sz w:val="24"/>
        </w:rPr>
      </w:pPr>
      <w:r>
        <w:rPr>
          <w:rFonts w:hint="eastAsia"/>
          <w:color w:val="auto"/>
          <w:sz w:val="24"/>
          <w:lang w:val="en-US"/>
        </w:rPr>
        <w:t>6</w:t>
      </w:r>
      <w:r>
        <w:rPr>
          <w:rFonts w:hint="eastAsia"/>
          <w:color w:val="auto"/>
          <w:sz w:val="24"/>
          <w:lang w:val="en-US" w:eastAsia="zh-CN"/>
        </w:rPr>
        <w:t>.</w:t>
      </w:r>
      <w:r>
        <w:rPr>
          <w:rFonts w:hint="eastAsia"/>
          <w:color w:val="auto"/>
          <w:sz w:val="24"/>
        </w:rPr>
        <w:t>磋商截止时间前未被“信用中国”网站（</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）、中国政府采购网（</w:t>
      </w:r>
      <w:r>
        <w:rPr>
          <w:color w:val="auto"/>
        </w:rPr>
        <w:fldChar w:fldCharType="begin"/>
      </w:r>
      <w:r>
        <w:rPr>
          <w:color w:val="auto"/>
        </w:rPr>
        <w:instrText xml:space="preserve"> HYPERLINK "http://www.ccgp.gov.cn/" \h </w:instrText>
      </w:r>
      <w:r>
        <w:rPr>
          <w:color w:val="auto"/>
        </w:rPr>
        <w:fldChar w:fldCharType="separate"/>
      </w:r>
      <w:r>
        <w:rPr>
          <w:rFonts w:hint="eastAsia"/>
          <w:color w:val="auto"/>
          <w:sz w:val="24"/>
        </w:rPr>
        <w:t>www.ccgp.gov.cn</w:t>
      </w:r>
      <w:r>
        <w:rPr>
          <w:rFonts w:hint="eastAsia"/>
          <w:color w:val="auto"/>
          <w:sz w:val="24"/>
        </w:rPr>
        <w:fldChar w:fldCharType="end"/>
      </w:r>
      <w:r>
        <w:rPr>
          <w:rFonts w:hint="eastAsia"/>
          <w:color w:val="auto"/>
          <w:sz w:val="24"/>
        </w:rPr>
        <w:t>）列入失信被执行人、重大税收违法当事人名单、政府采购严重违法失信行为记录名单</w:t>
      </w:r>
      <w:r>
        <w:rPr>
          <w:rFonts w:hint="eastAsia"/>
          <w:b/>
          <w:color w:val="auto"/>
          <w:sz w:val="24"/>
        </w:rPr>
        <w:t>（注：本项内容以代理机构在资格审查现场查询为准）。</w:t>
      </w:r>
    </w:p>
    <w:p w14:paraId="4880CBE8">
      <w:pPr>
        <w:pStyle w:val="2"/>
        <w:spacing w:line="360" w:lineRule="auto"/>
        <w:ind w:firstLine="402" w:firstLineChars="200"/>
        <w:rPr>
          <w:b/>
          <w:color w:val="auto"/>
          <w:sz w:val="20"/>
        </w:rPr>
      </w:pPr>
    </w:p>
    <w:p w14:paraId="124AB33A">
      <w:pPr>
        <w:spacing w:line="360" w:lineRule="auto"/>
        <w:ind w:firstLine="482" w:firstLineChars="200"/>
        <w:rPr>
          <w:b/>
          <w:bCs/>
          <w:color w:val="auto"/>
          <w:sz w:val="24"/>
          <w:szCs w:val="24"/>
        </w:rPr>
      </w:pPr>
      <w:r>
        <w:rPr>
          <w:rFonts w:hint="eastAsia"/>
          <w:b/>
          <w:bCs/>
          <w:color w:val="auto"/>
          <w:sz w:val="24"/>
          <w:szCs w:val="24"/>
        </w:rPr>
        <w:t>如有虚假，采购人可取消我单位任何资格（磋商/中标（成交）/签订合同），我  单位对此无任何异议。</w:t>
      </w:r>
    </w:p>
    <w:p w14:paraId="2954B7F3">
      <w:pPr>
        <w:pStyle w:val="2"/>
        <w:spacing w:line="360" w:lineRule="auto"/>
        <w:ind w:firstLine="622" w:firstLineChars="200"/>
        <w:rPr>
          <w:b/>
          <w:color w:val="auto"/>
          <w:sz w:val="31"/>
        </w:rPr>
      </w:pPr>
    </w:p>
    <w:p w14:paraId="47CFF75C">
      <w:pPr>
        <w:spacing w:line="360" w:lineRule="auto"/>
        <w:ind w:firstLine="482" w:firstLineChars="200"/>
        <w:rPr>
          <w:b/>
          <w:bCs/>
          <w:color w:val="auto"/>
          <w:sz w:val="24"/>
          <w:szCs w:val="24"/>
        </w:rPr>
      </w:pPr>
      <w:r>
        <w:rPr>
          <w:rFonts w:hint="eastAsia"/>
          <w:b/>
          <w:bCs/>
          <w:color w:val="auto"/>
          <w:sz w:val="24"/>
          <w:szCs w:val="24"/>
        </w:rPr>
        <w:t>特此承诺！</w:t>
      </w:r>
    </w:p>
    <w:p w14:paraId="48471531">
      <w:pPr>
        <w:pStyle w:val="2"/>
        <w:spacing w:line="360" w:lineRule="auto"/>
        <w:ind w:firstLine="381" w:firstLineChars="200"/>
        <w:rPr>
          <w:b/>
          <w:color w:val="auto"/>
          <w:sz w:val="19"/>
        </w:rPr>
      </w:pPr>
    </w:p>
    <w:p w14:paraId="2F4A98C4">
      <w:pPr>
        <w:pStyle w:val="2"/>
        <w:spacing w:line="360" w:lineRule="auto"/>
        <w:ind w:firstLine="480" w:firstLineChars="200"/>
        <w:rPr>
          <w:color w:val="auto"/>
        </w:rPr>
      </w:pPr>
      <w:r>
        <w:rPr>
          <w:rFonts w:hint="eastAsia"/>
          <w:color w:val="auto"/>
        </w:rPr>
        <w:t>注：（1）参加政府采购活动的时间是指供应商参加本项目的政府采购活动时间（具体以磋商截止时间为准）。</w:t>
      </w:r>
    </w:p>
    <w:p w14:paraId="022CEE86">
      <w:pPr>
        <w:pStyle w:val="2"/>
        <w:spacing w:line="360" w:lineRule="auto"/>
        <w:ind w:firstLine="480" w:firstLineChars="200"/>
        <w:rPr>
          <w:color w:val="auto"/>
        </w:rPr>
      </w:pPr>
      <w:r>
        <w:rPr>
          <w:rFonts w:hint="eastAsia"/>
          <w:color w:val="auto"/>
        </w:rPr>
        <w:t>（2）本承诺函必须提供。</w:t>
      </w:r>
    </w:p>
    <w:p w14:paraId="02AE96A1">
      <w:pPr>
        <w:pStyle w:val="28"/>
        <w:spacing w:line="360" w:lineRule="auto"/>
        <w:ind w:firstLine="560"/>
        <w:rPr>
          <w:color w:val="auto"/>
        </w:rPr>
      </w:pPr>
    </w:p>
    <w:p w14:paraId="319926C5">
      <w:pPr>
        <w:pStyle w:val="27"/>
        <w:spacing w:after="0" w:line="360" w:lineRule="auto"/>
        <w:ind w:firstLine="480" w:firstLineChars="200"/>
        <w:rPr>
          <w:color w:val="auto"/>
        </w:rPr>
      </w:pPr>
    </w:p>
    <w:p w14:paraId="5811A63B">
      <w:pPr>
        <w:pStyle w:val="2"/>
        <w:tabs>
          <w:tab w:val="left" w:pos="8679"/>
        </w:tabs>
        <w:ind w:left="5020"/>
        <w:rPr>
          <w:color w:val="auto"/>
        </w:rPr>
      </w:pPr>
      <w:r>
        <w:rPr>
          <w:rFonts w:hint="eastAsia"/>
          <w:color w:val="auto"/>
        </w:rPr>
        <w:t>供应商盖章：</w:t>
      </w:r>
      <w:r>
        <w:rPr>
          <w:rFonts w:hint="eastAsia"/>
          <w:color w:val="auto"/>
          <w:u w:val="single"/>
        </w:rPr>
        <w:tab/>
      </w:r>
    </w:p>
    <w:p w14:paraId="67C4D611">
      <w:pPr>
        <w:pStyle w:val="2"/>
        <w:spacing w:before="11"/>
        <w:rPr>
          <w:color w:val="auto"/>
          <w:sz w:val="11"/>
        </w:rPr>
      </w:pPr>
    </w:p>
    <w:p w14:paraId="11017A77">
      <w:pPr>
        <w:ind w:firstLine="5060" w:firstLineChars="2300"/>
        <w:rPr>
          <w:rFonts w:hint="default" w:eastAsia="仿宋"/>
          <w:color w:val="auto"/>
          <w:lang w:val="en-US" w:eastAsia="zh-CN"/>
        </w:rPr>
        <w:sectPr>
          <w:pgSz w:w="11910" w:h="16840"/>
          <w:pgMar w:top="1247" w:right="1247" w:bottom="1247" w:left="1587" w:header="884" w:footer="884" w:gutter="0"/>
          <w:pgNumType w:fmt="decimal"/>
          <w:cols w:space="0" w:num="1"/>
        </w:sectPr>
      </w:pPr>
      <w:r>
        <w:rPr>
          <w:rFonts w:hint="eastAsia"/>
          <w:color w:val="auto"/>
        </w:rPr>
        <w:t>日</w:t>
      </w:r>
      <w:r>
        <w:rPr>
          <w:rFonts w:hint="eastAsia"/>
          <w:color w:val="auto"/>
        </w:rPr>
        <w:tab/>
      </w:r>
      <w:r>
        <w:rPr>
          <w:rFonts w:hint="eastAsia"/>
          <w:color w:val="auto"/>
        </w:rPr>
        <w:t>期：</w:t>
      </w:r>
      <w:r>
        <w:rPr>
          <w:rFonts w:hint="eastAsia"/>
          <w:color w:val="auto"/>
          <w:u w:val="single"/>
        </w:rPr>
        <w:tab/>
      </w:r>
      <w:r>
        <w:rPr>
          <w:rFonts w:hint="eastAsia"/>
          <w:color w:val="auto"/>
          <w:u w:val="single"/>
          <w:lang w:val="en-US" w:eastAsia="zh-CN"/>
        </w:rPr>
        <w:t xml:space="preserve">                    </w:t>
      </w:r>
    </w:p>
    <w:p w14:paraId="6F61BDE1">
      <w:pPr>
        <w:pStyle w:val="2"/>
        <w:spacing w:before="5"/>
        <w:rPr>
          <w:color w:val="auto"/>
          <w:sz w:val="8"/>
        </w:rPr>
      </w:pPr>
    </w:p>
    <w:p w14:paraId="556DD3BD">
      <w:pPr>
        <w:spacing w:before="58"/>
        <w:ind w:left="2067" w:right="1470"/>
        <w:jc w:val="center"/>
        <w:rPr>
          <w:b/>
          <w:color w:val="auto"/>
          <w:sz w:val="30"/>
        </w:rPr>
      </w:pPr>
      <w:r>
        <w:rPr>
          <w:rFonts w:hint="eastAsia"/>
          <w:color w:val="auto"/>
          <w:sz w:val="24"/>
        </w:rPr>
        <w:t>▲</w:t>
      </w:r>
      <w:r>
        <w:rPr>
          <w:rFonts w:hint="eastAsia"/>
          <w:b/>
          <w:color w:val="auto"/>
          <w:sz w:val="30"/>
        </w:rPr>
        <w:t>4</w:t>
      </w:r>
      <w:r>
        <w:rPr>
          <w:rFonts w:hint="eastAsia"/>
          <w:b/>
          <w:color w:val="auto"/>
          <w:sz w:val="30"/>
          <w:lang w:val="en-US" w:eastAsia="zh-CN"/>
        </w:rPr>
        <w:t>.</w:t>
      </w:r>
      <w:r>
        <w:rPr>
          <w:rFonts w:hint="eastAsia"/>
          <w:b/>
          <w:color w:val="auto"/>
          <w:sz w:val="30"/>
        </w:rPr>
        <w:t>资格声明</w:t>
      </w:r>
    </w:p>
    <w:p w14:paraId="2662624C">
      <w:pPr>
        <w:pStyle w:val="2"/>
        <w:rPr>
          <w:b/>
          <w:color w:val="auto"/>
          <w:sz w:val="23"/>
        </w:rPr>
      </w:pPr>
    </w:p>
    <w:p w14:paraId="4D15B1BA">
      <w:pPr>
        <w:pStyle w:val="2"/>
        <w:spacing w:line="300" w:lineRule="auto"/>
        <w:ind w:firstLine="480" w:firstLineChars="200"/>
        <w:rPr>
          <w:color w:val="auto"/>
        </w:rPr>
      </w:pPr>
      <w:r>
        <w:rPr>
          <w:rFonts w:hint="eastAsia"/>
          <w:color w:val="auto"/>
          <w:u w:val="single"/>
        </w:rPr>
        <w:t>（代理机构名称）</w:t>
      </w:r>
      <w:r>
        <w:rPr>
          <w:rFonts w:hint="eastAsia"/>
          <w:color w:val="auto"/>
        </w:rPr>
        <w:t>：</w:t>
      </w:r>
    </w:p>
    <w:p w14:paraId="1BBF62CF">
      <w:pPr>
        <w:pStyle w:val="2"/>
        <w:tabs>
          <w:tab w:val="left" w:pos="1019"/>
          <w:tab w:val="left" w:pos="2699"/>
          <w:tab w:val="left" w:pos="7859"/>
        </w:tabs>
        <w:spacing w:line="300" w:lineRule="auto"/>
        <w:ind w:firstLine="480" w:firstLineChars="200"/>
        <w:rPr>
          <w:color w:val="auto"/>
        </w:rPr>
      </w:pPr>
      <w:r>
        <w:rPr>
          <w:rFonts w:hint="eastAsia"/>
          <w:color w:val="auto"/>
          <w:u w:val="single"/>
        </w:rPr>
        <w:tab/>
      </w:r>
      <w:r>
        <w:rPr>
          <w:rFonts w:hint="eastAsia"/>
          <w:color w:val="auto"/>
          <w:u w:val="single"/>
          <w:lang w:eastAsia="zh-CN"/>
        </w:rPr>
        <w:t>（</w:t>
      </w:r>
      <w:r>
        <w:rPr>
          <w:rFonts w:hint="eastAsia"/>
          <w:color w:val="auto"/>
          <w:u w:val="single"/>
        </w:rPr>
        <w:t>供应商全称</w:t>
      </w:r>
      <w:r>
        <w:rPr>
          <w:rFonts w:hint="eastAsia"/>
          <w:color w:val="auto"/>
          <w:u w:val="single"/>
          <w:lang w:eastAsia="zh-CN"/>
        </w:rPr>
        <w:t>）</w:t>
      </w:r>
      <w:r>
        <w:rPr>
          <w:rFonts w:hint="eastAsia"/>
          <w:color w:val="auto"/>
          <w:u w:val="single"/>
        </w:rPr>
        <w:tab/>
      </w:r>
      <w:r>
        <w:rPr>
          <w:rFonts w:hint="eastAsia"/>
          <w:color w:val="auto"/>
        </w:rPr>
        <w:t>系中华人民共和国合法企业，经营地址</w:t>
      </w:r>
      <w:r>
        <w:rPr>
          <w:rFonts w:hint="eastAsia"/>
          <w:color w:val="auto"/>
          <w:u w:val="single"/>
        </w:rPr>
        <w:tab/>
      </w:r>
      <w:r>
        <w:rPr>
          <w:rFonts w:hint="eastAsia"/>
          <w:color w:val="auto"/>
        </w:rPr>
        <w:t>。</w:t>
      </w:r>
    </w:p>
    <w:p w14:paraId="41422F68">
      <w:pPr>
        <w:pStyle w:val="2"/>
        <w:spacing w:line="300" w:lineRule="auto"/>
        <w:ind w:firstLine="480" w:firstLineChars="200"/>
        <w:jc w:val="both"/>
        <w:rPr>
          <w:color w:val="auto"/>
        </w:rPr>
      </w:pPr>
      <w:r>
        <w:rPr>
          <w:rFonts w:hint="eastAsia"/>
          <w:color w:val="auto"/>
        </w:rPr>
        <w:t>我</w:t>
      </w:r>
      <w:r>
        <w:rPr>
          <w:rFonts w:hint="eastAsia"/>
          <w:color w:val="auto"/>
          <w:lang w:eastAsia="zh-CN"/>
        </w:rPr>
        <w:t>（</w:t>
      </w:r>
      <w:r>
        <w:rPr>
          <w:rFonts w:hint="eastAsia"/>
          <w:color w:val="auto"/>
          <w:u w:val="single"/>
        </w:rPr>
        <w:t>法定代表人或负责人名字</w:t>
      </w:r>
      <w:r>
        <w:rPr>
          <w:rFonts w:hint="eastAsia"/>
          <w:color w:val="auto"/>
          <w:u w:val="single"/>
          <w:lang w:eastAsia="zh-CN"/>
        </w:rPr>
        <w:t>）</w:t>
      </w:r>
      <w:r>
        <w:rPr>
          <w:rFonts w:hint="eastAsia"/>
          <w:color w:val="auto"/>
        </w:rPr>
        <w:t>系</w:t>
      </w:r>
      <w:r>
        <w:rPr>
          <w:rFonts w:hint="eastAsia"/>
          <w:color w:val="auto"/>
          <w:u w:val="single"/>
        </w:rPr>
        <w:t xml:space="preserve">    </w:t>
      </w:r>
      <w:r>
        <w:rPr>
          <w:rFonts w:hint="eastAsia"/>
          <w:color w:val="auto"/>
          <w:u w:val="single"/>
          <w:lang w:eastAsia="zh-CN"/>
        </w:rPr>
        <w:t>（</w:t>
      </w:r>
      <w:r>
        <w:rPr>
          <w:rFonts w:hint="eastAsia"/>
          <w:color w:val="auto"/>
          <w:u w:val="single"/>
        </w:rPr>
        <w:t>供应商名称</w:t>
      </w:r>
      <w:r>
        <w:rPr>
          <w:rFonts w:hint="eastAsia"/>
          <w:color w:val="auto"/>
          <w:u w:val="single"/>
          <w:lang w:eastAsia="zh-CN"/>
        </w:rPr>
        <w:t>）</w:t>
      </w:r>
      <w:r>
        <w:rPr>
          <w:rFonts w:hint="eastAsia"/>
          <w:color w:val="auto"/>
          <w:u w:val="single"/>
        </w:rPr>
        <w:t xml:space="preserve">      </w:t>
      </w:r>
      <w:r>
        <w:rPr>
          <w:rFonts w:hint="eastAsia"/>
          <w:color w:val="auto"/>
        </w:rPr>
        <w:t>为负责人，我方愿意参加贵方组织的</w:t>
      </w:r>
      <w:r>
        <w:rPr>
          <w:rFonts w:hint="eastAsia"/>
          <w:color w:val="auto"/>
          <w:u w:val="single"/>
        </w:rPr>
        <w:t xml:space="preserve">   （项目名称）（项目编号：   ）</w:t>
      </w:r>
      <w:r>
        <w:rPr>
          <w:rFonts w:hint="eastAsia"/>
          <w:color w:val="auto"/>
        </w:rPr>
        <w:t>的磋商。为便于贵方公正、择优地确定</w:t>
      </w:r>
      <w:r>
        <w:rPr>
          <w:rFonts w:hint="eastAsia"/>
          <w:color w:val="auto"/>
          <w:lang w:val="en-US"/>
        </w:rPr>
        <w:t>成交</w:t>
      </w:r>
      <w:r>
        <w:rPr>
          <w:rFonts w:hint="eastAsia"/>
          <w:color w:val="auto"/>
        </w:rPr>
        <w:t>人以及磋商产品和服务，我方就本次磋商有关事项证明如下：</w:t>
      </w:r>
    </w:p>
    <w:p w14:paraId="56251090">
      <w:pPr>
        <w:pStyle w:val="2"/>
        <w:spacing w:line="300" w:lineRule="auto"/>
        <w:ind w:firstLine="480" w:firstLineChars="200"/>
        <w:rPr>
          <w:color w:val="auto"/>
        </w:rPr>
      </w:pPr>
      <w:r>
        <w:rPr>
          <w:rFonts w:hint="eastAsia"/>
          <w:color w:val="auto"/>
        </w:rPr>
        <w:t>（一）名称及概况：</w:t>
      </w:r>
    </w:p>
    <w:p w14:paraId="32CA17E7">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1．企业名称：________________________________________________ </w:t>
      </w:r>
    </w:p>
    <w:p w14:paraId="081207AA">
      <w:pPr>
        <w:pStyle w:val="49"/>
        <w:spacing w:line="300" w:lineRule="auto"/>
        <w:ind w:firstLine="480" w:firstLineChars="200"/>
        <w:rPr>
          <w:rFonts w:ascii="仿宋" w:hAnsi="仿宋" w:eastAsia="仿宋" w:cs="仿宋"/>
          <w:b/>
          <w:bCs/>
          <w:color w:val="auto"/>
          <w:sz w:val="24"/>
        </w:rPr>
      </w:pPr>
      <w:r>
        <w:rPr>
          <w:rFonts w:hint="eastAsia" w:ascii="仿宋" w:hAnsi="仿宋" w:eastAsia="仿宋" w:cs="仿宋"/>
          <w:color w:val="auto"/>
          <w:sz w:val="24"/>
          <w:szCs w:val="21"/>
        </w:rPr>
        <w:t>银行开户名称：________________________________________________</w:t>
      </w:r>
    </w:p>
    <w:p w14:paraId="6561C169">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    开户银行：_________________________________________________ </w:t>
      </w:r>
    </w:p>
    <w:p w14:paraId="0DA76D9A">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    账    号：________________________________________________ </w:t>
      </w:r>
    </w:p>
    <w:p w14:paraId="45BA7CDE">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企业详细地址：________________________________________________ </w:t>
      </w:r>
    </w:p>
    <w:p w14:paraId="1D8A3D77">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    传    真： ________________________________________________</w:t>
      </w:r>
    </w:p>
    <w:p w14:paraId="01EED27D">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    电    话： ________________________________________________</w:t>
      </w:r>
    </w:p>
    <w:p w14:paraId="023BB4B9">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2．负责人姓名：___________________________________________ </w:t>
      </w:r>
    </w:p>
    <w:p w14:paraId="0408C40A">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3．项目联系人：姓名__________职务：______电话______手机______</w:t>
      </w:r>
    </w:p>
    <w:p w14:paraId="5775413F">
      <w:pPr>
        <w:pStyle w:val="49"/>
        <w:spacing w:line="300" w:lineRule="auto"/>
        <w:ind w:firstLine="480" w:firstLineChars="200"/>
        <w:rPr>
          <w:rFonts w:ascii="仿宋" w:hAnsi="仿宋" w:eastAsia="仿宋" w:cs="仿宋"/>
          <w:color w:val="auto"/>
          <w:sz w:val="24"/>
        </w:rPr>
      </w:pPr>
      <w:r>
        <w:rPr>
          <w:rFonts w:hint="eastAsia" w:ascii="仿宋" w:hAnsi="仿宋" w:eastAsia="仿宋" w:cs="仿宋"/>
          <w:color w:val="auto"/>
          <w:sz w:val="24"/>
          <w:szCs w:val="21"/>
        </w:rPr>
        <w:t>4．注册地址：________________________________________________</w:t>
      </w:r>
    </w:p>
    <w:p w14:paraId="55769C89">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5．注册资金：________________________________________________ </w:t>
      </w:r>
    </w:p>
    <w:p w14:paraId="0904341F">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自有资金：______________________________________________________</w:t>
      </w:r>
    </w:p>
    <w:p w14:paraId="1CE85653">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企业人数：______</w:t>
      </w:r>
      <w:r>
        <w:rPr>
          <w:rFonts w:hint="eastAsia" w:ascii="仿宋" w:hAnsi="仿宋" w:eastAsia="仿宋" w:cs="仿宋"/>
          <w:b/>
          <w:bCs/>
          <w:color w:val="auto"/>
          <w:sz w:val="24"/>
          <w:szCs w:val="21"/>
        </w:rPr>
        <w:t>_</w:t>
      </w:r>
      <w:r>
        <w:rPr>
          <w:rFonts w:hint="eastAsia" w:ascii="仿宋" w:hAnsi="仿宋" w:eastAsia="仿宋" w:cs="仿宋"/>
          <w:color w:val="auto"/>
          <w:sz w:val="24"/>
          <w:szCs w:val="21"/>
        </w:rPr>
        <w:t>人</w:t>
      </w:r>
    </w:p>
    <w:p w14:paraId="38A1DBA3">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6．企业性质：____________</w:t>
      </w:r>
    </w:p>
    <w:p w14:paraId="06083E20">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 xml:space="preserve">7．主要经营地点：________________________________________________ </w:t>
      </w:r>
    </w:p>
    <w:p w14:paraId="2DB3CA90">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如有派出机构，请列出名称及详细通讯地址如下：</w:t>
      </w:r>
    </w:p>
    <w:p w14:paraId="1342D56D">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8.必需的设备：_______________________________________________</w:t>
      </w:r>
    </w:p>
    <w:p w14:paraId="35FCBB74">
      <w:pPr>
        <w:pStyle w:val="49"/>
        <w:spacing w:line="300" w:lineRule="auto"/>
        <w:ind w:firstLine="480" w:firstLineChars="200"/>
        <w:jc w:val="left"/>
        <w:rPr>
          <w:rFonts w:ascii="仿宋" w:hAnsi="仿宋" w:eastAsia="仿宋" w:cs="仿宋"/>
          <w:color w:val="auto"/>
          <w:sz w:val="24"/>
          <w:szCs w:val="21"/>
        </w:rPr>
      </w:pPr>
      <w:r>
        <w:rPr>
          <w:rFonts w:hint="eastAsia" w:ascii="仿宋" w:hAnsi="仿宋" w:eastAsia="仿宋" w:cs="仿宋"/>
          <w:color w:val="auto"/>
          <w:sz w:val="24"/>
          <w:szCs w:val="21"/>
        </w:rPr>
        <w:t>9.专业技术能力的证明材料：__________________________</w:t>
      </w:r>
    </w:p>
    <w:p w14:paraId="38CD779F">
      <w:pPr>
        <w:pStyle w:val="49"/>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兹证明上述声明是真实、正确的，并提供了全部能提供的资料和数据，我们同意遵照贵方要求出示有关证明文件。</w:t>
      </w:r>
    </w:p>
    <w:p w14:paraId="628623B4">
      <w:pPr>
        <w:pStyle w:val="2"/>
        <w:spacing w:line="300" w:lineRule="auto"/>
        <w:ind w:firstLine="480" w:firstLineChars="200"/>
        <w:rPr>
          <w:color w:val="auto"/>
        </w:rPr>
      </w:pPr>
    </w:p>
    <w:p w14:paraId="4466F0F2">
      <w:pPr>
        <w:pStyle w:val="2"/>
        <w:spacing w:line="300" w:lineRule="auto"/>
        <w:ind w:firstLine="560" w:firstLineChars="200"/>
        <w:rPr>
          <w:color w:val="auto"/>
          <w:sz w:val="28"/>
        </w:rPr>
      </w:pPr>
    </w:p>
    <w:p w14:paraId="31101816">
      <w:pPr>
        <w:pStyle w:val="2"/>
        <w:tabs>
          <w:tab w:val="left" w:pos="8679"/>
        </w:tabs>
        <w:ind w:left="5020"/>
        <w:rPr>
          <w:color w:val="auto"/>
        </w:rPr>
      </w:pPr>
      <w:r>
        <w:rPr>
          <w:rFonts w:hint="eastAsia"/>
          <w:color w:val="auto"/>
        </w:rPr>
        <w:t>供应商盖章：</w:t>
      </w:r>
      <w:r>
        <w:rPr>
          <w:rFonts w:hint="eastAsia"/>
          <w:color w:val="auto"/>
          <w:u w:val="single"/>
        </w:rPr>
        <w:tab/>
      </w:r>
    </w:p>
    <w:p w14:paraId="58C1A120">
      <w:pPr>
        <w:pStyle w:val="2"/>
        <w:spacing w:before="11"/>
        <w:rPr>
          <w:color w:val="auto"/>
          <w:sz w:val="11"/>
        </w:rPr>
      </w:pPr>
    </w:p>
    <w:p w14:paraId="5B59721F">
      <w:pPr>
        <w:pStyle w:val="2"/>
        <w:tabs>
          <w:tab w:val="left" w:pos="6100"/>
          <w:tab w:val="left" w:pos="8639"/>
        </w:tabs>
        <w:spacing w:before="74"/>
        <w:ind w:left="5020"/>
        <w:rPr>
          <w:color w:val="auto"/>
        </w:rPr>
      </w:pPr>
      <w:r>
        <w:rPr>
          <w:rFonts w:hint="eastAsia"/>
          <w:color w:val="auto"/>
        </w:rPr>
        <w:t>日</w:t>
      </w:r>
      <w:r>
        <w:rPr>
          <w:rFonts w:hint="eastAsia"/>
          <w:color w:val="auto"/>
        </w:rPr>
        <w:tab/>
      </w:r>
      <w:r>
        <w:rPr>
          <w:rFonts w:hint="eastAsia"/>
          <w:color w:val="auto"/>
        </w:rPr>
        <w:t>期：</w:t>
      </w:r>
      <w:r>
        <w:rPr>
          <w:rFonts w:hint="eastAsia"/>
          <w:color w:val="auto"/>
          <w:u w:val="single"/>
        </w:rPr>
        <w:tab/>
      </w:r>
    </w:p>
    <w:p w14:paraId="0AD496D9">
      <w:pPr>
        <w:pStyle w:val="2"/>
        <w:rPr>
          <w:color w:val="auto"/>
          <w:sz w:val="20"/>
        </w:rPr>
      </w:pPr>
    </w:p>
    <w:p w14:paraId="7D518B9A">
      <w:pPr>
        <w:pStyle w:val="2"/>
        <w:rPr>
          <w:color w:val="auto"/>
          <w:sz w:val="20"/>
        </w:rPr>
      </w:pPr>
    </w:p>
    <w:p w14:paraId="78A830A1">
      <w:pPr>
        <w:pStyle w:val="2"/>
        <w:rPr>
          <w:color w:val="auto"/>
          <w:sz w:val="18"/>
        </w:rPr>
      </w:pPr>
    </w:p>
    <w:p w14:paraId="11E3AB94">
      <w:pPr>
        <w:pStyle w:val="49"/>
        <w:spacing w:line="300" w:lineRule="auto"/>
        <w:ind w:firstLine="480" w:firstLineChars="200"/>
        <w:rPr>
          <w:rFonts w:hint="eastAsia" w:ascii="仿宋" w:hAnsi="仿宋" w:eastAsia="仿宋" w:cs="仿宋"/>
          <w:color w:val="auto"/>
          <w:sz w:val="24"/>
        </w:rPr>
      </w:pPr>
      <w:r>
        <w:rPr>
          <w:rFonts w:hint="eastAsia" w:ascii="仿宋" w:hAnsi="仿宋" w:eastAsia="仿宋" w:cs="仿宋"/>
          <w:b w:val="0"/>
          <w:bCs w:val="0"/>
          <w:color w:val="auto"/>
          <w:sz w:val="24"/>
          <w:szCs w:val="21"/>
        </w:rPr>
        <w:t>注：</w:t>
      </w:r>
      <w:r>
        <w:rPr>
          <w:rFonts w:hint="eastAsia" w:ascii="仿宋" w:hAnsi="仿宋" w:eastAsia="仿宋" w:cs="仿宋"/>
          <w:b w:val="0"/>
          <w:bCs w:val="0"/>
          <w:color w:val="auto"/>
          <w:sz w:val="24"/>
        </w:rPr>
        <w:t>上</w:t>
      </w:r>
      <w:r>
        <w:rPr>
          <w:rFonts w:hint="eastAsia" w:ascii="仿宋" w:hAnsi="仿宋" w:eastAsia="仿宋" w:cs="仿宋"/>
          <w:color w:val="auto"/>
          <w:sz w:val="24"/>
        </w:rPr>
        <w:t>表 8、9 项内容可自行添加（格式自拟）。</w:t>
      </w:r>
    </w:p>
    <w:p w14:paraId="4FEBC0B0">
      <w:pPr>
        <w:pStyle w:val="2"/>
        <w:spacing w:before="5"/>
        <w:rPr>
          <w:color w:val="auto"/>
          <w:sz w:val="8"/>
        </w:rPr>
      </w:pPr>
    </w:p>
    <w:p w14:paraId="262043A1">
      <w:pPr>
        <w:pStyle w:val="2"/>
        <w:rPr>
          <w:color w:val="auto"/>
        </w:rPr>
      </w:pPr>
    </w:p>
    <w:p w14:paraId="2C5C1DBA">
      <w:pPr>
        <w:pStyle w:val="2"/>
        <w:rPr>
          <w:color w:val="auto"/>
        </w:rPr>
      </w:pPr>
    </w:p>
    <w:p w14:paraId="7A016E08">
      <w:pPr>
        <w:pStyle w:val="2"/>
        <w:rPr>
          <w:color w:val="auto"/>
          <w:sz w:val="29"/>
        </w:rPr>
      </w:pPr>
    </w:p>
    <w:p w14:paraId="7E44F360">
      <w:pPr>
        <w:pStyle w:val="2"/>
        <w:rPr>
          <w:color w:val="auto"/>
          <w:sz w:val="20"/>
        </w:rPr>
      </w:pPr>
    </w:p>
    <w:p w14:paraId="0A0C72C4">
      <w:pPr>
        <w:pStyle w:val="27"/>
        <w:rPr>
          <w:color w:val="auto"/>
        </w:rPr>
      </w:pPr>
    </w:p>
    <w:p w14:paraId="7ADB7927">
      <w:pPr>
        <w:pStyle w:val="2"/>
        <w:rPr>
          <w:color w:val="auto"/>
          <w:sz w:val="20"/>
        </w:rPr>
      </w:pPr>
    </w:p>
    <w:p w14:paraId="16825371">
      <w:pPr>
        <w:pStyle w:val="2"/>
        <w:rPr>
          <w:color w:val="auto"/>
          <w:sz w:val="20"/>
        </w:rPr>
      </w:pPr>
    </w:p>
    <w:p w14:paraId="1555A75A">
      <w:pPr>
        <w:pStyle w:val="2"/>
        <w:rPr>
          <w:color w:val="auto"/>
          <w:sz w:val="20"/>
        </w:rPr>
      </w:pPr>
    </w:p>
    <w:p w14:paraId="57073BC9">
      <w:pPr>
        <w:pStyle w:val="2"/>
        <w:rPr>
          <w:color w:val="auto"/>
          <w:sz w:val="20"/>
        </w:rPr>
      </w:pPr>
    </w:p>
    <w:p w14:paraId="43652162">
      <w:pPr>
        <w:pStyle w:val="2"/>
        <w:rPr>
          <w:color w:val="auto"/>
          <w:sz w:val="20"/>
        </w:rPr>
      </w:pPr>
    </w:p>
    <w:p w14:paraId="207EA4DE">
      <w:pPr>
        <w:pStyle w:val="2"/>
        <w:rPr>
          <w:color w:val="auto"/>
          <w:sz w:val="20"/>
        </w:rPr>
      </w:pPr>
    </w:p>
    <w:p w14:paraId="0AFA5931">
      <w:pPr>
        <w:pStyle w:val="2"/>
        <w:rPr>
          <w:color w:val="auto"/>
          <w:sz w:val="20"/>
        </w:rPr>
      </w:pPr>
    </w:p>
    <w:p w14:paraId="14243ADB">
      <w:pPr>
        <w:pStyle w:val="2"/>
        <w:rPr>
          <w:color w:val="auto"/>
          <w:sz w:val="20"/>
        </w:rPr>
      </w:pPr>
    </w:p>
    <w:p w14:paraId="7A539D62">
      <w:pPr>
        <w:pStyle w:val="2"/>
        <w:rPr>
          <w:color w:val="auto"/>
          <w:sz w:val="20"/>
        </w:rPr>
      </w:pPr>
    </w:p>
    <w:p w14:paraId="4F167F81">
      <w:pPr>
        <w:pStyle w:val="2"/>
        <w:rPr>
          <w:color w:val="auto"/>
          <w:sz w:val="20"/>
        </w:rPr>
      </w:pPr>
    </w:p>
    <w:p w14:paraId="52A697FC">
      <w:pPr>
        <w:pStyle w:val="2"/>
        <w:rPr>
          <w:color w:val="auto"/>
          <w:sz w:val="20"/>
        </w:rPr>
      </w:pPr>
    </w:p>
    <w:p w14:paraId="7CF16A1A">
      <w:pPr>
        <w:pStyle w:val="2"/>
        <w:rPr>
          <w:color w:val="auto"/>
          <w:sz w:val="20"/>
        </w:rPr>
      </w:pPr>
    </w:p>
    <w:p w14:paraId="5221C176">
      <w:pPr>
        <w:pStyle w:val="2"/>
        <w:rPr>
          <w:color w:val="auto"/>
          <w:sz w:val="20"/>
        </w:rPr>
      </w:pPr>
    </w:p>
    <w:p w14:paraId="24155718">
      <w:pPr>
        <w:pStyle w:val="2"/>
        <w:rPr>
          <w:color w:val="auto"/>
          <w:sz w:val="20"/>
        </w:rPr>
      </w:pPr>
    </w:p>
    <w:p w14:paraId="561460F3">
      <w:pPr>
        <w:pStyle w:val="2"/>
        <w:spacing w:before="4"/>
        <w:rPr>
          <w:color w:val="auto"/>
          <w:sz w:val="16"/>
        </w:rPr>
      </w:pPr>
    </w:p>
    <w:p w14:paraId="1175A706">
      <w:pPr>
        <w:pStyle w:val="4"/>
        <w:tabs>
          <w:tab w:val="left" w:pos="991"/>
        </w:tabs>
        <w:ind w:left="240"/>
        <w:rPr>
          <w:color w:val="auto"/>
        </w:rPr>
      </w:pPr>
      <w:bookmarkStart w:id="81" w:name="二___资信商务及技术文件格式"/>
      <w:bookmarkEnd w:id="81"/>
      <w:bookmarkStart w:id="82" w:name="_Toc26463"/>
      <w:r>
        <w:rPr>
          <w:rFonts w:hint="eastAsia"/>
          <w:color w:val="auto"/>
        </w:rPr>
        <w:t>二</w:t>
      </w:r>
      <w:r>
        <w:rPr>
          <w:rFonts w:hint="eastAsia"/>
          <w:color w:val="auto"/>
          <w:lang w:val="en-US" w:eastAsia="zh-CN"/>
        </w:rPr>
        <w:t xml:space="preserve"> </w:t>
      </w:r>
      <w:r>
        <w:rPr>
          <w:rFonts w:hint="eastAsia"/>
          <w:color w:val="auto"/>
        </w:rPr>
        <w:t>资信商务及技术文件格式</w:t>
      </w:r>
      <w:bookmarkEnd w:id="82"/>
    </w:p>
    <w:p w14:paraId="0A47BE19">
      <w:pPr>
        <w:rPr>
          <w:color w:val="auto"/>
        </w:rPr>
        <w:sectPr>
          <w:headerReference r:id="rId8" w:type="default"/>
          <w:pgSz w:w="11910" w:h="16840"/>
          <w:pgMar w:top="1247" w:right="1247" w:bottom="1247" w:left="1587" w:header="884" w:footer="884" w:gutter="0"/>
          <w:pgNumType w:fmt="decimal"/>
          <w:cols w:space="0" w:num="1"/>
        </w:sectPr>
      </w:pPr>
    </w:p>
    <w:p w14:paraId="70C8FB55">
      <w:pPr>
        <w:spacing w:before="124"/>
        <w:ind w:left="561" w:right="439"/>
        <w:jc w:val="center"/>
        <w:rPr>
          <w:b/>
          <w:color w:val="auto"/>
          <w:sz w:val="36"/>
        </w:rPr>
      </w:pPr>
      <w:r>
        <w:rPr>
          <w:rFonts w:hint="eastAsia"/>
          <w:b/>
          <w:color w:val="auto"/>
          <w:sz w:val="36"/>
        </w:rPr>
        <w:t>资信商务及技术文件封面</w:t>
      </w:r>
    </w:p>
    <w:p w14:paraId="2626FF25">
      <w:pPr>
        <w:pStyle w:val="2"/>
        <w:rPr>
          <w:b/>
          <w:color w:val="auto"/>
          <w:sz w:val="36"/>
        </w:rPr>
      </w:pPr>
    </w:p>
    <w:p w14:paraId="5AD3CC3E">
      <w:pPr>
        <w:pStyle w:val="2"/>
        <w:rPr>
          <w:b/>
          <w:color w:val="auto"/>
          <w:sz w:val="36"/>
        </w:rPr>
      </w:pPr>
    </w:p>
    <w:p w14:paraId="705E9172">
      <w:pPr>
        <w:pStyle w:val="2"/>
        <w:spacing w:before="1"/>
        <w:rPr>
          <w:b/>
          <w:color w:val="auto"/>
          <w:sz w:val="38"/>
        </w:rPr>
      </w:pPr>
    </w:p>
    <w:p w14:paraId="35B92359">
      <w:pPr>
        <w:spacing w:before="1"/>
        <w:ind w:left="2037"/>
        <w:rPr>
          <w:color w:val="auto"/>
          <w:sz w:val="36"/>
        </w:rPr>
      </w:pPr>
      <w:r>
        <w:rPr>
          <w:rFonts w:hint="eastAsia"/>
          <w:color w:val="auto"/>
          <w:sz w:val="36"/>
        </w:rPr>
        <w:t>项目编号：</w:t>
      </w:r>
    </w:p>
    <w:p w14:paraId="073FF385">
      <w:pPr>
        <w:pStyle w:val="2"/>
        <w:rPr>
          <w:color w:val="auto"/>
          <w:sz w:val="36"/>
        </w:rPr>
      </w:pPr>
    </w:p>
    <w:p w14:paraId="5F50DD1F">
      <w:pPr>
        <w:pStyle w:val="2"/>
        <w:rPr>
          <w:color w:val="auto"/>
          <w:sz w:val="36"/>
        </w:rPr>
      </w:pPr>
    </w:p>
    <w:p w14:paraId="6E0ED3C9">
      <w:pPr>
        <w:pStyle w:val="2"/>
        <w:rPr>
          <w:color w:val="auto"/>
          <w:sz w:val="36"/>
        </w:rPr>
      </w:pPr>
    </w:p>
    <w:p w14:paraId="4919F110">
      <w:pPr>
        <w:pStyle w:val="2"/>
        <w:spacing w:before="10"/>
        <w:rPr>
          <w:color w:val="auto"/>
          <w:sz w:val="50"/>
        </w:rPr>
      </w:pPr>
    </w:p>
    <w:p w14:paraId="67AAC326">
      <w:pPr>
        <w:ind w:left="2037"/>
        <w:rPr>
          <w:color w:val="auto"/>
          <w:sz w:val="36"/>
        </w:rPr>
      </w:pPr>
      <w:r>
        <w:rPr>
          <w:rFonts w:hint="eastAsia"/>
          <w:color w:val="auto"/>
          <w:sz w:val="36"/>
        </w:rPr>
        <w:t>项目名称：</w:t>
      </w:r>
    </w:p>
    <w:p w14:paraId="39FAD00A">
      <w:pPr>
        <w:pStyle w:val="2"/>
        <w:rPr>
          <w:color w:val="auto"/>
          <w:sz w:val="36"/>
        </w:rPr>
      </w:pPr>
    </w:p>
    <w:p w14:paraId="62980D68">
      <w:pPr>
        <w:pStyle w:val="2"/>
        <w:rPr>
          <w:color w:val="auto"/>
          <w:sz w:val="36"/>
        </w:rPr>
      </w:pPr>
    </w:p>
    <w:p w14:paraId="66D9DD04">
      <w:pPr>
        <w:pStyle w:val="2"/>
        <w:rPr>
          <w:color w:val="auto"/>
          <w:sz w:val="36"/>
        </w:rPr>
      </w:pPr>
    </w:p>
    <w:p w14:paraId="2A9C1B51">
      <w:pPr>
        <w:pStyle w:val="2"/>
        <w:spacing w:before="10"/>
        <w:rPr>
          <w:color w:val="auto"/>
          <w:sz w:val="50"/>
        </w:rPr>
      </w:pPr>
    </w:p>
    <w:p w14:paraId="0C0A675A">
      <w:pPr>
        <w:ind w:left="2037"/>
        <w:rPr>
          <w:color w:val="auto"/>
          <w:sz w:val="36"/>
        </w:rPr>
      </w:pPr>
      <w:r>
        <w:rPr>
          <w:rFonts w:hint="eastAsia"/>
          <w:color w:val="auto"/>
          <w:sz w:val="36"/>
        </w:rPr>
        <w:t>响应文件名称：资信商务及技术文件</w:t>
      </w:r>
    </w:p>
    <w:p w14:paraId="36D97482">
      <w:pPr>
        <w:pStyle w:val="2"/>
        <w:rPr>
          <w:color w:val="auto"/>
          <w:sz w:val="36"/>
        </w:rPr>
      </w:pPr>
    </w:p>
    <w:p w14:paraId="749C995B">
      <w:pPr>
        <w:pStyle w:val="2"/>
        <w:rPr>
          <w:color w:val="auto"/>
          <w:sz w:val="36"/>
        </w:rPr>
      </w:pPr>
    </w:p>
    <w:p w14:paraId="20E04DD5">
      <w:pPr>
        <w:pStyle w:val="2"/>
        <w:rPr>
          <w:color w:val="auto"/>
          <w:sz w:val="36"/>
        </w:rPr>
      </w:pPr>
    </w:p>
    <w:p w14:paraId="468E04A4">
      <w:pPr>
        <w:pStyle w:val="2"/>
        <w:spacing w:before="11"/>
        <w:rPr>
          <w:color w:val="auto"/>
          <w:sz w:val="50"/>
        </w:rPr>
      </w:pPr>
    </w:p>
    <w:p w14:paraId="21A493F5">
      <w:pPr>
        <w:ind w:left="2160"/>
        <w:rPr>
          <w:color w:val="auto"/>
          <w:sz w:val="36"/>
        </w:rPr>
      </w:pPr>
      <w:r>
        <w:rPr>
          <w:rFonts w:hint="eastAsia"/>
          <w:color w:val="auto"/>
          <w:sz w:val="36"/>
        </w:rPr>
        <w:t>供应商名称（CA 签章）：</w:t>
      </w:r>
    </w:p>
    <w:p w14:paraId="7CD8177E">
      <w:pPr>
        <w:pStyle w:val="2"/>
        <w:rPr>
          <w:color w:val="auto"/>
          <w:sz w:val="36"/>
        </w:rPr>
      </w:pPr>
    </w:p>
    <w:p w14:paraId="0EFBB517">
      <w:pPr>
        <w:pStyle w:val="2"/>
        <w:rPr>
          <w:color w:val="auto"/>
          <w:sz w:val="36"/>
        </w:rPr>
      </w:pPr>
    </w:p>
    <w:p w14:paraId="0B778E22">
      <w:pPr>
        <w:pStyle w:val="2"/>
        <w:spacing w:before="1"/>
        <w:rPr>
          <w:color w:val="auto"/>
          <w:sz w:val="38"/>
        </w:rPr>
      </w:pPr>
    </w:p>
    <w:p w14:paraId="26DB41D6">
      <w:pPr>
        <w:ind w:left="2037"/>
        <w:rPr>
          <w:color w:val="auto"/>
          <w:sz w:val="36"/>
        </w:rPr>
      </w:pPr>
      <w:r>
        <w:rPr>
          <w:rFonts w:hint="eastAsia"/>
          <w:color w:val="auto"/>
          <w:sz w:val="36"/>
        </w:rPr>
        <w:t>供应商地址：</w:t>
      </w:r>
    </w:p>
    <w:p w14:paraId="5DA847FE">
      <w:pPr>
        <w:rPr>
          <w:color w:val="auto"/>
          <w:sz w:val="36"/>
        </w:rPr>
        <w:sectPr>
          <w:pgSz w:w="11910" w:h="16840"/>
          <w:pgMar w:top="1247" w:right="1247" w:bottom="1247" w:left="1587" w:header="884" w:footer="884" w:gutter="0"/>
          <w:pgNumType w:fmt="decimal"/>
          <w:cols w:space="0" w:num="1"/>
        </w:sectPr>
      </w:pPr>
    </w:p>
    <w:p w14:paraId="2112C22E">
      <w:pPr>
        <w:pStyle w:val="2"/>
        <w:rPr>
          <w:color w:val="auto"/>
          <w:sz w:val="20"/>
        </w:rPr>
      </w:pPr>
    </w:p>
    <w:p w14:paraId="26A73D9C">
      <w:pPr>
        <w:pStyle w:val="2"/>
        <w:rPr>
          <w:color w:val="auto"/>
          <w:sz w:val="20"/>
        </w:rPr>
      </w:pPr>
    </w:p>
    <w:p w14:paraId="0E331E6A">
      <w:pPr>
        <w:pStyle w:val="2"/>
        <w:spacing w:before="1"/>
        <w:rPr>
          <w:color w:val="auto"/>
          <w:sz w:val="17"/>
        </w:rPr>
      </w:pPr>
    </w:p>
    <w:p w14:paraId="77B9C1A4">
      <w:pPr>
        <w:spacing w:before="55" w:line="360" w:lineRule="auto"/>
        <w:ind w:left="540"/>
        <w:jc w:val="center"/>
        <w:rPr>
          <w:b/>
          <w:color w:val="auto"/>
          <w:sz w:val="30"/>
        </w:rPr>
      </w:pPr>
      <w:r>
        <w:rPr>
          <w:rFonts w:hint="eastAsia"/>
          <w:b/>
          <w:color w:val="auto"/>
          <w:sz w:val="32"/>
        </w:rPr>
        <w:t>目 录</w:t>
      </w:r>
    </w:p>
    <w:p w14:paraId="0CF9AE15">
      <w:pPr>
        <w:pStyle w:val="8"/>
        <w:spacing w:line="360" w:lineRule="auto"/>
        <w:ind w:firstLine="0"/>
        <w:jc w:val="both"/>
        <w:rPr>
          <w:rFonts w:hint="eastAsia"/>
          <w:color w:val="auto"/>
          <w:sz w:val="24"/>
          <w:szCs w:val="24"/>
        </w:rPr>
      </w:pPr>
    </w:p>
    <w:p w14:paraId="0DB5E1BB">
      <w:pPr>
        <w:pStyle w:val="8"/>
        <w:spacing w:line="360" w:lineRule="auto"/>
        <w:ind w:firstLine="0"/>
        <w:jc w:val="both"/>
        <w:rPr>
          <w:color w:val="auto"/>
          <w:sz w:val="24"/>
        </w:rPr>
      </w:pPr>
      <w:r>
        <w:rPr>
          <w:rFonts w:hint="eastAsia"/>
          <w:color w:val="auto"/>
          <w:sz w:val="24"/>
          <w:szCs w:val="24"/>
        </w:rPr>
        <w:t>（</w:t>
      </w:r>
      <w:r>
        <w:rPr>
          <w:rFonts w:hint="eastAsia"/>
          <w:color w:val="auto"/>
          <w:sz w:val="24"/>
        </w:rPr>
        <w:t>格式自行设计）</w:t>
      </w:r>
    </w:p>
    <w:p w14:paraId="51A110F1">
      <w:pPr>
        <w:pStyle w:val="2"/>
        <w:spacing w:line="360" w:lineRule="auto"/>
        <w:rPr>
          <w:color w:val="auto"/>
          <w:sz w:val="20"/>
        </w:rPr>
      </w:pPr>
    </w:p>
    <w:p w14:paraId="5FB91BC4">
      <w:pPr>
        <w:pStyle w:val="2"/>
        <w:spacing w:line="360" w:lineRule="auto"/>
        <w:rPr>
          <w:color w:val="auto"/>
          <w:sz w:val="20"/>
        </w:rPr>
        <w:sectPr>
          <w:pgSz w:w="11910" w:h="16840"/>
          <w:pgMar w:top="1247" w:right="1247" w:bottom="1247" w:left="1587" w:header="884" w:footer="884" w:gutter="0"/>
          <w:pgNumType w:fmt="decimal"/>
          <w:cols w:space="0" w:num="1"/>
        </w:sectPr>
      </w:pPr>
    </w:p>
    <w:p w14:paraId="56F1F471">
      <w:pPr>
        <w:spacing w:before="124"/>
        <w:ind w:left="561" w:right="444"/>
        <w:jc w:val="center"/>
        <w:rPr>
          <w:b/>
          <w:color w:val="auto"/>
          <w:sz w:val="36"/>
        </w:rPr>
      </w:pPr>
      <w:r>
        <w:rPr>
          <w:rFonts w:hint="eastAsia"/>
          <w:b/>
          <w:color w:val="auto"/>
          <w:sz w:val="36"/>
        </w:rPr>
        <w:t>评分索引表</w:t>
      </w:r>
    </w:p>
    <w:p w14:paraId="48DF50C5">
      <w:pPr>
        <w:pStyle w:val="2"/>
        <w:spacing w:before="6"/>
        <w:jc w:val="center"/>
        <w:rPr>
          <w:b/>
          <w:color w:val="auto"/>
          <w:lang w:val="en-US"/>
        </w:rPr>
      </w:pPr>
    </w:p>
    <w:p w14:paraId="50EA6414">
      <w:pPr>
        <w:pStyle w:val="2"/>
        <w:spacing w:before="6"/>
        <w:jc w:val="center"/>
        <w:rPr>
          <w:b/>
          <w:color w:val="auto"/>
          <w:lang w:val="en-US"/>
        </w:rPr>
      </w:pPr>
    </w:p>
    <w:p w14:paraId="6A40310A">
      <w:pPr>
        <w:pStyle w:val="2"/>
        <w:spacing w:before="6"/>
        <w:jc w:val="center"/>
        <w:rPr>
          <w:b/>
          <w:color w:val="auto"/>
          <w:lang w:val="en-US"/>
        </w:rPr>
      </w:pPr>
    </w:p>
    <w:p w14:paraId="72EC219A">
      <w:pPr>
        <w:pStyle w:val="2"/>
        <w:spacing w:before="6"/>
        <w:jc w:val="center"/>
        <w:rPr>
          <w:b/>
          <w:color w:val="auto"/>
          <w:lang w:val="en-US"/>
        </w:rPr>
      </w:pPr>
    </w:p>
    <w:p w14:paraId="6AE49B87">
      <w:pPr>
        <w:pStyle w:val="2"/>
        <w:spacing w:before="6"/>
        <w:jc w:val="center"/>
        <w:rPr>
          <w:b/>
          <w:color w:val="auto"/>
          <w:lang w:val="en-US"/>
        </w:rPr>
      </w:pPr>
      <w:r>
        <w:rPr>
          <w:rFonts w:hint="eastAsia"/>
          <w:b/>
          <w:color w:val="auto"/>
          <w:lang w:val="en-US"/>
        </w:rPr>
        <w:t>格式自拟</w:t>
      </w:r>
    </w:p>
    <w:p w14:paraId="0242F704">
      <w:pPr>
        <w:rPr>
          <w:color w:val="auto"/>
        </w:rPr>
        <w:sectPr>
          <w:pgSz w:w="11910" w:h="16840"/>
          <w:pgMar w:top="1247" w:right="1247" w:bottom="1247" w:left="1587" w:header="884" w:footer="884" w:gutter="0"/>
          <w:pgNumType w:fmt="decimal"/>
          <w:cols w:space="0" w:num="1"/>
        </w:sectPr>
      </w:pPr>
    </w:p>
    <w:p w14:paraId="52CB1D81">
      <w:pPr>
        <w:pStyle w:val="2"/>
        <w:spacing w:before="5"/>
        <w:rPr>
          <w:b/>
          <w:color w:val="auto"/>
          <w:sz w:val="8"/>
        </w:rPr>
      </w:pPr>
    </w:p>
    <w:p w14:paraId="4660F129">
      <w:pPr>
        <w:spacing w:before="58"/>
        <w:ind w:left="561" w:right="444"/>
        <w:jc w:val="center"/>
        <w:rPr>
          <w:b/>
          <w:color w:val="auto"/>
          <w:sz w:val="30"/>
        </w:rPr>
      </w:pPr>
      <w:r>
        <w:rPr>
          <w:rFonts w:hint="eastAsia"/>
          <w:b/>
          <w:color w:val="auto"/>
          <w:sz w:val="30"/>
        </w:rPr>
        <w:t>1</w:t>
      </w:r>
      <w:r>
        <w:rPr>
          <w:rFonts w:hint="eastAsia"/>
          <w:b/>
          <w:color w:val="auto"/>
          <w:sz w:val="30"/>
          <w:lang w:val="en-US" w:eastAsia="zh-CN"/>
        </w:rPr>
        <w:t>.</w:t>
      </w:r>
      <w:r>
        <w:rPr>
          <w:rFonts w:hint="eastAsia"/>
          <w:b/>
          <w:color w:val="auto"/>
          <w:sz w:val="30"/>
          <w:lang w:val="en-US"/>
        </w:rPr>
        <w:t>磋商</w:t>
      </w:r>
      <w:r>
        <w:rPr>
          <w:rFonts w:hint="eastAsia"/>
          <w:b/>
          <w:color w:val="auto"/>
          <w:sz w:val="30"/>
        </w:rPr>
        <w:t>声明书</w:t>
      </w:r>
    </w:p>
    <w:p w14:paraId="6C684FB4">
      <w:pPr>
        <w:pStyle w:val="2"/>
        <w:spacing w:line="360" w:lineRule="auto"/>
        <w:jc w:val="both"/>
        <w:rPr>
          <w:color w:val="auto"/>
        </w:rPr>
      </w:pPr>
      <w:r>
        <w:rPr>
          <w:rFonts w:hint="eastAsia"/>
          <w:color w:val="auto"/>
          <w:u w:val="single"/>
        </w:rPr>
        <w:t>（</w:t>
      </w:r>
      <w:r>
        <w:rPr>
          <w:rFonts w:hint="eastAsia"/>
          <w:color w:val="auto"/>
          <w:u w:val="single"/>
          <w:lang w:val="en-US"/>
        </w:rPr>
        <w:t>采购人</w:t>
      </w:r>
      <w:r>
        <w:rPr>
          <w:rFonts w:hint="eastAsia"/>
          <w:color w:val="auto"/>
          <w:u w:val="single"/>
        </w:rPr>
        <w:t>名称）：</w:t>
      </w:r>
    </w:p>
    <w:p w14:paraId="616A4C49">
      <w:pPr>
        <w:pStyle w:val="2"/>
        <w:tabs>
          <w:tab w:val="left" w:pos="1293"/>
          <w:tab w:val="left" w:pos="7893"/>
        </w:tabs>
        <w:spacing w:line="360" w:lineRule="auto"/>
        <w:ind w:firstLine="480" w:firstLineChars="200"/>
        <w:jc w:val="center"/>
        <w:rPr>
          <w:color w:val="auto"/>
        </w:rPr>
      </w:pPr>
      <w:r>
        <w:rPr>
          <w:rFonts w:hint="eastAsia"/>
          <w:color w:val="auto"/>
          <w:u w:val="single"/>
        </w:rPr>
        <w:tab/>
      </w:r>
      <w:r>
        <w:rPr>
          <w:rFonts w:hint="eastAsia"/>
          <w:color w:val="auto"/>
          <w:u w:val="single"/>
          <w:lang w:eastAsia="zh-CN"/>
        </w:rPr>
        <w:t>（</w:t>
      </w:r>
      <w:r>
        <w:rPr>
          <w:rFonts w:hint="eastAsia"/>
          <w:color w:val="auto"/>
          <w:u w:val="single"/>
        </w:rPr>
        <w:t>供应商全称</w:t>
      </w:r>
      <w:r>
        <w:rPr>
          <w:rFonts w:hint="eastAsia"/>
          <w:color w:val="auto"/>
          <w:u w:val="single"/>
          <w:lang w:eastAsia="zh-CN"/>
        </w:rPr>
        <w:t>）</w:t>
      </w:r>
      <w:r>
        <w:rPr>
          <w:rFonts w:hint="eastAsia"/>
          <w:color w:val="auto"/>
        </w:rPr>
        <w:t>系中华人民共和国合法企业，经营地址</w:t>
      </w:r>
      <w:r>
        <w:rPr>
          <w:rFonts w:hint="eastAsia"/>
          <w:color w:val="auto"/>
          <w:u w:val="single"/>
        </w:rPr>
        <w:tab/>
      </w:r>
      <w:r>
        <w:rPr>
          <w:rFonts w:hint="eastAsia"/>
          <w:color w:val="auto"/>
        </w:rPr>
        <w:t>。</w:t>
      </w:r>
    </w:p>
    <w:p w14:paraId="23595F87">
      <w:pPr>
        <w:pStyle w:val="2"/>
        <w:spacing w:line="360" w:lineRule="auto"/>
        <w:ind w:firstLine="480" w:firstLineChars="200"/>
        <w:jc w:val="both"/>
        <w:rPr>
          <w:color w:val="auto"/>
        </w:rPr>
      </w:pPr>
      <w:r>
        <w:rPr>
          <w:rFonts w:hint="eastAsia"/>
          <w:color w:val="auto"/>
        </w:rPr>
        <w:t>我</w:t>
      </w:r>
      <w:r>
        <w:rPr>
          <w:rFonts w:hint="eastAsia"/>
          <w:color w:val="auto"/>
          <w:lang w:eastAsia="zh-CN"/>
        </w:rPr>
        <w:t>（</w:t>
      </w:r>
      <w:r>
        <w:rPr>
          <w:rFonts w:hint="eastAsia"/>
          <w:color w:val="auto"/>
          <w:u w:val="single"/>
        </w:rPr>
        <w:t>法定代表人或负责人名字</w:t>
      </w:r>
      <w:r>
        <w:rPr>
          <w:rFonts w:hint="eastAsia"/>
          <w:color w:val="auto"/>
          <w:u w:val="single"/>
          <w:lang w:eastAsia="zh-CN"/>
        </w:rPr>
        <w:t>）</w:t>
      </w:r>
      <w:r>
        <w:rPr>
          <w:rFonts w:hint="eastAsia"/>
          <w:color w:val="auto"/>
        </w:rPr>
        <w:t>系</w:t>
      </w:r>
      <w:r>
        <w:rPr>
          <w:rFonts w:hint="eastAsia"/>
          <w:color w:val="auto"/>
          <w:u w:val="single"/>
        </w:rPr>
        <w:t xml:space="preserve">    </w:t>
      </w:r>
      <w:r>
        <w:rPr>
          <w:rFonts w:hint="eastAsia"/>
          <w:color w:val="auto"/>
          <w:u w:val="single"/>
          <w:lang w:eastAsia="zh-CN"/>
        </w:rPr>
        <w:t>（</w:t>
      </w:r>
      <w:r>
        <w:rPr>
          <w:rFonts w:hint="eastAsia"/>
          <w:color w:val="auto"/>
          <w:u w:val="single"/>
        </w:rPr>
        <w:t>供应商名称</w:t>
      </w:r>
      <w:r>
        <w:rPr>
          <w:rFonts w:hint="eastAsia"/>
          <w:color w:val="auto"/>
          <w:u w:val="single"/>
          <w:lang w:eastAsia="zh-CN"/>
        </w:rPr>
        <w:t>）</w:t>
      </w:r>
      <w:r>
        <w:rPr>
          <w:rFonts w:hint="eastAsia"/>
          <w:color w:val="auto"/>
          <w:u w:val="single"/>
        </w:rPr>
        <w:t xml:space="preserve">      </w:t>
      </w:r>
      <w:r>
        <w:rPr>
          <w:rFonts w:hint="eastAsia"/>
          <w:color w:val="auto"/>
        </w:rPr>
        <w:t>为负责人，我方愿意参加贵方组织的</w:t>
      </w:r>
      <w:r>
        <w:rPr>
          <w:rFonts w:hint="eastAsia"/>
          <w:color w:val="auto"/>
          <w:u w:val="single"/>
        </w:rPr>
        <w:t xml:space="preserve">   （项目名称）（项目编号：   ）</w:t>
      </w:r>
      <w:r>
        <w:rPr>
          <w:rFonts w:hint="eastAsia"/>
          <w:color w:val="auto"/>
        </w:rPr>
        <w:t>的磋商。为便于贵方公正、择优地确定成交人以及磋商产品和服务，我方就本次磋商有关事项郑重承诺如下：</w:t>
      </w:r>
    </w:p>
    <w:p w14:paraId="4F58045D">
      <w:pPr>
        <w:pStyle w:val="2"/>
        <w:spacing w:line="360" w:lineRule="auto"/>
        <w:ind w:firstLine="480" w:firstLineChars="200"/>
        <w:rPr>
          <w:color w:val="auto"/>
        </w:rPr>
      </w:pPr>
      <w:r>
        <w:rPr>
          <w:rFonts w:hint="eastAsia"/>
          <w:color w:val="auto"/>
        </w:rPr>
        <w:t>1</w:t>
      </w:r>
      <w:r>
        <w:rPr>
          <w:rFonts w:hint="eastAsia"/>
          <w:color w:val="auto"/>
          <w:lang w:val="en-US" w:eastAsia="zh-CN"/>
        </w:rPr>
        <w:t>.</w:t>
      </w:r>
      <w:r>
        <w:rPr>
          <w:rFonts w:hint="eastAsia"/>
          <w:color w:val="auto"/>
        </w:rPr>
        <w:t>我方向贵方提交的所有响应文件、资料都是准确的和真实的。</w:t>
      </w:r>
    </w:p>
    <w:p w14:paraId="4A200358">
      <w:pPr>
        <w:pStyle w:val="2"/>
        <w:spacing w:line="360" w:lineRule="auto"/>
        <w:ind w:firstLine="480" w:firstLineChars="200"/>
        <w:jc w:val="both"/>
        <w:rPr>
          <w:color w:val="auto"/>
        </w:rPr>
      </w:pPr>
      <w:r>
        <w:rPr>
          <w:rFonts w:hint="eastAsia"/>
          <w:color w:val="auto"/>
        </w:rPr>
        <w:t>2</w:t>
      </w:r>
      <w:r>
        <w:rPr>
          <w:rFonts w:hint="eastAsia"/>
          <w:color w:val="auto"/>
          <w:lang w:val="en-US" w:eastAsia="zh-CN"/>
        </w:rPr>
        <w:t>.</w:t>
      </w:r>
      <w:r>
        <w:rPr>
          <w:rFonts w:hint="eastAsia"/>
          <w:color w:val="auto"/>
        </w:rPr>
        <w:t>我方承诺已经具备《中华人民共和国政府采购法》、《中华人民共和国政府采购法实施条例》中规定的参加政府采购活动的供应商应当具备的条件，并真实提供相关材料。</w:t>
      </w:r>
    </w:p>
    <w:p w14:paraId="1BF1B98E">
      <w:pPr>
        <w:pStyle w:val="2"/>
        <w:spacing w:line="360" w:lineRule="auto"/>
        <w:ind w:firstLine="480" w:firstLineChars="200"/>
        <w:jc w:val="both"/>
        <w:rPr>
          <w:color w:val="auto"/>
        </w:rPr>
      </w:pPr>
      <w:r>
        <w:rPr>
          <w:rFonts w:hint="eastAsia"/>
          <w:color w:val="auto"/>
        </w:rPr>
        <w:t>3</w:t>
      </w:r>
      <w:r>
        <w:rPr>
          <w:rFonts w:hint="eastAsia"/>
          <w:color w:val="auto"/>
          <w:lang w:val="en-US" w:eastAsia="zh-CN"/>
        </w:rPr>
        <w:t>.</w:t>
      </w:r>
      <w:r>
        <w:rPr>
          <w:rFonts w:hint="eastAsia"/>
          <w:color w:val="auto"/>
        </w:rPr>
        <w:t>提供供应商须知规定的全部响应文件，包括：</w:t>
      </w:r>
    </w:p>
    <w:p w14:paraId="2767DFD2">
      <w:pPr>
        <w:pStyle w:val="2"/>
        <w:spacing w:line="360" w:lineRule="auto"/>
        <w:ind w:firstLine="480" w:firstLineChars="200"/>
        <w:jc w:val="both"/>
        <w:rPr>
          <w:color w:val="auto"/>
        </w:rPr>
      </w:pPr>
      <w:r>
        <w:rPr>
          <w:rFonts w:hint="eastAsia"/>
          <w:color w:val="auto"/>
        </w:rPr>
        <w:t>①电子响应文件；</w:t>
      </w:r>
    </w:p>
    <w:p w14:paraId="6A60CEA8">
      <w:pPr>
        <w:pStyle w:val="2"/>
        <w:spacing w:line="360" w:lineRule="auto"/>
        <w:ind w:firstLine="480" w:firstLineChars="200"/>
        <w:jc w:val="both"/>
        <w:rPr>
          <w:color w:val="auto"/>
        </w:rPr>
      </w:pPr>
      <w:r>
        <w:rPr>
          <w:rFonts w:hint="eastAsia"/>
          <w:color w:val="auto"/>
        </w:rPr>
        <w:t>②备份响应文件（注：是否提交由供应商自行决定，如不提交，本条可删除）。</w:t>
      </w:r>
    </w:p>
    <w:p w14:paraId="4A9A89A4">
      <w:pPr>
        <w:pStyle w:val="2"/>
        <w:tabs>
          <w:tab w:val="left" w:pos="5716"/>
        </w:tabs>
        <w:spacing w:line="360" w:lineRule="auto"/>
        <w:ind w:firstLine="480" w:firstLineChars="200"/>
        <w:jc w:val="both"/>
        <w:rPr>
          <w:color w:val="auto"/>
        </w:rPr>
      </w:pPr>
      <w:r>
        <w:rPr>
          <w:rFonts w:hint="eastAsia"/>
          <w:color w:val="auto"/>
        </w:rPr>
        <w:t>4</w:t>
      </w:r>
      <w:r>
        <w:rPr>
          <w:rFonts w:hint="eastAsia"/>
          <w:color w:val="auto"/>
          <w:lang w:val="en-US" w:eastAsia="zh-CN"/>
        </w:rPr>
        <w:t>.</w:t>
      </w:r>
      <w:r>
        <w:rPr>
          <w:rFonts w:hint="eastAsia"/>
          <w:color w:val="auto"/>
        </w:rPr>
        <w:t>如果我方成交，将派出</w:t>
      </w:r>
      <w:r>
        <w:rPr>
          <w:rFonts w:hint="eastAsia"/>
          <w:color w:val="auto"/>
          <w:u w:val="single"/>
        </w:rPr>
        <w:t>（姓名及身份证号码），</w:t>
      </w:r>
      <w:r>
        <w:rPr>
          <w:rFonts w:hint="eastAsia"/>
          <w:color w:val="auto"/>
        </w:rPr>
        <w:t>作为本项目与采购单位联系的项目实施负责人，联系手机号码：</w:t>
      </w:r>
      <w:r>
        <w:rPr>
          <w:rFonts w:hint="eastAsia"/>
          <w:color w:val="auto"/>
          <w:u w:val="single"/>
        </w:rPr>
        <w:tab/>
      </w:r>
      <w:r>
        <w:rPr>
          <w:rFonts w:hint="eastAsia"/>
          <w:color w:val="auto"/>
        </w:rPr>
        <w:t>。在项目实施过程中，并承诺项目实施负责人不更换，若确需要更换的，书面征得采购人同意后才准予更换。</w:t>
      </w:r>
    </w:p>
    <w:p w14:paraId="5D46426A">
      <w:pPr>
        <w:pStyle w:val="2"/>
        <w:spacing w:line="360" w:lineRule="auto"/>
        <w:ind w:firstLine="480" w:firstLineChars="200"/>
        <w:jc w:val="both"/>
        <w:rPr>
          <w:color w:val="auto"/>
        </w:rPr>
      </w:pPr>
      <w:r>
        <w:rPr>
          <w:rFonts w:hint="eastAsia"/>
          <w:color w:val="auto"/>
        </w:rPr>
        <w:t>5</w:t>
      </w:r>
      <w:r>
        <w:rPr>
          <w:rFonts w:hint="eastAsia"/>
          <w:color w:val="auto"/>
          <w:lang w:val="en-US" w:eastAsia="zh-CN"/>
        </w:rPr>
        <w:t>.</w:t>
      </w:r>
      <w:r>
        <w:rPr>
          <w:rFonts w:hint="eastAsia"/>
          <w:color w:val="auto"/>
        </w:rPr>
        <w:t xml:space="preserve">我方的磋商有效期自提交响应文件的截止之日起 </w:t>
      </w:r>
      <w:r>
        <w:rPr>
          <w:rFonts w:hint="eastAsia"/>
          <w:color w:val="auto"/>
          <w:u w:val="single"/>
        </w:rPr>
        <w:t>90</w:t>
      </w:r>
      <w:r>
        <w:rPr>
          <w:rFonts w:hint="eastAsia"/>
          <w:color w:val="auto"/>
        </w:rPr>
        <w:t xml:space="preserve"> 天内有效。</w:t>
      </w:r>
    </w:p>
    <w:p w14:paraId="5E2F4DB4">
      <w:pPr>
        <w:pStyle w:val="2"/>
        <w:spacing w:line="360" w:lineRule="auto"/>
        <w:ind w:firstLine="480" w:firstLineChars="200"/>
        <w:rPr>
          <w:color w:val="auto"/>
        </w:rPr>
      </w:pPr>
      <w:r>
        <w:rPr>
          <w:rFonts w:hint="eastAsia"/>
          <w:color w:val="auto"/>
        </w:rPr>
        <w:t>6</w:t>
      </w:r>
      <w:r>
        <w:rPr>
          <w:rFonts w:hint="eastAsia"/>
          <w:color w:val="auto"/>
          <w:lang w:val="en-US" w:eastAsia="zh-CN"/>
        </w:rPr>
        <w:t>.</w:t>
      </w:r>
      <w:r>
        <w:rPr>
          <w:rFonts w:hint="eastAsia"/>
          <w:color w:val="auto"/>
        </w:rPr>
        <w:t>我方在磋商之前已经与贵方进行了充分的沟通，完全理解并接受磋商文件的各项规定和要求，对磋商文件的合理性、合法性不再有异议。</w:t>
      </w:r>
    </w:p>
    <w:p w14:paraId="2026027A">
      <w:pPr>
        <w:pStyle w:val="2"/>
        <w:spacing w:line="360" w:lineRule="auto"/>
        <w:ind w:firstLine="480" w:firstLineChars="200"/>
        <w:rPr>
          <w:color w:val="auto"/>
        </w:rPr>
      </w:pPr>
      <w:r>
        <w:rPr>
          <w:rFonts w:hint="eastAsia"/>
          <w:color w:val="auto"/>
        </w:rPr>
        <w:t>我方愿意向贵方提供真实完整的任何与该项磋商有关的数据、情况和技术资料。若贵方需要，我方愿意提供我方作出的一切承诺的证明材料。</w:t>
      </w:r>
    </w:p>
    <w:p w14:paraId="5AB7B59A">
      <w:pPr>
        <w:pStyle w:val="2"/>
        <w:spacing w:line="360" w:lineRule="auto"/>
        <w:ind w:firstLine="480" w:firstLineChars="200"/>
        <w:rPr>
          <w:color w:val="auto"/>
        </w:rPr>
      </w:pPr>
      <w:r>
        <w:rPr>
          <w:rFonts w:hint="eastAsia"/>
          <w:color w:val="auto"/>
        </w:rPr>
        <w:t>7</w:t>
      </w:r>
      <w:r>
        <w:rPr>
          <w:rFonts w:hint="eastAsia"/>
          <w:color w:val="auto"/>
          <w:lang w:val="en-US" w:eastAsia="zh-CN"/>
        </w:rPr>
        <w:t>.</w:t>
      </w:r>
      <w:r>
        <w:rPr>
          <w:rFonts w:hint="eastAsia"/>
          <w:color w:val="auto"/>
        </w:rPr>
        <w:t>我方已详细审核全部磋商文件，包括磋商文件的澄清或修改文件（如有的话）、参考资料及有关附件，已经了解我方对于磋商文件、采购过程、采购结果有依法进行询问、质疑、投诉的权利及相关渠道和要求。</w:t>
      </w:r>
    </w:p>
    <w:p w14:paraId="2DE4D9A1">
      <w:pPr>
        <w:pStyle w:val="2"/>
        <w:spacing w:line="360" w:lineRule="auto"/>
        <w:ind w:firstLine="480" w:firstLineChars="200"/>
        <w:rPr>
          <w:color w:val="auto"/>
        </w:rPr>
      </w:pPr>
      <w:r>
        <w:rPr>
          <w:rFonts w:hint="eastAsia"/>
          <w:color w:val="auto"/>
        </w:rPr>
        <w:t>8</w:t>
      </w:r>
      <w:r>
        <w:rPr>
          <w:rFonts w:hint="eastAsia"/>
          <w:color w:val="auto"/>
          <w:lang w:val="en-US" w:eastAsia="zh-CN"/>
        </w:rPr>
        <w:t>.</w:t>
      </w:r>
      <w:r>
        <w:rPr>
          <w:rFonts w:hint="eastAsia"/>
          <w:color w:val="auto"/>
        </w:rPr>
        <w:t>我方不是采购人的附属机构，并未为本项目提供整体设计、规范编制或者项目管理、监理、监测等服务。</w:t>
      </w:r>
    </w:p>
    <w:p w14:paraId="1FD03D6F">
      <w:pPr>
        <w:pStyle w:val="2"/>
        <w:spacing w:line="360" w:lineRule="auto"/>
        <w:ind w:firstLine="480" w:firstLineChars="200"/>
        <w:rPr>
          <w:color w:val="auto"/>
        </w:rPr>
      </w:pPr>
      <w:r>
        <w:rPr>
          <w:rFonts w:hint="eastAsia"/>
          <w:color w:val="auto"/>
        </w:rPr>
        <w:t>9</w:t>
      </w:r>
      <w:r>
        <w:rPr>
          <w:rFonts w:hint="eastAsia"/>
          <w:color w:val="auto"/>
          <w:lang w:val="en-US" w:eastAsia="zh-CN"/>
        </w:rPr>
        <w:t>.</w:t>
      </w:r>
      <w:r>
        <w:rPr>
          <w:rFonts w:hint="eastAsia"/>
          <w:color w:val="auto"/>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56A3A0F5">
      <w:pPr>
        <w:pStyle w:val="2"/>
        <w:spacing w:line="360" w:lineRule="auto"/>
        <w:ind w:firstLine="480" w:firstLineChars="200"/>
        <w:rPr>
          <w:color w:val="auto"/>
        </w:rPr>
      </w:pPr>
      <w:r>
        <w:rPr>
          <w:rFonts w:hint="eastAsia"/>
          <w:color w:val="auto"/>
        </w:rPr>
        <w:t>（一）提供虚假材料谋取成交、中标的；</w:t>
      </w:r>
    </w:p>
    <w:p w14:paraId="2F705AA4">
      <w:pPr>
        <w:pStyle w:val="2"/>
        <w:spacing w:line="360" w:lineRule="auto"/>
        <w:ind w:firstLine="480" w:firstLineChars="200"/>
        <w:rPr>
          <w:color w:val="auto"/>
        </w:rPr>
      </w:pPr>
      <w:r>
        <w:rPr>
          <w:rFonts w:hint="eastAsia"/>
          <w:color w:val="auto"/>
        </w:rPr>
        <w:t>（二）采取不正当手段诋毁、排挤其他供应商的；</w:t>
      </w:r>
    </w:p>
    <w:p w14:paraId="3D563118">
      <w:pPr>
        <w:pStyle w:val="2"/>
        <w:spacing w:line="360" w:lineRule="auto"/>
        <w:ind w:firstLine="480" w:firstLineChars="200"/>
        <w:rPr>
          <w:color w:val="auto"/>
        </w:rPr>
      </w:pPr>
      <w:r>
        <w:rPr>
          <w:rFonts w:hint="eastAsia"/>
          <w:color w:val="auto"/>
        </w:rPr>
        <w:t>（三）与采购人、</w:t>
      </w:r>
      <w:r>
        <w:rPr>
          <w:rFonts w:hint="eastAsia"/>
          <w:color w:val="auto"/>
          <w:lang w:eastAsia="zh-CN"/>
        </w:rPr>
        <w:t>其他</w:t>
      </w:r>
      <w:r>
        <w:rPr>
          <w:rFonts w:hint="eastAsia"/>
          <w:color w:val="auto"/>
        </w:rPr>
        <w:t>供应商或者采购代理机构恶意串通的；</w:t>
      </w:r>
    </w:p>
    <w:p w14:paraId="5F773860">
      <w:pPr>
        <w:pStyle w:val="2"/>
        <w:spacing w:line="360" w:lineRule="auto"/>
        <w:ind w:firstLine="480" w:firstLineChars="200"/>
        <w:rPr>
          <w:color w:val="auto"/>
        </w:rPr>
      </w:pPr>
      <w:r>
        <w:rPr>
          <w:rFonts w:hint="eastAsia"/>
          <w:color w:val="auto"/>
        </w:rPr>
        <w:t>（四）向采购人、采购代理机构行贿或者提供其他不正当利益的；</w:t>
      </w:r>
    </w:p>
    <w:p w14:paraId="2901DFB3">
      <w:pPr>
        <w:pStyle w:val="2"/>
        <w:spacing w:line="360" w:lineRule="auto"/>
        <w:ind w:firstLine="480" w:firstLineChars="200"/>
        <w:rPr>
          <w:color w:val="auto"/>
        </w:rPr>
      </w:pPr>
      <w:r>
        <w:rPr>
          <w:rFonts w:hint="eastAsia"/>
          <w:color w:val="auto"/>
        </w:rPr>
        <w:t>（五）在招标采购过程中与采购人进行协商谈判的；</w:t>
      </w:r>
    </w:p>
    <w:p w14:paraId="110B2C05">
      <w:pPr>
        <w:pStyle w:val="2"/>
        <w:spacing w:line="360" w:lineRule="auto"/>
        <w:ind w:firstLine="480" w:firstLineChars="200"/>
        <w:rPr>
          <w:color w:val="auto"/>
        </w:rPr>
      </w:pPr>
      <w:r>
        <w:rPr>
          <w:rFonts w:hint="eastAsia"/>
          <w:color w:val="auto"/>
        </w:rPr>
        <w:t>（六）拒绝有关部门监督检查或提供虚假情况的。</w:t>
      </w:r>
    </w:p>
    <w:p w14:paraId="4CDD7D2C">
      <w:pPr>
        <w:pStyle w:val="2"/>
        <w:spacing w:line="360" w:lineRule="auto"/>
        <w:ind w:firstLine="480" w:firstLineChars="200"/>
        <w:rPr>
          <w:color w:val="auto"/>
        </w:rPr>
      </w:pPr>
      <w:r>
        <w:rPr>
          <w:rFonts w:hint="eastAsia"/>
          <w:color w:val="auto"/>
        </w:rPr>
        <w:t>10</w:t>
      </w:r>
      <w:r>
        <w:rPr>
          <w:rFonts w:hint="eastAsia"/>
          <w:color w:val="auto"/>
          <w:lang w:val="en-US" w:eastAsia="zh-CN"/>
        </w:rPr>
        <w:t>.</w:t>
      </w:r>
      <w:r>
        <w:rPr>
          <w:rFonts w:hint="eastAsia"/>
          <w:color w:val="auto"/>
        </w:rPr>
        <w:t>如成交，本响应文件至本项目合同履行完毕止均保持有效，我方将按磋商文件及政府采购法律、法规的规定履行合同责任和义务。</w:t>
      </w:r>
    </w:p>
    <w:p w14:paraId="1EC0BD6F">
      <w:pPr>
        <w:pStyle w:val="2"/>
        <w:spacing w:line="360" w:lineRule="auto"/>
        <w:ind w:firstLine="480" w:firstLineChars="200"/>
        <w:rPr>
          <w:color w:val="auto"/>
        </w:rPr>
      </w:pPr>
      <w:r>
        <w:rPr>
          <w:rFonts w:hint="eastAsia"/>
          <w:color w:val="auto"/>
        </w:rPr>
        <w:t>11</w:t>
      </w:r>
      <w:r>
        <w:rPr>
          <w:rFonts w:hint="eastAsia"/>
          <w:color w:val="auto"/>
          <w:lang w:val="en-US" w:eastAsia="zh-CN"/>
        </w:rPr>
        <w:t>.</w:t>
      </w:r>
      <w:r>
        <w:rPr>
          <w:rFonts w:hint="eastAsia"/>
          <w:color w:val="auto"/>
        </w:rPr>
        <w:t>以上事项如有虚假或隐瞒，我方愿意承担一切不利后果，并不再寻求任何旨在减轻或免除法律责任。</w:t>
      </w:r>
    </w:p>
    <w:p w14:paraId="161F5B38">
      <w:pPr>
        <w:pStyle w:val="2"/>
        <w:spacing w:line="360" w:lineRule="auto"/>
        <w:ind w:firstLine="480" w:firstLineChars="200"/>
        <w:rPr>
          <w:color w:val="auto"/>
        </w:rPr>
      </w:pPr>
      <w:r>
        <w:rPr>
          <w:rFonts w:hint="eastAsia"/>
          <w:color w:val="auto"/>
        </w:rPr>
        <w:t>与本次磋商有关的一切正式往来信函请寄：</w:t>
      </w:r>
    </w:p>
    <w:p w14:paraId="68AE2A12">
      <w:pPr>
        <w:pStyle w:val="2"/>
        <w:tabs>
          <w:tab w:val="left" w:pos="3879"/>
          <w:tab w:val="left" w:pos="4420"/>
          <w:tab w:val="left" w:pos="6959"/>
        </w:tabs>
        <w:spacing w:line="360" w:lineRule="auto"/>
        <w:ind w:firstLine="480" w:firstLineChars="200"/>
        <w:rPr>
          <w:color w:val="auto"/>
          <w:u w:val="single"/>
        </w:rPr>
      </w:pPr>
      <w:r>
        <w:rPr>
          <w:rFonts w:hint="eastAsia"/>
          <w:color w:val="auto"/>
        </w:rPr>
        <w:t>地址：</w:t>
      </w:r>
      <w:r>
        <w:rPr>
          <w:rFonts w:hint="eastAsia"/>
          <w:color w:val="auto"/>
          <w:u w:val="single"/>
        </w:rPr>
        <w:tab/>
      </w:r>
      <w:r>
        <w:rPr>
          <w:rFonts w:hint="eastAsia"/>
          <w:color w:val="auto"/>
        </w:rPr>
        <w:tab/>
      </w:r>
      <w:r>
        <w:rPr>
          <w:rFonts w:hint="eastAsia"/>
          <w:color w:val="auto"/>
        </w:rPr>
        <w:t>邮编：</w:t>
      </w:r>
      <w:r>
        <w:rPr>
          <w:rFonts w:hint="eastAsia"/>
          <w:color w:val="auto"/>
          <w:u w:val="single"/>
        </w:rPr>
        <w:tab/>
      </w:r>
    </w:p>
    <w:p w14:paraId="07D01935">
      <w:pPr>
        <w:pStyle w:val="2"/>
        <w:tabs>
          <w:tab w:val="left" w:pos="3879"/>
          <w:tab w:val="left" w:pos="4420"/>
          <w:tab w:val="left" w:pos="6959"/>
        </w:tabs>
        <w:spacing w:line="360" w:lineRule="auto"/>
        <w:ind w:firstLine="480" w:firstLineChars="200"/>
        <w:rPr>
          <w:color w:val="auto"/>
        </w:rPr>
      </w:pPr>
      <w:r>
        <w:rPr>
          <w:rFonts w:hint="eastAsia"/>
          <w:color w:val="auto"/>
        </w:rPr>
        <w:t>电话：</w:t>
      </w:r>
      <w:r>
        <w:rPr>
          <w:rFonts w:hint="eastAsia"/>
          <w:color w:val="auto"/>
          <w:u w:val="single"/>
        </w:rPr>
        <w:tab/>
      </w:r>
      <w:r>
        <w:rPr>
          <w:rFonts w:hint="eastAsia"/>
          <w:color w:val="auto"/>
        </w:rPr>
        <w:tab/>
      </w:r>
      <w:r>
        <w:rPr>
          <w:rFonts w:hint="eastAsia"/>
          <w:color w:val="auto"/>
        </w:rPr>
        <w:t>传真：</w:t>
      </w:r>
      <w:r>
        <w:rPr>
          <w:rFonts w:hint="eastAsia"/>
          <w:color w:val="auto"/>
          <w:u w:val="single"/>
        </w:rPr>
        <w:tab/>
      </w:r>
    </w:p>
    <w:p w14:paraId="18202932">
      <w:pPr>
        <w:pStyle w:val="2"/>
        <w:spacing w:line="360" w:lineRule="auto"/>
        <w:ind w:firstLine="400" w:firstLineChars="200"/>
        <w:rPr>
          <w:color w:val="auto"/>
          <w:sz w:val="20"/>
        </w:rPr>
      </w:pPr>
    </w:p>
    <w:p w14:paraId="425F5A04">
      <w:pPr>
        <w:pStyle w:val="2"/>
        <w:spacing w:line="360" w:lineRule="auto"/>
        <w:ind w:firstLine="400" w:firstLineChars="200"/>
        <w:rPr>
          <w:color w:val="auto"/>
          <w:sz w:val="20"/>
        </w:rPr>
      </w:pPr>
    </w:p>
    <w:p w14:paraId="52886E6D">
      <w:pPr>
        <w:pStyle w:val="2"/>
        <w:rPr>
          <w:color w:val="auto"/>
          <w:sz w:val="20"/>
        </w:rPr>
      </w:pPr>
    </w:p>
    <w:p w14:paraId="239366F5">
      <w:pPr>
        <w:pStyle w:val="2"/>
        <w:spacing w:before="8"/>
        <w:rPr>
          <w:color w:val="auto"/>
          <w:sz w:val="15"/>
        </w:rPr>
      </w:pPr>
    </w:p>
    <w:p w14:paraId="30A05D60">
      <w:pPr>
        <w:pStyle w:val="2"/>
        <w:tabs>
          <w:tab w:val="left" w:pos="9519"/>
        </w:tabs>
        <w:spacing w:before="74"/>
        <w:ind w:left="5860"/>
        <w:rPr>
          <w:color w:val="auto"/>
        </w:rPr>
      </w:pPr>
      <w:r>
        <w:rPr>
          <w:rFonts w:hint="eastAsia"/>
          <w:color w:val="auto"/>
        </w:rPr>
        <w:t>供应商盖章：</w:t>
      </w:r>
      <w:r>
        <w:rPr>
          <w:rFonts w:hint="eastAsia"/>
          <w:color w:val="auto"/>
          <w:u w:val="single"/>
        </w:rPr>
        <w:tab/>
      </w:r>
    </w:p>
    <w:p w14:paraId="795FE6BD">
      <w:pPr>
        <w:pStyle w:val="2"/>
        <w:spacing w:before="9"/>
        <w:rPr>
          <w:color w:val="auto"/>
          <w:sz w:val="12"/>
        </w:rPr>
      </w:pPr>
    </w:p>
    <w:p w14:paraId="7B855CF8">
      <w:pPr>
        <w:pStyle w:val="2"/>
        <w:tabs>
          <w:tab w:val="left" w:pos="6940"/>
          <w:tab w:val="left" w:pos="9479"/>
        </w:tabs>
        <w:spacing w:before="67"/>
        <w:ind w:left="5860"/>
        <w:rPr>
          <w:color w:val="auto"/>
          <w:u w:val="single"/>
        </w:rPr>
      </w:pPr>
      <w:r>
        <w:rPr>
          <w:rFonts w:hint="eastAsia"/>
          <w:color w:val="auto"/>
        </w:rPr>
        <w:t>日</w:t>
      </w:r>
      <w:r>
        <w:rPr>
          <w:rFonts w:hint="eastAsia"/>
          <w:color w:val="auto"/>
        </w:rPr>
        <w:tab/>
      </w:r>
      <w:r>
        <w:rPr>
          <w:rFonts w:hint="eastAsia"/>
          <w:color w:val="auto"/>
        </w:rPr>
        <w:t>期：</w:t>
      </w:r>
      <w:r>
        <w:rPr>
          <w:rFonts w:hint="eastAsia"/>
          <w:color w:val="auto"/>
          <w:u w:val="single"/>
        </w:rPr>
        <w:tab/>
      </w:r>
    </w:p>
    <w:p w14:paraId="2A1D4BFD">
      <w:pPr>
        <w:pStyle w:val="2"/>
        <w:rPr>
          <w:color w:val="auto"/>
          <w:sz w:val="20"/>
        </w:rPr>
      </w:pPr>
    </w:p>
    <w:p w14:paraId="3C607993">
      <w:pPr>
        <w:rPr>
          <w:color w:val="auto"/>
          <w:sz w:val="20"/>
        </w:rPr>
      </w:pPr>
      <w:r>
        <w:rPr>
          <w:rFonts w:hint="eastAsia"/>
          <w:color w:val="auto"/>
          <w:sz w:val="20"/>
        </w:rPr>
        <w:br w:type="page"/>
      </w:r>
    </w:p>
    <w:p w14:paraId="0ACD6C80">
      <w:pPr>
        <w:spacing w:before="98" w:after="2"/>
        <w:ind w:left="561" w:right="441"/>
        <w:jc w:val="center"/>
        <w:rPr>
          <w:rFonts w:hint="eastAsia"/>
          <w:b/>
          <w:color w:val="auto"/>
          <w:sz w:val="30"/>
        </w:rPr>
      </w:pPr>
      <w:r>
        <w:rPr>
          <w:rFonts w:hint="eastAsia"/>
          <w:b/>
          <w:color w:val="auto"/>
          <w:sz w:val="30"/>
          <w:lang w:val="en-US" w:eastAsia="zh-CN"/>
        </w:rPr>
        <w:t>2.</w:t>
      </w:r>
      <w:r>
        <w:rPr>
          <w:rFonts w:hint="eastAsia"/>
          <w:b/>
          <w:color w:val="auto"/>
          <w:sz w:val="30"/>
        </w:rPr>
        <w:t>供应商参标申请表</w:t>
      </w:r>
    </w:p>
    <w:p w14:paraId="20FDC8C4">
      <w:pPr>
        <w:spacing w:before="98" w:after="2"/>
        <w:ind w:left="561" w:right="441"/>
        <w:jc w:val="center"/>
        <w:rPr>
          <w:rFonts w:hint="eastAsia"/>
          <w:b/>
          <w:color w:val="auto"/>
          <w:sz w:val="30"/>
        </w:rPr>
      </w:pPr>
    </w:p>
    <w:tbl>
      <w:tblPr>
        <w:tblStyle w:val="30"/>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462B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7A9B3285">
            <w:pPr>
              <w:pStyle w:val="44"/>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76F769EB">
            <w:pPr>
              <w:pStyle w:val="44"/>
              <w:rPr>
                <w:color w:val="auto"/>
                <w:sz w:val="20"/>
                <w:highlight w:val="none"/>
              </w:rPr>
            </w:pPr>
          </w:p>
        </w:tc>
        <w:tc>
          <w:tcPr>
            <w:tcW w:w="1485" w:type="dxa"/>
          </w:tcPr>
          <w:p w14:paraId="175744B2">
            <w:pPr>
              <w:pStyle w:val="44"/>
              <w:spacing w:before="129"/>
              <w:ind w:left="106"/>
              <w:rPr>
                <w:color w:val="auto"/>
                <w:sz w:val="24"/>
                <w:highlight w:val="none"/>
              </w:rPr>
            </w:pPr>
            <w:r>
              <w:rPr>
                <w:rFonts w:hint="eastAsia"/>
                <w:color w:val="auto"/>
                <w:sz w:val="24"/>
                <w:highlight w:val="none"/>
              </w:rPr>
              <w:t>供应商名称</w:t>
            </w:r>
          </w:p>
        </w:tc>
        <w:tc>
          <w:tcPr>
            <w:tcW w:w="2820" w:type="dxa"/>
          </w:tcPr>
          <w:p w14:paraId="3D8408D8">
            <w:pPr>
              <w:pStyle w:val="44"/>
              <w:rPr>
                <w:color w:val="auto"/>
                <w:sz w:val="20"/>
                <w:highlight w:val="none"/>
              </w:rPr>
            </w:pPr>
          </w:p>
        </w:tc>
      </w:tr>
      <w:tr w14:paraId="50AF4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48BAE60F">
            <w:pPr>
              <w:pStyle w:val="44"/>
              <w:spacing w:before="131"/>
              <w:ind w:left="107"/>
              <w:rPr>
                <w:color w:val="auto"/>
                <w:sz w:val="24"/>
                <w:highlight w:val="none"/>
              </w:rPr>
            </w:pPr>
          </w:p>
        </w:tc>
        <w:tc>
          <w:tcPr>
            <w:tcW w:w="2730" w:type="dxa"/>
            <w:gridSpan w:val="3"/>
            <w:vMerge w:val="continue"/>
          </w:tcPr>
          <w:p w14:paraId="19721862">
            <w:pPr>
              <w:pStyle w:val="44"/>
              <w:rPr>
                <w:color w:val="auto"/>
                <w:sz w:val="20"/>
                <w:highlight w:val="none"/>
              </w:rPr>
            </w:pPr>
          </w:p>
        </w:tc>
        <w:tc>
          <w:tcPr>
            <w:tcW w:w="1485" w:type="dxa"/>
          </w:tcPr>
          <w:p w14:paraId="5E97126A">
            <w:pPr>
              <w:pStyle w:val="44"/>
              <w:spacing w:before="131"/>
              <w:ind w:left="106"/>
              <w:rPr>
                <w:color w:val="auto"/>
                <w:sz w:val="24"/>
                <w:highlight w:val="none"/>
              </w:rPr>
            </w:pPr>
            <w:r>
              <w:rPr>
                <w:rFonts w:hint="eastAsia"/>
                <w:color w:val="auto"/>
                <w:sz w:val="24"/>
                <w:highlight w:val="none"/>
              </w:rPr>
              <w:t>供应商地址</w:t>
            </w:r>
          </w:p>
        </w:tc>
        <w:tc>
          <w:tcPr>
            <w:tcW w:w="2820" w:type="dxa"/>
          </w:tcPr>
          <w:p w14:paraId="0C7526C4">
            <w:pPr>
              <w:pStyle w:val="44"/>
              <w:rPr>
                <w:color w:val="auto"/>
                <w:sz w:val="20"/>
                <w:highlight w:val="none"/>
              </w:rPr>
            </w:pPr>
          </w:p>
        </w:tc>
      </w:tr>
      <w:tr w14:paraId="1F54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4F535D5">
            <w:pPr>
              <w:pStyle w:val="44"/>
              <w:spacing w:before="130"/>
              <w:ind w:left="107"/>
              <w:rPr>
                <w:color w:val="auto"/>
                <w:sz w:val="24"/>
                <w:highlight w:val="none"/>
              </w:rPr>
            </w:pPr>
            <w:r>
              <w:rPr>
                <w:rFonts w:hint="eastAsia"/>
                <w:color w:val="auto"/>
                <w:sz w:val="24"/>
                <w:highlight w:val="none"/>
              </w:rPr>
              <w:t>注册日期</w:t>
            </w:r>
          </w:p>
        </w:tc>
        <w:tc>
          <w:tcPr>
            <w:tcW w:w="2730" w:type="dxa"/>
            <w:gridSpan w:val="3"/>
          </w:tcPr>
          <w:p w14:paraId="342095F0">
            <w:pPr>
              <w:pStyle w:val="44"/>
              <w:rPr>
                <w:color w:val="auto"/>
                <w:sz w:val="20"/>
                <w:highlight w:val="none"/>
              </w:rPr>
            </w:pPr>
          </w:p>
        </w:tc>
        <w:tc>
          <w:tcPr>
            <w:tcW w:w="1485" w:type="dxa"/>
          </w:tcPr>
          <w:p w14:paraId="38AA0384">
            <w:pPr>
              <w:pStyle w:val="44"/>
              <w:spacing w:before="130"/>
              <w:ind w:left="106"/>
              <w:rPr>
                <w:color w:val="auto"/>
                <w:sz w:val="24"/>
                <w:highlight w:val="none"/>
              </w:rPr>
            </w:pPr>
            <w:r>
              <w:rPr>
                <w:rFonts w:hint="eastAsia"/>
                <w:color w:val="auto"/>
                <w:sz w:val="24"/>
                <w:highlight w:val="none"/>
              </w:rPr>
              <w:t>注册资金</w:t>
            </w:r>
          </w:p>
        </w:tc>
        <w:tc>
          <w:tcPr>
            <w:tcW w:w="2820" w:type="dxa"/>
          </w:tcPr>
          <w:p w14:paraId="3F19CD5B">
            <w:pPr>
              <w:pStyle w:val="44"/>
              <w:rPr>
                <w:color w:val="auto"/>
                <w:sz w:val="20"/>
                <w:highlight w:val="none"/>
              </w:rPr>
            </w:pPr>
          </w:p>
        </w:tc>
      </w:tr>
      <w:tr w14:paraId="72A5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C3A7270">
            <w:pPr>
              <w:pStyle w:val="44"/>
              <w:spacing w:before="130"/>
              <w:ind w:left="198"/>
              <w:rPr>
                <w:color w:val="auto"/>
                <w:sz w:val="24"/>
                <w:highlight w:val="none"/>
              </w:rPr>
            </w:pPr>
            <w:r>
              <w:rPr>
                <w:rFonts w:hint="eastAsia"/>
                <w:color w:val="auto"/>
                <w:sz w:val="24"/>
                <w:highlight w:val="none"/>
              </w:rPr>
              <w:t>负责人</w:t>
            </w:r>
          </w:p>
        </w:tc>
        <w:tc>
          <w:tcPr>
            <w:tcW w:w="1997" w:type="dxa"/>
            <w:gridSpan w:val="2"/>
          </w:tcPr>
          <w:p w14:paraId="5BCA2DB4">
            <w:pPr>
              <w:pStyle w:val="44"/>
              <w:rPr>
                <w:color w:val="auto"/>
                <w:sz w:val="20"/>
                <w:highlight w:val="none"/>
              </w:rPr>
            </w:pPr>
          </w:p>
        </w:tc>
        <w:tc>
          <w:tcPr>
            <w:tcW w:w="2803" w:type="dxa"/>
            <w:gridSpan w:val="3"/>
          </w:tcPr>
          <w:p w14:paraId="029FA330">
            <w:pPr>
              <w:pStyle w:val="44"/>
              <w:spacing w:before="130"/>
              <w:ind w:left="108"/>
              <w:rPr>
                <w:color w:val="auto"/>
                <w:sz w:val="24"/>
                <w:highlight w:val="none"/>
              </w:rPr>
            </w:pPr>
            <w:r>
              <w:rPr>
                <w:rFonts w:hint="eastAsia"/>
                <w:color w:val="auto"/>
                <w:sz w:val="24"/>
                <w:highlight w:val="none"/>
              </w:rPr>
              <w:t>联系电话：</w:t>
            </w:r>
          </w:p>
        </w:tc>
        <w:tc>
          <w:tcPr>
            <w:tcW w:w="2820" w:type="dxa"/>
          </w:tcPr>
          <w:p w14:paraId="2EF344C2">
            <w:pPr>
              <w:pStyle w:val="44"/>
              <w:spacing w:before="130"/>
              <w:ind w:left="108"/>
              <w:rPr>
                <w:color w:val="auto"/>
                <w:sz w:val="24"/>
                <w:highlight w:val="none"/>
              </w:rPr>
            </w:pPr>
            <w:r>
              <w:rPr>
                <w:rFonts w:hint="eastAsia"/>
                <w:color w:val="auto"/>
                <w:sz w:val="24"/>
                <w:highlight w:val="none"/>
              </w:rPr>
              <w:t>手机：</w:t>
            </w:r>
          </w:p>
        </w:tc>
      </w:tr>
      <w:tr w14:paraId="61AF3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0163FA23">
            <w:pPr>
              <w:pStyle w:val="44"/>
              <w:spacing w:before="129"/>
              <w:ind w:left="198"/>
              <w:rPr>
                <w:color w:val="auto"/>
                <w:sz w:val="24"/>
                <w:highlight w:val="none"/>
              </w:rPr>
            </w:pPr>
            <w:r>
              <w:rPr>
                <w:rFonts w:hint="eastAsia"/>
                <w:color w:val="auto"/>
                <w:sz w:val="24"/>
                <w:highlight w:val="none"/>
              </w:rPr>
              <w:t>联系人</w:t>
            </w:r>
          </w:p>
        </w:tc>
        <w:tc>
          <w:tcPr>
            <w:tcW w:w="1997" w:type="dxa"/>
            <w:gridSpan w:val="2"/>
          </w:tcPr>
          <w:p w14:paraId="7E3FEE92">
            <w:pPr>
              <w:pStyle w:val="44"/>
              <w:rPr>
                <w:color w:val="auto"/>
                <w:sz w:val="20"/>
                <w:highlight w:val="none"/>
              </w:rPr>
            </w:pPr>
          </w:p>
        </w:tc>
        <w:tc>
          <w:tcPr>
            <w:tcW w:w="2803" w:type="dxa"/>
            <w:gridSpan w:val="3"/>
          </w:tcPr>
          <w:p w14:paraId="1BE69215">
            <w:pPr>
              <w:pStyle w:val="44"/>
              <w:spacing w:before="129"/>
              <w:ind w:left="108"/>
              <w:rPr>
                <w:color w:val="auto"/>
                <w:sz w:val="24"/>
                <w:highlight w:val="none"/>
              </w:rPr>
            </w:pPr>
            <w:r>
              <w:rPr>
                <w:rFonts w:hint="eastAsia"/>
                <w:color w:val="auto"/>
                <w:sz w:val="24"/>
                <w:highlight w:val="none"/>
              </w:rPr>
              <w:t>联系电话：</w:t>
            </w:r>
          </w:p>
        </w:tc>
        <w:tc>
          <w:tcPr>
            <w:tcW w:w="2820" w:type="dxa"/>
          </w:tcPr>
          <w:p w14:paraId="6AF8216B">
            <w:pPr>
              <w:pStyle w:val="44"/>
              <w:spacing w:before="129"/>
              <w:ind w:left="108"/>
              <w:rPr>
                <w:color w:val="auto"/>
                <w:sz w:val="24"/>
                <w:highlight w:val="none"/>
              </w:rPr>
            </w:pPr>
            <w:r>
              <w:rPr>
                <w:rFonts w:hint="eastAsia"/>
                <w:color w:val="auto"/>
                <w:sz w:val="24"/>
                <w:highlight w:val="none"/>
              </w:rPr>
              <w:t>手机：</w:t>
            </w:r>
          </w:p>
        </w:tc>
      </w:tr>
      <w:tr w14:paraId="2B6B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45D9456">
            <w:pPr>
              <w:pStyle w:val="44"/>
              <w:spacing w:before="130"/>
              <w:ind w:left="78"/>
              <w:rPr>
                <w:color w:val="auto"/>
                <w:sz w:val="24"/>
                <w:highlight w:val="none"/>
              </w:rPr>
            </w:pPr>
            <w:r>
              <w:rPr>
                <w:rFonts w:hint="eastAsia"/>
                <w:color w:val="auto"/>
                <w:sz w:val="24"/>
                <w:highlight w:val="none"/>
              </w:rPr>
              <w:t>主营项目</w:t>
            </w:r>
          </w:p>
        </w:tc>
        <w:tc>
          <w:tcPr>
            <w:tcW w:w="7620" w:type="dxa"/>
            <w:gridSpan w:val="6"/>
          </w:tcPr>
          <w:p w14:paraId="1CD49C25">
            <w:pPr>
              <w:pStyle w:val="44"/>
              <w:rPr>
                <w:color w:val="auto"/>
                <w:sz w:val="20"/>
                <w:highlight w:val="none"/>
              </w:rPr>
            </w:pPr>
          </w:p>
        </w:tc>
      </w:tr>
      <w:tr w14:paraId="6709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67CD6008">
            <w:pPr>
              <w:pStyle w:val="44"/>
              <w:spacing w:before="130"/>
              <w:ind w:left="78"/>
              <w:rPr>
                <w:color w:val="auto"/>
                <w:sz w:val="24"/>
                <w:highlight w:val="none"/>
              </w:rPr>
            </w:pPr>
            <w:r>
              <w:rPr>
                <w:rFonts w:hint="eastAsia"/>
                <w:color w:val="auto"/>
                <w:sz w:val="24"/>
                <w:highlight w:val="none"/>
              </w:rPr>
              <w:t>兼营项目</w:t>
            </w:r>
          </w:p>
        </w:tc>
        <w:tc>
          <w:tcPr>
            <w:tcW w:w="7620" w:type="dxa"/>
            <w:gridSpan w:val="6"/>
          </w:tcPr>
          <w:p w14:paraId="74DB675E">
            <w:pPr>
              <w:pStyle w:val="44"/>
              <w:rPr>
                <w:color w:val="auto"/>
                <w:sz w:val="20"/>
                <w:highlight w:val="none"/>
              </w:rPr>
            </w:pPr>
          </w:p>
        </w:tc>
      </w:tr>
      <w:tr w14:paraId="6F86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18908D89">
            <w:pPr>
              <w:pStyle w:val="44"/>
              <w:spacing w:before="131"/>
              <w:ind w:left="107"/>
              <w:rPr>
                <w:color w:val="auto"/>
                <w:sz w:val="24"/>
                <w:highlight w:val="none"/>
              </w:rPr>
            </w:pPr>
            <w:r>
              <w:rPr>
                <w:rFonts w:hint="eastAsia"/>
                <w:color w:val="auto"/>
                <w:sz w:val="24"/>
                <w:highlight w:val="none"/>
              </w:rPr>
              <w:t>本单位申请参加下列采购项目的磋商：</w:t>
            </w:r>
          </w:p>
        </w:tc>
      </w:tr>
      <w:tr w14:paraId="33EA5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39978F03">
            <w:pPr>
              <w:pStyle w:val="82"/>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703C30E">
            <w:pPr>
              <w:pStyle w:val="82"/>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4B8E6197">
            <w:pPr>
              <w:pStyle w:val="82"/>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7F0C33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5DA3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4CCA6BA">
            <w:pPr>
              <w:pStyle w:val="44"/>
              <w:spacing w:before="86"/>
              <w:ind w:left="8"/>
              <w:jc w:val="center"/>
              <w:rPr>
                <w:color w:val="auto"/>
                <w:sz w:val="24"/>
                <w:highlight w:val="none"/>
              </w:rPr>
            </w:pPr>
            <w:r>
              <w:rPr>
                <w:rFonts w:hint="eastAsia"/>
                <w:color w:val="auto"/>
                <w:sz w:val="24"/>
                <w:highlight w:val="none"/>
              </w:rPr>
              <w:t>1</w:t>
            </w:r>
          </w:p>
        </w:tc>
        <w:tc>
          <w:tcPr>
            <w:tcW w:w="2695" w:type="dxa"/>
            <w:gridSpan w:val="4"/>
          </w:tcPr>
          <w:p w14:paraId="0D65CA2B">
            <w:pPr>
              <w:pStyle w:val="44"/>
              <w:rPr>
                <w:color w:val="auto"/>
                <w:sz w:val="20"/>
                <w:highlight w:val="none"/>
              </w:rPr>
            </w:pPr>
          </w:p>
        </w:tc>
        <w:tc>
          <w:tcPr>
            <w:tcW w:w="2264" w:type="dxa"/>
            <w:gridSpan w:val="2"/>
          </w:tcPr>
          <w:p w14:paraId="5684E653">
            <w:pPr>
              <w:pStyle w:val="44"/>
              <w:rPr>
                <w:color w:val="auto"/>
                <w:sz w:val="20"/>
                <w:highlight w:val="none"/>
              </w:rPr>
            </w:pPr>
          </w:p>
        </w:tc>
        <w:tc>
          <w:tcPr>
            <w:tcW w:w="2820" w:type="dxa"/>
            <w:vAlign w:val="center"/>
          </w:tcPr>
          <w:p w14:paraId="587DD85E">
            <w:pPr>
              <w:jc w:val="center"/>
              <w:rPr>
                <w:color w:val="auto"/>
                <w:sz w:val="20"/>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1484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118F00DC">
            <w:pPr>
              <w:pStyle w:val="44"/>
              <w:spacing w:before="130"/>
              <w:ind w:left="8"/>
              <w:jc w:val="center"/>
              <w:rPr>
                <w:color w:val="auto"/>
                <w:sz w:val="24"/>
                <w:highlight w:val="none"/>
              </w:rPr>
            </w:pPr>
          </w:p>
        </w:tc>
        <w:tc>
          <w:tcPr>
            <w:tcW w:w="2695" w:type="dxa"/>
            <w:gridSpan w:val="4"/>
          </w:tcPr>
          <w:p w14:paraId="606C87C6">
            <w:pPr>
              <w:pStyle w:val="44"/>
              <w:rPr>
                <w:color w:val="auto"/>
                <w:sz w:val="20"/>
                <w:highlight w:val="none"/>
              </w:rPr>
            </w:pPr>
          </w:p>
        </w:tc>
        <w:tc>
          <w:tcPr>
            <w:tcW w:w="2264" w:type="dxa"/>
            <w:gridSpan w:val="2"/>
          </w:tcPr>
          <w:p w14:paraId="474178EF">
            <w:pPr>
              <w:pStyle w:val="44"/>
              <w:rPr>
                <w:color w:val="auto"/>
                <w:sz w:val="20"/>
                <w:highlight w:val="none"/>
              </w:rPr>
            </w:pPr>
          </w:p>
        </w:tc>
        <w:tc>
          <w:tcPr>
            <w:tcW w:w="2820" w:type="dxa"/>
          </w:tcPr>
          <w:p w14:paraId="185A0D55">
            <w:pPr>
              <w:pStyle w:val="44"/>
              <w:rPr>
                <w:color w:val="auto"/>
                <w:sz w:val="20"/>
                <w:highlight w:val="none"/>
              </w:rPr>
            </w:pPr>
          </w:p>
        </w:tc>
      </w:tr>
      <w:tr w14:paraId="0191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09D63090">
            <w:pPr>
              <w:pStyle w:val="44"/>
              <w:spacing w:before="129"/>
              <w:ind w:left="8"/>
              <w:jc w:val="center"/>
              <w:rPr>
                <w:color w:val="auto"/>
                <w:sz w:val="24"/>
                <w:highlight w:val="none"/>
              </w:rPr>
            </w:pPr>
          </w:p>
        </w:tc>
        <w:tc>
          <w:tcPr>
            <w:tcW w:w="2695" w:type="dxa"/>
            <w:gridSpan w:val="4"/>
          </w:tcPr>
          <w:p w14:paraId="6A1F89E0">
            <w:pPr>
              <w:pStyle w:val="44"/>
              <w:rPr>
                <w:color w:val="auto"/>
                <w:sz w:val="20"/>
                <w:highlight w:val="none"/>
              </w:rPr>
            </w:pPr>
          </w:p>
        </w:tc>
        <w:tc>
          <w:tcPr>
            <w:tcW w:w="2264" w:type="dxa"/>
            <w:gridSpan w:val="2"/>
          </w:tcPr>
          <w:p w14:paraId="36177F64">
            <w:pPr>
              <w:pStyle w:val="44"/>
              <w:rPr>
                <w:color w:val="auto"/>
                <w:sz w:val="20"/>
                <w:highlight w:val="none"/>
              </w:rPr>
            </w:pPr>
          </w:p>
        </w:tc>
        <w:tc>
          <w:tcPr>
            <w:tcW w:w="2820" w:type="dxa"/>
          </w:tcPr>
          <w:p w14:paraId="7A6B640E">
            <w:pPr>
              <w:pStyle w:val="44"/>
              <w:rPr>
                <w:color w:val="auto"/>
                <w:sz w:val="20"/>
                <w:highlight w:val="none"/>
              </w:rPr>
            </w:pPr>
          </w:p>
        </w:tc>
      </w:tr>
      <w:tr w14:paraId="110B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516951B4">
            <w:pPr>
              <w:pStyle w:val="44"/>
              <w:spacing w:before="131"/>
              <w:ind w:left="8"/>
              <w:jc w:val="center"/>
              <w:rPr>
                <w:color w:val="auto"/>
                <w:sz w:val="24"/>
                <w:highlight w:val="none"/>
              </w:rPr>
            </w:pPr>
          </w:p>
        </w:tc>
        <w:tc>
          <w:tcPr>
            <w:tcW w:w="2695" w:type="dxa"/>
            <w:gridSpan w:val="4"/>
          </w:tcPr>
          <w:p w14:paraId="7BF0A07B">
            <w:pPr>
              <w:pStyle w:val="44"/>
              <w:rPr>
                <w:color w:val="auto"/>
                <w:sz w:val="20"/>
                <w:highlight w:val="none"/>
              </w:rPr>
            </w:pPr>
          </w:p>
        </w:tc>
        <w:tc>
          <w:tcPr>
            <w:tcW w:w="2264" w:type="dxa"/>
            <w:gridSpan w:val="2"/>
          </w:tcPr>
          <w:p w14:paraId="5EC1650E">
            <w:pPr>
              <w:pStyle w:val="44"/>
              <w:rPr>
                <w:color w:val="auto"/>
                <w:sz w:val="20"/>
                <w:highlight w:val="none"/>
              </w:rPr>
            </w:pPr>
          </w:p>
        </w:tc>
        <w:tc>
          <w:tcPr>
            <w:tcW w:w="2820" w:type="dxa"/>
          </w:tcPr>
          <w:p w14:paraId="4B40CB1A">
            <w:pPr>
              <w:pStyle w:val="44"/>
              <w:rPr>
                <w:color w:val="auto"/>
                <w:sz w:val="20"/>
                <w:highlight w:val="none"/>
              </w:rPr>
            </w:pPr>
          </w:p>
        </w:tc>
      </w:tr>
    </w:tbl>
    <w:p w14:paraId="51A1413E">
      <w:pPr>
        <w:pStyle w:val="2"/>
        <w:rPr>
          <w:b/>
          <w:color w:val="auto"/>
          <w:sz w:val="30"/>
        </w:rPr>
      </w:pPr>
    </w:p>
    <w:p w14:paraId="27D3B85D">
      <w:pPr>
        <w:pStyle w:val="2"/>
        <w:spacing w:before="5"/>
        <w:rPr>
          <w:b/>
          <w:color w:val="auto"/>
        </w:rPr>
      </w:pPr>
    </w:p>
    <w:p w14:paraId="08D910E5">
      <w:pPr>
        <w:pStyle w:val="2"/>
        <w:tabs>
          <w:tab w:val="left" w:pos="9519"/>
        </w:tabs>
        <w:ind w:left="5860"/>
        <w:rPr>
          <w:color w:val="auto"/>
        </w:rPr>
      </w:pPr>
      <w:r>
        <w:rPr>
          <w:rFonts w:hint="eastAsia"/>
          <w:color w:val="auto"/>
        </w:rPr>
        <w:t>供应商盖章：</w:t>
      </w:r>
      <w:r>
        <w:rPr>
          <w:rFonts w:hint="eastAsia"/>
          <w:color w:val="auto"/>
          <w:u w:val="single"/>
        </w:rPr>
        <w:tab/>
      </w:r>
    </w:p>
    <w:p w14:paraId="1DD52EBE">
      <w:pPr>
        <w:pStyle w:val="2"/>
        <w:spacing w:before="9"/>
        <w:rPr>
          <w:color w:val="auto"/>
          <w:sz w:val="12"/>
        </w:rPr>
      </w:pPr>
    </w:p>
    <w:p w14:paraId="007592DF">
      <w:pPr>
        <w:pStyle w:val="2"/>
        <w:tabs>
          <w:tab w:val="left" w:pos="6940"/>
          <w:tab w:val="left" w:pos="9479"/>
        </w:tabs>
        <w:spacing w:before="67"/>
        <w:ind w:left="5860"/>
        <w:rPr>
          <w:color w:val="auto"/>
          <w:u w:val="single"/>
        </w:rPr>
      </w:pPr>
      <w:r>
        <w:rPr>
          <w:rFonts w:hint="eastAsia"/>
          <w:color w:val="auto"/>
        </w:rPr>
        <w:t>日</w:t>
      </w:r>
      <w:r>
        <w:rPr>
          <w:rFonts w:hint="eastAsia"/>
          <w:color w:val="auto"/>
        </w:rPr>
        <w:tab/>
      </w:r>
      <w:r>
        <w:rPr>
          <w:rFonts w:hint="eastAsia"/>
          <w:color w:val="auto"/>
        </w:rPr>
        <w:t>期：</w:t>
      </w:r>
      <w:r>
        <w:rPr>
          <w:rFonts w:hint="eastAsia"/>
          <w:color w:val="auto"/>
          <w:u w:val="single"/>
        </w:rPr>
        <w:tab/>
      </w:r>
    </w:p>
    <w:p w14:paraId="6509C8E4">
      <w:pPr>
        <w:rPr>
          <w:color w:val="auto"/>
          <w:u w:val="single"/>
        </w:rPr>
      </w:pPr>
      <w:r>
        <w:rPr>
          <w:rFonts w:hint="eastAsia"/>
          <w:color w:val="auto"/>
          <w:u w:val="single"/>
        </w:rPr>
        <w:br w:type="page"/>
      </w:r>
    </w:p>
    <w:p w14:paraId="699E61A4">
      <w:pPr>
        <w:spacing w:before="98" w:after="2"/>
        <w:ind w:left="561" w:right="441"/>
        <w:jc w:val="center"/>
        <w:rPr>
          <w:rFonts w:hint="eastAsia"/>
          <w:b/>
          <w:color w:val="auto"/>
          <w:sz w:val="30"/>
          <w:lang w:val="en-US" w:eastAsia="zh-CN"/>
        </w:rPr>
      </w:pPr>
    </w:p>
    <w:p w14:paraId="59C3316B">
      <w:pPr>
        <w:spacing w:before="98" w:after="2"/>
        <w:ind w:left="561" w:right="441"/>
        <w:jc w:val="center"/>
        <w:rPr>
          <w:b/>
          <w:color w:val="auto"/>
          <w:sz w:val="30"/>
          <w:lang w:val="en-US"/>
        </w:rPr>
      </w:pPr>
      <w:r>
        <w:rPr>
          <w:rFonts w:hint="eastAsia"/>
          <w:b/>
          <w:color w:val="auto"/>
          <w:sz w:val="30"/>
          <w:lang w:val="en-US" w:eastAsia="zh-CN"/>
        </w:rPr>
        <w:t>3.</w:t>
      </w:r>
      <w:r>
        <w:rPr>
          <w:rFonts w:hint="eastAsia"/>
          <w:b/>
          <w:color w:val="auto"/>
          <w:sz w:val="30"/>
          <w:lang w:val="en-US"/>
        </w:rPr>
        <w:t>投标人信用信息声明书</w:t>
      </w:r>
    </w:p>
    <w:p w14:paraId="763A7F0B">
      <w:pPr>
        <w:jc w:val="center"/>
        <w:rPr>
          <w:rFonts w:ascii="宋体" w:hAnsi="宋体" w:cs="宋体"/>
          <w:color w:val="auto"/>
        </w:rPr>
      </w:pPr>
    </w:p>
    <w:tbl>
      <w:tblPr>
        <w:tblStyle w:val="30"/>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1E8E4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9D54675">
            <w:pPr>
              <w:spacing w:before="100" w:beforeAutospacing="1" w:after="100" w:afterAutospacing="1" w:line="260" w:lineRule="exact"/>
              <w:jc w:val="center"/>
              <w:rPr>
                <w:color w:val="auto"/>
                <w:sz w:val="24"/>
                <w:szCs w:val="24"/>
              </w:rPr>
            </w:pPr>
            <w:r>
              <w:rPr>
                <w:rFonts w:hint="eastAsia"/>
                <w:color w:val="auto"/>
                <w:sz w:val="24"/>
                <w:szCs w:val="24"/>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2961190B">
            <w:pPr>
              <w:spacing w:line="260" w:lineRule="exact"/>
              <w:rPr>
                <w:color w:val="auto"/>
                <w:sz w:val="24"/>
                <w:szCs w:val="24"/>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6AB0902">
            <w:pPr>
              <w:spacing w:before="100" w:beforeAutospacing="1" w:after="100" w:afterAutospacing="1" w:line="260" w:lineRule="exact"/>
              <w:jc w:val="center"/>
              <w:rPr>
                <w:color w:val="auto"/>
                <w:sz w:val="24"/>
                <w:szCs w:val="24"/>
              </w:rPr>
            </w:pPr>
            <w:r>
              <w:rPr>
                <w:rFonts w:hint="eastAsia"/>
                <w:color w:val="auto"/>
                <w:sz w:val="24"/>
                <w:szCs w:val="24"/>
              </w:rPr>
              <w:t>企业资质等级</w:t>
            </w:r>
          </w:p>
          <w:p w14:paraId="28B9AE24">
            <w:pPr>
              <w:spacing w:before="100" w:beforeAutospacing="1" w:after="100" w:afterAutospacing="1" w:line="260" w:lineRule="exact"/>
              <w:jc w:val="center"/>
              <w:rPr>
                <w:color w:val="auto"/>
                <w:sz w:val="24"/>
                <w:szCs w:val="24"/>
              </w:rPr>
            </w:pPr>
            <w:r>
              <w:rPr>
                <w:rFonts w:hint="eastAsia"/>
                <w:color w:val="auto"/>
                <w:sz w:val="24"/>
                <w:szCs w:val="24"/>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2919D6E2">
            <w:pPr>
              <w:spacing w:line="260" w:lineRule="exact"/>
              <w:rPr>
                <w:color w:val="auto"/>
                <w:sz w:val="24"/>
                <w:szCs w:val="24"/>
              </w:rPr>
            </w:pPr>
          </w:p>
        </w:tc>
      </w:tr>
      <w:tr w14:paraId="0E74B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7B55449B">
            <w:pPr>
              <w:spacing w:before="100" w:beforeAutospacing="1" w:after="100" w:afterAutospacing="1" w:line="260" w:lineRule="exact"/>
              <w:jc w:val="center"/>
              <w:rPr>
                <w:color w:val="auto"/>
                <w:sz w:val="24"/>
                <w:szCs w:val="24"/>
              </w:rPr>
            </w:pPr>
            <w:r>
              <w:rPr>
                <w:rFonts w:hint="eastAsia"/>
                <w:color w:val="auto"/>
                <w:sz w:val="24"/>
                <w:szCs w:val="24"/>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228741E3">
            <w:pPr>
              <w:spacing w:line="260" w:lineRule="exact"/>
              <w:rPr>
                <w:color w:val="auto"/>
                <w:sz w:val="24"/>
                <w:szCs w:val="24"/>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FBDF835">
            <w:pPr>
              <w:spacing w:before="100" w:beforeAutospacing="1" w:after="100" w:afterAutospacing="1" w:line="260" w:lineRule="exact"/>
              <w:jc w:val="center"/>
              <w:rPr>
                <w:color w:val="auto"/>
                <w:sz w:val="24"/>
                <w:szCs w:val="24"/>
              </w:rPr>
            </w:pPr>
            <w:r>
              <w:rPr>
                <w:rFonts w:hint="eastAsia"/>
                <w:color w:val="auto"/>
                <w:sz w:val="24"/>
                <w:szCs w:val="24"/>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55B07C5B">
            <w:pPr>
              <w:spacing w:line="260" w:lineRule="exact"/>
              <w:rPr>
                <w:color w:val="auto"/>
                <w:sz w:val="24"/>
                <w:szCs w:val="24"/>
              </w:rPr>
            </w:pPr>
          </w:p>
        </w:tc>
      </w:tr>
      <w:tr w14:paraId="54EEA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7B683FE5">
            <w:pPr>
              <w:spacing w:before="100" w:beforeAutospacing="1" w:after="100" w:afterAutospacing="1" w:line="260" w:lineRule="exact"/>
              <w:jc w:val="center"/>
              <w:rPr>
                <w:color w:val="auto"/>
                <w:sz w:val="24"/>
                <w:szCs w:val="24"/>
              </w:rPr>
            </w:pPr>
            <w:r>
              <w:rPr>
                <w:rFonts w:hint="eastAsia"/>
                <w:color w:val="auto"/>
                <w:sz w:val="24"/>
                <w:szCs w:val="24"/>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286CF90E">
            <w:pPr>
              <w:spacing w:line="260" w:lineRule="exact"/>
              <w:rPr>
                <w:color w:val="auto"/>
                <w:sz w:val="24"/>
                <w:szCs w:val="24"/>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9CE4CA1">
            <w:pPr>
              <w:spacing w:before="100" w:beforeAutospacing="1" w:after="100" w:afterAutospacing="1" w:line="260" w:lineRule="exact"/>
              <w:jc w:val="center"/>
              <w:rPr>
                <w:color w:val="auto"/>
                <w:sz w:val="24"/>
                <w:szCs w:val="24"/>
              </w:rPr>
            </w:pPr>
            <w:r>
              <w:rPr>
                <w:rFonts w:hint="eastAsia"/>
                <w:color w:val="auto"/>
                <w:sz w:val="24"/>
                <w:szCs w:val="24"/>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36A40E9E">
            <w:pPr>
              <w:spacing w:line="260" w:lineRule="exact"/>
              <w:rPr>
                <w:color w:val="auto"/>
                <w:sz w:val="24"/>
                <w:szCs w:val="24"/>
              </w:rPr>
            </w:pPr>
          </w:p>
        </w:tc>
      </w:tr>
      <w:tr w14:paraId="7DAD5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19BC36DA">
            <w:pPr>
              <w:spacing w:before="100" w:beforeAutospacing="1" w:after="100" w:afterAutospacing="1" w:line="260" w:lineRule="exact"/>
              <w:jc w:val="center"/>
              <w:rPr>
                <w:color w:val="auto"/>
                <w:sz w:val="24"/>
                <w:szCs w:val="24"/>
              </w:rPr>
            </w:pPr>
            <w:r>
              <w:rPr>
                <w:rFonts w:hint="eastAsia"/>
                <w:color w:val="auto"/>
                <w:sz w:val="24"/>
                <w:szCs w:val="24"/>
              </w:rPr>
              <w:t>供应商</w:t>
            </w:r>
          </w:p>
          <w:p w14:paraId="3253913F">
            <w:pPr>
              <w:spacing w:before="100" w:beforeAutospacing="1" w:after="100" w:afterAutospacing="1" w:line="260" w:lineRule="exact"/>
              <w:jc w:val="center"/>
              <w:rPr>
                <w:color w:val="auto"/>
                <w:sz w:val="24"/>
                <w:szCs w:val="24"/>
              </w:rPr>
            </w:pPr>
            <w:r>
              <w:rPr>
                <w:rFonts w:hint="eastAsia"/>
                <w:color w:val="auto"/>
                <w:sz w:val="24"/>
                <w:szCs w:val="24"/>
              </w:rPr>
              <w:t>市场</w:t>
            </w:r>
          </w:p>
          <w:p w14:paraId="7E8EBA67">
            <w:pPr>
              <w:spacing w:before="100" w:beforeAutospacing="1" w:after="100" w:afterAutospacing="1" w:line="260" w:lineRule="exact"/>
              <w:jc w:val="center"/>
              <w:rPr>
                <w:color w:val="auto"/>
                <w:sz w:val="24"/>
                <w:szCs w:val="24"/>
              </w:rPr>
            </w:pPr>
            <w:r>
              <w:rPr>
                <w:rFonts w:hint="eastAsia"/>
                <w:color w:val="auto"/>
                <w:sz w:val="24"/>
                <w:szCs w:val="24"/>
              </w:rPr>
              <w:t>行为</w:t>
            </w:r>
          </w:p>
          <w:p w14:paraId="4D4A6C79">
            <w:pPr>
              <w:spacing w:before="100" w:beforeAutospacing="1" w:after="100" w:afterAutospacing="1" w:line="260" w:lineRule="exact"/>
              <w:jc w:val="center"/>
              <w:rPr>
                <w:color w:val="auto"/>
                <w:sz w:val="24"/>
                <w:szCs w:val="24"/>
              </w:rPr>
            </w:pPr>
            <w:r>
              <w:rPr>
                <w:rFonts w:hint="eastAsia"/>
                <w:color w:val="auto"/>
                <w:sz w:val="24"/>
                <w:szCs w:val="24"/>
              </w:rPr>
              <w:t>信誉</w:t>
            </w:r>
          </w:p>
          <w:p w14:paraId="4CB25F22">
            <w:pPr>
              <w:spacing w:before="100" w:beforeAutospacing="1" w:after="100" w:afterAutospacing="1" w:line="260" w:lineRule="exact"/>
              <w:jc w:val="center"/>
              <w:rPr>
                <w:color w:val="auto"/>
                <w:sz w:val="24"/>
                <w:szCs w:val="24"/>
              </w:rPr>
            </w:pPr>
            <w:r>
              <w:rPr>
                <w:rFonts w:hint="eastAsia"/>
                <w:color w:val="auto"/>
                <w:sz w:val="24"/>
                <w:szCs w:val="24"/>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AA7272">
            <w:pPr>
              <w:spacing w:before="100" w:beforeAutospacing="1" w:after="100" w:afterAutospacing="1" w:line="260" w:lineRule="exact"/>
              <w:rPr>
                <w:color w:val="auto"/>
                <w:sz w:val="24"/>
                <w:szCs w:val="24"/>
              </w:rPr>
            </w:pPr>
            <w:r>
              <w:rPr>
                <w:rFonts w:hint="eastAsia"/>
                <w:color w:val="auto"/>
                <w:sz w:val="24"/>
                <w:szCs w:val="24"/>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04CA7F86">
            <w:pPr>
              <w:spacing w:line="260" w:lineRule="exact"/>
              <w:rPr>
                <w:color w:val="auto"/>
                <w:sz w:val="24"/>
                <w:szCs w:val="24"/>
              </w:rPr>
            </w:pPr>
          </w:p>
        </w:tc>
      </w:tr>
      <w:tr w14:paraId="1256D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62F03E4F">
            <w:pPr>
              <w:spacing w:before="100" w:beforeAutospacing="1" w:after="100" w:afterAutospacing="1" w:line="260" w:lineRule="exact"/>
              <w:jc w:val="center"/>
              <w:rPr>
                <w:color w:val="auto"/>
                <w:sz w:val="24"/>
                <w:szCs w:val="24"/>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1EAAEA8D">
            <w:pPr>
              <w:spacing w:before="100" w:beforeAutospacing="1" w:after="100" w:afterAutospacing="1" w:line="260" w:lineRule="exact"/>
              <w:rPr>
                <w:color w:val="auto"/>
                <w:sz w:val="24"/>
                <w:szCs w:val="24"/>
              </w:rPr>
            </w:pPr>
            <w:r>
              <w:rPr>
                <w:rFonts w:hint="eastAsia"/>
                <w:color w:val="auto"/>
                <w:sz w:val="24"/>
                <w:szCs w:val="24"/>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3ED6DA33">
            <w:pPr>
              <w:spacing w:line="260" w:lineRule="exact"/>
              <w:rPr>
                <w:color w:val="auto"/>
                <w:sz w:val="24"/>
                <w:szCs w:val="24"/>
              </w:rPr>
            </w:pPr>
          </w:p>
        </w:tc>
      </w:tr>
      <w:tr w14:paraId="33B11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5252F41D">
            <w:pPr>
              <w:spacing w:line="260" w:lineRule="exact"/>
              <w:rPr>
                <w:color w:val="auto"/>
                <w:sz w:val="24"/>
                <w:szCs w:val="24"/>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6FB4E0FB">
            <w:pPr>
              <w:spacing w:before="100" w:beforeAutospacing="1" w:after="100" w:afterAutospacing="1" w:line="260" w:lineRule="exact"/>
              <w:rPr>
                <w:color w:val="auto"/>
                <w:sz w:val="24"/>
                <w:szCs w:val="24"/>
              </w:rPr>
            </w:pPr>
            <w:r>
              <w:rPr>
                <w:rFonts w:hint="eastAsia"/>
                <w:color w:val="auto"/>
                <w:sz w:val="24"/>
                <w:szCs w:val="24"/>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3AC62975">
            <w:pPr>
              <w:spacing w:line="260" w:lineRule="exact"/>
              <w:rPr>
                <w:color w:val="auto"/>
                <w:sz w:val="24"/>
                <w:szCs w:val="24"/>
              </w:rPr>
            </w:pPr>
          </w:p>
        </w:tc>
      </w:tr>
      <w:tr w14:paraId="082C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0125E1F">
            <w:pPr>
              <w:spacing w:line="260" w:lineRule="exact"/>
              <w:rPr>
                <w:color w:val="auto"/>
                <w:sz w:val="24"/>
                <w:szCs w:val="24"/>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03A708F8">
            <w:pPr>
              <w:spacing w:before="100" w:beforeAutospacing="1" w:after="100" w:afterAutospacing="1" w:line="260" w:lineRule="exact"/>
              <w:rPr>
                <w:rFonts w:hint="eastAsia" w:eastAsia="仿宋"/>
                <w:color w:val="auto"/>
                <w:sz w:val="24"/>
                <w:szCs w:val="24"/>
                <w:lang w:val="en-US" w:eastAsia="zh-CN"/>
              </w:rPr>
            </w:pPr>
            <w:r>
              <w:rPr>
                <w:rFonts w:hint="eastAsia"/>
                <w:color w:val="auto"/>
                <w:sz w:val="24"/>
                <w:szCs w:val="24"/>
              </w:rPr>
              <w:t>申请报名前三年内，在经营活动中有无重大违法记录（重大违法记录包括：（一）县级以上行政机关对企业或其法定代表人、董事、监事、高级管理人员在经营活动中的违法行为</w:t>
            </w:r>
            <w:r>
              <w:rPr>
                <w:rFonts w:hint="eastAsia"/>
                <w:color w:val="auto"/>
                <w:sz w:val="24"/>
                <w:szCs w:val="24"/>
                <w:lang w:eastAsia="zh-CN"/>
              </w:rPr>
              <w:t>作出</w:t>
            </w:r>
            <w:r>
              <w:rPr>
                <w:rFonts w:hint="eastAsia"/>
                <w:color w:val="auto"/>
                <w:sz w:val="24"/>
                <w:szCs w:val="24"/>
              </w:rPr>
              <w:t>的行政处罚决定，但警告和罚款额在较大数额以下的行政处罚决定除外。（二）各级司法机关对投标人或其法定代表人、董事、监事、高级管理人员在经营活动中的违法行为做出的刑事判决。</w:t>
            </w:r>
            <w:r>
              <w:rPr>
                <w:rFonts w:hint="eastAsia"/>
                <w:color w:val="auto"/>
                <w:sz w:val="24"/>
                <w:szCs w:val="24"/>
                <w:lang w:val="en-US" w:eastAsia="zh-CN"/>
              </w:rPr>
              <w:t>)</w:t>
            </w:r>
          </w:p>
        </w:tc>
        <w:tc>
          <w:tcPr>
            <w:tcW w:w="4377" w:type="dxa"/>
            <w:gridSpan w:val="2"/>
            <w:tcBorders>
              <w:top w:val="single" w:color="auto" w:sz="4" w:space="0"/>
              <w:left w:val="single" w:color="auto" w:sz="4" w:space="0"/>
              <w:bottom w:val="single" w:color="auto" w:sz="4" w:space="0"/>
              <w:right w:val="single" w:color="auto" w:sz="4" w:space="0"/>
            </w:tcBorders>
            <w:noWrap/>
          </w:tcPr>
          <w:p w14:paraId="34A7892B">
            <w:pPr>
              <w:spacing w:line="260" w:lineRule="exact"/>
              <w:rPr>
                <w:color w:val="auto"/>
                <w:sz w:val="24"/>
                <w:szCs w:val="24"/>
              </w:rPr>
            </w:pPr>
          </w:p>
        </w:tc>
      </w:tr>
      <w:tr w14:paraId="7C99C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0C15AA8E">
            <w:pPr>
              <w:spacing w:before="100" w:beforeAutospacing="1" w:after="100" w:afterAutospacing="1" w:line="260" w:lineRule="exact"/>
              <w:jc w:val="center"/>
              <w:rPr>
                <w:color w:val="auto"/>
                <w:sz w:val="24"/>
                <w:szCs w:val="24"/>
              </w:rPr>
            </w:pPr>
            <w:r>
              <w:rPr>
                <w:rFonts w:hint="eastAsia"/>
                <w:color w:val="auto"/>
                <w:sz w:val="24"/>
                <w:szCs w:val="24"/>
              </w:rPr>
              <w:t>供应商</w:t>
            </w:r>
          </w:p>
          <w:p w14:paraId="3871AEE5">
            <w:pPr>
              <w:spacing w:before="100" w:beforeAutospacing="1" w:after="100" w:afterAutospacing="1" w:line="260" w:lineRule="exact"/>
              <w:jc w:val="center"/>
              <w:rPr>
                <w:color w:val="auto"/>
                <w:sz w:val="24"/>
                <w:szCs w:val="24"/>
              </w:rPr>
            </w:pPr>
            <w:r>
              <w:rPr>
                <w:rFonts w:hint="eastAsia"/>
                <w:color w:val="auto"/>
                <w:sz w:val="24"/>
                <w:szCs w:val="24"/>
              </w:rPr>
              <w:t>信用</w:t>
            </w:r>
          </w:p>
          <w:p w14:paraId="7913B010">
            <w:pPr>
              <w:spacing w:line="260" w:lineRule="exact"/>
              <w:jc w:val="center"/>
              <w:rPr>
                <w:color w:val="auto"/>
                <w:sz w:val="24"/>
                <w:szCs w:val="24"/>
              </w:rPr>
            </w:pPr>
            <w:r>
              <w:rPr>
                <w:rFonts w:hint="eastAsia"/>
                <w:color w:val="auto"/>
                <w:sz w:val="24"/>
                <w:szCs w:val="24"/>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44B0D23E">
            <w:pPr>
              <w:spacing w:before="100" w:beforeAutospacing="1" w:after="100" w:afterAutospacing="1" w:line="260" w:lineRule="exact"/>
              <w:rPr>
                <w:color w:val="auto"/>
                <w:sz w:val="24"/>
                <w:szCs w:val="24"/>
              </w:rPr>
            </w:pPr>
            <w:r>
              <w:rPr>
                <w:rFonts w:hint="eastAsia"/>
                <w:color w:val="auto"/>
                <w:sz w:val="24"/>
                <w:szCs w:val="24"/>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12C3450E">
            <w:pPr>
              <w:spacing w:line="260" w:lineRule="exact"/>
              <w:rPr>
                <w:color w:val="auto"/>
                <w:sz w:val="24"/>
                <w:szCs w:val="24"/>
              </w:rPr>
            </w:pPr>
          </w:p>
        </w:tc>
      </w:tr>
      <w:tr w14:paraId="36382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679ECC7E">
            <w:pPr>
              <w:spacing w:before="100" w:beforeAutospacing="1" w:after="100" w:afterAutospacing="1" w:line="260" w:lineRule="exact"/>
              <w:jc w:val="center"/>
              <w:rPr>
                <w:color w:val="auto"/>
                <w:sz w:val="24"/>
                <w:szCs w:val="24"/>
              </w:rPr>
            </w:pPr>
            <w:r>
              <w:rPr>
                <w:rFonts w:hint="eastAsia"/>
                <w:color w:val="auto"/>
                <w:sz w:val="24"/>
                <w:szCs w:val="24"/>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657AD15F">
            <w:pPr>
              <w:pStyle w:val="9"/>
              <w:rPr>
                <w:color w:val="auto"/>
                <w:sz w:val="24"/>
                <w:szCs w:val="24"/>
              </w:rPr>
            </w:pPr>
            <w:r>
              <w:rPr>
                <w:rFonts w:hint="eastAsia"/>
                <w:color w:val="auto"/>
                <w:sz w:val="24"/>
                <w:szCs w:val="24"/>
              </w:rPr>
              <w:t>本企业对上述声明的真实性负责，如有虚假，将依法承担相应责任。</w:t>
            </w:r>
          </w:p>
          <w:p w14:paraId="1B46A777">
            <w:pPr>
              <w:spacing w:before="100" w:beforeAutospacing="1" w:after="100" w:afterAutospacing="1" w:line="260" w:lineRule="exact"/>
              <w:jc w:val="center"/>
              <w:rPr>
                <w:color w:val="auto"/>
                <w:sz w:val="24"/>
                <w:szCs w:val="24"/>
              </w:rPr>
            </w:pPr>
          </w:p>
          <w:p w14:paraId="7498D568">
            <w:pPr>
              <w:spacing w:before="100" w:beforeAutospacing="1" w:after="100" w:afterAutospacing="1" w:line="260" w:lineRule="exact"/>
              <w:jc w:val="center"/>
              <w:rPr>
                <w:color w:val="auto"/>
                <w:sz w:val="24"/>
                <w:szCs w:val="24"/>
              </w:rPr>
            </w:pPr>
            <w:r>
              <w:rPr>
                <w:rFonts w:hint="eastAsia"/>
                <w:color w:val="auto"/>
                <w:sz w:val="24"/>
                <w:szCs w:val="24"/>
                <w:lang w:eastAsia="zh-CN"/>
              </w:rPr>
              <w:t>（</w:t>
            </w:r>
            <w:r>
              <w:rPr>
                <w:rFonts w:hint="eastAsia"/>
                <w:color w:val="auto"/>
                <w:sz w:val="24"/>
                <w:szCs w:val="24"/>
              </w:rPr>
              <w:t>单位公章</w:t>
            </w:r>
            <w:r>
              <w:rPr>
                <w:rFonts w:hint="eastAsia"/>
                <w:color w:val="auto"/>
                <w:sz w:val="24"/>
                <w:szCs w:val="24"/>
                <w:lang w:eastAsia="zh-CN"/>
              </w:rPr>
              <w:t>）</w:t>
            </w:r>
            <w:r>
              <w:rPr>
                <w:rFonts w:hint="eastAsia"/>
                <w:color w:val="auto"/>
                <w:sz w:val="24"/>
                <w:szCs w:val="24"/>
              </w:rPr>
              <w:t xml:space="preserve"> </w:t>
            </w:r>
          </w:p>
          <w:p w14:paraId="01A46BEB">
            <w:pPr>
              <w:spacing w:before="100" w:beforeAutospacing="1" w:after="100" w:afterAutospacing="1" w:line="260" w:lineRule="exact"/>
              <w:jc w:val="center"/>
              <w:rPr>
                <w:color w:val="auto"/>
                <w:sz w:val="24"/>
                <w:szCs w:val="24"/>
              </w:rPr>
            </w:pPr>
            <w:r>
              <w:rPr>
                <w:rFonts w:hint="eastAsia"/>
                <w:color w:val="auto"/>
                <w:sz w:val="24"/>
                <w:szCs w:val="24"/>
              </w:rPr>
              <w:t xml:space="preserve">               日 期：    年  月   日 </w:t>
            </w:r>
          </w:p>
        </w:tc>
      </w:tr>
    </w:tbl>
    <w:p w14:paraId="7AC05E25">
      <w:pPr>
        <w:spacing w:line="264" w:lineRule="auto"/>
        <w:rPr>
          <w:color w:val="auto"/>
          <w:sz w:val="24"/>
          <w:szCs w:val="24"/>
        </w:rPr>
      </w:pPr>
      <w:r>
        <w:rPr>
          <w:rFonts w:hint="eastAsia"/>
          <w:color w:val="auto"/>
          <w:sz w:val="24"/>
          <w:szCs w:val="24"/>
        </w:rPr>
        <w:t>注：（1）企业对上述情况进行承诺，按本表格内容如实填写；</w:t>
      </w:r>
    </w:p>
    <w:p w14:paraId="2A6D5E63">
      <w:pPr>
        <w:spacing w:line="264" w:lineRule="auto"/>
        <w:ind w:firstLine="480" w:firstLineChars="200"/>
        <w:rPr>
          <w:color w:val="auto"/>
          <w:sz w:val="24"/>
          <w:szCs w:val="24"/>
        </w:rPr>
      </w:pPr>
      <w:r>
        <w:rPr>
          <w:rFonts w:hint="eastAsia"/>
          <w:color w:val="auto"/>
          <w:sz w:val="24"/>
          <w:szCs w:val="24"/>
        </w:rPr>
        <w:t>（2）本表格须在投标时作为响应文件的资信部分内容放入响应文件中；</w:t>
      </w:r>
    </w:p>
    <w:p w14:paraId="3E9DD4EA">
      <w:pPr>
        <w:spacing w:line="264" w:lineRule="auto"/>
        <w:ind w:firstLine="480" w:firstLineChars="200"/>
        <w:rPr>
          <w:color w:val="auto"/>
          <w:sz w:val="24"/>
          <w:szCs w:val="24"/>
        </w:rPr>
      </w:pPr>
      <w:r>
        <w:rPr>
          <w:rFonts w:hint="eastAsia"/>
          <w:color w:val="auto"/>
          <w:sz w:val="24"/>
          <w:szCs w:val="24"/>
        </w:rPr>
        <w:t>（3）本表格由企业自己填写，若无表中所列情况，则在相应栏中写“无”，若有，须按具体次数分别说明（包括处罚时间、事由、处罚主体等）。</w:t>
      </w:r>
    </w:p>
    <w:p w14:paraId="24C55BD7">
      <w:pPr>
        <w:pStyle w:val="22"/>
        <w:ind w:left="0"/>
        <w:rPr>
          <w:color w:val="auto"/>
        </w:rPr>
      </w:pPr>
    </w:p>
    <w:p w14:paraId="6BA4A144">
      <w:pPr>
        <w:pStyle w:val="22"/>
        <w:rPr>
          <w:color w:val="auto"/>
        </w:rPr>
      </w:pPr>
    </w:p>
    <w:p w14:paraId="1EF1E492">
      <w:pPr>
        <w:pStyle w:val="27"/>
        <w:rPr>
          <w:color w:val="auto"/>
        </w:rPr>
        <w:sectPr>
          <w:pgSz w:w="11910" w:h="16840"/>
          <w:pgMar w:top="1247" w:right="1247" w:bottom="1247" w:left="1587" w:header="884" w:footer="884" w:gutter="0"/>
          <w:pgNumType w:fmt="decimal"/>
          <w:cols w:space="0" w:num="1"/>
        </w:sectPr>
      </w:pPr>
    </w:p>
    <w:p w14:paraId="5332613E">
      <w:pPr>
        <w:spacing w:before="98" w:after="2"/>
        <w:ind w:left="561" w:right="441"/>
        <w:jc w:val="center"/>
        <w:rPr>
          <w:rFonts w:hint="eastAsia"/>
          <w:b/>
          <w:color w:val="auto"/>
          <w:sz w:val="30"/>
          <w:lang w:val="en-US" w:eastAsia="zh-CN"/>
        </w:rPr>
      </w:pPr>
    </w:p>
    <w:p w14:paraId="7DC68956">
      <w:pPr>
        <w:spacing w:before="98" w:after="2"/>
        <w:ind w:left="561" w:right="441"/>
        <w:jc w:val="center"/>
        <w:rPr>
          <w:b/>
          <w:color w:val="auto"/>
          <w:sz w:val="30"/>
        </w:rPr>
      </w:pPr>
      <w:r>
        <w:rPr>
          <w:rFonts w:hint="eastAsia"/>
          <w:b/>
          <w:color w:val="auto"/>
          <w:sz w:val="30"/>
          <w:lang w:val="en-US" w:eastAsia="zh-CN"/>
        </w:rPr>
        <w:t>4.</w:t>
      </w:r>
      <w:r>
        <w:rPr>
          <w:rFonts w:hint="eastAsia"/>
          <w:b/>
          <w:color w:val="auto"/>
          <w:sz w:val="30"/>
        </w:rPr>
        <w:t>商务响应表</w:t>
      </w:r>
    </w:p>
    <w:p w14:paraId="081B5081">
      <w:pPr>
        <w:pStyle w:val="13"/>
        <w:spacing w:before="120" w:after="120" w:line="560" w:lineRule="exact"/>
        <w:ind w:firstLine="120" w:firstLineChars="50"/>
        <w:rPr>
          <w:rFonts w:hint="eastAsia" w:hAnsi="宋体"/>
          <w:color w:val="auto"/>
        </w:rPr>
      </w:pPr>
      <w:r>
        <w:rPr>
          <w:rFonts w:hint="eastAsia" w:hAnsi="宋体"/>
          <w:color w:val="auto"/>
        </w:rPr>
        <w:t xml:space="preserve">项目编号：                   </w:t>
      </w:r>
    </w:p>
    <w:p w14:paraId="63297FAE">
      <w:pPr>
        <w:pStyle w:val="13"/>
        <w:spacing w:before="120" w:after="120" w:line="560" w:lineRule="exact"/>
        <w:ind w:firstLine="120" w:firstLineChars="50"/>
        <w:rPr>
          <w:rFonts w:hAnsi="宋体"/>
          <w:color w:val="auto"/>
        </w:rPr>
      </w:pPr>
      <w:r>
        <w:rPr>
          <w:rFonts w:hint="eastAsia" w:hAnsi="宋体"/>
          <w:color w:val="auto"/>
        </w:rPr>
        <w:t xml:space="preserve">项目名称：                         </w:t>
      </w:r>
    </w:p>
    <w:tbl>
      <w:tblPr>
        <w:tblStyle w:val="30"/>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58F4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6AFB3F2D">
            <w:pPr>
              <w:pStyle w:val="13"/>
              <w:spacing w:before="120" w:after="120"/>
              <w:jc w:val="center"/>
              <w:rPr>
                <w:rFonts w:ascii="仿宋" w:hAnsi="仿宋"/>
                <w:color w:val="auto"/>
                <w:szCs w:val="24"/>
              </w:rPr>
            </w:pPr>
            <w:r>
              <w:rPr>
                <w:rFonts w:hint="eastAsia" w:ascii="仿宋" w:hAnsi="仿宋"/>
                <w:color w:val="auto"/>
                <w:szCs w:val="24"/>
              </w:rPr>
              <w:t>序号</w:t>
            </w:r>
          </w:p>
        </w:tc>
        <w:tc>
          <w:tcPr>
            <w:tcW w:w="2377" w:type="dxa"/>
            <w:noWrap/>
            <w:vAlign w:val="center"/>
          </w:tcPr>
          <w:p w14:paraId="6795B929">
            <w:pPr>
              <w:pStyle w:val="13"/>
              <w:spacing w:before="120" w:after="120"/>
              <w:jc w:val="center"/>
              <w:rPr>
                <w:rFonts w:ascii="仿宋" w:hAnsi="仿宋"/>
                <w:color w:val="auto"/>
                <w:szCs w:val="24"/>
              </w:rPr>
            </w:pPr>
            <w:r>
              <w:rPr>
                <w:rFonts w:hint="eastAsia" w:ascii="仿宋" w:hAnsi="仿宋"/>
                <w:color w:val="auto"/>
                <w:szCs w:val="24"/>
              </w:rPr>
              <w:t>类别</w:t>
            </w:r>
          </w:p>
        </w:tc>
        <w:tc>
          <w:tcPr>
            <w:tcW w:w="2339" w:type="dxa"/>
            <w:noWrap/>
            <w:vAlign w:val="center"/>
          </w:tcPr>
          <w:p w14:paraId="4BC3FF55">
            <w:pPr>
              <w:pStyle w:val="13"/>
              <w:spacing w:before="120" w:after="120"/>
              <w:jc w:val="center"/>
              <w:rPr>
                <w:rFonts w:ascii="仿宋" w:hAnsi="仿宋"/>
                <w:color w:val="auto"/>
                <w:szCs w:val="24"/>
              </w:rPr>
            </w:pPr>
            <w:r>
              <w:rPr>
                <w:rFonts w:hint="eastAsia" w:ascii="仿宋" w:hAnsi="仿宋"/>
                <w:color w:val="auto"/>
                <w:szCs w:val="24"/>
              </w:rPr>
              <w:t>磋商文件要求</w:t>
            </w:r>
          </w:p>
        </w:tc>
        <w:tc>
          <w:tcPr>
            <w:tcW w:w="2339" w:type="dxa"/>
            <w:noWrap/>
            <w:vAlign w:val="center"/>
          </w:tcPr>
          <w:p w14:paraId="119B1967">
            <w:pPr>
              <w:pStyle w:val="13"/>
              <w:spacing w:before="120" w:after="120"/>
              <w:jc w:val="center"/>
              <w:rPr>
                <w:rFonts w:ascii="仿宋" w:hAnsi="仿宋"/>
                <w:color w:val="auto"/>
                <w:szCs w:val="24"/>
              </w:rPr>
            </w:pPr>
            <w:r>
              <w:rPr>
                <w:rFonts w:hint="eastAsia" w:ascii="仿宋" w:hAnsi="仿宋"/>
                <w:color w:val="auto"/>
                <w:szCs w:val="24"/>
              </w:rPr>
              <w:t>供应商承诺</w:t>
            </w:r>
          </w:p>
        </w:tc>
        <w:tc>
          <w:tcPr>
            <w:tcW w:w="1708" w:type="dxa"/>
            <w:noWrap/>
            <w:vAlign w:val="center"/>
          </w:tcPr>
          <w:p w14:paraId="1EE66527">
            <w:pPr>
              <w:pStyle w:val="13"/>
              <w:spacing w:before="120" w:after="120"/>
              <w:jc w:val="center"/>
              <w:rPr>
                <w:rFonts w:ascii="仿宋" w:hAnsi="仿宋"/>
                <w:color w:val="auto"/>
                <w:szCs w:val="24"/>
              </w:rPr>
            </w:pPr>
            <w:r>
              <w:rPr>
                <w:rFonts w:hint="eastAsia" w:ascii="仿宋" w:hAnsi="仿宋"/>
                <w:color w:val="auto"/>
                <w:szCs w:val="24"/>
              </w:rPr>
              <w:t>备注</w:t>
            </w:r>
          </w:p>
        </w:tc>
      </w:tr>
      <w:tr w14:paraId="5156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5A771CAC">
            <w:pPr>
              <w:pStyle w:val="13"/>
              <w:spacing w:before="120" w:after="120"/>
              <w:jc w:val="center"/>
              <w:rPr>
                <w:rFonts w:ascii="仿宋" w:hAnsi="仿宋"/>
                <w:color w:val="auto"/>
                <w:szCs w:val="24"/>
              </w:rPr>
            </w:pPr>
            <w:r>
              <w:rPr>
                <w:rFonts w:hint="eastAsia" w:ascii="仿宋" w:hAnsi="仿宋"/>
                <w:color w:val="auto"/>
                <w:szCs w:val="24"/>
              </w:rPr>
              <w:t>1</w:t>
            </w:r>
          </w:p>
        </w:tc>
        <w:tc>
          <w:tcPr>
            <w:tcW w:w="2377" w:type="dxa"/>
            <w:noWrap/>
            <w:vAlign w:val="center"/>
          </w:tcPr>
          <w:p w14:paraId="2F3E6B80">
            <w:pPr>
              <w:pStyle w:val="13"/>
              <w:spacing w:before="120" w:after="120"/>
              <w:jc w:val="center"/>
              <w:rPr>
                <w:rFonts w:ascii="仿宋" w:hAnsi="仿宋"/>
                <w:color w:val="auto"/>
                <w:szCs w:val="24"/>
              </w:rPr>
            </w:pPr>
          </w:p>
        </w:tc>
        <w:tc>
          <w:tcPr>
            <w:tcW w:w="2339" w:type="dxa"/>
            <w:noWrap/>
            <w:vAlign w:val="center"/>
          </w:tcPr>
          <w:p w14:paraId="77C90DBB">
            <w:pPr>
              <w:pStyle w:val="13"/>
              <w:spacing w:before="120" w:after="120"/>
              <w:jc w:val="center"/>
              <w:rPr>
                <w:rFonts w:ascii="仿宋" w:hAnsi="仿宋"/>
                <w:color w:val="auto"/>
                <w:szCs w:val="24"/>
              </w:rPr>
            </w:pPr>
          </w:p>
        </w:tc>
        <w:tc>
          <w:tcPr>
            <w:tcW w:w="2339" w:type="dxa"/>
            <w:noWrap/>
            <w:vAlign w:val="center"/>
          </w:tcPr>
          <w:p w14:paraId="38122053">
            <w:pPr>
              <w:pStyle w:val="13"/>
              <w:spacing w:before="120" w:after="120"/>
              <w:jc w:val="center"/>
              <w:rPr>
                <w:rFonts w:ascii="仿宋" w:hAnsi="仿宋"/>
                <w:color w:val="auto"/>
                <w:szCs w:val="24"/>
              </w:rPr>
            </w:pPr>
          </w:p>
        </w:tc>
        <w:tc>
          <w:tcPr>
            <w:tcW w:w="1708" w:type="dxa"/>
            <w:noWrap/>
            <w:vAlign w:val="center"/>
          </w:tcPr>
          <w:p w14:paraId="7902B844">
            <w:pPr>
              <w:pStyle w:val="13"/>
              <w:spacing w:before="120" w:after="120"/>
              <w:jc w:val="center"/>
              <w:rPr>
                <w:rFonts w:ascii="仿宋" w:hAnsi="仿宋"/>
                <w:color w:val="auto"/>
                <w:szCs w:val="24"/>
              </w:rPr>
            </w:pPr>
          </w:p>
        </w:tc>
      </w:tr>
      <w:tr w14:paraId="151D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5E88B527">
            <w:pPr>
              <w:jc w:val="center"/>
              <w:rPr>
                <w:color w:val="auto"/>
                <w:kern w:val="2"/>
                <w:sz w:val="24"/>
                <w:szCs w:val="24"/>
              </w:rPr>
            </w:pPr>
            <w:r>
              <w:rPr>
                <w:rFonts w:hint="eastAsia"/>
                <w:color w:val="auto"/>
                <w:kern w:val="2"/>
                <w:sz w:val="24"/>
                <w:szCs w:val="24"/>
              </w:rPr>
              <w:t>2</w:t>
            </w:r>
          </w:p>
        </w:tc>
        <w:tc>
          <w:tcPr>
            <w:tcW w:w="2377" w:type="dxa"/>
            <w:noWrap/>
            <w:vAlign w:val="center"/>
          </w:tcPr>
          <w:p w14:paraId="6C9E643A">
            <w:pPr>
              <w:snapToGrid w:val="0"/>
              <w:spacing w:beforeLines="50"/>
              <w:jc w:val="center"/>
              <w:rPr>
                <w:rFonts w:ascii="宋体" w:hAnsi="宋体" w:cs="宋体"/>
                <w:color w:val="auto"/>
                <w:kern w:val="2"/>
                <w:sz w:val="21"/>
                <w:szCs w:val="21"/>
                <w:lang w:val="en-US" w:bidi="ar-SA"/>
              </w:rPr>
            </w:pPr>
          </w:p>
        </w:tc>
        <w:tc>
          <w:tcPr>
            <w:tcW w:w="2339" w:type="dxa"/>
            <w:noWrap/>
            <w:vAlign w:val="center"/>
          </w:tcPr>
          <w:p w14:paraId="60EE1BC2">
            <w:pPr>
              <w:jc w:val="center"/>
              <w:rPr>
                <w:color w:val="auto"/>
                <w:kern w:val="2"/>
                <w:sz w:val="24"/>
                <w:szCs w:val="24"/>
              </w:rPr>
            </w:pPr>
          </w:p>
        </w:tc>
        <w:tc>
          <w:tcPr>
            <w:tcW w:w="2339" w:type="dxa"/>
            <w:noWrap/>
            <w:vAlign w:val="center"/>
          </w:tcPr>
          <w:p w14:paraId="77CFBE1F">
            <w:pPr>
              <w:jc w:val="center"/>
              <w:rPr>
                <w:color w:val="auto"/>
                <w:kern w:val="2"/>
                <w:sz w:val="24"/>
                <w:szCs w:val="24"/>
              </w:rPr>
            </w:pPr>
          </w:p>
        </w:tc>
        <w:tc>
          <w:tcPr>
            <w:tcW w:w="1708" w:type="dxa"/>
            <w:noWrap/>
            <w:vAlign w:val="center"/>
          </w:tcPr>
          <w:p w14:paraId="5D503F89">
            <w:pPr>
              <w:jc w:val="center"/>
              <w:rPr>
                <w:color w:val="auto"/>
                <w:kern w:val="2"/>
                <w:sz w:val="24"/>
                <w:szCs w:val="24"/>
              </w:rPr>
            </w:pPr>
          </w:p>
        </w:tc>
      </w:tr>
      <w:tr w14:paraId="7AED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6788EF36">
            <w:pPr>
              <w:jc w:val="center"/>
              <w:rPr>
                <w:color w:val="auto"/>
                <w:kern w:val="2"/>
                <w:sz w:val="24"/>
                <w:szCs w:val="24"/>
              </w:rPr>
            </w:pPr>
            <w:r>
              <w:rPr>
                <w:rFonts w:hint="eastAsia"/>
                <w:color w:val="auto"/>
                <w:kern w:val="2"/>
                <w:sz w:val="24"/>
                <w:szCs w:val="24"/>
              </w:rPr>
              <w:t>3</w:t>
            </w:r>
          </w:p>
        </w:tc>
        <w:tc>
          <w:tcPr>
            <w:tcW w:w="2377" w:type="dxa"/>
            <w:noWrap/>
            <w:vAlign w:val="center"/>
          </w:tcPr>
          <w:p w14:paraId="778CD3D1">
            <w:pPr>
              <w:snapToGrid w:val="0"/>
              <w:spacing w:beforeLines="50"/>
              <w:jc w:val="center"/>
              <w:rPr>
                <w:rFonts w:ascii="宋体" w:hAnsi="宋体" w:cs="宋体"/>
                <w:color w:val="auto"/>
                <w:kern w:val="2"/>
                <w:sz w:val="21"/>
                <w:szCs w:val="21"/>
                <w:lang w:val="en-US" w:bidi="ar-SA"/>
              </w:rPr>
            </w:pPr>
          </w:p>
        </w:tc>
        <w:tc>
          <w:tcPr>
            <w:tcW w:w="2339" w:type="dxa"/>
            <w:noWrap/>
            <w:vAlign w:val="center"/>
          </w:tcPr>
          <w:p w14:paraId="666695DD">
            <w:pPr>
              <w:jc w:val="center"/>
              <w:rPr>
                <w:color w:val="auto"/>
                <w:kern w:val="2"/>
                <w:sz w:val="24"/>
                <w:szCs w:val="24"/>
              </w:rPr>
            </w:pPr>
          </w:p>
        </w:tc>
        <w:tc>
          <w:tcPr>
            <w:tcW w:w="2339" w:type="dxa"/>
            <w:noWrap/>
            <w:vAlign w:val="center"/>
          </w:tcPr>
          <w:p w14:paraId="5A35C626">
            <w:pPr>
              <w:jc w:val="center"/>
              <w:rPr>
                <w:color w:val="auto"/>
                <w:kern w:val="2"/>
                <w:sz w:val="24"/>
                <w:szCs w:val="24"/>
              </w:rPr>
            </w:pPr>
          </w:p>
        </w:tc>
        <w:tc>
          <w:tcPr>
            <w:tcW w:w="1708" w:type="dxa"/>
            <w:noWrap/>
            <w:vAlign w:val="center"/>
          </w:tcPr>
          <w:p w14:paraId="705A1074">
            <w:pPr>
              <w:jc w:val="center"/>
              <w:rPr>
                <w:color w:val="auto"/>
                <w:kern w:val="2"/>
                <w:sz w:val="24"/>
                <w:szCs w:val="24"/>
              </w:rPr>
            </w:pPr>
          </w:p>
        </w:tc>
      </w:tr>
      <w:tr w14:paraId="6BF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C74A424">
            <w:pPr>
              <w:jc w:val="center"/>
              <w:rPr>
                <w:color w:val="auto"/>
                <w:kern w:val="2"/>
                <w:sz w:val="24"/>
                <w:szCs w:val="24"/>
              </w:rPr>
            </w:pPr>
            <w:r>
              <w:rPr>
                <w:rFonts w:hint="eastAsia"/>
                <w:color w:val="auto"/>
                <w:kern w:val="2"/>
                <w:sz w:val="24"/>
                <w:szCs w:val="24"/>
              </w:rPr>
              <w:t>4</w:t>
            </w:r>
          </w:p>
        </w:tc>
        <w:tc>
          <w:tcPr>
            <w:tcW w:w="2377" w:type="dxa"/>
            <w:noWrap/>
            <w:vAlign w:val="center"/>
          </w:tcPr>
          <w:p w14:paraId="3BCA6DB9">
            <w:pPr>
              <w:snapToGrid w:val="0"/>
              <w:spacing w:beforeLines="50"/>
              <w:jc w:val="center"/>
              <w:rPr>
                <w:rFonts w:ascii="宋体" w:hAnsi="宋体" w:eastAsia="宋体" w:cs="宋体"/>
                <w:color w:val="auto"/>
                <w:kern w:val="2"/>
                <w:sz w:val="21"/>
                <w:szCs w:val="21"/>
                <w:lang w:val="en-US" w:bidi="ar-SA"/>
              </w:rPr>
            </w:pPr>
          </w:p>
        </w:tc>
        <w:tc>
          <w:tcPr>
            <w:tcW w:w="2339" w:type="dxa"/>
            <w:noWrap/>
            <w:vAlign w:val="center"/>
          </w:tcPr>
          <w:p w14:paraId="0CFE7EBA">
            <w:pPr>
              <w:jc w:val="center"/>
              <w:rPr>
                <w:color w:val="auto"/>
                <w:kern w:val="2"/>
                <w:sz w:val="24"/>
                <w:szCs w:val="24"/>
              </w:rPr>
            </w:pPr>
          </w:p>
        </w:tc>
        <w:tc>
          <w:tcPr>
            <w:tcW w:w="2339" w:type="dxa"/>
            <w:noWrap/>
            <w:vAlign w:val="center"/>
          </w:tcPr>
          <w:p w14:paraId="0D4F6375">
            <w:pPr>
              <w:jc w:val="center"/>
              <w:rPr>
                <w:color w:val="auto"/>
                <w:kern w:val="2"/>
                <w:sz w:val="24"/>
                <w:szCs w:val="24"/>
              </w:rPr>
            </w:pPr>
          </w:p>
        </w:tc>
        <w:tc>
          <w:tcPr>
            <w:tcW w:w="1708" w:type="dxa"/>
            <w:noWrap/>
            <w:vAlign w:val="center"/>
          </w:tcPr>
          <w:p w14:paraId="2BA12CA3">
            <w:pPr>
              <w:jc w:val="center"/>
              <w:rPr>
                <w:color w:val="auto"/>
                <w:kern w:val="2"/>
                <w:sz w:val="24"/>
                <w:szCs w:val="24"/>
              </w:rPr>
            </w:pPr>
          </w:p>
        </w:tc>
      </w:tr>
      <w:tr w14:paraId="756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5F16A3F1">
            <w:pPr>
              <w:jc w:val="center"/>
              <w:rPr>
                <w:color w:val="auto"/>
                <w:kern w:val="2"/>
                <w:sz w:val="24"/>
                <w:szCs w:val="24"/>
              </w:rPr>
            </w:pPr>
            <w:r>
              <w:rPr>
                <w:rFonts w:hint="eastAsia"/>
                <w:color w:val="auto"/>
                <w:kern w:val="2"/>
                <w:sz w:val="24"/>
                <w:szCs w:val="24"/>
              </w:rPr>
              <w:t>5</w:t>
            </w:r>
          </w:p>
        </w:tc>
        <w:tc>
          <w:tcPr>
            <w:tcW w:w="2377" w:type="dxa"/>
            <w:noWrap/>
            <w:vAlign w:val="center"/>
          </w:tcPr>
          <w:p w14:paraId="3B204BF3">
            <w:pPr>
              <w:jc w:val="center"/>
              <w:rPr>
                <w:color w:val="auto"/>
                <w:kern w:val="2"/>
                <w:sz w:val="24"/>
                <w:szCs w:val="24"/>
              </w:rPr>
            </w:pPr>
            <w:r>
              <w:rPr>
                <w:rFonts w:hint="eastAsia"/>
                <w:color w:val="auto"/>
                <w:sz w:val="24"/>
                <w:szCs w:val="24"/>
              </w:rPr>
              <w:t>……</w:t>
            </w:r>
          </w:p>
        </w:tc>
        <w:tc>
          <w:tcPr>
            <w:tcW w:w="2339" w:type="dxa"/>
            <w:noWrap/>
            <w:vAlign w:val="center"/>
          </w:tcPr>
          <w:p w14:paraId="5E412592">
            <w:pPr>
              <w:jc w:val="center"/>
              <w:rPr>
                <w:color w:val="auto"/>
                <w:kern w:val="2"/>
                <w:sz w:val="24"/>
                <w:szCs w:val="24"/>
              </w:rPr>
            </w:pPr>
            <w:r>
              <w:rPr>
                <w:rFonts w:hint="eastAsia"/>
                <w:color w:val="auto"/>
                <w:sz w:val="24"/>
                <w:szCs w:val="24"/>
              </w:rPr>
              <w:t>……</w:t>
            </w:r>
          </w:p>
        </w:tc>
        <w:tc>
          <w:tcPr>
            <w:tcW w:w="2339" w:type="dxa"/>
            <w:noWrap/>
            <w:vAlign w:val="center"/>
          </w:tcPr>
          <w:p w14:paraId="2AA544A4">
            <w:pPr>
              <w:jc w:val="center"/>
              <w:rPr>
                <w:color w:val="auto"/>
                <w:kern w:val="2"/>
                <w:sz w:val="24"/>
                <w:szCs w:val="24"/>
              </w:rPr>
            </w:pPr>
            <w:r>
              <w:rPr>
                <w:rFonts w:hint="eastAsia"/>
                <w:color w:val="auto"/>
                <w:sz w:val="24"/>
                <w:szCs w:val="24"/>
              </w:rPr>
              <w:t>……</w:t>
            </w:r>
          </w:p>
        </w:tc>
        <w:tc>
          <w:tcPr>
            <w:tcW w:w="1708" w:type="dxa"/>
            <w:noWrap/>
            <w:vAlign w:val="center"/>
          </w:tcPr>
          <w:p w14:paraId="7231073D">
            <w:pPr>
              <w:jc w:val="center"/>
              <w:rPr>
                <w:color w:val="auto"/>
                <w:kern w:val="2"/>
                <w:sz w:val="24"/>
                <w:szCs w:val="24"/>
              </w:rPr>
            </w:pPr>
            <w:r>
              <w:rPr>
                <w:rFonts w:hint="eastAsia"/>
                <w:color w:val="auto"/>
                <w:sz w:val="24"/>
                <w:szCs w:val="24"/>
              </w:rPr>
              <w:t>……</w:t>
            </w:r>
          </w:p>
        </w:tc>
      </w:tr>
    </w:tbl>
    <w:p w14:paraId="53856BB7">
      <w:pPr>
        <w:spacing w:line="460" w:lineRule="exact"/>
        <w:jc w:val="both"/>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highlight w:val="none"/>
          <w:lang w:val="en-US" w:eastAsia="zh-CN" w:bidi="ar-SA"/>
        </w:rPr>
        <w:t>注：本表格为商务要求中除报价以外的其他要求，</w:t>
      </w:r>
      <w:r>
        <w:rPr>
          <w:rFonts w:hint="eastAsia" w:ascii="仿宋" w:hAnsi="仿宋" w:eastAsia="仿宋" w:cs="仿宋"/>
          <w:bCs/>
          <w:color w:val="auto"/>
          <w:sz w:val="24"/>
          <w:highlight w:val="none"/>
        </w:rPr>
        <w:t>不填写视同完全响应</w:t>
      </w:r>
      <w:r>
        <w:rPr>
          <w:rFonts w:hint="eastAsia" w:ascii="仿宋" w:hAnsi="仿宋" w:eastAsia="仿宋" w:cs="仿宋"/>
          <w:bCs/>
          <w:color w:val="auto"/>
          <w:sz w:val="24"/>
          <w:highlight w:val="none"/>
          <w:lang w:eastAsia="zh-CN"/>
        </w:rPr>
        <w:t>招标</w:t>
      </w:r>
      <w:r>
        <w:rPr>
          <w:rFonts w:hint="eastAsia" w:ascii="仿宋" w:hAnsi="仿宋" w:eastAsia="仿宋" w:cs="仿宋"/>
          <w:bCs/>
          <w:color w:val="auto"/>
          <w:sz w:val="24"/>
          <w:highlight w:val="none"/>
        </w:rPr>
        <w:t>文件要求</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2"/>
          <w:sz w:val="24"/>
          <w:szCs w:val="24"/>
          <w:highlight w:val="none"/>
          <w:lang w:val="en-US" w:eastAsia="zh-CN" w:bidi="ar-SA"/>
        </w:rPr>
        <w:t>投标人应结合“第二章采购需求”进行编制，</w:t>
      </w:r>
      <w:r>
        <w:rPr>
          <w:rFonts w:hint="eastAsia" w:ascii="仿宋" w:hAnsi="仿宋" w:eastAsia="仿宋" w:cs="仿宋"/>
          <w:color w:val="auto"/>
          <w:sz w:val="24"/>
          <w:highlight w:val="none"/>
        </w:rPr>
        <w:t>备注栏填正偏离、负偏离或无偏离</w:t>
      </w:r>
      <w:r>
        <w:rPr>
          <w:rFonts w:hint="eastAsia" w:ascii="仿宋" w:hAnsi="仿宋" w:eastAsia="仿宋" w:cs="仿宋"/>
          <w:color w:val="auto"/>
          <w:sz w:val="24"/>
          <w:highlight w:val="none"/>
          <w:lang w:eastAsia="zh-CN"/>
        </w:rPr>
        <w:t>。</w:t>
      </w:r>
    </w:p>
    <w:p w14:paraId="2D22C05C">
      <w:pPr>
        <w:pStyle w:val="54"/>
        <w:wordWrap w:val="0"/>
        <w:spacing w:line="360" w:lineRule="auto"/>
        <w:ind w:firstLine="480"/>
        <w:jc w:val="center"/>
        <w:rPr>
          <w:rFonts w:hint="eastAsia" w:ascii="仿宋_GB2312" w:hAnsi="Courier New" w:eastAsia="仿宋_GB2312"/>
          <w:color w:val="auto"/>
          <w:sz w:val="24"/>
          <w:szCs w:val="21"/>
        </w:rPr>
      </w:pPr>
    </w:p>
    <w:p w14:paraId="0D2D65B5">
      <w:pPr>
        <w:pStyle w:val="54"/>
        <w:wordWrap w:val="0"/>
        <w:spacing w:line="360" w:lineRule="auto"/>
        <w:ind w:firstLine="480"/>
        <w:jc w:val="center"/>
        <w:rPr>
          <w:rFonts w:hint="eastAsia" w:ascii="仿宋_GB2312" w:hAnsi="Courier New" w:eastAsia="仿宋_GB2312"/>
          <w:color w:val="auto"/>
          <w:sz w:val="24"/>
          <w:szCs w:val="21"/>
        </w:rPr>
      </w:pPr>
    </w:p>
    <w:p w14:paraId="4FD3BF86">
      <w:pPr>
        <w:pStyle w:val="54"/>
        <w:wordWrap w:val="0"/>
        <w:spacing w:line="360" w:lineRule="auto"/>
        <w:ind w:firstLine="480"/>
        <w:jc w:val="center"/>
        <w:rPr>
          <w:rFonts w:hint="eastAsia" w:ascii="仿宋" w:hAnsi="仿宋" w:eastAsia="仿宋" w:cs="仿宋"/>
          <w:color w:val="auto"/>
          <w:sz w:val="24"/>
          <w:szCs w:val="21"/>
          <w:u w:val="single"/>
        </w:rPr>
      </w:pPr>
      <w:r>
        <w:rPr>
          <w:rFonts w:hint="eastAsia" w:ascii="仿宋" w:hAnsi="仿宋" w:eastAsia="仿宋" w:cs="仿宋"/>
          <w:color w:val="auto"/>
          <w:sz w:val="24"/>
          <w:szCs w:val="21"/>
        </w:rPr>
        <w:t>供应商盖章：</w:t>
      </w:r>
    </w:p>
    <w:p w14:paraId="02C5CECE">
      <w:pPr>
        <w:pStyle w:val="54"/>
        <w:wordWrap w:val="0"/>
        <w:spacing w:line="360" w:lineRule="auto"/>
        <w:ind w:firstLine="480"/>
        <w:jc w:val="center"/>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p>
    <w:p w14:paraId="6D9D38D9">
      <w:pPr>
        <w:spacing w:line="560" w:lineRule="exact"/>
        <w:ind w:firstLine="4830" w:firstLineChars="2300"/>
        <w:rPr>
          <w:rFonts w:hint="eastAsia" w:ascii="仿宋" w:hAnsi="仿宋" w:eastAsia="仿宋" w:cs="仿宋"/>
          <w:color w:val="auto"/>
          <w:sz w:val="21"/>
          <w:szCs w:val="21"/>
        </w:rPr>
      </w:pPr>
    </w:p>
    <w:p w14:paraId="0672E4F9">
      <w:pPr>
        <w:spacing w:line="440" w:lineRule="exact"/>
        <w:ind w:firstLine="643" w:firstLineChars="200"/>
        <w:rPr>
          <w:rFonts w:ascii="宋体" w:eastAsia="宋体" w:cs="宋体"/>
          <w:b/>
          <w:color w:val="auto"/>
          <w:kern w:val="2"/>
          <w:sz w:val="32"/>
          <w:szCs w:val="32"/>
        </w:rPr>
      </w:pPr>
    </w:p>
    <w:p w14:paraId="2377BB63">
      <w:pPr>
        <w:rPr>
          <w:rFonts w:ascii="宋体" w:eastAsia="宋体" w:cs="宋体"/>
          <w:b/>
          <w:color w:val="auto"/>
          <w:kern w:val="2"/>
          <w:sz w:val="32"/>
          <w:szCs w:val="32"/>
        </w:rPr>
      </w:pPr>
      <w:r>
        <w:rPr>
          <w:rFonts w:hint="eastAsia" w:ascii="宋体" w:eastAsia="宋体" w:cs="宋体"/>
          <w:b/>
          <w:color w:val="auto"/>
          <w:kern w:val="2"/>
          <w:sz w:val="32"/>
          <w:szCs w:val="32"/>
        </w:rPr>
        <w:br w:type="page"/>
      </w:r>
    </w:p>
    <w:p w14:paraId="408A7764">
      <w:pPr>
        <w:spacing w:line="360" w:lineRule="auto"/>
        <w:jc w:val="center"/>
        <w:rPr>
          <w:rFonts w:hint="eastAsia" w:ascii="宋体" w:hAnsi="宋体" w:cs="宋体"/>
          <w:b/>
          <w:color w:val="auto"/>
          <w:sz w:val="28"/>
          <w:szCs w:val="28"/>
          <w:lang w:val="en-US" w:eastAsia="zh-CN"/>
        </w:rPr>
      </w:pPr>
    </w:p>
    <w:p w14:paraId="4CFBCCE8">
      <w:pPr>
        <w:spacing w:line="360" w:lineRule="auto"/>
        <w:jc w:val="center"/>
        <w:rPr>
          <w:rFonts w:hint="eastAsia" w:ascii="宋体" w:hAnsi="宋体" w:cs="宋体"/>
          <w:b/>
          <w:color w:val="auto"/>
          <w:sz w:val="28"/>
          <w:szCs w:val="28"/>
          <w:lang w:val="en-US"/>
        </w:rPr>
      </w:pPr>
      <w:r>
        <w:rPr>
          <w:rFonts w:hint="eastAsia" w:ascii="宋体" w:hAnsi="宋体" w:cs="宋体"/>
          <w:b/>
          <w:color w:val="auto"/>
          <w:sz w:val="28"/>
          <w:szCs w:val="28"/>
          <w:lang w:val="en-US" w:eastAsia="zh-CN"/>
        </w:rPr>
        <w:t>5.</w:t>
      </w:r>
      <w:r>
        <w:rPr>
          <w:rFonts w:hint="eastAsia" w:ascii="宋体" w:hAnsi="宋体" w:cs="宋体"/>
          <w:b/>
          <w:color w:val="auto"/>
          <w:sz w:val="28"/>
          <w:szCs w:val="28"/>
          <w:lang w:val="en-US"/>
        </w:rPr>
        <w:t>类似业绩</w:t>
      </w:r>
    </w:p>
    <w:p w14:paraId="7CE87A58">
      <w:pPr>
        <w:pStyle w:val="21"/>
        <w:snapToGrid w:val="0"/>
        <w:ind w:left="482" w:hanging="482"/>
        <w:jc w:val="center"/>
        <w:rPr>
          <w:b/>
          <w:color w:val="auto"/>
          <w:sz w:val="24"/>
          <w:szCs w:val="24"/>
        </w:rPr>
      </w:pPr>
    </w:p>
    <w:tbl>
      <w:tblPr>
        <w:tblStyle w:val="30"/>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2A4D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410D40CA">
            <w:pPr>
              <w:snapToGrid w:val="0"/>
              <w:spacing w:line="240" w:lineRule="exact"/>
              <w:jc w:val="center"/>
              <w:rPr>
                <w:b/>
                <w:color w:val="auto"/>
              </w:rPr>
            </w:pPr>
            <w:r>
              <w:rPr>
                <w:rFonts w:hint="eastAsia"/>
                <w:b/>
                <w:color w:val="auto"/>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3B6B4AE8">
            <w:pPr>
              <w:snapToGrid w:val="0"/>
              <w:spacing w:line="240" w:lineRule="exact"/>
              <w:jc w:val="center"/>
              <w:rPr>
                <w:b/>
                <w:color w:val="auto"/>
              </w:rPr>
            </w:pPr>
            <w:r>
              <w:rPr>
                <w:rFonts w:hint="eastAsia"/>
                <w:b/>
                <w:color w:val="auto"/>
              </w:rPr>
              <w:t>项目名称</w:t>
            </w:r>
          </w:p>
        </w:tc>
        <w:tc>
          <w:tcPr>
            <w:tcW w:w="1575" w:type="dxa"/>
            <w:tcBorders>
              <w:top w:val="single" w:color="auto" w:sz="4" w:space="0"/>
              <w:left w:val="single" w:color="auto" w:sz="4" w:space="0"/>
              <w:right w:val="single" w:color="auto" w:sz="4" w:space="0"/>
            </w:tcBorders>
            <w:noWrap/>
            <w:vAlign w:val="center"/>
          </w:tcPr>
          <w:p w14:paraId="14C192F0">
            <w:pPr>
              <w:snapToGrid w:val="0"/>
              <w:spacing w:line="240" w:lineRule="exact"/>
              <w:jc w:val="center"/>
              <w:rPr>
                <w:b/>
                <w:color w:val="auto"/>
              </w:rPr>
            </w:pPr>
            <w:r>
              <w:rPr>
                <w:rFonts w:hint="eastAsia"/>
                <w:b/>
                <w:color w:val="auto"/>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3A4DFDED">
            <w:pPr>
              <w:snapToGrid w:val="0"/>
              <w:spacing w:line="240" w:lineRule="exact"/>
              <w:jc w:val="center"/>
              <w:rPr>
                <w:b/>
                <w:color w:val="auto"/>
              </w:rPr>
            </w:pPr>
            <w:r>
              <w:rPr>
                <w:rFonts w:hint="eastAsia"/>
                <w:b/>
                <w:color w:val="auto"/>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5D8B328F">
            <w:pPr>
              <w:snapToGrid w:val="0"/>
              <w:spacing w:line="240" w:lineRule="exact"/>
              <w:jc w:val="center"/>
              <w:rPr>
                <w:b/>
                <w:color w:val="auto"/>
              </w:rPr>
            </w:pPr>
            <w:r>
              <w:rPr>
                <w:rFonts w:hint="eastAsia"/>
                <w:b/>
                <w:color w:val="auto"/>
              </w:rPr>
              <w:t>合同金额</w:t>
            </w:r>
          </w:p>
          <w:p w14:paraId="122E5D77">
            <w:pPr>
              <w:snapToGrid w:val="0"/>
              <w:spacing w:line="240" w:lineRule="exact"/>
              <w:jc w:val="center"/>
              <w:rPr>
                <w:b/>
                <w:color w:val="auto"/>
              </w:rPr>
            </w:pPr>
            <w:r>
              <w:rPr>
                <w:rFonts w:hint="eastAsia"/>
                <w:b/>
                <w:color w:val="auto"/>
              </w:rPr>
              <w:t>（万元）</w:t>
            </w:r>
          </w:p>
        </w:tc>
        <w:tc>
          <w:tcPr>
            <w:tcW w:w="1113" w:type="dxa"/>
            <w:tcBorders>
              <w:top w:val="single" w:color="auto" w:sz="4" w:space="0"/>
              <w:left w:val="single" w:color="auto" w:sz="4" w:space="0"/>
              <w:right w:val="single" w:color="auto" w:sz="4" w:space="0"/>
            </w:tcBorders>
            <w:noWrap/>
            <w:vAlign w:val="center"/>
          </w:tcPr>
          <w:p w14:paraId="16780EDE">
            <w:pPr>
              <w:snapToGrid w:val="0"/>
              <w:spacing w:line="240" w:lineRule="exact"/>
              <w:jc w:val="center"/>
              <w:rPr>
                <w:b/>
                <w:color w:val="auto"/>
              </w:rPr>
            </w:pPr>
            <w:r>
              <w:rPr>
                <w:rFonts w:hint="eastAsia"/>
                <w:b/>
                <w:iCs/>
                <w:color w:val="auto"/>
                <w:spacing w:val="20"/>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0EAAB8E0">
            <w:pPr>
              <w:snapToGrid w:val="0"/>
              <w:spacing w:line="240" w:lineRule="exact"/>
              <w:jc w:val="center"/>
              <w:rPr>
                <w:b/>
                <w:color w:val="auto"/>
              </w:rPr>
            </w:pPr>
            <w:r>
              <w:rPr>
                <w:rFonts w:hint="eastAsia"/>
                <w:b/>
                <w:color w:val="auto"/>
              </w:rPr>
              <w:t>采购单位联系人及联系电话</w:t>
            </w:r>
          </w:p>
        </w:tc>
      </w:tr>
      <w:tr w14:paraId="1A836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764399FA">
            <w:pPr>
              <w:snapToGrid w:val="0"/>
              <w:spacing w:line="24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17C220B6">
            <w:pPr>
              <w:snapToGrid w:val="0"/>
              <w:spacing w:line="24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21F2BC2C">
            <w:pPr>
              <w:snapToGrid w:val="0"/>
              <w:spacing w:line="24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38200B97">
            <w:pPr>
              <w:snapToGrid w:val="0"/>
              <w:spacing w:line="24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167C92F2">
            <w:pPr>
              <w:snapToGrid w:val="0"/>
              <w:spacing w:line="24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2D0C1758">
            <w:pPr>
              <w:snapToGrid w:val="0"/>
              <w:spacing w:line="24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47EA8BB7">
            <w:pPr>
              <w:snapToGrid w:val="0"/>
              <w:spacing w:line="240" w:lineRule="exact"/>
              <w:rPr>
                <w:color w:val="auto"/>
              </w:rPr>
            </w:pPr>
          </w:p>
        </w:tc>
      </w:tr>
      <w:tr w14:paraId="4B93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7C60158">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511DA3D4">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21B47177">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04A5D571">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35E96A56">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48F79AA5">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11F61ECD">
            <w:pPr>
              <w:snapToGrid w:val="0"/>
              <w:spacing w:before="50" w:afterLines="50" w:line="400" w:lineRule="exact"/>
              <w:rPr>
                <w:color w:val="auto"/>
              </w:rPr>
            </w:pPr>
          </w:p>
        </w:tc>
      </w:tr>
      <w:tr w14:paraId="4EC9A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5DD27211">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3871451E">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0A5730EC">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4FBA72EE">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6A1635B6">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4FAAE2B3">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0E8C90A5">
            <w:pPr>
              <w:snapToGrid w:val="0"/>
              <w:spacing w:before="50" w:afterLines="50" w:line="400" w:lineRule="exact"/>
              <w:rPr>
                <w:color w:val="auto"/>
              </w:rPr>
            </w:pPr>
          </w:p>
        </w:tc>
      </w:tr>
      <w:tr w14:paraId="0F506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1F9AD6C4">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446FE0A5">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21FAD14B">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6F8A46E1">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01EAA9BC">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68F6B0C6">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6A30DF47">
            <w:pPr>
              <w:snapToGrid w:val="0"/>
              <w:spacing w:before="50" w:afterLines="50" w:line="400" w:lineRule="exact"/>
              <w:rPr>
                <w:color w:val="auto"/>
              </w:rPr>
            </w:pPr>
          </w:p>
        </w:tc>
      </w:tr>
      <w:tr w14:paraId="216A7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1C033B16">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641F3802">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38E64498">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36EF6AB5">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3545793F">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7400EA75">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3CEAD4CC">
            <w:pPr>
              <w:snapToGrid w:val="0"/>
              <w:spacing w:before="50" w:afterLines="50" w:line="400" w:lineRule="exact"/>
              <w:rPr>
                <w:color w:val="auto"/>
              </w:rPr>
            </w:pPr>
          </w:p>
        </w:tc>
      </w:tr>
      <w:tr w14:paraId="6FB6B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9E1D072">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329E3B43">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17ECBF7E">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3237F98D">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6B2F895A">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30572EFE">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3DB3F552">
            <w:pPr>
              <w:snapToGrid w:val="0"/>
              <w:spacing w:before="50" w:afterLines="50" w:line="400" w:lineRule="exact"/>
              <w:rPr>
                <w:color w:val="auto"/>
              </w:rPr>
            </w:pPr>
          </w:p>
        </w:tc>
      </w:tr>
      <w:tr w14:paraId="0CD9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B530106">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403A3F2C">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43CDC925">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791E4646">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65BAF5D3">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200F374E">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4710A1F2">
            <w:pPr>
              <w:snapToGrid w:val="0"/>
              <w:spacing w:before="50" w:afterLines="50" w:line="400" w:lineRule="exact"/>
              <w:rPr>
                <w:color w:val="auto"/>
              </w:rPr>
            </w:pPr>
          </w:p>
        </w:tc>
      </w:tr>
      <w:tr w14:paraId="1132B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4699662">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3BA37678">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0FDEC4CB">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5CA3C698">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3BCBF609">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6665E360">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27421736">
            <w:pPr>
              <w:snapToGrid w:val="0"/>
              <w:spacing w:before="50" w:afterLines="50" w:line="400" w:lineRule="exact"/>
              <w:rPr>
                <w:color w:val="auto"/>
              </w:rPr>
            </w:pPr>
          </w:p>
        </w:tc>
      </w:tr>
      <w:tr w14:paraId="4D444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3616D2B">
            <w:pPr>
              <w:snapToGrid w:val="0"/>
              <w:spacing w:before="50" w:afterLines="50" w:line="400" w:lineRule="exact"/>
              <w:rPr>
                <w:color w:val="auto"/>
              </w:rPr>
            </w:pPr>
          </w:p>
        </w:tc>
        <w:tc>
          <w:tcPr>
            <w:tcW w:w="1920" w:type="dxa"/>
            <w:tcBorders>
              <w:top w:val="single" w:color="auto" w:sz="4" w:space="0"/>
              <w:left w:val="single" w:color="auto" w:sz="4" w:space="0"/>
              <w:bottom w:val="single" w:color="auto" w:sz="4" w:space="0"/>
              <w:right w:val="single" w:color="auto" w:sz="4" w:space="0"/>
            </w:tcBorders>
            <w:noWrap/>
          </w:tcPr>
          <w:p w14:paraId="296DCC5C">
            <w:pPr>
              <w:snapToGrid w:val="0"/>
              <w:spacing w:before="50" w:afterLines="50" w:line="400" w:lineRule="exact"/>
              <w:rPr>
                <w:color w:val="auto"/>
              </w:rPr>
            </w:pPr>
          </w:p>
        </w:tc>
        <w:tc>
          <w:tcPr>
            <w:tcW w:w="1575" w:type="dxa"/>
            <w:tcBorders>
              <w:top w:val="single" w:color="auto" w:sz="4" w:space="0"/>
              <w:left w:val="single" w:color="auto" w:sz="4" w:space="0"/>
              <w:bottom w:val="single" w:color="auto" w:sz="4" w:space="0"/>
              <w:right w:val="single" w:color="auto" w:sz="4" w:space="0"/>
            </w:tcBorders>
            <w:noWrap/>
          </w:tcPr>
          <w:p w14:paraId="5A5804AB">
            <w:pPr>
              <w:snapToGrid w:val="0"/>
              <w:spacing w:before="50" w:afterLines="50" w:line="400" w:lineRule="exact"/>
              <w:rPr>
                <w:color w:val="auto"/>
              </w:rPr>
            </w:pPr>
          </w:p>
        </w:tc>
        <w:tc>
          <w:tcPr>
            <w:tcW w:w="1650" w:type="dxa"/>
            <w:tcBorders>
              <w:top w:val="single" w:color="auto" w:sz="4" w:space="0"/>
              <w:left w:val="single" w:color="auto" w:sz="4" w:space="0"/>
              <w:bottom w:val="single" w:color="auto" w:sz="4" w:space="0"/>
              <w:right w:val="single" w:color="auto" w:sz="4" w:space="0"/>
            </w:tcBorders>
            <w:noWrap/>
          </w:tcPr>
          <w:p w14:paraId="461CB9BC">
            <w:pPr>
              <w:snapToGrid w:val="0"/>
              <w:spacing w:before="50" w:afterLines="50" w:line="400" w:lineRule="exact"/>
              <w:rPr>
                <w:color w:val="auto"/>
              </w:rPr>
            </w:pPr>
          </w:p>
        </w:tc>
        <w:tc>
          <w:tcPr>
            <w:tcW w:w="1100" w:type="dxa"/>
            <w:tcBorders>
              <w:top w:val="single" w:color="auto" w:sz="4" w:space="0"/>
              <w:left w:val="single" w:color="auto" w:sz="4" w:space="0"/>
              <w:bottom w:val="single" w:color="auto" w:sz="4" w:space="0"/>
              <w:right w:val="single" w:color="auto" w:sz="4" w:space="0"/>
            </w:tcBorders>
            <w:noWrap/>
          </w:tcPr>
          <w:p w14:paraId="49F92F8D">
            <w:pPr>
              <w:snapToGrid w:val="0"/>
              <w:spacing w:before="50" w:afterLines="50" w:line="400" w:lineRule="exact"/>
              <w:rPr>
                <w:color w:val="auto"/>
              </w:rPr>
            </w:pPr>
          </w:p>
        </w:tc>
        <w:tc>
          <w:tcPr>
            <w:tcW w:w="1113" w:type="dxa"/>
            <w:tcBorders>
              <w:top w:val="single" w:color="auto" w:sz="4" w:space="0"/>
              <w:left w:val="single" w:color="auto" w:sz="4" w:space="0"/>
              <w:bottom w:val="single" w:color="auto" w:sz="4" w:space="0"/>
              <w:right w:val="single" w:color="auto" w:sz="4" w:space="0"/>
            </w:tcBorders>
            <w:noWrap/>
          </w:tcPr>
          <w:p w14:paraId="5F88C1B1">
            <w:pPr>
              <w:snapToGrid w:val="0"/>
              <w:spacing w:before="50" w:afterLines="50" w:line="400" w:lineRule="exact"/>
              <w:rPr>
                <w:color w:val="auto"/>
              </w:rPr>
            </w:pPr>
          </w:p>
        </w:tc>
        <w:tc>
          <w:tcPr>
            <w:tcW w:w="1211" w:type="dxa"/>
            <w:tcBorders>
              <w:top w:val="single" w:color="auto" w:sz="4" w:space="0"/>
              <w:left w:val="single" w:color="auto" w:sz="4" w:space="0"/>
              <w:bottom w:val="single" w:color="auto" w:sz="4" w:space="0"/>
              <w:right w:val="single" w:color="auto" w:sz="4" w:space="0"/>
            </w:tcBorders>
            <w:noWrap/>
          </w:tcPr>
          <w:p w14:paraId="583CE1C1">
            <w:pPr>
              <w:snapToGrid w:val="0"/>
              <w:spacing w:before="50" w:afterLines="50" w:line="400" w:lineRule="exact"/>
              <w:rPr>
                <w:color w:val="auto"/>
              </w:rPr>
            </w:pPr>
          </w:p>
        </w:tc>
      </w:tr>
    </w:tbl>
    <w:p w14:paraId="057110A7">
      <w:pPr>
        <w:pStyle w:val="21"/>
        <w:snapToGrid w:val="0"/>
        <w:spacing w:line="360" w:lineRule="auto"/>
        <w:ind w:left="482" w:hanging="482"/>
        <w:rPr>
          <w:b/>
          <w:color w:val="auto"/>
          <w:sz w:val="24"/>
          <w:szCs w:val="24"/>
        </w:rPr>
      </w:pPr>
      <w:r>
        <w:rPr>
          <w:rFonts w:hint="eastAsia"/>
          <w:b/>
          <w:color w:val="auto"/>
          <w:sz w:val="24"/>
          <w:szCs w:val="24"/>
        </w:rPr>
        <w:t>注：合同等相应资料扫描件附后。</w:t>
      </w:r>
    </w:p>
    <w:p w14:paraId="1AEE40C6">
      <w:pPr>
        <w:spacing w:line="360" w:lineRule="auto"/>
        <w:rPr>
          <w:color w:val="auto"/>
          <w:sz w:val="24"/>
          <w:szCs w:val="24"/>
        </w:rPr>
      </w:pPr>
    </w:p>
    <w:p w14:paraId="694CBA4D">
      <w:pPr>
        <w:rPr>
          <w:color w:val="auto"/>
          <w:sz w:val="24"/>
          <w:szCs w:val="24"/>
        </w:rPr>
      </w:pPr>
    </w:p>
    <w:p w14:paraId="226A6A87">
      <w:pPr>
        <w:pStyle w:val="13"/>
        <w:spacing w:before="120" w:after="120" w:line="360" w:lineRule="auto"/>
        <w:ind w:firstLine="5320" w:firstLineChars="1900"/>
        <w:rPr>
          <w:rFonts w:ascii="仿宋" w:hAnsi="仿宋"/>
          <w:color w:val="auto"/>
          <w:spacing w:val="20"/>
          <w:szCs w:val="24"/>
          <w:u w:val="single"/>
        </w:rPr>
      </w:pPr>
      <w:r>
        <w:rPr>
          <w:rFonts w:hint="eastAsia" w:ascii="仿宋" w:hAnsi="仿宋"/>
          <w:color w:val="auto"/>
          <w:spacing w:val="20"/>
          <w:szCs w:val="24"/>
          <w:lang w:val="en-US"/>
        </w:rPr>
        <w:t>供应商</w:t>
      </w:r>
      <w:r>
        <w:rPr>
          <w:rFonts w:hint="eastAsia" w:ascii="仿宋" w:hAnsi="仿宋"/>
          <w:color w:val="auto"/>
          <w:spacing w:val="20"/>
          <w:szCs w:val="24"/>
        </w:rPr>
        <w:t>盖章：</w:t>
      </w:r>
    </w:p>
    <w:p w14:paraId="2B2FCCE4">
      <w:pPr>
        <w:spacing w:line="360" w:lineRule="auto"/>
        <w:ind w:firstLine="5320" w:firstLineChars="1900"/>
        <w:rPr>
          <w:color w:val="auto"/>
          <w:spacing w:val="20"/>
          <w:sz w:val="24"/>
          <w:szCs w:val="24"/>
          <w:u w:val="single"/>
        </w:rPr>
      </w:pPr>
      <w:r>
        <w:rPr>
          <w:rFonts w:hint="eastAsia"/>
          <w:color w:val="auto"/>
          <w:spacing w:val="20"/>
          <w:sz w:val="24"/>
          <w:szCs w:val="24"/>
        </w:rPr>
        <w:t>日     期：</w:t>
      </w:r>
    </w:p>
    <w:p w14:paraId="14265222">
      <w:pPr>
        <w:pStyle w:val="27"/>
        <w:ind w:firstLine="0"/>
        <w:rPr>
          <w:color w:val="auto"/>
        </w:rPr>
      </w:pPr>
    </w:p>
    <w:p w14:paraId="79678B8B">
      <w:pPr>
        <w:spacing w:line="440" w:lineRule="exact"/>
        <w:ind w:firstLine="643" w:firstLineChars="200"/>
        <w:jc w:val="center"/>
        <w:rPr>
          <w:rFonts w:ascii="宋体" w:eastAsia="宋体" w:cs="宋体"/>
          <w:b/>
          <w:color w:val="auto"/>
          <w:kern w:val="2"/>
          <w:sz w:val="32"/>
          <w:szCs w:val="32"/>
        </w:rPr>
      </w:pPr>
    </w:p>
    <w:p w14:paraId="1784B615">
      <w:pPr>
        <w:rPr>
          <w:rFonts w:ascii="宋体" w:eastAsia="宋体" w:cs="宋体"/>
          <w:b/>
          <w:color w:val="auto"/>
          <w:kern w:val="2"/>
          <w:sz w:val="32"/>
          <w:szCs w:val="32"/>
        </w:rPr>
      </w:pPr>
      <w:r>
        <w:rPr>
          <w:rFonts w:hint="eastAsia" w:ascii="宋体" w:eastAsia="宋体" w:cs="宋体"/>
          <w:b/>
          <w:color w:val="auto"/>
          <w:kern w:val="2"/>
          <w:sz w:val="32"/>
          <w:szCs w:val="32"/>
        </w:rPr>
        <w:br w:type="page"/>
      </w:r>
    </w:p>
    <w:p w14:paraId="64F84876">
      <w:pPr>
        <w:spacing w:line="360" w:lineRule="auto"/>
        <w:jc w:val="center"/>
        <w:rPr>
          <w:rFonts w:hint="eastAsia" w:ascii="宋体" w:hAnsi="宋体" w:cs="宋体"/>
          <w:b/>
          <w:color w:val="auto"/>
          <w:sz w:val="28"/>
          <w:szCs w:val="28"/>
          <w:lang w:val="en-US" w:eastAsia="zh-CN"/>
        </w:rPr>
      </w:pPr>
    </w:p>
    <w:p w14:paraId="6BFA9A63">
      <w:pPr>
        <w:spacing w:line="360" w:lineRule="auto"/>
        <w:jc w:val="center"/>
        <w:rPr>
          <w:rFonts w:ascii="宋体" w:hAnsi="宋体" w:cs="宋体"/>
          <w:b/>
          <w:color w:val="auto"/>
          <w:sz w:val="28"/>
          <w:szCs w:val="28"/>
        </w:rPr>
      </w:pPr>
      <w:r>
        <w:rPr>
          <w:rFonts w:hint="eastAsia" w:ascii="宋体" w:hAnsi="宋体" w:cs="宋体"/>
          <w:b/>
          <w:color w:val="auto"/>
          <w:sz w:val="28"/>
          <w:szCs w:val="28"/>
          <w:lang w:val="en-US" w:eastAsia="zh-CN"/>
        </w:rPr>
        <w:t>6.</w:t>
      </w:r>
      <w:r>
        <w:rPr>
          <w:rFonts w:hint="eastAsia" w:ascii="宋体" w:hAnsi="宋体" w:cs="宋体"/>
          <w:b/>
          <w:color w:val="auto"/>
          <w:sz w:val="28"/>
          <w:szCs w:val="28"/>
          <w:lang w:val="en-US"/>
        </w:rPr>
        <w:t>人员配备</w:t>
      </w:r>
      <w:r>
        <w:rPr>
          <w:rFonts w:hint="eastAsia" w:ascii="宋体" w:hAnsi="宋体" w:cs="宋体"/>
          <w:b/>
          <w:color w:val="auto"/>
          <w:sz w:val="28"/>
          <w:szCs w:val="28"/>
        </w:rPr>
        <w:t>表</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4408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429C1370">
            <w:pPr>
              <w:pStyle w:val="13"/>
              <w:adjustRightInd w:val="0"/>
              <w:snapToGrid w:val="0"/>
              <w:spacing w:before="120" w:after="120" w:line="300" w:lineRule="auto"/>
              <w:jc w:val="center"/>
              <w:rPr>
                <w:rFonts w:hAnsi="宋体"/>
                <w:b/>
                <w:bCs/>
                <w:color w:val="auto"/>
                <w:sz w:val="22"/>
              </w:rPr>
            </w:pPr>
            <w:r>
              <w:rPr>
                <w:rFonts w:hint="eastAsia" w:hAnsi="宋体"/>
                <w:b/>
                <w:bCs/>
                <w:color w:val="auto"/>
                <w:sz w:val="22"/>
              </w:rPr>
              <w:t>姓名</w:t>
            </w:r>
          </w:p>
        </w:tc>
        <w:tc>
          <w:tcPr>
            <w:tcW w:w="1305" w:type="dxa"/>
            <w:noWrap/>
            <w:vAlign w:val="center"/>
          </w:tcPr>
          <w:p w14:paraId="3503B7F1">
            <w:pPr>
              <w:pStyle w:val="13"/>
              <w:adjustRightInd w:val="0"/>
              <w:snapToGrid w:val="0"/>
              <w:spacing w:before="120" w:after="120" w:line="300" w:lineRule="auto"/>
              <w:jc w:val="center"/>
              <w:rPr>
                <w:rFonts w:hAnsi="宋体"/>
                <w:b/>
                <w:bCs/>
                <w:color w:val="auto"/>
                <w:sz w:val="22"/>
              </w:rPr>
            </w:pPr>
            <w:r>
              <w:rPr>
                <w:rFonts w:hint="eastAsia" w:hAnsi="宋体"/>
                <w:b/>
                <w:bCs/>
                <w:color w:val="auto"/>
                <w:sz w:val="22"/>
              </w:rPr>
              <w:t>本项目拟任岗位</w:t>
            </w:r>
          </w:p>
        </w:tc>
        <w:tc>
          <w:tcPr>
            <w:tcW w:w="1080" w:type="dxa"/>
            <w:noWrap/>
            <w:vAlign w:val="center"/>
          </w:tcPr>
          <w:p w14:paraId="3314417E">
            <w:pPr>
              <w:pStyle w:val="13"/>
              <w:adjustRightInd w:val="0"/>
              <w:snapToGrid w:val="0"/>
              <w:spacing w:before="120" w:after="120" w:line="300" w:lineRule="auto"/>
              <w:jc w:val="center"/>
              <w:rPr>
                <w:rFonts w:hAnsi="宋体"/>
                <w:b/>
                <w:bCs/>
                <w:color w:val="auto"/>
                <w:sz w:val="22"/>
              </w:rPr>
            </w:pPr>
            <w:r>
              <w:rPr>
                <w:rFonts w:hint="eastAsia" w:hAnsi="宋体"/>
                <w:b/>
                <w:bCs/>
                <w:color w:val="auto"/>
                <w:sz w:val="22"/>
              </w:rPr>
              <w:t>年龄</w:t>
            </w:r>
          </w:p>
        </w:tc>
        <w:tc>
          <w:tcPr>
            <w:tcW w:w="1229" w:type="dxa"/>
            <w:noWrap/>
            <w:vAlign w:val="center"/>
          </w:tcPr>
          <w:p w14:paraId="57635A70">
            <w:pPr>
              <w:pStyle w:val="13"/>
              <w:adjustRightInd w:val="0"/>
              <w:snapToGrid w:val="0"/>
              <w:spacing w:before="120" w:after="120" w:line="300" w:lineRule="auto"/>
              <w:jc w:val="center"/>
              <w:rPr>
                <w:rFonts w:hAnsi="宋体"/>
                <w:b/>
                <w:bCs/>
                <w:color w:val="auto"/>
                <w:sz w:val="22"/>
              </w:rPr>
            </w:pPr>
            <w:r>
              <w:rPr>
                <w:rFonts w:hint="eastAsia" w:hAnsi="宋体"/>
                <w:b/>
                <w:bCs/>
                <w:color w:val="auto"/>
                <w:sz w:val="22"/>
              </w:rPr>
              <w:t>职称</w:t>
            </w:r>
          </w:p>
        </w:tc>
        <w:tc>
          <w:tcPr>
            <w:tcW w:w="1381" w:type="dxa"/>
            <w:noWrap/>
            <w:vAlign w:val="center"/>
          </w:tcPr>
          <w:p w14:paraId="1DFAFCF7">
            <w:pPr>
              <w:pStyle w:val="13"/>
              <w:adjustRightInd w:val="0"/>
              <w:snapToGrid w:val="0"/>
              <w:spacing w:before="120" w:after="120" w:line="300" w:lineRule="auto"/>
              <w:jc w:val="center"/>
              <w:rPr>
                <w:rFonts w:hAnsi="宋体"/>
                <w:b/>
                <w:bCs/>
                <w:color w:val="auto"/>
                <w:sz w:val="22"/>
              </w:rPr>
            </w:pPr>
            <w:r>
              <w:rPr>
                <w:rFonts w:hint="eastAsia" w:hAnsi="宋体"/>
                <w:b/>
                <w:bCs/>
                <w:color w:val="auto"/>
                <w:sz w:val="22"/>
              </w:rPr>
              <w:t>技术资格</w:t>
            </w:r>
          </w:p>
        </w:tc>
        <w:tc>
          <w:tcPr>
            <w:tcW w:w="1757" w:type="dxa"/>
            <w:noWrap/>
            <w:vAlign w:val="center"/>
          </w:tcPr>
          <w:p w14:paraId="0FEFE985">
            <w:pPr>
              <w:pStyle w:val="13"/>
              <w:adjustRightInd w:val="0"/>
              <w:snapToGrid w:val="0"/>
              <w:spacing w:before="120" w:after="120" w:line="300" w:lineRule="auto"/>
              <w:jc w:val="center"/>
              <w:rPr>
                <w:rFonts w:hAnsi="宋体"/>
                <w:b/>
                <w:bCs/>
                <w:color w:val="auto"/>
                <w:sz w:val="22"/>
              </w:rPr>
            </w:pPr>
            <w:r>
              <w:rPr>
                <w:rFonts w:hint="eastAsia" w:hAnsi="宋体"/>
                <w:b/>
                <w:bCs/>
                <w:color w:val="auto"/>
                <w:sz w:val="22"/>
              </w:rPr>
              <w:t>联系电话</w:t>
            </w:r>
          </w:p>
        </w:tc>
        <w:tc>
          <w:tcPr>
            <w:tcW w:w="964" w:type="dxa"/>
            <w:noWrap/>
            <w:vAlign w:val="center"/>
          </w:tcPr>
          <w:p w14:paraId="1B5A9375">
            <w:pPr>
              <w:pStyle w:val="13"/>
              <w:adjustRightInd w:val="0"/>
              <w:snapToGrid w:val="0"/>
              <w:spacing w:before="120" w:after="120" w:line="300" w:lineRule="auto"/>
              <w:jc w:val="center"/>
              <w:rPr>
                <w:rFonts w:hAnsi="宋体" w:eastAsia="宋体"/>
                <w:b/>
                <w:bCs/>
                <w:color w:val="auto"/>
                <w:sz w:val="22"/>
              </w:rPr>
            </w:pPr>
            <w:r>
              <w:rPr>
                <w:rFonts w:hint="eastAsia" w:hAnsi="宋体"/>
                <w:b/>
                <w:bCs/>
                <w:color w:val="auto"/>
                <w:sz w:val="22"/>
              </w:rPr>
              <w:t>备注</w:t>
            </w:r>
          </w:p>
        </w:tc>
      </w:tr>
      <w:tr w14:paraId="3B1D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3FCD7A2">
            <w:pPr>
              <w:pStyle w:val="13"/>
              <w:adjustRightInd w:val="0"/>
              <w:snapToGrid w:val="0"/>
              <w:spacing w:before="120" w:after="120" w:line="300" w:lineRule="auto"/>
              <w:rPr>
                <w:rFonts w:hAnsi="宋体"/>
                <w:color w:val="auto"/>
              </w:rPr>
            </w:pPr>
          </w:p>
        </w:tc>
        <w:tc>
          <w:tcPr>
            <w:tcW w:w="1305" w:type="dxa"/>
            <w:noWrap/>
          </w:tcPr>
          <w:p w14:paraId="0C2040C4">
            <w:pPr>
              <w:pStyle w:val="13"/>
              <w:adjustRightInd w:val="0"/>
              <w:snapToGrid w:val="0"/>
              <w:spacing w:before="120" w:after="120" w:line="300" w:lineRule="auto"/>
              <w:jc w:val="center"/>
              <w:rPr>
                <w:rFonts w:hAnsi="宋体"/>
                <w:color w:val="auto"/>
              </w:rPr>
            </w:pPr>
          </w:p>
        </w:tc>
        <w:tc>
          <w:tcPr>
            <w:tcW w:w="1080" w:type="dxa"/>
            <w:noWrap/>
          </w:tcPr>
          <w:p w14:paraId="00BEC933">
            <w:pPr>
              <w:pStyle w:val="13"/>
              <w:adjustRightInd w:val="0"/>
              <w:snapToGrid w:val="0"/>
              <w:spacing w:before="120" w:after="120" w:line="300" w:lineRule="auto"/>
              <w:rPr>
                <w:rFonts w:hAnsi="宋体"/>
                <w:color w:val="auto"/>
              </w:rPr>
            </w:pPr>
          </w:p>
        </w:tc>
        <w:tc>
          <w:tcPr>
            <w:tcW w:w="1229" w:type="dxa"/>
            <w:noWrap/>
          </w:tcPr>
          <w:p w14:paraId="57DB7C44">
            <w:pPr>
              <w:pStyle w:val="13"/>
              <w:adjustRightInd w:val="0"/>
              <w:snapToGrid w:val="0"/>
              <w:spacing w:before="120" w:after="120" w:line="300" w:lineRule="auto"/>
              <w:rPr>
                <w:rFonts w:hAnsi="宋体"/>
                <w:color w:val="auto"/>
              </w:rPr>
            </w:pPr>
          </w:p>
        </w:tc>
        <w:tc>
          <w:tcPr>
            <w:tcW w:w="1381" w:type="dxa"/>
            <w:noWrap/>
          </w:tcPr>
          <w:p w14:paraId="41EDA281">
            <w:pPr>
              <w:pStyle w:val="13"/>
              <w:adjustRightInd w:val="0"/>
              <w:snapToGrid w:val="0"/>
              <w:spacing w:before="120" w:after="120" w:line="300" w:lineRule="auto"/>
              <w:rPr>
                <w:rFonts w:hAnsi="宋体"/>
                <w:color w:val="auto"/>
              </w:rPr>
            </w:pPr>
          </w:p>
        </w:tc>
        <w:tc>
          <w:tcPr>
            <w:tcW w:w="1757" w:type="dxa"/>
            <w:noWrap/>
          </w:tcPr>
          <w:p w14:paraId="6489EBB2">
            <w:pPr>
              <w:pStyle w:val="13"/>
              <w:adjustRightInd w:val="0"/>
              <w:snapToGrid w:val="0"/>
              <w:spacing w:before="120" w:after="120" w:line="300" w:lineRule="auto"/>
              <w:rPr>
                <w:rFonts w:hAnsi="宋体"/>
                <w:color w:val="auto"/>
              </w:rPr>
            </w:pPr>
          </w:p>
        </w:tc>
        <w:tc>
          <w:tcPr>
            <w:tcW w:w="964" w:type="dxa"/>
            <w:noWrap/>
          </w:tcPr>
          <w:p w14:paraId="0ED8C32B">
            <w:pPr>
              <w:pStyle w:val="13"/>
              <w:adjustRightInd w:val="0"/>
              <w:snapToGrid w:val="0"/>
              <w:spacing w:before="120" w:after="120" w:line="300" w:lineRule="auto"/>
              <w:rPr>
                <w:rFonts w:hAnsi="宋体"/>
                <w:color w:val="auto"/>
              </w:rPr>
            </w:pPr>
          </w:p>
        </w:tc>
      </w:tr>
      <w:tr w14:paraId="0D04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A1C646">
            <w:pPr>
              <w:pStyle w:val="13"/>
              <w:adjustRightInd w:val="0"/>
              <w:snapToGrid w:val="0"/>
              <w:spacing w:before="120" w:after="120" w:line="300" w:lineRule="auto"/>
              <w:rPr>
                <w:rFonts w:hAnsi="宋体"/>
                <w:color w:val="auto"/>
              </w:rPr>
            </w:pPr>
          </w:p>
        </w:tc>
        <w:tc>
          <w:tcPr>
            <w:tcW w:w="1305" w:type="dxa"/>
            <w:noWrap/>
          </w:tcPr>
          <w:p w14:paraId="34C393E1">
            <w:pPr>
              <w:pStyle w:val="13"/>
              <w:adjustRightInd w:val="0"/>
              <w:snapToGrid w:val="0"/>
              <w:spacing w:before="120" w:after="120" w:line="300" w:lineRule="auto"/>
              <w:rPr>
                <w:rFonts w:hAnsi="宋体" w:eastAsia="宋体"/>
                <w:color w:val="auto"/>
              </w:rPr>
            </w:pPr>
          </w:p>
        </w:tc>
        <w:tc>
          <w:tcPr>
            <w:tcW w:w="1080" w:type="dxa"/>
            <w:noWrap/>
          </w:tcPr>
          <w:p w14:paraId="7DD1F27F">
            <w:pPr>
              <w:pStyle w:val="13"/>
              <w:adjustRightInd w:val="0"/>
              <w:snapToGrid w:val="0"/>
              <w:spacing w:before="120" w:after="120" w:line="300" w:lineRule="auto"/>
              <w:rPr>
                <w:rFonts w:hAnsi="宋体"/>
                <w:color w:val="auto"/>
              </w:rPr>
            </w:pPr>
          </w:p>
        </w:tc>
        <w:tc>
          <w:tcPr>
            <w:tcW w:w="1229" w:type="dxa"/>
            <w:noWrap/>
          </w:tcPr>
          <w:p w14:paraId="1E94D6A4">
            <w:pPr>
              <w:pStyle w:val="13"/>
              <w:adjustRightInd w:val="0"/>
              <w:snapToGrid w:val="0"/>
              <w:spacing w:before="120" w:after="120" w:line="300" w:lineRule="auto"/>
              <w:rPr>
                <w:rFonts w:hAnsi="宋体"/>
                <w:color w:val="auto"/>
              </w:rPr>
            </w:pPr>
          </w:p>
        </w:tc>
        <w:tc>
          <w:tcPr>
            <w:tcW w:w="1381" w:type="dxa"/>
            <w:noWrap/>
          </w:tcPr>
          <w:p w14:paraId="1C96602C">
            <w:pPr>
              <w:pStyle w:val="13"/>
              <w:adjustRightInd w:val="0"/>
              <w:snapToGrid w:val="0"/>
              <w:spacing w:before="120" w:after="120" w:line="300" w:lineRule="auto"/>
              <w:rPr>
                <w:rFonts w:hAnsi="宋体" w:eastAsia="宋体"/>
                <w:color w:val="auto"/>
              </w:rPr>
            </w:pPr>
          </w:p>
        </w:tc>
        <w:tc>
          <w:tcPr>
            <w:tcW w:w="1757" w:type="dxa"/>
            <w:noWrap/>
          </w:tcPr>
          <w:p w14:paraId="5DAEB67B">
            <w:pPr>
              <w:pStyle w:val="13"/>
              <w:adjustRightInd w:val="0"/>
              <w:snapToGrid w:val="0"/>
              <w:spacing w:before="120" w:after="120" w:line="300" w:lineRule="auto"/>
              <w:rPr>
                <w:rFonts w:hAnsi="宋体"/>
                <w:color w:val="auto"/>
              </w:rPr>
            </w:pPr>
          </w:p>
        </w:tc>
        <w:tc>
          <w:tcPr>
            <w:tcW w:w="964" w:type="dxa"/>
            <w:noWrap/>
          </w:tcPr>
          <w:p w14:paraId="17DC9652">
            <w:pPr>
              <w:pStyle w:val="13"/>
              <w:adjustRightInd w:val="0"/>
              <w:snapToGrid w:val="0"/>
              <w:spacing w:before="120" w:after="120" w:line="300" w:lineRule="auto"/>
              <w:rPr>
                <w:rFonts w:hAnsi="宋体"/>
                <w:color w:val="auto"/>
              </w:rPr>
            </w:pPr>
          </w:p>
        </w:tc>
      </w:tr>
      <w:tr w14:paraId="0DA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4B3D240">
            <w:pPr>
              <w:pStyle w:val="13"/>
              <w:adjustRightInd w:val="0"/>
              <w:snapToGrid w:val="0"/>
              <w:spacing w:before="120" w:after="120" w:line="300" w:lineRule="auto"/>
              <w:rPr>
                <w:rFonts w:hAnsi="宋体"/>
                <w:color w:val="auto"/>
              </w:rPr>
            </w:pPr>
          </w:p>
        </w:tc>
        <w:tc>
          <w:tcPr>
            <w:tcW w:w="1305" w:type="dxa"/>
            <w:noWrap/>
          </w:tcPr>
          <w:p w14:paraId="7BD7B26F">
            <w:pPr>
              <w:pStyle w:val="13"/>
              <w:adjustRightInd w:val="0"/>
              <w:snapToGrid w:val="0"/>
              <w:spacing w:before="120" w:after="120" w:line="300" w:lineRule="auto"/>
              <w:rPr>
                <w:rFonts w:hAnsi="宋体"/>
                <w:color w:val="auto"/>
              </w:rPr>
            </w:pPr>
          </w:p>
        </w:tc>
        <w:tc>
          <w:tcPr>
            <w:tcW w:w="1080" w:type="dxa"/>
            <w:noWrap/>
          </w:tcPr>
          <w:p w14:paraId="4E2B6129">
            <w:pPr>
              <w:pStyle w:val="13"/>
              <w:adjustRightInd w:val="0"/>
              <w:snapToGrid w:val="0"/>
              <w:spacing w:before="120" w:after="120" w:line="300" w:lineRule="auto"/>
              <w:rPr>
                <w:rFonts w:hAnsi="宋体"/>
                <w:color w:val="auto"/>
              </w:rPr>
            </w:pPr>
          </w:p>
        </w:tc>
        <w:tc>
          <w:tcPr>
            <w:tcW w:w="1229" w:type="dxa"/>
            <w:noWrap/>
          </w:tcPr>
          <w:p w14:paraId="1767F17D">
            <w:pPr>
              <w:pStyle w:val="13"/>
              <w:adjustRightInd w:val="0"/>
              <w:snapToGrid w:val="0"/>
              <w:spacing w:before="120" w:after="120" w:line="300" w:lineRule="auto"/>
              <w:rPr>
                <w:rFonts w:hAnsi="宋体"/>
                <w:color w:val="auto"/>
              </w:rPr>
            </w:pPr>
          </w:p>
        </w:tc>
        <w:tc>
          <w:tcPr>
            <w:tcW w:w="1381" w:type="dxa"/>
            <w:noWrap/>
          </w:tcPr>
          <w:p w14:paraId="2AF4A4A3">
            <w:pPr>
              <w:pStyle w:val="13"/>
              <w:adjustRightInd w:val="0"/>
              <w:snapToGrid w:val="0"/>
              <w:spacing w:before="120" w:after="120" w:line="300" w:lineRule="auto"/>
              <w:rPr>
                <w:rFonts w:hAnsi="宋体"/>
                <w:color w:val="auto"/>
              </w:rPr>
            </w:pPr>
          </w:p>
        </w:tc>
        <w:tc>
          <w:tcPr>
            <w:tcW w:w="1757" w:type="dxa"/>
            <w:noWrap/>
          </w:tcPr>
          <w:p w14:paraId="344A2FF0">
            <w:pPr>
              <w:pStyle w:val="13"/>
              <w:adjustRightInd w:val="0"/>
              <w:snapToGrid w:val="0"/>
              <w:spacing w:before="120" w:after="120" w:line="300" w:lineRule="auto"/>
              <w:rPr>
                <w:rFonts w:hAnsi="宋体"/>
                <w:color w:val="auto"/>
              </w:rPr>
            </w:pPr>
          </w:p>
        </w:tc>
        <w:tc>
          <w:tcPr>
            <w:tcW w:w="964" w:type="dxa"/>
            <w:noWrap/>
          </w:tcPr>
          <w:p w14:paraId="40AEE47B">
            <w:pPr>
              <w:pStyle w:val="13"/>
              <w:adjustRightInd w:val="0"/>
              <w:snapToGrid w:val="0"/>
              <w:spacing w:before="120" w:after="120" w:line="300" w:lineRule="auto"/>
              <w:rPr>
                <w:rFonts w:hAnsi="宋体"/>
                <w:color w:val="auto"/>
              </w:rPr>
            </w:pPr>
          </w:p>
        </w:tc>
      </w:tr>
      <w:tr w14:paraId="3D58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0D3F64E0">
            <w:pPr>
              <w:pStyle w:val="13"/>
              <w:adjustRightInd w:val="0"/>
              <w:snapToGrid w:val="0"/>
              <w:spacing w:before="120" w:after="120" w:line="300" w:lineRule="auto"/>
              <w:rPr>
                <w:rFonts w:hAnsi="宋体"/>
                <w:color w:val="auto"/>
              </w:rPr>
            </w:pPr>
          </w:p>
        </w:tc>
        <w:tc>
          <w:tcPr>
            <w:tcW w:w="1305" w:type="dxa"/>
            <w:noWrap/>
          </w:tcPr>
          <w:p w14:paraId="12CFEF2A">
            <w:pPr>
              <w:pStyle w:val="13"/>
              <w:adjustRightInd w:val="0"/>
              <w:snapToGrid w:val="0"/>
              <w:spacing w:before="120" w:after="120" w:line="300" w:lineRule="auto"/>
              <w:rPr>
                <w:rFonts w:hAnsi="宋体"/>
                <w:color w:val="auto"/>
              </w:rPr>
            </w:pPr>
          </w:p>
        </w:tc>
        <w:tc>
          <w:tcPr>
            <w:tcW w:w="1080" w:type="dxa"/>
            <w:noWrap/>
          </w:tcPr>
          <w:p w14:paraId="1DF3E54F">
            <w:pPr>
              <w:pStyle w:val="13"/>
              <w:adjustRightInd w:val="0"/>
              <w:snapToGrid w:val="0"/>
              <w:spacing w:before="120" w:after="120" w:line="300" w:lineRule="auto"/>
              <w:rPr>
                <w:rFonts w:hAnsi="宋体"/>
                <w:color w:val="auto"/>
              </w:rPr>
            </w:pPr>
          </w:p>
        </w:tc>
        <w:tc>
          <w:tcPr>
            <w:tcW w:w="1229" w:type="dxa"/>
            <w:noWrap/>
          </w:tcPr>
          <w:p w14:paraId="771A0535">
            <w:pPr>
              <w:pStyle w:val="13"/>
              <w:adjustRightInd w:val="0"/>
              <w:snapToGrid w:val="0"/>
              <w:spacing w:before="120" w:after="120" w:line="300" w:lineRule="auto"/>
              <w:rPr>
                <w:rFonts w:hAnsi="宋体"/>
                <w:color w:val="auto"/>
              </w:rPr>
            </w:pPr>
          </w:p>
        </w:tc>
        <w:tc>
          <w:tcPr>
            <w:tcW w:w="1381" w:type="dxa"/>
            <w:noWrap/>
          </w:tcPr>
          <w:p w14:paraId="5AA26FCC">
            <w:pPr>
              <w:pStyle w:val="13"/>
              <w:adjustRightInd w:val="0"/>
              <w:snapToGrid w:val="0"/>
              <w:spacing w:before="120" w:after="120" w:line="300" w:lineRule="auto"/>
              <w:rPr>
                <w:rFonts w:hAnsi="宋体"/>
                <w:color w:val="auto"/>
              </w:rPr>
            </w:pPr>
          </w:p>
        </w:tc>
        <w:tc>
          <w:tcPr>
            <w:tcW w:w="1757" w:type="dxa"/>
            <w:noWrap/>
          </w:tcPr>
          <w:p w14:paraId="07F185E8">
            <w:pPr>
              <w:pStyle w:val="13"/>
              <w:adjustRightInd w:val="0"/>
              <w:snapToGrid w:val="0"/>
              <w:spacing w:before="120" w:after="120" w:line="300" w:lineRule="auto"/>
              <w:rPr>
                <w:rFonts w:hAnsi="宋体"/>
                <w:color w:val="auto"/>
              </w:rPr>
            </w:pPr>
          </w:p>
        </w:tc>
        <w:tc>
          <w:tcPr>
            <w:tcW w:w="964" w:type="dxa"/>
            <w:noWrap/>
          </w:tcPr>
          <w:p w14:paraId="531269A0">
            <w:pPr>
              <w:pStyle w:val="13"/>
              <w:adjustRightInd w:val="0"/>
              <w:snapToGrid w:val="0"/>
              <w:spacing w:before="120" w:after="120" w:line="300" w:lineRule="auto"/>
              <w:rPr>
                <w:rFonts w:hAnsi="宋体"/>
                <w:color w:val="auto"/>
              </w:rPr>
            </w:pPr>
          </w:p>
        </w:tc>
      </w:tr>
      <w:tr w14:paraId="2292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7C70BCB8">
            <w:pPr>
              <w:pStyle w:val="13"/>
              <w:adjustRightInd w:val="0"/>
              <w:snapToGrid w:val="0"/>
              <w:spacing w:before="120" w:after="120" w:line="300" w:lineRule="auto"/>
              <w:rPr>
                <w:rFonts w:hAnsi="宋体"/>
                <w:color w:val="auto"/>
              </w:rPr>
            </w:pPr>
          </w:p>
        </w:tc>
        <w:tc>
          <w:tcPr>
            <w:tcW w:w="1305" w:type="dxa"/>
            <w:noWrap/>
          </w:tcPr>
          <w:p w14:paraId="1E2EC1CF">
            <w:pPr>
              <w:pStyle w:val="13"/>
              <w:adjustRightInd w:val="0"/>
              <w:snapToGrid w:val="0"/>
              <w:spacing w:before="120" w:after="120" w:line="300" w:lineRule="auto"/>
              <w:rPr>
                <w:rFonts w:hAnsi="宋体"/>
                <w:color w:val="auto"/>
              </w:rPr>
            </w:pPr>
          </w:p>
        </w:tc>
        <w:tc>
          <w:tcPr>
            <w:tcW w:w="1080" w:type="dxa"/>
            <w:noWrap/>
          </w:tcPr>
          <w:p w14:paraId="26272477">
            <w:pPr>
              <w:pStyle w:val="13"/>
              <w:adjustRightInd w:val="0"/>
              <w:snapToGrid w:val="0"/>
              <w:spacing w:before="120" w:after="120" w:line="300" w:lineRule="auto"/>
              <w:rPr>
                <w:rFonts w:hAnsi="宋体"/>
                <w:color w:val="auto"/>
              </w:rPr>
            </w:pPr>
          </w:p>
        </w:tc>
        <w:tc>
          <w:tcPr>
            <w:tcW w:w="1229" w:type="dxa"/>
            <w:noWrap/>
          </w:tcPr>
          <w:p w14:paraId="43CCA832">
            <w:pPr>
              <w:pStyle w:val="13"/>
              <w:adjustRightInd w:val="0"/>
              <w:snapToGrid w:val="0"/>
              <w:spacing w:before="120" w:after="120" w:line="300" w:lineRule="auto"/>
              <w:rPr>
                <w:rFonts w:hAnsi="宋体"/>
                <w:color w:val="auto"/>
              </w:rPr>
            </w:pPr>
          </w:p>
        </w:tc>
        <w:tc>
          <w:tcPr>
            <w:tcW w:w="1381" w:type="dxa"/>
            <w:noWrap/>
          </w:tcPr>
          <w:p w14:paraId="3F163D03">
            <w:pPr>
              <w:pStyle w:val="13"/>
              <w:adjustRightInd w:val="0"/>
              <w:snapToGrid w:val="0"/>
              <w:spacing w:before="120" w:after="120" w:line="300" w:lineRule="auto"/>
              <w:rPr>
                <w:rFonts w:hAnsi="宋体"/>
                <w:color w:val="auto"/>
              </w:rPr>
            </w:pPr>
          </w:p>
        </w:tc>
        <w:tc>
          <w:tcPr>
            <w:tcW w:w="1757" w:type="dxa"/>
            <w:noWrap/>
          </w:tcPr>
          <w:p w14:paraId="53A92809">
            <w:pPr>
              <w:pStyle w:val="13"/>
              <w:adjustRightInd w:val="0"/>
              <w:snapToGrid w:val="0"/>
              <w:spacing w:before="120" w:after="120" w:line="300" w:lineRule="auto"/>
              <w:rPr>
                <w:rFonts w:hAnsi="宋体"/>
                <w:color w:val="auto"/>
              </w:rPr>
            </w:pPr>
          </w:p>
        </w:tc>
        <w:tc>
          <w:tcPr>
            <w:tcW w:w="964" w:type="dxa"/>
            <w:noWrap/>
          </w:tcPr>
          <w:p w14:paraId="33EB03DB">
            <w:pPr>
              <w:pStyle w:val="13"/>
              <w:adjustRightInd w:val="0"/>
              <w:snapToGrid w:val="0"/>
              <w:spacing w:before="120" w:after="120" w:line="300" w:lineRule="auto"/>
              <w:rPr>
                <w:rFonts w:hAnsi="宋体"/>
                <w:color w:val="auto"/>
              </w:rPr>
            </w:pPr>
          </w:p>
        </w:tc>
      </w:tr>
      <w:tr w14:paraId="34A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209BD75">
            <w:pPr>
              <w:pStyle w:val="13"/>
              <w:adjustRightInd w:val="0"/>
              <w:snapToGrid w:val="0"/>
              <w:spacing w:before="120" w:after="120" w:line="300" w:lineRule="auto"/>
              <w:rPr>
                <w:rFonts w:hAnsi="宋体"/>
                <w:color w:val="auto"/>
              </w:rPr>
            </w:pPr>
          </w:p>
        </w:tc>
        <w:tc>
          <w:tcPr>
            <w:tcW w:w="1305" w:type="dxa"/>
            <w:noWrap/>
          </w:tcPr>
          <w:p w14:paraId="44F78359">
            <w:pPr>
              <w:pStyle w:val="13"/>
              <w:adjustRightInd w:val="0"/>
              <w:snapToGrid w:val="0"/>
              <w:spacing w:before="120" w:after="120" w:line="300" w:lineRule="auto"/>
              <w:rPr>
                <w:rFonts w:hAnsi="宋体"/>
                <w:color w:val="auto"/>
              </w:rPr>
            </w:pPr>
          </w:p>
        </w:tc>
        <w:tc>
          <w:tcPr>
            <w:tcW w:w="1080" w:type="dxa"/>
            <w:noWrap/>
          </w:tcPr>
          <w:p w14:paraId="4E7D3F95">
            <w:pPr>
              <w:pStyle w:val="13"/>
              <w:adjustRightInd w:val="0"/>
              <w:snapToGrid w:val="0"/>
              <w:spacing w:before="120" w:after="120" w:line="300" w:lineRule="auto"/>
              <w:rPr>
                <w:rFonts w:hAnsi="宋体"/>
                <w:color w:val="auto"/>
              </w:rPr>
            </w:pPr>
          </w:p>
        </w:tc>
        <w:tc>
          <w:tcPr>
            <w:tcW w:w="1229" w:type="dxa"/>
            <w:noWrap/>
          </w:tcPr>
          <w:p w14:paraId="0521A1A2">
            <w:pPr>
              <w:pStyle w:val="13"/>
              <w:adjustRightInd w:val="0"/>
              <w:snapToGrid w:val="0"/>
              <w:spacing w:before="120" w:after="120" w:line="300" w:lineRule="auto"/>
              <w:rPr>
                <w:rFonts w:hAnsi="宋体"/>
                <w:color w:val="auto"/>
              </w:rPr>
            </w:pPr>
          </w:p>
        </w:tc>
        <w:tc>
          <w:tcPr>
            <w:tcW w:w="1381" w:type="dxa"/>
            <w:noWrap/>
          </w:tcPr>
          <w:p w14:paraId="7CE22800">
            <w:pPr>
              <w:pStyle w:val="13"/>
              <w:adjustRightInd w:val="0"/>
              <w:snapToGrid w:val="0"/>
              <w:spacing w:before="120" w:after="120" w:line="300" w:lineRule="auto"/>
              <w:rPr>
                <w:rFonts w:hAnsi="宋体"/>
                <w:color w:val="auto"/>
              </w:rPr>
            </w:pPr>
          </w:p>
        </w:tc>
        <w:tc>
          <w:tcPr>
            <w:tcW w:w="1757" w:type="dxa"/>
            <w:noWrap/>
          </w:tcPr>
          <w:p w14:paraId="3D696369">
            <w:pPr>
              <w:pStyle w:val="13"/>
              <w:adjustRightInd w:val="0"/>
              <w:snapToGrid w:val="0"/>
              <w:spacing w:before="120" w:after="120" w:line="300" w:lineRule="auto"/>
              <w:rPr>
                <w:rFonts w:hAnsi="宋体"/>
                <w:color w:val="auto"/>
              </w:rPr>
            </w:pPr>
          </w:p>
        </w:tc>
        <w:tc>
          <w:tcPr>
            <w:tcW w:w="964" w:type="dxa"/>
            <w:noWrap/>
          </w:tcPr>
          <w:p w14:paraId="642E4DBA">
            <w:pPr>
              <w:pStyle w:val="13"/>
              <w:adjustRightInd w:val="0"/>
              <w:snapToGrid w:val="0"/>
              <w:spacing w:before="120" w:after="120" w:line="300" w:lineRule="auto"/>
              <w:rPr>
                <w:rFonts w:hAnsi="宋体"/>
                <w:color w:val="auto"/>
              </w:rPr>
            </w:pPr>
          </w:p>
        </w:tc>
      </w:tr>
      <w:tr w14:paraId="6960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529689A8">
            <w:pPr>
              <w:pStyle w:val="13"/>
              <w:adjustRightInd w:val="0"/>
              <w:snapToGrid w:val="0"/>
              <w:spacing w:before="120" w:after="120" w:line="300" w:lineRule="auto"/>
              <w:rPr>
                <w:rFonts w:hAnsi="宋体"/>
                <w:color w:val="auto"/>
              </w:rPr>
            </w:pPr>
          </w:p>
        </w:tc>
        <w:tc>
          <w:tcPr>
            <w:tcW w:w="1305" w:type="dxa"/>
            <w:noWrap/>
          </w:tcPr>
          <w:p w14:paraId="75C82F62">
            <w:pPr>
              <w:pStyle w:val="13"/>
              <w:adjustRightInd w:val="0"/>
              <w:snapToGrid w:val="0"/>
              <w:spacing w:before="120" w:after="120" w:line="300" w:lineRule="auto"/>
              <w:rPr>
                <w:rFonts w:hAnsi="宋体"/>
                <w:color w:val="auto"/>
              </w:rPr>
            </w:pPr>
          </w:p>
        </w:tc>
        <w:tc>
          <w:tcPr>
            <w:tcW w:w="1080" w:type="dxa"/>
            <w:noWrap/>
          </w:tcPr>
          <w:p w14:paraId="421FC000">
            <w:pPr>
              <w:pStyle w:val="13"/>
              <w:adjustRightInd w:val="0"/>
              <w:snapToGrid w:val="0"/>
              <w:spacing w:before="120" w:after="120" w:line="300" w:lineRule="auto"/>
              <w:rPr>
                <w:rFonts w:hAnsi="宋体"/>
                <w:color w:val="auto"/>
              </w:rPr>
            </w:pPr>
          </w:p>
        </w:tc>
        <w:tc>
          <w:tcPr>
            <w:tcW w:w="1229" w:type="dxa"/>
            <w:noWrap/>
          </w:tcPr>
          <w:p w14:paraId="5725904B">
            <w:pPr>
              <w:pStyle w:val="13"/>
              <w:adjustRightInd w:val="0"/>
              <w:snapToGrid w:val="0"/>
              <w:spacing w:before="120" w:after="120" w:line="300" w:lineRule="auto"/>
              <w:rPr>
                <w:rFonts w:hAnsi="宋体"/>
                <w:color w:val="auto"/>
              </w:rPr>
            </w:pPr>
          </w:p>
        </w:tc>
        <w:tc>
          <w:tcPr>
            <w:tcW w:w="1381" w:type="dxa"/>
            <w:noWrap/>
          </w:tcPr>
          <w:p w14:paraId="28B79B19">
            <w:pPr>
              <w:pStyle w:val="13"/>
              <w:adjustRightInd w:val="0"/>
              <w:snapToGrid w:val="0"/>
              <w:spacing w:before="120" w:after="120" w:line="300" w:lineRule="auto"/>
              <w:rPr>
                <w:rFonts w:hAnsi="宋体"/>
                <w:color w:val="auto"/>
              </w:rPr>
            </w:pPr>
          </w:p>
        </w:tc>
        <w:tc>
          <w:tcPr>
            <w:tcW w:w="1757" w:type="dxa"/>
            <w:noWrap/>
          </w:tcPr>
          <w:p w14:paraId="5EF9D84E">
            <w:pPr>
              <w:pStyle w:val="13"/>
              <w:adjustRightInd w:val="0"/>
              <w:snapToGrid w:val="0"/>
              <w:spacing w:before="120" w:after="120" w:line="300" w:lineRule="auto"/>
              <w:rPr>
                <w:rFonts w:hAnsi="宋体"/>
                <w:color w:val="auto"/>
              </w:rPr>
            </w:pPr>
          </w:p>
        </w:tc>
        <w:tc>
          <w:tcPr>
            <w:tcW w:w="964" w:type="dxa"/>
            <w:noWrap/>
          </w:tcPr>
          <w:p w14:paraId="678B100B">
            <w:pPr>
              <w:pStyle w:val="13"/>
              <w:adjustRightInd w:val="0"/>
              <w:snapToGrid w:val="0"/>
              <w:spacing w:before="120" w:after="120" w:line="300" w:lineRule="auto"/>
              <w:rPr>
                <w:rFonts w:hAnsi="宋体"/>
                <w:color w:val="auto"/>
              </w:rPr>
            </w:pPr>
          </w:p>
        </w:tc>
      </w:tr>
    </w:tbl>
    <w:p w14:paraId="5F715F19">
      <w:pPr>
        <w:snapToGrid w:val="0"/>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注：在填写时，如本表格不适合</w:t>
      </w:r>
      <w:r>
        <w:rPr>
          <w:rFonts w:hint="eastAsia" w:ascii="宋体" w:hAnsi="宋体" w:cs="宋体"/>
          <w:color w:val="auto"/>
          <w:sz w:val="24"/>
          <w:szCs w:val="22"/>
          <w:lang w:val="en-US"/>
        </w:rPr>
        <w:t>供应商</w:t>
      </w:r>
      <w:r>
        <w:rPr>
          <w:rFonts w:hint="eastAsia" w:ascii="宋体" w:hAnsi="宋体" w:cs="宋体"/>
          <w:color w:val="auto"/>
          <w:sz w:val="24"/>
          <w:szCs w:val="22"/>
        </w:rPr>
        <w:t>的实际情况，可根据本表格自行划表填写。</w:t>
      </w:r>
    </w:p>
    <w:p w14:paraId="68027C3B">
      <w:pPr>
        <w:pStyle w:val="13"/>
        <w:spacing w:before="120" w:after="120" w:line="360" w:lineRule="auto"/>
        <w:ind w:firstLine="2250" w:firstLineChars="900"/>
        <w:rPr>
          <w:rFonts w:hAnsi="宋体" w:cs="宋体"/>
          <w:color w:val="auto"/>
          <w:spacing w:val="20"/>
          <w:sz w:val="21"/>
          <w:szCs w:val="21"/>
        </w:rPr>
      </w:pPr>
    </w:p>
    <w:p w14:paraId="53DA2880">
      <w:pPr>
        <w:pStyle w:val="14"/>
        <w:ind w:left="5500"/>
        <w:rPr>
          <w:color w:val="auto"/>
        </w:rPr>
      </w:pPr>
    </w:p>
    <w:p w14:paraId="28AFF76A">
      <w:pPr>
        <w:pStyle w:val="13"/>
        <w:spacing w:before="120" w:after="120" w:line="360" w:lineRule="auto"/>
        <w:ind w:firstLine="2250" w:firstLineChars="900"/>
        <w:rPr>
          <w:rFonts w:hAnsi="宋体" w:cs="宋体"/>
          <w:color w:val="auto"/>
          <w:spacing w:val="20"/>
          <w:sz w:val="21"/>
          <w:szCs w:val="21"/>
        </w:rPr>
      </w:pPr>
    </w:p>
    <w:p w14:paraId="0ECC082E">
      <w:pPr>
        <w:pStyle w:val="13"/>
        <w:spacing w:before="120" w:after="120" w:line="360" w:lineRule="auto"/>
        <w:ind w:firstLine="5664" w:firstLineChars="2023"/>
        <w:rPr>
          <w:rFonts w:hAnsi="宋体" w:cs="宋体"/>
          <w:color w:val="auto"/>
          <w:spacing w:val="20"/>
          <w:szCs w:val="24"/>
        </w:rPr>
      </w:pPr>
      <w:r>
        <w:rPr>
          <w:rFonts w:hint="eastAsia" w:hAnsi="宋体" w:cs="宋体"/>
          <w:color w:val="auto"/>
          <w:spacing w:val="20"/>
          <w:szCs w:val="24"/>
          <w:lang w:val="en-US"/>
        </w:rPr>
        <w:t>供应商</w:t>
      </w:r>
      <w:r>
        <w:rPr>
          <w:rFonts w:hint="eastAsia" w:hAnsi="宋体" w:cs="宋体"/>
          <w:color w:val="auto"/>
          <w:spacing w:val="20"/>
          <w:szCs w:val="24"/>
        </w:rPr>
        <w:t>盖章：</w:t>
      </w:r>
    </w:p>
    <w:p w14:paraId="61CBA320">
      <w:pPr>
        <w:pStyle w:val="13"/>
        <w:spacing w:before="120" w:after="120" w:line="360" w:lineRule="auto"/>
        <w:ind w:firstLine="5664" w:firstLineChars="2023"/>
        <w:rPr>
          <w:rFonts w:hAnsi="宋体" w:cs="宋体"/>
          <w:color w:val="auto"/>
          <w:spacing w:val="20"/>
          <w:szCs w:val="24"/>
        </w:rPr>
      </w:pPr>
      <w:r>
        <w:rPr>
          <w:rFonts w:hint="eastAsia" w:hAnsi="宋体" w:cs="宋体"/>
          <w:color w:val="auto"/>
          <w:spacing w:val="20"/>
          <w:szCs w:val="24"/>
        </w:rPr>
        <w:t>日     期：</w:t>
      </w:r>
    </w:p>
    <w:p w14:paraId="074D22B7">
      <w:pPr>
        <w:pStyle w:val="27"/>
        <w:ind w:firstLine="0"/>
        <w:rPr>
          <w:color w:val="auto"/>
        </w:rPr>
      </w:pPr>
    </w:p>
    <w:p w14:paraId="52CCB1A9">
      <w:pPr>
        <w:jc w:val="center"/>
        <w:rPr>
          <w:rFonts w:ascii="宋体" w:hAnsi="宋体" w:cs="宋体"/>
          <w:b/>
          <w:color w:val="auto"/>
          <w:sz w:val="28"/>
          <w:szCs w:val="28"/>
          <w:lang w:val="en-US"/>
        </w:rPr>
      </w:pPr>
    </w:p>
    <w:p w14:paraId="744878A5">
      <w:pPr>
        <w:jc w:val="center"/>
        <w:rPr>
          <w:rFonts w:ascii="宋体" w:hAnsi="宋体" w:cs="宋体"/>
          <w:b/>
          <w:color w:val="auto"/>
          <w:sz w:val="28"/>
          <w:szCs w:val="28"/>
          <w:lang w:val="en-US"/>
        </w:rPr>
      </w:pPr>
    </w:p>
    <w:p w14:paraId="0E4649D9">
      <w:pPr>
        <w:rPr>
          <w:color w:val="auto"/>
        </w:rPr>
      </w:pPr>
    </w:p>
    <w:p w14:paraId="1F89EC64">
      <w:pPr>
        <w:rPr>
          <w:color w:val="auto"/>
        </w:rPr>
      </w:pPr>
    </w:p>
    <w:p w14:paraId="17C57693">
      <w:pPr>
        <w:spacing w:before="98" w:after="2"/>
        <w:ind w:left="561" w:right="441"/>
        <w:jc w:val="center"/>
        <w:rPr>
          <w:b/>
          <w:color w:val="auto"/>
          <w:sz w:val="30"/>
          <w:lang w:val="en-US"/>
        </w:rPr>
      </w:pPr>
      <w:r>
        <w:rPr>
          <w:rFonts w:hint="eastAsia"/>
          <w:b/>
          <w:color w:val="auto"/>
          <w:sz w:val="30"/>
          <w:lang w:val="en-US" w:eastAsia="zh-CN"/>
        </w:rPr>
        <w:t>7.</w:t>
      </w:r>
      <w:r>
        <w:rPr>
          <w:rFonts w:hint="eastAsia"/>
          <w:b/>
          <w:color w:val="auto"/>
          <w:sz w:val="30"/>
          <w:lang w:val="en-US"/>
        </w:rPr>
        <w:t>供应商认为需要提供的或评分办法要求提供的其他资料（格式自行设计）</w:t>
      </w:r>
    </w:p>
    <w:p w14:paraId="1F8C5DA7">
      <w:pPr>
        <w:pStyle w:val="15"/>
        <w:rPr>
          <w:rFonts w:eastAsia="仿宋"/>
          <w:bCs/>
          <w:color w:val="auto"/>
          <w:szCs w:val="24"/>
        </w:rPr>
      </w:pPr>
    </w:p>
    <w:p w14:paraId="4E0C3AA3">
      <w:pPr>
        <w:pStyle w:val="15"/>
        <w:rPr>
          <w:rFonts w:eastAsia="仿宋"/>
          <w:bCs/>
          <w:color w:val="auto"/>
          <w:szCs w:val="24"/>
        </w:rPr>
      </w:pPr>
    </w:p>
    <w:p w14:paraId="62B31410">
      <w:pPr>
        <w:spacing w:line="360" w:lineRule="auto"/>
        <w:rPr>
          <w:bCs/>
          <w:color w:val="auto"/>
          <w:sz w:val="24"/>
          <w:szCs w:val="24"/>
          <w:lang w:val="en-US"/>
        </w:rPr>
        <w:sectPr>
          <w:pgSz w:w="11910" w:h="16840"/>
          <w:pgMar w:top="1247" w:right="1247" w:bottom="1247" w:left="1587" w:header="884" w:footer="884" w:gutter="0"/>
          <w:pgNumType w:fmt="decimal"/>
          <w:cols w:space="0" w:num="1"/>
        </w:sectPr>
      </w:pPr>
    </w:p>
    <w:p w14:paraId="4E0003E9">
      <w:pPr>
        <w:pStyle w:val="2"/>
        <w:rPr>
          <w:b/>
          <w:color w:val="auto"/>
          <w:sz w:val="20"/>
        </w:rPr>
      </w:pPr>
    </w:p>
    <w:p w14:paraId="179743D9">
      <w:pPr>
        <w:pStyle w:val="2"/>
        <w:rPr>
          <w:b/>
          <w:color w:val="auto"/>
          <w:sz w:val="20"/>
        </w:rPr>
      </w:pPr>
    </w:p>
    <w:p w14:paraId="47A834FD">
      <w:pPr>
        <w:pStyle w:val="2"/>
        <w:rPr>
          <w:b/>
          <w:color w:val="auto"/>
          <w:sz w:val="20"/>
        </w:rPr>
      </w:pPr>
    </w:p>
    <w:p w14:paraId="5101514A">
      <w:pPr>
        <w:pStyle w:val="2"/>
        <w:rPr>
          <w:b/>
          <w:color w:val="auto"/>
          <w:sz w:val="20"/>
        </w:rPr>
      </w:pPr>
    </w:p>
    <w:p w14:paraId="6562B6A3">
      <w:pPr>
        <w:pStyle w:val="2"/>
        <w:rPr>
          <w:b/>
          <w:color w:val="auto"/>
          <w:sz w:val="20"/>
        </w:rPr>
      </w:pPr>
    </w:p>
    <w:p w14:paraId="72422CE1">
      <w:pPr>
        <w:pStyle w:val="2"/>
        <w:rPr>
          <w:b/>
          <w:color w:val="auto"/>
          <w:sz w:val="20"/>
        </w:rPr>
      </w:pPr>
    </w:p>
    <w:p w14:paraId="65C1F2E9">
      <w:pPr>
        <w:pStyle w:val="2"/>
        <w:rPr>
          <w:b/>
          <w:color w:val="auto"/>
          <w:sz w:val="20"/>
        </w:rPr>
      </w:pPr>
    </w:p>
    <w:p w14:paraId="6246E09A">
      <w:pPr>
        <w:pStyle w:val="2"/>
        <w:rPr>
          <w:b/>
          <w:color w:val="auto"/>
          <w:sz w:val="20"/>
        </w:rPr>
      </w:pPr>
    </w:p>
    <w:p w14:paraId="7CE0FEBC">
      <w:pPr>
        <w:pStyle w:val="2"/>
        <w:rPr>
          <w:b/>
          <w:color w:val="auto"/>
          <w:sz w:val="20"/>
        </w:rPr>
      </w:pPr>
    </w:p>
    <w:p w14:paraId="33AF84B3">
      <w:pPr>
        <w:pStyle w:val="2"/>
        <w:rPr>
          <w:b/>
          <w:color w:val="auto"/>
          <w:sz w:val="21"/>
        </w:rPr>
      </w:pPr>
    </w:p>
    <w:p w14:paraId="3A2EF421">
      <w:pPr>
        <w:pStyle w:val="4"/>
        <w:tabs>
          <w:tab w:val="left" w:pos="871"/>
        </w:tabs>
        <w:ind w:left="117"/>
        <w:rPr>
          <w:color w:val="auto"/>
        </w:rPr>
      </w:pPr>
      <w:bookmarkStart w:id="83" w:name="三___报价文件格式"/>
      <w:bookmarkEnd w:id="83"/>
      <w:bookmarkStart w:id="84" w:name="_Toc16461"/>
      <w:r>
        <w:rPr>
          <w:rFonts w:hint="eastAsia"/>
          <w:color w:val="auto"/>
        </w:rPr>
        <w:t>三</w:t>
      </w:r>
      <w:r>
        <w:rPr>
          <w:rFonts w:hint="eastAsia"/>
          <w:color w:val="auto"/>
          <w:lang w:val="en-US" w:eastAsia="zh-CN"/>
        </w:rPr>
        <w:t xml:space="preserve"> </w:t>
      </w:r>
      <w:r>
        <w:rPr>
          <w:rFonts w:hint="eastAsia"/>
          <w:color w:val="auto"/>
        </w:rPr>
        <w:t>报价文件格式</w:t>
      </w:r>
      <w:bookmarkEnd w:id="84"/>
    </w:p>
    <w:p w14:paraId="7BA479E1">
      <w:pPr>
        <w:rPr>
          <w:color w:val="auto"/>
        </w:rPr>
        <w:sectPr>
          <w:pgSz w:w="11910" w:h="16840"/>
          <w:pgMar w:top="1247" w:right="1247" w:bottom="1247" w:left="1587" w:header="884" w:footer="884" w:gutter="0"/>
          <w:pgNumType w:fmt="decimal"/>
          <w:cols w:space="0" w:num="1"/>
        </w:sectPr>
      </w:pPr>
    </w:p>
    <w:p w14:paraId="296E6784">
      <w:pPr>
        <w:spacing w:before="124"/>
        <w:ind w:left="561" w:right="441"/>
        <w:jc w:val="center"/>
        <w:rPr>
          <w:b/>
          <w:color w:val="auto"/>
          <w:sz w:val="36"/>
        </w:rPr>
      </w:pPr>
      <w:r>
        <w:rPr>
          <w:rFonts w:hint="eastAsia"/>
          <w:b/>
          <w:color w:val="auto"/>
          <w:sz w:val="36"/>
        </w:rPr>
        <w:t>报价文件封面</w:t>
      </w:r>
    </w:p>
    <w:p w14:paraId="071A19A1">
      <w:pPr>
        <w:pStyle w:val="2"/>
        <w:rPr>
          <w:b/>
          <w:color w:val="auto"/>
          <w:sz w:val="20"/>
        </w:rPr>
      </w:pPr>
    </w:p>
    <w:p w14:paraId="342F2CFE">
      <w:pPr>
        <w:pStyle w:val="2"/>
        <w:rPr>
          <w:b/>
          <w:color w:val="auto"/>
          <w:sz w:val="20"/>
        </w:rPr>
      </w:pPr>
    </w:p>
    <w:p w14:paraId="49582985">
      <w:pPr>
        <w:pStyle w:val="2"/>
        <w:rPr>
          <w:b/>
          <w:color w:val="auto"/>
          <w:sz w:val="20"/>
        </w:rPr>
      </w:pPr>
    </w:p>
    <w:p w14:paraId="577B1258">
      <w:pPr>
        <w:pStyle w:val="2"/>
        <w:rPr>
          <w:b/>
          <w:color w:val="auto"/>
          <w:sz w:val="20"/>
        </w:rPr>
      </w:pPr>
    </w:p>
    <w:p w14:paraId="602DFF61">
      <w:pPr>
        <w:pStyle w:val="2"/>
        <w:rPr>
          <w:b/>
          <w:color w:val="auto"/>
          <w:sz w:val="20"/>
        </w:rPr>
      </w:pPr>
    </w:p>
    <w:p w14:paraId="0596932A">
      <w:pPr>
        <w:pStyle w:val="2"/>
        <w:rPr>
          <w:b/>
          <w:color w:val="auto"/>
          <w:sz w:val="20"/>
        </w:rPr>
      </w:pPr>
    </w:p>
    <w:p w14:paraId="4B315849">
      <w:pPr>
        <w:pStyle w:val="2"/>
        <w:rPr>
          <w:b/>
          <w:color w:val="auto"/>
          <w:sz w:val="20"/>
        </w:rPr>
      </w:pPr>
    </w:p>
    <w:p w14:paraId="263F8E6F">
      <w:pPr>
        <w:pStyle w:val="2"/>
        <w:rPr>
          <w:b/>
          <w:color w:val="auto"/>
          <w:sz w:val="15"/>
        </w:rPr>
      </w:pPr>
    </w:p>
    <w:p w14:paraId="256B5974">
      <w:pPr>
        <w:spacing w:before="49"/>
        <w:ind w:left="2037"/>
        <w:rPr>
          <w:color w:val="auto"/>
          <w:sz w:val="36"/>
        </w:rPr>
      </w:pPr>
      <w:r>
        <w:rPr>
          <w:rFonts w:hint="eastAsia"/>
          <w:color w:val="auto"/>
          <w:sz w:val="36"/>
        </w:rPr>
        <w:t>项目编号：</w:t>
      </w:r>
    </w:p>
    <w:p w14:paraId="5DB3F8FF">
      <w:pPr>
        <w:pStyle w:val="2"/>
        <w:rPr>
          <w:color w:val="auto"/>
          <w:sz w:val="36"/>
        </w:rPr>
      </w:pPr>
    </w:p>
    <w:p w14:paraId="6266EE0F">
      <w:pPr>
        <w:pStyle w:val="2"/>
        <w:rPr>
          <w:color w:val="auto"/>
          <w:sz w:val="36"/>
        </w:rPr>
      </w:pPr>
    </w:p>
    <w:p w14:paraId="4CABB321">
      <w:pPr>
        <w:pStyle w:val="2"/>
        <w:spacing w:before="1"/>
        <w:rPr>
          <w:color w:val="auto"/>
          <w:sz w:val="38"/>
        </w:rPr>
      </w:pPr>
    </w:p>
    <w:p w14:paraId="74C3A2E5">
      <w:pPr>
        <w:ind w:left="2037"/>
        <w:rPr>
          <w:color w:val="auto"/>
          <w:sz w:val="36"/>
        </w:rPr>
      </w:pPr>
      <w:r>
        <w:rPr>
          <w:rFonts w:hint="eastAsia"/>
          <w:color w:val="auto"/>
          <w:sz w:val="36"/>
        </w:rPr>
        <w:t>项目名称：</w:t>
      </w:r>
    </w:p>
    <w:p w14:paraId="39D44D50">
      <w:pPr>
        <w:pStyle w:val="2"/>
        <w:rPr>
          <w:color w:val="auto"/>
          <w:sz w:val="36"/>
        </w:rPr>
      </w:pPr>
    </w:p>
    <w:p w14:paraId="367CA4D9">
      <w:pPr>
        <w:pStyle w:val="2"/>
        <w:rPr>
          <w:color w:val="auto"/>
          <w:sz w:val="36"/>
        </w:rPr>
      </w:pPr>
    </w:p>
    <w:p w14:paraId="2B843B6B">
      <w:pPr>
        <w:pStyle w:val="2"/>
        <w:spacing w:before="2"/>
        <w:rPr>
          <w:color w:val="auto"/>
          <w:sz w:val="38"/>
        </w:rPr>
      </w:pPr>
    </w:p>
    <w:p w14:paraId="2787AED0">
      <w:pPr>
        <w:ind w:left="2037"/>
        <w:rPr>
          <w:color w:val="auto"/>
          <w:sz w:val="36"/>
        </w:rPr>
      </w:pPr>
      <w:r>
        <w:rPr>
          <w:rFonts w:hint="eastAsia"/>
          <w:color w:val="auto"/>
          <w:sz w:val="36"/>
        </w:rPr>
        <w:t>响应文件名称：报价文件</w:t>
      </w:r>
    </w:p>
    <w:p w14:paraId="438219DB">
      <w:pPr>
        <w:pStyle w:val="2"/>
        <w:rPr>
          <w:color w:val="auto"/>
          <w:sz w:val="36"/>
        </w:rPr>
      </w:pPr>
    </w:p>
    <w:p w14:paraId="33155B3B">
      <w:pPr>
        <w:pStyle w:val="2"/>
        <w:rPr>
          <w:color w:val="auto"/>
          <w:sz w:val="36"/>
        </w:rPr>
      </w:pPr>
    </w:p>
    <w:p w14:paraId="1C16D06E">
      <w:pPr>
        <w:pStyle w:val="2"/>
        <w:rPr>
          <w:color w:val="auto"/>
          <w:sz w:val="36"/>
        </w:rPr>
      </w:pPr>
    </w:p>
    <w:p w14:paraId="33DC229D">
      <w:pPr>
        <w:pStyle w:val="2"/>
        <w:spacing w:before="10"/>
        <w:rPr>
          <w:color w:val="auto"/>
          <w:sz w:val="50"/>
        </w:rPr>
      </w:pPr>
    </w:p>
    <w:p w14:paraId="7C6C3BF4">
      <w:pPr>
        <w:ind w:left="2037"/>
        <w:rPr>
          <w:color w:val="auto"/>
          <w:sz w:val="36"/>
        </w:rPr>
      </w:pPr>
      <w:r>
        <w:rPr>
          <w:rFonts w:hint="eastAsia"/>
          <w:color w:val="auto"/>
          <w:sz w:val="36"/>
        </w:rPr>
        <w:t>供应商名称（CA 签章）：</w:t>
      </w:r>
    </w:p>
    <w:p w14:paraId="1C312110">
      <w:pPr>
        <w:pStyle w:val="2"/>
        <w:rPr>
          <w:color w:val="auto"/>
          <w:sz w:val="36"/>
        </w:rPr>
      </w:pPr>
    </w:p>
    <w:p w14:paraId="156D992E">
      <w:pPr>
        <w:pStyle w:val="2"/>
        <w:rPr>
          <w:color w:val="auto"/>
          <w:sz w:val="36"/>
        </w:rPr>
      </w:pPr>
    </w:p>
    <w:p w14:paraId="3898C112">
      <w:pPr>
        <w:pStyle w:val="2"/>
        <w:spacing w:before="1"/>
        <w:rPr>
          <w:color w:val="auto"/>
          <w:sz w:val="38"/>
        </w:rPr>
      </w:pPr>
    </w:p>
    <w:p w14:paraId="3AA86321">
      <w:pPr>
        <w:spacing w:before="1"/>
        <w:ind w:left="2037"/>
        <w:rPr>
          <w:color w:val="auto"/>
          <w:sz w:val="36"/>
        </w:rPr>
      </w:pPr>
      <w:r>
        <w:rPr>
          <w:rFonts w:hint="eastAsia"/>
          <w:color w:val="auto"/>
          <w:sz w:val="36"/>
        </w:rPr>
        <w:t>供应商地址：</w:t>
      </w:r>
    </w:p>
    <w:p w14:paraId="42AC6AFF">
      <w:pPr>
        <w:rPr>
          <w:color w:val="auto"/>
          <w:sz w:val="36"/>
        </w:rPr>
        <w:sectPr>
          <w:pgSz w:w="11910" w:h="16840"/>
          <w:pgMar w:top="1247" w:right="1247" w:bottom="1247" w:left="1587" w:header="884" w:footer="884" w:gutter="0"/>
          <w:pgNumType w:fmt="decimal"/>
          <w:cols w:space="0" w:num="1"/>
        </w:sectPr>
      </w:pPr>
    </w:p>
    <w:p w14:paraId="0B5A884A">
      <w:pPr>
        <w:pStyle w:val="2"/>
        <w:rPr>
          <w:color w:val="auto"/>
          <w:sz w:val="20"/>
        </w:rPr>
      </w:pPr>
    </w:p>
    <w:p w14:paraId="4CCDC306">
      <w:pPr>
        <w:pStyle w:val="2"/>
        <w:rPr>
          <w:color w:val="auto"/>
          <w:sz w:val="20"/>
        </w:rPr>
      </w:pPr>
    </w:p>
    <w:p w14:paraId="1AF64E69">
      <w:pPr>
        <w:pStyle w:val="2"/>
        <w:spacing w:before="4"/>
        <w:rPr>
          <w:color w:val="auto"/>
          <w:sz w:val="16"/>
        </w:rPr>
      </w:pPr>
    </w:p>
    <w:p w14:paraId="68D98AA7">
      <w:pPr>
        <w:spacing w:before="55" w:line="360" w:lineRule="auto"/>
        <w:ind w:left="540"/>
        <w:jc w:val="center"/>
        <w:rPr>
          <w:b/>
          <w:color w:val="auto"/>
          <w:sz w:val="32"/>
        </w:rPr>
      </w:pPr>
      <w:r>
        <w:rPr>
          <w:rFonts w:hint="eastAsia"/>
          <w:b/>
          <w:color w:val="auto"/>
          <w:sz w:val="32"/>
        </w:rPr>
        <w:t>目 录</w:t>
      </w:r>
    </w:p>
    <w:p w14:paraId="5F0ABF19">
      <w:pPr>
        <w:pStyle w:val="8"/>
        <w:spacing w:line="360" w:lineRule="auto"/>
        <w:ind w:firstLine="0"/>
        <w:jc w:val="center"/>
        <w:rPr>
          <w:rFonts w:hint="eastAsia"/>
          <w:color w:val="auto"/>
          <w:sz w:val="24"/>
          <w:szCs w:val="24"/>
        </w:rPr>
      </w:pPr>
    </w:p>
    <w:p w14:paraId="78C13ED3">
      <w:pPr>
        <w:pStyle w:val="8"/>
        <w:spacing w:line="360" w:lineRule="auto"/>
        <w:ind w:firstLine="0"/>
        <w:jc w:val="both"/>
        <w:rPr>
          <w:color w:val="auto"/>
          <w:sz w:val="24"/>
        </w:rPr>
      </w:pPr>
      <w:r>
        <w:rPr>
          <w:rFonts w:hint="eastAsia"/>
          <w:color w:val="auto"/>
          <w:sz w:val="24"/>
          <w:szCs w:val="24"/>
        </w:rPr>
        <w:t>（</w:t>
      </w:r>
      <w:r>
        <w:rPr>
          <w:rFonts w:hint="eastAsia"/>
          <w:color w:val="auto"/>
          <w:sz w:val="24"/>
        </w:rPr>
        <w:t>格式自行设计）</w:t>
      </w:r>
    </w:p>
    <w:p w14:paraId="645C79F7">
      <w:pPr>
        <w:spacing w:before="240"/>
        <w:ind w:left="540"/>
        <w:rPr>
          <w:color w:val="auto"/>
          <w:sz w:val="30"/>
        </w:rPr>
      </w:pPr>
    </w:p>
    <w:p w14:paraId="3574F6C1">
      <w:pPr>
        <w:rPr>
          <w:color w:val="auto"/>
          <w:sz w:val="30"/>
        </w:rPr>
      </w:pPr>
    </w:p>
    <w:p w14:paraId="0E3BBA02">
      <w:pPr>
        <w:pStyle w:val="13"/>
        <w:spacing w:before="120" w:after="120"/>
        <w:rPr>
          <w:rFonts w:ascii="仿宋" w:hAnsi="仿宋"/>
          <w:color w:val="auto"/>
          <w:sz w:val="30"/>
        </w:rPr>
      </w:pPr>
    </w:p>
    <w:p w14:paraId="69FD0329">
      <w:pPr>
        <w:rPr>
          <w:color w:val="auto"/>
          <w:sz w:val="30"/>
        </w:rPr>
      </w:pPr>
    </w:p>
    <w:p w14:paraId="277E014B">
      <w:pPr>
        <w:pStyle w:val="13"/>
        <w:spacing w:before="120" w:after="120"/>
        <w:rPr>
          <w:rFonts w:ascii="仿宋" w:hAnsi="仿宋"/>
          <w:color w:val="auto"/>
          <w:sz w:val="30"/>
        </w:rPr>
      </w:pPr>
    </w:p>
    <w:p w14:paraId="61B91053">
      <w:pPr>
        <w:rPr>
          <w:color w:val="auto"/>
          <w:sz w:val="30"/>
        </w:rPr>
      </w:pPr>
    </w:p>
    <w:p w14:paraId="22EC3280">
      <w:pPr>
        <w:pStyle w:val="13"/>
        <w:spacing w:before="120" w:after="120"/>
        <w:rPr>
          <w:rFonts w:ascii="仿宋" w:hAnsi="仿宋"/>
          <w:color w:val="auto"/>
          <w:sz w:val="30"/>
        </w:rPr>
      </w:pPr>
    </w:p>
    <w:p w14:paraId="758D3363">
      <w:pPr>
        <w:rPr>
          <w:color w:val="auto"/>
          <w:sz w:val="30"/>
        </w:rPr>
      </w:pPr>
    </w:p>
    <w:p w14:paraId="2F9A07BE">
      <w:pPr>
        <w:pStyle w:val="13"/>
        <w:spacing w:before="120" w:after="120"/>
        <w:rPr>
          <w:rFonts w:ascii="仿宋" w:hAnsi="仿宋"/>
          <w:color w:val="auto"/>
          <w:sz w:val="30"/>
        </w:rPr>
      </w:pPr>
    </w:p>
    <w:p w14:paraId="38DA197B">
      <w:pPr>
        <w:rPr>
          <w:color w:val="auto"/>
          <w:sz w:val="30"/>
        </w:rPr>
      </w:pPr>
    </w:p>
    <w:p w14:paraId="4BE8595E">
      <w:pPr>
        <w:pStyle w:val="13"/>
        <w:spacing w:before="120" w:after="120"/>
        <w:rPr>
          <w:rFonts w:ascii="仿宋" w:hAnsi="仿宋"/>
          <w:color w:val="auto"/>
          <w:sz w:val="30"/>
        </w:rPr>
      </w:pPr>
    </w:p>
    <w:p w14:paraId="749429C5">
      <w:pPr>
        <w:rPr>
          <w:color w:val="auto"/>
          <w:sz w:val="30"/>
        </w:rPr>
      </w:pPr>
    </w:p>
    <w:p w14:paraId="0092BA29">
      <w:pPr>
        <w:pStyle w:val="13"/>
        <w:spacing w:before="120" w:after="120"/>
        <w:rPr>
          <w:rFonts w:ascii="仿宋" w:hAnsi="仿宋"/>
          <w:color w:val="auto"/>
          <w:sz w:val="30"/>
        </w:rPr>
      </w:pPr>
    </w:p>
    <w:p w14:paraId="670401C6">
      <w:pPr>
        <w:rPr>
          <w:color w:val="auto"/>
          <w:sz w:val="30"/>
        </w:rPr>
      </w:pPr>
    </w:p>
    <w:p w14:paraId="78FB8D55">
      <w:pPr>
        <w:pStyle w:val="13"/>
        <w:spacing w:before="120" w:after="120"/>
        <w:rPr>
          <w:rFonts w:ascii="仿宋" w:hAnsi="仿宋"/>
          <w:color w:val="auto"/>
          <w:sz w:val="30"/>
        </w:rPr>
      </w:pPr>
    </w:p>
    <w:p w14:paraId="6E51B67A">
      <w:pPr>
        <w:rPr>
          <w:color w:val="auto"/>
          <w:sz w:val="30"/>
        </w:rPr>
      </w:pPr>
    </w:p>
    <w:p w14:paraId="2EA5CD18">
      <w:pPr>
        <w:pStyle w:val="13"/>
        <w:spacing w:before="120" w:after="120"/>
        <w:rPr>
          <w:rFonts w:ascii="仿宋" w:hAnsi="仿宋"/>
          <w:color w:val="auto"/>
          <w:sz w:val="30"/>
        </w:rPr>
      </w:pPr>
    </w:p>
    <w:p w14:paraId="6A7E5D65">
      <w:pPr>
        <w:rPr>
          <w:color w:val="auto"/>
          <w:sz w:val="30"/>
        </w:rPr>
      </w:pPr>
    </w:p>
    <w:p w14:paraId="428EA92B">
      <w:pPr>
        <w:pStyle w:val="13"/>
        <w:spacing w:before="120" w:after="120"/>
        <w:rPr>
          <w:rFonts w:ascii="仿宋" w:hAnsi="仿宋"/>
          <w:color w:val="auto"/>
          <w:sz w:val="30"/>
        </w:rPr>
      </w:pPr>
    </w:p>
    <w:p w14:paraId="5F399F4C">
      <w:pPr>
        <w:rPr>
          <w:color w:val="auto"/>
          <w:sz w:val="30"/>
        </w:rPr>
      </w:pPr>
    </w:p>
    <w:p w14:paraId="3B5928C6">
      <w:pPr>
        <w:pStyle w:val="13"/>
        <w:spacing w:before="120" w:after="120"/>
        <w:rPr>
          <w:rFonts w:ascii="仿宋" w:hAnsi="仿宋"/>
          <w:color w:val="auto"/>
          <w:sz w:val="30"/>
        </w:rPr>
      </w:pPr>
    </w:p>
    <w:p w14:paraId="66D21495">
      <w:pPr>
        <w:rPr>
          <w:color w:val="auto"/>
          <w:sz w:val="30"/>
        </w:rPr>
      </w:pPr>
    </w:p>
    <w:p w14:paraId="4C7F7DD9">
      <w:pPr>
        <w:pStyle w:val="13"/>
        <w:spacing w:before="120" w:after="120"/>
        <w:rPr>
          <w:rFonts w:ascii="仿宋" w:hAnsi="仿宋"/>
          <w:color w:val="auto"/>
          <w:sz w:val="30"/>
        </w:rPr>
      </w:pPr>
    </w:p>
    <w:p w14:paraId="0481C60C">
      <w:pPr>
        <w:pStyle w:val="2"/>
        <w:spacing w:before="5"/>
        <w:rPr>
          <w:color w:val="auto"/>
          <w:sz w:val="8"/>
        </w:rPr>
      </w:pPr>
    </w:p>
    <w:p w14:paraId="78FD0255">
      <w:pPr>
        <w:spacing w:before="58"/>
        <w:ind w:left="561" w:right="441"/>
        <w:jc w:val="center"/>
        <w:rPr>
          <w:rFonts w:hint="eastAsia"/>
          <w:b/>
          <w:color w:val="auto"/>
          <w:sz w:val="30"/>
          <w:lang w:val="en-US"/>
        </w:rPr>
      </w:pPr>
      <w:r>
        <w:rPr>
          <w:rFonts w:hint="eastAsia"/>
          <w:b/>
          <w:color w:val="auto"/>
          <w:sz w:val="30"/>
          <w:lang w:val="en-US"/>
        </w:rPr>
        <w:t>1</w:t>
      </w:r>
      <w:r>
        <w:rPr>
          <w:rFonts w:hint="eastAsia"/>
          <w:b/>
          <w:color w:val="auto"/>
          <w:sz w:val="30"/>
          <w:lang w:val="en-US" w:eastAsia="zh-CN"/>
        </w:rPr>
        <w:t>.</w:t>
      </w:r>
      <w:r>
        <w:rPr>
          <w:rFonts w:hint="eastAsia"/>
          <w:b/>
          <w:color w:val="auto"/>
          <w:sz w:val="30"/>
          <w:lang w:val="en-US"/>
        </w:rPr>
        <w:t>开标一览表</w:t>
      </w:r>
    </w:p>
    <w:p w14:paraId="31BBC963">
      <w:pPr>
        <w:spacing w:before="58"/>
        <w:ind w:left="561" w:right="441"/>
        <w:jc w:val="center"/>
        <w:rPr>
          <w:b/>
          <w:color w:val="auto"/>
          <w:sz w:val="30"/>
        </w:rPr>
      </w:pPr>
    </w:p>
    <w:p w14:paraId="23934C69">
      <w:pPr>
        <w:pStyle w:val="73"/>
        <w:spacing w:line="440" w:lineRule="exact"/>
        <w:jc w:val="right"/>
        <w:rPr>
          <w:rFonts w:ascii="仿宋" w:hAnsi="仿宋" w:eastAsia="仿宋" w:cs="仿宋"/>
          <w:color w:val="auto"/>
          <w:sz w:val="24"/>
          <w:szCs w:val="24"/>
        </w:rPr>
      </w:pPr>
      <w:r>
        <w:rPr>
          <w:rFonts w:hint="eastAsia" w:ascii="仿宋" w:hAnsi="仿宋" w:eastAsia="仿宋" w:cs="仿宋"/>
          <w:color w:val="auto"/>
          <w:sz w:val="24"/>
          <w:szCs w:val="24"/>
        </w:rPr>
        <w:t>币种：人民币（元）</w:t>
      </w:r>
    </w:p>
    <w:tbl>
      <w:tblPr>
        <w:tblStyle w:val="30"/>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028"/>
        <w:gridCol w:w="5951"/>
      </w:tblGrid>
      <w:tr w14:paraId="152C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133BD0A3">
            <w:pPr>
              <w:jc w:val="center"/>
              <w:rPr>
                <w:b/>
                <w:color w:val="auto"/>
                <w:sz w:val="24"/>
                <w:szCs w:val="24"/>
              </w:rPr>
            </w:pPr>
            <w:r>
              <w:rPr>
                <w:rFonts w:hint="eastAsia"/>
                <w:b/>
                <w:color w:val="auto"/>
                <w:sz w:val="24"/>
                <w:szCs w:val="24"/>
              </w:rPr>
              <w:t>项目编号</w:t>
            </w:r>
          </w:p>
        </w:tc>
        <w:tc>
          <w:tcPr>
            <w:tcW w:w="6979" w:type="dxa"/>
            <w:gridSpan w:val="2"/>
            <w:noWrap/>
            <w:vAlign w:val="center"/>
          </w:tcPr>
          <w:p w14:paraId="2D6916DF">
            <w:pPr>
              <w:rPr>
                <w:bCs/>
                <w:color w:val="auto"/>
                <w:sz w:val="24"/>
                <w:szCs w:val="24"/>
              </w:rPr>
            </w:pPr>
          </w:p>
        </w:tc>
      </w:tr>
      <w:tr w14:paraId="79F0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6CBEABD">
            <w:pPr>
              <w:jc w:val="center"/>
              <w:rPr>
                <w:b/>
                <w:color w:val="auto"/>
                <w:sz w:val="24"/>
                <w:szCs w:val="24"/>
              </w:rPr>
            </w:pPr>
            <w:r>
              <w:rPr>
                <w:rFonts w:hint="eastAsia"/>
                <w:b/>
                <w:color w:val="auto"/>
                <w:sz w:val="24"/>
                <w:szCs w:val="24"/>
              </w:rPr>
              <w:t>项目名称</w:t>
            </w:r>
          </w:p>
        </w:tc>
        <w:tc>
          <w:tcPr>
            <w:tcW w:w="6979" w:type="dxa"/>
            <w:gridSpan w:val="2"/>
            <w:noWrap/>
            <w:vAlign w:val="center"/>
          </w:tcPr>
          <w:p w14:paraId="3EA55BC0">
            <w:pPr>
              <w:rPr>
                <w:bCs/>
                <w:color w:val="auto"/>
                <w:sz w:val="24"/>
                <w:szCs w:val="24"/>
              </w:rPr>
            </w:pPr>
          </w:p>
        </w:tc>
      </w:tr>
      <w:tr w14:paraId="591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314DB661">
            <w:pPr>
              <w:jc w:val="center"/>
              <w:rPr>
                <w:b/>
                <w:color w:val="auto"/>
                <w:sz w:val="24"/>
                <w:szCs w:val="24"/>
              </w:rPr>
            </w:pPr>
            <w:r>
              <w:rPr>
                <w:rFonts w:hint="eastAsia"/>
                <w:b/>
                <w:color w:val="auto"/>
                <w:sz w:val="24"/>
                <w:szCs w:val="24"/>
              </w:rPr>
              <w:t>采购人名称</w:t>
            </w:r>
          </w:p>
        </w:tc>
        <w:tc>
          <w:tcPr>
            <w:tcW w:w="6979" w:type="dxa"/>
            <w:gridSpan w:val="2"/>
            <w:noWrap/>
            <w:vAlign w:val="center"/>
          </w:tcPr>
          <w:p w14:paraId="7D3C54D3">
            <w:pPr>
              <w:rPr>
                <w:bCs/>
                <w:color w:val="auto"/>
                <w:sz w:val="24"/>
                <w:szCs w:val="24"/>
              </w:rPr>
            </w:pPr>
          </w:p>
        </w:tc>
      </w:tr>
      <w:tr w14:paraId="057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90A8A85">
            <w:pPr>
              <w:jc w:val="center"/>
              <w:rPr>
                <w:b/>
                <w:color w:val="auto"/>
                <w:sz w:val="24"/>
                <w:szCs w:val="24"/>
              </w:rPr>
            </w:pPr>
            <w:r>
              <w:rPr>
                <w:rFonts w:hint="eastAsia"/>
                <w:b/>
                <w:color w:val="auto"/>
                <w:sz w:val="24"/>
                <w:szCs w:val="24"/>
              </w:rPr>
              <w:t>供应商名称</w:t>
            </w:r>
          </w:p>
        </w:tc>
        <w:tc>
          <w:tcPr>
            <w:tcW w:w="6979" w:type="dxa"/>
            <w:gridSpan w:val="2"/>
            <w:noWrap/>
            <w:vAlign w:val="center"/>
          </w:tcPr>
          <w:p w14:paraId="18118943">
            <w:pPr>
              <w:rPr>
                <w:bCs/>
                <w:color w:val="auto"/>
                <w:sz w:val="24"/>
                <w:szCs w:val="24"/>
              </w:rPr>
            </w:pPr>
          </w:p>
        </w:tc>
      </w:tr>
      <w:tr w14:paraId="6ABD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6E8FF8EA">
            <w:pPr>
              <w:jc w:val="center"/>
              <w:rPr>
                <w:b/>
                <w:color w:val="auto"/>
                <w:sz w:val="24"/>
                <w:szCs w:val="24"/>
              </w:rPr>
            </w:pPr>
            <w:r>
              <w:rPr>
                <w:rFonts w:hint="eastAsia"/>
                <w:b/>
                <w:color w:val="auto"/>
                <w:sz w:val="24"/>
                <w:szCs w:val="24"/>
              </w:rPr>
              <w:t>总报价</w:t>
            </w:r>
          </w:p>
        </w:tc>
        <w:tc>
          <w:tcPr>
            <w:tcW w:w="1028" w:type="dxa"/>
            <w:noWrap/>
            <w:vAlign w:val="center"/>
          </w:tcPr>
          <w:p w14:paraId="1C5B8B1A">
            <w:pPr>
              <w:jc w:val="center"/>
              <w:rPr>
                <w:bCs/>
                <w:color w:val="auto"/>
                <w:sz w:val="24"/>
                <w:szCs w:val="24"/>
              </w:rPr>
            </w:pPr>
            <w:r>
              <w:rPr>
                <w:rFonts w:hint="eastAsia"/>
                <w:bCs/>
                <w:color w:val="auto"/>
                <w:sz w:val="24"/>
                <w:szCs w:val="24"/>
              </w:rPr>
              <w:t>小写</w:t>
            </w:r>
          </w:p>
        </w:tc>
        <w:tc>
          <w:tcPr>
            <w:tcW w:w="5951" w:type="dxa"/>
            <w:noWrap/>
            <w:vAlign w:val="center"/>
          </w:tcPr>
          <w:p w14:paraId="0E0D27A2">
            <w:pPr>
              <w:rPr>
                <w:bCs/>
                <w:color w:val="auto"/>
                <w:sz w:val="24"/>
                <w:szCs w:val="24"/>
              </w:rPr>
            </w:pPr>
            <w:r>
              <w:rPr>
                <w:rFonts w:hint="eastAsia"/>
                <w:bCs/>
                <w:color w:val="auto"/>
                <w:sz w:val="24"/>
                <w:szCs w:val="24"/>
                <w:lang w:val="en-US"/>
              </w:rPr>
              <w:t>¥</w:t>
            </w:r>
            <w:r>
              <w:rPr>
                <w:rFonts w:hint="eastAsia"/>
                <w:bCs/>
                <w:color w:val="auto"/>
                <w:sz w:val="24"/>
                <w:szCs w:val="24"/>
              </w:rPr>
              <w:t xml:space="preserve">：       </w:t>
            </w:r>
          </w:p>
        </w:tc>
      </w:tr>
      <w:tr w14:paraId="2E3B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7B9844E4">
            <w:pPr>
              <w:rPr>
                <w:bCs/>
                <w:color w:val="auto"/>
                <w:sz w:val="24"/>
                <w:szCs w:val="24"/>
              </w:rPr>
            </w:pPr>
          </w:p>
        </w:tc>
        <w:tc>
          <w:tcPr>
            <w:tcW w:w="1028" w:type="dxa"/>
            <w:noWrap/>
            <w:vAlign w:val="center"/>
          </w:tcPr>
          <w:p w14:paraId="20C870B1">
            <w:pPr>
              <w:jc w:val="center"/>
              <w:rPr>
                <w:bCs/>
                <w:color w:val="auto"/>
                <w:sz w:val="24"/>
                <w:szCs w:val="24"/>
              </w:rPr>
            </w:pPr>
            <w:r>
              <w:rPr>
                <w:rFonts w:hint="eastAsia"/>
                <w:bCs/>
                <w:color w:val="auto"/>
                <w:sz w:val="24"/>
                <w:szCs w:val="24"/>
              </w:rPr>
              <w:t>大写</w:t>
            </w:r>
          </w:p>
        </w:tc>
        <w:tc>
          <w:tcPr>
            <w:tcW w:w="5951" w:type="dxa"/>
            <w:noWrap/>
            <w:vAlign w:val="center"/>
          </w:tcPr>
          <w:p w14:paraId="05026081">
            <w:pPr>
              <w:rPr>
                <w:bCs/>
                <w:color w:val="auto"/>
                <w:sz w:val="24"/>
                <w:szCs w:val="24"/>
              </w:rPr>
            </w:pPr>
          </w:p>
        </w:tc>
      </w:tr>
    </w:tbl>
    <w:p w14:paraId="44802B7F">
      <w:pPr>
        <w:spacing w:line="360" w:lineRule="auto"/>
        <w:rPr>
          <w:rFonts w:hint="eastAsia"/>
          <w:b/>
          <w:color w:val="auto"/>
          <w:sz w:val="24"/>
          <w:szCs w:val="24"/>
        </w:rPr>
      </w:pPr>
    </w:p>
    <w:p w14:paraId="611604D6">
      <w:pPr>
        <w:spacing w:line="360" w:lineRule="auto"/>
        <w:rPr>
          <w:bCs/>
          <w:color w:val="auto"/>
          <w:sz w:val="24"/>
          <w:szCs w:val="24"/>
        </w:rPr>
      </w:pPr>
      <w:r>
        <w:rPr>
          <w:rFonts w:hint="eastAsia"/>
          <w:b w:val="0"/>
          <w:bCs/>
          <w:color w:val="auto"/>
          <w:sz w:val="24"/>
          <w:szCs w:val="24"/>
        </w:rPr>
        <w:t>注：</w:t>
      </w:r>
      <w:r>
        <w:rPr>
          <w:rFonts w:hint="eastAsia"/>
          <w:b/>
          <w:bCs/>
          <w:color w:val="auto"/>
          <w:sz w:val="24"/>
          <w:szCs w:val="24"/>
        </w:rPr>
        <w:t>▲</w:t>
      </w:r>
      <w:r>
        <w:rPr>
          <w:rFonts w:hint="eastAsia"/>
          <w:b w:val="0"/>
          <w:bCs w:val="0"/>
          <w:color w:val="auto"/>
          <w:sz w:val="24"/>
          <w:szCs w:val="24"/>
          <w:lang w:val="en-US" w:eastAsia="zh-CN"/>
        </w:rPr>
        <w:t>1.</w:t>
      </w:r>
      <w:r>
        <w:rPr>
          <w:rFonts w:hint="eastAsia"/>
          <w:b w:val="0"/>
          <w:bCs w:val="0"/>
          <w:color w:val="auto"/>
          <w:sz w:val="24"/>
          <w:szCs w:val="24"/>
        </w:rPr>
        <w:t>评审时</w:t>
      </w:r>
      <w:r>
        <w:rPr>
          <w:rFonts w:hint="eastAsia"/>
          <w:bCs/>
          <w:color w:val="auto"/>
          <w:sz w:val="24"/>
          <w:szCs w:val="24"/>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48362444">
      <w:pPr>
        <w:spacing w:line="360" w:lineRule="auto"/>
        <w:ind w:firstLine="480" w:firstLineChars="200"/>
        <w:rPr>
          <w:bCs/>
          <w:color w:val="auto"/>
          <w:sz w:val="24"/>
          <w:szCs w:val="24"/>
        </w:rPr>
      </w:pPr>
      <w:r>
        <w:rPr>
          <w:rFonts w:hint="eastAsia"/>
          <w:bCs/>
          <w:color w:val="auto"/>
          <w:sz w:val="24"/>
          <w:szCs w:val="24"/>
          <w:lang w:val="en-US" w:eastAsia="zh-CN"/>
        </w:rPr>
        <w:t>2.</w:t>
      </w:r>
      <w:r>
        <w:rPr>
          <w:rFonts w:hint="eastAsia"/>
          <w:bCs/>
          <w:color w:val="auto"/>
          <w:sz w:val="24"/>
          <w:szCs w:val="24"/>
        </w:rPr>
        <w:t>报价一经涂改，应在涂改处加盖单位公章</w:t>
      </w:r>
      <w:r>
        <w:rPr>
          <w:rFonts w:hint="eastAsia"/>
          <w:bCs/>
          <w:color w:val="auto"/>
          <w:sz w:val="24"/>
          <w:szCs w:val="24"/>
          <w:lang w:eastAsia="zh-CN"/>
        </w:rPr>
        <w:t>或</w:t>
      </w:r>
      <w:r>
        <w:rPr>
          <w:rFonts w:hint="eastAsia"/>
          <w:bCs/>
          <w:color w:val="auto"/>
          <w:sz w:val="24"/>
          <w:szCs w:val="24"/>
        </w:rPr>
        <w:t>由法定代表人（负责人）或授权委托人签字或盖章，否则其报价作无效处理。</w:t>
      </w:r>
    </w:p>
    <w:p w14:paraId="0F6A9E0B">
      <w:pPr>
        <w:snapToGrid w:val="0"/>
        <w:spacing w:before="50" w:after="50" w:line="324" w:lineRule="auto"/>
        <w:ind w:firstLine="480" w:firstLineChars="200"/>
        <w:rPr>
          <w:b/>
          <w:color w:val="auto"/>
          <w:sz w:val="24"/>
          <w:szCs w:val="24"/>
        </w:rPr>
      </w:pPr>
      <w:r>
        <w:rPr>
          <w:rFonts w:hint="eastAsia"/>
          <w:bCs/>
          <w:color w:val="auto"/>
          <w:sz w:val="24"/>
          <w:szCs w:val="24"/>
          <w:lang w:val="en-US" w:eastAsia="zh-CN"/>
        </w:rPr>
        <w:t>3.</w:t>
      </w:r>
      <w:r>
        <w:rPr>
          <w:rFonts w:hint="eastAsia"/>
          <w:bCs/>
          <w:color w:val="auto"/>
          <w:sz w:val="24"/>
          <w:szCs w:val="24"/>
        </w:rPr>
        <w:t>不接受有选择性的报价，不提供该报价表的报价文件视为未实质性响应磋商文件。</w:t>
      </w:r>
    </w:p>
    <w:p w14:paraId="65F908AA">
      <w:pPr>
        <w:snapToGrid w:val="0"/>
        <w:spacing w:before="50" w:after="50" w:line="360" w:lineRule="auto"/>
        <w:ind w:firstLine="723" w:firstLineChars="300"/>
        <w:rPr>
          <w:b/>
          <w:color w:val="auto"/>
          <w:sz w:val="24"/>
          <w:szCs w:val="24"/>
        </w:rPr>
      </w:pPr>
    </w:p>
    <w:p w14:paraId="1D095ABA">
      <w:pPr>
        <w:pStyle w:val="13"/>
        <w:spacing w:before="120" w:after="120" w:line="360" w:lineRule="auto"/>
        <w:ind w:firstLine="5320" w:firstLineChars="1900"/>
        <w:rPr>
          <w:rFonts w:ascii="仿宋" w:hAnsi="仿宋"/>
          <w:color w:val="auto"/>
          <w:spacing w:val="20"/>
          <w:szCs w:val="24"/>
        </w:rPr>
      </w:pPr>
    </w:p>
    <w:p w14:paraId="082FC17E">
      <w:pPr>
        <w:pStyle w:val="2"/>
        <w:tabs>
          <w:tab w:val="left" w:pos="9625"/>
        </w:tabs>
        <w:spacing w:before="1"/>
        <w:ind w:left="6139"/>
        <w:rPr>
          <w:color w:val="auto"/>
        </w:rPr>
      </w:pPr>
      <w:r>
        <w:rPr>
          <w:rFonts w:hint="eastAsia"/>
          <w:color w:val="auto"/>
        </w:rPr>
        <w:t>供应商盖章：</w:t>
      </w:r>
      <w:r>
        <w:rPr>
          <w:rFonts w:hint="eastAsia"/>
          <w:color w:val="auto"/>
          <w:u w:val="single"/>
        </w:rPr>
        <w:tab/>
      </w:r>
    </w:p>
    <w:p w14:paraId="2009D0E9">
      <w:pPr>
        <w:pStyle w:val="2"/>
        <w:tabs>
          <w:tab w:val="left" w:pos="7219"/>
          <w:tab w:val="left" w:pos="9599"/>
        </w:tabs>
        <w:spacing w:before="131"/>
        <w:ind w:left="6139"/>
        <w:rPr>
          <w:rFonts w:hint="default" w:eastAsia="仿宋"/>
          <w:color w:val="auto"/>
          <w:u w:val="single"/>
          <w:lang w:val="en-US" w:eastAsia="zh-CN"/>
        </w:rPr>
      </w:pPr>
      <w:r>
        <w:rPr>
          <w:rFonts w:hint="eastAsia"/>
          <w:color w:val="auto"/>
        </w:rPr>
        <w:t>日期：</w:t>
      </w:r>
      <w:r>
        <w:rPr>
          <w:rFonts w:hint="eastAsia"/>
          <w:color w:val="auto"/>
          <w:u w:val="single"/>
        </w:rPr>
        <w:tab/>
      </w:r>
      <w:r>
        <w:rPr>
          <w:rFonts w:hint="eastAsia"/>
          <w:color w:val="auto"/>
          <w:u w:val="single"/>
          <w:lang w:val="en-US" w:eastAsia="zh-CN"/>
        </w:rPr>
        <w:t xml:space="preserve">             </w:t>
      </w:r>
    </w:p>
    <w:p w14:paraId="5E0F61F8">
      <w:pPr>
        <w:pStyle w:val="27"/>
        <w:rPr>
          <w:color w:val="auto"/>
          <w:u w:val="single"/>
        </w:rPr>
      </w:pPr>
    </w:p>
    <w:p w14:paraId="6672192B">
      <w:pPr>
        <w:pStyle w:val="22"/>
        <w:rPr>
          <w:rFonts w:ascii="仿宋" w:hAnsi="仿宋"/>
          <w:color w:val="auto"/>
          <w:u w:val="single"/>
        </w:rPr>
      </w:pPr>
    </w:p>
    <w:p w14:paraId="7DA998D4">
      <w:pPr>
        <w:widowControl/>
        <w:autoSpaceDE/>
        <w:autoSpaceDN/>
        <w:rPr>
          <w:color w:val="auto"/>
          <w:u w:val="single"/>
        </w:rPr>
      </w:pPr>
    </w:p>
    <w:p w14:paraId="285DAAF6">
      <w:pPr>
        <w:widowControl/>
        <w:autoSpaceDE/>
        <w:autoSpaceDN/>
        <w:rPr>
          <w:b/>
          <w:color w:val="auto"/>
          <w:sz w:val="30"/>
          <w:lang w:val="en-US"/>
        </w:rPr>
      </w:pPr>
    </w:p>
    <w:p w14:paraId="237F6AA5">
      <w:pPr>
        <w:spacing w:before="58"/>
        <w:ind w:left="561" w:right="441"/>
        <w:jc w:val="center"/>
        <w:rPr>
          <w:rFonts w:hint="eastAsia"/>
          <w:b/>
          <w:color w:val="auto"/>
          <w:sz w:val="30"/>
          <w:lang w:val="en-US"/>
        </w:rPr>
      </w:pPr>
    </w:p>
    <w:p w14:paraId="5D79D558">
      <w:pPr>
        <w:spacing w:before="58"/>
        <w:ind w:left="561" w:right="441"/>
        <w:jc w:val="center"/>
        <w:rPr>
          <w:b/>
          <w:color w:val="auto"/>
          <w:sz w:val="30"/>
        </w:rPr>
      </w:pPr>
      <w:r>
        <w:rPr>
          <w:rFonts w:hint="eastAsia"/>
          <w:b/>
          <w:color w:val="auto"/>
          <w:sz w:val="30"/>
          <w:lang w:val="en-US"/>
        </w:rPr>
        <w:t>2</w:t>
      </w:r>
      <w:r>
        <w:rPr>
          <w:rFonts w:hint="eastAsia"/>
          <w:b/>
          <w:color w:val="auto"/>
          <w:sz w:val="30"/>
          <w:lang w:val="en-US" w:eastAsia="zh-CN"/>
        </w:rPr>
        <w:t>.</w:t>
      </w:r>
      <w:r>
        <w:rPr>
          <w:rFonts w:hint="eastAsia"/>
          <w:b/>
          <w:color w:val="auto"/>
          <w:sz w:val="30"/>
        </w:rPr>
        <w:t>响应分项报价表</w:t>
      </w:r>
    </w:p>
    <w:p w14:paraId="4AF0F9AB">
      <w:pPr>
        <w:spacing w:line="360" w:lineRule="auto"/>
        <w:rPr>
          <w:rFonts w:hint="eastAsia"/>
          <w:color w:val="auto"/>
          <w:sz w:val="24"/>
          <w:szCs w:val="24"/>
        </w:rPr>
      </w:pPr>
    </w:p>
    <w:p w14:paraId="2C2CEC3B">
      <w:pPr>
        <w:spacing w:line="360" w:lineRule="auto"/>
        <w:rPr>
          <w:color w:val="auto"/>
          <w:sz w:val="24"/>
          <w:szCs w:val="24"/>
        </w:rPr>
      </w:pPr>
      <w:r>
        <w:rPr>
          <w:rFonts w:hint="eastAsia"/>
          <w:color w:val="auto"/>
          <w:sz w:val="24"/>
          <w:szCs w:val="24"/>
        </w:rPr>
        <w:t>项目编号：</w:t>
      </w:r>
    </w:p>
    <w:p w14:paraId="5D876F0E">
      <w:pPr>
        <w:spacing w:line="360" w:lineRule="auto"/>
        <w:rPr>
          <w:color w:val="auto"/>
          <w:sz w:val="24"/>
          <w:szCs w:val="24"/>
          <w:u w:val="single"/>
        </w:rPr>
      </w:pPr>
      <w:r>
        <w:rPr>
          <w:rFonts w:hint="eastAsia"/>
          <w:color w:val="auto"/>
          <w:sz w:val="24"/>
          <w:szCs w:val="24"/>
        </w:rPr>
        <w:t>项目名称：</w:t>
      </w:r>
    </w:p>
    <w:tbl>
      <w:tblPr>
        <w:tblStyle w:val="30"/>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11C39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02173B2">
            <w:pPr>
              <w:jc w:val="center"/>
              <w:rPr>
                <w:color w:val="auto"/>
                <w:sz w:val="24"/>
                <w:szCs w:val="24"/>
              </w:rPr>
            </w:pPr>
            <w:r>
              <w:rPr>
                <w:rFonts w:hint="eastAsia"/>
                <w:color w:val="auto"/>
                <w:sz w:val="24"/>
                <w:szCs w:val="24"/>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F838206">
            <w:pPr>
              <w:jc w:val="center"/>
              <w:rPr>
                <w:color w:val="auto"/>
                <w:sz w:val="24"/>
                <w:szCs w:val="24"/>
              </w:rPr>
            </w:pPr>
            <w:r>
              <w:rPr>
                <w:rFonts w:hint="eastAsia"/>
                <w:color w:val="auto"/>
                <w:sz w:val="24"/>
                <w:szCs w:val="24"/>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3466D6B3">
            <w:pPr>
              <w:jc w:val="center"/>
              <w:rPr>
                <w:color w:val="auto"/>
                <w:sz w:val="24"/>
                <w:szCs w:val="24"/>
              </w:rPr>
            </w:pPr>
            <w:r>
              <w:rPr>
                <w:rFonts w:hint="eastAsia"/>
                <w:color w:val="auto"/>
                <w:sz w:val="24"/>
                <w:szCs w:val="24"/>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37F1BA4B">
            <w:pPr>
              <w:jc w:val="center"/>
              <w:rPr>
                <w:color w:val="auto"/>
                <w:sz w:val="24"/>
                <w:szCs w:val="24"/>
              </w:rPr>
            </w:pPr>
            <w:r>
              <w:rPr>
                <w:rFonts w:hint="eastAsia"/>
                <w:color w:val="auto"/>
                <w:sz w:val="24"/>
                <w:szCs w:val="24"/>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0E8B2AF">
            <w:pPr>
              <w:jc w:val="center"/>
              <w:rPr>
                <w:color w:val="auto"/>
                <w:sz w:val="24"/>
                <w:szCs w:val="24"/>
              </w:rPr>
            </w:pPr>
            <w:r>
              <w:rPr>
                <w:rFonts w:hint="eastAsia"/>
                <w:color w:val="auto"/>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0D717918">
            <w:pPr>
              <w:jc w:val="center"/>
              <w:rPr>
                <w:color w:val="auto"/>
                <w:sz w:val="24"/>
                <w:szCs w:val="24"/>
              </w:rPr>
            </w:pPr>
            <w:r>
              <w:rPr>
                <w:rFonts w:hint="eastAsia"/>
                <w:color w:val="auto"/>
                <w:sz w:val="24"/>
                <w:szCs w:val="24"/>
              </w:rPr>
              <w:t>合价（元）</w:t>
            </w:r>
          </w:p>
        </w:tc>
      </w:tr>
      <w:tr w14:paraId="2F91B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040838B">
            <w:pPr>
              <w:jc w:val="center"/>
              <w:rPr>
                <w:color w:val="auto"/>
                <w:sz w:val="24"/>
                <w:szCs w:val="24"/>
              </w:rPr>
            </w:pPr>
            <w:r>
              <w:rPr>
                <w:rFonts w:hint="eastAsia"/>
                <w:color w:val="auto"/>
                <w:sz w:val="24"/>
                <w:szCs w:val="24"/>
              </w:rPr>
              <w:t>1</w:t>
            </w:r>
          </w:p>
        </w:tc>
        <w:tc>
          <w:tcPr>
            <w:tcW w:w="4482" w:type="dxa"/>
            <w:tcBorders>
              <w:top w:val="single" w:color="auto" w:sz="4" w:space="0"/>
              <w:left w:val="single" w:color="auto" w:sz="4" w:space="0"/>
              <w:bottom w:val="single" w:color="auto" w:sz="4" w:space="0"/>
              <w:right w:val="single" w:color="auto" w:sz="4" w:space="0"/>
            </w:tcBorders>
            <w:vAlign w:val="center"/>
          </w:tcPr>
          <w:p w14:paraId="264FF259">
            <w:pPr>
              <w:jc w:val="center"/>
              <w:rPr>
                <w:color w:val="auto"/>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39D60D44">
            <w:pPr>
              <w:jc w:val="center"/>
              <w:rPr>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29A7EADC">
            <w:pPr>
              <w:jc w:val="center"/>
              <w:rPr>
                <w:color w:val="auto"/>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493F3A9B">
            <w:pPr>
              <w:jc w:val="center"/>
              <w:rPr>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48F8F3A">
            <w:pPr>
              <w:jc w:val="center"/>
              <w:rPr>
                <w:color w:val="auto"/>
                <w:sz w:val="24"/>
                <w:szCs w:val="24"/>
              </w:rPr>
            </w:pPr>
          </w:p>
        </w:tc>
      </w:tr>
      <w:tr w14:paraId="0C907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348CDCB">
            <w:pPr>
              <w:jc w:val="center"/>
              <w:rPr>
                <w:color w:val="auto"/>
                <w:sz w:val="24"/>
                <w:szCs w:val="24"/>
              </w:rPr>
            </w:pPr>
            <w:r>
              <w:rPr>
                <w:rFonts w:hint="eastAsia"/>
                <w:color w:val="auto"/>
                <w:sz w:val="24"/>
                <w:szCs w:val="24"/>
              </w:rPr>
              <w:t>2</w:t>
            </w:r>
          </w:p>
        </w:tc>
        <w:tc>
          <w:tcPr>
            <w:tcW w:w="4482" w:type="dxa"/>
            <w:tcBorders>
              <w:top w:val="single" w:color="auto" w:sz="4" w:space="0"/>
              <w:left w:val="single" w:color="auto" w:sz="4" w:space="0"/>
              <w:bottom w:val="single" w:color="auto" w:sz="4" w:space="0"/>
              <w:right w:val="single" w:color="auto" w:sz="4" w:space="0"/>
            </w:tcBorders>
            <w:vAlign w:val="center"/>
          </w:tcPr>
          <w:p w14:paraId="12E31F93">
            <w:pPr>
              <w:jc w:val="center"/>
              <w:rPr>
                <w:color w:val="auto"/>
                <w:sz w:val="24"/>
                <w:szCs w:val="24"/>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6082BB2">
            <w:pPr>
              <w:jc w:val="center"/>
              <w:rPr>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3AEF7272">
            <w:pPr>
              <w:jc w:val="center"/>
              <w:rPr>
                <w:color w:val="auto"/>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75F94479">
            <w:pPr>
              <w:jc w:val="center"/>
              <w:rPr>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D4BF6FF">
            <w:pPr>
              <w:jc w:val="center"/>
              <w:rPr>
                <w:color w:val="auto"/>
                <w:sz w:val="24"/>
                <w:szCs w:val="24"/>
              </w:rPr>
            </w:pPr>
          </w:p>
        </w:tc>
      </w:tr>
      <w:tr w14:paraId="19E34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F7EABF8">
            <w:pPr>
              <w:jc w:val="center"/>
              <w:rPr>
                <w:color w:val="auto"/>
                <w:sz w:val="24"/>
                <w:szCs w:val="24"/>
              </w:rPr>
            </w:pPr>
            <w:r>
              <w:rPr>
                <w:rFonts w:hint="eastAsia"/>
                <w:color w:val="auto"/>
                <w:sz w:val="24"/>
                <w:szCs w:val="24"/>
              </w:rPr>
              <w:t>3</w:t>
            </w:r>
          </w:p>
        </w:tc>
        <w:tc>
          <w:tcPr>
            <w:tcW w:w="4482" w:type="dxa"/>
            <w:tcBorders>
              <w:top w:val="single" w:color="auto" w:sz="4" w:space="0"/>
              <w:left w:val="single" w:color="auto" w:sz="4" w:space="0"/>
              <w:bottom w:val="single" w:color="auto" w:sz="4" w:space="0"/>
              <w:right w:val="single" w:color="auto" w:sz="4" w:space="0"/>
            </w:tcBorders>
            <w:vAlign w:val="center"/>
          </w:tcPr>
          <w:p w14:paraId="22142ACA">
            <w:pPr>
              <w:jc w:val="center"/>
              <w:rPr>
                <w:color w:val="auto"/>
                <w:sz w:val="24"/>
                <w:szCs w:val="24"/>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5939451C">
            <w:pPr>
              <w:jc w:val="center"/>
              <w:rPr>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071952EC">
            <w:pPr>
              <w:jc w:val="center"/>
              <w:rPr>
                <w:color w:val="auto"/>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4E55D2E5">
            <w:pPr>
              <w:jc w:val="center"/>
              <w:rPr>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AD6A080">
            <w:pPr>
              <w:jc w:val="center"/>
              <w:rPr>
                <w:color w:val="auto"/>
                <w:sz w:val="24"/>
                <w:szCs w:val="24"/>
              </w:rPr>
            </w:pPr>
          </w:p>
        </w:tc>
      </w:tr>
      <w:tr w14:paraId="3081A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0AEEF5B">
            <w:pPr>
              <w:jc w:val="center"/>
              <w:rPr>
                <w:color w:val="auto"/>
                <w:sz w:val="24"/>
                <w:szCs w:val="24"/>
              </w:rPr>
            </w:pPr>
            <w:r>
              <w:rPr>
                <w:rFonts w:hint="eastAsia"/>
                <w:color w:val="auto"/>
                <w:sz w:val="24"/>
                <w:szCs w:val="24"/>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1AF95F6D">
            <w:pPr>
              <w:rPr>
                <w:color w:val="auto"/>
                <w:sz w:val="24"/>
                <w:szCs w:val="24"/>
              </w:rPr>
            </w:pPr>
            <w:r>
              <w:rPr>
                <w:rFonts w:hint="eastAsia"/>
                <w:color w:val="auto"/>
                <w:sz w:val="24"/>
                <w:szCs w:val="24"/>
              </w:rPr>
              <w:t>总计：（大写）元</w:t>
            </w:r>
            <w:r>
              <w:rPr>
                <w:rFonts w:hint="eastAsia"/>
                <w:color w:val="auto"/>
                <w:sz w:val="24"/>
                <w:szCs w:val="24"/>
                <w:lang w:val="en-US" w:eastAsia="zh-CN"/>
              </w:rPr>
              <w:t xml:space="preserve">              </w:t>
            </w:r>
            <w:r>
              <w:rPr>
                <w:rFonts w:hint="eastAsia"/>
                <w:color w:val="auto"/>
                <w:sz w:val="24"/>
                <w:szCs w:val="24"/>
              </w:rPr>
              <w:t>（¥              ）</w:t>
            </w:r>
          </w:p>
        </w:tc>
      </w:tr>
    </w:tbl>
    <w:p w14:paraId="10E87C96">
      <w:pPr>
        <w:pStyle w:val="54"/>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注：1.供应商可根据具体情况调整报价明细清单格式，填写内容应包含项目人员费用</w:t>
      </w:r>
      <w:r>
        <w:rPr>
          <w:rFonts w:hint="eastAsia" w:ascii="仿宋" w:hAnsi="仿宋" w:eastAsia="仿宋" w:cs="仿宋"/>
          <w:color w:val="auto"/>
          <w:sz w:val="24"/>
          <w:lang w:eastAsia="zh-CN"/>
        </w:rPr>
        <w:t>（</w:t>
      </w:r>
      <w:r>
        <w:rPr>
          <w:rFonts w:hint="eastAsia" w:ascii="仿宋" w:hAnsi="仿宋" w:eastAsia="仿宋" w:cs="仿宋"/>
          <w:color w:val="auto"/>
          <w:sz w:val="24"/>
        </w:rPr>
        <w:t>工资、各类社会保险、福利、津贴、奖金等</w:t>
      </w:r>
      <w:r>
        <w:rPr>
          <w:rFonts w:hint="eastAsia" w:ascii="仿宋" w:hAnsi="仿宋" w:eastAsia="仿宋" w:cs="仿宋"/>
          <w:color w:val="auto"/>
          <w:sz w:val="24"/>
          <w:lang w:eastAsia="zh-CN"/>
        </w:rPr>
        <w:t>）</w:t>
      </w:r>
      <w:r>
        <w:rPr>
          <w:rFonts w:hint="eastAsia" w:ascii="仿宋" w:hAnsi="仿宋" w:eastAsia="仿宋" w:cs="仿宋"/>
          <w:color w:val="auto"/>
          <w:sz w:val="24"/>
        </w:rPr>
        <w:t>、服务费、税金等实施本项目所产生的一切费用，采购人不另行支付其他任何费用。</w:t>
      </w:r>
    </w:p>
    <w:p w14:paraId="7C3468CD">
      <w:pPr>
        <w:pStyle w:val="54"/>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2.《分项报价表》必须与《开标一览表》报价相同。</w:t>
      </w:r>
    </w:p>
    <w:p w14:paraId="140DE9DE">
      <w:pPr>
        <w:rPr>
          <w:color w:val="auto"/>
        </w:rPr>
      </w:pPr>
    </w:p>
    <w:p w14:paraId="120FC563">
      <w:pPr>
        <w:pStyle w:val="2"/>
        <w:tabs>
          <w:tab w:val="left" w:pos="9625"/>
        </w:tabs>
        <w:spacing w:before="1"/>
        <w:ind w:left="6139"/>
        <w:rPr>
          <w:color w:val="auto"/>
        </w:rPr>
      </w:pPr>
      <w:r>
        <w:rPr>
          <w:rFonts w:hint="eastAsia"/>
          <w:color w:val="auto"/>
        </w:rPr>
        <w:t>供应商盖章：</w:t>
      </w:r>
      <w:r>
        <w:rPr>
          <w:rFonts w:hint="eastAsia"/>
          <w:color w:val="auto"/>
          <w:u w:val="single"/>
        </w:rPr>
        <w:tab/>
      </w:r>
    </w:p>
    <w:p w14:paraId="3BBF644B">
      <w:pPr>
        <w:pStyle w:val="2"/>
        <w:tabs>
          <w:tab w:val="left" w:pos="7219"/>
          <w:tab w:val="left" w:pos="9599"/>
        </w:tabs>
        <w:spacing w:before="131"/>
        <w:ind w:left="6139"/>
        <w:rPr>
          <w:rFonts w:hint="default" w:eastAsia="仿宋"/>
          <w:color w:val="auto"/>
          <w:u w:val="single"/>
          <w:lang w:val="en-US" w:eastAsia="zh-CN"/>
        </w:rPr>
      </w:pPr>
      <w:r>
        <w:rPr>
          <w:rFonts w:hint="eastAsia"/>
          <w:color w:val="auto"/>
        </w:rPr>
        <w:t>日期：</w:t>
      </w:r>
      <w:r>
        <w:rPr>
          <w:rFonts w:hint="eastAsia"/>
          <w:color w:val="auto"/>
          <w:u w:val="single"/>
        </w:rPr>
        <w:tab/>
      </w:r>
      <w:r>
        <w:rPr>
          <w:rFonts w:hint="eastAsia"/>
          <w:color w:val="auto"/>
          <w:u w:val="single"/>
          <w:lang w:val="en-US" w:eastAsia="zh-CN"/>
        </w:rPr>
        <w:t xml:space="preserve">             </w:t>
      </w:r>
    </w:p>
    <w:p w14:paraId="7540F051">
      <w:pPr>
        <w:pStyle w:val="27"/>
        <w:rPr>
          <w:color w:val="auto"/>
          <w:u w:val="single"/>
        </w:rPr>
      </w:pPr>
    </w:p>
    <w:p w14:paraId="7DC6A4B7">
      <w:pPr>
        <w:pStyle w:val="8"/>
        <w:rPr>
          <w:color w:val="auto"/>
        </w:rPr>
        <w:sectPr>
          <w:pgSz w:w="11910" w:h="16840"/>
          <w:pgMar w:top="1247" w:right="1247" w:bottom="1247" w:left="1587" w:header="884" w:footer="884" w:gutter="0"/>
          <w:pgNumType w:fmt="decimal"/>
          <w:cols w:space="0" w:num="1"/>
        </w:sectPr>
      </w:pPr>
    </w:p>
    <w:p w14:paraId="4D46C6D9">
      <w:pPr>
        <w:rPr>
          <w:b/>
          <w:color w:val="auto"/>
        </w:rPr>
      </w:pPr>
      <w:r>
        <w:rPr>
          <w:b/>
          <w:color w:val="auto"/>
        </w:rPr>
        <w:br w:type="page"/>
      </w:r>
    </w:p>
    <w:p w14:paraId="51984F4E">
      <w:pPr>
        <w:spacing w:before="58" w:line="360" w:lineRule="auto"/>
        <w:jc w:val="both"/>
        <w:rPr>
          <w:rFonts w:hint="eastAsia" w:eastAsia="仿宋"/>
          <w:b/>
          <w:bCs/>
          <w:color w:val="auto"/>
          <w:sz w:val="30"/>
          <w:szCs w:val="30"/>
          <w:lang w:eastAsia="zh-CN"/>
        </w:rPr>
      </w:pPr>
      <w:r>
        <w:rPr>
          <w:rFonts w:hint="eastAsia"/>
          <w:b/>
          <w:bCs/>
          <w:color w:val="auto"/>
          <w:sz w:val="30"/>
          <w:szCs w:val="30"/>
          <w:lang w:val="en-US" w:eastAsia="zh-CN"/>
        </w:rPr>
        <w:t>3.</w:t>
      </w:r>
      <w:r>
        <w:rPr>
          <w:rFonts w:hint="eastAsia"/>
          <w:b/>
          <w:bCs/>
          <w:color w:val="auto"/>
          <w:sz w:val="30"/>
          <w:szCs w:val="30"/>
        </w:rPr>
        <w:t>中小企业声明函</w:t>
      </w:r>
      <w:r>
        <w:rPr>
          <w:rFonts w:hint="eastAsia"/>
          <w:b/>
          <w:bCs/>
          <w:color w:val="auto"/>
          <w:sz w:val="30"/>
          <w:szCs w:val="30"/>
          <w:lang w:eastAsia="zh-CN"/>
        </w:rPr>
        <w:t>（若有）</w:t>
      </w:r>
    </w:p>
    <w:p w14:paraId="0D951191">
      <w:pPr>
        <w:widowControl/>
        <w:spacing w:line="480" w:lineRule="auto"/>
        <w:jc w:val="center"/>
        <w:rPr>
          <w:color w:val="auto"/>
          <w:sz w:val="28"/>
        </w:rPr>
      </w:pPr>
      <w:r>
        <w:rPr>
          <w:rFonts w:hint="eastAsia"/>
          <w:b/>
          <w:bCs/>
          <w:color w:val="auto"/>
          <w:sz w:val="28"/>
          <w:lang w:val="en-US" w:eastAsia="zh-CN"/>
        </w:rPr>
        <w:t>3</w:t>
      </w:r>
      <w:r>
        <w:rPr>
          <w:rFonts w:hint="eastAsia"/>
          <w:b/>
          <w:bCs/>
          <w:color w:val="auto"/>
          <w:sz w:val="28"/>
        </w:rPr>
        <w:t>.1中小企业声明函（服务）</w:t>
      </w:r>
    </w:p>
    <w:p w14:paraId="776A484C">
      <w:pPr>
        <w:spacing w:line="360" w:lineRule="auto"/>
        <w:ind w:firstLine="480" w:firstLineChars="200"/>
        <w:rPr>
          <w:color w:val="auto"/>
          <w:sz w:val="24"/>
        </w:rPr>
      </w:pPr>
      <w:r>
        <w:rPr>
          <w:rFonts w:hint="eastAsia"/>
          <w:color w:val="auto"/>
          <w:sz w:val="24"/>
        </w:rPr>
        <w:t>本公司（联合体）郑重声明，根据《政府采购促进中小企业发展管理办法》（财库﹝2020﹞46 号）的规定，本公司（联合体）参加</w:t>
      </w:r>
      <w:r>
        <w:rPr>
          <w:rFonts w:hint="eastAsia"/>
          <w:color w:val="auto"/>
          <w:sz w:val="24"/>
          <w:u w:val="single"/>
        </w:rPr>
        <w:t>（单位名称）</w:t>
      </w:r>
      <w:r>
        <w:rPr>
          <w:rFonts w:hint="eastAsia"/>
          <w:color w:val="auto"/>
          <w:sz w:val="24"/>
        </w:rPr>
        <w:t>的</w:t>
      </w:r>
      <w:r>
        <w:rPr>
          <w:rFonts w:hint="eastAsia"/>
          <w:color w:val="auto"/>
          <w:sz w:val="24"/>
          <w:u w:val="single"/>
        </w:rPr>
        <w:t xml:space="preserve">  （项目名称）</w:t>
      </w:r>
      <w:r>
        <w:rPr>
          <w:rFonts w:hint="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F29AFB8">
      <w:pPr>
        <w:spacing w:line="360" w:lineRule="auto"/>
        <w:ind w:firstLine="480" w:firstLineChars="200"/>
        <w:rPr>
          <w:color w:val="auto"/>
          <w:sz w:val="24"/>
        </w:rPr>
      </w:pPr>
      <w:r>
        <w:rPr>
          <w:rFonts w:hint="eastAsia"/>
          <w:color w:val="auto"/>
          <w:sz w:val="24"/>
        </w:rPr>
        <w:t>1.</w:t>
      </w:r>
      <w:r>
        <w:rPr>
          <w:rFonts w:hint="eastAsia"/>
          <w:color w:val="auto"/>
          <w:sz w:val="24"/>
          <w:u w:val="single"/>
        </w:rPr>
        <w:t xml:space="preserve"> （标的名称） </w:t>
      </w:r>
      <w:r>
        <w:rPr>
          <w:rFonts w:hint="eastAsia"/>
          <w:color w:val="auto"/>
          <w:sz w:val="24"/>
        </w:rPr>
        <w:t>，属于</w:t>
      </w:r>
      <w:r>
        <w:rPr>
          <w:rFonts w:hint="eastAsia"/>
          <w:b/>
          <w:bCs/>
          <w:color w:val="auto"/>
          <w:sz w:val="24"/>
          <w:u w:val="single"/>
          <w:lang w:eastAsia="zh-CN"/>
        </w:rPr>
        <w:t>其他未列明行业</w:t>
      </w:r>
      <w:r>
        <w:rPr>
          <w:rFonts w:hint="eastAsia"/>
          <w:color w:val="auto"/>
          <w:sz w:val="24"/>
          <w:u w:val="single"/>
        </w:rPr>
        <w:t>（采购文件中明确的所属行业）</w:t>
      </w:r>
      <w:r>
        <w:rPr>
          <w:rFonts w:hint="eastAsia"/>
          <w:color w:val="auto"/>
          <w:sz w:val="24"/>
        </w:rPr>
        <w:t>； 承建（承接）企业为</w:t>
      </w:r>
      <w:r>
        <w:rPr>
          <w:rFonts w:hint="eastAsia"/>
          <w:color w:val="auto"/>
          <w:sz w:val="24"/>
          <w:u w:val="single"/>
        </w:rPr>
        <w:t>（企业名称）</w:t>
      </w:r>
      <w:r>
        <w:rPr>
          <w:rFonts w:hint="eastAsia"/>
          <w:color w:val="auto"/>
          <w:sz w:val="24"/>
        </w:rPr>
        <w:t>，从业人员人，营业收入为万元，资产总额为万元，属于</w:t>
      </w:r>
      <w:r>
        <w:rPr>
          <w:rFonts w:hint="eastAsia"/>
          <w:color w:val="auto"/>
          <w:sz w:val="24"/>
          <w:u w:val="single"/>
        </w:rPr>
        <w:t>（中型企业、小型企业、微型企业）</w:t>
      </w:r>
      <w:r>
        <w:rPr>
          <w:rFonts w:hint="eastAsia"/>
          <w:color w:val="auto"/>
          <w:sz w:val="24"/>
        </w:rPr>
        <w:t xml:space="preserve">； </w:t>
      </w:r>
    </w:p>
    <w:p w14:paraId="182FF789">
      <w:pPr>
        <w:spacing w:line="360" w:lineRule="auto"/>
        <w:ind w:firstLine="480" w:firstLineChars="200"/>
        <w:rPr>
          <w:color w:val="auto"/>
          <w:sz w:val="24"/>
        </w:rPr>
      </w:pPr>
      <w:r>
        <w:rPr>
          <w:rFonts w:hint="eastAsia"/>
          <w:color w:val="auto"/>
          <w:sz w:val="24"/>
        </w:rPr>
        <w:t>2.</w:t>
      </w:r>
      <w:r>
        <w:rPr>
          <w:rFonts w:hint="eastAsia"/>
          <w:color w:val="auto"/>
          <w:sz w:val="24"/>
          <w:u w:val="single"/>
        </w:rPr>
        <w:t xml:space="preserve"> （标的名称） </w:t>
      </w:r>
      <w:r>
        <w:rPr>
          <w:rFonts w:hint="eastAsia"/>
          <w:color w:val="auto"/>
          <w:sz w:val="24"/>
        </w:rPr>
        <w:t>，属于</w:t>
      </w:r>
      <w:r>
        <w:rPr>
          <w:rFonts w:hint="eastAsia"/>
          <w:color w:val="auto"/>
          <w:sz w:val="24"/>
          <w:u w:val="single"/>
        </w:rPr>
        <w:t>（采购文件中明确的所属行业）</w:t>
      </w:r>
      <w:r>
        <w:rPr>
          <w:rFonts w:hint="eastAsia"/>
          <w:color w:val="auto"/>
          <w:sz w:val="24"/>
        </w:rPr>
        <w:t>；承建（承接）企业为</w:t>
      </w:r>
      <w:r>
        <w:rPr>
          <w:rFonts w:hint="eastAsia"/>
          <w:color w:val="auto"/>
          <w:sz w:val="24"/>
          <w:u w:val="single"/>
        </w:rPr>
        <w:t>（企业名称）</w:t>
      </w:r>
      <w:r>
        <w:rPr>
          <w:rFonts w:hint="eastAsia"/>
          <w:color w:val="auto"/>
          <w:sz w:val="24"/>
        </w:rPr>
        <w:t>，从业人员 人，营业收入为万元，资产总额为万元，属于</w:t>
      </w:r>
      <w:r>
        <w:rPr>
          <w:rFonts w:hint="eastAsia"/>
          <w:color w:val="auto"/>
          <w:sz w:val="24"/>
          <w:u w:val="single"/>
        </w:rPr>
        <w:t xml:space="preserve">（中型企业、小型企业、微型企业）； </w:t>
      </w:r>
    </w:p>
    <w:p w14:paraId="190553C0">
      <w:pPr>
        <w:spacing w:line="360" w:lineRule="auto"/>
        <w:rPr>
          <w:color w:val="auto"/>
          <w:sz w:val="24"/>
        </w:rPr>
      </w:pPr>
      <w:r>
        <w:rPr>
          <w:rFonts w:hint="eastAsia"/>
          <w:color w:val="auto"/>
          <w:sz w:val="24"/>
        </w:rPr>
        <w:t>……</w:t>
      </w:r>
    </w:p>
    <w:p w14:paraId="53137D7B">
      <w:pPr>
        <w:spacing w:line="360" w:lineRule="auto"/>
        <w:ind w:firstLine="480" w:firstLineChars="200"/>
        <w:rPr>
          <w:color w:val="auto"/>
          <w:sz w:val="24"/>
        </w:rPr>
      </w:pPr>
      <w:r>
        <w:rPr>
          <w:rFonts w:hint="eastAsia"/>
          <w:color w:val="auto"/>
          <w:sz w:val="24"/>
        </w:rPr>
        <w:t>以上企业，不属于大企业的分支机构，不存在控股股东为大企业的情形，也不存在与大企业的负责人为同一人的情形。</w:t>
      </w:r>
    </w:p>
    <w:p w14:paraId="0E5927ED">
      <w:pPr>
        <w:spacing w:line="360" w:lineRule="auto"/>
        <w:ind w:firstLine="480" w:firstLineChars="200"/>
        <w:rPr>
          <w:color w:val="auto"/>
          <w:sz w:val="24"/>
        </w:rPr>
      </w:pPr>
      <w:r>
        <w:rPr>
          <w:rFonts w:hint="eastAsia"/>
          <w:color w:val="auto"/>
          <w:sz w:val="24"/>
        </w:rPr>
        <w:t>本企业对上述声明内容的真实性负责。如有虚假，将依法承担相应责任。</w:t>
      </w:r>
    </w:p>
    <w:p w14:paraId="3B3CFA18">
      <w:pPr>
        <w:widowControl/>
        <w:spacing w:line="360" w:lineRule="auto"/>
        <w:rPr>
          <w:color w:val="auto"/>
          <w:sz w:val="24"/>
        </w:rPr>
      </w:pPr>
    </w:p>
    <w:p w14:paraId="38E15B4C">
      <w:pPr>
        <w:pStyle w:val="54"/>
        <w:wordWrap w:val="0"/>
        <w:spacing w:line="360" w:lineRule="auto"/>
        <w:ind w:firstLine="480"/>
        <w:jc w:val="center"/>
        <w:rPr>
          <w:rFonts w:ascii="仿宋" w:hAnsi="仿宋" w:eastAsia="仿宋" w:cs="仿宋"/>
          <w:color w:val="auto"/>
          <w:sz w:val="24"/>
          <w:szCs w:val="21"/>
          <w:u w:val="single"/>
        </w:rPr>
      </w:pPr>
      <w:r>
        <w:rPr>
          <w:rFonts w:hint="eastAsia" w:ascii="仿宋" w:hAnsi="仿宋" w:eastAsia="仿宋" w:cs="仿宋"/>
          <w:color w:val="auto"/>
          <w:sz w:val="24"/>
          <w:szCs w:val="21"/>
        </w:rPr>
        <w:t>供应商盖章（电子章）：</w:t>
      </w:r>
    </w:p>
    <w:p w14:paraId="3A2D97D9">
      <w:pPr>
        <w:widowControl/>
        <w:spacing w:line="360" w:lineRule="auto"/>
        <w:ind w:firstLine="4800" w:firstLineChars="2000"/>
        <w:rPr>
          <w:rFonts w:cs="宋体"/>
          <w:color w:val="auto"/>
          <w:sz w:val="24"/>
        </w:rPr>
      </w:pPr>
      <w:r>
        <w:rPr>
          <w:rFonts w:hint="eastAsia"/>
          <w:color w:val="auto"/>
          <w:sz w:val="24"/>
          <w:szCs w:val="21"/>
        </w:rPr>
        <w:t>日      期：</w:t>
      </w:r>
    </w:p>
    <w:p w14:paraId="52075693">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2336;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7DFFC22">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1.填写要求：①“标的名称”“采购文件中明确的所属行业”依据招标文件《第三章 </w:t>
      </w:r>
      <w:r>
        <w:rPr>
          <w:rFonts w:hint="eastAsia" w:cs="仿宋"/>
          <w:color w:val="auto"/>
          <w:szCs w:val="21"/>
          <w:highlight w:val="none"/>
          <w:lang w:val="en-US" w:eastAsia="zh-CN"/>
        </w:rPr>
        <w:t>供应商</w:t>
      </w:r>
      <w:r>
        <w:rPr>
          <w:rFonts w:hint="eastAsia" w:ascii="仿宋" w:hAnsi="仿宋" w:eastAsia="仿宋" w:cs="仿宋"/>
          <w:color w:val="auto"/>
          <w:szCs w:val="21"/>
          <w:highlight w:val="none"/>
          <w:lang w:eastAsia="zh-CN"/>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41511CB">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76CB36">
      <w:pPr>
        <w:spacing w:line="360" w:lineRule="auto"/>
        <w:ind w:firstLine="440" w:firstLineChars="200"/>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3.行业划型标准为：其他未列明行业。从业人员300人以下的为中小微型企业。其中，从业人员100人及以上的为中型企业；从业人员10人及以上的为小型企业；从业人员10人以下的为微型企业。</w:t>
      </w:r>
    </w:p>
    <w:p w14:paraId="363C7B37">
      <w:pPr>
        <w:widowControl/>
        <w:spacing w:line="480" w:lineRule="auto"/>
        <w:jc w:val="center"/>
        <w:rPr>
          <w:b/>
          <w:bCs/>
          <w:color w:val="auto"/>
          <w:sz w:val="28"/>
          <w:szCs w:val="28"/>
          <w:highlight w:val="none"/>
        </w:rPr>
      </w:pPr>
    </w:p>
    <w:p w14:paraId="4BF2642C">
      <w:pPr>
        <w:widowControl/>
        <w:spacing w:line="480" w:lineRule="auto"/>
        <w:jc w:val="center"/>
        <w:rPr>
          <w:b/>
          <w:bCs/>
          <w:color w:val="auto"/>
          <w:sz w:val="28"/>
          <w:szCs w:val="28"/>
        </w:rPr>
      </w:pPr>
    </w:p>
    <w:p w14:paraId="31D94223">
      <w:pPr>
        <w:widowControl/>
        <w:spacing w:line="480" w:lineRule="auto"/>
        <w:jc w:val="center"/>
        <w:rPr>
          <w:b/>
          <w:bCs/>
          <w:color w:val="auto"/>
          <w:sz w:val="28"/>
          <w:szCs w:val="28"/>
        </w:rPr>
      </w:pPr>
    </w:p>
    <w:p w14:paraId="50751866">
      <w:pPr>
        <w:widowControl/>
        <w:spacing w:line="480" w:lineRule="auto"/>
        <w:jc w:val="center"/>
        <w:rPr>
          <w:b/>
          <w:bCs/>
          <w:color w:val="auto"/>
          <w:sz w:val="28"/>
          <w:szCs w:val="28"/>
        </w:rPr>
      </w:pPr>
    </w:p>
    <w:p w14:paraId="021EC303">
      <w:pPr>
        <w:widowControl/>
        <w:spacing w:line="480" w:lineRule="auto"/>
        <w:jc w:val="center"/>
        <w:rPr>
          <w:b/>
          <w:bCs/>
          <w:color w:val="auto"/>
          <w:sz w:val="28"/>
          <w:szCs w:val="28"/>
        </w:rPr>
      </w:pPr>
    </w:p>
    <w:p w14:paraId="74B6E36E">
      <w:pPr>
        <w:widowControl/>
        <w:spacing w:line="480" w:lineRule="auto"/>
        <w:jc w:val="center"/>
        <w:rPr>
          <w:b/>
          <w:bCs/>
          <w:color w:val="auto"/>
          <w:sz w:val="28"/>
          <w:szCs w:val="28"/>
        </w:rPr>
      </w:pPr>
    </w:p>
    <w:p w14:paraId="1A9AD078">
      <w:pPr>
        <w:widowControl/>
        <w:spacing w:line="480" w:lineRule="auto"/>
        <w:jc w:val="center"/>
        <w:rPr>
          <w:b/>
          <w:bCs/>
          <w:color w:val="auto"/>
          <w:sz w:val="28"/>
          <w:szCs w:val="28"/>
        </w:rPr>
      </w:pPr>
    </w:p>
    <w:p w14:paraId="37EBD342">
      <w:pPr>
        <w:widowControl/>
        <w:spacing w:line="480" w:lineRule="auto"/>
        <w:jc w:val="center"/>
        <w:rPr>
          <w:b/>
          <w:bCs/>
          <w:color w:val="auto"/>
          <w:sz w:val="28"/>
          <w:szCs w:val="28"/>
        </w:rPr>
      </w:pPr>
    </w:p>
    <w:p w14:paraId="47212049">
      <w:pPr>
        <w:widowControl/>
        <w:spacing w:line="480" w:lineRule="auto"/>
        <w:jc w:val="center"/>
        <w:rPr>
          <w:b/>
          <w:bCs/>
          <w:color w:val="auto"/>
          <w:sz w:val="28"/>
          <w:szCs w:val="28"/>
        </w:rPr>
      </w:pPr>
    </w:p>
    <w:p w14:paraId="26043AEC">
      <w:pPr>
        <w:widowControl/>
        <w:spacing w:line="480" w:lineRule="auto"/>
        <w:jc w:val="center"/>
        <w:rPr>
          <w:b/>
          <w:bCs/>
          <w:color w:val="auto"/>
          <w:sz w:val="28"/>
          <w:szCs w:val="28"/>
        </w:rPr>
      </w:pPr>
    </w:p>
    <w:p w14:paraId="25127D5B">
      <w:pPr>
        <w:widowControl/>
        <w:spacing w:line="480" w:lineRule="auto"/>
        <w:jc w:val="center"/>
        <w:rPr>
          <w:b/>
          <w:bCs/>
          <w:color w:val="auto"/>
          <w:sz w:val="28"/>
          <w:szCs w:val="28"/>
        </w:rPr>
      </w:pPr>
    </w:p>
    <w:p w14:paraId="6B486CE6">
      <w:pPr>
        <w:widowControl/>
        <w:spacing w:line="480" w:lineRule="auto"/>
        <w:jc w:val="center"/>
        <w:rPr>
          <w:b/>
          <w:bCs/>
          <w:color w:val="auto"/>
          <w:sz w:val="28"/>
          <w:szCs w:val="28"/>
        </w:rPr>
      </w:pPr>
    </w:p>
    <w:p w14:paraId="15A4FD29">
      <w:pPr>
        <w:widowControl/>
        <w:spacing w:line="480" w:lineRule="auto"/>
        <w:jc w:val="center"/>
        <w:rPr>
          <w:b/>
          <w:bCs/>
          <w:color w:val="auto"/>
          <w:sz w:val="28"/>
          <w:szCs w:val="28"/>
        </w:rPr>
      </w:pPr>
    </w:p>
    <w:p w14:paraId="2F5A52C2">
      <w:pPr>
        <w:widowControl/>
        <w:spacing w:line="480" w:lineRule="auto"/>
        <w:jc w:val="center"/>
        <w:rPr>
          <w:b/>
          <w:bCs/>
          <w:color w:val="auto"/>
          <w:sz w:val="28"/>
          <w:szCs w:val="28"/>
        </w:rPr>
      </w:pPr>
    </w:p>
    <w:p w14:paraId="3E870D97">
      <w:pPr>
        <w:widowControl/>
        <w:spacing w:line="480" w:lineRule="auto"/>
        <w:jc w:val="center"/>
        <w:rPr>
          <w:b/>
          <w:bCs/>
          <w:color w:val="auto"/>
          <w:sz w:val="28"/>
          <w:szCs w:val="28"/>
        </w:rPr>
      </w:pPr>
    </w:p>
    <w:p w14:paraId="23E73171">
      <w:pPr>
        <w:widowControl/>
        <w:spacing w:line="480" w:lineRule="auto"/>
        <w:jc w:val="center"/>
        <w:rPr>
          <w:b/>
          <w:bCs/>
          <w:color w:val="auto"/>
          <w:sz w:val="28"/>
          <w:szCs w:val="28"/>
        </w:rPr>
      </w:pPr>
    </w:p>
    <w:p w14:paraId="02ABAACB">
      <w:pPr>
        <w:widowControl/>
        <w:spacing w:line="480" w:lineRule="auto"/>
        <w:jc w:val="center"/>
        <w:rPr>
          <w:bCs/>
          <w:color w:val="auto"/>
          <w:sz w:val="28"/>
          <w:szCs w:val="28"/>
        </w:rPr>
      </w:pPr>
      <w:r>
        <w:rPr>
          <w:rFonts w:hint="eastAsia"/>
          <w:b/>
          <w:bCs/>
          <w:color w:val="auto"/>
          <w:sz w:val="28"/>
          <w:szCs w:val="28"/>
          <w:lang w:val="en-US" w:eastAsia="zh-CN"/>
        </w:rPr>
        <w:t>3</w:t>
      </w:r>
      <w:r>
        <w:rPr>
          <w:rFonts w:hint="eastAsia"/>
          <w:b/>
          <w:bCs/>
          <w:color w:val="auto"/>
          <w:sz w:val="28"/>
          <w:szCs w:val="28"/>
        </w:rPr>
        <w:t>.2残疾人福利性单位声明函</w:t>
      </w:r>
    </w:p>
    <w:p w14:paraId="3C569AAE">
      <w:pPr>
        <w:pStyle w:val="69"/>
        <w:spacing w:line="360" w:lineRule="auto"/>
        <w:ind w:firstLine="601"/>
        <w:rPr>
          <w:rFonts w:ascii="仿宋" w:hAnsi="仿宋" w:cs="仿宋"/>
          <w:color w:val="auto"/>
          <w:kern w:val="2"/>
        </w:rPr>
      </w:pPr>
      <w:r>
        <w:rPr>
          <w:rFonts w:hint="eastAsia" w:ascii="仿宋" w:hAnsi="仿宋" w:cs="仿宋"/>
          <w:color w:val="auto"/>
          <w:kern w:val="2"/>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B2F9BB2">
      <w:pPr>
        <w:pStyle w:val="69"/>
        <w:spacing w:line="360" w:lineRule="auto"/>
        <w:ind w:firstLine="600"/>
        <w:rPr>
          <w:rFonts w:ascii="仿宋" w:hAnsi="仿宋" w:cs="仿宋"/>
          <w:color w:val="auto"/>
          <w:kern w:val="2"/>
        </w:rPr>
      </w:pPr>
      <w:r>
        <w:rPr>
          <w:rFonts w:hint="eastAsia" w:ascii="仿宋" w:hAnsi="仿宋" w:cs="仿宋"/>
          <w:color w:val="auto"/>
          <w:kern w:val="2"/>
        </w:rPr>
        <w:t>本单位对上述声明的真实性负责。如有虚假，将依法承担相应责任。</w:t>
      </w:r>
    </w:p>
    <w:p w14:paraId="76DF4A4D">
      <w:pPr>
        <w:pStyle w:val="69"/>
        <w:spacing w:line="360" w:lineRule="auto"/>
        <w:ind w:firstLine="4488" w:firstLineChars="1870"/>
        <w:rPr>
          <w:rFonts w:hint="eastAsia" w:ascii="仿宋" w:hAnsi="仿宋" w:cs="仿宋"/>
          <w:color w:val="auto"/>
          <w:kern w:val="2"/>
        </w:rPr>
      </w:pPr>
    </w:p>
    <w:p w14:paraId="2F1F9668">
      <w:pPr>
        <w:pStyle w:val="69"/>
        <w:spacing w:line="360" w:lineRule="auto"/>
        <w:ind w:firstLine="4488" w:firstLineChars="1870"/>
        <w:rPr>
          <w:rFonts w:hint="eastAsia" w:ascii="仿宋" w:hAnsi="仿宋" w:cs="仿宋"/>
          <w:color w:val="auto"/>
          <w:kern w:val="2"/>
        </w:rPr>
      </w:pPr>
      <w:r>
        <w:rPr>
          <w:rFonts w:hint="eastAsia" w:ascii="仿宋" w:hAnsi="仿宋" w:cs="仿宋"/>
          <w:color w:val="auto"/>
          <w:kern w:val="2"/>
        </w:rPr>
        <w:t>单位名称（盖章）：</w:t>
      </w:r>
    </w:p>
    <w:p w14:paraId="013168A7">
      <w:pPr>
        <w:pStyle w:val="69"/>
        <w:spacing w:line="360" w:lineRule="auto"/>
        <w:ind w:firstLine="4968" w:firstLineChars="2070"/>
        <w:rPr>
          <w:rFonts w:ascii="仿宋" w:hAnsi="仿宋" w:cs="仿宋"/>
          <w:color w:val="auto"/>
          <w:sz w:val="30"/>
          <w:szCs w:val="30"/>
        </w:rPr>
      </w:pPr>
      <w:r>
        <w:rPr>
          <w:rFonts w:hint="eastAsia" w:ascii="仿宋" w:hAnsi="仿宋" w:cs="仿宋"/>
          <w:color w:val="auto"/>
          <w:kern w:val="2"/>
        </w:rPr>
        <w:t>日  期：</w:t>
      </w:r>
      <w:r>
        <w:rPr>
          <w:rFonts w:hint="eastAsia" w:ascii="仿宋_GB2312" w:hAnsi="Times New Roman" w:eastAsia="仿宋_GB2312" w:cs="Times New Roman"/>
          <w:caps w:val="0"/>
          <w:color w:val="auto"/>
          <w:spacing w:val="0"/>
          <w:kern w:val="2"/>
          <w:sz w:val="28"/>
          <w:szCs w:val="28"/>
        </w:rPr>
        <w:t xml:space="preserve"> </w:t>
      </w:r>
      <w:r>
        <w:rPr>
          <w:rFonts w:ascii="仿宋_GB2312" w:hAnsi="Times New Roman" w:eastAsia="仿宋_GB2312" w:cs="Times New Roman"/>
          <w:caps w:val="0"/>
          <w:color w:val="auto"/>
          <w:spacing w:val="0"/>
          <w:kern w:val="2"/>
          <w:sz w:val="28"/>
          <w:szCs w:val="28"/>
        </w:rPr>
        <w:t xml:space="preserve">        </w:t>
      </w:r>
    </w:p>
    <w:p w14:paraId="13145A6F">
      <w:pPr>
        <w:spacing w:line="360" w:lineRule="auto"/>
        <w:jc w:val="center"/>
        <w:rPr>
          <w:color w:val="auto"/>
          <w:sz w:val="30"/>
          <w:szCs w:val="30"/>
        </w:rPr>
      </w:pPr>
    </w:p>
    <w:p w14:paraId="756E9606">
      <w:pPr>
        <w:spacing w:line="360" w:lineRule="auto"/>
        <w:jc w:val="center"/>
        <w:rPr>
          <w:color w:val="auto"/>
          <w:sz w:val="30"/>
          <w:szCs w:val="30"/>
        </w:rPr>
      </w:pPr>
    </w:p>
    <w:p w14:paraId="03FDF807">
      <w:pPr>
        <w:spacing w:line="360" w:lineRule="auto"/>
        <w:jc w:val="center"/>
        <w:rPr>
          <w:color w:val="auto"/>
          <w:sz w:val="30"/>
          <w:szCs w:val="30"/>
        </w:rPr>
      </w:pPr>
    </w:p>
    <w:p w14:paraId="071A1FF2">
      <w:pPr>
        <w:pStyle w:val="13"/>
        <w:spacing w:before="120" w:after="120" w:line="360" w:lineRule="auto"/>
        <w:jc w:val="center"/>
        <w:rPr>
          <w:rFonts w:ascii="仿宋" w:hAnsi="仿宋"/>
          <w:b/>
          <w:bCs/>
          <w:color w:val="auto"/>
          <w:sz w:val="28"/>
          <w:szCs w:val="28"/>
        </w:rPr>
      </w:pPr>
      <w:r>
        <w:rPr>
          <w:rFonts w:hint="eastAsia" w:ascii="仿宋" w:hAnsi="仿宋"/>
          <w:b/>
          <w:bCs/>
          <w:color w:val="auto"/>
          <w:sz w:val="28"/>
          <w:szCs w:val="28"/>
          <w:lang w:val="en-US" w:eastAsia="zh-CN"/>
        </w:rPr>
        <w:t>3</w:t>
      </w:r>
      <w:r>
        <w:rPr>
          <w:rFonts w:hint="eastAsia" w:ascii="仿宋" w:hAnsi="仿宋"/>
          <w:b/>
          <w:bCs/>
          <w:color w:val="auto"/>
          <w:sz w:val="28"/>
          <w:szCs w:val="28"/>
        </w:rPr>
        <w:t>.3监狱企业证明</w:t>
      </w:r>
    </w:p>
    <w:p w14:paraId="381EB149">
      <w:pPr>
        <w:pStyle w:val="8"/>
        <w:spacing w:line="360" w:lineRule="auto"/>
        <w:ind w:firstLine="0"/>
        <w:jc w:val="center"/>
        <w:rPr>
          <w:color w:val="auto"/>
          <w:sz w:val="24"/>
          <w:szCs w:val="24"/>
        </w:rPr>
      </w:pPr>
    </w:p>
    <w:p w14:paraId="7BBB6632">
      <w:pPr>
        <w:pStyle w:val="8"/>
        <w:spacing w:line="360" w:lineRule="auto"/>
        <w:ind w:firstLine="482" w:firstLineChars="200"/>
        <w:rPr>
          <w:color w:val="auto"/>
          <w:sz w:val="24"/>
          <w:szCs w:val="24"/>
        </w:rPr>
      </w:pPr>
      <w:r>
        <w:rPr>
          <w:rFonts w:hint="eastAsia"/>
          <w:b/>
          <w:color w:val="auto"/>
          <w:sz w:val="24"/>
          <w:szCs w:val="24"/>
        </w:rPr>
        <w:t>注：</w:t>
      </w:r>
      <w:r>
        <w:rPr>
          <w:rFonts w:hint="eastAsia"/>
          <w:color w:val="auto"/>
          <w:sz w:val="24"/>
          <w:szCs w:val="24"/>
        </w:rPr>
        <w:t>须提供省级以上监狱管理局、戒毒管理局（含新疆生产建设兵团）出具的属于监狱企业的证明文件</w:t>
      </w:r>
    </w:p>
    <w:p w14:paraId="3FEC54CF">
      <w:pPr>
        <w:pStyle w:val="9"/>
        <w:rPr>
          <w:color w:val="auto"/>
          <w:szCs w:val="28"/>
        </w:rPr>
      </w:pPr>
    </w:p>
    <w:p w14:paraId="72509449">
      <w:pPr>
        <w:pStyle w:val="8"/>
        <w:rPr>
          <w:color w:val="auto"/>
          <w:sz w:val="28"/>
          <w:szCs w:val="28"/>
        </w:rPr>
      </w:pPr>
    </w:p>
    <w:p w14:paraId="64DF24F2">
      <w:pPr>
        <w:rPr>
          <w:color w:val="auto"/>
        </w:rPr>
      </w:pPr>
    </w:p>
    <w:p w14:paraId="5EB593F1">
      <w:pPr>
        <w:rPr>
          <w:color w:val="auto"/>
          <w:sz w:val="28"/>
          <w:szCs w:val="28"/>
        </w:rPr>
      </w:pPr>
    </w:p>
    <w:p w14:paraId="24BE6C9B">
      <w:pPr>
        <w:pStyle w:val="39"/>
        <w:rPr>
          <w:color w:val="auto"/>
          <w:szCs w:val="28"/>
        </w:rPr>
      </w:pPr>
    </w:p>
    <w:p w14:paraId="086FCB38">
      <w:pPr>
        <w:pStyle w:val="2"/>
        <w:tabs>
          <w:tab w:val="left" w:pos="208"/>
        </w:tabs>
        <w:rPr>
          <w:color w:val="auto"/>
        </w:rPr>
      </w:pPr>
    </w:p>
    <w:p w14:paraId="37017D7C">
      <w:pPr>
        <w:pStyle w:val="9"/>
        <w:rPr>
          <w:color w:val="auto"/>
          <w:szCs w:val="28"/>
        </w:rPr>
      </w:pPr>
    </w:p>
    <w:p w14:paraId="47122900">
      <w:pPr>
        <w:pStyle w:val="2"/>
        <w:rPr>
          <w:color w:val="auto"/>
        </w:rPr>
      </w:pPr>
    </w:p>
    <w:p w14:paraId="5790B67C">
      <w:pPr>
        <w:pStyle w:val="2"/>
        <w:rPr>
          <w:color w:val="auto"/>
        </w:rPr>
      </w:pPr>
    </w:p>
    <w:p w14:paraId="43885184">
      <w:pPr>
        <w:pStyle w:val="27"/>
        <w:ind w:left="0" w:leftChars="0" w:firstLine="0" w:firstLineChars="0"/>
        <w:rPr>
          <w:color w:val="auto"/>
        </w:rPr>
      </w:pPr>
    </w:p>
    <w:p w14:paraId="25177224">
      <w:pPr>
        <w:pStyle w:val="4"/>
        <w:tabs>
          <w:tab w:val="left" w:pos="871"/>
        </w:tabs>
        <w:ind w:left="117"/>
        <w:rPr>
          <w:rFonts w:hint="eastAsia"/>
          <w:color w:val="auto"/>
        </w:rPr>
      </w:pPr>
      <w:bookmarkStart w:id="85" w:name="_Toc10958"/>
      <w:bookmarkStart w:id="86" w:name="_Toc20210"/>
      <w:r>
        <w:rPr>
          <w:rFonts w:hint="eastAsia"/>
          <w:color w:val="auto"/>
          <w:lang w:eastAsia="zh-CN"/>
        </w:rPr>
        <w:t>四</w:t>
      </w:r>
      <w:r>
        <w:rPr>
          <w:rFonts w:hint="eastAsia"/>
          <w:color w:val="auto"/>
          <w:lang w:val="en-US" w:eastAsia="zh-CN"/>
        </w:rPr>
        <w:t xml:space="preserve"> </w:t>
      </w:r>
      <w:r>
        <w:rPr>
          <w:rFonts w:hint="eastAsia"/>
          <w:color w:val="auto"/>
        </w:rPr>
        <w:t>现场确认声明书</w:t>
      </w:r>
      <w:bookmarkEnd w:id="85"/>
      <w:bookmarkEnd w:id="86"/>
    </w:p>
    <w:p w14:paraId="4F7077E4">
      <w:pPr>
        <w:pStyle w:val="2"/>
        <w:tabs>
          <w:tab w:val="left" w:pos="2315"/>
          <w:tab w:val="left" w:pos="5779"/>
        </w:tabs>
        <w:spacing w:line="300" w:lineRule="auto"/>
        <w:ind w:firstLine="480" w:firstLineChars="200"/>
        <w:jc w:val="both"/>
        <w:rPr>
          <w:color w:val="auto"/>
        </w:rPr>
      </w:pPr>
    </w:p>
    <w:p w14:paraId="07569B80">
      <w:pPr>
        <w:pStyle w:val="2"/>
        <w:tabs>
          <w:tab w:val="left" w:pos="2315"/>
          <w:tab w:val="left" w:pos="5779"/>
        </w:tabs>
        <w:spacing w:line="300" w:lineRule="auto"/>
        <w:jc w:val="both"/>
        <w:rPr>
          <w:color w:val="auto"/>
        </w:rPr>
      </w:pPr>
      <w:r>
        <w:rPr>
          <w:rFonts w:hint="eastAsia"/>
          <w:color w:val="auto"/>
          <w:u w:val="single"/>
        </w:rPr>
        <w:t>浙江至诚工程咨询有限责任公司：</w:t>
      </w:r>
    </w:p>
    <w:p w14:paraId="243EE929">
      <w:pPr>
        <w:pStyle w:val="2"/>
        <w:tabs>
          <w:tab w:val="left" w:pos="5283"/>
          <w:tab w:val="left" w:pos="5779"/>
        </w:tabs>
        <w:spacing w:line="300" w:lineRule="auto"/>
        <w:ind w:firstLine="480" w:firstLineChars="200"/>
        <w:jc w:val="both"/>
        <w:rPr>
          <w:color w:val="auto"/>
        </w:rPr>
      </w:pPr>
      <w:r>
        <w:rPr>
          <w:rFonts w:hint="eastAsia"/>
          <w:color w:val="auto"/>
        </w:rPr>
        <w:t>本人经由</w:t>
      </w:r>
      <w:r>
        <w:rPr>
          <w:rFonts w:hint="eastAsia"/>
          <w:color w:val="auto"/>
          <w:u w:val="single"/>
        </w:rPr>
        <w:t>（公司名称）</w:t>
      </w:r>
      <w:r>
        <w:rPr>
          <w:rFonts w:hint="eastAsia"/>
          <w:color w:val="auto"/>
        </w:rPr>
        <w:t>法定代表人（负责人），合法授权参加</w:t>
      </w:r>
      <w:r>
        <w:rPr>
          <w:rFonts w:hint="eastAsia"/>
          <w:color w:val="auto"/>
          <w:u w:val="single"/>
          <w:lang w:eastAsia="zh-CN"/>
        </w:rPr>
        <w:t>遂昌县化工园区地下水污染专项整治全过程咨询服务</w:t>
      </w:r>
      <w:r>
        <w:rPr>
          <w:rFonts w:hint="eastAsia"/>
          <w:color w:val="auto"/>
          <w:u w:val="single"/>
        </w:rPr>
        <w:t>（项目编号：</w:t>
      </w:r>
      <w:r>
        <w:rPr>
          <w:rFonts w:hint="eastAsia"/>
          <w:color w:val="auto"/>
          <w:u w:val="single"/>
          <w:lang w:val="en-US" w:eastAsia="zh-CN"/>
        </w:rPr>
        <w:t>ZJZCSC（2025）采0704号</w:t>
      </w:r>
      <w:r>
        <w:rPr>
          <w:rFonts w:hint="eastAsia"/>
          <w:color w:val="auto"/>
          <w:u w:val="single"/>
        </w:rPr>
        <w:t>）</w:t>
      </w:r>
      <w:r>
        <w:rPr>
          <w:rFonts w:hint="eastAsia"/>
          <w:color w:val="auto"/>
        </w:rPr>
        <w:t>政府采购活动，经与本单位法人代表（负责人）联系确认，现就有关公平竞争事项郑重声明如下：</w:t>
      </w:r>
    </w:p>
    <w:p w14:paraId="646B372F">
      <w:pPr>
        <w:pStyle w:val="2"/>
        <w:tabs>
          <w:tab w:val="left" w:pos="1740"/>
          <w:tab w:val="left" w:pos="4859"/>
          <w:tab w:val="left" w:pos="8947"/>
        </w:tabs>
        <w:spacing w:line="300" w:lineRule="auto"/>
        <w:ind w:firstLine="480" w:firstLineChars="200"/>
        <w:rPr>
          <w:color w:val="auto"/>
          <w:u w:val="single"/>
        </w:rPr>
      </w:pPr>
      <w:r>
        <w:rPr>
          <w:rFonts w:hint="eastAsia"/>
          <w:color w:val="auto"/>
        </w:rPr>
        <w:t>一、本单位与采购人之间</w:t>
      </w:r>
      <w:r>
        <w:rPr>
          <w:rFonts w:hint="eastAsia"/>
          <w:b/>
          <w:color w:val="auto"/>
        </w:rPr>
        <w:t xml:space="preserve">□不存在利害关系 </w:t>
      </w:r>
      <w:r>
        <w:rPr>
          <w:rFonts w:hint="eastAsia"/>
          <w:color w:val="auto"/>
        </w:rPr>
        <w:t>□存在下列利害关系：</w:t>
      </w:r>
    </w:p>
    <w:p w14:paraId="7FC9F7FA">
      <w:pPr>
        <w:pStyle w:val="2"/>
        <w:tabs>
          <w:tab w:val="left" w:pos="1740"/>
          <w:tab w:val="left" w:pos="4859"/>
          <w:tab w:val="left" w:pos="8947"/>
        </w:tabs>
        <w:spacing w:line="300" w:lineRule="auto"/>
        <w:ind w:firstLine="480" w:firstLineChars="200"/>
        <w:rPr>
          <w:color w:val="auto"/>
        </w:rPr>
      </w:pPr>
      <w:r>
        <w:rPr>
          <w:rFonts w:hint="eastAsia"/>
          <w:color w:val="auto"/>
        </w:rPr>
        <w:t>A.投资关系</w:t>
      </w:r>
      <w:r>
        <w:rPr>
          <w:rFonts w:hint="eastAsia"/>
          <w:color w:val="auto"/>
        </w:rPr>
        <w:tab/>
      </w:r>
      <w:r>
        <w:rPr>
          <w:rFonts w:hint="eastAsia"/>
          <w:color w:val="auto"/>
        </w:rPr>
        <w:t>B.行政隶属关系</w:t>
      </w:r>
      <w:r>
        <w:rPr>
          <w:rFonts w:hint="eastAsia"/>
          <w:color w:val="auto"/>
        </w:rPr>
        <w:tab/>
      </w:r>
      <w:r>
        <w:rPr>
          <w:rFonts w:hint="eastAsia"/>
          <w:color w:val="auto"/>
        </w:rPr>
        <w:t>C.业务指导关系</w:t>
      </w:r>
    </w:p>
    <w:p w14:paraId="26B840D1">
      <w:pPr>
        <w:pStyle w:val="2"/>
        <w:tabs>
          <w:tab w:val="left" w:pos="8399"/>
        </w:tabs>
        <w:spacing w:line="300" w:lineRule="auto"/>
        <w:ind w:firstLine="480" w:firstLineChars="200"/>
        <w:rPr>
          <w:color w:val="auto"/>
        </w:rPr>
      </w:pPr>
      <w:r>
        <w:rPr>
          <w:rFonts w:hint="eastAsia"/>
          <w:color w:val="auto"/>
        </w:rPr>
        <w:t>D.其他可能影响采购公正的利害关系（如有，请如实说明）</w:t>
      </w:r>
      <w:r>
        <w:rPr>
          <w:rFonts w:hint="eastAsia"/>
          <w:color w:val="auto"/>
          <w:u w:val="single"/>
        </w:rPr>
        <w:tab/>
      </w:r>
    </w:p>
    <w:p w14:paraId="435EEE3E">
      <w:pPr>
        <w:pStyle w:val="2"/>
        <w:tabs>
          <w:tab w:val="left" w:pos="8399"/>
        </w:tabs>
        <w:spacing w:line="300" w:lineRule="auto"/>
        <w:ind w:firstLine="480" w:firstLineChars="200"/>
        <w:rPr>
          <w:color w:val="auto"/>
        </w:rPr>
      </w:pPr>
      <w:r>
        <w:rPr>
          <w:rFonts w:hint="eastAsia"/>
          <w:color w:val="auto"/>
        </w:rPr>
        <w:t>二、现已清楚知道参加本项目采购活动的其他所有供应商名称，本单位</w:t>
      </w:r>
      <w:r>
        <w:rPr>
          <w:rFonts w:hint="eastAsia"/>
          <w:b/>
          <w:color w:val="auto"/>
        </w:rPr>
        <w:t>□与其他所有供应商之间均不存在利害关系</w:t>
      </w:r>
      <w:r>
        <w:rPr>
          <w:rFonts w:hint="eastAsia"/>
          <w:color w:val="auto"/>
        </w:rPr>
        <w:t>□与</w:t>
      </w:r>
      <w:r>
        <w:rPr>
          <w:rFonts w:hint="eastAsia"/>
          <w:color w:val="auto"/>
          <w:u w:val="single"/>
        </w:rPr>
        <w:t>（供应商名称）</w:t>
      </w:r>
      <w:r>
        <w:rPr>
          <w:rFonts w:hint="eastAsia"/>
          <w:color w:val="auto"/>
          <w:u w:val="single"/>
        </w:rPr>
        <w:tab/>
      </w:r>
      <w:r>
        <w:rPr>
          <w:rFonts w:hint="eastAsia"/>
          <w:color w:val="auto"/>
        </w:rPr>
        <w:t>之间存在下列利害关系：</w:t>
      </w:r>
    </w:p>
    <w:p w14:paraId="4DE39FB2">
      <w:pPr>
        <w:pStyle w:val="2"/>
        <w:spacing w:line="300" w:lineRule="auto"/>
        <w:ind w:firstLine="480" w:firstLineChars="200"/>
        <w:rPr>
          <w:color w:val="auto"/>
        </w:rPr>
      </w:pPr>
      <w:r>
        <w:rPr>
          <w:rFonts w:hint="eastAsia"/>
          <w:color w:val="auto"/>
        </w:rPr>
        <w:t xml:space="preserve">A.法定代表人或负责人或实际控制人是同一人 </w:t>
      </w:r>
    </w:p>
    <w:p w14:paraId="43A97647">
      <w:pPr>
        <w:pStyle w:val="2"/>
        <w:spacing w:line="300" w:lineRule="auto"/>
        <w:ind w:firstLine="480" w:firstLineChars="200"/>
        <w:rPr>
          <w:color w:val="auto"/>
        </w:rPr>
      </w:pPr>
      <w:r>
        <w:rPr>
          <w:rFonts w:hint="eastAsia"/>
          <w:color w:val="auto"/>
        </w:rPr>
        <w:t>B.法定代表人或负责人或实际控制人是夫妻关系</w:t>
      </w:r>
    </w:p>
    <w:p w14:paraId="6A26DC7A">
      <w:pPr>
        <w:tabs>
          <w:tab w:val="left" w:pos="1261"/>
        </w:tabs>
        <w:spacing w:line="300" w:lineRule="auto"/>
        <w:ind w:left="480"/>
        <w:rPr>
          <w:color w:val="auto"/>
          <w:sz w:val="24"/>
        </w:rPr>
      </w:pPr>
      <w:r>
        <w:rPr>
          <w:rFonts w:hint="eastAsia"/>
          <w:color w:val="auto"/>
          <w:sz w:val="24"/>
        </w:rPr>
        <w:t>C .法定代表人或负责人或实际控制人是直系血亲关系</w:t>
      </w:r>
    </w:p>
    <w:p w14:paraId="49D5E0DB">
      <w:pPr>
        <w:pStyle w:val="43"/>
        <w:tabs>
          <w:tab w:val="left" w:pos="1261"/>
        </w:tabs>
        <w:spacing w:before="0" w:line="300" w:lineRule="auto"/>
        <w:ind w:left="478" w:firstLine="0"/>
        <w:rPr>
          <w:color w:val="auto"/>
          <w:sz w:val="24"/>
        </w:rPr>
      </w:pPr>
      <w:r>
        <w:rPr>
          <w:rFonts w:hint="eastAsia"/>
          <w:color w:val="auto"/>
          <w:sz w:val="24"/>
        </w:rPr>
        <w:t>D.法定代表人或负责人或实际控制人存在三代以内旁系血亲关系</w:t>
      </w:r>
    </w:p>
    <w:p w14:paraId="414E4D90">
      <w:pPr>
        <w:pStyle w:val="43"/>
        <w:tabs>
          <w:tab w:val="left" w:pos="1261"/>
        </w:tabs>
        <w:spacing w:before="0" w:line="300" w:lineRule="auto"/>
        <w:ind w:left="478" w:firstLine="0"/>
        <w:rPr>
          <w:color w:val="auto"/>
          <w:sz w:val="24"/>
        </w:rPr>
      </w:pPr>
      <w:r>
        <w:rPr>
          <w:rFonts w:hint="eastAsia"/>
          <w:color w:val="auto"/>
          <w:sz w:val="24"/>
        </w:rPr>
        <w:t>E.法定代表人或负责人或实际控制人存在近姻亲关系</w:t>
      </w:r>
    </w:p>
    <w:p w14:paraId="68EE1BBA">
      <w:pPr>
        <w:pStyle w:val="2"/>
        <w:spacing w:line="300" w:lineRule="auto"/>
        <w:ind w:firstLine="480" w:firstLineChars="200"/>
        <w:rPr>
          <w:color w:val="auto"/>
        </w:rPr>
      </w:pPr>
      <w:r>
        <w:rPr>
          <w:rFonts w:hint="eastAsia"/>
          <w:color w:val="auto"/>
        </w:rPr>
        <w:t>F.法定代表人或负责人或实际控制人存在股份控制或实际控制关系</w:t>
      </w:r>
    </w:p>
    <w:p w14:paraId="2B86DA53">
      <w:pPr>
        <w:pStyle w:val="2"/>
        <w:spacing w:line="300" w:lineRule="auto"/>
        <w:ind w:firstLine="480" w:firstLineChars="200"/>
        <w:rPr>
          <w:color w:val="auto"/>
        </w:rPr>
      </w:pPr>
      <w:r>
        <w:rPr>
          <w:rFonts w:hint="eastAsia"/>
          <w:color w:val="auto"/>
        </w:rPr>
        <w:t>G.存在共同直接或间接投资设立子公司、联营企业和合营企业情况</w:t>
      </w:r>
    </w:p>
    <w:p w14:paraId="7F3C7FC7">
      <w:pPr>
        <w:tabs>
          <w:tab w:val="left" w:pos="1261"/>
        </w:tabs>
        <w:spacing w:line="300" w:lineRule="auto"/>
        <w:ind w:left="470"/>
        <w:rPr>
          <w:color w:val="auto"/>
          <w:sz w:val="24"/>
        </w:rPr>
      </w:pPr>
      <w:r>
        <w:rPr>
          <w:rFonts w:hint="eastAsia"/>
          <w:color w:val="auto"/>
          <w:sz w:val="24"/>
        </w:rPr>
        <w:t>H.存在分级代理或代销关系、同一生产制造商关系、管理关系、重要业务（占主营业务收入 50%以上）或重要财务往来关系（如融资）等其他实质性控制关系</w:t>
      </w:r>
    </w:p>
    <w:p w14:paraId="7FC1C608">
      <w:pPr>
        <w:tabs>
          <w:tab w:val="left" w:pos="1261"/>
          <w:tab w:val="left" w:pos="8579"/>
        </w:tabs>
        <w:spacing w:line="300" w:lineRule="auto"/>
        <w:ind w:left="480"/>
        <w:rPr>
          <w:color w:val="auto"/>
          <w:sz w:val="24"/>
        </w:rPr>
      </w:pPr>
      <w:r>
        <w:rPr>
          <w:rFonts w:hint="eastAsia"/>
          <w:color w:val="auto"/>
          <w:sz w:val="24"/>
        </w:rPr>
        <w:t xml:space="preserve">I.其他利害关系情况 </w:t>
      </w:r>
      <w:r>
        <w:rPr>
          <w:rFonts w:hint="eastAsia"/>
          <w:color w:val="auto"/>
          <w:sz w:val="24"/>
          <w:u w:val="single"/>
        </w:rPr>
        <w:tab/>
      </w:r>
    </w:p>
    <w:p w14:paraId="4C5D47A1">
      <w:pPr>
        <w:pStyle w:val="2"/>
        <w:spacing w:line="300" w:lineRule="auto"/>
        <w:ind w:firstLine="480" w:firstLineChars="200"/>
        <w:rPr>
          <w:color w:val="auto"/>
        </w:rPr>
      </w:pPr>
      <w:r>
        <w:rPr>
          <w:rFonts w:hint="eastAsia"/>
          <w:color w:val="auto"/>
        </w:rPr>
        <w:t>三、现已清楚知道并严格遵守政府采购法律法规和现场纪律。</w:t>
      </w:r>
    </w:p>
    <w:p w14:paraId="64275C7A">
      <w:pPr>
        <w:pStyle w:val="2"/>
        <w:tabs>
          <w:tab w:val="left" w:pos="3660"/>
          <w:tab w:val="left" w:pos="4766"/>
          <w:tab w:val="left" w:pos="7650"/>
        </w:tabs>
        <w:spacing w:line="300" w:lineRule="auto"/>
        <w:ind w:firstLine="480" w:firstLineChars="200"/>
        <w:rPr>
          <w:color w:val="auto"/>
        </w:rPr>
      </w:pPr>
      <w:r>
        <w:rPr>
          <w:rFonts w:hint="eastAsia"/>
          <w:color w:val="auto"/>
        </w:rPr>
        <w:t>四、我发现</w:t>
      </w:r>
      <w:r>
        <w:rPr>
          <w:rFonts w:hint="eastAsia"/>
          <w:color w:val="auto"/>
          <w:u w:val="single"/>
        </w:rPr>
        <w:tab/>
      </w:r>
      <w:r>
        <w:rPr>
          <w:rFonts w:hint="eastAsia"/>
          <w:color w:val="auto"/>
          <w:u w:val="single"/>
        </w:rPr>
        <w:tab/>
      </w:r>
      <w:r>
        <w:rPr>
          <w:rFonts w:hint="eastAsia"/>
          <w:color w:val="auto"/>
        </w:rPr>
        <w:t>和</w:t>
      </w:r>
      <w:r>
        <w:rPr>
          <w:rFonts w:hint="eastAsia"/>
          <w:color w:val="auto"/>
          <w:u w:val="single"/>
        </w:rPr>
        <w:tab/>
      </w:r>
      <w:r>
        <w:rPr>
          <w:rFonts w:hint="eastAsia"/>
          <w:color w:val="auto"/>
        </w:rPr>
        <w:t>供应商之间存在或可能存在上述第二条第</w:t>
      </w:r>
      <w:r>
        <w:rPr>
          <w:rFonts w:hint="eastAsia"/>
          <w:color w:val="auto"/>
          <w:u w:val="single"/>
        </w:rPr>
        <w:tab/>
      </w:r>
      <w:r>
        <w:rPr>
          <w:rFonts w:hint="eastAsia"/>
          <w:color w:val="auto"/>
        </w:rPr>
        <w:t>项利害关系。</w:t>
      </w:r>
    </w:p>
    <w:p w14:paraId="2CD69F4C">
      <w:pPr>
        <w:pStyle w:val="2"/>
        <w:spacing w:line="300" w:lineRule="auto"/>
        <w:ind w:firstLine="480" w:firstLineChars="200"/>
        <w:rPr>
          <w:color w:val="auto"/>
        </w:rPr>
      </w:pPr>
    </w:p>
    <w:p w14:paraId="1E34D591">
      <w:pPr>
        <w:pStyle w:val="2"/>
        <w:spacing w:line="300" w:lineRule="auto"/>
        <w:ind w:firstLine="480" w:firstLineChars="200"/>
        <w:rPr>
          <w:color w:val="auto"/>
        </w:rPr>
      </w:pPr>
      <w:r>
        <w:rPr>
          <w:rFonts w:hint="eastAsia"/>
          <w:color w:val="auto"/>
        </w:rPr>
        <w:t>（负责人或委托代理人签名）：</w:t>
      </w:r>
    </w:p>
    <w:p w14:paraId="2889F7F3">
      <w:pPr>
        <w:pStyle w:val="2"/>
        <w:spacing w:line="300" w:lineRule="auto"/>
        <w:ind w:firstLine="480" w:firstLineChars="200"/>
        <w:rPr>
          <w:color w:val="auto"/>
        </w:rPr>
      </w:pPr>
      <w:r>
        <w:rPr>
          <w:rFonts w:hint="eastAsia"/>
          <w:color w:val="auto"/>
        </w:rPr>
        <w:t>年</w:t>
      </w:r>
      <w:r>
        <w:rPr>
          <w:rFonts w:hint="eastAsia"/>
          <w:color w:val="auto"/>
        </w:rPr>
        <w:tab/>
      </w:r>
      <w:r>
        <w:rPr>
          <w:rFonts w:hint="eastAsia"/>
          <w:color w:val="auto"/>
        </w:rPr>
        <w:t>月</w:t>
      </w:r>
      <w:r>
        <w:rPr>
          <w:rFonts w:hint="eastAsia"/>
          <w:color w:val="auto"/>
        </w:rPr>
        <w:tab/>
      </w:r>
      <w:r>
        <w:rPr>
          <w:rFonts w:hint="eastAsia"/>
          <w:color w:val="auto"/>
        </w:rPr>
        <w:t>日</w:t>
      </w:r>
    </w:p>
    <w:p w14:paraId="62E0B16A">
      <w:pPr>
        <w:pStyle w:val="2"/>
        <w:spacing w:line="300" w:lineRule="auto"/>
        <w:ind w:firstLine="480" w:firstLineChars="200"/>
        <w:rPr>
          <w:color w:val="auto"/>
        </w:rPr>
      </w:pPr>
    </w:p>
    <w:p w14:paraId="2EEE7BD9">
      <w:pPr>
        <w:pStyle w:val="2"/>
        <w:spacing w:line="300" w:lineRule="auto"/>
        <w:ind w:firstLine="480" w:firstLineChars="200"/>
        <w:rPr>
          <w:color w:val="auto"/>
        </w:rPr>
      </w:pPr>
      <w:r>
        <w:rPr>
          <w:rFonts w:hint="eastAsia"/>
          <w:color w:val="auto"/>
        </w:rPr>
        <w:t>注：1.供应商认为有利害关系和需要回避的人员，应提供相关证明材料，与本声明书一同提交。由采购代理机构和财政监督部门负责询问核查。</w:t>
      </w:r>
    </w:p>
    <w:p w14:paraId="1F63A983">
      <w:pPr>
        <w:pStyle w:val="2"/>
        <w:spacing w:line="300" w:lineRule="auto"/>
        <w:ind w:firstLine="480" w:firstLineChars="200"/>
        <w:rPr>
          <w:rFonts w:hint="eastAsia" w:eastAsia="仿宋"/>
          <w:color w:val="auto"/>
          <w:lang w:eastAsia="zh-CN"/>
        </w:rPr>
        <w:sectPr>
          <w:headerReference r:id="rId9" w:type="default"/>
          <w:type w:val="continuous"/>
          <w:pgSz w:w="11910" w:h="16840"/>
          <w:pgMar w:top="1247" w:right="1247" w:bottom="1247" w:left="1587" w:header="884" w:footer="884" w:gutter="0"/>
          <w:pgNumType w:fmt="decimal"/>
          <w:cols w:space="0" w:num="1"/>
        </w:sectPr>
      </w:pPr>
      <w:r>
        <w:rPr>
          <w:rFonts w:hint="eastAsia"/>
          <w:color w:val="auto"/>
        </w:rPr>
        <w:t xml:space="preserve">2. </w:t>
      </w:r>
      <w:r>
        <w:rPr>
          <w:rFonts w:hint="eastAsia"/>
          <w:b/>
          <w:color w:val="auto"/>
        </w:rPr>
        <w:t>供应商根据</w:t>
      </w:r>
      <w:r>
        <w:rPr>
          <w:rFonts w:hint="eastAsia"/>
          <w:b/>
          <w:color w:val="auto"/>
          <w:lang w:eastAsia="zh-CN"/>
        </w:rPr>
        <w:t>政采云平台</w:t>
      </w:r>
      <w:r>
        <w:rPr>
          <w:rFonts w:hint="eastAsia"/>
          <w:b/>
          <w:color w:val="auto"/>
        </w:rPr>
        <w:t>解密名单公布后30分钟内，通过现场或邮件方式（</w:t>
      </w:r>
      <w:r>
        <w:rPr>
          <w:rFonts w:hint="eastAsia"/>
          <w:b/>
          <w:color w:val="auto"/>
          <w:lang w:val="en-US" w:eastAsia="zh-CN"/>
        </w:rPr>
        <w:t>779740329</w:t>
      </w:r>
      <w:r>
        <w:rPr>
          <w:rFonts w:hint="eastAsia"/>
          <w:b/>
          <w:color w:val="auto"/>
        </w:rPr>
        <w:t>@qq.com）提交《政府采购活动现场确认声明书》</w:t>
      </w:r>
      <w:r>
        <w:rPr>
          <w:rFonts w:hint="eastAsia"/>
          <w:b/>
          <w:color w:val="auto"/>
          <w:lang w:eastAsia="zh-CN"/>
        </w:rPr>
        <w:t>。</w:t>
      </w:r>
    </w:p>
    <w:p w14:paraId="666D7734">
      <w:pPr>
        <w:pStyle w:val="3"/>
        <w:tabs>
          <w:tab w:val="left" w:pos="1404"/>
        </w:tabs>
        <w:spacing w:before="47"/>
        <w:ind w:left="120"/>
        <w:jc w:val="center"/>
        <w:rPr>
          <w:color w:val="auto"/>
        </w:rPr>
      </w:pPr>
      <w:bookmarkStart w:id="87" w:name="第六章__评标办法和细则"/>
      <w:bookmarkEnd w:id="87"/>
      <w:bookmarkStart w:id="88" w:name="_Toc12458"/>
      <w:r>
        <w:rPr>
          <w:rFonts w:hint="eastAsia"/>
          <w:color w:val="auto"/>
        </w:rPr>
        <w:t>第六章</w:t>
      </w:r>
      <w:r>
        <w:rPr>
          <w:rFonts w:hint="eastAsia"/>
          <w:color w:val="auto"/>
          <w:lang w:val="en-US" w:eastAsia="zh-CN"/>
        </w:rPr>
        <w:t xml:space="preserve"> </w:t>
      </w:r>
      <w:r>
        <w:rPr>
          <w:rFonts w:hint="eastAsia"/>
          <w:color w:val="auto"/>
        </w:rPr>
        <w:t>评标办法和细则</w:t>
      </w:r>
      <w:bookmarkEnd w:id="88"/>
    </w:p>
    <w:p w14:paraId="781CA58E">
      <w:pPr>
        <w:pStyle w:val="15"/>
        <w:snapToGrid/>
        <w:spacing w:line="360" w:lineRule="auto"/>
        <w:ind w:firstLineChars="200"/>
        <w:rPr>
          <w:rFonts w:eastAsia="仿宋"/>
          <w:color w:val="auto"/>
        </w:rPr>
      </w:pPr>
    </w:p>
    <w:p w14:paraId="41C8E45D">
      <w:pPr>
        <w:pStyle w:val="15"/>
        <w:snapToGrid/>
        <w:spacing w:line="360" w:lineRule="auto"/>
        <w:ind w:firstLineChars="200"/>
        <w:rPr>
          <w:rFonts w:eastAsia="仿宋"/>
          <w:color w:val="auto"/>
        </w:rPr>
      </w:pPr>
      <w:r>
        <w:rPr>
          <w:rFonts w:hint="eastAsia" w:eastAsia="仿宋"/>
          <w:color w:val="auto"/>
        </w:rPr>
        <w:t>根据《中华人民共和国政府采购法》、《政府采购竞争性磋商采购方式管理暂行办法》等有关法律法规的规定，并结合本项目的实际，按照公正、公平、科学、择优的原则选择成交人，特制定本办法。</w:t>
      </w:r>
    </w:p>
    <w:p w14:paraId="1B316D21">
      <w:pPr>
        <w:pStyle w:val="4"/>
        <w:tabs>
          <w:tab w:val="left" w:pos="871"/>
        </w:tabs>
        <w:spacing w:line="360" w:lineRule="auto"/>
        <w:ind w:left="117"/>
        <w:jc w:val="both"/>
        <w:rPr>
          <w:color w:val="auto"/>
        </w:rPr>
      </w:pPr>
      <w:bookmarkStart w:id="89" w:name="_Toc335664295"/>
      <w:bookmarkStart w:id="90" w:name="_Toc493955998"/>
      <w:bookmarkStart w:id="91" w:name="_Toc494558393"/>
      <w:bookmarkStart w:id="92" w:name="_Toc5308"/>
      <w:bookmarkStart w:id="93" w:name="_Toc10243"/>
      <w:bookmarkStart w:id="94" w:name="_Toc73349356"/>
      <w:bookmarkStart w:id="95" w:name="_Toc28398"/>
      <w:bookmarkStart w:id="96" w:name="_Toc335664299"/>
      <w:bookmarkStart w:id="97" w:name="_Toc390938605"/>
      <w:r>
        <w:rPr>
          <w:rFonts w:hint="eastAsia"/>
          <w:color w:val="auto"/>
        </w:rPr>
        <w:t>一   总则</w:t>
      </w:r>
      <w:bookmarkEnd w:id="89"/>
      <w:bookmarkEnd w:id="90"/>
      <w:bookmarkEnd w:id="91"/>
      <w:bookmarkEnd w:id="92"/>
      <w:bookmarkEnd w:id="93"/>
      <w:bookmarkEnd w:id="94"/>
      <w:bookmarkEnd w:id="95"/>
    </w:p>
    <w:p w14:paraId="0D183BD2">
      <w:pPr>
        <w:spacing w:line="360" w:lineRule="auto"/>
        <w:ind w:firstLine="480" w:firstLineChars="200"/>
        <w:rPr>
          <w:color w:val="auto"/>
          <w:sz w:val="24"/>
        </w:rPr>
      </w:pPr>
      <w:r>
        <w:rPr>
          <w:rFonts w:hint="eastAsia"/>
          <w:color w:val="auto"/>
          <w:sz w:val="24"/>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lang w:eastAsia="zh-CN"/>
        </w:rPr>
        <w:t>泄露</w:t>
      </w:r>
      <w:r>
        <w:rPr>
          <w:rFonts w:hint="eastAsia"/>
          <w:color w:val="auto"/>
          <w:sz w:val="24"/>
        </w:rPr>
        <w:t>评审有关的情况，不得索贿受贿，不得参加影响评审的任何活动。</w:t>
      </w:r>
    </w:p>
    <w:p w14:paraId="5F69E397">
      <w:pPr>
        <w:spacing w:line="360" w:lineRule="auto"/>
        <w:ind w:firstLine="482" w:firstLineChars="200"/>
        <w:rPr>
          <w:rFonts w:hint="eastAsia" w:ascii="仿宋" w:hAnsi="仿宋" w:eastAsia="仿宋" w:cs="仿宋"/>
          <w:b/>
          <w:color w:val="auto"/>
          <w:sz w:val="24"/>
          <w:highlight w:val="none"/>
        </w:rPr>
      </w:pPr>
      <w:bookmarkStart w:id="98" w:name="_Toc335664296"/>
      <w:bookmarkStart w:id="99" w:name="_Toc30275"/>
      <w:bookmarkStart w:id="100" w:name="_Toc493955999"/>
      <w:bookmarkStart w:id="101" w:name="_Toc17582"/>
      <w:bookmarkStart w:id="102" w:name="_Toc4819"/>
      <w:bookmarkStart w:id="103" w:name="_Toc494558394"/>
      <w:bookmarkStart w:id="104" w:name="_Toc73349357"/>
      <w:r>
        <w:rPr>
          <w:rFonts w:hint="eastAsia" w:ascii="仿宋" w:hAnsi="仿宋" w:eastAsia="仿宋" w:cs="仿宋"/>
          <w:b/>
          <w:color w:val="auto"/>
          <w:sz w:val="24"/>
          <w:highlight w:val="none"/>
        </w:rPr>
        <w:t>1.2</w:t>
      </w:r>
      <w:r>
        <w:rPr>
          <w:rFonts w:hint="eastAsia" w:cs="仿宋"/>
          <w:b/>
          <w:color w:val="auto"/>
          <w:sz w:val="24"/>
          <w:highlight w:val="none"/>
          <w:lang w:val="en-US" w:eastAsia="zh-CN"/>
        </w:rPr>
        <w:t xml:space="preserve"> </w:t>
      </w:r>
      <w:r>
        <w:rPr>
          <w:rFonts w:hint="eastAsia" w:ascii="仿宋" w:hAnsi="仿宋" w:eastAsia="仿宋" w:cs="仿宋"/>
          <w:b/>
          <w:color w:val="auto"/>
          <w:sz w:val="24"/>
          <w:highlight w:val="none"/>
        </w:rPr>
        <w:t>本次评审方法采取百分制综合评分法，按总得分由高到低顺序排列。总得分相同的，按报价得分由高到低顺序排列</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总得分和报价得分均相同的，按技术得分由高到低顺序排列</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磋商小组</w:t>
      </w:r>
      <w:r>
        <w:rPr>
          <w:rFonts w:hint="eastAsia" w:ascii="仿宋" w:hAnsi="仿宋" w:eastAsia="仿宋" w:cs="仿宋"/>
          <w:b/>
          <w:color w:val="auto"/>
          <w:sz w:val="24"/>
          <w:highlight w:val="none"/>
          <w:lang w:eastAsia="zh-CN"/>
        </w:rPr>
        <w:t>按照评审得分由高到低顺序推荐3名以上成交候选供应商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并编写评审报告</w:t>
      </w:r>
      <w:r>
        <w:rPr>
          <w:rFonts w:hint="eastAsia" w:ascii="仿宋" w:hAnsi="仿宋" w:eastAsia="仿宋" w:cs="仿宋"/>
          <w:b/>
          <w:color w:val="auto"/>
          <w:sz w:val="24"/>
          <w:highlight w:val="none"/>
        </w:rPr>
        <w:t>。</w:t>
      </w:r>
    </w:p>
    <w:p w14:paraId="4C58AAC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1.3</w:t>
      </w:r>
      <w:r>
        <w:rPr>
          <w:rFonts w:hint="eastAsia" w:cs="仿宋"/>
          <w:b/>
          <w:color w:val="auto"/>
          <w:sz w:val="24"/>
          <w:highlight w:val="none"/>
          <w:lang w:val="en-US" w:eastAsia="zh-CN"/>
        </w:rPr>
        <w:t xml:space="preserve"> </w:t>
      </w:r>
      <w:r>
        <w:rPr>
          <w:rFonts w:hint="eastAsia" w:ascii="仿宋" w:hAnsi="仿宋" w:eastAsia="仿宋" w:cs="仿宋"/>
          <w:b/>
          <w:color w:val="auto"/>
          <w:sz w:val="24"/>
          <w:highlight w:val="none"/>
        </w:rPr>
        <w:t>代理机</w:t>
      </w:r>
      <w:r>
        <w:rPr>
          <w:rFonts w:hint="eastAsia" w:ascii="仿宋" w:hAnsi="仿宋" w:eastAsia="仿宋" w:cs="仿宋"/>
          <w:b/>
          <w:color w:val="auto"/>
          <w:sz w:val="24"/>
          <w:highlight w:val="none"/>
          <w:lang w:eastAsia="zh-CN"/>
        </w:rPr>
        <w:t>构应当在</w:t>
      </w:r>
      <w:r>
        <w:rPr>
          <w:rFonts w:hint="eastAsia" w:ascii="仿宋" w:hAnsi="仿宋" w:eastAsia="仿宋" w:cs="仿宋"/>
          <w:b/>
          <w:color w:val="auto"/>
          <w:sz w:val="24"/>
          <w:highlight w:val="none"/>
        </w:rPr>
        <w:t>评审结束后2个工作日内将评审报告送采购人确认。采购人应当在收到评审报告后5个工作日内，从评审报告提出的</w:t>
      </w:r>
      <w:r>
        <w:rPr>
          <w:rFonts w:hint="eastAsia" w:ascii="仿宋" w:hAnsi="仿宋" w:eastAsia="仿宋" w:cs="仿宋"/>
          <w:b/>
          <w:color w:val="auto"/>
          <w:sz w:val="24"/>
          <w:highlight w:val="none"/>
          <w:lang w:eastAsia="zh-CN"/>
        </w:rPr>
        <w:t>成交候选供应商</w:t>
      </w:r>
      <w:r>
        <w:rPr>
          <w:rFonts w:hint="eastAsia" w:ascii="仿宋" w:hAnsi="仿宋" w:eastAsia="仿宋" w:cs="仿宋"/>
          <w:b/>
          <w:color w:val="auto"/>
          <w:sz w:val="24"/>
          <w:highlight w:val="none"/>
        </w:rPr>
        <w:t>中，按照排序由高到低的原则确定成交供应商，也可以书面授权磋商小组直接确定成交供应商。采购人逾期未确定成交供应商且不提出异议的，视为确定评审报告提出的排序第一的供应商为成交供应商。</w:t>
      </w:r>
    </w:p>
    <w:p w14:paraId="2DF93186">
      <w:pPr>
        <w:pStyle w:val="4"/>
        <w:tabs>
          <w:tab w:val="left" w:pos="871"/>
        </w:tabs>
        <w:spacing w:line="360" w:lineRule="auto"/>
        <w:ind w:left="117"/>
        <w:jc w:val="both"/>
        <w:rPr>
          <w:color w:val="auto"/>
        </w:rPr>
      </w:pPr>
      <w:r>
        <w:rPr>
          <w:rFonts w:hint="eastAsia"/>
          <w:color w:val="auto"/>
        </w:rPr>
        <w:t xml:space="preserve">二   </w:t>
      </w:r>
      <w:bookmarkEnd w:id="98"/>
      <w:r>
        <w:rPr>
          <w:rFonts w:hint="eastAsia"/>
          <w:color w:val="auto"/>
        </w:rPr>
        <w:t>磋商小组</w:t>
      </w:r>
      <w:bookmarkEnd w:id="99"/>
      <w:bookmarkEnd w:id="100"/>
      <w:bookmarkEnd w:id="101"/>
      <w:bookmarkEnd w:id="102"/>
      <w:bookmarkEnd w:id="103"/>
      <w:bookmarkEnd w:id="104"/>
    </w:p>
    <w:p w14:paraId="2AD19832">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eastAsia="zh-CN"/>
        </w:rPr>
        <w:t xml:space="preserve"> </w:t>
      </w:r>
      <w:r>
        <w:rPr>
          <w:rFonts w:hint="eastAsia"/>
          <w:color w:val="auto"/>
          <w:sz w:val="24"/>
          <w:highlight w:val="none"/>
        </w:rPr>
        <w:t>磋商小组</w:t>
      </w:r>
    </w:p>
    <w:p w14:paraId="3AA6709A">
      <w:pPr>
        <w:spacing w:line="360" w:lineRule="auto"/>
        <w:ind w:firstLine="480" w:firstLineChars="200"/>
        <w:rPr>
          <w:color w:val="auto"/>
          <w:sz w:val="24"/>
          <w:highlight w:val="none"/>
        </w:rPr>
      </w:pPr>
      <w:r>
        <w:rPr>
          <w:rFonts w:hint="eastAsia"/>
          <w:color w:val="auto"/>
          <w:sz w:val="24"/>
          <w:highlight w:val="none"/>
        </w:rPr>
        <w:t>2.1.1成员：由采购人代表和评审专家组成，其中评审专家人数不得少于磋商小组成员总数的三分之二。除国务院财政部门规定的情形外，</w:t>
      </w:r>
      <w:r>
        <w:rPr>
          <w:rFonts w:hint="eastAsia"/>
          <w:color w:val="auto"/>
          <w:sz w:val="24"/>
          <w:highlight w:val="none"/>
          <w:lang w:val="en-US"/>
        </w:rPr>
        <w:t>评审专家按规定从评审专家库中随机抽取。</w:t>
      </w:r>
    </w:p>
    <w:p w14:paraId="1365EC60">
      <w:pPr>
        <w:spacing w:line="360" w:lineRule="auto"/>
        <w:ind w:firstLine="480" w:firstLineChars="200"/>
        <w:rPr>
          <w:color w:val="auto"/>
          <w:sz w:val="24"/>
        </w:rPr>
      </w:pPr>
      <w:r>
        <w:rPr>
          <w:rFonts w:hint="eastAsia"/>
          <w:color w:val="auto"/>
          <w:sz w:val="24"/>
        </w:rPr>
        <w:t>2.1.2职责：严格按政府采购法律法规的有关规定执行，磋商小组成员应按磋商文件规定的评审要求、评审程序、评审内容、评审方法和评审标准进行评审，对评审意见承担个人责任。</w:t>
      </w:r>
    </w:p>
    <w:p w14:paraId="55DA773B">
      <w:pPr>
        <w:spacing w:line="360" w:lineRule="auto"/>
        <w:rPr>
          <w:color w:val="auto"/>
          <w:sz w:val="24"/>
        </w:rPr>
      </w:pPr>
      <w:r>
        <w:rPr>
          <w:rFonts w:hint="eastAsia"/>
          <w:color w:val="auto"/>
          <w:sz w:val="24"/>
        </w:rPr>
        <w:t xml:space="preserve">    2.2</w:t>
      </w:r>
      <w:r>
        <w:rPr>
          <w:rFonts w:hint="eastAsia"/>
          <w:color w:val="auto"/>
          <w:sz w:val="24"/>
          <w:lang w:val="en-US" w:eastAsia="zh-CN"/>
        </w:rPr>
        <w:t xml:space="preserve"> </w:t>
      </w:r>
      <w:r>
        <w:rPr>
          <w:rFonts w:hint="eastAsia"/>
          <w:color w:val="auto"/>
          <w:sz w:val="24"/>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1A21A809">
      <w:pPr>
        <w:pStyle w:val="4"/>
        <w:tabs>
          <w:tab w:val="left" w:pos="871"/>
        </w:tabs>
        <w:spacing w:line="360" w:lineRule="auto"/>
        <w:ind w:left="117"/>
        <w:jc w:val="both"/>
        <w:rPr>
          <w:color w:val="auto"/>
        </w:rPr>
      </w:pPr>
      <w:bookmarkStart w:id="105" w:name="_Toc73349358"/>
      <w:bookmarkStart w:id="106" w:name="_Toc27308"/>
      <w:bookmarkStart w:id="107" w:name="_Toc494558395"/>
      <w:bookmarkStart w:id="108" w:name="_Toc27687"/>
      <w:bookmarkStart w:id="109" w:name="_Toc25585"/>
      <w:r>
        <w:rPr>
          <w:rFonts w:hint="eastAsia"/>
          <w:color w:val="auto"/>
        </w:rPr>
        <w:t>三   磋商程序</w:t>
      </w:r>
      <w:bookmarkEnd w:id="105"/>
      <w:bookmarkEnd w:id="106"/>
      <w:bookmarkEnd w:id="107"/>
      <w:bookmarkEnd w:id="108"/>
      <w:bookmarkEnd w:id="109"/>
    </w:p>
    <w:p w14:paraId="601B6534">
      <w:pPr>
        <w:spacing w:line="360" w:lineRule="auto"/>
        <w:ind w:firstLine="482" w:firstLineChars="200"/>
        <w:rPr>
          <w:b/>
          <w:color w:val="auto"/>
          <w:sz w:val="24"/>
        </w:rPr>
      </w:pPr>
      <w:r>
        <w:rPr>
          <w:rFonts w:hint="eastAsia"/>
          <w:b/>
          <w:color w:val="auto"/>
          <w:sz w:val="24"/>
        </w:rPr>
        <w:t>3.1 符合性审查</w:t>
      </w:r>
    </w:p>
    <w:p w14:paraId="428E2CBA">
      <w:pPr>
        <w:spacing w:line="360" w:lineRule="auto"/>
        <w:ind w:firstLine="480" w:firstLineChars="200"/>
        <w:rPr>
          <w:color w:val="auto"/>
          <w:sz w:val="24"/>
        </w:rPr>
      </w:pPr>
      <w:r>
        <w:rPr>
          <w:rFonts w:hint="eastAsia"/>
          <w:color w:val="auto"/>
          <w:sz w:val="24"/>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8D02D32">
      <w:pPr>
        <w:spacing w:line="360" w:lineRule="auto"/>
        <w:ind w:firstLine="482" w:firstLineChars="200"/>
        <w:rPr>
          <w:b/>
          <w:color w:val="auto"/>
          <w:sz w:val="24"/>
        </w:rPr>
      </w:pPr>
      <w:r>
        <w:rPr>
          <w:rFonts w:hint="eastAsia"/>
          <w:b/>
          <w:color w:val="auto"/>
          <w:sz w:val="24"/>
        </w:rPr>
        <w:t>3.2 磋商</w:t>
      </w:r>
    </w:p>
    <w:p w14:paraId="3EE37E07">
      <w:pPr>
        <w:spacing w:line="360" w:lineRule="auto"/>
        <w:ind w:firstLine="480" w:firstLineChars="200"/>
        <w:rPr>
          <w:color w:val="auto"/>
          <w:sz w:val="24"/>
        </w:rPr>
      </w:pPr>
      <w:r>
        <w:rPr>
          <w:rFonts w:hint="eastAsia"/>
          <w:color w:val="auto"/>
          <w:sz w:val="24"/>
        </w:rPr>
        <w:t>3.2.1磋商小组对响应文件进行评审，并根据磋商文件规定的程序、评定成交的标准等事项与实质性响应磋商文件要求的供应商进行多轮磋商。</w:t>
      </w:r>
    </w:p>
    <w:p w14:paraId="06C7A055">
      <w:pPr>
        <w:spacing w:line="360" w:lineRule="auto"/>
        <w:ind w:firstLine="480" w:firstLineChars="200"/>
        <w:rPr>
          <w:color w:val="auto"/>
          <w:sz w:val="24"/>
        </w:rPr>
      </w:pPr>
      <w:r>
        <w:rPr>
          <w:rFonts w:hint="eastAsia"/>
          <w:color w:val="auto"/>
          <w:sz w:val="24"/>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6491C75E">
      <w:pPr>
        <w:spacing w:line="360" w:lineRule="auto"/>
        <w:ind w:firstLine="480" w:firstLineChars="200"/>
        <w:rPr>
          <w:color w:val="auto"/>
          <w:sz w:val="24"/>
        </w:rPr>
      </w:pPr>
      <w:r>
        <w:rPr>
          <w:rFonts w:hint="eastAsia"/>
          <w:color w:val="auto"/>
          <w:sz w:val="24"/>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69BB77B7">
      <w:pPr>
        <w:spacing w:line="360" w:lineRule="auto"/>
        <w:ind w:firstLine="480" w:firstLineChars="200"/>
        <w:rPr>
          <w:color w:val="auto"/>
          <w:sz w:val="24"/>
        </w:rPr>
      </w:pPr>
      <w:r>
        <w:rPr>
          <w:rFonts w:hint="eastAsia"/>
          <w:color w:val="auto"/>
          <w:sz w:val="24"/>
        </w:rPr>
        <w:t>（3）在磋商过程中，磋商小组可以根据磋商文件和磋商情况实质性变动采购需求中的技术、服务要求以及合同条款。实质性变动的内容，须经采购人代表确认。</w:t>
      </w:r>
    </w:p>
    <w:p w14:paraId="62AD323C">
      <w:pPr>
        <w:spacing w:line="360" w:lineRule="auto"/>
        <w:ind w:firstLine="480" w:firstLineChars="200"/>
        <w:rPr>
          <w:color w:val="auto"/>
          <w:sz w:val="24"/>
        </w:rPr>
      </w:pPr>
      <w:r>
        <w:rPr>
          <w:rFonts w:hint="eastAsia"/>
          <w:color w:val="auto"/>
          <w:sz w:val="24"/>
        </w:rPr>
        <w:t>对磋商文件作出实质性变动是磋商文件的有效组成部分，磋商小组应当通过电子交易平台交换数据电文的形式同时通知所有参加磋商的供应商。</w:t>
      </w:r>
    </w:p>
    <w:p w14:paraId="48000799">
      <w:pPr>
        <w:spacing w:line="360" w:lineRule="auto"/>
        <w:ind w:firstLine="480" w:firstLineChars="200"/>
        <w:rPr>
          <w:color w:val="auto"/>
          <w:sz w:val="24"/>
        </w:rPr>
      </w:pPr>
      <w:r>
        <w:rPr>
          <w:rFonts w:hint="eastAsia"/>
          <w:color w:val="auto"/>
          <w:sz w:val="24"/>
        </w:rPr>
        <w:t>（4）磋商文件能够详细列明采购标的的技术、服务要求的，磋商结束后，磋商小组应当要求所有继续参加磋商的供应商在规定时间内提交最终报价，提交最终报价的供应商不得少于3家。</w:t>
      </w:r>
    </w:p>
    <w:p w14:paraId="1A9586A6">
      <w:pPr>
        <w:tabs>
          <w:tab w:val="left" w:pos="6870"/>
        </w:tabs>
        <w:spacing w:line="360" w:lineRule="auto"/>
        <w:ind w:firstLine="600" w:firstLineChars="249"/>
        <w:rPr>
          <w:b/>
          <w:color w:val="auto"/>
          <w:sz w:val="24"/>
        </w:rPr>
      </w:pPr>
      <w:r>
        <w:rPr>
          <w:rFonts w:hint="eastAsia"/>
          <w:b/>
          <w:color w:val="auto"/>
          <w:sz w:val="24"/>
        </w:rPr>
        <w:t>3.2.2 磋商注意事项</w:t>
      </w:r>
      <w:r>
        <w:rPr>
          <w:rFonts w:hint="eastAsia"/>
          <w:b/>
          <w:color w:val="auto"/>
          <w:sz w:val="24"/>
        </w:rPr>
        <w:tab/>
      </w:r>
    </w:p>
    <w:p w14:paraId="23112748">
      <w:pPr>
        <w:spacing w:line="360" w:lineRule="auto"/>
        <w:ind w:firstLine="480" w:firstLineChars="200"/>
        <w:rPr>
          <w:color w:val="auto"/>
          <w:sz w:val="24"/>
        </w:rPr>
      </w:pPr>
      <w:r>
        <w:rPr>
          <w:rFonts w:hint="eastAsia"/>
          <w:color w:val="auto"/>
          <w:sz w:val="24"/>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color w:val="auto"/>
          <w:sz w:val="24"/>
        </w:rPr>
        <w:t>如磋商只要求对总价进行报价的，各分项报价以总价按前一轮报价下浮比例下浮。</w:t>
      </w:r>
    </w:p>
    <w:p w14:paraId="6A7CE92B">
      <w:pPr>
        <w:spacing w:line="360" w:lineRule="auto"/>
        <w:ind w:firstLine="480" w:firstLineChars="200"/>
        <w:rPr>
          <w:color w:val="auto"/>
          <w:sz w:val="24"/>
        </w:rPr>
      </w:pPr>
      <w:r>
        <w:rPr>
          <w:rFonts w:hint="eastAsia"/>
          <w:color w:val="auto"/>
          <w:sz w:val="24"/>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657789A6">
      <w:pPr>
        <w:spacing w:line="360" w:lineRule="auto"/>
        <w:ind w:firstLine="480" w:firstLineChars="200"/>
        <w:rPr>
          <w:color w:val="auto"/>
          <w:sz w:val="24"/>
        </w:rPr>
      </w:pPr>
      <w:r>
        <w:rPr>
          <w:rFonts w:hint="eastAsia"/>
          <w:color w:val="auto"/>
          <w:sz w:val="24"/>
        </w:rPr>
        <w:t>（3）出席磋商的有关人员：监督人员、磋商小组成员和采购代理机构工作人员；监督人员负责现场监督。参与磋商的供应商的所有响应文件</w:t>
      </w:r>
      <w:r>
        <w:rPr>
          <w:rFonts w:hint="eastAsia"/>
          <w:color w:val="auto"/>
          <w:sz w:val="24"/>
          <w:lang w:eastAsia="zh-CN"/>
        </w:rPr>
        <w:t>（</w:t>
      </w:r>
      <w:r>
        <w:rPr>
          <w:rFonts w:hint="eastAsia"/>
          <w:color w:val="auto"/>
          <w:sz w:val="24"/>
        </w:rPr>
        <w:t>包括每次报价及重新承诺</w:t>
      </w:r>
      <w:r>
        <w:rPr>
          <w:rFonts w:hint="eastAsia"/>
          <w:color w:val="auto"/>
          <w:sz w:val="24"/>
          <w:lang w:eastAsia="zh-CN"/>
        </w:rPr>
        <w:t>）</w:t>
      </w:r>
      <w:r>
        <w:rPr>
          <w:rFonts w:hint="eastAsia"/>
          <w:color w:val="auto"/>
          <w:sz w:val="24"/>
        </w:rPr>
        <w:t>规定</w:t>
      </w:r>
      <w:r>
        <w:rPr>
          <w:rFonts w:hint="eastAsia"/>
          <w:color w:val="auto"/>
          <w:sz w:val="24"/>
          <w:lang w:eastAsia="zh-CN"/>
        </w:rPr>
        <w:t>截止时间</w:t>
      </w:r>
      <w:r>
        <w:rPr>
          <w:rFonts w:hint="eastAsia"/>
          <w:color w:val="auto"/>
          <w:sz w:val="24"/>
        </w:rPr>
        <w:t>前由代理机构工作人员进行接收，任何参与磋商的个人均不得私自拆封。磋商小组负责本次项目所有磋商任务，包括全程磋商、推荐成交候选人、填写评审报告等。</w:t>
      </w:r>
    </w:p>
    <w:p w14:paraId="1EBD9B54">
      <w:pPr>
        <w:spacing w:line="360" w:lineRule="auto"/>
        <w:ind w:firstLine="482" w:firstLineChars="200"/>
        <w:rPr>
          <w:b/>
          <w:color w:val="auto"/>
          <w:sz w:val="24"/>
        </w:rPr>
      </w:pPr>
      <w:r>
        <w:rPr>
          <w:rFonts w:hint="eastAsia"/>
          <w:b/>
          <w:color w:val="auto"/>
          <w:sz w:val="24"/>
        </w:rPr>
        <w:t>3.3 评审</w:t>
      </w:r>
    </w:p>
    <w:p w14:paraId="5C57FD3B">
      <w:pPr>
        <w:spacing w:line="360" w:lineRule="auto"/>
        <w:ind w:firstLine="482" w:firstLineChars="200"/>
        <w:rPr>
          <w:color w:val="auto"/>
          <w:sz w:val="24"/>
        </w:rPr>
      </w:pPr>
      <w:r>
        <w:rPr>
          <w:rFonts w:hint="eastAsia"/>
          <w:b/>
          <w:color w:val="auto"/>
          <w:sz w:val="24"/>
        </w:rPr>
        <w:t>3.3.1</w:t>
      </w:r>
      <w:r>
        <w:rPr>
          <w:rFonts w:hint="eastAsia"/>
          <w:b/>
          <w:color w:val="auto"/>
          <w:sz w:val="24"/>
          <w:lang w:val="en-US" w:eastAsia="zh-CN"/>
        </w:rPr>
        <w:t xml:space="preserve"> </w:t>
      </w:r>
      <w:r>
        <w:rPr>
          <w:rFonts w:hint="eastAsia"/>
          <w:color w:val="auto"/>
          <w:sz w:val="24"/>
        </w:rPr>
        <w:t>磋商小组采用综合评分法对确定作出最终报价的供应商的响应文件进行综合评分。</w:t>
      </w:r>
    </w:p>
    <w:p w14:paraId="62518EDB">
      <w:pPr>
        <w:spacing w:line="360" w:lineRule="auto"/>
        <w:ind w:firstLine="480" w:firstLineChars="200"/>
        <w:rPr>
          <w:color w:val="auto"/>
          <w:sz w:val="24"/>
        </w:rPr>
      </w:pPr>
      <w:r>
        <w:rPr>
          <w:rFonts w:hint="eastAsia"/>
          <w:color w:val="auto"/>
          <w:sz w:val="24"/>
        </w:rPr>
        <w:t>（1）磋商小组依据磋商文件的规定，对各供应商的资信商务部分进行评审，对客观分应统一意见后统一给分。</w:t>
      </w:r>
    </w:p>
    <w:p w14:paraId="341BB3F1">
      <w:pPr>
        <w:spacing w:line="360" w:lineRule="auto"/>
        <w:ind w:firstLine="480" w:firstLineChars="200"/>
        <w:rPr>
          <w:color w:val="auto"/>
          <w:sz w:val="24"/>
        </w:rPr>
      </w:pPr>
      <w:r>
        <w:rPr>
          <w:rFonts w:hint="eastAsia"/>
          <w:color w:val="auto"/>
          <w:sz w:val="24"/>
        </w:rPr>
        <w:t>（2）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3484C476">
      <w:pPr>
        <w:spacing w:line="360" w:lineRule="auto"/>
        <w:ind w:firstLine="480" w:firstLineChars="200"/>
        <w:rPr>
          <w:color w:val="auto"/>
          <w:sz w:val="24"/>
        </w:rPr>
      </w:pPr>
      <w:r>
        <w:rPr>
          <w:rFonts w:hint="eastAsia"/>
          <w:color w:val="auto"/>
          <w:sz w:val="24"/>
        </w:rPr>
        <w:t>（3）各供应商的资信商务及技术得分，为各磋商小组成员对该供应商的评分汇总后的算术平均数。</w:t>
      </w:r>
    </w:p>
    <w:p w14:paraId="58E94226">
      <w:pPr>
        <w:spacing w:line="360" w:lineRule="auto"/>
        <w:ind w:firstLine="482" w:firstLineChars="200"/>
        <w:rPr>
          <w:b/>
          <w:color w:val="auto"/>
          <w:sz w:val="24"/>
        </w:rPr>
      </w:pPr>
      <w:r>
        <w:rPr>
          <w:rFonts w:hint="eastAsia"/>
          <w:b/>
          <w:color w:val="auto"/>
          <w:sz w:val="24"/>
        </w:rPr>
        <w:t>3.3.2 报价文件评审</w:t>
      </w:r>
    </w:p>
    <w:p w14:paraId="3EC95BA5">
      <w:pPr>
        <w:spacing w:line="360" w:lineRule="auto"/>
        <w:ind w:firstLine="480" w:firstLineChars="200"/>
        <w:rPr>
          <w:color w:val="auto"/>
          <w:sz w:val="24"/>
        </w:rPr>
      </w:pPr>
      <w:r>
        <w:rPr>
          <w:rFonts w:hint="eastAsia"/>
          <w:color w:val="auto"/>
          <w:sz w:val="24"/>
        </w:rPr>
        <w:t>（1）磋商小组依据磋商文件的规定，对各供应商报价文件的符合性进行审查，必要时可要求供应商对其报价做出澄清、说明。</w:t>
      </w:r>
    </w:p>
    <w:p w14:paraId="6ED071CE">
      <w:pPr>
        <w:spacing w:line="360" w:lineRule="auto"/>
        <w:ind w:firstLine="480" w:firstLineChars="200"/>
        <w:rPr>
          <w:color w:val="auto"/>
          <w:sz w:val="24"/>
        </w:rPr>
      </w:pPr>
      <w:r>
        <w:rPr>
          <w:rFonts w:hint="eastAsia"/>
          <w:color w:val="auto"/>
          <w:sz w:val="24"/>
        </w:rPr>
        <w:t>（2）供应商提交最终报价；</w:t>
      </w:r>
    </w:p>
    <w:p w14:paraId="6F0B612E">
      <w:pPr>
        <w:spacing w:line="360" w:lineRule="auto"/>
        <w:ind w:firstLine="480" w:firstLineChars="200"/>
        <w:rPr>
          <w:color w:val="auto"/>
          <w:sz w:val="24"/>
        </w:rPr>
      </w:pPr>
      <w:r>
        <w:rPr>
          <w:rFonts w:hint="eastAsia"/>
          <w:color w:val="auto"/>
          <w:sz w:val="24"/>
        </w:rPr>
        <w:t>（3）代理机构通过电子交易平台公布各供应商资信商务及技术得分。</w:t>
      </w:r>
    </w:p>
    <w:p w14:paraId="3738B7AB">
      <w:pPr>
        <w:spacing w:line="360" w:lineRule="auto"/>
        <w:ind w:firstLine="480" w:firstLineChars="200"/>
        <w:rPr>
          <w:color w:val="auto"/>
          <w:sz w:val="24"/>
        </w:rPr>
      </w:pPr>
      <w:r>
        <w:rPr>
          <w:rFonts w:hint="eastAsia"/>
          <w:color w:val="auto"/>
          <w:sz w:val="24"/>
        </w:rPr>
        <w:t>（4）磋商小组依据磋商文件的规定，对各供应商的最终报价的符合性进行审查，必要时可要求供应商对其报价做出澄清、说明。</w:t>
      </w:r>
    </w:p>
    <w:p w14:paraId="58226C72">
      <w:pPr>
        <w:spacing w:line="360" w:lineRule="auto"/>
        <w:ind w:firstLine="480" w:firstLineChars="200"/>
        <w:rPr>
          <w:color w:val="auto"/>
          <w:sz w:val="24"/>
        </w:rPr>
      </w:pPr>
      <w:r>
        <w:rPr>
          <w:rFonts w:hint="eastAsia"/>
          <w:color w:val="auto"/>
          <w:sz w:val="24"/>
        </w:rPr>
        <w:t xml:space="preserve">（5）报价修正； </w:t>
      </w:r>
    </w:p>
    <w:p w14:paraId="4092140C">
      <w:pPr>
        <w:tabs>
          <w:tab w:val="left" w:pos="3285"/>
        </w:tabs>
        <w:spacing w:line="360" w:lineRule="auto"/>
        <w:ind w:firstLine="480" w:firstLineChars="200"/>
        <w:rPr>
          <w:color w:val="auto"/>
          <w:sz w:val="24"/>
        </w:rPr>
      </w:pPr>
      <w:r>
        <w:rPr>
          <w:rFonts w:hint="eastAsia"/>
          <w:color w:val="auto"/>
          <w:sz w:val="24"/>
        </w:rPr>
        <w:t>（6）磋商小组根据供应商的报价和评审标准，计算各供应商的报价得分。</w:t>
      </w:r>
    </w:p>
    <w:p w14:paraId="1B86D192">
      <w:pPr>
        <w:spacing w:line="360" w:lineRule="auto"/>
        <w:ind w:firstLine="482" w:firstLineChars="200"/>
        <w:rPr>
          <w:b/>
          <w:color w:val="auto"/>
          <w:sz w:val="24"/>
        </w:rPr>
      </w:pPr>
      <w:r>
        <w:rPr>
          <w:rFonts w:hint="eastAsia"/>
          <w:b/>
          <w:color w:val="auto"/>
          <w:sz w:val="24"/>
        </w:rPr>
        <w:t>3.4 评审结果</w:t>
      </w:r>
    </w:p>
    <w:p w14:paraId="723A97D8">
      <w:pPr>
        <w:spacing w:line="360" w:lineRule="auto"/>
        <w:ind w:firstLine="480" w:firstLineChars="200"/>
        <w:rPr>
          <w:color w:val="auto"/>
          <w:sz w:val="24"/>
        </w:rPr>
      </w:pPr>
      <w:r>
        <w:rPr>
          <w:rFonts w:hint="eastAsia"/>
          <w:color w:val="auto"/>
          <w:sz w:val="24"/>
        </w:rPr>
        <w:t>3.4.1 评审结果汇总，供应商结果排序；</w:t>
      </w:r>
    </w:p>
    <w:p w14:paraId="37820402">
      <w:pPr>
        <w:spacing w:line="360" w:lineRule="auto"/>
        <w:ind w:firstLine="480" w:firstLineChars="200"/>
        <w:rPr>
          <w:color w:val="auto"/>
          <w:sz w:val="24"/>
        </w:rPr>
      </w:pPr>
      <w:r>
        <w:rPr>
          <w:rFonts w:hint="eastAsia"/>
          <w:color w:val="auto"/>
          <w:sz w:val="24"/>
        </w:rPr>
        <w:t>3.4.2 起草评审报告，确定成交候选人。</w:t>
      </w:r>
    </w:p>
    <w:p w14:paraId="1398B955">
      <w:pPr>
        <w:spacing w:line="360" w:lineRule="auto"/>
        <w:ind w:firstLine="482" w:firstLineChars="200"/>
        <w:rPr>
          <w:color w:val="auto"/>
          <w:sz w:val="24"/>
        </w:rPr>
      </w:pPr>
      <w:r>
        <w:rPr>
          <w:rFonts w:hint="eastAsia"/>
          <w:b/>
          <w:color w:val="auto"/>
          <w:sz w:val="24"/>
        </w:rPr>
        <w:t>3.5 结果公布。</w:t>
      </w:r>
    </w:p>
    <w:bookmarkEnd w:id="96"/>
    <w:bookmarkEnd w:id="97"/>
    <w:p w14:paraId="482F09BC">
      <w:pPr>
        <w:pStyle w:val="4"/>
        <w:tabs>
          <w:tab w:val="left" w:pos="871"/>
        </w:tabs>
        <w:spacing w:line="360" w:lineRule="auto"/>
        <w:ind w:left="117"/>
        <w:jc w:val="both"/>
        <w:rPr>
          <w:color w:val="auto"/>
        </w:rPr>
      </w:pPr>
      <w:bookmarkStart w:id="110" w:name="_Toc12290"/>
      <w:bookmarkStart w:id="111" w:name="_Toc28896"/>
      <w:bookmarkStart w:id="112" w:name="_Toc73349361"/>
      <w:bookmarkStart w:id="113" w:name="_Toc335664301"/>
      <w:bookmarkStart w:id="114" w:name="_Toc390938606"/>
      <w:bookmarkStart w:id="115" w:name="_Toc19572"/>
      <w:bookmarkStart w:id="116" w:name="_Toc5725"/>
      <w:r>
        <w:rPr>
          <w:rFonts w:hint="eastAsia"/>
          <w:color w:val="auto"/>
        </w:rPr>
        <w:t>四   磋商内容及规定</w:t>
      </w:r>
      <w:bookmarkEnd w:id="110"/>
      <w:bookmarkEnd w:id="111"/>
    </w:p>
    <w:p w14:paraId="23C689BF">
      <w:pPr>
        <w:spacing w:line="360" w:lineRule="auto"/>
        <w:ind w:firstLine="480" w:firstLineChars="200"/>
        <w:rPr>
          <w:color w:val="auto"/>
          <w:sz w:val="24"/>
        </w:rPr>
      </w:pPr>
      <w:r>
        <w:rPr>
          <w:rFonts w:hint="eastAsia"/>
          <w:color w:val="auto"/>
          <w:sz w:val="24"/>
        </w:rPr>
        <w:t>4.</w:t>
      </w:r>
      <w:r>
        <w:rPr>
          <w:rFonts w:hint="eastAsia"/>
          <w:color w:val="auto"/>
          <w:sz w:val="24"/>
          <w:lang w:val="en-US" w:eastAsia="zh-CN"/>
        </w:rPr>
        <w:t xml:space="preserve"> </w:t>
      </w:r>
      <w:r>
        <w:rPr>
          <w:rFonts w:hint="eastAsia"/>
          <w:color w:val="auto"/>
          <w:sz w:val="24"/>
        </w:rPr>
        <w:t>本评审办法采用综合评分法</w:t>
      </w:r>
      <w:r>
        <w:rPr>
          <w:rFonts w:hint="eastAsia"/>
          <w:color w:val="auto"/>
          <w:sz w:val="24"/>
          <w:lang w:eastAsia="zh-CN"/>
        </w:rPr>
        <w:t>，</w:t>
      </w:r>
      <w:r>
        <w:rPr>
          <w:rFonts w:hint="eastAsia"/>
          <w:color w:val="auto"/>
          <w:sz w:val="24"/>
        </w:rPr>
        <w:t>总分100分。</w:t>
      </w:r>
    </w:p>
    <w:p w14:paraId="1C785AE9">
      <w:pPr>
        <w:spacing w:line="360" w:lineRule="auto"/>
        <w:ind w:firstLine="480" w:firstLineChars="200"/>
        <w:rPr>
          <w:color w:val="auto"/>
          <w:sz w:val="24"/>
        </w:rPr>
      </w:pPr>
      <w:r>
        <w:rPr>
          <w:rFonts w:hint="eastAsia"/>
          <w:color w:val="auto"/>
          <w:sz w:val="24"/>
        </w:rPr>
        <w:t>4.1</w:t>
      </w:r>
      <w:r>
        <w:rPr>
          <w:rFonts w:hint="eastAsia"/>
          <w:color w:val="auto"/>
          <w:sz w:val="24"/>
          <w:lang w:val="en-US" w:eastAsia="zh-CN"/>
        </w:rPr>
        <w:t xml:space="preserve"> </w:t>
      </w:r>
      <w:r>
        <w:rPr>
          <w:rFonts w:hint="eastAsia"/>
          <w:color w:val="auto"/>
          <w:sz w:val="24"/>
        </w:rPr>
        <w:t>资信商务及技术文件权重为</w:t>
      </w:r>
      <w:r>
        <w:rPr>
          <w:rFonts w:hint="eastAsia"/>
          <w:color w:val="auto"/>
          <w:sz w:val="24"/>
          <w:lang w:val="en-US" w:eastAsia="zh-CN"/>
        </w:rPr>
        <w:t>90</w:t>
      </w:r>
      <w:r>
        <w:rPr>
          <w:rFonts w:hint="eastAsia"/>
          <w:color w:val="auto"/>
          <w:sz w:val="24"/>
        </w:rPr>
        <w:t>%，分值为</w:t>
      </w:r>
      <w:r>
        <w:rPr>
          <w:rFonts w:hint="eastAsia"/>
          <w:color w:val="auto"/>
          <w:sz w:val="24"/>
          <w:lang w:val="en-US" w:eastAsia="zh-CN"/>
        </w:rPr>
        <w:t>90</w:t>
      </w:r>
      <w:r>
        <w:rPr>
          <w:rFonts w:hint="eastAsia"/>
          <w:color w:val="auto"/>
          <w:sz w:val="24"/>
        </w:rPr>
        <w:t>分。磋商小组对各磋商文件的资信商务及技术部分经充分审核后，在规定的分值内由磋商小组单独评定打分。</w:t>
      </w:r>
    </w:p>
    <w:p w14:paraId="44BF2AC7">
      <w:pPr>
        <w:spacing w:line="360" w:lineRule="auto"/>
        <w:ind w:firstLine="480" w:firstLineChars="200"/>
        <w:rPr>
          <w:color w:val="auto"/>
          <w:sz w:val="24"/>
        </w:rPr>
      </w:pPr>
      <w:r>
        <w:rPr>
          <w:rFonts w:hint="eastAsia"/>
          <w:color w:val="auto"/>
          <w:sz w:val="24"/>
        </w:rPr>
        <w:t>4.2</w:t>
      </w:r>
      <w:r>
        <w:rPr>
          <w:rFonts w:hint="eastAsia"/>
          <w:color w:val="auto"/>
          <w:sz w:val="24"/>
          <w:lang w:val="en-US" w:eastAsia="zh-CN"/>
        </w:rPr>
        <w:t xml:space="preserve"> </w:t>
      </w:r>
      <w:r>
        <w:rPr>
          <w:rFonts w:hint="eastAsia"/>
          <w:color w:val="auto"/>
          <w:sz w:val="24"/>
        </w:rPr>
        <w:t>磋商报价权重为</w:t>
      </w:r>
      <w:r>
        <w:rPr>
          <w:rFonts w:hint="eastAsia"/>
          <w:color w:val="auto"/>
          <w:sz w:val="24"/>
          <w:lang w:val="en-US" w:eastAsia="zh-CN"/>
        </w:rPr>
        <w:t>10</w:t>
      </w:r>
      <w:r>
        <w:rPr>
          <w:rFonts w:hint="eastAsia"/>
          <w:color w:val="auto"/>
          <w:sz w:val="24"/>
        </w:rPr>
        <w:t>%，分值为</w:t>
      </w:r>
      <w:r>
        <w:rPr>
          <w:rFonts w:hint="eastAsia"/>
          <w:color w:val="auto"/>
          <w:sz w:val="24"/>
          <w:lang w:val="en-US" w:eastAsia="zh-CN"/>
        </w:rPr>
        <w:t>10</w:t>
      </w:r>
      <w:r>
        <w:rPr>
          <w:rFonts w:hint="eastAsia"/>
          <w:color w:val="auto"/>
          <w:sz w:val="24"/>
        </w:rPr>
        <w:t>分，磋商小组按各磋商供应商的最终磋商报价统一计算。</w:t>
      </w:r>
    </w:p>
    <w:p w14:paraId="4F0347B0">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eastAsia="zh-CN"/>
        </w:rPr>
        <w:t xml:space="preserve"> </w:t>
      </w:r>
      <w:r>
        <w:rPr>
          <w:rFonts w:hint="eastAsia"/>
          <w:color w:val="auto"/>
          <w:sz w:val="24"/>
          <w:highlight w:val="none"/>
        </w:rPr>
        <w:t>磋商小组成员在规定的分值范围内独立打分，评分保留一位小数。</w:t>
      </w:r>
    </w:p>
    <w:p w14:paraId="6E02948F">
      <w:pPr>
        <w:pStyle w:val="4"/>
        <w:tabs>
          <w:tab w:val="left" w:pos="871"/>
        </w:tabs>
        <w:spacing w:line="360" w:lineRule="auto"/>
        <w:ind w:left="117"/>
        <w:jc w:val="both"/>
        <w:rPr>
          <w:color w:val="auto"/>
          <w:highlight w:val="none"/>
        </w:rPr>
      </w:pPr>
      <w:bookmarkStart w:id="117" w:name="_Toc21772"/>
      <w:bookmarkStart w:id="118" w:name="_Toc25653"/>
      <w:r>
        <w:rPr>
          <w:rFonts w:hint="eastAsia"/>
          <w:color w:val="auto"/>
          <w:highlight w:val="none"/>
        </w:rPr>
        <w:t>五   评标办法和细则</w:t>
      </w:r>
      <w:bookmarkEnd w:id="117"/>
      <w:bookmarkEnd w:id="118"/>
    </w:p>
    <w:p w14:paraId="3F096195">
      <w:pPr>
        <w:spacing w:line="360" w:lineRule="auto"/>
        <w:ind w:firstLine="480" w:firstLineChars="200"/>
        <w:rPr>
          <w:rFonts w:hint="eastAsia"/>
          <w:color w:val="auto"/>
          <w:sz w:val="24"/>
          <w:lang w:eastAsia="zh-CN"/>
        </w:rPr>
      </w:pPr>
      <w:r>
        <w:rPr>
          <w:rFonts w:hint="eastAsia"/>
          <w:color w:val="auto"/>
          <w:sz w:val="24"/>
          <w:lang w:val="en-US"/>
        </w:rPr>
        <w:t>5</w:t>
      </w:r>
      <w:r>
        <w:rPr>
          <w:color w:val="auto"/>
          <w:sz w:val="24"/>
        </w:rPr>
        <w:t>.</w:t>
      </w:r>
      <w:r>
        <w:rPr>
          <w:rFonts w:hint="eastAsia"/>
          <w:color w:val="auto"/>
          <w:sz w:val="24"/>
          <w:lang w:val="en-US"/>
        </w:rPr>
        <w:t>1</w:t>
      </w:r>
      <w:r>
        <w:rPr>
          <w:rFonts w:hint="eastAsia"/>
          <w:color w:val="auto"/>
          <w:sz w:val="24"/>
          <w:lang w:val="en-US" w:eastAsia="zh-CN"/>
        </w:rPr>
        <w:t xml:space="preserve"> </w:t>
      </w:r>
      <w:r>
        <w:rPr>
          <w:rFonts w:hint="eastAsia"/>
          <w:color w:val="auto"/>
          <w:sz w:val="24"/>
        </w:rPr>
        <w:t>资信商务及技术文件分值共</w:t>
      </w:r>
      <w:r>
        <w:rPr>
          <w:rFonts w:hint="eastAsia"/>
          <w:color w:val="auto"/>
          <w:sz w:val="24"/>
          <w:lang w:val="en-US" w:eastAsia="zh-CN"/>
        </w:rPr>
        <w:t>90</w:t>
      </w:r>
      <w:r>
        <w:rPr>
          <w:rFonts w:hint="eastAsia"/>
          <w:color w:val="auto"/>
          <w:sz w:val="24"/>
        </w:rPr>
        <w:t>分，权重为</w:t>
      </w:r>
      <w:r>
        <w:rPr>
          <w:rFonts w:hint="eastAsia"/>
          <w:color w:val="auto"/>
          <w:sz w:val="24"/>
          <w:lang w:val="en-US" w:eastAsia="zh-CN"/>
        </w:rPr>
        <w:t>90</w:t>
      </w:r>
      <w:r>
        <w:rPr>
          <w:rFonts w:hint="eastAsia"/>
          <w:color w:val="auto"/>
          <w:sz w:val="24"/>
        </w:rPr>
        <w:t>%</w:t>
      </w:r>
      <w:r>
        <w:rPr>
          <w:rFonts w:hint="eastAsia"/>
          <w:color w:val="auto"/>
          <w:sz w:val="24"/>
          <w:lang w:eastAsia="zh-CN"/>
        </w:rPr>
        <w:t>，由评审小组成员独立打分。</w:t>
      </w:r>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87"/>
        <w:gridCol w:w="6453"/>
        <w:gridCol w:w="871"/>
      </w:tblGrid>
      <w:tr w14:paraId="24E4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29" w:type="dxa"/>
            <w:noWrap w:val="0"/>
            <w:vAlign w:val="center"/>
          </w:tcPr>
          <w:p w14:paraId="6CDA03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187" w:type="dxa"/>
            <w:noWrap/>
            <w:vAlign w:val="center"/>
          </w:tcPr>
          <w:p w14:paraId="0E89B6A5">
            <w:pPr>
              <w:keepNext w:val="0"/>
              <w:keepLines w:val="0"/>
              <w:pageBreakBefore w:val="0"/>
              <w:widowControl w:val="0"/>
              <w:kinsoku/>
              <w:wordWrap/>
              <w:overflowPunct/>
              <w:topLinePunct w:val="0"/>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评分类型</w:t>
            </w:r>
          </w:p>
        </w:tc>
        <w:tc>
          <w:tcPr>
            <w:tcW w:w="6453" w:type="dxa"/>
            <w:noWrap w:val="0"/>
            <w:vAlign w:val="center"/>
          </w:tcPr>
          <w:p w14:paraId="6F7811C5">
            <w:pPr>
              <w:keepNext w:val="0"/>
              <w:keepLines w:val="0"/>
              <w:pageBreakBefore w:val="0"/>
              <w:widowControl w:val="0"/>
              <w:kinsoku/>
              <w:wordWrap/>
              <w:overflowPunct/>
              <w:topLinePunct w:val="0"/>
              <w:bidi w:val="0"/>
              <w:adjustRightInd/>
              <w:spacing w:line="240" w:lineRule="auto"/>
              <w:jc w:val="center"/>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评审内容</w:t>
            </w:r>
            <w:r>
              <w:rPr>
                <w:rFonts w:hint="eastAsia" w:ascii="仿宋" w:hAnsi="仿宋" w:eastAsia="仿宋" w:cs="仿宋"/>
                <w:b/>
                <w:color w:val="auto"/>
                <w:kern w:val="0"/>
                <w:sz w:val="24"/>
                <w:szCs w:val="24"/>
                <w:highlight w:val="none"/>
                <w:lang w:eastAsia="zh-CN"/>
              </w:rPr>
              <w:t>（缺项为</w:t>
            </w:r>
            <w:r>
              <w:rPr>
                <w:rFonts w:hint="eastAsia" w:ascii="仿宋" w:hAnsi="仿宋" w:eastAsia="仿宋" w:cs="仿宋"/>
                <w:b/>
                <w:color w:val="auto"/>
                <w:kern w:val="0"/>
                <w:sz w:val="24"/>
                <w:szCs w:val="24"/>
                <w:highlight w:val="none"/>
                <w:lang w:val="en-US" w:eastAsia="zh-CN"/>
              </w:rPr>
              <w:t>0</w:t>
            </w:r>
            <w:r>
              <w:rPr>
                <w:rFonts w:hint="eastAsia" w:ascii="仿宋" w:hAnsi="仿宋" w:eastAsia="仿宋" w:cs="仿宋"/>
                <w:b/>
                <w:color w:val="auto"/>
                <w:kern w:val="0"/>
                <w:sz w:val="24"/>
                <w:szCs w:val="24"/>
                <w:highlight w:val="none"/>
                <w:lang w:eastAsia="zh-CN"/>
              </w:rPr>
              <w:t>）</w:t>
            </w:r>
          </w:p>
        </w:tc>
        <w:tc>
          <w:tcPr>
            <w:tcW w:w="871" w:type="dxa"/>
            <w:noWrap/>
            <w:vAlign w:val="center"/>
          </w:tcPr>
          <w:p w14:paraId="5D6AC6F4">
            <w:pPr>
              <w:keepNext w:val="0"/>
              <w:keepLines w:val="0"/>
              <w:pageBreakBefore w:val="0"/>
              <w:widowControl w:val="0"/>
              <w:kinsoku/>
              <w:wordWrap/>
              <w:overflowPunct/>
              <w:topLinePunct w:val="0"/>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14:paraId="14F8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29" w:type="dxa"/>
            <w:noWrap w:val="0"/>
            <w:vAlign w:val="center"/>
          </w:tcPr>
          <w:p w14:paraId="62CEA47B">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1</w:t>
            </w:r>
          </w:p>
        </w:tc>
        <w:tc>
          <w:tcPr>
            <w:tcW w:w="1187" w:type="dxa"/>
            <w:noWrap/>
            <w:vAlign w:val="center"/>
          </w:tcPr>
          <w:p w14:paraId="0CBE1118">
            <w:pPr>
              <w:tabs>
                <w:tab w:val="left" w:pos="5129"/>
              </w:tabs>
              <w:snapToGrid w:val="0"/>
              <w:spacing w:line="240" w:lineRule="auto"/>
              <w:jc w:val="center"/>
              <w:rPr>
                <w:rFonts w:hint="eastAsia" w:ascii="仿宋" w:hAnsi="仿宋" w:eastAsia="仿宋" w:cs="仿宋"/>
                <w:b/>
                <w:bCs/>
                <w:color w:val="auto"/>
                <w:kern w:val="0"/>
                <w:sz w:val="24"/>
                <w:szCs w:val="24"/>
                <w:highlight w:val="none"/>
                <w:lang w:eastAsia="zh-CN"/>
              </w:rPr>
            </w:pPr>
            <w:r>
              <w:rPr>
                <w:rFonts w:hint="eastAsia" w:cs="仿宋"/>
                <w:b/>
                <w:bCs/>
                <w:color w:val="auto"/>
                <w:kern w:val="0"/>
                <w:sz w:val="24"/>
                <w:szCs w:val="24"/>
                <w:highlight w:val="none"/>
                <w:lang w:eastAsia="zh-CN"/>
              </w:rPr>
              <w:t>类似业绩</w:t>
            </w:r>
          </w:p>
        </w:tc>
        <w:tc>
          <w:tcPr>
            <w:tcW w:w="6453" w:type="dxa"/>
            <w:noWrap/>
            <w:vAlign w:val="center"/>
          </w:tcPr>
          <w:p w14:paraId="77D2D576">
            <w:pPr>
              <w:spacing w:line="240" w:lineRule="auto"/>
              <w:rPr>
                <w:color w:val="auto"/>
                <w:spacing w:val="0"/>
                <w:sz w:val="24"/>
              </w:rPr>
            </w:pPr>
            <w:r>
              <w:rPr>
                <w:rFonts w:hint="eastAsia"/>
                <w:color w:val="auto"/>
                <w:spacing w:val="0"/>
                <w:sz w:val="24"/>
              </w:rPr>
              <w:t>投标人自2</w:t>
            </w:r>
            <w:r>
              <w:rPr>
                <w:rFonts w:hint="eastAsia"/>
                <w:color w:val="auto"/>
                <w:spacing w:val="0"/>
                <w:sz w:val="24"/>
                <w:lang w:val="en-US"/>
              </w:rPr>
              <w:t>02</w:t>
            </w:r>
            <w:r>
              <w:rPr>
                <w:rFonts w:hint="eastAsia"/>
                <w:color w:val="auto"/>
                <w:spacing w:val="0"/>
                <w:sz w:val="24"/>
                <w:lang w:val="en-US" w:eastAsia="zh-CN"/>
              </w:rPr>
              <w:t>2</w:t>
            </w:r>
            <w:r>
              <w:rPr>
                <w:rFonts w:hint="eastAsia"/>
                <w:color w:val="auto"/>
                <w:spacing w:val="0"/>
                <w:sz w:val="24"/>
              </w:rPr>
              <w:t>年1月1日起（以合同签订时间为准）至磋商截止时间止，具有</w:t>
            </w:r>
            <w:r>
              <w:rPr>
                <w:rFonts w:hint="eastAsia"/>
                <w:color w:val="auto"/>
                <w:spacing w:val="0"/>
                <w:sz w:val="24"/>
                <w:lang w:eastAsia="zh-CN"/>
              </w:rPr>
              <w:t>地下水污染防治咨询服务</w:t>
            </w:r>
            <w:r>
              <w:rPr>
                <w:rFonts w:hint="eastAsia"/>
                <w:color w:val="auto"/>
                <w:spacing w:val="0"/>
                <w:sz w:val="24"/>
              </w:rPr>
              <w:t>类项目业绩的，每提供</w:t>
            </w:r>
            <w:r>
              <w:rPr>
                <w:rFonts w:hint="eastAsia"/>
                <w:color w:val="auto"/>
                <w:spacing w:val="0"/>
                <w:sz w:val="24"/>
                <w:lang w:val="en-US"/>
              </w:rPr>
              <w:t>1</w:t>
            </w:r>
            <w:r>
              <w:rPr>
                <w:rFonts w:hint="eastAsia"/>
                <w:color w:val="auto"/>
                <w:spacing w:val="0"/>
                <w:sz w:val="24"/>
              </w:rPr>
              <w:t>个业绩得</w:t>
            </w:r>
            <w:r>
              <w:rPr>
                <w:rFonts w:hint="eastAsia"/>
                <w:color w:val="auto"/>
                <w:spacing w:val="0"/>
                <w:sz w:val="24"/>
                <w:lang w:val="en-US"/>
              </w:rPr>
              <w:t>0.5</w:t>
            </w:r>
            <w:r>
              <w:rPr>
                <w:rFonts w:hint="eastAsia"/>
                <w:color w:val="auto"/>
                <w:spacing w:val="0"/>
                <w:sz w:val="24"/>
              </w:rPr>
              <w:t>分，最高得</w:t>
            </w:r>
            <w:r>
              <w:rPr>
                <w:rFonts w:hint="eastAsia"/>
                <w:color w:val="auto"/>
                <w:spacing w:val="0"/>
                <w:sz w:val="24"/>
                <w:lang w:val="en-US"/>
              </w:rPr>
              <w:t>1</w:t>
            </w:r>
            <w:r>
              <w:rPr>
                <w:rFonts w:hint="eastAsia"/>
                <w:color w:val="auto"/>
                <w:spacing w:val="0"/>
                <w:sz w:val="24"/>
              </w:rPr>
              <w:t>分。</w:t>
            </w:r>
          </w:p>
          <w:p w14:paraId="3A501534">
            <w:pPr>
              <w:spacing w:line="240" w:lineRule="auto"/>
              <w:rPr>
                <w:rFonts w:hint="eastAsia" w:ascii="仿宋" w:hAnsi="仿宋" w:eastAsia="仿宋" w:cs="仿宋"/>
                <w:color w:val="auto"/>
                <w:sz w:val="24"/>
                <w:szCs w:val="24"/>
                <w:highlight w:val="none"/>
                <w:lang w:val="en-US" w:eastAsia="zh-CN"/>
              </w:rPr>
            </w:pPr>
            <w:r>
              <w:rPr>
                <w:rFonts w:hint="eastAsia"/>
                <w:b/>
                <w:color w:val="auto"/>
                <w:spacing w:val="0"/>
                <w:sz w:val="24"/>
                <w:szCs w:val="24"/>
              </w:rPr>
              <w:t>注：须提供合同原件扫描件并加盖公章，否则不得分</w:t>
            </w:r>
            <w:r>
              <w:rPr>
                <w:rFonts w:hint="eastAsia"/>
                <w:b/>
                <w:color w:val="auto"/>
                <w:spacing w:val="0"/>
                <w:sz w:val="24"/>
                <w:szCs w:val="24"/>
                <w:lang w:eastAsia="zh-CN"/>
              </w:rPr>
              <w:t>；</w:t>
            </w:r>
            <w:r>
              <w:rPr>
                <w:rFonts w:hint="eastAsia"/>
                <w:b/>
                <w:color w:val="auto"/>
                <w:spacing w:val="0"/>
                <w:sz w:val="24"/>
                <w:szCs w:val="24"/>
              </w:rPr>
              <w:t>是否属于类似业绩由评审委员会根据合同的内容、特点以及与本项目的类似程度等进行认定。</w:t>
            </w:r>
          </w:p>
        </w:tc>
        <w:tc>
          <w:tcPr>
            <w:tcW w:w="871" w:type="dxa"/>
            <w:noWrap/>
            <w:vAlign w:val="center"/>
          </w:tcPr>
          <w:p w14:paraId="14635D30">
            <w:pPr>
              <w:keepNext w:val="0"/>
              <w:keepLines w:val="0"/>
              <w:pageBreakBefore w:val="0"/>
              <w:widowControl/>
              <w:kinsoku/>
              <w:wordWrap/>
              <w:overflowPunct/>
              <w:topLinePunct w:val="0"/>
              <w:bidi w:val="0"/>
              <w:adjustRightInd/>
              <w:spacing w:line="240" w:lineRule="auto"/>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1分</w:t>
            </w:r>
          </w:p>
        </w:tc>
      </w:tr>
      <w:tr w14:paraId="0D88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729" w:type="dxa"/>
            <w:noWrap w:val="0"/>
            <w:vAlign w:val="center"/>
          </w:tcPr>
          <w:p w14:paraId="5F2B5BF5">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rPr>
              <w:t>2</w:t>
            </w:r>
          </w:p>
        </w:tc>
        <w:tc>
          <w:tcPr>
            <w:tcW w:w="1187" w:type="dxa"/>
            <w:noWrap/>
            <w:vAlign w:val="center"/>
          </w:tcPr>
          <w:p w14:paraId="6ED87F04">
            <w:pPr>
              <w:tabs>
                <w:tab w:val="left" w:pos="5129"/>
              </w:tabs>
              <w:snapToGrid w:val="0"/>
              <w:spacing w:line="240" w:lineRule="auto"/>
              <w:jc w:val="center"/>
              <w:rPr>
                <w:rFonts w:hint="default"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企业荣誉</w:t>
            </w:r>
          </w:p>
        </w:tc>
        <w:tc>
          <w:tcPr>
            <w:tcW w:w="6453" w:type="dxa"/>
            <w:shd w:val="clear" w:color="auto" w:fill="auto"/>
            <w:noWrap/>
            <w:vAlign w:val="center"/>
          </w:tcPr>
          <w:p w14:paraId="4CC7A741">
            <w:pPr>
              <w:pStyle w:val="39"/>
              <w:keepNext w:val="0"/>
              <w:keepLines w:val="0"/>
              <w:pageBreakBefore w:val="0"/>
              <w:kinsoku/>
              <w:wordWrap/>
              <w:overflowPunct/>
              <w:topLinePunct w:val="0"/>
              <w:bidi w:val="0"/>
              <w:spacing w:line="240" w:lineRule="auto"/>
              <w:ind w:left="0" w:leftChars="0" w:firstLine="0" w:firstLineChars="0"/>
              <w:jc w:val="both"/>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w:t>
            </w:r>
            <w:r>
              <w:rPr>
                <w:rFonts w:hint="eastAsia" w:eastAsia="仿宋" w:cs="仿宋"/>
                <w:b w:val="0"/>
                <w:bCs w:val="0"/>
                <w:color w:val="auto"/>
                <w:kern w:val="0"/>
                <w:sz w:val="24"/>
                <w:szCs w:val="24"/>
                <w:highlight w:val="none"/>
                <w:lang w:val="en-US" w:eastAsia="zh-CN"/>
              </w:rPr>
              <w:t>曾</w:t>
            </w:r>
            <w:r>
              <w:rPr>
                <w:rFonts w:hint="eastAsia" w:ascii="仿宋" w:hAnsi="仿宋" w:eastAsia="仿宋" w:cs="仿宋"/>
                <w:b w:val="0"/>
                <w:bCs w:val="0"/>
                <w:color w:val="auto"/>
                <w:kern w:val="0"/>
                <w:sz w:val="24"/>
                <w:szCs w:val="24"/>
                <w:highlight w:val="none"/>
                <w:lang w:val="en-US" w:eastAsia="zh-CN"/>
              </w:rPr>
              <w:t>获得</w:t>
            </w:r>
            <w:r>
              <w:rPr>
                <w:rFonts w:hint="eastAsia" w:eastAsia="仿宋" w:cs="仿宋"/>
                <w:b w:val="0"/>
                <w:bCs w:val="0"/>
                <w:color w:val="auto"/>
                <w:kern w:val="0"/>
                <w:sz w:val="24"/>
                <w:szCs w:val="24"/>
                <w:highlight w:val="none"/>
                <w:lang w:val="en-US" w:eastAsia="zh-CN"/>
              </w:rPr>
              <w:t>县</w:t>
            </w:r>
            <w:r>
              <w:rPr>
                <w:rFonts w:hint="eastAsia" w:ascii="仿宋" w:hAnsi="仿宋" w:eastAsia="仿宋" w:cs="仿宋"/>
                <w:b w:val="0"/>
                <w:bCs w:val="0"/>
                <w:color w:val="auto"/>
                <w:kern w:val="0"/>
                <w:sz w:val="24"/>
                <w:szCs w:val="24"/>
                <w:highlight w:val="none"/>
                <w:lang w:val="en-US" w:eastAsia="zh-CN"/>
              </w:rPr>
              <w:t>级及以上</w:t>
            </w:r>
            <w:r>
              <w:rPr>
                <w:rFonts w:hint="eastAsia" w:eastAsia="仿宋" w:cs="仿宋"/>
                <w:b w:val="0"/>
                <w:bCs w:val="0"/>
                <w:color w:val="auto"/>
                <w:kern w:val="0"/>
                <w:sz w:val="24"/>
                <w:szCs w:val="24"/>
                <w:highlight w:val="none"/>
                <w:lang w:val="en-US" w:eastAsia="zh-CN"/>
              </w:rPr>
              <w:t>政府行政部门颁发的“环境保护科技奖项”或“污染地块调查评估和治理修复从业单位水平评价优秀单位”企业荣誉的，每个</w:t>
            </w:r>
            <w:r>
              <w:rPr>
                <w:rFonts w:hint="eastAsia" w:ascii="仿宋" w:hAnsi="仿宋" w:eastAsia="仿宋" w:cs="仿宋"/>
                <w:b w:val="0"/>
                <w:bCs w:val="0"/>
                <w:color w:val="auto"/>
                <w:kern w:val="0"/>
                <w:sz w:val="24"/>
                <w:szCs w:val="24"/>
                <w:highlight w:val="none"/>
                <w:lang w:val="en-US" w:eastAsia="zh-CN"/>
              </w:rPr>
              <w:t>得</w:t>
            </w:r>
            <w:r>
              <w:rPr>
                <w:rFonts w:hint="eastAsia"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eastAsia="zh-CN"/>
              </w:rPr>
              <w:t>分，最高得</w:t>
            </w:r>
            <w:r>
              <w:rPr>
                <w:rFonts w:hint="eastAsia"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eastAsia="zh-CN"/>
              </w:rPr>
              <w:t>分。</w:t>
            </w:r>
          </w:p>
          <w:p w14:paraId="70B56305">
            <w:pPr>
              <w:autoSpaceDE/>
              <w:autoSpaceDN/>
              <w:jc w:val="both"/>
              <w:rPr>
                <w:rFonts w:hint="default" w:ascii="仿宋" w:hAnsi="仿宋" w:eastAsia="仿宋" w:cs="仿宋"/>
                <w:b w:val="0"/>
                <w:bCs w:val="0"/>
                <w:color w:val="auto"/>
                <w:sz w:val="24"/>
                <w:szCs w:val="24"/>
                <w:highlight w:val="none"/>
                <w:lang w:val="en-US" w:eastAsia="zh-CN" w:bidi="zh-CN"/>
              </w:rPr>
            </w:pPr>
            <w:r>
              <w:rPr>
                <w:rFonts w:hint="eastAsia" w:ascii="仿宋" w:hAnsi="仿宋" w:eastAsia="仿宋" w:cs="仿宋"/>
                <w:b/>
                <w:bCs/>
                <w:color w:val="auto"/>
                <w:kern w:val="0"/>
                <w:sz w:val="24"/>
                <w:szCs w:val="24"/>
                <w:highlight w:val="none"/>
              </w:rPr>
              <w:t>注：须提供相关奖项</w:t>
            </w:r>
            <w:r>
              <w:rPr>
                <w:rFonts w:hint="eastAsia"/>
                <w:b/>
                <w:color w:val="auto"/>
                <w:spacing w:val="0"/>
                <w:sz w:val="24"/>
                <w:szCs w:val="24"/>
              </w:rPr>
              <w:t>原件扫描件并加盖公章，</w:t>
            </w:r>
            <w:r>
              <w:rPr>
                <w:rFonts w:hint="eastAsia" w:ascii="仿宋" w:hAnsi="仿宋" w:eastAsia="仿宋" w:cs="仿宋"/>
                <w:b/>
                <w:bCs/>
                <w:color w:val="auto"/>
                <w:kern w:val="0"/>
                <w:sz w:val="24"/>
                <w:szCs w:val="24"/>
                <w:highlight w:val="none"/>
              </w:rPr>
              <w:t>否则不得分。</w:t>
            </w:r>
          </w:p>
        </w:tc>
        <w:tc>
          <w:tcPr>
            <w:tcW w:w="871" w:type="dxa"/>
            <w:noWrap/>
            <w:vAlign w:val="center"/>
          </w:tcPr>
          <w:p w14:paraId="46DEEBF0">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2分</w:t>
            </w:r>
          </w:p>
        </w:tc>
      </w:tr>
      <w:tr w14:paraId="1613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29" w:type="dxa"/>
            <w:vMerge w:val="restart"/>
            <w:noWrap w:val="0"/>
            <w:vAlign w:val="center"/>
          </w:tcPr>
          <w:p w14:paraId="73638D70">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3</w:t>
            </w:r>
          </w:p>
        </w:tc>
        <w:tc>
          <w:tcPr>
            <w:tcW w:w="1187" w:type="dxa"/>
            <w:vMerge w:val="restart"/>
            <w:noWrap/>
            <w:vAlign w:val="center"/>
          </w:tcPr>
          <w:p w14:paraId="60C30776">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项目组成员</w:t>
            </w:r>
          </w:p>
        </w:tc>
        <w:tc>
          <w:tcPr>
            <w:tcW w:w="6453" w:type="dxa"/>
            <w:noWrap/>
            <w:vAlign w:val="center"/>
          </w:tcPr>
          <w:p w14:paraId="67F17C08">
            <w:pPr>
              <w:keepNext w:val="0"/>
              <w:keepLines w:val="0"/>
              <w:pageBreakBefore w:val="0"/>
              <w:widowControl w:val="0"/>
              <w:kinsoku/>
              <w:wordWrap/>
              <w:overflowPunct/>
              <w:topLinePunct w:val="0"/>
              <w:autoSpaceDE/>
              <w:autoSpaceDN/>
              <w:bidi w:val="0"/>
              <w:adjustRightInd/>
              <w:snapToGrid w:val="0"/>
              <w:spacing w:line="240" w:lineRule="auto"/>
              <w:ind w:right="-112" w:rightChars="-51"/>
              <w:jc w:val="lef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项目负责人：</w:t>
            </w:r>
          </w:p>
          <w:p w14:paraId="7251A892">
            <w:pPr>
              <w:keepNext w:val="0"/>
              <w:keepLines w:val="0"/>
              <w:pageBreakBefore w:val="0"/>
              <w:widowControl w:val="0"/>
              <w:kinsoku/>
              <w:wordWrap/>
              <w:overflowPunct/>
              <w:topLinePunct w:val="0"/>
              <w:autoSpaceDE/>
              <w:autoSpaceDN/>
              <w:bidi w:val="0"/>
              <w:adjustRightInd/>
              <w:snapToGrid w:val="0"/>
              <w:spacing w:line="240" w:lineRule="auto"/>
              <w:ind w:right="-112" w:rightChars="-51"/>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拟派本项目的项目负责人具有</w:t>
            </w:r>
            <w:r>
              <w:rPr>
                <w:rFonts w:hint="eastAsia" w:cs="仿宋"/>
                <w:color w:val="auto"/>
                <w:sz w:val="24"/>
                <w:szCs w:val="24"/>
                <w:highlight w:val="none"/>
                <w:lang w:val="zh-CN"/>
              </w:rPr>
              <w:t>注册环保工程师资格证书、注册环评工程师资格证书、咨询（投资）工程师资格证书、环境</w:t>
            </w:r>
            <w:r>
              <w:rPr>
                <w:rFonts w:hint="eastAsia" w:cs="仿宋"/>
                <w:color w:val="auto"/>
                <w:sz w:val="24"/>
                <w:szCs w:val="24"/>
                <w:highlight w:val="none"/>
                <w:lang w:val="en-US" w:eastAsia="zh-CN"/>
              </w:rPr>
              <w:t>专业</w:t>
            </w:r>
            <w:r>
              <w:rPr>
                <w:rFonts w:hint="eastAsia" w:cs="仿宋"/>
                <w:color w:val="auto"/>
                <w:sz w:val="24"/>
                <w:szCs w:val="24"/>
                <w:highlight w:val="none"/>
                <w:lang w:val="zh-CN"/>
              </w:rPr>
              <w:t>高级工程师</w:t>
            </w:r>
            <w:r>
              <w:rPr>
                <w:rFonts w:hint="eastAsia" w:cs="仿宋"/>
                <w:color w:val="auto"/>
                <w:sz w:val="24"/>
                <w:szCs w:val="24"/>
                <w:highlight w:val="none"/>
                <w:lang w:val="en-US" w:eastAsia="zh-CN"/>
              </w:rPr>
              <w:t>职称</w:t>
            </w:r>
            <w:r>
              <w:rPr>
                <w:rFonts w:hint="eastAsia" w:cs="仿宋"/>
                <w:color w:val="auto"/>
                <w:sz w:val="24"/>
                <w:szCs w:val="24"/>
                <w:highlight w:val="none"/>
                <w:lang w:val="zh-CN"/>
              </w:rPr>
              <w:t>证书的，每本证书得</w:t>
            </w:r>
            <w:r>
              <w:rPr>
                <w:rFonts w:hint="eastAsia" w:cs="仿宋"/>
                <w:color w:val="auto"/>
                <w:sz w:val="24"/>
                <w:szCs w:val="24"/>
                <w:highlight w:val="none"/>
                <w:lang w:val="en-US" w:eastAsia="zh-CN"/>
              </w:rPr>
              <w:t>1分，</w:t>
            </w:r>
            <w:r>
              <w:rPr>
                <w:rFonts w:hint="eastAsia" w:ascii="仿宋" w:hAnsi="仿宋" w:eastAsia="仿宋" w:cs="仿宋"/>
                <w:color w:val="auto"/>
                <w:sz w:val="24"/>
                <w:szCs w:val="24"/>
                <w:highlight w:val="none"/>
                <w:lang w:val="zh-CN"/>
              </w:rPr>
              <w:t>最高得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1F960871">
            <w:pPr>
              <w:pStyle w:val="3"/>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lang w:eastAsia="zh-CN"/>
              </w:rPr>
              <w:t>须提供</w:t>
            </w:r>
            <w:r>
              <w:rPr>
                <w:rFonts w:hint="eastAsia" w:ascii="仿宋" w:hAnsi="仿宋" w:eastAsia="仿宋" w:cs="仿宋"/>
                <w:b/>
                <w:bCs/>
                <w:color w:val="auto"/>
                <w:kern w:val="0"/>
                <w:sz w:val="24"/>
                <w:szCs w:val="24"/>
                <w:highlight w:val="none"/>
                <w:lang w:val="en-US" w:eastAsia="zh-CN"/>
              </w:rPr>
              <w:t>相关证书原件扫描件及</w:t>
            </w:r>
            <w:r>
              <w:rPr>
                <w:rFonts w:hint="eastAsia" w:cs="仿宋"/>
                <w:b/>
                <w:bCs/>
                <w:color w:val="auto"/>
                <w:kern w:val="0"/>
                <w:sz w:val="24"/>
                <w:szCs w:val="24"/>
                <w:highlight w:val="none"/>
                <w:lang w:val="en-US" w:eastAsia="zh-CN"/>
              </w:rPr>
              <w:t>其在</w:t>
            </w:r>
            <w:r>
              <w:rPr>
                <w:rFonts w:hint="eastAsia" w:ascii="仿宋" w:hAnsi="仿宋" w:eastAsia="仿宋" w:cs="仿宋"/>
                <w:b/>
                <w:bCs/>
                <w:color w:val="auto"/>
                <w:kern w:val="0"/>
                <w:sz w:val="24"/>
                <w:szCs w:val="24"/>
                <w:highlight w:val="none"/>
                <w:lang w:val="en-US" w:eastAsia="zh-CN"/>
              </w:rPr>
              <w:t>投标</w:t>
            </w:r>
            <w:r>
              <w:rPr>
                <w:rFonts w:hint="eastAsia" w:cs="仿宋"/>
                <w:b/>
                <w:bCs/>
                <w:color w:val="auto"/>
                <w:kern w:val="0"/>
                <w:sz w:val="24"/>
                <w:szCs w:val="24"/>
                <w:highlight w:val="none"/>
                <w:lang w:eastAsia="zh-CN"/>
              </w:rPr>
              <w:t>人缴纳的</w:t>
            </w:r>
            <w:r>
              <w:rPr>
                <w:rFonts w:hint="eastAsia" w:ascii="仿宋" w:hAnsi="仿宋" w:eastAsia="仿宋" w:cs="仿宋"/>
                <w:b/>
                <w:bCs/>
                <w:color w:val="auto"/>
                <w:kern w:val="0"/>
                <w:sz w:val="24"/>
                <w:szCs w:val="24"/>
                <w:highlight w:val="none"/>
                <w:lang w:val="en-US" w:eastAsia="zh-CN"/>
              </w:rPr>
              <w:t>近3个月内任意一个月的</w:t>
            </w:r>
            <w:r>
              <w:rPr>
                <w:rFonts w:hint="eastAsia" w:ascii="仿宋" w:hAnsi="仿宋" w:eastAsia="仿宋" w:cs="仿宋"/>
                <w:b/>
                <w:bCs/>
                <w:color w:val="auto"/>
                <w:kern w:val="0"/>
                <w:sz w:val="24"/>
                <w:szCs w:val="24"/>
                <w:highlight w:val="none"/>
              </w:rPr>
              <w:t>社保缴纳证明材料</w:t>
            </w:r>
            <w:r>
              <w:rPr>
                <w:rFonts w:hint="eastAsia" w:ascii="仿宋" w:hAnsi="仿宋" w:eastAsia="仿宋" w:cs="仿宋"/>
                <w:b/>
                <w:bCs/>
                <w:color w:val="auto"/>
                <w:kern w:val="0"/>
                <w:sz w:val="24"/>
                <w:szCs w:val="24"/>
                <w:highlight w:val="none"/>
                <w:lang w:eastAsia="zh-CN"/>
              </w:rPr>
              <w:t>，否则不得分。</w:t>
            </w:r>
          </w:p>
        </w:tc>
        <w:tc>
          <w:tcPr>
            <w:tcW w:w="871" w:type="dxa"/>
            <w:noWrap/>
            <w:vAlign w:val="center"/>
          </w:tcPr>
          <w:p w14:paraId="34062E61">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w:t>
            </w:r>
          </w:p>
        </w:tc>
      </w:tr>
      <w:tr w14:paraId="6200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29" w:type="dxa"/>
            <w:vMerge w:val="continue"/>
            <w:noWrap w:val="0"/>
            <w:vAlign w:val="center"/>
          </w:tcPr>
          <w:p w14:paraId="0C032578">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rPr>
            </w:pPr>
          </w:p>
        </w:tc>
        <w:tc>
          <w:tcPr>
            <w:tcW w:w="1187" w:type="dxa"/>
            <w:vMerge w:val="continue"/>
            <w:noWrap/>
            <w:vAlign w:val="center"/>
          </w:tcPr>
          <w:p w14:paraId="2A3CEA4E">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sz w:val="24"/>
                <w:szCs w:val="24"/>
                <w:highlight w:val="none"/>
                <w:lang w:val="en-US" w:eastAsia="zh-CN"/>
              </w:rPr>
            </w:pPr>
          </w:p>
        </w:tc>
        <w:tc>
          <w:tcPr>
            <w:tcW w:w="6453" w:type="dxa"/>
            <w:noWrap/>
            <w:vAlign w:val="center"/>
          </w:tcPr>
          <w:p w14:paraId="1B76E948">
            <w:pPr>
              <w:keepNext w:val="0"/>
              <w:keepLines w:val="0"/>
              <w:pageBreakBefore w:val="0"/>
              <w:widowControl w:val="0"/>
              <w:kinsoku/>
              <w:wordWrap/>
              <w:overflowPunct/>
              <w:topLinePunct w:val="0"/>
              <w:autoSpaceDE/>
              <w:autoSpaceDN/>
              <w:bidi w:val="0"/>
              <w:adjustRightInd/>
              <w:snapToGrid w:val="0"/>
              <w:spacing w:line="240" w:lineRule="auto"/>
              <w:ind w:right="-112" w:rightChars="-51"/>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其他技术人员（</w:t>
            </w:r>
            <w:r>
              <w:rPr>
                <w:rFonts w:hint="eastAsia" w:cs="仿宋"/>
                <w:b/>
                <w:color w:val="auto"/>
                <w:kern w:val="2"/>
                <w:sz w:val="24"/>
                <w:szCs w:val="24"/>
                <w:highlight w:val="none"/>
                <w:lang w:val="en-US" w:eastAsia="zh-CN" w:bidi="ar-SA"/>
              </w:rPr>
              <w:t>项目负责人</w:t>
            </w:r>
            <w:r>
              <w:rPr>
                <w:rFonts w:hint="eastAsia" w:ascii="仿宋" w:hAnsi="仿宋" w:eastAsia="仿宋" w:cs="仿宋"/>
                <w:b/>
                <w:color w:val="auto"/>
                <w:kern w:val="2"/>
                <w:sz w:val="24"/>
                <w:szCs w:val="24"/>
                <w:highlight w:val="none"/>
                <w:lang w:val="en-US" w:eastAsia="zh-CN" w:bidi="ar-SA"/>
              </w:rPr>
              <w:t>除外）：</w:t>
            </w:r>
          </w:p>
          <w:p w14:paraId="1B9BD9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112" w:rightChars="-51"/>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拟派项目团队成员具有</w:t>
            </w:r>
            <w:r>
              <w:rPr>
                <w:rFonts w:hint="eastAsia" w:cs="仿宋"/>
                <w:color w:val="auto"/>
                <w:sz w:val="24"/>
                <w:szCs w:val="24"/>
                <w:highlight w:val="none"/>
                <w:lang w:val="en-US" w:eastAsia="zh-CN"/>
              </w:rPr>
              <w:t>环境专业高级工程师及以上职称证书的</w:t>
            </w:r>
            <w:r>
              <w:rPr>
                <w:rFonts w:hint="eastAsia" w:ascii="仿宋" w:hAnsi="仿宋" w:eastAsia="仿宋" w:cs="仿宋"/>
                <w:color w:val="auto"/>
                <w:sz w:val="24"/>
                <w:szCs w:val="24"/>
                <w:highlight w:val="none"/>
                <w:lang w:val="zh-CN" w:eastAsia="zh-CN"/>
              </w:rPr>
              <w:t>，每人得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zh-CN" w:eastAsia="zh-CN"/>
              </w:rPr>
              <w:t>具有</w:t>
            </w:r>
            <w:r>
              <w:rPr>
                <w:rFonts w:hint="eastAsia" w:cs="仿宋"/>
                <w:color w:val="auto"/>
                <w:sz w:val="24"/>
                <w:szCs w:val="24"/>
                <w:highlight w:val="none"/>
                <w:lang w:val="en-US" w:eastAsia="zh-CN"/>
              </w:rPr>
              <w:t xml:space="preserve">环境专业工程师职称证书的 </w:t>
            </w:r>
            <w:r>
              <w:rPr>
                <w:rFonts w:hint="eastAsia" w:ascii="仿宋" w:hAnsi="仿宋" w:eastAsia="仿宋" w:cs="仿宋"/>
                <w:color w:val="auto"/>
                <w:sz w:val="24"/>
                <w:szCs w:val="24"/>
                <w:highlight w:val="none"/>
                <w:lang w:val="zh-CN" w:eastAsia="zh-CN"/>
              </w:rPr>
              <w:t>，每人得</w:t>
            </w:r>
            <w:r>
              <w:rPr>
                <w:rFonts w:hint="eastAsia" w:cs="仿宋"/>
                <w:color w:val="auto"/>
                <w:sz w:val="24"/>
                <w:szCs w:val="24"/>
                <w:highlight w:val="none"/>
                <w:lang w:val="en-US" w:eastAsia="zh-CN"/>
              </w:rPr>
              <w:t>0.5</w:t>
            </w:r>
            <w:r>
              <w:rPr>
                <w:rFonts w:hint="eastAsia" w:ascii="仿宋" w:hAnsi="仿宋" w:eastAsia="仿宋" w:cs="仿宋"/>
                <w:color w:val="auto"/>
                <w:sz w:val="24"/>
                <w:szCs w:val="24"/>
                <w:highlight w:val="none"/>
                <w:lang w:val="zh-CN" w:eastAsia="zh-CN"/>
              </w:rPr>
              <w:t>分</w:t>
            </w:r>
            <w:r>
              <w:rPr>
                <w:rFonts w:hint="eastAsia" w:cs="仿宋"/>
                <w:color w:val="auto"/>
                <w:sz w:val="24"/>
                <w:szCs w:val="24"/>
                <w:highlight w:val="none"/>
                <w:lang w:val="zh-CN" w:eastAsia="zh-CN"/>
              </w:rPr>
              <w:t>。本项</w:t>
            </w:r>
            <w:r>
              <w:rPr>
                <w:rFonts w:hint="eastAsia" w:ascii="仿宋" w:hAnsi="仿宋" w:eastAsia="仿宋" w:cs="仿宋"/>
                <w:color w:val="auto"/>
                <w:sz w:val="24"/>
                <w:szCs w:val="24"/>
                <w:highlight w:val="none"/>
                <w:lang w:val="zh-CN" w:eastAsia="zh-CN"/>
              </w:rPr>
              <w:t>最高得5分。</w:t>
            </w:r>
          </w:p>
          <w:p w14:paraId="02322E35">
            <w:pPr>
              <w:keepNext w:val="0"/>
              <w:keepLines w:val="0"/>
              <w:pageBreakBefore w:val="0"/>
              <w:widowControl w:val="0"/>
              <w:kinsoku/>
              <w:wordWrap/>
              <w:overflowPunct/>
              <w:topLinePunct w:val="0"/>
              <w:autoSpaceDE/>
              <w:autoSpaceDN/>
              <w:bidi w:val="0"/>
              <w:adjustRightInd/>
              <w:snapToGrid w:val="0"/>
              <w:spacing w:line="240" w:lineRule="auto"/>
              <w:ind w:right="-112" w:rightChars="-51"/>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注：以上</w:t>
            </w:r>
            <w:r>
              <w:rPr>
                <w:rFonts w:hint="eastAsia" w:ascii="仿宋" w:hAnsi="仿宋" w:eastAsia="仿宋" w:cs="仿宋"/>
                <w:b/>
                <w:bCs/>
                <w:color w:val="auto"/>
                <w:kern w:val="0"/>
                <w:sz w:val="24"/>
                <w:szCs w:val="24"/>
                <w:highlight w:val="none"/>
                <w:lang w:eastAsia="zh-CN"/>
              </w:rPr>
              <w:t>人员</w:t>
            </w:r>
            <w:r>
              <w:rPr>
                <w:rFonts w:hint="eastAsia" w:ascii="仿宋" w:hAnsi="仿宋" w:eastAsia="仿宋" w:cs="仿宋"/>
                <w:b/>
                <w:bCs/>
                <w:color w:val="auto"/>
                <w:kern w:val="0"/>
                <w:sz w:val="24"/>
                <w:szCs w:val="24"/>
                <w:highlight w:val="none"/>
                <w:lang w:val="en-US" w:eastAsia="zh-CN"/>
              </w:rPr>
              <w:t>须提供人员证书并提供其在投标人单位缴纳的近3个月内任意一个月的社保证明，</w:t>
            </w:r>
            <w:r>
              <w:rPr>
                <w:rFonts w:hint="eastAsia" w:ascii="仿宋" w:hAnsi="仿宋" w:eastAsia="仿宋" w:cs="仿宋"/>
                <w:b/>
                <w:bCs/>
                <w:color w:val="auto"/>
                <w:kern w:val="0"/>
                <w:sz w:val="24"/>
                <w:szCs w:val="24"/>
                <w:highlight w:val="none"/>
                <w:lang w:eastAsia="zh-CN"/>
              </w:rPr>
              <w:t>否则不得分。</w:t>
            </w:r>
          </w:p>
        </w:tc>
        <w:tc>
          <w:tcPr>
            <w:tcW w:w="871" w:type="dxa"/>
            <w:noWrap/>
            <w:vAlign w:val="center"/>
          </w:tcPr>
          <w:p w14:paraId="11A4AEDC">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39F7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29" w:type="dxa"/>
            <w:vMerge w:val="restart"/>
            <w:shd w:val="clear" w:color="auto" w:fill="auto"/>
            <w:noWrap w:val="0"/>
            <w:vAlign w:val="center"/>
          </w:tcPr>
          <w:p w14:paraId="43F6D115">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bidi="zh-CN"/>
              </w:rPr>
            </w:pPr>
            <w:r>
              <w:rPr>
                <w:rFonts w:hint="eastAsia" w:cs="仿宋"/>
                <w:b/>
                <w:color w:val="auto"/>
                <w:kern w:val="0"/>
                <w:sz w:val="24"/>
                <w:szCs w:val="24"/>
                <w:highlight w:val="none"/>
                <w:lang w:val="en-US" w:eastAsia="zh-CN"/>
              </w:rPr>
              <w:t>4</w:t>
            </w:r>
          </w:p>
        </w:tc>
        <w:tc>
          <w:tcPr>
            <w:tcW w:w="1187" w:type="dxa"/>
            <w:vMerge w:val="restart"/>
            <w:shd w:val="clear" w:color="auto" w:fill="auto"/>
            <w:noWrap/>
            <w:vAlign w:val="center"/>
          </w:tcPr>
          <w:p w14:paraId="493E04CD">
            <w:pPr>
              <w:tabs>
                <w:tab w:val="left" w:pos="5129"/>
              </w:tabs>
              <w:snapToGrid w:val="0"/>
              <w:spacing w:line="240" w:lineRule="auto"/>
              <w:jc w:val="center"/>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spacing w:val="-2"/>
                <w:sz w:val="24"/>
                <w:szCs w:val="24"/>
                <w:highlight w:val="none"/>
                <w:lang w:val="en-US"/>
              </w:rPr>
              <w:t>项目理解与分析</w:t>
            </w:r>
          </w:p>
        </w:tc>
        <w:tc>
          <w:tcPr>
            <w:tcW w:w="6453" w:type="dxa"/>
            <w:shd w:val="clear" w:color="auto" w:fill="auto"/>
            <w:noWrap/>
            <w:vAlign w:val="center"/>
          </w:tcPr>
          <w:p w14:paraId="1B5C5089">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根据投标人对项目所涉及的</w:t>
            </w:r>
            <w:r>
              <w:rPr>
                <w:rFonts w:hint="eastAsia" w:ascii="仿宋" w:hAnsi="仿宋" w:eastAsia="仿宋" w:cs="仿宋"/>
                <w:color w:val="auto"/>
                <w:sz w:val="24"/>
                <w:szCs w:val="24"/>
                <w:highlight w:val="none"/>
              </w:rPr>
              <w:t>相关行业政策、技术规范标准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理解程度和分析能力</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szCs w:val="24"/>
                <w:highlight w:val="none"/>
                <w:lang w:val="en-US" w:eastAsia="zh-CN"/>
              </w:rPr>
              <w:t>由评委进行综合评审。</w:t>
            </w:r>
          </w:p>
          <w:p w14:paraId="702A368B">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（评分范围：3、2、1、0分）</w:t>
            </w:r>
          </w:p>
        </w:tc>
        <w:tc>
          <w:tcPr>
            <w:tcW w:w="871" w:type="dxa"/>
            <w:shd w:val="clear" w:color="auto" w:fill="auto"/>
            <w:noWrap/>
            <w:vAlign w:val="center"/>
          </w:tcPr>
          <w:p w14:paraId="25BA4B83">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tc>
      </w:tr>
      <w:tr w14:paraId="0BF9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29" w:type="dxa"/>
            <w:vMerge w:val="continue"/>
            <w:shd w:val="clear" w:color="auto" w:fill="auto"/>
            <w:noWrap w:val="0"/>
            <w:vAlign w:val="center"/>
          </w:tcPr>
          <w:p w14:paraId="305D3570">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rPr>
            </w:pPr>
          </w:p>
        </w:tc>
        <w:tc>
          <w:tcPr>
            <w:tcW w:w="1187" w:type="dxa"/>
            <w:vMerge w:val="continue"/>
            <w:shd w:val="clear" w:color="auto" w:fill="auto"/>
            <w:noWrap/>
            <w:vAlign w:val="center"/>
          </w:tcPr>
          <w:p w14:paraId="25AE940E">
            <w:pPr>
              <w:tabs>
                <w:tab w:val="left" w:pos="5129"/>
              </w:tabs>
              <w:snapToGrid w:val="0"/>
              <w:spacing w:line="240" w:lineRule="auto"/>
              <w:jc w:val="center"/>
              <w:rPr>
                <w:rFonts w:hint="eastAsia" w:ascii="仿宋" w:hAnsi="仿宋" w:eastAsia="仿宋" w:cs="仿宋"/>
                <w:b/>
                <w:bCs/>
                <w:color w:val="auto"/>
                <w:spacing w:val="-2"/>
                <w:sz w:val="24"/>
                <w:szCs w:val="24"/>
                <w:highlight w:val="none"/>
                <w:lang w:val="en-US"/>
              </w:rPr>
            </w:pPr>
          </w:p>
        </w:tc>
        <w:tc>
          <w:tcPr>
            <w:tcW w:w="6453" w:type="dxa"/>
            <w:shd w:val="clear" w:color="auto" w:fill="auto"/>
            <w:noWrap/>
            <w:vAlign w:val="center"/>
          </w:tcPr>
          <w:p w14:paraId="617CB300">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根据投标人对项目所涉及的</w:t>
            </w:r>
            <w:r>
              <w:rPr>
                <w:rFonts w:hint="eastAsia" w:ascii="仿宋" w:hAnsi="仿宋" w:eastAsia="仿宋" w:cs="仿宋"/>
                <w:color w:val="auto"/>
                <w:sz w:val="24"/>
                <w:szCs w:val="24"/>
                <w:highlight w:val="none"/>
              </w:rPr>
              <w:t>相关行业</w:t>
            </w:r>
            <w:r>
              <w:rPr>
                <w:rFonts w:hint="eastAsia" w:cs="仿宋"/>
                <w:color w:val="auto"/>
                <w:sz w:val="24"/>
                <w:szCs w:val="24"/>
                <w:highlight w:val="none"/>
                <w:lang w:eastAsia="zh-CN"/>
              </w:rPr>
              <w:t>、服务对象现状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理解程度和分析能力</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szCs w:val="24"/>
                <w:highlight w:val="none"/>
                <w:lang w:val="en-US" w:eastAsia="zh-CN"/>
              </w:rPr>
              <w:t>由评委进行综合评审。</w:t>
            </w:r>
          </w:p>
          <w:p w14:paraId="1AE32386">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（评分范围：3、2、1、0分）</w:t>
            </w:r>
          </w:p>
        </w:tc>
        <w:tc>
          <w:tcPr>
            <w:tcW w:w="871" w:type="dxa"/>
            <w:shd w:val="clear" w:color="auto" w:fill="auto"/>
            <w:noWrap/>
            <w:vAlign w:val="center"/>
          </w:tcPr>
          <w:p w14:paraId="57733AD5">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tc>
      </w:tr>
      <w:tr w14:paraId="051E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9" w:type="dxa"/>
            <w:vMerge w:val="restart"/>
            <w:noWrap w:val="0"/>
            <w:vAlign w:val="center"/>
          </w:tcPr>
          <w:p w14:paraId="72880E7E">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5</w:t>
            </w:r>
          </w:p>
        </w:tc>
        <w:tc>
          <w:tcPr>
            <w:tcW w:w="1187" w:type="dxa"/>
            <w:vMerge w:val="restart"/>
            <w:noWrap/>
            <w:vAlign w:val="center"/>
          </w:tcPr>
          <w:p w14:paraId="6EC5E383">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重点难点分析及解决措施</w:t>
            </w:r>
          </w:p>
        </w:tc>
        <w:tc>
          <w:tcPr>
            <w:tcW w:w="6453" w:type="dxa"/>
            <w:noWrap/>
            <w:vAlign w:val="center"/>
          </w:tcPr>
          <w:p w14:paraId="0617E74E">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根据投标人对本项目重点难点问题分析以及</w:t>
            </w:r>
            <w:r>
              <w:rPr>
                <w:rFonts w:hint="eastAsia"/>
                <w:color w:val="auto"/>
                <w:spacing w:val="0"/>
                <w:sz w:val="24"/>
                <w:szCs w:val="24"/>
                <w:lang w:val="en-US"/>
              </w:rPr>
              <w:t>分项阶段</w:t>
            </w:r>
            <w:r>
              <w:rPr>
                <w:rFonts w:hint="eastAsia" w:ascii="仿宋" w:hAnsi="仿宋" w:eastAsia="仿宋" w:cs="仿宋"/>
                <w:color w:val="auto"/>
                <w:sz w:val="24"/>
                <w:szCs w:val="24"/>
                <w:highlight w:val="none"/>
                <w:lang w:val="en-US" w:eastAsia="zh-CN"/>
              </w:rPr>
              <w:t>工作应注意事项情况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szCs w:val="24"/>
                <w:highlight w:val="none"/>
                <w:lang w:val="en-US" w:eastAsia="zh-CN"/>
              </w:rPr>
              <w:t>由评委进行综合评审。</w:t>
            </w:r>
          </w:p>
          <w:p w14:paraId="060364EB">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szCs w:val="24"/>
                <w:highlight w:val="none"/>
              </w:rPr>
            </w:pPr>
            <w:r>
              <w:rPr>
                <w:rFonts w:hint="eastAsia" w:cs="仿宋"/>
                <w:color w:val="auto"/>
                <w:sz w:val="24"/>
                <w:szCs w:val="24"/>
                <w:highlight w:val="none"/>
                <w:lang w:val="en-US" w:eastAsia="zh-CN"/>
              </w:rPr>
              <w:t>（评分范围：3、2、1、0分）</w:t>
            </w:r>
          </w:p>
        </w:tc>
        <w:tc>
          <w:tcPr>
            <w:tcW w:w="871" w:type="dxa"/>
            <w:noWrap/>
            <w:vAlign w:val="center"/>
          </w:tcPr>
          <w:p w14:paraId="1069EDA0">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3分</w:t>
            </w:r>
          </w:p>
        </w:tc>
      </w:tr>
      <w:tr w14:paraId="3031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9" w:type="dxa"/>
            <w:vMerge w:val="continue"/>
            <w:shd w:val="clear" w:color="auto" w:fill="auto"/>
            <w:noWrap w:val="0"/>
            <w:vAlign w:val="center"/>
          </w:tcPr>
          <w:p w14:paraId="18E036A6">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bidi="zh-CN"/>
              </w:rPr>
            </w:pPr>
          </w:p>
        </w:tc>
        <w:tc>
          <w:tcPr>
            <w:tcW w:w="1187" w:type="dxa"/>
            <w:vMerge w:val="continue"/>
            <w:noWrap/>
            <w:vAlign w:val="center"/>
          </w:tcPr>
          <w:p w14:paraId="2B46A60E">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rPr>
            </w:pPr>
          </w:p>
        </w:tc>
        <w:tc>
          <w:tcPr>
            <w:tcW w:w="6453" w:type="dxa"/>
            <w:noWrap/>
            <w:vAlign w:val="center"/>
          </w:tcPr>
          <w:p w14:paraId="1CC9874F">
            <w:pPr>
              <w:keepNext w:val="0"/>
              <w:keepLines w:val="0"/>
              <w:pageBreakBefore w:val="0"/>
              <w:widowControl/>
              <w:kinsoku/>
              <w:wordWrap/>
              <w:overflowPunct/>
              <w:topLinePunct w:val="0"/>
              <w:autoSpaceDE/>
              <w:autoSpaceDN/>
              <w:bidi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根据投标人对本项目重点难点问题及</w:t>
            </w:r>
            <w:r>
              <w:rPr>
                <w:rFonts w:hint="eastAsia"/>
                <w:color w:val="auto"/>
                <w:spacing w:val="0"/>
                <w:sz w:val="24"/>
                <w:szCs w:val="24"/>
                <w:lang w:val="en-US"/>
              </w:rPr>
              <w:t>分项阶段</w:t>
            </w:r>
            <w:r>
              <w:rPr>
                <w:rFonts w:hint="eastAsia" w:ascii="仿宋" w:hAnsi="仿宋" w:eastAsia="仿宋" w:cs="仿宋"/>
                <w:color w:val="auto"/>
                <w:sz w:val="24"/>
                <w:szCs w:val="24"/>
                <w:highlight w:val="none"/>
                <w:lang w:val="en-US" w:eastAsia="zh-CN"/>
              </w:rPr>
              <w:t>工作注意事项的应对解决措施由评委进行综合评审。</w:t>
            </w:r>
          </w:p>
          <w:p w14:paraId="6AAA0F82">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bCs/>
                <w:color w:val="auto"/>
                <w:sz w:val="24"/>
                <w:szCs w:val="24"/>
                <w:highlight w:val="none"/>
                <w:lang w:val="en-US" w:eastAsia="zh-CN"/>
              </w:rPr>
            </w:pPr>
            <w:r>
              <w:rPr>
                <w:rFonts w:hint="eastAsia" w:cs="仿宋"/>
                <w:color w:val="auto"/>
                <w:sz w:val="24"/>
                <w:szCs w:val="24"/>
                <w:highlight w:val="none"/>
                <w:lang w:val="en-US" w:eastAsia="zh-CN"/>
              </w:rPr>
              <w:t>（评分范围：3、2、1、0分）</w:t>
            </w:r>
          </w:p>
        </w:tc>
        <w:tc>
          <w:tcPr>
            <w:tcW w:w="871" w:type="dxa"/>
            <w:noWrap/>
            <w:vAlign w:val="center"/>
          </w:tcPr>
          <w:p w14:paraId="2C1B9E79">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3分</w:t>
            </w:r>
          </w:p>
        </w:tc>
      </w:tr>
      <w:tr w14:paraId="53F1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29" w:type="dxa"/>
            <w:noWrap w:val="0"/>
            <w:vAlign w:val="center"/>
          </w:tcPr>
          <w:p w14:paraId="4C2CEF1F">
            <w:pPr>
              <w:keepNext w:val="0"/>
              <w:keepLines w:val="0"/>
              <w:pageBreakBefore w:val="0"/>
              <w:kinsoku/>
              <w:wordWrap/>
              <w:overflowPunct/>
              <w:topLinePunct w:val="0"/>
              <w:bidi w:val="0"/>
              <w:adjustRightInd/>
              <w:spacing w:line="240" w:lineRule="auto"/>
              <w:jc w:val="center"/>
              <w:rPr>
                <w:rFonts w:hint="default"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6</w:t>
            </w:r>
          </w:p>
        </w:tc>
        <w:tc>
          <w:tcPr>
            <w:tcW w:w="1187" w:type="dxa"/>
            <w:noWrap/>
            <w:vAlign w:val="center"/>
          </w:tcPr>
          <w:p w14:paraId="13F89797">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rPr>
            </w:pPr>
            <w:r>
              <w:rPr>
                <w:rFonts w:hint="eastAsia"/>
                <w:b/>
                <w:color w:val="auto"/>
                <w:spacing w:val="0"/>
                <w:sz w:val="24"/>
                <w:szCs w:val="24"/>
                <w:lang w:val="en-US"/>
              </w:rPr>
              <w:t>工作思路、技术方案</w:t>
            </w:r>
          </w:p>
        </w:tc>
        <w:tc>
          <w:tcPr>
            <w:tcW w:w="6453" w:type="dxa"/>
            <w:noWrap/>
            <w:vAlign w:val="center"/>
          </w:tcPr>
          <w:p w14:paraId="2D8375D3">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cs="仿宋"/>
                <w:i w:val="0"/>
                <w:iCs w:val="0"/>
                <w:caps w:val="0"/>
                <w:color w:val="auto"/>
                <w:spacing w:val="0"/>
                <w:sz w:val="24"/>
                <w:szCs w:val="24"/>
                <w:lang w:val="en-US" w:eastAsia="zh-CN"/>
              </w:rPr>
              <w:t>根据</w:t>
            </w:r>
            <w:r>
              <w:rPr>
                <w:rFonts w:hint="eastAsia" w:ascii="仿宋" w:hAnsi="仿宋" w:eastAsia="仿宋" w:cs="仿宋"/>
                <w:color w:val="auto"/>
                <w:sz w:val="24"/>
                <w:szCs w:val="24"/>
                <w:highlight w:val="none"/>
                <w:lang w:val="en-US" w:eastAsia="zh-CN"/>
              </w:rPr>
              <w:t>投标</w:t>
            </w:r>
            <w:r>
              <w:rPr>
                <w:rFonts w:hint="eastAsia" w:cs="仿宋"/>
                <w:color w:val="auto"/>
                <w:sz w:val="24"/>
                <w:szCs w:val="24"/>
                <w:highlight w:val="none"/>
                <w:lang w:val="en-US" w:eastAsia="zh-CN"/>
              </w:rPr>
              <w:t>人</w:t>
            </w:r>
            <w:r>
              <w:rPr>
                <w:rFonts w:hint="eastAsia" w:ascii="仿宋" w:hAnsi="仿宋" w:eastAsia="仿宋" w:cs="仿宋"/>
                <w:color w:val="auto"/>
                <w:sz w:val="24"/>
                <w:szCs w:val="24"/>
                <w:highlight w:val="none"/>
                <w:lang w:val="en-US" w:eastAsia="zh-CN"/>
              </w:rPr>
              <w:t>提供的</w:t>
            </w:r>
            <w:r>
              <w:rPr>
                <w:rFonts w:hint="eastAsia" w:cs="仿宋"/>
                <w:color w:val="auto"/>
                <w:sz w:val="24"/>
                <w:szCs w:val="24"/>
                <w:lang w:val="en-US" w:eastAsia="zh-CN"/>
              </w:rPr>
              <w:t>遂昌县化工园区地下水污染专项整治全过程咨询服务的</w:t>
            </w:r>
            <w:r>
              <w:rPr>
                <w:rFonts w:hint="eastAsia"/>
                <w:color w:val="auto"/>
                <w:spacing w:val="0"/>
                <w:sz w:val="24"/>
                <w:szCs w:val="24"/>
                <w:lang w:val="en-US"/>
              </w:rPr>
              <w:t>工作思路、技术方案</w:t>
            </w:r>
            <w:r>
              <w:rPr>
                <w:rFonts w:hint="eastAsia"/>
                <w:color w:val="auto"/>
                <w:spacing w:val="0"/>
                <w:sz w:val="24"/>
                <w:szCs w:val="24"/>
                <w:lang w:val="en-US" w:eastAsia="zh-CN"/>
              </w:rPr>
              <w:t>是否针对遂昌县化工园区现状及</w:t>
            </w:r>
            <w:r>
              <w:rPr>
                <w:rFonts w:hint="eastAsia" w:cs="仿宋"/>
                <w:i w:val="0"/>
                <w:iCs w:val="0"/>
                <w:caps w:val="0"/>
                <w:color w:val="auto"/>
                <w:spacing w:val="0"/>
                <w:sz w:val="24"/>
                <w:szCs w:val="24"/>
                <w:lang w:val="en-US" w:eastAsia="zh-CN"/>
              </w:rPr>
              <w:t>方案的</w:t>
            </w:r>
            <w:r>
              <w:rPr>
                <w:rFonts w:hint="eastAsia" w:ascii="仿宋" w:hAnsi="仿宋" w:eastAsia="仿宋" w:cs="仿宋"/>
                <w:color w:val="auto"/>
                <w:sz w:val="24"/>
                <w:szCs w:val="24"/>
                <w:highlight w:val="none"/>
                <w:lang w:val="zh-CN" w:eastAsia="zh-CN"/>
              </w:rPr>
              <w:t>合理性、科学性、可行性</w:t>
            </w:r>
            <w:r>
              <w:rPr>
                <w:rFonts w:hint="eastAsia" w:cs="仿宋"/>
                <w:color w:val="auto"/>
                <w:sz w:val="24"/>
                <w:szCs w:val="24"/>
                <w:highlight w:val="none"/>
                <w:lang w:val="zh-CN" w:eastAsia="zh-CN"/>
              </w:rPr>
              <w:t>等情况，</w:t>
            </w:r>
            <w:r>
              <w:rPr>
                <w:rFonts w:hint="eastAsia" w:ascii="仿宋" w:hAnsi="仿宋" w:eastAsia="仿宋" w:cs="仿宋"/>
                <w:color w:val="auto"/>
                <w:sz w:val="24"/>
                <w:szCs w:val="24"/>
                <w:highlight w:val="none"/>
                <w:lang w:val="en-US" w:eastAsia="zh-CN"/>
              </w:rPr>
              <w:t>由评委进行综合评审。</w:t>
            </w:r>
          </w:p>
          <w:p w14:paraId="3AAC9766">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63E01877">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5分</w:t>
            </w:r>
          </w:p>
        </w:tc>
      </w:tr>
      <w:tr w14:paraId="185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29" w:type="dxa"/>
            <w:noWrap w:val="0"/>
            <w:vAlign w:val="center"/>
          </w:tcPr>
          <w:p w14:paraId="05D0200E">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rPr>
              <w:t>7</w:t>
            </w:r>
          </w:p>
        </w:tc>
        <w:tc>
          <w:tcPr>
            <w:tcW w:w="1187" w:type="dxa"/>
            <w:noWrap/>
            <w:vAlign w:val="center"/>
          </w:tcPr>
          <w:p w14:paraId="483C34B2">
            <w:pPr>
              <w:keepNext w:val="0"/>
              <w:keepLines w:val="0"/>
              <w:pageBreakBefore w:val="0"/>
              <w:kinsoku/>
              <w:wordWrap/>
              <w:overflowPunct/>
              <w:topLinePunct w:val="0"/>
              <w:bidi w:val="0"/>
              <w:adjustRightInd/>
              <w:spacing w:line="240" w:lineRule="auto"/>
              <w:jc w:val="center"/>
              <w:rPr>
                <w:rFonts w:hint="default" w:eastAsia="仿宋"/>
                <w:b/>
                <w:color w:val="auto"/>
                <w:spacing w:val="0"/>
                <w:sz w:val="24"/>
                <w:szCs w:val="24"/>
                <w:lang w:val="en-US" w:eastAsia="zh-CN"/>
              </w:rPr>
            </w:pPr>
            <w:r>
              <w:rPr>
                <w:rFonts w:hint="eastAsia"/>
                <w:b/>
                <w:color w:val="auto"/>
                <w:spacing w:val="0"/>
                <w:sz w:val="24"/>
                <w:szCs w:val="24"/>
                <w:lang w:val="en-US" w:eastAsia="zh-CN"/>
              </w:rPr>
              <w:t>制定整治方案</w:t>
            </w:r>
          </w:p>
        </w:tc>
        <w:tc>
          <w:tcPr>
            <w:tcW w:w="6453" w:type="dxa"/>
            <w:shd w:val="clear" w:color="auto" w:fill="auto"/>
            <w:noWrap/>
            <w:vAlign w:val="center"/>
          </w:tcPr>
          <w:p w14:paraId="5289E7FE">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cs="仿宋"/>
                <w:i w:val="0"/>
                <w:iCs w:val="0"/>
                <w:caps w:val="0"/>
                <w:color w:val="auto"/>
                <w:spacing w:val="0"/>
                <w:sz w:val="24"/>
                <w:szCs w:val="24"/>
                <w:lang w:val="en-US" w:eastAsia="zh-CN"/>
              </w:rPr>
              <w:t>根</w:t>
            </w:r>
            <w:r>
              <w:rPr>
                <w:rFonts w:hint="eastAsia" w:ascii="仿宋" w:hAnsi="仿宋" w:eastAsia="仿宋" w:cs="仿宋"/>
                <w:color w:val="auto"/>
                <w:kern w:val="0"/>
                <w:sz w:val="24"/>
                <w:highlight w:val="none"/>
                <w:lang w:val="en-US" w:eastAsia="zh-CN"/>
              </w:rPr>
              <w:t>据投标人制定整治方案，包括但不限于对遂昌县化工园区开展污染源排查、人员访谈，建立问题清单，</w:t>
            </w:r>
            <w:r>
              <w:rPr>
                <w:rFonts w:hint="eastAsia" w:ascii="仿宋" w:hAnsi="仿宋" w:eastAsia="仿宋" w:cs="仿宋"/>
                <w:color w:val="auto"/>
                <w:kern w:val="0"/>
                <w:sz w:val="24"/>
                <w:highlight w:val="none"/>
              </w:rPr>
              <w:t>明确断源任务、责任主体和时限要求</w:t>
            </w:r>
            <w:r>
              <w:rPr>
                <w:rFonts w:hint="eastAsia" w:ascii="仿宋" w:hAnsi="仿宋" w:eastAsia="仿宋" w:cs="仿宋"/>
                <w:color w:val="auto"/>
                <w:kern w:val="0"/>
                <w:sz w:val="24"/>
                <w:highlight w:val="none"/>
                <w:lang w:val="en-US" w:eastAsia="zh-CN"/>
              </w:rPr>
              <w:t>的工作内容、工作方式、时间计划是否</w:t>
            </w:r>
            <w:r>
              <w:rPr>
                <w:rFonts w:hint="eastAsia" w:ascii="仿宋" w:hAnsi="仿宋" w:eastAsia="仿宋" w:cs="仿宋"/>
                <w:color w:val="auto"/>
                <w:kern w:val="0"/>
                <w:sz w:val="24"/>
                <w:highlight w:val="none"/>
              </w:rPr>
              <w:t>科学、合理、具有实际操作意义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25E8FA45">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（评分范围：5、4、3、2、1、0分）</w:t>
            </w:r>
          </w:p>
        </w:tc>
        <w:tc>
          <w:tcPr>
            <w:tcW w:w="871" w:type="dxa"/>
            <w:noWrap/>
            <w:vAlign w:val="center"/>
          </w:tcPr>
          <w:p w14:paraId="60252604">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5分</w:t>
            </w:r>
          </w:p>
        </w:tc>
      </w:tr>
      <w:tr w14:paraId="4F9A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729" w:type="dxa"/>
            <w:vMerge w:val="restart"/>
            <w:noWrap w:val="0"/>
            <w:vAlign w:val="center"/>
          </w:tcPr>
          <w:p w14:paraId="6417FE85">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rPr>
              <w:t>8</w:t>
            </w:r>
          </w:p>
        </w:tc>
        <w:tc>
          <w:tcPr>
            <w:tcW w:w="1187" w:type="dxa"/>
            <w:vMerge w:val="restart"/>
            <w:noWrap/>
            <w:vAlign w:val="center"/>
          </w:tcPr>
          <w:p w14:paraId="325F38ED">
            <w:pPr>
              <w:keepNext w:val="0"/>
              <w:keepLines w:val="0"/>
              <w:pageBreakBefore w:val="0"/>
              <w:kinsoku/>
              <w:wordWrap/>
              <w:overflowPunct/>
              <w:topLinePunct w:val="0"/>
              <w:bidi w:val="0"/>
              <w:adjustRightInd/>
              <w:spacing w:line="240" w:lineRule="auto"/>
              <w:jc w:val="center"/>
              <w:rPr>
                <w:rFonts w:hint="eastAsia"/>
                <w:b/>
                <w:color w:val="auto"/>
                <w:spacing w:val="0"/>
                <w:sz w:val="24"/>
                <w:szCs w:val="24"/>
                <w:lang w:val="en-US" w:eastAsia="zh-CN"/>
              </w:rPr>
            </w:pPr>
            <w:r>
              <w:rPr>
                <w:rFonts w:hint="eastAsia"/>
                <w:b/>
                <w:color w:val="auto"/>
                <w:spacing w:val="0"/>
                <w:sz w:val="24"/>
                <w:szCs w:val="24"/>
                <w:lang w:val="en-US" w:eastAsia="zh-CN"/>
              </w:rPr>
              <w:t>地下水监管方案及年度监测评估报告</w:t>
            </w:r>
          </w:p>
        </w:tc>
        <w:tc>
          <w:tcPr>
            <w:tcW w:w="6453" w:type="dxa"/>
            <w:shd w:val="clear" w:color="auto" w:fill="auto"/>
            <w:noWrap/>
            <w:vAlign w:val="center"/>
          </w:tcPr>
          <w:p w14:paraId="668D3025">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cs="仿宋"/>
                <w:i w:val="0"/>
                <w:iCs w:val="0"/>
                <w:caps w:val="0"/>
                <w:color w:val="auto"/>
                <w:spacing w:val="0"/>
                <w:sz w:val="24"/>
                <w:szCs w:val="24"/>
                <w:lang w:val="en-US" w:eastAsia="zh-CN"/>
              </w:rPr>
              <w:t>根</w:t>
            </w:r>
            <w:r>
              <w:rPr>
                <w:rFonts w:hint="eastAsia" w:ascii="仿宋" w:hAnsi="仿宋" w:eastAsia="仿宋" w:cs="仿宋"/>
                <w:color w:val="auto"/>
                <w:kern w:val="0"/>
                <w:sz w:val="24"/>
                <w:highlight w:val="none"/>
                <w:lang w:val="en-US" w:eastAsia="zh-CN"/>
              </w:rPr>
              <w:t>据投标人</w:t>
            </w:r>
            <w:r>
              <w:rPr>
                <w:rFonts w:hint="eastAsia" w:cs="仿宋"/>
                <w:color w:val="auto"/>
                <w:sz w:val="24"/>
                <w:szCs w:val="24"/>
                <w:highlight w:val="none"/>
                <w:lang w:val="en-US" w:eastAsia="zh-CN"/>
              </w:rPr>
              <w:t>编</w:t>
            </w:r>
            <w:r>
              <w:rPr>
                <w:rFonts w:hint="eastAsia" w:cs="仿宋"/>
                <w:b w:val="0"/>
                <w:bCs w:val="0"/>
                <w:color w:val="auto"/>
                <w:sz w:val="24"/>
                <w:szCs w:val="24"/>
                <w:highlight w:val="none"/>
                <w:lang w:val="en-US" w:eastAsia="zh-CN"/>
              </w:rPr>
              <w:t>制遂昌县化工园区地下水监管方案，</w:t>
            </w:r>
            <w:r>
              <w:rPr>
                <w:rFonts w:hint="eastAsia" w:ascii="仿宋" w:hAnsi="仿宋" w:eastAsia="仿宋" w:cs="仿宋"/>
                <w:b w:val="0"/>
                <w:bCs w:val="0"/>
                <w:color w:val="auto"/>
                <w:kern w:val="0"/>
                <w:sz w:val="24"/>
                <w:highlight w:val="none"/>
                <w:lang w:val="en-US" w:eastAsia="zh-CN"/>
              </w:rPr>
              <w:t>包括但不限于完善遂昌县化工园区地下水环境监测体系和地下水污染防治长效监管机制的工作内容、工作方式、</w:t>
            </w:r>
            <w:r>
              <w:rPr>
                <w:rFonts w:hint="eastAsia" w:cs="仿宋"/>
                <w:b w:val="0"/>
                <w:bCs w:val="0"/>
                <w:color w:val="auto"/>
                <w:kern w:val="0"/>
                <w:sz w:val="24"/>
                <w:highlight w:val="none"/>
                <w:lang w:val="en-US" w:eastAsia="zh-CN"/>
              </w:rPr>
              <w:t>系统管理、</w:t>
            </w:r>
            <w:r>
              <w:rPr>
                <w:rFonts w:hint="eastAsia" w:ascii="仿宋" w:hAnsi="仿宋" w:eastAsia="仿宋" w:cs="仿宋"/>
                <w:b w:val="0"/>
                <w:bCs w:val="0"/>
                <w:color w:val="auto"/>
                <w:kern w:val="0"/>
                <w:sz w:val="24"/>
                <w:highlight w:val="none"/>
                <w:lang w:val="en-US" w:eastAsia="zh-CN"/>
              </w:rPr>
              <w:t>时间计划</w:t>
            </w:r>
            <w:r>
              <w:rPr>
                <w:rFonts w:hint="eastAsia"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en-US" w:eastAsia="zh-CN"/>
              </w:rPr>
              <w:t>是否</w:t>
            </w:r>
            <w:r>
              <w:rPr>
                <w:rFonts w:hint="eastAsia" w:ascii="仿宋" w:hAnsi="仿宋" w:eastAsia="仿宋" w:cs="仿宋"/>
                <w:b w:val="0"/>
                <w:bCs w:val="0"/>
                <w:color w:val="auto"/>
                <w:kern w:val="0"/>
                <w:sz w:val="24"/>
                <w:highlight w:val="none"/>
              </w:rPr>
              <w:t>科学、合理、具有实际</w:t>
            </w:r>
            <w:r>
              <w:rPr>
                <w:rFonts w:hint="eastAsia" w:ascii="仿宋" w:hAnsi="仿宋" w:eastAsia="仿宋" w:cs="仿宋"/>
                <w:color w:val="auto"/>
                <w:kern w:val="0"/>
                <w:sz w:val="24"/>
                <w:highlight w:val="none"/>
              </w:rPr>
              <w:t>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131221BA">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cs="仿宋"/>
                <w:color w:val="auto"/>
                <w:sz w:val="24"/>
                <w:szCs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64AFA718">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5分</w:t>
            </w:r>
          </w:p>
        </w:tc>
      </w:tr>
      <w:tr w14:paraId="387B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29" w:type="dxa"/>
            <w:vMerge w:val="continue"/>
            <w:noWrap w:val="0"/>
            <w:vAlign w:val="center"/>
          </w:tcPr>
          <w:p w14:paraId="5167C985">
            <w:pPr>
              <w:keepNext w:val="0"/>
              <w:keepLines w:val="0"/>
              <w:pageBreakBefore w:val="0"/>
              <w:kinsoku/>
              <w:wordWrap/>
              <w:overflowPunct/>
              <w:topLinePunct w:val="0"/>
              <w:bidi w:val="0"/>
              <w:adjustRightInd/>
              <w:spacing w:line="240" w:lineRule="auto"/>
              <w:jc w:val="center"/>
              <w:rPr>
                <w:rFonts w:hint="eastAsia" w:cs="仿宋"/>
                <w:b/>
                <w:color w:val="auto"/>
                <w:kern w:val="0"/>
                <w:sz w:val="24"/>
                <w:szCs w:val="24"/>
                <w:highlight w:val="none"/>
                <w:lang w:val="en-US" w:eastAsia="zh-CN"/>
              </w:rPr>
            </w:pPr>
          </w:p>
        </w:tc>
        <w:tc>
          <w:tcPr>
            <w:tcW w:w="1187" w:type="dxa"/>
            <w:vMerge w:val="continue"/>
            <w:noWrap/>
            <w:vAlign w:val="center"/>
          </w:tcPr>
          <w:p w14:paraId="29DF4A2B">
            <w:pPr>
              <w:keepNext w:val="0"/>
              <w:keepLines w:val="0"/>
              <w:pageBreakBefore w:val="0"/>
              <w:kinsoku/>
              <w:wordWrap/>
              <w:overflowPunct/>
              <w:topLinePunct w:val="0"/>
              <w:bidi w:val="0"/>
              <w:adjustRightInd/>
              <w:spacing w:line="240" w:lineRule="auto"/>
              <w:jc w:val="center"/>
              <w:rPr>
                <w:rFonts w:hint="eastAsia"/>
                <w:b/>
                <w:color w:val="auto"/>
                <w:spacing w:val="0"/>
                <w:sz w:val="24"/>
                <w:szCs w:val="24"/>
                <w:lang w:val="en-US" w:eastAsia="zh-CN"/>
              </w:rPr>
            </w:pPr>
          </w:p>
        </w:tc>
        <w:tc>
          <w:tcPr>
            <w:tcW w:w="6453" w:type="dxa"/>
            <w:shd w:val="clear" w:color="auto" w:fill="auto"/>
            <w:noWrap/>
            <w:vAlign w:val="center"/>
          </w:tcPr>
          <w:p w14:paraId="6D4E76F5">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w:t>
            </w:r>
            <w:r>
              <w:rPr>
                <w:rFonts w:hint="eastAsia" w:cs="仿宋"/>
                <w:color w:val="auto"/>
                <w:sz w:val="24"/>
                <w:szCs w:val="24"/>
                <w:highlight w:val="none"/>
                <w:lang w:val="en-US" w:eastAsia="zh-CN"/>
              </w:rPr>
              <w:t>按照监管方案开展采样监测工作，形成年度监测评估报告，根据投标人拟定</w:t>
            </w:r>
            <w:r>
              <w:rPr>
                <w:rFonts w:hint="eastAsia" w:ascii="仿宋" w:hAnsi="仿宋" w:eastAsia="仿宋" w:cs="仿宋"/>
                <w:color w:val="auto"/>
                <w:kern w:val="0"/>
                <w:sz w:val="24"/>
                <w:highlight w:val="none"/>
                <w:lang w:val="en-US" w:eastAsia="zh-CN"/>
              </w:rPr>
              <w:t>遂昌县化工园区</w:t>
            </w:r>
            <w:r>
              <w:rPr>
                <w:rFonts w:hint="eastAsia" w:cs="仿宋"/>
                <w:color w:val="auto"/>
                <w:kern w:val="0"/>
                <w:sz w:val="24"/>
                <w:highlight w:val="none"/>
                <w:lang w:val="en-US" w:eastAsia="zh-CN"/>
              </w:rPr>
              <w:t>监测布点、监测指标、</w:t>
            </w:r>
            <w:r>
              <w:rPr>
                <w:rFonts w:hint="eastAsia" w:cs="仿宋"/>
                <w:color w:val="auto"/>
                <w:sz w:val="24"/>
                <w:szCs w:val="24"/>
                <w:highlight w:val="none"/>
                <w:lang w:val="en-US" w:eastAsia="zh-CN"/>
              </w:rPr>
              <w:t>监测频次实施方案</w:t>
            </w:r>
            <w:r>
              <w:rPr>
                <w:rFonts w:hint="eastAsia" w:ascii="仿宋" w:hAnsi="仿宋" w:eastAsia="仿宋" w:cs="仿宋"/>
                <w:color w:val="auto"/>
                <w:kern w:val="0"/>
                <w:sz w:val="24"/>
                <w:highlight w:val="none"/>
                <w:lang w:val="en-US" w:eastAsia="zh-CN"/>
              </w:rPr>
              <w:t>的工作内容、工作方式、</w:t>
            </w:r>
            <w:r>
              <w:rPr>
                <w:rFonts w:hint="eastAsia" w:cs="仿宋"/>
                <w:b w:val="0"/>
                <w:bCs w:val="0"/>
                <w:color w:val="auto"/>
                <w:kern w:val="0"/>
                <w:sz w:val="24"/>
                <w:highlight w:val="none"/>
                <w:lang w:val="en-US" w:eastAsia="zh-CN"/>
              </w:rPr>
              <w:t>系统填报、</w:t>
            </w:r>
            <w:r>
              <w:rPr>
                <w:rFonts w:hint="eastAsia" w:ascii="仿宋" w:hAnsi="仿宋" w:eastAsia="仿宋" w:cs="仿宋"/>
                <w:color w:val="auto"/>
                <w:kern w:val="0"/>
                <w:sz w:val="24"/>
                <w:highlight w:val="none"/>
                <w:lang w:val="en-US" w:eastAsia="zh-CN"/>
              </w:rPr>
              <w:t>时间计划是否</w:t>
            </w:r>
            <w:r>
              <w:rPr>
                <w:rFonts w:hint="eastAsia" w:ascii="仿宋" w:hAnsi="仿宋" w:eastAsia="仿宋" w:cs="仿宋"/>
                <w:color w:val="auto"/>
                <w:kern w:val="0"/>
                <w:sz w:val="24"/>
                <w:highlight w:val="none"/>
              </w:rPr>
              <w:t>科学、合理、具有实际操作意义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3F2ED4E8">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cs="仿宋"/>
                <w:color w:val="auto"/>
                <w:sz w:val="24"/>
                <w:szCs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71F675D1">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5分</w:t>
            </w:r>
          </w:p>
        </w:tc>
      </w:tr>
      <w:tr w14:paraId="0B77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729" w:type="dxa"/>
            <w:noWrap w:val="0"/>
            <w:vAlign w:val="center"/>
          </w:tcPr>
          <w:p w14:paraId="0A3216AB">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rPr>
              <w:t>9</w:t>
            </w:r>
          </w:p>
        </w:tc>
        <w:tc>
          <w:tcPr>
            <w:tcW w:w="1187" w:type="dxa"/>
            <w:noWrap/>
            <w:vAlign w:val="center"/>
          </w:tcPr>
          <w:p w14:paraId="5789AEF8">
            <w:pPr>
              <w:keepNext w:val="0"/>
              <w:keepLines w:val="0"/>
              <w:pageBreakBefore w:val="0"/>
              <w:kinsoku/>
              <w:wordWrap/>
              <w:overflowPunct/>
              <w:topLinePunct w:val="0"/>
              <w:bidi w:val="0"/>
              <w:adjustRightInd/>
              <w:spacing w:line="240" w:lineRule="auto"/>
              <w:jc w:val="center"/>
              <w:rPr>
                <w:rFonts w:hint="eastAsia"/>
                <w:b/>
                <w:color w:val="auto"/>
                <w:spacing w:val="0"/>
                <w:sz w:val="24"/>
                <w:szCs w:val="24"/>
                <w:lang w:val="en-US" w:eastAsia="zh-CN"/>
              </w:rPr>
            </w:pPr>
            <w:r>
              <w:rPr>
                <w:rFonts w:hint="eastAsia"/>
                <w:b/>
                <w:color w:val="auto"/>
                <w:spacing w:val="0"/>
                <w:sz w:val="24"/>
                <w:szCs w:val="24"/>
                <w:lang w:val="en-US" w:eastAsia="zh-CN"/>
              </w:rPr>
              <w:t>断源整改及问题销号</w:t>
            </w:r>
          </w:p>
        </w:tc>
        <w:tc>
          <w:tcPr>
            <w:tcW w:w="6453" w:type="dxa"/>
            <w:shd w:val="clear" w:color="auto" w:fill="auto"/>
            <w:noWrap/>
            <w:vAlign w:val="center"/>
          </w:tcPr>
          <w:p w14:paraId="37B32577">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cs="仿宋"/>
                <w:color w:val="auto"/>
                <w:sz w:val="24"/>
                <w:szCs w:val="24"/>
                <w:highlight w:val="none"/>
                <w:lang w:val="en-US" w:eastAsia="zh-CN"/>
              </w:rPr>
              <w:t>投标人根据整治方案和问题清单，协助管理部门指导和督促企业完成断源工作，完成对单销号，开展销号预评估；指导土壤污染重点监管单位落实整改措施；开展土壤污染重点监管单位隐患排查“回头看”工作方案</w:t>
            </w:r>
            <w:r>
              <w:rPr>
                <w:rFonts w:hint="eastAsia" w:ascii="仿宋" w:hAnsi="仿宋" w:eastAsia="仿宋" w:cs="仿宋"/>
                <w:color w:val="auto"/>
                <w:kern w:val="0"/>
                <w:sz w:val="24"/>
                <w:highlight w:val="none"/>
                <w:lang w:val="en-US" w:eastAsia="zh-CN"/>
              </w:rPr>
              <w:t>的工作内容、工作方式、时间计划是否</w:t>
            </w:r>
            <w:r>
              <w:rPr>
                <w:rFonts w:hint="eastAsia" w:ascii="仿宋" w:hAnsi="仿宋" w:eastAsia="仿宋" w:cs="仿宋"/>
                <w:color w:val="auto"/>
                <w:kern w:val="0"/>
                <w:sz w:val="24"/>
                <w:highlight w:val="none"/>
              </w:rPr>
              <w:t>科学、合理、具有实际操作意义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5971B3F0">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（评分范围：5、4、3、2、1、0分）</w:t>
            </w:r>
          </w:p>
        </w:tc>
        <w:tc>
          <w:tcPr>
            <w:tcW w:w="871" w:type="dxa"/>
            <w:noWrap/>
            <w:vAlign w:val="center"/>
          </w:tcPr>
          <w:p w14:paraId="2030B537">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29F3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29" w:type="dxa"/>
            <w:vMerge w:val="restart"/>
            <w:noWrap w:val="0"/>
            <w:vAlign w:val="center"/>
          </w:tcPr>
          <w:p w14:paraId="29E23720">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rPr>
              <w:t>10</w:t>
            </w:r>
          </w:p>
        </w:tc>
        <w:tc>
          <w:tcPr>
            <w:tcW w:w="1187" w:type="dxa"/>
            <w:vMerge w:val="restart"/>
            <w:noWrap/>
            <w:vAlign w:val="center"/>
          </w:tcPr>
          <w:p w14:paraId="7161045D">
            <w:pPr>
              <w:keepNext w:val="0"/>
              <w:keepLines w:val="0"/>
              <w:pageBreakBefore w:val="0"/>
              <w:kinsoku/>
              <w:wordWrap/>
              <w:overflowPunct/>
              <w:topLinePunct w:val="0"/>
              <w:bidi w:val="0"/>
              <w:adjustRightInd/>
              <w:spacing w:line="240" w:lineRule="auto"/>
              <w:jc w:val="center"/>
              <w:rPr>
                <w:rFonts w:hint="eastAsia"/>
                <w:b/>
                <w:color w:val="auto"/>
                <w:spacing w:val="0"/>
                <w:sz w:val="24"/>
                <w:szCs w:val="24"/>
                <w:lang w:val="en-US" w:eastAsia="zh-CN"/>
              </w:rPr>
            </w:pPr>
            <w:r>
              <w:rPr>
                <w:rFonts w:hint="eastAsia"/>
                <w:b/>
                <w:color w:val="auto"/>
                <w:spacing w:val="0"/>
                <w:sz w:val="24"/>
                <w:szCs w:val="24"/>
                <w:lang w:val="en-US" w:eastAsia="zh-CN"/>
              </w:rPr>
              <w:t>地下水园区管控工程全过程咨询服务</w:t>
            </w:r>
          </w:p>
        </w:tc>
        <w:tc>
          <w:tcPr>
            <w:tcW w:w="6453" w:type="dxa"/>
            <w:shd w:val="clear" w:color="auto" w:fill="auto"/>
            <w:noWrap/>
            <w:vAlign w:val="center"/>
          </w:tcPr>
          <w:p w14:paraId="324F7DF0">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cs="仿宋"/>
                <w:color w:val="auto"/>
                <w:sz w:val="24"/>
                <w:szCs w:val="24"/>
                <w:highlight w:val="none"/>
                <w:lang w:val="en-US" w:eastAsia="zh-CN"/>
              </w:rPr>
              <w:t>根据投标人提供的前期咨询服务，包括但不仅限于明确管控目标、政策法规审查、细化初步设计方案、应急方案审查等</w:t>
            </w:r>
            <w:r>
              <w:rPr>
                <w:rFonts w:hint="eastAsia" w:ascii="仿宋" w:hAnsi="仿宋" w:eastAsia="仿宋" w:cs="仿宋"/>
                <w:color w:val="auto"/>
                <w:kern w:val="0"/>
                <w:sz w:val="24"/>
                <w:highlight w:val="none"/>
                <w:lang w:val="en-US" w:eastAsia="zh-CN"/>
              </w:rPr>
              <w:t>的工作内容、工作方式、时间计划是否</w:t>
            </w:r>
            <w:r>
              <w:rPr>
                <w:rFonts w:hint="eastAsia" w:ascii="仿宋" w:hAnsi="仿宋" w:eastAsia="仿宋" w:cs="仿宋"/>
                <w:color w:val="auto"/>
                <w:kern w:val="0"/>
                <w:sz w:val="24"/>
                <w:highlight w:val="none"/>
              </w:rPr>
              <w:t>科学、合理、具有实际操作意义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0738D605">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仿宋" w:hAnsi="仿宋" w:eastAsia="仿宋" w:cs="仿宋"/>
                <w:color w:val="auto"/>
                <w:kern w:val="0"/>
                <w:sz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6AE0BC3D">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4744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729" w:type="dxa"/>
            <w:vMerge w:val="continue"/>
            <w:noWrap w:val="0"/>
            <w:vAlign w:val="center"/>
          </w:tcPr>
          <w:p w14:paraId="0B1AD590">
            <w:pPr>
              <w:keepNext w:val="0"/>
              <w:keepLines w:val="0"/>
              <w:pageBreakBefore w:val="0"/>
              <w:kinsoku/>
              <w:wordWrap/>
              <w:overflowPunct/>
              <w:topLinePunct w:val="0"/>
              <w:bidi w:val="0"/>
              <w:adjustRightInd/>
              <w:spacing w:line="240" w:lineRule="auto"/>
              <w:jc w:val="center"/>
              <w:rPr>
                <w:rFonts w:hint="eastAsia" w:cs="仿宋"/>
                <w:b/>
                <w:color w:val="auto"/>
                <w:kern w:val="0"/>
                <w:sz w:val="24"/>
                <w:szCs w:val="24"/>
                <w:highlight w:val="none"/>
                <w:lang w:val="en-US" w:eastAsia="zh-CN"/>
              </w:rPr>
            </w:pPr>
          </w:p>
        </w:tc>
        <w:tc>
          <w:tcPr>
            <w:tcW w:w="1187" w:type="dxa"/>
            <w:vMerge w:val="continue"/>
            <w:noWrap/>
            <w:vAlign w:val="center"/>
          </w:tcPr>
          <w:p w14:paraId="78461479">
            <w:pPr>
              <w:keepNext w:val="0"/>
              <w:keepLines w:val="0"/>
              <w:pageBreakBefore w:val="0"/>
              <w:kinsoku/>
              <w:wordWrap/>
              <w:overflowPunct/>
              <w:topLinePunct w:val="0"/>
              <w:bidi w:val="0"/>
              <w:adjustRightInd/>
              <w:spacing w:line="240" w:lineRule="auto"/>
              <w:jc w:val="center"/>
              <w:rPr>
                <w:rFonts w:hint="eastAsia"/>
                <w:b/>
                <w:color w:val="auto"/>
                <w:spacing w:val="0"/>
                <w:sz w:val="24"/>
                <w:szCs w:val="24"/>
                <w:lang w:val="en-US" w:eastAsia="zh-CN"/>
              </w:rPr>
            </w:pPr>
          </w:p>
        </w:tc>
        <w:tc>
          <w:tcPr>
            <w:tcW w:w="6453" w:type="dxa"/>
            <w:shd w:val="clear" w:color="auto" w:fill="auto"/>
            <w:noWrap/>
            <w:vAlign w:val="center"/>
          </w:tcPr>
          <w:p w14:paraId="4EEB5B55">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cs="仿宋"/>
                <w:color w:val="auto"/>
                <w:sz w:val="24"/>
                <w:szCs w:val="24"/>
                <w:highlight w:val="none"/>
                <w:lang w:val="en-US" w:eastAsia="zh-CN"/>
              </w:rPr>
              <w:t>根据投标人提供的工程招投标咨询服务，包括但不仅限于招标文件审查、投标单位资质审查、评标与合同签订支持等</w:t>
            </w:r>
            <w:r>
              <w:rPr>
                <w:rFonts w:hint="eastAsia" w:ascii="仿宋" w:hAnsi="仿宋" w:eastAsia="仿宋" w:cs="仿宋"/>
                <w:color w:val="auto"/>
                <w:kern w:val="0"/>
                <w:sz w:val="24"/>
                <w:highlight w:val="none"/>
                <w:lang w:val="en-US" w:eastAsia="zh-CN"/>
              </w:rPr>
              <w:t>的工作内容、工作方式、时间计划是否</w:t>
            </w:r>
            <w:r>
              <w:rPr>
                <w:rFonts w:hint="eastAsia" w:ascii="仿宋" w:hAnsi="仿宋" w:eastAsia="仿宋" w:cs="仿宋"/>
                <w:color w:val="auto"/>
                <w:kern w:val="0"/>
                <w:sz w:val="24"/>
                <w:highlight w:val="none"/>
              </w:rPr>
              <w:t>科学、合理、具有实际操作意义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289F51EC">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786ED2E3">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6C66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729" w:type="dxa"/>
            <w:vMerge w:val="continue"/>
            <w:noWrap w:val="0"/>
            <w:vAlign w:val="center"/>
          </w:tcPr>
          <w:p w14:paraId="0ACA5D57">
            <w:pPr>
              <w:keepNext w:val="0"/>
              <w:keepLines w:val="0"/>
              <w:pageBreakBefore w:val="0"/>
              <w:kinsoku/>
              <w:wordWrap/>
              <w:overflowPunct/>
              <w:topLinePunct w:val="0"/>
              <w:bidi w:val="0"/>
              <w:adjustRightInd/>
              <w:spacing w:line="240" w:lineRule="auto"/>
              <w:jc w:val="center"/>
              <w:rPr>
                <w:rFonts w:hint="eastAsia" w:cs="仿宋"/>
                <w:b/>
                <w:color w:val="auto"/>
                <w:kern w:val="0"/>
                <w:sz w:val="24"/>
                <w:szCs w:val="24"/>
                <w:highlight w:val="none"/>
                <w:lang w:val="en-US" w:eastAsia="zh-CN"/>
              </w:rPr>
            </w:pPr>
          </w:p>
        </w:tc>
        <w:tc>
          <w:tcPr>
            <w:tcW w:w="1187" w:type="dxa"/>
            <w:vMerge w:val="continue"/>
            <w:noWrap/>
            <w:vAlign w:val="center"/>
          </w:tcPr>
          <w:p w14:paraId="7ED70F12">
            <w:pPr>
              <w:keepNext w:val="0"/>
              <w:keepLines w:val="0"/>
              <w:pageBreakBefore w:val="0"/>
              <w:kinsoku/>
              <w:wordWrap/>
              <w:overflowPunct/>
              <w:topLinePunct w:val="0"/>
              <w:bidi w:val="0"/>
              <w:adjustRightInd/>
              <w:spacing w:line="240" w:lineRule="auto"/>
              <w:jc w:val="center"/>
              <w:rPr>
                <w:rFonts w:hint="eastAsia"/>
                <w:b/>
                <w:color w:val="auto"/>
                <w:spacing w:val="0"/>
                <w:sz w:val="24"/>
                <w:szCs w:val="24"/>
                <w:lang w:val="en-US" w:eastAsia="zh-CN"/>
              </w:rPr>
            </w:pPr>
          </w:p>
        </w:tc>
        <w:tc>
          <w:tcPr>
            <w:tcW w:w="6453" w:type="dxa"/>
            <w:shd w:val="clear" w:color="auto" w:fill="auto"/>
            <w:noWrap/>
            <w:vAlign w:val="center"/>
          </w:tcPr>
          <w:p w14:paraId="1BCF4AF9">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kern w:val="0"/>
                <w:sz w:val="24"/>
                <w:highlight w:val="none"/>
                <w:lang w:val="en-US" w:eastAsia="zh-CN"/>
              </w:rPr>
            </w:pPr>
            <w:r>
              <w:rPr>
                <w:rFonts w:hint="eastAsia" w:cs="仿宋"/>
                <w:color w:val="auto"/>
                <w:sz w:val="24"/>
                <w:szCs w:val="24"/>
                <w:highlight w:val="none"/>
                <w:lang w:val="en-US" w:eastAsia="zh-CN"/>
              </w:rPr>
              <w:t>根据投标人提供的工程实施指导服务，包括但不仅限于施工方案审核、质量与进度监管、验收与运维指导等</w:t>
            </w:r>
            <w:r>
              <w:rPr>
                <w:rFonts w:hint="eastAsia" w:ascii="仿宋" w:hAnsi="仿宋" w:eastAsia="仿宋" w:cs="仿宋"/>
                <w:color w:val="auto"/>
                <w:kern w:val="0"/>
                <w:sz w:val="24"/>
                <w:highlight w:val="none"/>
                <w:lang w:val="en-US" w:eastAsia="zh-CN"/>
              </w:rPr>
              <w:t>的工作内容、工作方式、时间计划是否</w:t>
            </w:r>
            <w:r>
              <w:rPr>
                <w:rFonts w:hint="eastAsia" w:ascii="仿宋" w:hAnsi="仿宋" w:eastAsia="仿宋" w:cs="仿宋"/>
                <w:color w:val="auto"/>
                <w:kern w:val="0"/>
                <w:sz w:val="24"/>
                <w:highlight w:val="none"/>
              </w:rPr>
              <w:t>科学、合理、具有实际操作意义</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由评委进行综合评审。</w:t>
            </w:r>
          </w:p>
          <w:p w14:paraId="37FBE64C">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cs="仿宋"/>
                <w:color w:val="auto"/>
                <w:sz w:val="24"/>
                <w:szCs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03187748">
            <w:pPr>
              <w:keepNext w:val="0"/>
              <w:keepLines w:val="0"/>
              <w:pageBreakBefore w:val="0"/>
              <w:widowControl/>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3886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29" w:type="dxa"/>
            <w:noWrap w:val="0"/>
            <w:vAlign w:val="center"/>
          </w:tcPr>
          <w:p w14:paraId="57CBD52D">
            <w:pPr>
              <w:keepNext w:val="0"/>
              <w:keepLines w:val="0"/>
              <w:pageBreakBefore w:val="0"/>
              <w:kinsoku/>
              <w:wordWrap/>
              <w:overflowPunct/>
              <w:topLinePunct w:val="0"/>
              <w:bidi w:val="0"/>
              <w:adjustRightInd/>
              <w:spacing w:line="240" w:lineRule="auto"/>
              <w:jc w:val="center"/>
              <w:rPr>
                <w:rFonts w:hint="default"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11</w:t>
            </w:r>
          </w:p>
        </w:tc>
        <w:tc>
          <w:tcPr>
            <w:tcW w:w="1187" w:type="dxa"/>
            <w:noWrap/>
            <w:vAlign w:val="center"/>
          </w:tcPr>
          <w:p w14:paraId="57BCB4D3">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质量保障措施</w:t>
            </w:r>
          </w:p>
        </w:tc>
        <w:tc>
          <w:tcPr>
            <w:tcW w:w="6453" w:type="dxa"/>
            <w:noWrap/>
            <w:vAlign w:val="center"/>
          </w:tcPr>
          <w:p w14:paraId="79A0FD59">
            <w:pPr>
              <w:keepNext w:val="0"/>
              <w:keepLines w:val="0"/>
              <w:pageBreakBefore w:val="0"/>
              <w:widowControl w:val="0"/>
              <w:kinsoku/>
              <w:wordWrap/>
              <w:overflowPunct/>
              <w:topLinePunct w:val="0"/>
              <w:autoSpaceDE/>
              <w:autoSpaceDN/>
              <w:bidi w:val="0"/>
              <w:adjustRightInd/>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根据投标人</w:t>
            </w:r>
            <w:r>
              <w:rPr>
                <w:rFonts w:hint="eastAsia" w:cs="仿宋"/>
                <w:color w:val="auto"/>
                <w:kern w:val="2"/>
                <w:sz w:val="24"/>
                <w:szCs w:val="24"/>
                <w:highlight w:val="none"/>
                <w:lang w:val="en-US" w:eastAsia="zh-CN" w:bidi="ar-SA"/>
              </w:rPr>
              <w:t>针</w:t>
            </w:r>
            <w:r>
              <w:rPr>
                <w:rFonts w:hint="eastAsia" w:ascii="仿宋" w:hAnsi="仿宋" w:eastAsia="仿宋" w:cs="仿宋"/>
                <w:color w:val="auto"/>
                <w:kern w:val="2"/>
                <w:sz w:val="24"/>
                <w:szCs w:val="24"/>
                <w:highlight w:val="none"/>
                <w:lang w:val="en-US" w:eastAsia="zh-CN" w:bidi="ar-SA"/>
              </w:rPr>
              <w:t>对本项目工作量和服务质量以及确保本项目顺利完工</w:t>
            </w:r>
            <w:r>
              <w:rPr>
                <w:rFonts w:hint="eastAsia" w:cs="仿宋"/>
                <w:color w:val="auto"/>
                <w:kern w:val="2"/>
                <w:sz w:val="24"/>
                <w:szCs w:val="24"/>
                <w:highlight w:val="none"/>
                <w:lang w:val="en-US" w:eastAsia="zh-CN" w:bidi="ar-SA"/>
              </w:rPr>
              <w:t>递交</w:t>
            </w:r>
            <w:r>
              <w:rPr>
                <w:rFonts w:hint="eastAsia" w:ascii="仿宋" w:hAnsi="仿宋" w:eastAsia="仿宋" w:cs="仿宋"/>
                <w:color w:val="auto"/>
                <w:kern w:val="2"/>
                <w:sz w:val="24"/>
                <w:szCs w:val="24"/>
                <w:highlight w:val="none"/>
                <w:lang w:val="en-US" w:eastAsia="zh-CN" w:bidi="ar-SA"/>
              </w:rPr>
              <w:t>分行业提供社会化服务报告提出的保障措施</w:t>
            </w:r>
            <w:r>
              <w:rPr>
                <w:rFonts w:hint="eastAsia" w:cs="仿宋"/>
                <w:color w:val="auto"/>
                <w:kern w:val="2"/>
                <w:sz w:val="24"/>
                <w:szCs w:val="24"/>
                <w:highlight w:val="none"/>
                <w:lang w:val="en-US" w:eastAsia="zh-CN" w:bidi="ar-SA"/>
              </w:rPr>
              <w:t>，</w:t>
            </w:r>
            <w:r>
              <w:rPr>
                <w:rFonts w:hint="eastAsia" w:ascii="仿宋" w:hAnsi="仿宋" w:eastAsia="仿宋" w:cs="仿宋"/>
                <w:color w:val="auto"/>
                <w:sz w:val="24"/>
                <w:szCs w:val="24"/>
                <w:highlight w:val="none"/>
                <w:lang w:val="en-US" w:eastAsia="zh-CN"/>
              </w:rPr>
              <w:t>由评委进行综合评审。</w:t>
            </w:r>
          </w:p>
          <w:p w14:paraId="5B1649B1">
            <w:pPr>
              <w:keepNext w:val="0"/>
              <w:keepLines w:val="0"/>
              <w:pageBreakBefore w:val="0"/>
              <w:widowControl w:val="0"/>
              <w:kinsoku/>
              <w:wordWrap/>
              <w:overflowPunct/>
              <w:topLinePunct w:val="0"/>
              <w:autoSpaceDE/>
              <w:autoSpaceDN/>
              <w:bidi w:val="0"/>
              <w:adjustRightInd/>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cs="仿宋"/>
                <w:color w:val="auto"/>
                <w:sz w:val="24"/>
                <w:szCs w:val="24"/>
                <w:highlight w:val="none"/>
                <w:lang w:val="en-US" w:eastAsia="zh-CN"/>
              </w:rPr>
              <w:t>（评分范围：5、4、3、2、1、0分）</w:t>
            </w:r>
          </w:p>
        </w:tc>
        <w:tc>
          <w:tcPr>
            <w:tcW w:w="871" w:type="dxa"/>
            <w:noWrap/>
            <w:vAlign w:val="center"/>
          </w:tcPr>
          <w:p w14:paraId="78C16B03">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2FF7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29" w:type="dxa"/>
            <w:noWrap w:val="0"/>
            <w:vAlign w:val="center"/>
          </w:tcPr>
          <w:p w14:paraId="0092BBBB">
            <w:pPr>
              <w:keepNext w:val="0"/>
              <w:keepLines w:val="0"/>
              <w:pageBreakBefore w:val="0"/>
              <w:kinsoku/>
              <w:wordWrap/>
              <w:overflowPunct/>
              <w:topLinePunct w:val="0"/>
              <w:bidi w:val="0"/>
              <w:adjustRightInd/>
              <w:spacing w:line="240" w:lineRule="auto"/>
              <w:jc w:val="center"/>
              <w:rPr>
                <w:rFonts w:hint="default"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12</w:t>
            </w:r>
          </w:p>
        </w:tc>
        <w:tc>
          <w:tcPr>
            <w:tcW w:w="1187" w:type="dxa"/>
            <w:noWrap/>
            <w:vAlign w:val="center"/>
          </w:tcPr>
          <w:p w14:paraId="0968996B">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rPr>
              <w:t>报告编制及档案管理方案</w:t>
            </w:r>
          </w:p>
        </w:tc>
        <w:tc>
          <w:tcPr>
            <w:tcW w:w="6453" w:type="dxa"/>
            <w:noWrap/>
            <w:vAlign w:val="center"/>
          </w:tcPr>
          <w:p w14:paraId="7B6C879C">
            <w:pPr>
              <w:autoSpaceDE/>
              <w:autoSpaceDN/>
              <w:spacing w:line="240" w:lineRule="auto"/>
              <w:rPr>
                <w:rFonts w:hint="eastAsia" w:ascii="仿宋" w:hAnsi="仿宋" w:eastAsia="仿宋" w:cs="仿宋"/>
                <w:color w:val="auto"/>
                <w:sz w:val="24"/>
                <w:szCs w:val="24"/>
                <w:highlight w:val="none"/>
                <w:lang w:val="en-US" w:eastAsia="zh-CN"/>
              </w:rPr>
            </w:pPr>
            <w:r>
              <w:rPr>
                <w:rFonts w:hint="eastAsia"/>
                <w:color w:val="auto"/>
                <w:spacing w:val="0"/>
                <w:sz w:val="24"/>
                <w:szCs w:val="24"/>
                <w:lang w:val="en-US"/>
              </w:rPr>
              <w:t>根据投标人针对本项目的报告编制及档案管理方案</w:t>
            </w:r>
            <w:r>
              <w:rPr>
                <w:rFonts w:hint="eastAsia" w:cs="仿宋"/>
                <w:color w:val="auto"/>
                <w:kern w:val="2"/>
                <w:sz w:val="24"/>
                <w:szCs w:val="24"/>
                <w:highlight w:val="none"/>
                <w:lang w:val="en-US" w:eastAsia="zh-CN" w:bidi="ar-SA"/>
              </w:rPr>
              <w:t>包括保密制度、保密培训、档案管理等，</w:t>
            </w:r>
            <w:r>
              <w:rPr>
                <w:rFonts w:hint="eastAsia" w:ascii="仿宋" w:hAnsi="仿宋" w:eastAsia="仿宋" w:cs="仿宋"/>
                <w:color w:val="auto"/>
                <w:kern w:val="2"/>
                <w:sz w:val="24"/>
                <w:szCs w:val="24"/>
                <w:highlight w:val="none"/>
                <w:lang w:val="en-US" w:eastAsia="zh-CN" w:bidi="ar-SA"/>
              </w:rPr>
              <w:t>使得工作中的档案资料</w:t>
            </w:r>
            <w:r>
              <w:rPr>
                <w:rFonts w:hint="eastAsia" w:cs="仿宋"/>
                <w:color w:val="auto"/>
                <w:kern w:val="2"/>
                <w:sz w:val="24"/>
                <w:szCs w:val="24"/>
                <w:highlight w:val="none"/>
                <w:lang w:val="en-US" w:eastAsia="zh-CN" w:bidi="ar-SA"/>
              </w:rPr>
              <w:t>完整性、准确性</w:t>
            </w:r>
            <w:r>
              <w:rPr>
                <w:rFonts w:hint="eastAsia" w:cs="仿宋"/>
                <w:color w:val="auto"/>
                <w:sz w:val="24"/>
                <w:szCs w:val="24"/>
                <w:highlight w:val="none"/>
                <w:lang w:val="zh-CN" w:eastAsia="zh-CN"/>
              </w:rPr>
              <w:t>等情况，</w:t>
            </w:r>
            <w:r>
              <w:rPr>
                <w:rFonts w:hint="eastAsia" w:ascii="仿宋" w:hAnsi="仿宋" w:eastAsia="仿宋" w:cs="仿宋"/>
                <w:color w:val="auto"/>
                <w:sz w:val="24"/>
                <w:szCs w:val="24"/>
                <w:highlight w:val="none"/>
                <w:lang w:val="en-US" w:eastAsia="zh-CN"/>
              </w:rPr>
              <w:t>由评委进行综合评审。</w:t>
            </w:r>
          </w:p>
          <w:p w14:paraId="399CCF9E">
            <w:pPr>
              <w:autoSpaceDE/>
              <w:autoSpaceDN/>
              <w:spacing w:line="240" w:lineRule="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（评分范围：5、4、3、2、1、0分）</w:t>
            </w:r>
          </w:p>
        </w:tc>
        <w:tc>
          <w:tcPr>
            <w:tcW w:w="871" w:type="dxa"/>
            <w:noWrap/>
            <w:vAlign w:val="center"/>
          </w:tcPr>
          <w:p w14:paraId="2B8DC4F4">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r>
      <w:tr w14:paraId="649F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29" w:type="dxa"/>
            <w:noWrap w:val="0"/>
            <w:vAlign w:val="center"/>
          </w:tcPr>
          <w:p w14:paraId="05A4DF1D">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bidi="ar-SA"/>
              </w:rPr>
              <w:t>13</w:t>
            </w:r>
          </w:p>
        </w:tc>
        <w:tc>
          <w:tcPr>
            <w:tcW w:w="1187" w:type="dxa"/>
            <w:noWrap/>
            <w:vAlign w:val="center"/>
          </w:tcPr>
          <w:p w14:paraId="5394B0A1">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lang w:val="en-US"/>
              </w:rPr>
            </w:pPr>
            <w:r>
              <w:rPr>
                <w:rFonts w:hint="eastAsia"/>
                <w:b/>
                <w:bCs/>
                <w:color w:val="auto"/>
                <w:spacing w:val="0"/>
                <w:sz w:val="24"/>
                <w:szCs w:val="24"/>
                <w:lang w:val="en-US"/>
              </w:rPr>
              <w:t>廉政措施</w:t>
            </w:r>
          </w:p>
        </w:tc>
        <w:tc>
          <w:tcPr>
            <w:tcW w:w="6453" w:type="dxa"/>
            <w:shd w:val="clear" w:color="auto" w:fill="auto"/>
            <w:noWrap/>
            <w:vAlign w:val="center"/>
          </w:tcPr>
          <w:p w14:paraId="58A046F6">
            <w:pPr>
              <w:autoSpaceDE/>
              <w:autoSpaceDN/>
              <w:spacing w:line="240" w:lineRule="auto"/>
              <w:rPr>
                <w:rFonts w:hint="eastAsia" w:ascii="仿宋" w:hAnsi="仿宋" w:eastAsia="仿宋" w:cs="仿宋"/>
                <w:color w:val="auto"/>
                <w:sz w:val="24"/>
                <w:szCs w:val="24"/>
                <w:highlight w:val="none"/>
                <w:lang w:val="en-US" w:eastAsia="zh-CN"/>
              </w:rPr>
            </w:pPr>
            <w:r>
              <w:rPr>
                <w:rFonts w:hint="eastAsia"/>
                <w:color w:val="auto"/>
                <w:spacing w:val="0"/>
                <w:sz w:val="24"/>
                <w:szCs w:val="24"/>
                <w:lang w:val="en-US"/>
              </w:rPr>
              <w:t>根据投标人针对本项目</w:t>
            </w:r>
            <w:r>
              <w:rPr>
                <w:rFonts w:hint="eastAsia"/>
                <w:color w:val="auto"/>
                <w:spacing w:val="0"/>
                <w:sz w:val="24"/>
                <w:szCs w:val="24"/>
                <w:lang w:val="en-US" w:eastAsia="zh-CN"/>
              </w:rPr>
              <w:t>实际情况，实施过程中拟实行的</w:t>
            </w:r>
            <w:r>
              <w:rPr>
                <w:rFonts w:hint="eastAsia"/>
                <w:color w:val="auto"/>
                <w:spacing w:val="0"/>
                <w:sz w:val="24"/>
                <w:szCs w:val="24"/>
                <w:lang w:val="en-US"/>
              </w:rPr>
              <w:t>廉政措施</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35A27341">
            <w:pPr>
              <w:autoSpaceDE/>
              <w:autoSpaceDN/>
              <w:spacing w:line="240" w:lineRule="auto"/>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（评分范围：4、3、2、1、0分）</w:t>
            </w:r>
          </w:p>
        </w:tc>
        <w:tc>
          <w:tcPr>
            <w:tcW w:w="871" w:type="dxa"/>
            <w:noWrap/>
            <w:vAlign w:val="center"/>
          </w:tcPr>
          <w:p w14:paraId="021BD9FD">
            <w:pPr>
              <w:keepNext w:val="0"/>
              <w:keepLines w:val="0"/>
              <w:pageBreakBefore w:val="0"/>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w:t>
            </w:r>
          </w:p>
        </w:tc>
      </w:tr>
      <w:tr w14:paraId="3074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729" w:type="dxa"/>
            <w:noWrap w:val="0"/>
            <w:vAlign w:val="center"/>
          </w:tcPr>
          <w:p w14:paraId="7CFD01E8">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kern w:val="0"/>
                <w:sz w:val="24"/>
                <w:szCs w:val="24"/>
                <w:highlight w:val="none"/>
                <w:lang w:val="en-US" w:eastAsia="zh-CN"/>
              </w:rPr>
            </w:pPr>
            <w:r>
              <w:rPr>
                <w:rFonts w:hint="eastAsia" w:cs="仿宋"/>
                <w:b/>
                <w:color w:val="auto"/>
                <w:kern w:val="0"/>
                <w:sz w:val="24"/>
                <w:szCs w:val="24"/>
                <w:highlight w:val="none"/>
                <w:lang w:val="en-US" w:eastAsia="zh-CN"/>
              </w:rPr>
              <w:t>14</w:t>
            </w:r>
          </w:p>
        </w:tc>
        <w:tc>
          <w:tcPr>
            <w:tcW w:w="1187" w:type="dxa"/>
            <w:noWrap/>
            <w:vAlign w:val="center"/>
          </w:tcPr>
          <w:p w14:paraId="7C730EC0">
            <w:pPr>
              <w:keepNext w:val="0"/>
              <w:keepLines w:val="0"/>
              <w:pageBreakBefore w:val="0"/>
              <w:widowControl/>
              <w:kinsoku/>
              <w:wordWrap/>
              <w:overflowPunct/>
              <w:topLinePunct w:val="0"/>
              <w:bidi w:val="0"/>
              <w:snapToGri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突发应急保障措施</w:t>
            </w:r>
          </w:p>
        </w:tc>
        <w:tc>
          <w:tcPr>
            <w:tcW w:w="6453" w:type="dxa"/>
            <w:noWrap/>
            <w:vAlign w:val="center"/>
          </w:tcPr>
          <w:p w14:paraId="4C4978EA">
            <w:pPr>
              <w:spacing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w:t>
            </w:r>
            <w:r>
              <w:rPr>
                <w:rFonts w:hint="eastAsia" w:cs="仿宋"/>
                <w:color w:val="auto"/>
                <w:sz w:val="24"/>
                <w:szCs w:val="24"/>
                <w:highlight w:val="none"/>
                <w:lang w:val="en-US" w:eastAsia="zh-CN"/>
              </w:rPr>
              <w:t>针对本项目</w:t>
            </w:r>
            <w:r>
              <w:rPr>
                <w:rFonts w:hint="eastAsia" w:ascii="仿宋" w:hAnsi="仿宋" w:eastAsia="仿宋" w:cs="仿宋"/>
                <w:color w:val="auto"/>
                <w:sz w:val="24"/>
                <w:szCs w:val="24"/>
                <w:highlight w:val="none"/>
                <w:lang w:val="en-US" w:eastAsia="zh-CN"/>
              </w:rPr>
              <w:t>在紧急情况和突发事件下（不仅限于节假日、夜间等突发性紧急检测任务）提供应急保障措施，包括应对措施、人员响应时间以及设备到位时间</w:t>
            </w:r>
            <w:r>
              <w:rPr>
                <w:rFonts w:hint="eastAsia" w:cs="仿宋"/>
                <w:color w:val="auto"/>
                <w:sz w:val="24"/>
                <w:szCs w:val="24"/>
                <w:highlight w:val="none"/>
                <w:lang w:val="zh-CN" w:eastAsia="zh-CN"/>
              </w:rPr>
              <w:t>等情况，</w:t>
            </w:r>
            <w:r>
              <w:rPr>
                <w:rFonts w:hint="eastAsia" w:ascii="仿宋" w:hAnsi="仿宋" w:eastAsia="仿宋" w:cs="仿宋"/>
                <w:color w:val="auto"/>
                <w:sz w:val="24"/>
                <w:szCs w:val="24"/>
                <w:highlight w:val="none"/>
                <w:lang w:val="en-US" w:eastAsia="zh-CN"/>
              </w:rPr>
              <w:t>由评委进行综合评审。</w:t>
            </w:r>
          </w:p>
          <w:p w14:paraId="012265A4">
            <w:pPr>
              <w:spacing w:line="240" w:lineRule="auto"/>
              <w:ind w:firstLine="0" w:firstLineChars="0"/>
              <w:jc w:val="both"/>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（评分范围：4、3、2、1、0分）</w:t>
            </w:r>
          </w:p>
        </w:tc>
        <w:tc>
          <w:tcPr>
            <w:tcW w:w="871" w:type="dxa"/>
            <w:noWrap/>
            <w:vAlign w:val="center"/>
          </w:tcPr>
          <w:p w14:paraId="67079F45">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w:t>
            </w:r>
          </w:p>
        </w:tc>
      </w:tr>
      <w:tr w14:paraId="5EBD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29" w:type="dxa"/>
            <w:noWrap w:val="0"/>
            <w:vAlign w:val="center"/>
          </w:tcPr>
          <w:p w14:paraId="2793B2B2">
            <w:pPr>
              <w:keepNext w:val="0"/>
              <w:keepLines w:val="0"/>
              <w:pageBreakBefore w:val="0"/>
              <w:kinsoku/>
              <w:wordWrap/>
              <w:overflowPunct/>
              <w:topLinePunct w:val="0"/>
              <w:bidi w:val="0"/>
              <w:adjustRightInd/>
              <w:spacing w:line="240" w:lineRule="auto"/>
              <w:jc w:val="center"/>
              <w:rPr>
                <w:rFonts w:hint="default" w:cs="仿宋"/>
                <w:b/>
                <w:color w:val="auto"/>
                <w:kern w:val="0"/>
                <w:sz w:val="24"/>
                <w:szCs w:val="24"/>
                <w:highlight w:val="none"/>
                <w:lang w:val="en-US" w:eastAsia="zh-CN"/>
              </w:rPr>
            </w:pPr>
            <w:r>
              <w:rPr>
                <w:rFonts w:hint="eastAsia" w:cs="仿宋"/>
                <w:b/>
                <w:color w:val="auto"/>
                <w:kern w:val="0"/>
                <w:sz w:val="24"/>
                <w:szCs w:val="24"/>
                <w:highlight w:val="none"/>
                <w:lang w:val="en-US" w:eastAsia="zh-CN"/>
              </w:rPr>
              <w:t>15</w:t>
            </w:r>
          </w:p>
        </w:tc>
        <w:tc>
          <w:tcPr>
            <w:tcW w:w="1187" w:type="dxa"/>
            <w:noWrap/>
            <w:vAlign w:val="center"/>
          </w:tcPr>
          <w:p w14:paraId="55AF7474">
            <w:pPr>
              <w:autoSpaceDE/>
              <w:autoSpaceDN/>
              <w:spacing w:line="240" w:lineRule="auto"/>
              <w:jc w:val="center"/>
              <w:rPr>
                <w:rFonts w:hint="eastAsia" w:ascii="仿宋" w:hAnsi="仿宋" w:eastAsia="仿宋" w:cs="仿宋"/>
                <w:b/>
                <w:bCs/>
                <w:color w:val="auto"/>
                <w:kern w:val="0"/>
                <w:sz w:val="24"/>
                <w:szCs w:val="24"/>
                <w:highlight w:val="none"/>
                <w:lang w:val="en-US" w:eastAsia="zh-CN"/>
              </w:rPr>
            </w:pPr>
            <w:r>
              <w:rPr>
                <w:rFonts w:hint="eastAsia"/>
                <w:b/>
                <w:color w:val="auto"/>
                <w:spacing w:val="0"/>
                <w:sz w:val="24"/>
                <w:szCs w:val="24"/>
                <w:lang w:eastAsia="zh-CN"/>
              </w:rPr>
              <w:t>安全保障</w:t>
            </w:r>
            <w:r>
              <w:rPr>
                <w:rFonts w:hint="eastAsia"/>
                <w:b/>
                <w:color w:val="auto"/>
                <w:spacing w:val="0"/>
                <w:sz w:val="24"/>
                <w:szCs w:val="24"/>
              </w:rPr>
              <w:t>方案</w:t>
            </w:r>
          </w:p>
        </w:tc>
        <w:tc>
          <w:tcPr>
            <w:tcW w:w="6453" w:type="dxa"/>
            <w:noWrap/>
            <w:vAlign w:val="center"/>
          </w:tcPr>
          <w:p w14:paraId="7FC50249">
            <w:pPr>
              <w:snapToGrid w:val="0"/>
              <w:spacing w:line="240" w:lineRule="auto"/>
              <w:jc w:val="both"/>
              <w:rPr>
                <w:rFonts w:hint="eastAsia" w:ascii="仿宋" w:hAnsi="仿宋" w:eastAsia="仿宋" w:cs="仿宋"/>
                <w:color w:val="auto"/>
                <w:sz w:val="24"/>
                <w:szCs w:val="24"/>
                <w:highlight w:val="none"/>
                <w:lang w:val="en-US" w:eastAsia="zh-CN"/>
              </w:rPr>
            </w:pPr>
            <w:r>
              <w:rPr>
                <w:rFonts w:hint="eastAsia"/>
                <w:color w:val="auto"/>
                <w:spacing w:val="0"/>
                <w:sz w:val="24"/>
                <w:szCs w:val="24"/>
              </w:rPr>
              <w:t>根据投标人针对本项目制定的安全保障、安全教育、安全生产责任分配是否符合要求、内容是否详细、是否完整等情况</w:t>
            </w:r>
            <w:r>
              <w:rPr>
                <w:rFonts w:hint="eastAsia"/>
                <w:color w:val="auto"/>
                <w:spacing w:val="0"/>
                <w:sz w:val="24"/>
                <w:szCs w:val="24"/>
                <w:lang w:eastAsia="zh-CN"/>
              </w:rPr>
              <w:t>，</w:t>
            </w:r>
            <w:r>
              <w:rPr>
                <w:rFonts w:hint="eastAsia" w:ascii="仿宋" w:hAnsi="仿宋" w:eastAsia="仿宋" w:cs="仿宋"/>
                <w:color w:val="auto"/>
                <w:sz w:val="24"/>
                <w:szCs w:val="24"/>
                <w:highlight w:val="none"/>
                <w:lang w:val="en-US" w:eastAsia="zh-CN"/>
              </w:rPr>
              <w:t>由评委进行综合评审。</w:t>
            </w:r>
          </w:p>
          <w:p w14:paraId="123CD7A7">
            <w:pPr>
              <w:snapToGrid w:val="0"/>
              <w:spacing w:line="240" w:lineRule="auto"/>
              <w:jc w:val="both"/>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（评分范围：4、3、2、1、0分）</w:t>
            </w:r>
          </w:p>
        </w:tc>
        <w:tc>
          <w:tcPr>
            <w:tcW w:w="871" w:type="dxa"/>
            <w:noWrap/>
            <w:vAlign w:val="center"/>
          </w:tcPr>
          <w:p w14:paraId="48F9E920">
            <w:pPr>
              <w:keepNext w:val="0"/>
              <w:keepLines w:val="0"/>
              <w:pageBreakBefore w:val="0"/>
              <w:kinsoku/>
              <w:wordWrap/>
              <w:overflowPunct/>
              <w:topLinePunct w:val="0"/>
              <w:bidi w:val="0"/>
              <w:adjustRightInd/>
              <w:spacing w:line="240" w:lineRule="auto"/>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w:t>
            </w:r>
          </w:p>
        </w:tc>
      </w:tr>
      <w:tr w14:paraId="1A59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29" w:type="dxa"/>
            <w:noWrap w:val="0"/>
            <w:vAlign w:val="center"/>
          </w:tcPr>
          <w:p w14:paraId="4C2B1A07">
            <w:pPr>
              <w:keepNext w:val="0"/>
              <w:keepLines w:val="0"/>
              <w:pageBreakBefore w:val="0"/>
              <w:kinsoku/>
              <w:wordWrap/>
              <w:overflowPunct/>
              <w:topLinePunct w:val="0"/>
              <w:bidi w:val="0"/>
              <w:adjustRightInd/>
              <w:spacing w:line="240" w:lineRule="auto"/>
              <w:jc w:val="center"/>
              <w:rPr>
                <w:rFonts w:hint="default" w:ascii="仿宋" w:hAnsi="仿宋" w:eastAsia="仿宋" w:cs="仿宋"/>
                <w:b/>
                <w:color w:val="auto"/>
                <w:kern w:val="0"/>
                <w:sz w:val="24"/>
                <w:szCs w:val="24"/>
                <w:highlight w:val="none"/>
                <w:lang w:val="en-US" w:eastAsia="zh-CN" w:bidi="ar-SA"/>
              </w:rPr>
            </w:pPr>
            <w:r>
              <w:rPr>
                <w:rFonts w:hint="eastAsia" w:cs="仿宋"/>
                <w:b/>
                <w:color w:val="auto"/>
                <w:kern w:val="0"/>
                <w:sz w:val="24"/>
                <w:szCs w:val="24"/>
                <w:highlight w:val="none"/>
                <w:lang w:val="en-US" w:eastAsia="zh-CN" w:bidi="ar-SA"/>
              </w:rPr>
              <w:t>16</w:t>
            </w:r>
          </w:p>
        </w:tc>
        <w:tc>
          <w:tcPr>
            <w:tcW w:w="1187" w:type="dxa"/>
            <w:noWrap/>
            <w:vAlign w:val="center"/>
          </w:tcPr>
          <w:p w14:paraId="004BCB9F">
            <w:pPr>
              <w:keepNext w:val="0"/>
              <w:keepLines w:val="0"/>
              <w:pageBreakBefore w:val="0"/>
              <w:kinsoku/>
              <w:wordWrap/>
              <w:overflowPunct/>
              <w:topLinePunct w:val="0"/>
              <w:bidi w:val="0"/>
              <w:adjustRightInd/>
              <w:spacing w:line="24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合理化建议</w:t>
            </w:r>
          </w:p>
        </w:tc>
        <w:tc>
          <w:tcPr>
            <w:tcW w:w="6453" w:type="dxa"/>
            <w:noWrap/>
            <w:vAlign w:val="center"/>
          </w:tcPr>
          <w:p w14:paraId="6869FBB5">
            <w:pPr>
              <w:keepNext w:val="0"/>
              <w:keepLines w:val="0"/>
              <w:pageBreakBefore w:val="0"/>
              <w:widowControl w:val="0"/>
              <w:kinsoku/>
              <w:wordWrap/>
              <w:overflowPunct/>
              <w:topLinePunct w:val="0"/>
              <w:autoSpaceDE/>
              <w:autoSpaceDN/>
              <w:bidi w:val="0"/>
              <w:adjustRightInd/>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根据投标人</w:t>
            </w:r>
            <w:r>
              <w:rPr>
                <w:rFonts w:hint="eastAsia" w:ascii="仿宋" w:hAnsi="仿宋" w:eastAsia="仿宋" w:cs="仿宋"/>
                <w:color w:val="auto"/>
                <w:kern w:val="0"/>
                <w:sz w:val="24"/>
                <w:szCs w:val="24"/>
                <w:highlight w:val="none"/>
              </w:rPr>
              <w:t>针对</w:t>
            </w:r>
            <w:r>
              <w:rPr>
                <w:rFonts w:hint="eastAsia" w:ascii="仿宋" w:hAnsi="仿宋" w:eastAsia="仿宋" w:cs="仿宋"/>
                <w:color w:val="auto"/>
                <w:kern w:val="0"/>
                <w:sz w:val="24"/>
                <w:szCs w:val="24"/>
                <w:highlight w:val="none"/>
                <w:lang w:val="en-US" w:eastAsia="zh-CN"/>
              </w:rPr>
              <w:t>本项目工作内容及特点，从实际需求出发，</w:t>
            </w:r>
            <w:r>
              <w:rPr>
                <w:rFonts w:hint="eastAsia" w:ascii="仿宋" w:hAnsi="仿宋" w:eastAsia="仿宋" w:cs="仿宋"/>
                <w:bCs/>
                <w:color w:val="auto"/>
                <w:sz w:val="24"/>
                <w:szCs w:val="24"/>
                <w:highlight w:val="none"/>
              </w:rPr>
              <w:t>提供具有实用性、前瞻性的</w:t>
            </w:r>
            <w:r>
              <w:rPr>
                <w:rFonts w:hint="eastAsia" w:ascii="仿宋" w:hAnsi="仿宋" w:eastAsia="仿宋" w:cs="仿宋"/>
                <w:bCs/>
                <w:color w:val="auto"/>
                <w:sz w:val="24"/>
                <w:szCs w:val="24"/>
                <w:highlight w:val="none"/>
                <w:lang w:val="en-US" w:eastAsia="zh-CN"/>
              </w:rPr>
              <w:t>合理化</w:t>
            </w:r>
            <w:r>
              <w:rPr>
                <w:rFonts w:hint="eastAsia" w:ascii="仿宋" w:hAnsi="仿宋" w:eastAsia="仿宋" w:cs="仿宋"/>
                <w:bCs/>
                <w:color w:val="auto"/>
                <w:sz w:val="24"/>
                <w:szCs w:val="24"/>
                <w:highlight w:val="none"/>
              </w:rPr>
              <w:t>建议</w:t>
            </w:r>
            <w:r>
              <w:rPr>
                <w:rFonts w:hint="eastAsia"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由评委进行综合评审。</w:t>
            </w:r>
          </w:p>
          <w:p w14:paraId="23D6A492">
            <w:pPr>
              <w:keepNext w:val="0"/>
              <w:keepLines w:val="0"/>
              <w:pageBreakBefore w:val="0"/>
              <w:widowControl w:val="0"/>
              <w:kinsoku/>
              <w:wordWrap/>
              <w:overflowPunct/>
              <w:topLinePunct w:val="0"/>
              <w:autoSpaceDE/>
              <w:autoSpaceDN/>
              <w:bidi w:val="0"/>
              <w:adjustRightInd/>
              <w:snapToGri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cs="仿宋"/>
                <w:color w:val="auto"/>
                <w:sz w:val="24"/>
                <w:szCs w:val="24"/>
                <w:highlight w:val="none"/>
                <w:lang w:val="en-US" w:eastAsia="zh-CN"/>
              </w:rPr>
              <w:t>（评分范围：4、3、2、1、0分）</w:t>
            </w:r>
          </w:p>
        </w:tc>
        <w:tc>
          <w:tcPr>
            <w:tcW w:w="871" w:type="dxa"/>
            <w:noWrap/>
            <w:vAlign w:val="center"/>
          </w:tcPr>
          <w:p w14:paraId="6BC9034C">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w:t>
            </w:r>
          </w:p>
        </w:tc>
      </w:tr>
    </w:tbl>
    <w:p w14:paraId="0C316C1F">
      <w:pPr>
        <w:spacing w:before="240" w:line="360" w:lineRule="auto"/>
        <w:ind w:firstLine="482" w:firstLineChars="200"/>
        <w:rPr>
          <w:b/>
          <w:color w:val="auto"/>
          <w:sz w:val="24"/>
        </w:rPr>
      </w:pPr>
      <w:r>
        <w:rPr>
          <w:rFonts w:hint="eastAsia"/>
          <w:b/>
          <w:color w:val="auto"/>
          <w:sz w:val="24"/>
        </w:rPr>
        <w:t>5.</w:t>
      </w:r>
      <w:r>
        <w:rPr>
          <w:rFonts w:hint="eastAsia"/>
          <w:b/>
          <w:color w:val="auto"/>
          <w:sz w:val="24"/>
          <w:lang w:val="en-US"/>
        </w:rPr>
        <w:t>2</w:t>
      </w:r>
      <w:r>
        <w:rPr>
          <w:rFonts w:hint="eastAsia"/>
          <w:b/>
          <w:color w:val="auto"/>
          <w:sz w:val="24"/>
          <w:lang w:val="en-US" w:eastAsia="zh-CN"/>
        </w:rPr>
        <w:t xml:space="preserve"> </w:t>
      </w:r>
      <w:r>
        <w:rPr>
          <w:rFonts w:hint="eastAsia"/>
          <w:b/>
          <w:color w:val="auto"/>
          <w:sz w:val="24"/>
        </w:rPr>
        <w:t>磋商报价共</w:t>
      </w:r>
      <w:r>
        <w:rPr>
          <w:rFonts w:hint="eastAsia"/>
          <w:b/>
          <w:color w:val="auto"/>
          <w:sz w:val="24"/>
          <w:lang w:val="en-US" w:eastAsia="zh-CN"/>
        </w:rPr>
        <w:t>10</w:t>
      </w:r>
      <w:r>
        <w:rPr>
          <w:rFonts w:hint="eastAsia"/>
          <w:b/>
          <w:color w:val="auto"/>
          <w:sz w:val="24"/>
        </w:rPr>
        <w:t>分</w:t>
      </w:r>
      <w:r>
        <w:rPr>
          <w:rFonts w:hint="eastAsia"/>
          <w:b/>
          <w:color w:val="auto"/>
          <w:sz w:val="24"/>
          <w:lang w:eastAsia="zh-CN"/>
        </w:rPr>
        <w:t>，</w:t>
      </w:r>
      <w:r>
        <w:rPr>
          <w:rFonts w:hint="eastAsia"/>
          <w:b/>
          <w:color w:val="auto"/>
          <w:sz w:val="24"/>
        </w:rPr>
        <w:t>权重为</w:t>
      </w:r>
      <w:r>
        <w:rPr>
          <w:rFonts w:hint="eastAsia"/>
          <w:b/>
          <w:color w:val="auto"/>
          <w:sz w:val="24"/>
          <w:lang w:val="en-US" w:eastAsia="zh-CN"/>
        </w:rPr>
        <w:t>10</w:t>
      </w:r>
      <w:r>
        <w:rPr>
          <w:rFonts w:hint="eastAsia"/>
          <w:b/>
          <w:color w:val="auto"/>
          <w:sz w:val="24"/>
        </w:rPr>
        <w:t>% ，由磋商小组根据以下内容统一计算打分：</w:t>
      </w:r>
    </w:p>
    <w:p w14:paraId="03CD3738">
      <w:pPr>
        <w:spacing w:line="360" w:lineRule="auto"/>
        <w:ind w:firstLine="480" w:firstLineChars="200"/>
        <w:rPr>
          <w:color w:val="auto"/>
          <w:sz w:val="24"/>
        </w:rPr>
      </w:pPr>
      <w:r>
        <w:rPr>
          <w:rFonts w:hint="eastAsia"/>
          <w:color w:val="auto"/>
          <w:sz w:val="24"/>
        </w:rPr>
        <w:t>5.</w:t>
      </w:r>
      <w:r>
        <w:rPr>
          <w:rFonts w:hint="eastAsia"/>
          <w:color w:val="auto"/>
          <w:sz w:val="24"/>
          <w:lang w:val="en-US"/>
        </w:rPr>
        <w:t>2</w:t>
      </w:r>
      <w:r>
        <w:rPr>
          <w:rFonts w:hint="eastAsia"/>
          <w:color w:val="auto"/>
          <w:sz w:val="24"/>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7F479D23">
      <w:pPr>
        <w:spacing w:line="360" w:lineRule="auto"/>
        <w:ind w:firstLine="480" w:firstLineChars="200"/>
        <w:rPr>
          <w:color w:val="auto"/>
          <w:sz w:val="24"/>
        </w:rPr>
      </w:pPr>
      <w:r>
        <w:rPr>
          <w:rFonts w:hint="eastAsia"/>
          <w:color w:val="auto"/>
          <w:sz w:val="24"/>
        </w:rPr>
        <w:t>5.</w:t>
      </w:r>
      <w:r>
        <w:rPr>
          <w:rFonts w:hint="eastAsia"/>
          <w:color w:val="auto"/>
          <w:sz w:val="24"/>
          <w:lang w:val="en-US"/>
        </w:rPr>
        <w:t>2</w:t>
      </w:r>
      <w:r>
        <w:rPr>
          <w:rFonts w:hint="eastAsia"/>
          <w:color w:val="auto"/>
          <w:sz w:val="24"/>
        </w:rPr>
        <w:t>.2最终报价超过最高限价的作无效标处理。</w:t>
      </w:r>
    </w:p>
    <w:p w14:paraId="7D59A532">
      <w:pPr>
        <w:spacing w:line="360" w:lineRule="auto"/>
        <w:ind w:firstLine="480" w:firstLineChars="200"/>
        <w:rPr>
          <w:color w:val="auto"/>
          <w:sz w:val="24"/>
        </w:rPr>
      </w:pPr>
      <w:r>
        <w:rPr>
          <w:rFonts w:hint="eastAsia"/>
          <w:color w:val="auto"/>
          <w:sz w:val="24"/>
        </w:rPr>
        <w:t>5.</w:t>
      </w:r>
      <w:r>
        <w:rPr>
          <w:rFonts w:hint="eastAsia"/>
          <w:color w:val="auto"/>
          <w:sz w:val="24"/>
          <w:lang w:val="en-US"/>
        </w:rPr>
        <w:t>2</w:t>
      </w:r>
      <w:r>
        <w:rPr>
          <w:rFonts w:hint="eastAsia"/>
          <w:color w:val="auto"/>
          <w:sz w:val="24"/>
        </w:rPr>
        <w:t>.3最终报价有漏项的或报价数量少于磋商文件要求数量的作无效标处理。</w:t>
      </w:r>
    </w:p>
    <w:p w14:paraId="3F8648E6">
      <w:pPr>
        <w:spacing w:line="360" w:lineRule="auto"/>
        <w:ind w:firstLine="482" w:firstLineChars="200"/>
        <w:rPr>
          <w:b/>
          <w:color w:val="auto"/>
          <w:sz w:val="24"/>
        </w:rPr>
      </w:pPr>
      <w:r>
        <w:rPr>
          <w:rFonts w:hint="eastAsia"/>
          <w:b/>
          <w:color w:val="auto"/>
          <w:sz w:val="24"/>
        </w:rPr>
        <w:t>5.</w:t>
      </w:r>
      <w:r>
        <w:rPr>
          <w:rFonts w:hint="eastAsia"/>
          <w:b/>
          <w:color w:val="auto"/>
          <w:sz w:val="24"/>
          <w:lang w:val="en-US"/>
        </w:rPr>
        <w:t>2</w:t>
      </w:r>
      <w:r>
        <w:rPr>
          <w:rFonts w:hint="eastAsia"/>
          <w:b/>
          <w:color w:val="auto"/>
          <w:sz w:val="24"/>
        </w:rPr>
        <w:t>.4 报价得分按以下方式计算：</w:t>
      </w:r>
    </w:p>
    <w:p w14:paraId="27E06650">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（1）小微企业、监狱企业和残疾人福利企业（统称为小微企业）产品价格给予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w:t>
      </w:r>
    </w:p>
    <w:p w14:paraId="4890BAC3">
      <w:pPr>
        <w:spacing w:line="360" w:lineRule="auto"/>
        <w:rPr>
          <w:rFonts w:hint="eastAsia" w:ascii="仿宋" w:hAnsi="仿宋" w:eastAsia="仿宋" w:cs="仿宋"/>
          <w:color w:val="auto"/>
          <w:sz w:val="24"/>
        </w:rPr>
      </w:pPr>
      <w:r>
        <w:rPr>
          <w:rFonts w:hint="eastAsia" w:ascii="仿宋" w:hAnsi="仿宋" w:eastAsia="仿宋" w:cs="仿宋"/>
          <w:color w:val="auto"/>
          <w:sz w:val="24"/>
        </w:rPr>
        <w:t>的扣除，其评标价计算公式如下：</w:t>
      </w:r>
    </w:p>
    <w:p w14:paraId="0EE630A2">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评标价=小微企业报价×（1-</w:t>
      </w:r>
      <w:r>
        <w:rPr>
          <w:rFonts w:hint="eastAsia" w:ascii="仿宋" w:hAnsi="仿宋" w:eastAsia="仿宋" w:cs="仿宋"/>
          <w:color w:val="auto"/>
          <w:sz w:val="24"/>
          <w:lang w:val="en-US" w:eastAsia="zh-CN"/>
        </w:rPr>
        <w:t>10</w:t>
      </w:r>
      <w:r>
        <w:rPr>
          <w:rFonts w:hint="eastAsia" w:ascii="仿宋" w:hAnsi="仿宋" w:eastAsia="仿宋" w:cs="仿宋"/>
          <w:color w:val="auto"/>
          <w:sz w:val="24"/>
        </w:rPr>
        <w:t>%）；</w:t>
      </w:r>
    </w:p>
    <w:p w14:paraId="3B1CEC5A">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并以调整后的价格计算评标基准价和评标价；</w:t>
      </w:r>
    </w:p>
    <w:p w14:paraId="23F1A2B8">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（2）其他投标单位的评标价=各供应商最终有效报价；</w:t>
      </w:r>
    </w:p>
    <w:p w14:paraId="457F35CB">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（3）评标基准价=进入报价评分的各投标人有效评标价中的最低价；</w:t>
      </w:r>
    </w:p>
    <w:p w14:paraId="0402938F">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（4）评标价等于评标基准价的得满分，其他投标人的报价得分按下列公式计算：</w:t>
      </w:r>
    </w:p>
    <w:p w14:paraId="4CAFC48E">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投标报价得分=（评标基准价/评标价）×报价权重×100。</w:t>
      </w:r>
    </w:p>
    <w:p w14:paraId="6813A669">
      <w:pPr>
        <w:spacing w:line="360" w:lineRule="auto"/>
        <w:ind w:firstLine="420"/>
        <w:rPr>
          <w:b/>
          <w:color w:val="auto"/>
          <w:sz w:val="24"/>
        </w:rPr>
      </w:pPr>
      <w:r>
        <w:rPr>
          <w:rFonts w:hint="eastAsia"/>
          <w:b/>
          <w:color w:val="auto"/>
          <w:sz w:val="24"/>
        </w:rPr>
        <w:t>5.</w:t>
      </w:r>
      <w:r>
        <w:rPr>
          <w:rFonts w:hint="eastAsia"/>
          <w:b/>
          <w:color w:val="auto"/>
          <w:sz w:val="24"/>
          <w:lang w:val="en-US"/>
        </w:rPr>
        <w:t>3</w:t>
      </w:r>
      <w:r>
        <w:rPr>
          <w:rFonts w:hint="eastAsia"/>
          <w:b/>
          <w:color w:val="auto"/>
          <w:sz w:val="24"/>
        </w:rPr>
        <w:t xml:space="preserve"> 本项目最终得分=资信商务及技术得分＋报价得分；</w:t>
      </w:r>
    </w:p>
    <w:p w14:paraId="4D16358B">
      <w:pPr>
        <w:spacing w:line="360" w:lineRule="auto"/>
        <w:ind w:firstLine="420"/>
        <w:rPr>
          <w:b/>
          <w:color w:val="auto"/>
          <w:sz w:val="24"/>
        </w:rPr>
      </w:pPr>
      <w:r>
        <w:rPr>
          <w:rFonts w:hint="eastAsia"/>
          <w:color w:val="auto"/>
          <w:sz w:val="24"/>
        </w:rPr>
        <w:t>5.</w:t>
      </w:r>
      <w:r>
        <w:rPr>
          <w:rFonts w:hint="eastAsia"/>
          <w:color w:val="auto"/>
          <w:sz w:val="24"/>
          <w:lang w:val="en-US"/>
        </w:rPr>
        <w:t>4</w:t>
      </w:r>
      <w:r>
        <w:rPr>
          <w:rFonts w:hint="eastAsia"/>
          <w:color w:val="auto"/>
          <w:sz w:val="24"/>
        </w:rPr>
        <w:t xml:space="preserve"> 评分时保留小数1位，计算评分值时保留小数2位，小数点采用四舍五入方法。</w:t>
      </w:r>
    </w:p>
    <w:p w14:paraId="10C8EA7E">
      <w:pPr>
        <w:pStyle w:val="4"/>
        <w:tabs>
          <w:tab w:val="left" w:pos="871"/>
        </w:tabs>
        <w:spacing w:line="360" w:lineRule="auto"/>
        <w:ind w:left="117"/>
        <w:jc w:val="both"/>
        <w:rPr>
          <w:bCs w:val="0"/>
          <w:color w:val="auto"/>
          <w:sz w:val="32"/>
          <w:szCs w:val="32"/>
        </w:rPr>
      </w:pPr>
      <w:bookmarkStart w:id="119" w:name="_Toc12425"/>
      <w:r>
        <w:rPr>
          <w:rFonts w:hint="eastAsia"/>
          <w:bCs w:val="0"/>
          <w:color w:val="auto"/>
          <w:sz w:val="32"/>
          <w:szCs w:val="32"/>
        </w:rPr>
        <w:t>六   磋商纪律和要求</w:t>
      </w:r>
      <w:bookmarkEnd w:id="112"/>
      <w:bookmarkEnd w:id="113"/>
      <w:bookmarkEnd w:id="114"/>
      <w:bookmarkEnd w:id="115"/>
      <w:bookmarkEnd w:id="116"/>
      <w:bookmarkEnd w:id="119"/>
    </w:p>
    <w:p w14:paraId="27C28CAE">
      <w:pPr>
        <w:spacing w:line="360" w:lineRule="auto"/>
        <w:ind w:firstLine="480" w:firstLineChars="200"/>
        <w:rPr>
          <w:color w:val="auto"/>
          <w:sz w:val="24"/>
        </w:rPr>
      </w:pPr>
      <w:r>
        <w:rPr>
          <w:rFonts w:hint="eastAsia"/>
          <w:color w:val="auto"/>
          <w:sz w:val="24"/>
        </w:rPr>
        <w:t>6.1</w:t>
      </w:r>
      <w:r>
        <w:rPr>
          <w:rFonts w:hint="eastAsia"/>
          <w:color w:val="auto"/>
          <w:sz w:val="24"/>
          <w:lang w:val="en-US" w:eastAsia="zh-CN"/>
        </w:rPr>
        <w:t xml:space="preserve"> </w:t>
      </w:r>
      <w:r>
        <w:rPr>
          <w:rFonts w:hint="eastAsia"/>
          <w:color w:val="auto"/>
          <w:sz w:val="24"/>
        </w:rPr>
        <w:t>磋商小组成员必须公平、公正评审，遵纪守法，客观、廉洁地履行职责。</w:t>
      </w:r>
    </w:p>
    <w:p w14:paraId="3B94BCB6">
      <w:pPr>
        <w:spacing w:line="360" w:lineRule="auto"/>
        <w:ind w:firstLine="480" w:firstLineChars="200"/>
        <w:rPr>
          <w:color w:val="auto"/>
          <w:sz w:val="24"/>
        </w:rPr>
      </w:pPr>
      <w:r>
        <w:rPr>
          <w:rFonts w:hint="eastAsia"/>
          <w:color w:val="auto"/>
          <w:sz w:val="24"/>
        </w:rPr>
        <w:t>6.2</w:t>
      </w:r>
      <w:r>
        <w:rPr>
          <w:rFonts w:hint="eastAsia"/>
          <w:color w:val="auto"/>
          <w:sz w:val="24"/>
          <w:lang w:val="en-US" w:eastAsia="zh-CN"/>
        </w:rPr>
        <w:t xml:space="preserve"> </w:t>
      </w:r>
      <w:r>
        <w:rPr>
          <w:rFonts w:hint="eastAsia"/>
          <w:color w:val="auto"/>
          <w:sz w:val="24"/>
        </w:rPr>
        <w:t>磋商小组成员在评审开始前，应关闭并上交随身携带的各种通信工具。</w:t>
      </w:r>
    </w:p>
    <w:p w14:paraId="39624CAC">
      <w:pPr>
        <w:spacing w:line="360" w:lineRule="auto"/>
        <w:ind w:firstLine="480" w:firstLineChars="200"/>
        <w:rPr>
          <w:color w:val="auto"/>
          <w:sz w:val="24"/>
        </w:rPr>
      </w:pPr>
      <w:r>
        <w:rPr>
          <w:rFonts w:hint="eastAsia"/>
          <w:color w:val="auto"/>
          <w:sz w:val="24"/>
        </w:rPr>
        <w:t>6.3</w:t>
      </w:r>
      <w:r>
        <w:rPr>
          <w:rFonts w:hint="eastAsia"/>
          <w:color w:val="auto"/>
          <w:sz w:val="24"/>
          <w:lang w:val="en-US" w:eastAsia="zh-CN"/>
        </w:rPr>
        <w:t xml:space="preserve"> </w:t>
      </w:r>
      <w:r>
        <w:rPr>
          <w:rFonts w:hint="eastAsia"/>
          <w:color w:val="auto"/>
          <w:sz w:val="24"/>
        </w:rPr>
        <w:t>磋商小组成员在评审过程中，未经许可不得中途离开评审现场，不得迟到早退。</w:t>
      </w:r>
    </w:p>
    <w:p w14:paraId="35526420">
      <w:pPr>
        <w:spacing w:line="360" w:lineRule="auto"/>
        <w:ind w:firstLine="480" w:firstLineChars="200"/>
        <w:rPr>
          <w:color w:val="auto"/>
          <w:sz w:val="24"/>
        </w:rPr>
      </w:pPr>
      <w:r>
        <w:rPr>
          <w:rFonts w:hint="eastAsia"/>
          <w:color w:val="auto"/>
          <w:sz w:val="24"/>
        </w:rPr>
        <w:t>6.4</w:t>
      </w:r>
      <w:r>
        <w:rPr>
          <w:rFonts w:hint="eastAsia"/>
          <w:color w:val="auto"/>
          <w:sz w:val="24"/>
          <w:lang w:val="en-US" w:eastAsia="zh-CN"/>
        </w:rPr>
        <w:t xml:space="preserve"> </w:t>
      </w:r>
      <w:r>
        <w:rPr>
          <w:rFonts w:hint="eastAsia"/>
          <w:color w:val="auto"/>
          <w:sz w:val="24"/>
        </w:rPr>
        <w:t>磋商小组成员和工作人员不得透露评审过程中的讨论情况和评审结果。</w:t>
      </w:r>
    </w:p>
    <w:p w14:paraId="5E75662C">
      <w:pPr>
        <w:spacing w:line="360" w:lineRule="auto"/>
        <w:ind w:firstLine="480"/>
        <w:rPr>
          <w:color w:val="auto"/>
          <w:sz w:val="24"/>
        </w:rPr>
      </w:pPr>
      <w:r>
        <w:rPr>
          <w:rFonts w:hint="eastAsia"/>
          <w:color w:val="auto"/>
          <w:sz w:val="24"/>
        </w:rPr>
        <w:t>6.5</w:t>
      </w:r>
      <w:r>
        <w:rPr>
          <w:rFonts w:hint="eastAsia"/>
          <w:color w:val="auto"/>
          <w:sz w:val="24"/>
          <w:lang w:val="en-US" w:eastAsia="zh-CN"/>
        </w:rPr>
        <w:t xml:space="preserve"> </w:t>
      </w:r>
      <w:r>
        <w:rPr>
          <w:rFonts w:hint="eastAsia"/>
          <w:color w:val="auto"/>
          <w:sz w:val="24"/>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12715FEF">
      <w:pPr>
        <w:spacing w:line="360" w:lineRule="auto"/>
        <w:ind w:firstLine="480" w:firstLineChars="200"/>
        <w:rPr>
          <w:color w:val="auto"/>
          <w:sz w:val="24"/>
        </w:rPr>
      </w:pPr>
      <w:r>
        <w:rPr>
          <w:rFonts w:hint="eastAsia"/>
          <w:color w:val="auto"/>
          <w:sz w:val="24"/>
        </w:rPr>
        <w:t>6.6</w:t>
      </w:r>
      <w:r>
        <w:rPr>
          <w:rFonts w:hint="eastAsia"/>
          <w:color w:val="auto"/>
          <w:sz w:val="24"/>
          <w:lang w:val="en-US" w:eastAsia="zh-CN"/>
        </w:rPr>
        <w:t xml:space="preserve"> </w:t>
      </w:r>
      <w:r>
        <w:rPr>
          <w:rFonts w:hint="eastAsia"/>
          <w:color w:val="auto"/>
          <w:sz w:val="24"/>
        </w:rPr>
        <w:t>采购人、采购代理机构不得向磋商小组的磋商小组成员作倾向性、误导性的解释或者说明。</w:t>
      </w:r>
    </w:p>
    <w:p w14:paraId="14A789B4">
      <w:pPr>
        <w:spacing w:line="360" w:lineRule="auto"/>
        <w:ind w:firstLine="480" w:firstLineChars="200"/>
        <w:rPr>
          <w:color w:val="auto"/>
          <w:sz w:val="24"/>
        </w:rPr>
      </w:pPr>
      <w:r>
        <w:rPr>
          <w:rFonts w:hint="eastAsia"/>
          <w:color w:val="auto"/>
          <w:sz w:val="24"/>
        </w:rPr>
        <w:t>6.7</w:t>
      </w:r>
      <w:r>
        <w:rPr>
          <w:rFonts w:hint="eastAsia"/>
          <w:color w:val="auto"/>
          <w:sz w:val="24"/>
          <w:lang w:val="en-US" w:eastAsia="zh-CN"/>
        </w:rPr>
        <w:t xml:space="preserve"> </w:t>
      </w:r>
      <w:r>
        <w:rPr>
          <w:rFonts w:hint="eastAsia"/>
          <w:color w:val="auto"/>
          <w:sz w:val="24"/>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572A4D13">
      <w:pPr>
        <w:spacing w:line="360" w:lineRule="auto"/>
        <w:ind w:firstLine="480" w:firstLineChars="200"/>
        <w:rPr>
          <w:color w:val="auto"/>
          <w:sz w:val="24"/>
        </w:rPr>
      </w:pPr>
      <w:r>
        <w:rPr>
          <w:rFonts w:hint="eastAsia"/>
          <w:color w:val="auto"/>
          <w:sz w:val="24"/>
          <w:szCs w:val="21"/>
        </w:rPr>
        <w:t>6.8</w:t>
      </w:r>
      <w:r>
        <w:rPr>
          <w:rFonts w:hint="eastAsia"/>
          <w:color w:val="auto"/>
          <w:sz w:val="24"/>
          <w:szCs w:val="21"/>
          <w:lang w:val="en-US" w:eastAsia="zh-CN"/>
        </w:rPr>
        <w:t xml:space="preserve"> </w:t>
      </w:r>
      <w:r>
        <w:rPr>
          <w:rFonts w:hint="eastAsia"/>
          <w:color w:val="auto"/>
          <w:sz w:val="24"/>
          <w:szCs w:val="21"/>
        </w:rPr>
        <w:t>磋商小组成员在评审过程中不得将自己的观点强加给其他磋商小组成员，磋商小组成员应自主发表见解，对评审意见承担个人责任。</w:t>
      </w:r>
    </w:p>
    <w:p w14:paraId="7B8DC778">
      <w:pPr>
        <w:spacing w:line="360" w:lineRule="auto"/>
        <w:ind w:firstLine="480" w:firstLineChars="200"/>
        <w:rPr>
          <w:color w:val="auto"/>
          <w:sz w:val="24"/>
        </w:rPr>
      </w:pPr>
      <w:r>
        <w:rPr>
          <w:rFonts w:hint="eastAsia"/>
          <w:color w:val="auto"/>
          <w:sz w:val="24"/>
        </w:rPr>
        <w:t>6.9</w:t>
      </w:r>
      <w:r>
        <w:rPr>
          <w:rFonts w:hint="eastAsia"/>
          <w:color w:val="auto"/>
          <w:sz w:val="24"/>
          <w:lang w:val="en-US" w:eastAsia="zh-CN"/>
        </w:rPr>
        <w:t xml:space="preserve"> </w:t>
      </w:r>
      <w:r>
        <w:rPr>
          <w:rFonts w:hint="eastAsia" w:ascii="仿宋" w:hAnsi="仿宋" w:eastAsia="仿宋" w:cs="仿宋"/>
          <w:color w:val="auto"/>
          <w:sz w:val="24"/>
        </w:rPr>
        <w:t>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0D0FF42C">
      <w:pPr>
        <w:spacing w:line="360" w:lineRule="auto"/>
        <w:ind w:firstLine="480" w:firstLineChars="200"/>
        <w:rPr>
          <w:color w:val="auto"/>
          <w:sz w:val="24"/>
        </w:rPr>
      </w:pPr>
      <w:r>
        <w:rPr>
          <w:rFonts w:hint="eastAsia"/>
          <w:color w:val="auto"/>
          <w:sz w:val="24"/>
        </w:rPr>
        <w:t>6.10</w:t>
      </w:r>
      <w:r>
        <w:rPr>
          <w:rFonts w:hint="eastAsia"/>
          <w:color w:val="auto"/>
          <w:sz w:val="24"/>
          <w:lang w:val="en-US" w:eastAsia="zh-CN"/>
        </w:rPr>
        <w:t xml:space="preserve"> </w:t>
      </w:r>
      <w:r>
        <w:rPr>
          <w:rFonts w:hint="eastAsia"/>
          <w:color w:val="auto"/>
          <w:sz w:val="24"/>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5631A742">
      <w:pPr>
        <w:spacing w:line="360" w:lineRule="auto"/>
        <w:ind w:firstLine="480" w:firstLineChars="200"/>
        <w:rPr>
          <w:color w:val="auto"/>
          <w:sz w:val="24"/>
        </w:rPr>
      </w:pPr>
      <w:r>
        <w:rPr>
          <w:rFonts w:hint="eastAsia"/>
          <w:color w:val="auto"/>
          <w:sz w:val="24"/>
        </w:rPr>
        <w:t>6.11</w:t>
      </w:r>
      <w:r>
        <w:rPr>
          <w:rFonts w:hint="eastAsia"/>
          <w:color w:val="auto"/>
          <w:sz w:val="24"/>
          <w:lang w:val="en-US" w:eastAsia="zh-CN"/>
        </w:rPr>
        <w:t xml:space="preserve"> </w:t>
      </w:r>
      <w:r>
        <w:rPr>
          <w:rFonts w:hint="eastAsia"/>
          <w:color w:val="auto"/>
          <w:sz w:val="24"/>
        </w:rPr>
        <w:t>磋商小组成员应当遵守评审工作纪律，不得泄露评审文件、评审情况和评审中获悉的商业秘密。</w:t>
      </w:r>
    </w:p>
    <w:p w14:paraId="72461129">
      <w:pPr>
        <w:spacing w:line="360" w:lineRule="auto"/>
        <w:ind w:firstLine="480" w:firstLineChars="200"/>
        <w:rPr>
          <w:color w:val="auto"/>
          <w:sz w:val="24"/>
        </w:rPr>
      </w:pPr>
      <w:r>
        <w:rPr>
          <w:rFonts w:hint="eastAsia"/>
          <w:color w:val="auto"/>
          <w:sz w:val="24"/>
        </w:rPr>
        <w:t>磋商小组在评审过程中发现供应商有行贿、提供虚假材料或者串通等违法行为的，应当及时向财政部门报告。</w:t>
      </w:r>
    </w:p>
    <w:p w14:paraId="6012F02E">
      <w:pPr>
        <w:spacing w:line="360" w:lineRule="auto"/>
        <w:ind w:firstLine="480" w:firstLineChars="200"/>
        <w:rPr>
          <w:color w:val="auto"/>
          <w:sz w:val="24"/>
        </w:rPr>
      </w:pPr>
      <w:r>
        <w:rPr>
          <w:rFonts w:hint="eastAsia"/>
          <w:color w:val="auto"/>
          <w:sz w:val="24"/>
        </w:rPr>
        <w:t>6.12</w:t>
      </w:r>
      <w:r>
        <w:rPr>
          <w:rFonts w:hint="eastAsia"/>
          <w:color w:val="auto"/>
          <w:sz w:val="24"/>
          <w:lang w:val="en-US" w:eastAsia="zh-CN"/>
        </w:rPr>
        <w:t xml:space="preserve"> </w:t>
      </w:r>
      <w:r>
        <w:rPr>
          <w:rFonts w:hint="eastAsia"/>
          <w:color w:val="auto"/>
          <w:sz w:val="24"/>
        </w:rPr>
        <w:t>磋商文件内容违反国家有关强制性规定的，磋商小组应当停止评审并向采购代理机构说明情况。</w:t>
      </w:r>
    </w:p>
    <w:p w14:paraId="310FD9D4">
      <w:pPr>
        <w:spacing w:line="360" w:lineRule="auto"/>
        <w:ind w:firstLine="480" w:firstLineChars="200"/>
        <w:rPr>
          <w:color w:val="auto"/>
          <w:sz w:val="24"/>
        </w:rPr>
      </w:pPr>
      <w:r>
        <w:rPr>
          <w:rFonts w:hint="eastAsia"/>
          <w:color w:val="auto"/>
          <w:sz w:val="24"/>
        </w:rPr>
        <w:t>6.13</w:t>
      </w:r>
      <w:r>
        <w:rPr>
          <w:rFonts w:hint="eastAsia"/>
          <w:color w:val="auto"/>
          <w:sz w:val="24"/>
          <w:lang w:val="en-US" w:eastAsia="zh-CN"/>
        </w:rPr>
        <w:t xml:space="preserve"> </w:t>
      </w:r>
      <w:r>
        <w:rPr>
          <w:rFonts w:hint="eastAsia"/>
          <w:color w:val="auto"/>
          <w:sz w:val="24"/>
        </w:rPr>
        <w:t>磋商小组成员应当配合采购代理机构答复供应商提出的质疑。</w:t>
      </w:r>
    </w:p>
    <w:p w14:paraId="40BE38E4">
      <w:pPr>
        <w:spacing w:line="360" w:lineRule="auto"/>
        <w:ind w:firstLine="480" w:firstLineChars="200"/>
        <w:rPr>
          <w:color w:val="auto"/>
          <w:sz w:val="24"/>
        </w:rPr>
      </w:pPr>
      <w:r>
        <w:rPr>
          <w:rFonts w:hint="eastAsia"/>
          <w:color w:val="auto"/>
          <w:sz w:val="24"/>
        </w:rPr>
        <w:t>6.14</w:t>
      </w:r>
      <w:r>
        <w:rPr>
          <w:rFonts w:hint="eastAsia"/>
          <w:color w:val="auto"/>
          <w:sz w:val="24"/>
          <w:lang w:val="en-US" w:eastAsia="zh-CN"/>
        </w:rPr>
        <w:t xml:space="preserve"> </w:t>
      </w:r>
      <w:r>
        <w:rPr>
          <w:rFonts w:hint="eastAsia"/>
          <w:color w:val="auto"/>
          <w:sz w:val="24"/>
        </w:rPr>
        <w:t>磋商小组成员应当配合财政部门的投诉处理工作。</w:t>
      </w:r>
    </w:p>
    <w:p w14:paraId="2E673D09">
      <w:pPr>
        <w:spacing w:line="360" w:lineRule="auto"/>
        <w:ind w:firstLine="480" w:firstLineChars="200"/>
        <w:rPr>
          <w:color w:val="auto"/>
          <w:sz w:val="24"/>
        </w:rPr>
      </w:pPr>
      <w:r>
        <w:rPr>
          <w:rFonts w:hint="eastAsia"/>
          <w:color w:val="auto"/>
          <w:sz w:val="24"/>
        </w:rPr>
        <w:t>6.15</w:t>
      </w:r>
      <w:r>
        <w:rPr>
          <w:rFonts w:hint="eastAsia"/>
          <w:color w:val="auto"/>
          <w:sz w:val="24"/>
          <w:lang w:val="en-US" w:eastAsia="zh-CN"/>
        </w:rPr>
        <w:t xml:space="preserve"> </w:t>
      </w:r>
      <w:r>
        <w:rPr>
          <w:rFonts w:hint="eastAsia"/>
          <w:color w:val="auto"/>
          <w:sz w:val="24"/>
        </w:rPr>
        <w:t>磋商小组成员有如下行为之一的，责令改正，给予警告，可以并处一千元以下的罚款：</w:t>
      </w:r>
    </w:p>
    <w:p w14:paraId="30FCC5DD">
      <w:pPr>
        <w:spacing w:line="360" w:lineRule="auto"/>
        <w:ind w:firstLine="480" w:firstLineChars="200"/>
        <w:rPr>
          <w:color w:val="auto"/>
          <w:sz w:val="24"/>
        </w:rPr>
      </w:pPr>
      <w:r>
        <w:rPr>
          <w:rFonts w:hint="eastAsia"/>
          <w:color w:val="auto"/>
          <w:sz w:val="24"/>
        </w:rPr>
        <w:t>6.15.1</w:t>
      </w:r>
      <w:r>
        <w:rPr>
          <w:rFonts w:hint="eastAsia"/>
          <w:color w:val="auto"/>
          <w:sz w:val="24"/>
          <w:lang w:val="en-US" w:eastAsia="zh-CN"/>
        </w:rPr>
        <w:t xml:space="preserve"> </w:t>
      </w:r>
      <w:r>
        <w:rPr>
          <w:rFonts w:hint="eastAsia"/>
          <w:color w:val="auto"/>
          <w:sz w:val="24"/>
        </w:rPr>
        <w:t>明知应当回避而未主动回避的</w:t>
      </w:r>
      <w:r>
        <w:rPr>
          <w:rFonts w:hint="eastAsia"/>
          <w:color w:val="auto"/>
          <w:sz w:val="24"/>
          <w:lang w:eastAsia="zh-CN"/>
        </w:rPr>
        <w:t>；</w:t>
      </w:r>
    </w:p>
    <w:p w14:paraId="0629A38A">
      <w:pPr>
        <w:spacing w:line="360" w:lineRule="auto"/>
        <w:ind w:firstLine="480" w:firstLineChars="200"/>
        <w:rPr>
          <w:color w:val="auto"/>
          <w:sz w:val="24"/>
        </w:rPr>
      </w:pPr>
      <w:r>
        <w:rPr>
          <w:rFonts w:hint="eastAsia"/>
          <w:color w:val="auto"/>
          <w:sz w:val="24"/>
        </w:rPr>
        <w:t>6.15.2</w:t>
      </w:r>
      <w:r>
        <w:rPr>
          <w:rFonts w:hint="eastAsia"/>
          <w:color w:val="auto"/>
          <w:sz w:val="24"/>
          <w:lang w:val="en-US" w:eastAsia="zh-CN"/>
        </w:rPr>
        <w:t xml:space="preserve"> </w:t>
      </w:r>
      <w:r>
        <w:rPr>
          <w:rFonts w:hint="eastAsia"/>
          <w:color w:val="auto"/>
          <w:sz w:val="24"/>
        </w:rPr>
        <w:t>在知道自己为磋商小组成员身份后至评审结束前的时段内私下接触供应商的</w:t>
      </w:r>
      <w:r>
        <w:rPr>
          <w:rFonts w:hint="eastAsia"/>
          <w:color w:val="auto"/>
          <w:sz w:val="24"/>
          <w:lang w:eastAsia="zh-CN"/>
        </w:rPr>
        <w:t>；</w:t>
      </w:r>
    </w:p>
    <w:p w14:paraId="1FF6D974">
      <w:pPr>
        <w:spacing w:line="360" w:lineRule="auto"/>
        <w:ind w:firstLine="480" w:firstLineChars="200"/>
        <w:rPr>
          <w:color w:val="auto"/>
          <w:sz w:val="24"/>
        </w:rPr>
      </w:pPr>
      <w:r>
        <w:rPr>
          <w:rFonts w:hint="eastAsia"/>
          <w:color w:val="auto"/>
          <w:sz w:val="24"/>
        </w:rPr>
        <w:t>6.15.3</w:t>
      </w:r>
      <w:r>
        <w:rPr>
          <w:rFonts w:hint="eastAsia"/>
          <w:color w:val="auto"/>
          <w:sz w:val="24"/>
          <w:lang w:val="en-US" w:eastAsia="zh-CN"/>
        </w:rPr>
        <w:t xml:space="preserve"> </w:t>
      </w:r>
      <w:r>
        <w:rPr>
          <w:rFonts w:hint="eastAsia"/>
          <w:color w:val="auto"/>
          <w:sz w:val="24"/>
        </w:rPr>
        <w:t>在评审过程中擅离职守，影响评审程序正常进行的</w:t>
      </w:r>
      <w:r>
        <w:rPr>
          <w:rFonts w:hint="eastAsia"/>
          <w:color w:val="auto"/>
          <w:sz w:val="24"/>
          <w:lang w:eastAsia="zh-CN"/>
        </w:rPr>
        <w:t>；</w:t>
      </w:r>
    </w:p>
    <w:p w14:paraId="2955CD60">
      <w:pPr>
        <w:spacing w:line="360" w:lineRule="auto"/>
        <w:ind w:firstLine="480" w:firstLineChars="200"/>
        <w:rPr>
          <w:color w:val="auto"/>
          <w:sz w:val="24"/>
        </w:rPr>
      </w:pPr>
      <w:r>
        <w:rPr>
          <w:rFonts w:hint="eastAsia"/>
          <w:color w:val="auto"/>
          <w:sz w:val="24"/>
        </w:rPr>
        <w:t>6.15.4</w:t>
      </w:r>
      <w:r>
        <w:rPr>
          <w:rFonts w:hint="eastAsia"/>
          <w:color w:val="auto"/>
          <w:sz w:val="24"/>
          <w:lang w:val="en-US" w:eastAsia="zh-CN"/>
        </w:rPr>
        <w:t xml:space="preserve"> </w:t>
      </w:r>
      <w:r>
        <w:rPr>
          <w:rFonts w:hint="eastAsia"/>
          <w:color w:val="auto"/>
          <w:sz w:val="24"/>
        </w:rPr>
        <w:t>在评审过程有明显不合理或者不正当倾向性的</w:t>
      </w:r>
      <w:r>
        <w:rPr>
          <w:rFonts w:hint="eastAsia"/>
          <w:color w:val="auto"/>
          <w:sz w:val="24"/>
          <w:lang w:eastAsia="zh-CN"/>
        </w:rPr>
        <w:t>；</w:t>
      </w:r>
    </w:p>
    <w:p w14:paraId="0BB815AE">
      <w:pPr>
        <w:spacing w:line="360" w:lineRule="auto"/>
        <w:ind w:firstLine="480" w:firstLineChars="200"/>
        <w:rPr>
          <w:color w:val="auto"/>
          <w:sz w:val="24"/>
        </w:rPr>
      </w:pPr>
      <w:r>
        <w:rPr>
          <w:rFonts w:hint="eastAsia"/>
          <w:color w:val="auto"/>
          <w:sz w:val="24"/>
        </w:rPr>
        <w:t>6.15.5</w:t>
      </w:r>
      <w:r>
        <w:rPr>
          <w:rFonts w:hint="eastAsia"/>
          <w:color w:val="auto"/>
          <w:sz w:val="24"/>
          <w:lang w:val="en-US" w:eastAsia="zh-CN"/>
        </w:rPr>
        <w:t xml:space="preserve"> </w:t>
      </w:r>
      <w:r>
        <w:rPr>
          <w:rFonts w:hint="eastAsia"/>
          <w:color w:val="auto"/>
          <w:sz w:val="24"/>
        </w:rPr>
        <w:t>未按磋商文件规定的评审方法和标准进行评审的。</w:t>
      </w:r>
    </w:p>
    <w:p w14:paraId="10CAB890">
      <w:pPr>
        <w:spacing w:line="360" w:lineRule="auto"/>
        <w:ind w:firstLine="480" w:firstLineChars="200"/>
        <w:rPr>
          <w:color w:val="auto"/>
          <w:sz w:val="24"/>
        </w:rPr>
      </w:pPr>
      <w:r>
        <w:rPr>
          <w:rFonts w:hint="eastAsia"/>
          <w:color w:val="auto"/>
          <w:sz w:val="24"/>
        </w:rPr>
        <w:t>6.15.6</w:t>
      </w:r>
      <w:r>
        <w:rPr>
          <w:rFonts w:hint="eastAsia"/>
          <w:color w:val="auto"/>
          <w:sz w:val="24"/>
          <w:lang w:val="en-US" w:eastAsia="zh-CN"/>
        </w:rPr>
        <w:t xml:space="preserve"> </w:t>
      </w:r>
      <w:r>
        <w:rPr>
          <w:rFonts w:hint="eastAsia"/>
          <w:color w:val="auto"/>
          <w:sz w:val="24"/>
        </w:rPr>
        <w:t>上述6.15.1至6.15.5行为影响成交结果的，成交结果无效。</w:t>
      </w:r>
    </w:p>
    <w:p w14:paraId="08933572">
      <w:pPr>
        <w:spacing w:line="360" w:lineRule="auto"/>
        <w:ind w:firstLine="480" w:firstLineChars="200"/>
        <w:rPr>
          <w:color w:val="auto"/>
          <w:sz w:val="24"/>
        </w:rPr>
      </w:pPr>
      <w:r>
        <w:rPr>
          <w:rFonts w:hint="eastAsia"/>
          <w:color w:val="auto"/>
          <w:sz w:val="24"/>
        </w:rPr>
        <w:t>6.16</w:t>
      </w:r>
      <w:r>
        <w:rPr>
          <w:rFonts w:hint="eastAsia"/>
          <w:color w:val="auto"/>
          <w:sz w:val="24"/>
          <w:lang w:val="en-US" w:eastAsia="zh-CN"/>
        </w:rPr>
        <w:t xml:space="preserve"> </w:t>
      </w:r>
      <w:r>
        <w:rPr>
          <w:rFonts w:hint="eastAsia"/>
          <w:color w:val="auto"/>
          <w:sz w:val="24"/>
        </w:rPr>
        <w:t>采购代理机构可对各磋商小组成员的专业技术水平和职业道德素质等情况进行评价，并可将评价意见在评审结束后2个工作日内反馈给财政部门，财政部门以此作为对磋商小组成员的考核管理依据。</w:t>
      </w:r>
    </w:p>
    <w:p w14:paraId="6BA9A933">
      <w:pPr>
        <w:spacing w:line="360" w:lineRule="auto"/>
        <w:ind w:firstLine="480" w:firstLineChars="200"/>
        <w:rPr>
          <w:color w:val="auto"/>
          <w:sz w:val="24"/>
        </w:rPr>
      </w:pPr>
      <w:r>
        <w:rPr>
          <w:rFonts w:hint="eastAsia"/>
          <w:color w:val="auto"/>
          <w:sz w:val="24"/>
        </w:rPr>
        <w:t>6.17</w:t>
      </w:r>
      <w:r>
        <w:rPr>
          <w:rFonts w:hint="eastAsia"/>
          <w:color w:val="auto"/>
          <w:sz w:val="24"/>
          <w:lang w:val="en-US" w:eastAsia="zh-CN"/>
        </w:rPr>
        <w:t xml:space="preserve"> </w:t>
      </w:r>
      <w:r>
        <w:rPr>
          <w:rFonts w:hint="eastAsia"/>
          <w:color w:val="auto"/>
          <w:sz w:val="24"/>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4CFF7041">
      <w:pPr>
        <w:spacing w:line="360" w:lineRule="auto"/>
        <w:ind w:firstLine="480" w:firstLineChars="200"/>
        <w:rPr>
          <w:color w:val="auto"/>
          <w:sz w:val="24"/>
        </w:rPr>
      </w:pPr>
      <w:r>
        <w:rPr>
          <w:rFonts w:hint="eastAsia"/>
          <w:color w:val="auto"/>
          <w:sz w:val="24"/>
        </w:rPr>
        <w:t>政府采购磋商小组成员与供应商存在利害关系未回避的，处2万元以上5万元以下的罚款，禁止其参加政府采购评审活动。</w:t>
      </w:r>
    </w:p>
    <w:p w14:paraId="2F765F72">
      <w:pPr>
        <w:spacing w:line="360" w:lineRule="auto"/>
        <w:ind w:firstLine="480" w:firstLineChars="200"/>
        <w:rPr>
          <w:color w:val="auto"/>
          <w:sz w:val="24"/>
        </w:rPr>
      </w:pPr>
      <w:r>
        <w:rPr>
          <w:rFonts w:hint="eastAsia"/>
          <w:color w:val="auto"/>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10106C44">
      <w:pPr>
        <w:pStyle w:val="43"/>
        <w:tabs>
          <w:tab w:val="left" w:pos="1740"/>
        </w:tabs>
        <w:spacing w:before="0" w:line="360" w:lineRule="auto"/>
        <w:ind w:left="0" w:firstLineChars="200"/>
        <w:jc w:val="both"/>
        <w:rPr>
          <w:color w:val="auto"/>
        </w:rPr>
      </w:pPr>
      <w:r>
        <w:rPr>
          <w:rFonts w:hint="eastAsia"/>
          <w:color w:val="auto"/>
          <w:sz w:val="24"/>
        </w:rPr>
        <w:t>政府采购磋商小组成员有上述违法行为的，其评审意见无效，不得获取评审费；有违法所得的，没收违法所得；给他人造成损失的，依法承担民事责任。</w:t>
      </w:r>
    </w:p>
    <w:sectPr>
      <w:headerReference r:id="rId10" w:type="default"/>
      <w:pgSz w:w="11910" w:h="16840"/>
      <w:pgMar w:top="1247" w:right="1247" w:bottom="1247" w:left="1587" w:header="884" w:footer="884"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32E9">
    <w:pPr>
      <w:pBdr>
        <w:top w:val="single" w:color="auto" w:sz="4" w:space="1"/>
      </w:pBdr>
      <w:tabs>
        <w:tab w:val="left" w:pos="843"/>
        <w:tab w:val="center" w:pos="4595"/>
      </w:tabs>
      <w:jc w:val="left"/>
      <w:rPr>
        <w:sz w:val="24"/>
        <w:szCs w:val="36"/>
        <w:lang w:val="en-US"/>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BA13E">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UUJP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RQk9yQEAAJoDAAAOAAAAAAAAAAEAIAAAAB4BAABkcnMvZTJvRG9j&#10;LnhtbFBLBQYAAAAABgAGAFkBAABZBQAAAAA=&#10;">
              <v:fill on="f" focussize="0,0"/>
              <v:stroke on="f"/>
              <v:imagedata o:title=""/>
              <o:lock v:ext="edit" aspectratio="f"/>
              <v:textbox inset="0mm,0mm,0mm,0mm" style="mso-fit-shape-to-text:t;">
                <w:txbxContent>
                  <w:p w14:paraId="1B2BA13E">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lang w:eastAsia="zh-CN"/>
      </w:rPr>
      <w:t>代理公司：浙江至诚工程咨询有限责任公司</w:t>
    </w:r>
    <w:r>
      <w:rPr>
        <w:rFonts w:hint="eastAsia"/>
        <w:sz w:val="24"/>
        <w:szCs w:val="36"/>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A07E">
    <w:pPr>
      <w:pStyle w:val="2"/>
      <w:pBdr>
        <w:bottom w:val="none" w:color="auto" w:sz="0" w:space="0"/>
      </w:pBdr>
      <w:rPr>
        <w:rFonts w:hint="eastAsia" w:eastAsia="仿宋"/>
        <w:sz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80EB">
    <w:pPr>
      <w:pStyle w:val="2"/>
      <w:pBdr>
        <w:bottom w:val="single" w:color="auto" w:sz="4" w:space="0"/>
      </w:pBdr>
      <w:jc w:val="center"/>
      <w:rPr>
        <w:rFonts w:hint="eastAsia" w:ascii="仿宋" w:hAnsi="仿宋" w:eastAsia="仿宋" w:cs="仿宋"/>
        <w:sz w:val="24"/>
        <w:szCs w:val="24"/>
        <w:lang w:eastAsia="zh-CN"/>
      </w:rPr>
    </w:pPr>
    <w:r>
      <w:rPr>
        <w:rFonts w:hint="eastAsia" w:cs="仿宋"/>
        <w:sz w:val="24"/>
        <w:szCs w:val="24"/>
        <w:lang w:val="en-US" w:eastAsia="zh-CN"/>
      </w:rPr>
      <w:t>遂昌县化工园区地下水污染专项整治全过程咨询服务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1EA3">
    <w:pPr>
      <w:pStyle w:val="2"/>
      <w:pBdr>
        <w:bottom w:val="single" w:color="auto" w:sz="4" w:space="0"/>
      </w:pBdr>
      <w:jc w:val="center"/>
      <w:rPr>
        <w:rFonts w:hint="eastAsia" w:ascii="仿宋" w:hAnsi="仿宋" w:eastAsia="仿宋" w:cs="仿宋"/>
        <w:sz w:val="24"/>
        <w:szCs w:val="24"/>
        <w:lang w:val="en-US" w:eastAsia="zh-CN"/>
      </w:rPr>
    </w:pPr>
    <w:r>
      <w:rPr>
        <w:rFonts w:hint="eastAsia" w:cs="仿宋"/>
        <w:sz w:val="24"/>
        <w:szCs w:val="24"/>
        <w:lang w:val="en-US" w:eastAsia="zh-CN"/>
      </w:rPr>
      <w:t>遂昌县化工园区地下水污染专项整治全过程咨询服务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EFD6">
    <w:pPr>
      <w:pStyle w:val="2"/>
      <w:pBdr>
        <w:bottom w:val="single" w:color="auto" w:sz="4" w:space="0"/>
      </w:pBdr>
      <w:jc w:val="center"/>
      <w:rPr>
        <w:rFonts w:hint="eastAsia" w:ascii="仿宋" w:hAnsi="仿宋" w:eastAsia="仿宋" w:cs="仿宋"/>
        <w:sz w:val="24"/>
        <w:szCs w:val="24"/>
        <w:lang w:eastAsia="zh-CN"/>
      </w:rPr>
    </w:pPr>
    <w:r>
      <w:rPr>
        <w:rFonts w:hint="eastAsia" w:cs="仿宋"/>
        <w:sz w:val="24"/>
        <w:szCs w:val="24"/>
        <w:lang w:val="en-US" w:eastAsia="zh-CN"/>
      </w:rPr>
      <w:t>遂昌县化工园区地下水污染专项整治全过程咨询服务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31E70">
    <w:pPr>
      <w:pStyle w:val="2"/>
      <w:pBdr>
        <w:bottom w:val="single" w:color="auto" w:sz="4" w:space="0"/>
      </w:pBdr>
      <w:jc w:val="center"/>
      <w:rPr>
        <w:rFonts w:hint="eastAsia" w:ascii="仿宋" w:hAnsi="仿宋" w:eastAsia="仿宋" w:cs="仿宋"/>
        <w:sz w:val="24"/>
        <w:szCs w:val="24"/>
        <w:lang w:eastAsia="zh-CN"/>
      </w:rPr>
    </w:pPr>
    <w:r>
      <w:rPr>
        <w:rFonts w:hint="eastAsia" w:cs="仿宋"/>
        <w:sz w:val="24"/>
        <w:szCs w:val="24"/>
        <w:lang w:val="en-US" w:eastAsia="zh-CN"/>
      </w:rPr>
      <w:t>遂昌县化工园区地下水污染专项整治全过程咨询服务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ACDA">
    <w:pPr>
      <w:pStyle w:val="2"/>
      <w:pBdr>
        <w:bottom w:val="single" w:color="auto" w:sz="4" w:space="0"/>
      </w:pBdr>
      <w:rPr>
        <w:rFonts w:hint="eastAsia" w:eastAsia="仿宋"/>
        <w:sz w:val="20"/>
        <w:lang w:eastAsia="zh-CN"/>
      </w:rPr>
    </w:pPr>
    <w:r>
      <w:rPr>
        <w:rFonts w:hint="eastAsia" w:ascii="仿宋_GB2312" w:eastAsia="仿宋_GB2312"/>
        <w:sz w:val="18"/>
        <w:szCs w:val="18"/>
        <w:lang w:val="en-US" w:eastAsia="zh-CN"/>
      </w:rPr>
      <w:t>遂昌县化工园区地下水污染专项整治全过程咨询服务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2B04">
    <w:pPr>
      <w:pStyle w:val="2"/>
      <w:pBdr>
        <w:bottom w:val="single" w:color="auto" w:sz="4" w:space="1"/>
      </w:pBdr>
      <w:jc w:val="center"/>
      <w:rPr>
        <w:rFonts w:hint="eastAsia" w:ascii="仿宋" w:hAnsi="仿宋" w:eastAsia="仿宋" w:cs="仿宋"/>
        <w:sz w:val="24"/>
        <w:szCs w:val="24"/>
        <w:lang w:eastAsia="zh-CN"/>
      </w:rPr>
    </w:pPr>
    <w:r>
      <w:rPr>
        <w:rFonts w:hint="eastAsia" w:cs="仿宋"/>
        <w:sz w:val="24"/>
        <w:szCs w:val="24"/>
        <w:lang w:val="en-US" w:eastAsia="zh-CN"/>
      </w:rPr>
      <w:t>遂昌县化工园区地下水污染专项整治全过程咨询服务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7E541"/>
    <w:multiLevelType w:val="multilevel"/>
    <w:tmpl w:val="EE97E541"/>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suff w:val="space"/>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1">
    <w:nsid w:val="EFABAD18"/>
    <w:multiLevelType w:val="singleLevel"/>
    <w:tmpl w:val="EFABAD18"/>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rPr>
        <w:rFonts w:hint="default"/>
        <w:b w:val="0"/>
        <w:bCs w:val="0"/>
      </w:rPr>
    </w:lvl>
  </w:abstractNum>
  <w:abstractNum w:abstractNumId="3">
    <w:nsid w:val="00000002"/>
    <w:multiLevelType w:val="singleLevel"/>
    <w:tmpl w:val="00000002"/>
    <w:lvl w:ilvl="0" w:tentative="0">
      <w:start w:val="12"/>
      <w:numFmt w:val="decimal"/>
      <w:suff w:val="space"/>
      <w:lvlText w:val="%1."/>
      <w:lvlJc w:val="left"/>
    </w:lvl>
  </w:abstractNum>
  <w:abstractNum w:abstractNumId="4">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5">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6">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8">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9">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10">
    <w:nsid w:val="0DBE92DB"/>
    <w:multiLevelType w:val="singleLevel"/>
    <w:tmpl w:val="0DBE92DB"/>
    <w:lvl w:ilvl="0" w:tentative="0">
      <w:start w:val="1"/>
      <w:numFmt w:val="decimal"/>
      <w:suff w:val="nothing"/>
      <w:lvlText w:val="（%1）"/>
      <w:lvlJc w:val="left"/>
    </w:lvl>
  </w:abstractNum>
  <w:abstractNum w:abstractNumId="11">
    <w:nsid w:val="39B33DC8"/>
    <w:multiLevelType w:val="singleLevel"/>
    <w:tmpl w:val="39B33DC8"/>
    <w:lvl w:ilvl="0" w:tentative="0">
      <w:start w:val="1"/>
      <w:numFmt w:val="decimal"/>
      <w:suff w:val="nothing"/>
      <w:lvlText w:val="%1、"/>
      <w:lvlJc w:val="left"/>
    </w:lvl>
  </w:abstractNum>
  <w:abstractNum w:abstractNumId="12">
    <w:nsid w:val="44F28FD1"/>
    <w:multiLevelType w:val="singleLevel"/>
    <w:tmpl w:val="44F28FD1"/>
    <w:lvl w:ilvl="0" w:tentative="0">
      <w:start w:val="1"/>
      <w:numFmt w:val="decimal"/>
      <w:suff w:val="nothing"/>
      <w:lvlText w:val="%1．"/>
      <w:lvlJc w:val="left"/>
      <w:pPr>
        <w:ind w:left="0" w:firstLine="400"/>
      </w:pPr>
      <w:rPr>
        <w:rFonts w:hint="default"/>
      </w:rPr>
    </w:lvl>
  </w:abstractNum>
  <w:abstractNum w:abstractNumId="13">
    <w:nsid w:val="4B945B9C"/>
    <w:multiLevelType w:val="multilevel"/>
    <w:tmpl w:val="4B945B9C"/>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suff w:val="space"/>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4">
    <w:nsid w:val="6B1ABA43"/>
    <w:multiLevelType w:val="multilevel"/>
    <w:tmpl w:val="6B1ABA43"/>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suff w:val="space"/>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15">
    <w:nsid w:val="6C356D54"/>
    <w:multiLevelType w:val="singleLevel"/>
    <w:tmpl w:val="6C356D54"/>
    <w:lvl w:ilvl="0" w:tentative="0">
      <w:start w:val="1"/>
      <w:numFmt w:val="chineseCounting"/>
      <w:suff w:val="nothing"/>
      <w:lvlText w:val="%1、"/>
      <w:lvlJc w:val="left"/>
      <w:pPr>
        <w:ind w:left="-420" w:firstLine="420"/>
      </w:pPr>
      <w:rPr>
        <w:rFonts w:hint="eastAsia"/>
      </w:rPr>
    </w:lvl>
  </w:abstractNum>
  <w:abstractNum w:abstractNumId="16">
    <w:nsid w:val="75B95237"/>
    <w:multiLevelType w:val="singleLevel"/>
    <w:tmpl w:val="75B95237"/>
    <w:lvl w:ilvl="0" w:tentative="0">
      <w:start w:val="2"/>
      <w:numFmt w:val="chineseCounting"/>
      <w:suff w:val="space"/>
      <w:lvlText w:val="第%1章"/>
      <w:lvlJc w:val="left"/>
      <w:rPr>
        <w:rFonts w:hint="eastAsia"/>
      </w:rPr>
    </w:lvl>
  </w:abstractNum>
  <w:num w:numId="1">
    <w:abstractNumId w:val="16"/>
  </w:num>
  <w:num w:numId="2">
    <w:abstractNumId w:val="15"/>
  </w:num>
  <w:num w:numId="3">
    <w:abstractNumId w:val="1"/>
  </w:num>
  <w:num w:numId="4">
    <w:abstractNumId w:val="11"/>
  </w:num>
  <w:num w:numId="5">
    <w:abstractNumId w:val="12"/>
  </w:num>
  <w:num w:numId="6">
    <w:abstractNumId w:val="9"/>
  </w:num>
  <w:num w:numId="7">
    <w:abstractNumId w:val="14"/>
  </w:num>
  <w:num w:numId="8">
    <w:abstractNumId w:val="0"/>
  </w:num>
  <w:num w:numId="9">
    <w:abstractNumId w:val="13"/>
  </w:num>
  <w:num w:numId="10">
    <w:abstractNumId w:val="3"/>
  </w:num>
  <w:num w:numId="11">
    <w:abstractNumId w:val="6"/>
  </w:num>
  <w:num w:numId="12">
    <w:abstractNumId w:val="7"/>
  </w:num>
  <w:num w:numId="13">
    <w:abstractNumId w:val="5"/>
  </w:num>
  <w:num w:numId="14">
    <w:abstractNumId w:val="4"/>
  </w:num>
  <w:num w:numId="15">
    <w:abstractNumId w:val="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zM1YTE1MzBjOWQ2YjA1MTFmYWMyNzgxMTUxMGEifQ=="/>
  </w:docVars>
  <w:rsids>
    <w:rsidRoot w:val="00BA6747"/>
    <w:rsid w:val="0004516F"/>
    <w:rsid w:val="00046F13"/>
    <w:rsid w:val="0005760F"/>
    <w:rsid w:val="000E16CB"/>
    <w:rsid w:val="002317C1"/>
    <w:rsid w:val="002E707D"/>
    <w:rsid w:val="003A65C1"/>
    <w:rsid w:val="004B3AF3"/>
    <w:rsid w:val="00516B61"/>
    <w:rsid w:val="00536AFE"/>
    <w:rsid w:val="00536F02"/>
    <w:rsid w:val="0057206E"/>
    <w:rsid w:val="0059154E"/>
    <w:rsid w:val="005D2D5E"/>
    <w:rsid w:val="006541D9"/>
    <w:rsid w:val="00674A59"/>
    <w:rsid w:val="00724B35"/>
    <w:rsid w:val="00803C0E"/>
    <w:rsid w:val="00897861"/>
    <w:rsid w:val="009B7A97"/>
    <w:rsid w:val="009D6216"/>
    <w:rsid w:val="00A97E8E"/>
    <w:rsid w:val="00AB655C"/>
    <w:rsid w:val="00B67F30"/>
    <w:rsid w:val="00BA6747"/>
    <w:rsid w:val="00BC545F"/>
    <w:rsid w:val="00BC5DB2"/>
    <w:rsid w:val="00C33C3A"/>
    <w:rsid w:val="00C6733C"/>
    <w:rsid w:val="00D23522"/>
    <w:rsid w:val="00DF79E7"/>
    <w:rsid w:val="00E30EDA"/>
    <w:rsid w:val="00F16A50"/>
    <w:rsid w:val="00F432CF"/>
    <w:rsid w:val="01AA7612"/>
    <w:rsid w:val="01DB6104"/>
    <w:rsid w:val="02B060D9"/>
    <w:rsid w:val="030B4F81"/>
    <w:rsid w:val="0337535E"/>
    <w:rsid w:val="03440783"/>
    <w:rsid w:val="04504C38"/>
    <w:rsid w:val="0458009E"/>
    <w:rsid w:val="049D0C44"/>
    <w:rsid w:val="04B51FBB"/>
    <w:rsid w:val="04ED6A6C"/>
    <w:rsid w:val="051E1795"/>
    <w:rsid w:val="0579183C"/>
    <w:rsid w:val="06075B5F"/>
    <w:rsid w:val="064A337A"/>
    <w:rsid w:val="0671333D"/>
    <w:rsid w:val="06E70CFB"/>
    <w:rsid w:val="088B09A3"/>
    <w:rsid w:val="09311C77"/>
    <w:rsid w:val="0B9003E7"/>
    <w:rsid w:val="0BA27697"/>
    <w:rsid w:val="0C8A677F"/>
    <w:rsid w:val="0E294B7A"/>
    <w:rsid w:val="0E5D6C2D"/>
    <w:rsid w:val="0E97405F"/>
    <w:rsid w:val="0F346728"/>
    <w:rsid w:val="0FE5761F"/>
    <w:rsid w:val="10307DD4"/>
    <w:rsid w:val="11B36C9A"/>
    <w:rsid w:val="125E2109"/>
    <w:rsid w:val="133E0622"/>
    <w:rsid w:val="1376784D"/>
    <w:rsid w:val="13E175CD"/>
    <w:rsid w:val="14AD1355"/>
    <w:rsid w:val="14EB6D47"/>
    <w:rsid w:val="14FD5A25"/>
    <w:rsid w:val="15946CAC"/>
    <w:rsid w:val="160F5B7D"/>
    <w:rsid w:val="16352C0C"/>
    <w:rsid w:val="16977531"/>
    <w:rsid w:val="16A12AF5"/>
    <w:rsid w:val="16EF2972"/>
    <w:rsid w:val="1791278E"/>
    <w:rsid w:val="17C44CFF"/>
    <w:rsid w:val="17EE4066"/>
    <w:rsid w:val="19527EBF"/>
    <w:rsid w:val="195A64F3"/>
    <w:rsid w:val="19903FE7"/>
    <w:rsid w:val="1AC17F49"/>
    <w:rsid w:val="1B7F3A17"/>
    <w:rsid w:val="1C107F0D"/>
    <w:rsid w:val="1C406E5A"/>
    <w:rsid w:val="1CA06924"/>
    <w:rsid w:val="1CA52874"/>
    <w:rsid w:val="1CB85A4E"/>
    <w:rsid w:val="1D1A7054"/>
    <w:rsid w:val="1E21181D"/>
    <w:rsid w:val="1E72416F"/>
    <w:rsid w:val="1F23787D"/>
    <w:rsid w:val="1FE61CC7"/>
    <w:rsid w:val="2104709D"/>
    <w:rsid w:val="210617F6"/>
    <w:rsid w:val="21851C46"/>
    <w:rsid w:val="21D71985"/>
    <w:rsid w:val="226F5DF1"/>
    <w:rsid w:val="227A12BA"/>
    <w:rsid w:val="238E46C6"/>
    <w:rsid w:val="23CD34A4"/>
    <w:rsid w:val="240B27CE"/>
    <w:rsid w:val="2424644F"/>
    <w:rsid w:val="25BA5ED0"/>
    <w:rsid w:val="262A0CD3"/>
    <w:rsid w:val="26E15D4F"/>
    <w:rsid w:val="26EC7DD8"/>
    <w:rsid w:val="2760193E"/>
    <w:rsid w:val="27710C8E"/>
    <w:rsid w:val="280B3BA1"/>
    <w:rsid w:val="294B2C1A"/>
    <w:rsid w:val="29B43F0D"/>
    <w:rsid w:val="2B0957FA"/>
    <w:rsid w:val="2BC73B5F"/>
    <w:rsid w:val="2CAA06CD"/>
    <w:rsid w:val="2CBD4358"/>
    <w:rsid w:val="2CC87C7D"/>
    <w:rsid w:val="2CE3262B"/>
    <w:rsid w:val="2DBA300D"/>
    <w:rsid w:val="2DDB0E3F"/>
    <w:rsid w:val="2DF55F57"/>
    <w:rsid w:val="2E1A349E"/>
    <w:rsid w:val="2E4F2468"/>
    <w:rsid w:val="2E54513A"/>
    <w:rsid w:val="2F2C0968"/>
    <w:rsid w:val="2FEB4571"/>
    <w:rsid w:val="30450A8C"/>
    <w:rsid w:val="307759D9"/>
    <w:rsid w:val="307D0230"/>
    <w:rsid w:val="30DE315E"/>
    <w:rsid w:val="314174A5"/>
    <w:rsid w:val="316E291C"/>
    <w:rsid w:val="31B01049"/>
    <w:rsid w:val="324E3418"/>
    <w:rsid w:val="32614FC2"/>
    <w:rsid w:val="3295408B"/>
    <w:rsid w:val="33503102"/>
    <w:rsid w:val="351041A1"/>
    <w:rsid w:val="356B3A25"/>
    <w:rsid w:val="35AE0325"/>
    <w:rsid w:val="35B81CFE"/>
    <w:rsid w:val="36AF594C"/>
    <w:rsid w:val="36B96E85"/>
    <w:rsid w:val="38392A2C"/>
    <w:rsid w:val="38521F98"/>
    <w:rsid w:val="3A3D06DA"/>
    <w:rsid w:val="3A471C0B"/>
    <w:rsid w:val="3A7854C4"/>
    <w:rsid w:val="3AD46C94"/>
    <w:rsid w:val="3AEE5DFF"/>
    <w:rsid w:val="3B876324"/>
    <w:rsid w:val="3C063FD4"/>
    <w:rsid w:val="3C8A7E96"/>
    <w:rsid w:val="3DD85CFF"/>
    <w:rsid w:val="3E176344"/>
    <w:rsid w:val="3E6E6CED"/>
    <w:rsid w:val="3F3372F2"/>
    <w:rsid w:val="3F6F22AD"/>
    <w:rsid w:val="3FA05CDE"/>
    <w:rsid w:val="40397324"/>
    <w:rsid w:val="40807F93"/>
    <w:rsid w:val="41152D53"/>
    <w:rsid w:val="42BD7B6B"/>
    <w:rsid w:val="443E58A2"/>
    <w:rsid w:val="449A4C12"/>
    <w:rsid w:val="45CC17E9"/>
    <w:rsid w:val="465676AA"/>
    <w:rsid w:val="46D819DD"/>
    <w:rsid w:val="470767F8"/>
    <w:rsid w:val="478E3422"/>
    <w:rsid w:val="47CC468A"/>
    <w:rsid w:val="480D1A37"/>
    <w:rsid w:val="484D6C28"/>
    <w:rsid w:val="4A526D43"/>
    <w:rsid w:val="4B0E1653"/>
    <w:rsid w:val="4B745ADA"/>
    <w:rsid w:val="4CAB5BAE"/>
    <w:rsid w:val="4D065C3D"/>
    <w:rsid w:val="4D2949C3"/>
    <w:rsid w:val="4DC15F37"/>
    <w:rsid w:val="4DE57D8E"/>
    <w:rsid w:val="4E5429F5"/>
    <w:rsid w:val="4E8E5645"/>
    <w:rsid w:val="4FAB09D2"/>
    <w:rsid w:val="4FCA73EA"/>
    <w:rsid w:val="4FE707F9"/>
    <w:rsid w:val="501E2A33"/>
    <w:rsid w:val="5086744F"/>
    <w:rsid w:val="51515483"/>
    <w:rsid w:val="51657B52"/>
    <w:rsid w:val="51947490"/>
    <w:rsid w:val="51D0308F"/>
    <w:rsid w:val="51EB32C9"/>
    <w:rsid w:val="52803A70"/>
    <w:rsid w:val="52C66DD5"/>
    <w:rsid w:val="52FC5067"/>
    <w:rsid w:val="53386CE2"/>
    <w:rsid w:val="534A69D1"/>
    <w:rsid w:val="53672943"/>
    <w:rsid w:val="5448416B"/>
    <w:rsid w:val="549C2350"/>
    <w:rsid w:val="559E6C20"/>
    <w:rsid w:val="55B518D8"/>
    <w:rsid w:val="55E94969"/>
    <w:rsid w:val="55F36710"/>
    <w:rsid w:val="56334D5F"/>
    <w:rsid w:val="567606FA"/>
    <w:rsid w:val="5699025C"/>
    <w:rsid w:val="57823023"/>
    <w:rsid w:val="58610A8E"/>
    <w:rsid w:val="59391753"/>
    <w:rsid w:val="599D542B"/>
    <w:rsid w:val="59E21B2F"/>
    <w:rsid w:val="5A112694"/>
    <w:rsid w:val="5B1749B1"/>
    <w:rsid w:val="5B4F120E"/>
    <w:rsid w:val="5B514604"/>
    <w:rsid w:val="5C013B92"/>
    <w:rsid w:val="5C7E799F"/>
    <w:rsid w:val="5DAF1948"/>
    <w:rsid w:val="5E3555AE"/>
    <w:rsid w:val="5F146EA6"/>
    <w:rsid w:val="5F5C5326"/>
    <w:rsid w:val="5F804F9D"/>
    <w:rsid w:val="600A713E"/>
    <w:rsid w:val="60483B4B"/>
    <w:rsid w:val="606F2632"/>
    <w:rsid w:val="61397401"/>
    <w:rsid w:val="6158751A"/>
    <w:rsid w:val="61C8101A"/>
    <w:rsid w:val="63E12EF8"/>
    <w:rsid w:val="651E2BD4"/>
    <w:rsid w:val="653630DB"/>
    <w:rsid w:val="65783E0D"/>
    <w:rsid w:val="65805465"/>
    <w:rsid w:val="65A534ED"/>
    <w:rsid w:val="66B27E1E"/>
    <w:rsid w:val="66D7461C"/>
    <w:rsid w:val="67942EE5"/>
    <w:rsid w:val="68471A84"/>
    <w:rsid w:val="68BC085D"/>
    <w:rsid w:val="693460C6"/>
    <w:rsid w:val="6A537856"/>
    <w:rsid w:val="6AE00201"/>
    <w:rsid w:val="6C55678A"/>
    <w:rsid w:val="6CB560E6"/>
    <w:rsid w:val="6ECE1D12"/>
    <w:rsid w:val="6F484E78"/>
    <w:rsid w:val="70670C71"/>
    <w:rsid w:val="729B5A09"/>
    <w:rsid w:val="737F5500"/>
    <w:rsid w:val="73A937F2"/>
    <w:rsid w:val="7437615F"/>
    <w:rsid w:val="776B03F9"/>
    <w:rsid w:val="77DC6BAC"/>
    <w:rsid w:val="78123669"/>
    <w:rsid w:val="78DC4B30"/>
    <w:rsid w:val="78F47F26"/>
    <w:rsid w:val="7986173D"/>
    <w:rsid w:val="798E5845"/>
    <w:rsid w:val="7A114E18"/>
    <w:rsid w:val="7A8108D5"/>
    <w:rsid w:val="7B95779E"/>
    <w:rsid w:val="7C0F1F77"/>
    <w:rsid w:val="7C434D0B"/>
    <w:rsid w:val="7C5760DF"/>
    <w:rsid w:val="7D221505"/>
    <w:rsid w:val="7E65520E"/>
    <w:rsid w:val="7FE46A21"/>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left="540"/>
      <w:outlineLvl w:val="0"/>
    </w:pPr>
    <w:rPr>
      <w:b/>
      <w:bCs/>
      <w:sz w:val="32"/>
      <w:szCs w:val="32"/>
    </w:rPr>
  </w:style>
  <w:style w:type="paragraph" w:styleId="4">
    <w:name w:val="heading 2"/>
    <w:basedOn w:val="1"/>
    <w:next w:val="1"/>
    <w:qFormat/>
    <w:uiPriority w:val="1"/>
    <w:pPr>
      <w:spacing w:before="58"/>
      <w:ind w:left="561"/>
      <w:jc w:val="center"/>
      <w:outlineLvl w:val="1"/>
    </w:pPr>
    <w:rPr>
      <w:b/>
      <w:bCs/>
      <w:sz w:val="30"/>
      <w:szCs w:val="30"/>
    </w:rPr>
  </w:style>
  <w:style w:type="paragraph" w:styleId="5">
    <w:name w:val="heading 3"/>
    <w:basedOn w:val="1"/>
    <w:next w:val="1"/>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qFormat/>
    <w:uiPriority w:val="1"/>
    <w:pPr>
      <w:ind w:left="540"/>
      <w:outlineLvl w:val="4"/>
    </w:pPr>
    <w:rPr>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8">
    <w:name w:val="Normal Indent"/>
    <w:basedOn w:val="1"/>
    <w:next w:val="9"/>
    <w:qFormat/>
    <w:uiPriority w:val="0"/>
    <w:pPr>
      <w:ind w:firstLine="420"/>
    </w:pPr>
    <w:rPr>
      <w:szCs w:val="20"/>
    </w:rPr>
  </w:style>
  <w:style w:type="paragraph" w:styleId="9">
    <w:name w:val="Body Text Indent"/>
    <w:basedOn w:val="1"/>
    <w:next w:val="8"/>
    <w:qFormat/>
    <w:uiPriority w:val="99"/>
    <w:pPr>
      <w:ind w:firstLine="540"/>
    </w:pPr>
    <w:rPr>
      <w:sz w:val="28"/>
      <w:szCs w:val="20"/>
    </w:rPr>
  </w:style>
  <w:style w:type="paragraph" w:styleId="10">
    <w:name w:val="annotation text"/>
    <w:basedOn w:val="1"/>
    <w:link w:val="46"/>
    <w:qFormat/>
    <w:uiPriority w:val="0"/>
  </w:style>
  <w:style w:type="paragraph" w:styleId="11">
    <w:name w:val="Body Text 3"/>
    <w:basedOn w:val="1"/>
    <w:qFormat/>
    <w:uiPriority w:val="0"/>
    <w:pPr>
      <w:widowControl/>
      <w:spacing w:line="360" w:lineRule="auto"/>
    </w:pPr>
    <w:rPr>
      <w:rFonts w:ascii="仿宋_GB2312" w:hAnsi="Calibri" w:eastAsia="仿宋_GB2312"/>
      <w:sz w:val="24"/>
      <w:szCs w:val="20"/>
    </w:rPr>
  </w:style>
  <w:style w:type="paragraph" w:styleId="12">
    <w:name w:val="toc 3"/>
    <w:basedOn w:val="1"/>
    <w:next w:val="1"/>
    <w:qFormat/>
    <w:uiPriority w:val="39"/>
    <w:pPr>
      <w:ind w:left="840" w:leftChars="400"/>
    </w:pPr>
  </w:style>
  <w:style w:type="paragraph" w:styleId="13">
    <w:name w:val="Plain Text"/>
    <w:basedOn w:val="1"/>
    <w:qFormat/>
    <w:uiPriority w:val="0"/>
    <w:pPr>
      <w:spacing w:beforeLines="50" w:afterLines="50" w:line="400" w:lineRule="exact"/>
    </w:pPr>
    <w:rPr>
      <w:rFonts w:ascii="宋体" w:hAnsi="Courier New"/>
      <w:sz w:val="24"/>
    </w:rPr>
  </w:style>
  <w:style w:type="paragraph" w:styleId="14">
    <w:name w:val="Date"/>
    <w:basedOn w:val="1"/>
    <w:next w:val="1"/>
    <w:qFormat/>
    <w:uiPriority w:val="99"/>
    <w:pPr>
      <w:ind w:left="100" w:leftChars="2500"/>
    </w:pPr>
    <w:rPr>
      <w:rFonts w:ascii="宋体" w:hAnsi="宋体"/>
      <w:sz w:val="24"/>
    </w:rPr>
  </w:style>
  <w:style w:type="paragraph" w:styleId="15">
    <w:name w:val="Body Text Indent 2"/>
    <w:basedOn w:val="1"/>
    <w:qFormat/>
    <w:uiPriority w:val="0"/>
    <w:pPr>
      <w:snapToGrid w:val="0"/>
      <w:spacing w:line="400" w:lineRule="exact"/>
      <w:ind w:firstLine="480"/>
    </w:pPr>
    <w:rPr>
      <w:rFonts w:eastAsia="仿宋_GB2312"/>
      <w:sz w:val="24"/>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envelope return"/>
    <w:basedOn w:val="1"/>
    <w:qFormat/>
    <w:uiPriority w:val="0"/>
    <w:pPr>
      <w:widowControl/>
      <w:adjustRightInd w:val="0"/>
      <w:snapToGrid w:val="0"/>
      <w:spacing w:after="200"/>
    </w:pPr>
    <w:rPr>
      <w:rFonts w:ascii="Arial" w:hAnsi="Arial" w:eastAsia="微软雅黑"/>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qFormat/>
    <w:uiPriority w:val="39"/>
    <w:pPr>
      <w:tabs>
        <w:tab w:val="right" w:leader="dot" w:pos="9076"/>
      </w:tabs>
      <w:spacing w:before="4"/>
    </w:pPr>
    <w:rPr>
      <w:b/>
      <w:bCs/>
      <w:sz w:val="24"/>
      <w:szCs w:val="24"/>
      <w:lang w:val="en-US"/>
    </w:rPr>
  </w:style>
  <w:style w:type="paragraph" w:styleId="21">
    <w:name w:val="List"/>
    <w:basedOn w:val="1"/>
    <w:qFormat/>
    <w:uiPriority w:val="0"/>
    <w:pPr>
      <w:ind w:left="200" w:hanging="200" w:hangingChars="200"/>
      <w:contextualSpacing/>
    </w:pPr>
  </w:style>
  <w:style w:type="paragraph" w:styleId="22">
    <w:name w:val="toc 6"/>
    <w:basedOn w:val="1"/>
    <w:next w:val="1"/>
    <w:qFormat/>
    <w:uiPriority w:val="39"/>
    <w:pPr>
      <w:ind w:left="1050"/>
    </w:pPr>
    <w:rPr>
      <w:rFonts w:ascii="Calibri" w:hAnsi="Calibri"/>
      <w:sz w:val="18"/>
      <w:szCs w:val="18"/>
    </w:rPr>
  </w:style>
  <w:style w:type="paragraph" w:styleId="23">
    <w:name w:val="toc 2"/>
    <w:basedOn w:val="1"/>
    <w:next w:val="1"/>
    <w:qFormat/>
    <w:uiPriority w:val="39"/>
    <w:pPr>
      <w:tabs>
        <w:tab w:val="right" w:leader="dot" w:pos="9076"/>
      </w:tabs>
      <w:spacing w:before="4"/>
      <w:ind w:firstLine="480" w:firstLineChars="200"/>
    </w:pPr>
    <w:rPr>
      <w:bCs/>
      <w:sz w:val="24"/>
      <w:szCs w:val="24"/>
    </w:rPr>
  </w:style>
  <w:style w:type="paragraph" w:styleId="24">
    <w:name w:val="Normal (Web)"/>
    <w:basedOn w:val="1"/>
    <w:qFormat/>
    <w:uiPriority w:val="99"/>
    <w:pPr>
      <w:widowControl/>
    </w:pPr>
    <w:rPr>
      <w:rFonts w:ascii="宋体"/>
      <w:sz w:val="24"/>
      <w:szCs w:val="20"/>
    </w:rPr>
  </w:style>
  <w:style w:type="paragraph" w:styleId="25">
    <w:name w:val="Title"/>
    <w:basedOn w:val="1"/>
    <w:next w:val="1"/>
    <w:qFormat/>
    <w:uiPriority w:val="0"/>
    <w:pPr>
      <w:widowControl/>
      <w:overflowPunct w:val="0"/>
      <w:adjustRightInd w:val="0"/>
      <w:jc w:val="center"/>
      <w:textAlignment w:val="baseline"/>
    </w:pPr>
    <w:rPr>
      <w:b/>
      <w:sz w:val="24"/>
      <w:lang w:val="en-GB" w:eastAsia="en-GB"/>
    </w:rPr>
  </w:style>
  <w:style w:type="paragraph" w:styleId="26">
    <w:name w:val="annotation subject"/>
    <w:basedOn w:val="10"/>
    <w:next w:val="10"/>
    <w:link w:val="47"/>
    <w:qFormat/>
    <w:uiPriority w:val="0"/>
    <w:rPr>
      <w:b/>
      <w:bCs/>
    </w:rPr>
  </w:style>
  <w:style w:type="paragraph" w:styleId="27">
    <w:name w:val="Body Text First Indent"/>
    <w:basedOn w:val="2"/>
    <w:next w:val="1"/>
    <w:qFormat/>
    <w:uiPriority w:val="99"/>
    <w:pPr>
      <w:tabs>
        <w:tab w:val="left" w:pos="208"/>
      </w:tabs>
      <w:spacing w:after="120"/>
      <w:ind w:firstLine="420"/>
    </w:pPr>
  </w:style>
  <w:style w:type="paragraph" w:styleId="28">
    <w:name w:val="Body Text First Indent 2"/>
    <w:basedOn w:val="9"/>
    <w:next w:val="29"/>
    <w:qFormat/>
    <w:uiPriority w:val="99"/>
    <w:pPr>
      <w:ind w:firstLine="420" w:firstLineChars="200"/>
    </w:pPr>
  </w:style>
  <w:style w:type="paragraph" w:customStyle="1" w:styleId="2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sz w:val="20"/>
      <w:szCs w:val="20"/>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Hyperlink"/>
    <w:basedOn w:val="32"/>
    <w:qFormat/>
    <w:uiPriority w:val="99"/>
    <w:rPr>
      <w:color w:val="0000FF"/>
      <w:u w:val="single"/>
    </w:rPr>
  </w:style>
  <w:style w:type="character" w:styleId="35">
    <w:name w:val="annotation reference"/>
    <w:basedOn w:val="32"/>
    <w:qFormat/>
    <w:uiPriority w:val="0"/>
    <w:rPr>
      <w:sz w:val="21"/>
      <w:szCs w:val="21"/>
    </w:rPr>
  </w:style>
  <w:style w:type="paragraph" w:customStyle="1" w:styleId="36">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37">
    <w:name w:val="样式 正文文本缩进 + 左  0 字符"/>
    <w:basedOn w:val="1"/>
    <w:qFormat/>
    <w:uiPriority w:val="0"/>
    <w:pPr>
      <w:spacing w:line="360" w:lineRule="auto"/>
      <w:ind w:firstLine="250" w:firstLineChars="250"/>
    </w:pPr>
    <w:rPr>
      <w:rFonts w:cs="宋体"/>
      <w:sz w:val="24"/>
    </w:rPr>
  </w:style>
  <w:style w:type="paragraph" w:customStyle="1" w:styleId="38">
    <w:name w:val="Normal Indent1"/>
    <w:basedOn w:val="1"/>
    <w:qFormat/>
    <w:uiPriority w:val="0"/>
    <w:pPr>
      <w:ind w:firstLine="420" w:firstLineChars="200"/>
    </w:pPr>
    <w:rPr>
      <w:rFonts w:ascii="Times New Roman" w:hAnsi="Times New Roman"/>
    </w:rPr>
  </w:style>
  <w:style w:type="paragraph" w:customStyle="1" w:styleId="39">
    <w:name w:val="表格文字"/>
    <w:basedOn w:val="40"/>
    <w:next w:val="2"/>
    <w:qFormat/>
    <w:uiPriority w:val="0"/>
    <w:pPr>
      <w:adjustRightInd w:val="0"/>
      <w:spacing w:line="420" w:lineRule="atLeast"/>
      <w:textAlignment w:val="baseline"/>
    </w:pPr>
    <w:rPr>
      <w:szCs w:val="24"/>
    </w:rPr>
  </w:style>
  <w:style w:type="paragraph" w:customStyle="1" w:styleId="40">
    <w:name w:val="表格文字（两侧对齐）"/>
    <w:basedOn w:val="1"/>
    <w:qFormat/>
    <w:uiPriority w:val="0"/>
    <w:pPr>
      <w:snapToGrid w:val="0"/>
    </w:pPr>
    <w:rPr>
      <w:rFonts w:eastAsia="宋体"/>
      <w:sz w:val="20"/>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42">
    <w:name w:val="Table Normal"/>
    <w:qFormat/>
    <w:uiPriority w:val="2"/>
    <w:tblPr>
      <w:tblCellMar>
        <w:top w:w="0" w:type="dxa"/>
        <w:left w:w="0" w:type="dxa"/>
        <w:bottom w:w="0" w:type="dxa"/>
        <w:right w:w="0" w:type="dxa"/>
      </w:tblCellMar>
    </w:tblPr>
  </w:style>
  <w:style w:type="paragraph" w:styleId="43">
    <w:name w:val="List Paragraph"/>
    <w:basedOn w:val="1"/>
    <w:qFormat/>
    <w:uiPriority w:val="1"/>
    <w:pPr>
      <w:spacing w:before="160"/>
      <w:ind w:left="540" w:firstLine="480"/>
    </w:pPr>
  </w:style>
  <w:style w:type="paragraph" w:customStyle="1" w:styleId="44">
    <w:name w:val="Table Paragraph"/>
    <w:basedOn w:val="1"/>
    <w:qFormat/>
    <w:uiPriority w:val="1"/>
  </w:style>
  <w:style w:type="character" w:customStyle="1" w:styleId="45">
    <w:name w:val="批注框文本 Char"/>
    <w:basedOn w:val="32"/>
    <w:link w:val="16"/>
    <w:qFormat/>
    <w:uiPriority w:val="0"/>
    <w:rPr>
      <w:rFonts w:ascii="仿宋" w:hAnsi="仿宋" w:eastAsia="仿宋" w:cs="仿宋"/>
      <w:sz w:val="18"/>
      <w:szCs w:val="18"/>
      <w:lang w:val="zh-CN" w:bidi="zh-CN"/>
    </w:rPr>
  </w:style>
  <w:style w:type="character" w:customStyle="1" w:styleId="46">
    <w:name w:val="批注文字 Char"/>
    <w:basedOn w:val="32"/>
    <w:link w:val="10"/>
    <w:qFormat/>
    <w:uiPriority w:val="0"/>
    <w:rPr>
      <w:rFonts w:ascii="仿宋" w:hAnsi="仿宋" w:eastAsia="仿宋" w:cs="仿宋"/>
      <w:sz w:val="22"/>
      <w:szCs w:val="22"/>
      <w:lang w:val="zh-CN" w:bidi="zh-CN"/>
    </w:rPr>
  </w:style>
  <w:style w:type="character" w:customStyle="1" w:styleId="47">
    <w:name w:val="批注主题 Char"/>
    <w:basedOn w:val="46"/>
    <w:link w:val="26"/>
    <w:qFormat/>
    <w:uiPriority w:val="0"/>
    <w:rPr>
      <w:rFonts w:ascii="仿宋" w:hAnsi="仿宋" w:eastAsia="仿宋" w:cs="仿宋"/>
      <w:b/>
      <w:bCs/>
      <w:sz w:val="22"/>
      <w:szCs w:val="22"/>
      <w:lang w:val="zh-CN" w:bidi="zh-CN"/>
    </w:rPr>
  </w:style>
  <w:style w:type="paragraph" w:customStyle="1" w:styleId="4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1"/>
    <w:basedOn w:val="50"/>
    <w:qFormat/>
    <w:uiPriority w:val="0"/>
    <w:rPr>
      <w:rFonts w:ascii="宋体" w:hAnsi="Courier New"/>
      <w:szCs w:val="20"/>
    </w:rPr>
  </w:style>
  <w:style w:type="paragraph" w:customStyle="1" w:styleId="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0"/>
    <w:basedOn w:val="1"/>
    <w:qFormat/>
    <w:uiPriority w:val="0"/>
    <w:rPr>
      <w:rFonts w:ascii="宋体" w:hAnsi="Courier New"/>
    </w:rPr>
  </w:style>
  <w:style w:type="paragraph" w:customStyle="1" w:styleId="5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TOC Heading_cb59b4d9-91da-47c8-90c6-1a169de22f7e"/>
    <w:basedOn w:val="3"/>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56">
    <w:name w:val="样式 标题 31.1.1标题 333rd levelBOD 0Bold HeadCTH3H31Heading ...1"/>
    <w:basedOn w:val="5"/>
    <w:qFormat/>
    <w:uiPriority w:val="0"/>
    <w:pPr>
      <w:spacing w:before="0"/>
    </w:pPr>
    <w:rPr>
      <w:rFonts w:hAnsi="宋体" w:cs="宋体"/>
      <w:sz w:val="24"/>
    </w:rPr>
  </w:style>
  <w:style w:type="paragraph" w:customStyle="1" w:styleId="57">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58">
    <w:name w:val="正文1"/>
    <w:qFormat/>
    <w:uiPriority w:val="0"/>
    <w:rPr>
      <w:rFonts w:ascii="Times New Roman" w:hAnsi="Times New Roman" w:eastAsia="Times New Roman" w:cs="Times New Roman"/>
      <w:sz w:val="24"/>
      <w:szCs w:val="24"/>
      <w:lang w:val="en-US" w:eastAsia="zh-CN" w:bidi="ar-SA"/>
    </w:rPr>
  </w:style>
  <w:style w:type="paragraph" w:customStyle="1" w:styleId="59">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普通(网站)_0"/>
    <w:basedOn w:val="48"/>
    <w:unhideWhenUsed/>
    <w:qFormat/>
    <w:uiPriority w:val="0"/>
    <w:pPr>
      <w:spacing w:before="100" w:beforeAutospacing="1" w:after="100" w:afterAutospacing="1"/>
    </w:pPr>
    <w:rPr>
      <w:rFonts w:ascii="宋体"/>
      <w:sz w:val="24"/>
      <w:szCs w:val="22"/>
    </w:rPr>
  </w:style>
  <w:style w:type="paragraph" w:customStyle="1" w:styleId="63">
    <w:name w:val="*正文"/>
    <w:basedOn w:val="1"/>
    <w:qFormat/>
    <w:uiPriority w:val="0"/>
    <w:pPr>
      <w:ind w:firstLine="200" w:firstLineChars="200"/>
      <w:jc w:val="both"/>
    </w:pPr>
    <w:rPr>
      <w:rFonts w:ascii="Calibri" w:hAnsi="Calibri"/>
      <w:kern w:val="2"/>
      <w:szCs w:val="28"/>
    </w:rPr>
  </w:style>
  <w:style w:type="paragraph" w:customStyle="1" w:styleId="64">
    <w:name w:val="Default"/>
    <w:next w:val="6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6">
    <w:name w:val="正文缩进1"/>
    <w:basedOn w:val="1"/>
    <w:qFormat/>
    <w:uiPriority w:val="0"/>
    <w:pPr>
      <w:adjustRightInd w:val="0"/>
      <w:ind w:firstLine="420"/>
    </w:pPr>
    <w:rPr>
      <w:rFonts w:ascii="宋体" w:hAnsi="Times New Roman"/>
      <w:sz w:val="24"/>
      <w:szCs w:val="20"/>
    </w:rPr>
  </w:style>
  <w:style w:type="paragraph" w:customStyle="1" w:styleId="67">
    <w:name w:val="Char"/>
    <w:basedOn w:val="1"/>
    <w:qFormat/>
    <w:uiPriority w:val="99"/>
    <w:rPr>
      <w:rFonts w:ascii="Tahoma" w:hAnsi="Tahoma"/>
      <w:sz w:val="24"/>
      <w:szCs w:val="20"/>
    </w:rPr>
  </w:style>
  <w:style w:type="paragraph" w:customStyle="1" w:styleId="68">
    <w:name w:val="缩进正文"/>
    <w:basedOn w:val="1"/>
    <w:qFormat/>
    <w:uiPriority w:val="0"/>
    <w:pPr>
      <w:adjustRightInd w:val="0"/>
      <w:snapToGrid w:val="0"/>
      <w:spacing w:line="360" w:lineRule="auto"/>
      <w:ind w:firstLine="200" w:firstLineChars="200"/>
    </w:pPr>
    <w:rPr>
      <w:rFonts w:ascii="宋体"/>
      <w:snapToGrid w:val="0"/>
      <w:sz w:val="24"/>
      <w:szCs w:val="21"/>
    </w:rPr>
  </w:style>
  <w:style w:type="paragraph" w:customStyle="1" w:styleId="69">
    <w:name w:val="p0"/>
    <w:basedOn w:val="1"/>
    <w:qFormat/>
    <w:uiPriority w:val="0"/>
    <w:pPr>
      <w:widowControl/>
      <w:spacing w:before="100" w:beforeAutospacing="1" w:after="100" w:afterAutospacing="1"/>
    </w:pPr>
    <w:rPr>
      <w:rFonts w:ascii="宋体" w:hAnsi="宋体" w:cs="宋体"/>
      <w:sz w:val="24"/>
    </w:rPr>
  </w:style>
  <w:style w:type="character" w:customStyle="1" w:styleId="70">
    <w:name w:val="NormalCharacter"/>
    <w:qFormat/>
    <w:uiPriority w:val="0"/>
  </w:style>
  <w:style w:type="paragraph" w:customStyle="1" w:styleId="71">
    <w:name w:val="纯文本_4_0"/>
    <w:basedOn w:val="72"/>
    <w:qFormat/>
    <w:uiPriority w:val="0"/>
    <w:rPr>
      <w:rFonts w:ascii="宋体" w:hAnsi="Courier New"/>
      <w:szCs w:val="20"/>
    </w:rPr>
  </w:style>
  <w:style w:type="paragraph" w:customStyle="1" w:styleId="7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7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odyText1I2"/>
    <w:basedOn w:val="77"/>
    <w:qFormat/>
    <w:uiPriority w:val="0"/>
    <w:pPr>
      <w:spacing w:after="120" w:line="240" w:lineRule="auto"/>
      <w:ind w:left="420" w:leftChars="200" w:firstLine="420" w:firstLineChars="200"/>
    </w:pPr>
    <w:rPr>
      <w:rFonts w:eastAsia="宋体"/>
      <w:sz w:val="21"/>
    </w:rPr>
  </w:style>
  <w:style w:type="paragraph" w:customStyle="1" w:styleId="77">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78">
    <w:name w:val="首行缩进"/>
    <w:basedOn w:val="1"/>
    <w:qFormat/>
    <w:uiPriority w:val="0"/>
    <w:pPr>
      <w:spacing w:line="360" w:lineRule="auto"/>
      <w:ind w:firstLine="480" w:firstLineChars="200"/>
    </w:pPr>
    <w:rPr>
      <w:sz w:val="24"/>
    </w:rPr>
  </w:style>
  <w:style w:type="paragraph" w:styleId="79">
    <w:name w:val="No Spacing"/>
    <w:basedOn w:val="1"/>
    <w:qFormat/>
    <w:uiPriority w:val="99"/>
    <w:rPr>
      <w:szCs w:val="22"/>
    </w:rPr>
  </w:style>
  <w:style w:type="paragraph" w:customStyle="1" w:styleId="80">
    <w:name w:val="正统表格-小四"/>
    <w:basedOn w:val="1"/>
    <w:qFormat/>
    <w:uiPriority w:val="0"/>
    <w:pPr>
      <w:widowControl/>
      <w:ind w:firstLine="0" w:firstLineChars="0"/>
      <w:jc w:val="center"/>
      <w:textAlignment w:val="center"/>
    </w:pPr>
    <w:rPr>
      <w:rFonts w:hint="eastAsia" w:ascii="仿宋_GB2312" w:hAnsi="仿宋_GB2312" w:cs="仿宋_GB2312"/>
      <w:bCs/>
      <w:color w:val="000000"/>
      <w:kern w:val="0"/>
      <w:sz w:val="28"/>
      <w:szCs w:val="30"/>
      <w:u w:val="none"/>
      <w:lang w:val="en-US" w:eastAsia="zh-CN" w:bidi="ar"/>
    </w:rPr>
  </w:style>
  <w:style w:type="paragraph" w:customStyle="1" w:styleId="81">
    <w:name w:val="01表格"/>
    <w:basedOn w:val="1"/>
    <w:qFormat/>
    <w:uiPriority w:val="0"/>
    <w:pPr>
      <w:spacing w:line="360" w:lineRule="auto"/>
      <w:ind w:firstLine="0" w:firstLineChars="0"/>
      <w:jc w:val="center"/>
    </w:pPr>
    <w:rPr>
      <w:sz w:val="24"/>
    </w:rPr>
  </w:style>
  <w:style w:type="paragraph" w:customStyle="1" w:styleId="82">
    <w:name w:val="正文_2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19776</Words>
  <Characters>21147</Characters>
  <Lines>294</Lines>
  <Paragraphs>82</Paragraphs>
  <TotalTime>16</TotalTime>
  <ScaleCrop>false</ScaleCrop>
  <LinksUpToDate>false</LinksUpToDate>
  <CharactersWithSpaces>21795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2024-04-03T06:29:00Z</dcterms:created>
  <dc:creator>Administrator.SC-202204211204</dc:creator>
  <cp:lastModifiedBy>001</cp:lastModifiedBy>
  <cp:lastPrinted>2024-07-02T07:37:00Z</cp:lastPrinted>
  <dcterms:modified xsi:type="dcterms:W3CDTF">2025-07-09T06:58:41Z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2052-12.1.0.21915</vt:lpwstr>
  </property>
  <property fmtid="{D5CDD505-2E9C-101B-9397-08002B2CF9AE}" pid="6" name="ICV">
    <vt:lpwstr>E7D0805EC9454BF1AAAEE906DB1B1473_13</vt:lpwstr>
  </property>
  <property fmtid="{D5CDD505-2E9C-101B-9397-08002B2CF9AE}" pid="7" name="KSOTemplateDocerSaveRecord">
    <vt:lpwstr>eyJoZGlkIjoiZDlmZmQ0MDc1YjUwNDEzOTk5NmZkYWMwNTFjODkzMTYiLCJ1c2VySWQiOiI0MTk3NDk0NDYifQ==</vt:lpwstr>
  </property>
</Properties>
</file>