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6032AA67">
      <w:pPr>
        <w:spacing w:line="360" w:lineRule="auto"/>
        <w:jc w:val="center"/>
        <w:rPr>
          <w:rFonts w:cs="宋体" w:asciiTheme="majorEastAsia" w:hAnsiTheme="majorEastAsia" w:eastAsiaTheme="majorEastAsia"/>
          <w:b/>
          <w:sz w:val="24"/>
          <w:highlight w:val="none"/>
        </w:rPr>
      </w:pPr>
    </w:p>
    <w:p w14:paraId="0A117FB8">
      <w:pPr>
        <w:spacing w:line="360" w:lineRule="auto"/>
        <w:jc w:val="center"/>
        <w:rPr>
          <w:rFonts w:cs="宋体" w:asciiTheme="majorEastAsia" w:hAnsiTheme="majorEastAsia" w:eastAsiaTheme="majorEastAsia"/>
          <w:b/>
          <w:sz w:val="24"/>
          <w:highlight w:val="none"/>
        </w:rPr>
      </w:pPr>
    </w:p>
    <w:p w14:paraId="580BC4B7">
      <w:pPr>
        <w:adjustRightInd/>
        <w:spacing w:line="360" w:lineRule="auto"/>
        <w:jc w:val="center"/>
        <w:rPr>
          <w:rFonts w:cs="宋体" w:asciiTheme="majorEastAsia" w:hAnsiTheme="majorEastAsia" w:eastAsiaTheme="majorEastAsia"/>
          <w:b/>
          <w:color w:val="auto"/>
          <w:sz w:val="48"/>
          <w:szCs w:val="48"/>
          <w:highlight w:val="none"/>
        </w:rPr>
      </w:pPr>
    </w:p>
    <w:p w14:paraId="49B90230">
      <w:pPr>
        <w:adjustRightInd/>
        <w:spacing w:line="360" w:lineRule="auto"/>
        <w:jc w:val="center"/>
        <w:rPr>
          <w:rFonts w:hint="eastAsia" w:cs="宋体" w:asciiTheme="majorEastAsia" w:hAnsiTheme="majorEastAsia" w:eastAsiaTheme="majorEastAsia"/>
          <w:color w:val="auto"/>
          <w:sz w:val="44"/>
          <w:szCs w:val="44"/>
          <w:highlight w:val="none"/>
          <w:lang w:eastAsia="zh-CN"/>
        </w:rPr>
      </w:pPr>
      <w:r>
        <w:rPr>
          <w:rFonts w:hint="eastAsia" w:cs="宋体" w:asciiTheme="majorEastAsia" w:hAnsiTheme="majorEastAsia" w:eastAsiaTheme="majorEastAsia"/>
          <w:color w:val="auto"/>
          <w:sz w:val="44"/>
          <w:szCs w:val="44"/>
          <w:highlight w:val="none"/>
          <w:lang w:eastAsia="zh-CN"/>
        </w:rPr>
        <w:t>2025年度茅乡景区及仁寿山园林绿化养护</w:t>
      </w:r>
    </w:p>
    <w:p w14:paraId="537B77C9">
      <w:pPr>
        <w:adjustRightInd/>
        <w:spacing w:line="360" w:lineRule="auto"/>
        <w:jc w:val="center"/>
        <w:rPr>
          <w:rFonts w:hint="eastAsia" w:cs="宋体" w:asciiTheme="majorEastAsia" w:hAnsiTheme="majorEastAsia" w:eastAsiaTheme="majorEastAsia"/>
          <w:color w:val="auto"/>
          <w:sz w:val="44"/>
          <w:szCs w:val="44"/>
          <w:highlight w:val="none"/>
          <w:lang w:eastAsia="zh-CN"/>
        </w:rPr>
      </w:pPr>
      <w:r>
        <w:rPr>
          <w:rFonts w:hint="eastAsia" w:cs="宋体" w:asciiTheme="majorEastAsia" w:hAnsiTheme="majorEastAsia" w:eastAsiaTheme="majorEastAsia"/>
          <w:color w:val="auto"/>
          <w:sz w:val="44"/>
          <w:szCs w:val="44"/>
          <w:highlight w:val="none"/>
          <w:lang w:eastAsia="zh-CN"/>
        </w:rPr>
        <w:t>服务项目招标文件</w:t>
      </w:r>
    </w:p>
    <w:p w14:paraId="3FEF221C">
      <w:pPr>
        <w:adjustRightInd/>
        <w:spacing w:line="360" w:lineRule="auto"/>
        <w:jc w:val="center"/>
        <w:rPr>
          <w:rFonts w:cs="宋体" w:asciiTheme="majorEastAsia" w:hAnsiTheme="majorEastAsia" w:eastAsiaTheme="majorEastAsia"/>
          <w:b/>
          <w:color w:val="auto"/>
          <w:sz w:val="44"/>
          <w:szCs w:val="44"/>
          <w:highlight w:val="none"/>
        </w:rPr>
      </w:pPr>
      <w:r>
        <w:rPr>
          <w:rFonts w:hint="eastAsia" w:cs="宋体" w:asciiTheme="majorEastAsia" w:hAnsiTheme="majorEastAsia" w:eastAsiaTheme="majorEastAsia"/>
          <w:b/>
          <w:color w:val="auto"/>
          <w:sz w:val="44"/>
          <w:szCs w:val="44"/>
          <w:highlight w:val="none"/>
        </w:rPr>
        <w:t>（电子招投标）</w:t>
      </w:r>
    </w:p>
    <w:p w14:paraId="57EB5D5A">
      <w:pPr>
        <w:snapToGrid w:val="0"/>
        <w:spacing w:line="360" w:lineRule="auto"/>
        <w:jc w:val="center"/>
        <w:rPr>
          <w:rFonts w:hint="eastAsia" w:cs="宋体" w:asciiTheme="majorEastAsia" w:hAnsiTheme="majorEastAsia" w:eastAsiaTheme="majorEastAsia"/>
          <w:color w:val="auto"/>
          <w:sz w:val="30"/>
          <w:szCs w:val="30"/>
          <w:highlight w:val="none"/>
        </w:rPr>
      </w:pPr>
      <w:r>
        <w:rPr>
          <w:rFonts w:hint="eastAsia" w:ascii="宋体" w:hAnsi="宋体" w:cs="宋体"/>
          <w:b/>
          <w:sz w:val="44"/>
          <w:szCs w:val="44"/>
          <w:highlight w:val="none"/>
        </w:rPr>
        <w:drawing>
          <wp:inline distT="0" distB="0" distL="114300" distR="114300">
            <wp:extent cx="1297940" cy="1722120"/>
            <wp:effectExtent l="0" t="0" r="1270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1297940" cy="1722120"/>
                    </a:xfrm>
                    <a:prstGeom prst="rect">
                      <a:avLst/>
                    </a:prstGeom>
                    <a:noFill/>
                    <a:ln>
                      <a:noFill/>
                    </a:ln>
                  </pic:spPr>
                </pic:pic>
              </a:graphicData>
            </a:graphic>
          </wp:inline>
        </w:drawing>
      </w:r>
    </w:p>
    <w:p w14:paraId="0F0E2774">
      <w:pPr>
        <w:snapToGrid w:val="0"/>
        <w:spacing w:line="360" w:lineRule="auto"/>
        <w:jc w:val="center"/>
        <w:rPr>
          <w:rFonts w:cs="宋体" w:asciiTheme="majorEastAsia" w:hAnsiTheme="majorEastAsia" w:eastAsiaTheme="majorEastAsia"/>
          <w:b/>
          <w:color w:val="auto"/>
          <w:sz w:val="44"/>
          <w:szCs w:val="44"/>
          <w:highlight w:val="none"/>
        </w:rPr>
      </w:pPr>
      <w:r>
        <w:rPr>
          <w:rFonts w:hint="eastAsia" w:cs="宋体" w:asciiTheme="majorEastAsia" w:hAnsiTheme="majorEastAsia" w:eastAsiaTheme="majorEastAsia"/>
          <w:color w:val="auto"/>
          <w:sz w:val="30"/>
          <w:szCs w:val="30"/>
          <w:highlight w:val="none"/>
          <w:lang w:val="en-US" w:eastAsia="zh-CN"/>
        </w:rPr>
        <w:t>项目</w:t>
      </w:r>
      <w:r>
        <w:rPr>
          <w:rFonts w:hint="eastAsia" w:cs="宋体" w:asciiTheme="majorEastAsia" w:hAnsiTheme="majorEastAsia" w:eastAsiaTheme="majorEastAsia"/>
          <w:color w:val="auto"/>
          <w:sz w:val="30"/>
          <w:szCs w:val="30"/>
          <w:highlight w:val="none"/>
        </w:rPr>
        <w:t>编号:DFJW2025-FJ-040</w:t>
      </w:r>
    </w:p>
    <w:p w14:paraId="0C09371D">
      <w:pPr>
        <w:rPr>
          <w:rFonts w:cs="宋体" w:asciiTheme="majorEastAsia" w:hAnsiTheme="majorEastAsia" w:eastAsiaTheme="majorEastAsia"/>
          <w:color w:val="auto"/>
          <w:sz w:val="24"/>
          <w:highlight w:val="none"/>
        </w:rPr>
      </w:pPr>
    </w:p>
    <w:p w14:paraId="42DB1E6F">
      <w:pPr>
        <w:pStyle w:val="3"/>
        <w:rPr>
          <w:rFonts w:cs="宋体" w:asciiTheme="majorEastAsia" w:hAnsiTheme="majorEastAsia" w:eastAsiaTheme="majorEastAsia"/>
          <w:color w:val="auto"/>
          <w:highlight w:val="none"/>
        </w:rPr>
      </w:pPr>
    </w:p>
    <w:p w14:paraId="5D5FC950">
      <w:pPr>
        <w:rPr>
          <w:rFonts w:cs="宋体" w:asciiTheme="majorEastAsia" w:hAnsiTheme="majorEastAsia" w:eastAsiaTheme="majorEastAsia"/>
          <w:color w:val="auto"/>
          <w:sz w:val="24"/>
          <w:highlight w:val="none"/>
        </w:rPr>
      </w:pPr>
    </w:p>
    <w:p w14:paraId="0016FC9C">
      <w:pPr>
        <w:pStyle w:val="3"/>
        <w:rPr>
          <w:rFonts w:cs="宋体" w:asciiTheme="majorEastAsia" w:hAnsiTheme="majorEastAsia" w:eastAsiaTheme="majorEastAsia"/>
          <w:color w:val="auto"/>
          <w:highlight w:val="none"/>
        </w:rPr>
      </w:pPr>
    </w:p>
    <w:p w14:paraId="4319962C">
      <w:pPr>
        <w:rPr>
          <w:rFonts w:cs="宋体" w:asciiTheme="majorEastAsia" w:hAnsiTheme="majorEastAsia" w:eastAsiaTheme="majorEastAsia"/>
          <w:color w:val="auto"/>
          <w:sz w:val="24"/>
          <w:highlight w:val="none"/>
        </w:rPr>
      </w:pPr>
    </w:p>
    <w:p w14:paraId="70ED2788">
      <w:pPr>
        <w:spacing w:line="360" w:lineRule="auto"/>
        <w:rPr>
          <w:rFonts w:cs="宋体" w:asciiTheme="majorEastAsia" w:hAnsiTheme="majorEastAsia" w:eastAsiaTheme="majorEastAsia"/>
          <w:color w:val="auto"/>
          <w:sz w:val="32"/>
          <w:szCs w:val="32"/>
          <w:highlight w:val="none"/>
        </w:rPr>
      </w:pPr>
    </w:p>
    <w:p w14:paraId="3191C275">
      <w:pPr>
        <w:spacing w:line="360" w:lineRule="auto"/>
        <w:jc w:val="center"/>
        <w:rPr>
          <w:rFonts w:hint="eastAsia" w:cs="宋体" w:asciiTheme="majorEastAsia" w:hAnsiTheme="majorEastAsia" w:eastAsiaTheme="majorEastAsia"/>
          <w:bCs/>
          <w:color w:val="auto"/>
          <w:sz w:val="32"/>
          <w:szCs w:val="32"/>
          <w:highlight w:val="none"/>
          <w:lang w:eastAsia="zh-CN"/>
        </w:rPr>
      </w:pPr>
      <w:r>
        <w:rPr>
          <w:rFonts w:hint="eastAsia" w:ascii="宋体" w:hAnsi="宋体" w:cs="宋体"/>
          <w:bCs/>
          <w:sz w:val="30"/>
          <w:szCs w:val="30"/>
          <w:highlight w:val="none"/>
          <w:lang w:val="en-US" w:eastAsia="zh-CN"/>
        </w:rPr>
        <w:t xml:space="preserve">   </w:t>
      </w:r>
      <w:r>
        <w:rPr>
          <w:rFonts w:hint="eastAsia" w:ascii="宋体" w:hAnsi="宋体" w:cs="宋体"/>
          <w:bCs/>
          <w:sz w:val="30"/>
          <w:szCs w:val="30"/>
          <w:highlight w:val="none"/>
        </w:rPr>
        <w:t>采购人：</w:t>
      </w:r>
      <w:r>
        <w:rPr>
          <w:rFonts w:hint="eastAsia" w:cs="宋体" w:asciiTheme="majorEastAsia" w:hAnsiTheme="majorEastAsia" w:eastAsiaTheme="majorEastAsia"/>
          <w:bCs/>
          <w:color w:val="auto"/>
          <w:sz w:val="32"/>
          <w:szCs w:val="32"/>
          <w:highlight w:val="none"/>
          <w:lang w:eastAsia="zh-CN"/>
        </w:rPr>
        <w:t>杭州西湖风景名胜区灵隐管理处</w:t>
      </w:r>
    </w:p>
    <w:p w14:paraId="783D8830">
      <w:pPr>
        <w:snapToGrid w:val="0"/>
        <w:spacing w:line="480" w:lineRule="auto"/>
        <w:jc w:val="center"/>
        <w:rPr>
          <w:rFonts w:ascii="宋体" w:hAnsi="宋体" w:cs="宋体"/>
          <w:bCs/>
          <w:sz w:val="32"/>
          <w:szCs w:val="32"/>
          <w:highlight w:val="none"/>
        </w:rPr>
      </w:pPr>
      <w:r>
        <w:rPr>
          <w:rFonts w:hint="eastAsia" w:ascii="宋体" w:hAnsi="宋体" w:cs="宋体"/>
          <w:bCs/>
          <w:sz w:val="30"/>
          <w:szCs w:val="30"/>
          <w:highlight w:val="none"/>
        </w:rPr>
        <w:tab/>
      </w:r>
      <w:r>
        <w:rPr>
          <w:rFonts w:hint="eastAsia" w:ascii="宋体" w:hAnsi="宋体" w:cs="宋体"/>
          <w:bCs/>
          <w:sz w:val="30"/>
          <w:szCs w:val="30"/>
          <w:highlight w:val="none"/>
        </w:rPr>
        <w:t>采购代理机构：东方经纬项目管理有限公司</w:t>
      </w:r>
    </w:p>
    <w:p w14:paraId="2B55E893">
      <w:pPr>
        <w:snapToGrid w:val="0"/>
        <w:spacing w:line="360" w:lineRule="auto"/>
        <w:jc w:val="center"/>
        <w:rPr>
          <w:rFonts w:hint="default" w:cs="宋体" w:asciiTheme="majorEastAsia" w:hAnsiTheme="majorEastAsia" w:eastAsiaTheme="majorEastAsia"/>
          <w:bCs/>
          <w:color w:val="auto"/>
          <w:sz w:val="32"/>
          <w:szCs w:val="32"/>
          <w:highlight w:val="none"/>
          <w:lang w:val="en-US"/>
        </w:rPr>
      </w:pPr>
      <w:r>
        <w:rPr>
          <w:rFonts w:hint="eastAsia" w:cs="宋体" w:asciiTheme="majorEastAsia" w:hAnsiTheme="majorEastAsia" w:eastAsiaTheme="majorEastAsia"/>
          <w:bCs/>
          <w:color w:val="auto"/>
          <w:sz w:val="32"/>
          <w:szCs w:val="32"/>
          <w:highlight w:val="none"/>
        </w:rPr>
        <w:t>二〇二</w:t>
      </w:r>
      <w:r>
        <w:rPr>
          <w:rFonts w:hint="eastAsia" w:cs="宋体" w:asciiTheme="majorEastAsia" w:hAnsiTheme="majorEastAsia" w:eastAsiaTheme="majorEastAsia"/>
          <w:bCs/>
          <w:color w:val="auto"/>
          <w:sz w:val="32"/>
          <w:szCs w:val="32"/>
          <w:highlight w:val="none"/>
          <w:lang w:val="en-US" w:eastAsia="zh-CN"/>
        </w:rPr>
        <w:t>五</w:t>
      </w:r>
      <w:r>
        <w:rPr>
          <w:rFonts w:hint="eastAsia" w:cs="宋体" w:asciiTheme="majorEastAsia" w:hAnsiTheme="majorEastAsia" w:eastAsiaTheme="majorEastAsia"/>
          <w:bCs/>
          <w:color w:val="auto"/>
          <w:sz w:val="32"/>
          <w:szCs w:val="32"/>
          <w:highlight w:val="none"/>
        </w:rPr>
        <w:t>年</w:t>
      </w:r>
      <w:r>
        <w:rPr>
          <w:rFonts w:hint="eastAsia" w:cs="宋体" w:asciiTheme="majorEastAsia" w:hAnsiTheme="majorEastAsia" w:eastAsiaTheme="majorEastAsia"/>
          <w:bCs/>
          <w:color w:val="auto"/>
          <w:sz w:val="32"/>
          <w:szCs w:val="32"/>
          <w:highlight w:val="none"/>
          <w:lang w:val="en-US" w:eastAsia="zh-CN"/>
        </w:rPr>
        <w:t>六</w:t>
      </w:r>
      <w:r>
        <w:rPr>
          <w:rFonts w:hint="eastAsia" w:cs="宋体" w:asciiTheme="majorEastAsia" w:hAnsiTheme="majorEastAsia" w:eastAsiaTheme="majorEastAsia"/>
          <w:bCs/>
          <w:color w:val="auto"/>
          <w:sz w:val="32"/>
          <w:szCs w:val="32"/>
          <w:highlight w:val="none"/>
        </w:rPr>
        <w:t>月</w:t>
      </w:r>
    </w:p>
    <w:p w14:paraId="021305C0">
      <w:pPr>
        <w:spacing w:line="360" w:lineRule="auto"/>
        <w:jc w:val="center"/>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br w:type="page"/>
      </w:r>
      <w:bookmarkStart w:id="0" w:name="_Hlt67893495"/>
      <w:bookmarkEnd w:id="0"/>
    </w:p>
    <w:p w14:paraId="3AD90E26">
      <w:pPr>
        <w:pStyle w:val="640"/>
        <w:rPr>
          <w:rFonts w:cs="宋体" w:asciiTheme="majorEastAsia" w:hAnsiTheme="majorEastAsia" w:eastAsiaTheme="majorEastAsia"/>
          <w:highlight w:val="none"/>
        </w:rPr>
      </w:pPr>
    </w:p>
    <w:p w14:paraId="489E0057">
      <w:pPr>
        <w:spacing w:line="360" w:lineRule="auto"/>
        <w:jc w:val="center"/>
        <w:rPr>
          <w:rFonts w:cs="宋体" w:asciiTheme="majorEastAsia" w:hAnsiTheme="majorEastAsia" w:eastAsiaTheme="majorEastAsia"/>
          <w:b/>
          <w:sz w:val="48"/>
          <w:szCs w:val="48"/>
          <w:highlight w:val="none"/>
        </w:rPr>
      </w:pPr>
      <w:r>
        <w:rPr>
          <w:rFonts w:hint="eastAsia" w:cs="宋体" w:asciiTheme="majorEastAsia" w:hAnsiTheme="majorEastAsia" w:eastAsiaTheme="majorEastAsia"/>
          <w:b/>
          <w:sz w:val="48"/>
          <w:szCs w:val="48"/>
          <w:highlight w:val="none"/>
        </w:rPr>
        <w:t>目  录</w:t>
      </w:r>
    </w:p>
    <w:p w14:paraId="50B02A2C">
      <w:pPr>
        <w:spacing w:line="360" w:lineRule="auto"/>
        <w:rPr>
          <w:rFonts w:cs="宋体" w:asciiTheme="majorEastAsia" w:hAnsiTheme="majorEastAsia" w:eastAsiaTheme="majorEastAsia"/>
          <w:sz w:val="32"/>
          <w:szCs w:val="32"/>
          <w:highlight w:val="none"/>
        </w:rPr>
      </w:pPr>
    </w:p>
    <w:p w14:paraId="47315FAF">
      <w:pPr>
        <w:spacing w:line="360" w:lineRule="auto"/>
        <w:rPr>
          <w:rFonts w:cs="宋体" w:asciiTheme="majorEastAsia" w:hAnsiTheme="majorEastAsia" w:eastAsiaTheme="majorEastAsia"/>
          <w:sz w:val="32"/>
          <w:szCs w:val="32"/>
          <w:highlight w:val="none"/>
        </w:rPr>
      </w:pPr>
    </w:p>
    <w:p w14:paraId="7409AD52">
      <w:pPr>
        <w:spacing w:line="360" w:lineRule="auto"/>
        <w:ind w:firstLine="1280" w:firstLineChars="400"/>
        <w:rPr>
          <w:rFonts w:cs="宋体" w:asciiTheme="majorEastAsia" w:hAnsiTheme="majorEastAsia" w:eastAsiaTheme="majorEastAsia"/>
          <w:sz w:val="32"/>
          <w:szCs w:val="32"/>
          <w:highlight w:val="none"/>
        </w:rPr>
      </w:pPr>
      <w:r>
        <w:rPr>
          <w:rFonts w:hint="eastAsia" w:cs="宋体" w:asciiTheme="majorEastAsia" w:hAnsiTheme="majorEastAsia" w:eastAsiaTheme="majorEastAsia"/>
          <w:sz w:val="32"/>
          <w:szCs w:val="32"/>
          <w:highlight w:val="none"/>
        </w:rPr>
        <w:t>第一部分      招标公告</w:t>
      </w:r>
    </w:p>
    <w:p w14:paraId="5C52BF75">
      <w:pPr>
        <w:spacing w:line="360" w:lineRule="auto"/>
        <w:ind w:firstLine="1280" w:firstLineChars="400"/>
        <w:rPr>
          <w:rFonts w:cs="宋体" w:asciiTheme="majorEastAsia" w:hAnsiTheme="majorEastAsia" w:eastAsiaTheme="majorEastAsia"/>
          <w:sz w:val="32"/>
          <w:szCs w:val="32"/>
          <w:highlight w:val="none"/>
        </w:rPr>
      </w:pPr>
      <w:r>
        <w:rPr>
          <w:rFonts w:hint="eastAsia" w:cs="宋体" w:asciiTheme="majorEastAsia" w:hAnsiTheme="majorEastAsia" w:eastAsiaTheme="majorEastAsia"/>
          <w:sz w:val="32"/>
          <w:szCs w:val="32"/>
          <w:highlight w:val="none"/>
        </w:rPr>
        <w:t>第二部分      投标人须知</w:t>
      </w:r>
    </w:p>
    <w:p w14:paraId="0EAD1B72">
      <w:pPr>
        <w:spacing w:line="360" w:lineRule="auto"/>
        <w:ind w:firstLine="1280" w:firstLineChars="400"/>
        <w:rPr>
          <w:rFonts w:cs="宋体" w:asciiTheme="majorEastAsia" w:hAnsiTheme="majorEastAsia" w:eastAsiaTheme="majorEastAsia"/>
          <w:sz w:val="32"/>
          <w:szCs w:val="32"/>
          <w:highlight w:val="none"/>
        </w:rPr>
      </w:pPr>
      <w:r>
        <w:rPr>
          <w:rFonts w:hint="eastAsia" w:cs="宋体" w:asciiTheme="majorEastAsia" w:hAnsiTheme="majorEastAsia" w:eastAsiaTheme="majorEastAsia"/>
          <w:sz w:val="32"/>
          <w:szCs w:val="32"/>
          <w:highlight w:val="none"/>
        </w:rPr>
        <w:t>第三部分      采购需求</w:t>
      </w:r>
    </w:p>
    <w:p w14:paraId="1082FC1A">
      <w:pPr>
        <w:spacing w:line="360" w:lineRule="auto"/>
        <w:ind w:firstLine="1280" w:firstLineChars="400"/>
        <w:rPr>
          <w:rFonts w:cs="宋体" w:asciiTheme="majorEastAsia" w:hAnsiTheme="majorEastAsia" w:eastAsiaTheme="majorEastAsia"/>
          <w:sz w:val="32"/>
          <w:szCs w:val="32"/>
          <w:highlight w:val="none"/>
        </w:rPr>
      </w:pPr>
      <w:r>
        <w:rPr>
          <w:rFonts w:hint="eastAsia" w:cs="宋体" w:asciiTheme="majorEastAsia" w:hAnsiTheme="majorEastAsia" w:eastAsiaTheme="majorEastAsia"/>
          <w:sz w:val="32"/>
          <w:szCs w:val="32"/>
          <w:highlight w:val="none"/>
        </w:rPr>
        <w:t>第四部分      评标办法</w:t>
      </w:r>
    </w:p>
    <w:p w14:paraId="04E0143D">
      <w:pPr>
        <w:spacing w:line="360" w:lineRule="auto"/>
        <w:ind w:firstLine="1280" w:firstLineChars="400"/>
        <w:rPr>
          <w:rFonts w:cs="宋体" w:asciiTheme="majorEastAsia" w:hAnsiTheme="majorEastAsia" w:eastAsiaTheme="majorEastAsia"/>
          <w:sz w:val="32"/>
          <w:szCs w:val="32"/>
          <w:highlight w:val="none"/>
        </w:rPr>
      </w:pPr>
      <w:r>
        <w:rPr>
          <w:rFonts w:hint="eastAsia" w:cs="宋体" w:asciiTheme="majorEastAsia" w:hAnsiTheme="majorEastAsia" w:eastAsiaTheme="majorEastAsia"/>
          <w:sz w:val="32"/>
          <w:szCs w:val="32"/>
          <w:highlight w:val="none"/>
        </w:rPr>
        <w:t>第五部分      拟签订的合同文本</w:t>
      </w:r>
    </w:p>
    <w:p w14:paraId="4446E097">
      <w:pPr>
        <w:spacing w:line="360" w:lineRule="auto"/>
        <w:ind w:firstLine="1280" w:firstLineChars="400"/>
        <w:rPr>
          <w:rFonts w:cs="宋体" w:asciiTheme="majorEastAsia" w:hAnsiTheme="majorEastAsia" w:eastAsiaTheme="majorEastAsia"/>
          <w:sz w:val="32"/>
          <w:szCs w:val="32"/>
          <w:highlight w:val="none"/>
        </w:rPr>
      </w:pPr>
      <w:r>
        <w:rPr>
          <w:rFonts w:hint="eastAsia" w:cs="宋体" w:asciiTheme="majorEastAsia" w:hAnsiTheme="majorEastAsia" w:eastAsiaTheme="majorEastAsia"/>
          <w:sz w:val="32"/>
          <w:szCs w:val="32"/>
          <w:highlight w:val="none"/>
        </w:rPr>
        <w:t>第六部分      应提交的有关格式范例</w:t>
      </w:r>
    </w:p>
    <w:p w14:paraId="178FC49F">
      <w:pPr>
        <w:spacing w:line="360" w:lineRule="auto"/>
        <w:ind w:firstLine="549" w:firstLineChars="229"/>
        <w:rPr>
          <w:rFonts w:cs="宋体" w:asciiTheme="majorEastAsia" w:hAnsiTheme="majorEastAsia" w:eastAsiaTheme="majorEastAsia"/>
          <w:sz w:val="24"/>
          <w:highlight w:val="none"/>
        </w:rPr>
      </w:pPr>
      <w:bookmarkStart w:id="1" w:name="_Hlt91233176"/>
      <w:bookmarkEnd w:id="1"/>
      <w:bookmarkStart w:id="2" w:name="_Toc91899869"/>
    </w:p>
    <w:p w14:paraId="5F57BE57">
      <w:pPr>
        <w:spacing w:line="360" w:lineRule="auto"/>
        <w:ind w:firstLine="549" w:firstLineChars="229"/>
        <w:rPr>
          <w:rFonts w:cs="宋体" w:asciiTheme="majorEastAsia" w:hAnsiTheme="majorEastAsia" w:eastAsiaTheme="majorEastAsia"/>
          <w:sz w:val="24"/>
          <w:highlight w:val="none"/>
        </w:rPr>
      </w:pPr>
    </w:p>
    <w:p w14:paraId="5DB165E4">
      <w:pPr>
        <w:spacing w:line="360" w:lineRule="auto"/>
        <w:ind w:firstLine="549" w:firstLineChars="229"/>
        <w:rPr>
          <w:rFonts w:cs="宋体" w:asciiTheme="majorEastAsia" w:hAnsiTheme="majorEastAsia" w:eastAsiaTheme="majorEastAsia"/>
          <w:sz w:val="24"/>
          <w:highlight w:val="none"/>
        </w:rPr>
      </w:pPr>
    </w:p>
    <w:p w14:paraId="5773E48D">
      <w:pPr>
        <w:spacing w:line="360" w:lineRule="auto"/>
        <w:ind w:firstLine="549" w:firstLineChars="229"/>
        <w:rPr>
          <w:rFonts w:cs="宋体" w:asciiTheme="majorEastAsia" w:hAnsiTheme="majorEastAsia" w:eastAsiaTheme="majorEastAsia"/>
          <w:sz w:val="24"/>
          <w:highlight w:val="none"/>
        </w:rPr>
      </w:pPr>
    </w:p>
    <w:p w14:paraId="5B6CABAA">
      <w:pPr>
        <w:spacing w:line="360" w:lineRule="auto"/>
        <w:ind w:firstLine="549" w:firstLineChars="229"/>
        <w:rPr>
          <w:rFonts w:cs="宋体" w:asciiTheme="majorEastAsia" w:hAnsiTheme="majorEastAsia" w:eastAsiaTheme="majorEastAsia"/>
          <w:sz w:val="24"/>
          <w:highlight w:val="none"/>
        </w:rPr>
      </w:pPr>
    </w:p>
    <w:p w14:paraId="7EA06216">
      <w:pPr>
        <w:spacing w:line="360" w:lineRule="auto"/>
        <w:ind w:firstLine="549" w:firstLineChars="229"/>
        <w:rPr>
          <w:rFonts w:cs="宋体" w:asciiTheme="majorEastAsia" w:hAnsiTheme="majorEastAsia" w:eastAsiaTheme="majorEastAsia"/>
          <w:sz w:val="24"/>
          <w:highlight w:val="none"/>
        </w:rPr>
      </w:pPr>
    </w:p>
    <w:p w14:paraId="0DC9A9ED">
      <w:pPr>
        <w:spacing w:line="360" w:lineRule="auto"/>
        <w:ind w:firstLine="549" w:firstLineChars="229"/>
        <w:rPr>
          <w:rFonts w:cs="宋体" w:asciiTheme="majorEastAsia" w:hAnsiTheme="majorEastAsia" w:eastAsiaTheme="majorEastAsia"/>
          <w:sz w:val="24"/>
          <w:highlight w:val="none"/>
        </w:rPr>
      </w:pPr>
    </w:p>
    <w:p w14:paraId="37BA69B2">
      <w:pPr>
        <w:spacing w:line="360" w:lineRule="auto"/>
        <w:ind w:firstLine="549" w:firstLineChars="229"/>
        <w:rPr>
          <w:rFonts w:cs="宋体" w:asciiTheme="majorEastAsia" w:hAnsiTheme="majorEastAsia" w:eastAsiaTheme="majorEastAsia"/>
          <w:sz w:val="24"/>
          <w:highlight w:val="none"/>
        </w:rPr>
      </w:pPr>
    </w:p>
    <w:p w14:paraId="535083DB">
      <w:pPr>
        <w:spacing w:line="360" w:lineRule="auto"/>
        <w:ind w:firstLine="549" w:firstLineChars="229"/>
        <w:rPr>
          <w:rFonts w:cs="宋体" w:asciiTheme="majorEastAsia" w:hAnsiTheme="majorEastAsia" w:eastAsiaTheme="majorEastAsia"/>
          <w:sz w:val="24"/>
          <w:highlight w:val="none"/>
        </w:rPr>
      </w:pPr>
    </w:p>
    <w:p w14:paraId="0583FC20">
      <w:pPr>
        <w:spacing w:line="360" w:lineRule="auto"/>
        <w:ind w:firstLine="549" w:firstLineChars="229"/>
        <w:rPr>
          <w:rFonts w:cs="宋体" w:asciiTheme="majorEastAsia" w:hAnsiTheme="majorEastAsia" w:eastAsiaTheme="majorEastAsia"/>
          <w:sz w:val="24"/>
          <w:highlight w:val="none"/>
        </w:rPr>
      </w:pPr>
    </w:p>
    <w:p w14:paraId="7D232CAF">
      <w:pPr>
        <w:spacing w:line="360" w:lineRule="auto"/>
        <w:ind w:firstLine="549" w:firstLineChars="229"/>
        <w:rPr>
          <w:rFonts w:cs="宋体" w:asciiTheme="majorEastAsia" w:hAnsiTheme="majorEastAsia" w:eastAsiaTheme="majorEastAsia"/>
          <w:sz w:val="24"/>
          <w:highlight w:val="none"/>
        </w:rPr>
      </w:pPr>
    </w:p>
    <w:p w14:paraId="0B1F890A">
      <w:pPr>
        <w:spacing w:line="360" w:lineRule="auto"/>
        <w:ind w:firstLine="549" w:firstLineChars="229"/>
        <w:rPr>
          <w:rFonts w:cs="宋体" w:asciiTheme="majorEastAsia" w:hAnsiTheme="majorEastAsia" w:eastAsiaTheme="majorEastAsia"/>
          <w:sz w:val="24"/>
          <w:highlight w:val="none"/>
        </w:rPr>
      </w:pPr>
    </w:p>
    <w:p w14:paraId="769F1512">
      <w:pPr>
        <w:spacing w:line="360" w:lineRule="auto"/>
        <w:ind w:firstLine="549" w:firstLineChars="229"/>
        <w:rPr>
          <w:rFonts w:cs="宋体" w:asciiTheme="majorEastAsia" w:hAnsiTheme="majorEastAsia" w:eastAsiaTheme="majorEastAsia"/>
          <w:sz w:val="24"/>
          <w:highlight w:val="none"/>
        </w:rPr>
      </w:pPr>
    </w:p>
    <w:p w14:paraId="50BE9594">
      <w:pPr>
        <w:spacing w:line="360" w:lineRule="auto"/>
        <w:rPr>
          <w:rFonts w:cs="宋体" w:asciiTheme="majorEastAsia" w:hAnsiTheme="majorEastAsia" w:eastAsiaTheme="majorEastAsia"/>
          <w:sz w:val="24"/>
          <w:highlight w:val="none"/>
        </w:rPr>
      </w:pPr>
    </w:p>
    <w:p w14:paraId="23A476CB">
      <w:pPr>
        <w:adjustRightInd/>
        <w:spacing w:line="360" w:lineRule="auto"/>
        <w:jc w:val="center"/>
        <w:outlineLvl w:val="0"/>
        <w:rPr>
          <w:rFonts w:cs="宋体" w:asciiTheme="majorEastAsia" w:hAnsiTheme="majorEastAsia" w:eastAsiaTheme="majorEastAsia"/>
          <w:b/>
          <w:sz w:val="36"/>
          <w:szCs w:val="20"/>
          <w:highlight w:val="none"/>
        </w:rPr>
      </w:pPr>
      <w:bookmarkStart w:id="3" w:name="第一部分"/>
      <w:r>
        <w:rPr>
          <w:rFonts w:hint="eastAsia" w:cs="宋体" w:asciiTheme="majorEastAsia" w:hAnsiTheme="majorEastAsia" w:eastAsiaTheme="majorEastAsia"/>
          <w:b/>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cs="宋体" w:asciiTheme="majorEastAsia" w:hAnsiTheme="majorEastAsia" w:eastAsiaTheme="majorEastAsia"/>
          <w:b/>
          <w:sz w:val="36"/>
          <w:szCs w:val="20"/>
          <w:highlight w:val="none"/>
        </w:rPr>
        <w:t>第一部分 招标公告</w:t>
      </w:r>
    </w:p>
    <w:p w14:paraId="0EAB9192">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项目概况</w:t>
      </w:r>
    </w:p>
    <w:p w14:paraId="647DBE14">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ajorEastAsia" w:hAnsiTheme="majorEastAsia" w:eastAsiaTheme="majorEastAsia"/>
          <w:color w:val="auto"/>
          <w:sz w:val="24"/>
          <w:highlight w:val="none"/>
          <w:u w:val="single"/>
        </w:rPr>
      </w:pPr>
      <w:r>
        <w:rPr>
          <w:rFonts w:hint="eastAsia" w:cs="宋体" w:asciiTheme="majorEastAsia" w:hAnsiTheme="majorEastAsia" w:eastAsiaTheme="majorEastAsia"/>
          <w:color w:val="auto"/>
          <w:sz w:val="24"/>
          <w:highlight w:val="none"/>
          <w:u w:val="single"/>
          <w:lang w:eastAsia="zh-CN"/>
        </w:rPr>
        <w:t>2025年度茅乡景区及仁寿山园林绿化养护服务项目</w:t>
      </w:r>
      <w:r>
        <w:rPr>
          <w:rFonts w:hint="eastAsia" w:cs="宋体" w:asciiTheme="majorEastAsia" w:hAnsiTheme="majorEastAsia" w:eastAsiaTheme="maj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cs="宋体" w:asciiTheme="majorEastAsia" w:hAnsiTheme="majorEastAsia" w:eastAsiaTheme="majorEastAsia"/>
          <w:snapToGrid/>
          <w:color w:val="auto"/>
          <w:kern w:val="2"/>
          <w:sz w:val="24"/>
          <w:szCs w:val="24"/>
          <w:highlight w:val="none"/>
        </w:rPr>
        <w:t>https://www.zcygov.cn/）获取（下载）招标文件，并于20</w:t>
      </w:r>
      <w:r>
        <w:rPr>
          <w:rStyle w:val="77"/>
          <w:rFonts w:hint="eastAsia" w:cs="宋体" w:asciiTheme="majorEastAsia" w:hAnsiTheme="majorEastAsia" w:eastAsiaTheme="majorEastAsia"/>
          <w:snapToGrid/>
          <w:color w:val="auto"/>
          <w:kern w:val="2"/>
          <w:sz w:val="24"/>
          <w:szCs w:val="24"/>
          <w:highlight w:val="none"/>
          <w:lang w:val="en-US" w:eastAsia="zh-CN"/>
        </w:rPr>
        <w:t>25</w:t>
      </w:r>
      <w:r>
        <w:rPr>
          <w:rStyle w:val="77"/>
          <w:rFonts w:hint="eastAsia" w:cs="宋体" w:asciiTheme="majorEastAsia" w:hAnsiTheme="majorEastAsia" w:eastAsiaTheme="majorEastAsia"/>
          <w:snapToGrid/>
          <w:color w:val="auto"/>
          <w:kern w:val="2"/>
          <w:sz w:val="24"/>
          <w:szCs w:val="24"/>
          <w:highlight w:val="none"/>
        </w:rPr>
        <w:t>年</w:t>
      </w:r>
      <w:r>
        <w:rPr>
          <w:rStyle w:val="77"/>
          <w:rFonts w:hint="eastAsia" w:cs="宋体" w:asciiTheme="majorEastAsia" w:hAnsiTheme="majorEastAsia" w:eastAsiaTheme="majorEastAsia"/>
          <w:snapToGrid/>
          <w:color w:val="auto"/>
          <w:kern w:val="2"/>
          <w:sz w:val="24"/>
          <w:szCs w:val="24"/>
          <w:highlight w:val="none"/>
          <w:lang w:val="en-US" w:eastAsia="zh-CN"/>
        </w:rPr>
        <w:t>07</w:t>
      </w:r>
      <w:r>
        <w:rPr>
          <w:rStyle w:val="77"/>
          <w:rFonts w:hint="eastAsia" w:cs="宋体" w:asciiTheme="majorEastAsia" w:hAnsiTheme="majorEastAsia" w:eastAsiaTheme="majorEastAsia"/>
          <w:snapToGrid/>
          <w:color w:val="auto"/>
          <w:kern w:val="2"/>
          <w:sz w:val="24"/>
          <w:szCs w:val="24"/>
          <w:highlight w:val="none"/>
        </w:rPr>
        <w:t>月</w:t>
      </w:r>
      <w:r>
        <w:rPr>
          <w:rStyle w:val="77"/>
          <w:rFonts w:hint="eastAsia" w:cs="宋体" w:asciiTheme="majorEastAsia" w:hAnsiTheme="majorEastAsia" w:eastAsiaTheme="majorEastAsia"/>
          <w:snapToGrid/>
          <w:color w:val="auto"/>
          <w:kern w:val="2"/>
          <w:sz w:val="24"/>
          <w:szCs w:val="24"/>
          <w:highlight w:val="none"/>
          <w:lang w:val="en-US" w:eastAsia="zh-CN"/>
        </w:rPr>
        <w:t>17</w:t>
      </w:r>
      <w:r>
        <w:rPr>
          <w:rStyle w:val="77"/>
          <w:rFonts w:hint="eastAsia" w:cs="宋体" w:asciiTheme="majorEastAsia" w:hAnsiTheme="majorEastAsia" w:eastAsiaTheme="majorEastAsia"/>
          <w:snapToGrid/>
          <w:color w:val="auto"/>
          <w:kern w:val="2"/>
          <w:sz w:val="24"/>
          <w:szCs w:val="24"/>
          <w:highlight w:val="none"/>
        </w:rPr>
        <w:t>日</w:t>
      </w:r>
      <w:r>
        <w:rPr>
          <w:rStyle w:val="77"/>
          <w:rFonts w:hint="eastAsia" w:cs="宋体" w:asciiTheme="majorEastAsia" w:hAnsiTheme="majorEastAsia" w:eastAsiaTheme="majorEastAsia"/>
          <w:snapToGrid/>
          <w:color w:val="auto"/>
          <w:kern w:val="2"/>
          <w:sz w:val="24"/>
          <w:szCs w:val="24"/>
          <w:highlight w:val="none"/>
          <w:lang w:val="en-US" w:eastAsia="zh-CN"/>
        </w:rPr>
        <w:t>1</w:t>
      </w:r>
      <w:r>
        <w:rPr>
          <w:rStyle w:val="77"/>
          <w:rFonts w:hint="eastAsia" w:cs="宋体" w:asciiTheme="majorEastAsia" w:hAnsiTheme="majorEastAsia" w:eastAsiaTheme="majorEastAsia"/>
          <w:bCs/>
          <w:snapToGrid/>
          <w:color w:val="auto"/>
          <w:kern w:val="2"/>
          <w:sz w:val="24"/>
          <w:szCs w:val="24"/>
          <w:highlight w:val="none"/>
        </w:rPr>
        <w:fldChar w:fldCharType="end"/>
      </w:r>
      <w:r>
        <w:rPr>
          <w:rStyle w:val="77"/>
          <w:rFonts w:hint="eastAsia" w:cs="宋体" w:asciiTheme="majorEastAsia" w:hAnsiTheme="majorEastAsia" w:eastAsiaTheme="majorEastAsia"/>
          <w:bCs/>
          <w:snapToGrid/>
          <w:color w:val="auto"/>
          <w:kern w:val="2"/>
          <w:sz w:val="24"/>
          <w:szCs w:val="24"/>
          <w:highlight w:val="none"/>
          <w:lang w:val="en-US" w:eastAsia="zh-CN"/>
        </w:rPr>
        <w:t>4:00</w:t>
      </w:r>
      <w:r>
        <w:rPr>
          <w:rFonts w:hint="eastAsia" w:cs="宋体" w:asciiTheme="majorEastAsia" w:hAnsiTheme="majorEastAsia" w:eastAsiaTheme="majorEastAsia"/>
          <w:bCs/>
          <w:color w:val="auto"/>
          <w:sz w:val="24"/>
          <w:highlight w:val="none"/>
        </w:rPr>
        <w:t>（北京时间）前</w:t>
      </w:r>
      <w:r>
        <w:rPr>
          <w:rFonts w:hint="eastAsia" w:cs="宋体" w:asciiTheme="majorEastAsia" w:hAnsiTheme="majorEastAsia" w:eastAsiaTheme="majorEastAsia"/>
          <w:color w:val="auto"/>
          <w:sz w:val="24"/>
          <w:highlight w:val="none"/>
        </w:rPr>
        <w:t>递交（上传）投标文件。</w:t>
      </w:r>
    </w:p>
    <w:p w14:paraId="4F28F7FA">
      <w:pPr>
        <w:spacing w:line="360" w:lineRule="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 xml:space="preserve">一、项目基本情况                                            </w:t>
      </w:r>
    </w:p>
    <w:p w14:paraId="2EC38F46">
      <w:pPr>
        <w:spacing w:line="360" w:lineRule="auto"/>
        <w:ind w:firstLine="470" w:firstLineChars="196"/>
        <w:rPr>
          <w:rFonts w:hint="default" w:cs="宋体" w:asciiTheme="majorEastAsia" w:hAnsiTheme="majorEastAsia" w:eastAsiaTheme="majorEastAsia"/>
          <w:b w:val="0"/>
          <w:bCs/>
          <w:snapToGrid w:val="0"/>
          <w:color w:val="auto"/>
          <w:kern w:val="28"/>
          <w:sz w:val="24"/>
          <w:szCs w:val="20"/>
          <w:highlight w:val="none"/>
          <w:lang w:val="en-US" w:eastAsia="zh-CN" w:bidi="ar-SA"/>
        </w:rPr>
      </w:pPr>
      <w:r>
        <w:rPr>
          <w:rFonts w:hint="eastAsia" w:cs="宋体" w:asciiTheme="majorEastAsia" w:hAnsiTheme="majorEastAsia" w:eastAsiaTheme="majorEastAsia"/>
          <w:b w:val="0"/>
          <w:bCs/>
          <w:color w:val="auto"/>
          <w:sz w:val="24"/>
          <w:highlight w:val="none"/>
        </w:rPr>
        <w:t>项目编号：</w:t>
      </w:r>
      <w:r>
        <w:rPr>
          <w:rFonts w:hint="eastAsia" w:cs="宋体" w:asciiTheme="majorEastAsia" w:hAnsiTheme="majorEastAsia" w:eastAsiaTheme="majorEastAsia"/>
          <w:b w:val="0"/>
          <w:bCs/>
          <w:snapToGrid w:val="0"/>
          <w:color w:val="auto"/>
          <w:kern w:val="28"/>
          <w:sz w:val="24"/>
          <w:szCs w:val="20"/>
          <w:highlight w:val="none"/>
          <w:lang w:val="en-US" w:eastAsia="zh-CN" w:bidi="ar-SA"/>
        </w:rPr>
        <w:t>DFJW2025-FJ-040</w:t>
      </w:r>
    </w:p>
    <w:p w14:paraId="760A417C">
      <w:pPr>
        <w:spacing w:line="360" w:lineRule="auto"/>
        <w:ind w:firstLine="470" w:firstLineChars="196"/>
        <w:rPr>
          <w:rFonts w:hint="eastAsia" w:cs="宋体" w:asciiTheme="majorEastAsia" w:hAnsiTheme="majorEastAsia" w:eastAsiaTheme="majorEastAsia"/>
          <w:b w:val="0"/>
          <w:bCs/>
          <w:snapToGrid w:val="0"/>
          <w:color w:val="auto"/>
          <w:kern w:val="28"/>
          <w:sz w:val="24"/>
          <w:szCs w:val="20"/>
          <w:highlight w:val="none"/>
          <w:lang w:val="en-US" w:eastAsia="zh-CN" w:bidi="ar-SA"/>
        </w:rPr>
      </w:pPr>
      <w:r>
        <w:rPr>
          <w:rFonts w:hint="eastAsia" w:cs="宋体" w:asciiTheme="majorEastAsia" w:hAnsiTheme="majorEastAsia" w:eastAsiaTheme="majorEastAsia"/>
          <w:b w:val="0"/>
          <w:bCs/>
          <w:color w:val="auto"/>
          <w:sz w:val="24"/>
          <w:highlight w:val="none"/>
        </w:rPr>
        <w:t>项目名称：</w:t>
      </w:r>
      <w:r>
        <w:rPr>
          <w:rFonts w:hint="eastAsia" w:cs="宋体" w:asciiTheme="majorEastAsia" w:hAnsiTheme="majorEastAsia" w:eastAsiaTheme="majorEastAsia"/>
          <w:b w:val="0"/>
          <w:bCs/>
          <w:snapToGrid w:val="0"/>
          <w:color w:val="auto"/>
          <w:kern w:val="28"/>
          <w:sz w:val="24"/>
          <w:szCs w:val="20"/>
          <w:highlight w:val="none"/>
          <w:lang w:val="en-US" w:eastAsia="zh-CN" w:bidi="ar-SA"/>
        </w:rPr>
        <w:t>2025年度茅乡景区及仁寿山园林绿化养护服务项目</w:t>
      </w:r>
    </w:p>
    <w:p w14:paraId="67413A20">
      <w:pPr>
        <w:spacing w:line="360" w:lineRule="auto"/>
        <w:ind w:firstLine="470" w:firstLineChars="196"/>
        <w:rPr>
          <w:rFonts w:hint="default" w:cs="宋体" w:asciiTheme="majorEastAsia" w:hAnsiTheme="majorEastAsia" w:eastAsiaTheme="majorEastAsia"/>
          <w:b w:val="0"/>
          <w:bCs/>
          <w:color w:val="auto"/>
          <w:sz w:val="24"/>
          <w:highlight w:val="none"/>
          <w:lang w:val="en-US" w:eastAsia="zh-CN"/>
        </w:rPr>
      </w:pPr>
      <w:r>
        <w:rPr>
          <w:rFonts w:hint="eastAsia" w:cs="宋体" w:asciiTheme="majorEastAsia" w:hAnsiTheme="majorEastAsia" w:eastAsiaTheme="majorEastAsia"/>
          <w:b w:val="0"/>
          <w:bCs/>
          <w:color w:val="auto"/>
          <w:sz w:val="24"/>
          <w:highlight w:val="none"/>
        </w:rPr>
        <w:t>预算金额（元）：</w:t>
      </w:r>
      <w:r>
        <w:rPr>
          <w:rFonts w:hint="eastAsia" w:cs="宋体" w:asciiTheme="majorEastAsia" w:hAnsiTheme="majorEastAsia" w:eastAsiaTheme="majorEastAsia"/>
          <w:b w:val="0"/>
          <w:bCs/>
          <w:color w:val="auto"/>
          <w:sz w:val="24"/>
          <w:highlight w:val="none"/>
          <w:lang w:val="en-US" w:eastAsia="zh-CN"/>
        </w:rPr>
        <w:t xml:space="preserve">885000.00 </w:t>
      </w:r>
    </w:p>
    <w:p w14:paraId="60F8F201">
      <w:pPr>
        <w:spacing w:line="360" w:lineRule="auto"/>
        <w:ind w:firstLine="480"/>
        <w:rPr>
          <w:rFonts w:hint="default" w:cs="宋体" w:asciiTheme="majorEastAsia" w:hAnsiTheme="majorEastAsia" w:eastAsiaTheme="majorEastAsia"/>
          <w:b w:val="0"/>
          <w:bCs/>
          <w:color w:val="auto"/>
          <w:sz w:val="24"/>
          <w:highlight w:val="none"/>
          <w:lang w:val="en-US" w:eastAsia="zh-CN"/>
        </w:rPr>
      </w:pPr>
      <w:r>
        <w:rPr>
          <w:rFonts w:hint="eastAsia" w:cs="宋体" w:asciiTheme="majorEastAsia" w:hAnsiTheme="majorEastAsia" w:eastAsiaTheme="majorEastAsia"/>
          <w:b w:val="0"/>
          <w:bCs/>
          <w:color w:val="auto"/>
          <w:sz w:val="24"/>
          <w:highlight w:val="none"/>
        </w:rPr>
        <w:t>最高限价</w:t>
      </w:r>
      <w:r>
        <w:rPr>
          <w:rFonts w:hint="eastAsia" w:cs="宋体" w:asciiTheme="majorEastAsia" w:hAnsiTheme="majorEastAsia" w:eastAsiaTheme="majorEastAsia"/>
          <w:b w:val="0"/>
          <w:bCs/>
          <w:color w:val="auto"/>
          <w:sz w:val="24"/>
          <w:highlight w:val="none"/>
          <w:lang w:eastAsia="zh-CN"/>
        </w:rPr>
        <w:t>（元）</w:t>
      </w:r>
      <w:r>
        <w:rPr>
          <w:rFonts w:hint="eastAsia" w:cs="宋体" w:asciiTheme="majorEastAsia" w:hAnsiTheme="majorEastAsia" w:eastAsiaTheme="majorEastAsia"/>
          <w:b w:val="0"/>
          <w:bCs/>
          <w:color w:val="auto"/>
          <w:sz w:val="24"/>
          <w:highlight w:val="none"/>
        </w:rPr>
        <w:t>：</w:t>
      </w:r>
      <w:r>
        <w:rPr>
          <w:rFonts w:hint="eastAsia" w:cs="宋体" w:asciiTheme="majorEastAsia" w:hAnsiTheme="majorEastAsia" w:eastAsiaTheme="majorEastAsia"/>
          <w:b w:val="0"/>
          <w:bCs/>
          <w:color w:val="auto"/>
          <w:sz w:val="24"/>
          <w:highlight w:val="none"/>
          <w:lang w:val="en-US" w:eastAsia="zh-CN"/>
        </w:rPr>
        <w:t xml:space="preserve">885000.00 </w:t>
      </w:r>
    </w:p>
    <w:p w14:paraId="539373FD">
      <w:pPr>
        <w:pStyle w:val="18"/>
        <w:spacing w:line="360" w:lineRule="auto"/>
        <w:ind w:firstLine="480"/>
        <w:rPr>
          <w:rFonts w:hAnsi="宋体" w:cs="宋体"/>
          <w:bCs/>
          <w:snapToGrid/>
          <w:color w:val="auto"/>
          <w:kern w:val="2"/>
          <w:sz w:val="24"/>
          <w:szCs w:val="24"/>
          <w:highlight w:val="none"/>
        </w:rPr>
      </w:pPr>
      <w:r>
        <w:rPr>
          <w:rFonts w:hint="eastAsia" w:cs="宋体" w:asciiTheme="majorEastAsia" w:hAnsiTheme="majorEastAsia" w:eastAsiaTheme="majorEastAsia"/>
          <w:b w:val="0"/>
          <w:bCs/>
          <w:color w:val="auto"/>
          <w:sz w:val="24"/>
          <w:highlight w:val="none"/>
        </w:rPr>
        <w:t>采购需求：</w:t>
      </w:r>
      <w:r>
        <w:rPr>
          <w:rFonts w:hint="eastAsia" w:cs="宋体" w:asciiTheme="majorEastAsia" w:hAnsiTheme="majorEastAsia" w:eastAsiaTheme="majorEastAsia"/>
          <w:color w:val="auto"/>
          <w:sz w:val="24"/>
          <w:highlight w:val="none"/>
          <w:u w:val="none"/>
          <w:lang w:eastAsia="zh-CN"/>
        </w:rPr>
        <w:t>2025年度茅乡景区及仁寿山园林绿化养护服务项目</w:t>
      </w:r>
      <w:r>
        <w:rPr>
          <w:rFonts w:hint="eastAsia" w:hAnsi="宋体" w:cs="宋体"/>
          <w:bCs/>
          <w:snapToGrid/>
          <w:color w:val="auto"/>
          <w:kern w:val="2"/>
          <w:sz w:val="24"/>
          <w:szCs w:val="24"/>
          <w:highlight w:val="none"/>
        </w:rPr>
        <w:t>主要内容为</w:t>
      </w:r>
      <w:r>
        <w:rPr>
          <w:rFonts w:hint="eastAsia" w:hAnsi="宋体" w:cs="宋体"/>
          <w:bCs/>
          <w:snapToGrid/>
          <w:color w:val="auto"/>
          <w:kern w:val="2"/>
          <w:sz w:val="24"/>
          <w:szCs w:val="24"/>
          <w:highlight w:val="none"/>
          <w:lang w:val="en-US" w:eastAsia="zh-CN"/>
        </w:rPr>
        <w:t>下</w:t>
      </w:r>
      <w:r>
        <w:rPr>
          <w:rFonts w:hint="eastAsia" w:hAnsi="宋体" w:cs="宋体"/>
          <w:bCs/>
          <w:snapToGrid/>
          <w:color w:val="auto"/>
          <w:kern w:val="2"/>
          <w:sz w:val="24"/>
          <w:szCs w:val="24"/>
          <w:highlight w:val="none"/>
        </w:rPr>
        <w:t>茅家埠景区、仁寿山景区、都锦生故居、浙江辛亥革命纪念馆、林风眠旧居、龙井路分段（灵隐路-龙井支路口、龙井支路口至龙井路292号灯杆）、灵隐路全段（曙光路口至天曹桥口）、龙泓涧区域、灵溪南路双峰路沿线以东等区域范围内的公园道路绿地、行道树、花坛花境、水生植物、修枝、苗木种植、园林设施维护等日常园林养护、机动应急任务保障（含抗雪、防冻、防台、防汛、抗旱等）等园林养护作业。</w:t>
      </w:r>
      <w:r>
        <w:rPr>
          <w:rFonts w:hint="eastAsia" w:hAnsi="宋体" w:cs="宋体"/>
          <w:snapToGrid/>
          <w:color w:val="auto"/>
          <w:kern w:val="2"/>
          <w:sz w:val="24"/>
          <w:szCs w:val="24"/>
          <w:highlight w:val="none"/>
        </w:rPr>
        <w:t>具体以招标文件第三部分采购需求为准，供应商可点击本公告下方“浏览采购文件”查看采购需求。</w:t>
      </w:r>
    </w:p>
    <w:p w14:paraId="69712683">
      <w:pPr>
        <w:pStyle w:val="18"/>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cs="宋体" w:asciiTheme="majorEastAsia" w:hAnsiTheme="majorEastAsia" w:eastAsiaTheme="majorEastAsia"/>
          <w:b/>
          <w:bCs w:val="0"/>
          <w:color w:val="auto"/>
          <w:sz w:val="24"/>
          <w:highlight w:val="none"/>
        </w:rPr>
      </w:pPr>
      <w:r>
        <w:rPr>
          <w:rFonts w:hint="eastAsia" w:cs="宋体" w:asciiTheme="majorEastAsia" w:hAnsiTheme="majorEastAsia" w:eastAsiaTheme="majorEastAsia"/>
          <w:b/>
          <w:bCs w:val="0"/>
          <w:color w:val="auto"/>
          <w:sz w:val="24"/>
          <w:highlight w:val="none"/>
        </w:rPr>
        <w:t>合同履约期限：一年（具体以合同约定时间为准）</w:t>
      </w:r>
    </w:p>
    <w:p w14:paraId="713A606B">
      <w:pPr>
        <w:pStyle w:val="18"/>
        <w:spacing w:line="360" w:lineRule="auto"/>
        <w:ind w:firstLine="480"/>
        <w:rPr>
          <w:rFonts w:hAnsi="宋体" w:cs="宋体"/>
          <w:color w:val="auto"/>
          <w:kern w:val="0"/>
          <w:sz w:val="24"/>
          <w:szCs w:val="24"/>
          <w:highlight w:val="none"/>
        </w:rPr>
      </w:pPr>
      <w:r>
        <w:rPr>
          <w:rFonts w:hint="eastAsia" w:hAnsi="宋体" w:cs="宋体"/>
          <w:b/>
          <w:color w:val="auto"/>
          <w:sz w:val="24"/>
          <w:szCs w:val="24"/>
          <w:highlight w:val="none"/>
        </w:rPr>
        <w:t>本项目接受联合体投标：</w:t>
      </w:r>
      <w:sdt>
        <w:sdtPr>
          <w:rPr>
            <w:rFonts w:hint="eastAsia" w:hAnsi="宋体" w:cs="宋体"/>
            <w:color w:val="auto"/>
            <w:kern w:val="0"/>
            <w:sz w:val="24"/>
            <w:szCs w:val="24"/>
            <w:highlight w:val="none"/>
          </w:rPr>
          <w:id w:val="2035453831"/>
        </w:sdtPr>
        <w:sdtEndPr>
          <w:rPr>
            <w:rFonts w:hint="eastAsia" w:hAnsi="宋体" w:cs="宋体"/>
            <w:color w:val="auto"/>
            <w:kern w:val="0"/>
            <w:sz w:val="24"/>
            <w:szCs w:val="24"/>
            <w:highlight w:val="none"/>
          </w:rPr>
        </w:sdtEndPr>
        <w:sdtContent>
          <w:r>
            <w:rPr>
              <w:rFonts w:hint="eastAsia" w:hAnsi="宋体" w:cs="宋体"/>
              <w:color w:val="auto"/>
              <w:kern w:val="0"/>
              <w:sz w:val="24"/>
              <w:szCs w:val="24"/>
              <w:highlight w:val="none"/>
            </w:rPr>
            <w:sym w:font="Wingdings" w:char="F0FE"/>
          </w:r>
        </w:sdtContent>
      </w:sdt>
      <w:r>
        <w:rPr>
          <w:rFonts w:hint="eastAsia" w:hAnsi="宋体" w:cs="宋体"/>
          <w:b/>
          <w:color w:val="auto"/>
          <w:sz w:val="24"/>
          <w:szCs w:val="24"/>
          <w:highlight w:val="none"/>
        </w:rPr>
        <w:t>是</w:t>
      </w:r>
      <w:r>
        <w:rPr>
          <w:rFonts w:hint="eastAsia" w:hAnsi="宋体" w:cs="宋体"/>
          <w:b/>
          <w:snapToGrid/>
          <w:color w:val="auto"/>
          <w:kern w:val="2"/>
          <w:sz w:val="24"/>
          <w:szCs w:val="24"/>
          <w:highlight w:val="none"/>
        </w:rPr>
        <w:t>；</w:t>
      </w:r>
      <w:sdt>
        <w:sdtPr>
          <w:rPr>
            <w:rFonts w:hint="eastAsia" w:hAnsi="宋体" w:cs="宋体"/>
            <w:color w:val="auto"/>
            <w:kern w:val="0"/>
            <w:sz w:val="24"/>
            <w:szCs w:val="24"/>
            <w:highlight w:val="none"/>
          </w:rPr>
          <w:id w:val="-1"/>
        </w:sdtPr>
        <w:sdtEndPr>
          <w:rPr>
            <w:rFonts w:hint="eastAsia" w:hAnsi="宋体" w:cs="宋体"/>
            <w:color w:val="auto"/>
            <w:kern w:val="0"/>
            <w:sz w:val="24"/>
            <w:szCs w:val="24"/>
            <w:highlight w:val="none"/>
          </w:rPr>
        </w:sdtEndPr>
        <w:sdtContent>
          <w:r>
            <w:rPr>
              <w:rFonts w:hint="eastAsia" w:hAnsi="宋体" w:cs="宋体"/>
              <w:color w:val="auto"/>
              <w:kern w:val="0"/>
              <w:sz w:val="24"/>
              <w:szCs w:val="24"/>
              <w:highlight w:val="none"/>
            </w:rPr>
            <w:t>☐</w:t>
          </w:r>
        </w:sdtContent>
      </w:sdt>
      <w:r>
        <w:rPr>
          <w:rFonts w:hint="eastAsia" w:hAnsi="宋体" w:cs="宋体"/>
          <w:b/>
          <w:color w:val="auto"/>
          <w:sz w:val="24"/>
          <w:szCs w:val="24"/>
          <w:highlight w:val="none"/>
        </w:rPr>
        <w:t>否</w:t>
      </w:r>
      <w:r>
        <w:rPr>
          <w:rFonts w:hint="eastAsia" w:hAnsi="宋体" w:cs="宋体"/>
          <w:color w:val="auto"/>
          <w:kern w:val="0"/>
          <w:sz w:val="24"/>
          <w:szCs w:val="24"/>
          <w:highlight w:val="none"/>
        </w:rPr>
        <w:t>。</w:t>
      </w:r>
    </w:p>
    <w:p w14:paraId="4CAF645F">
      <w:pPr>
        <w:keepNext w:val="0"/>
        <w:keepLines w:val="0"/>
        <w:pageBreakBefore w:val="0"/>
        <w:kinsoku/>
        <w:wordWrap/>
        <w:overflowPunct/>
        <w:topLinePunct w:val="0"/>
        <w:autoSpaceDE/>
        <w:autoSpaceDN/>
        <w:bidi w:val="0"/>
        <w:adjustRightInd w:val="0"/>
        <w:snapToGrid w:val="0"/>
        <w:spacing w:line="360" w:lineRule="auto"/>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二、申请人的资格要求：</w:t>
      </w:r>
    </w:p>
    <w:p w14:paraId="14DF61D0">
      <w:pPr>
        <w:pStyle w:val="18"/>
        <w:spacing w:line="360" w:lineRule="auto"/>
        <w:ind w:firstLine="480"/>
        <w:rPr>
          <w:rFonts w:hint="eastAsia" w:cs="宋体" w:asciiTheme="majorEastAsia" w:hAnsiTheme="majorEastAsia" w:eastAsiaTheme="majorEastAsia"/>
          <w:b w:val="0"/>
          <w:bCs/>
          <w:color w:val="auto"/>
          <w:sz w:val="24"/>
          <w:highlight w:val="none"/>
        </w:rPr>
      </w:pPr>
      <w:r>
        <w:rPr>
          <w:rFonts w:hint="eastAsia" w:cs="宋体" w:asciiTheme="majorEastAsia" w:hAnsiTheme="majorEastAsia" w:eastAsiaTheme="majorEastAsia"/>
          <w:b w:val="0"/>
          <w:bCs/>
          <w:color w:val="auto"/>
          <w:sz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A9EC93D">
      <w:pPr>
        <w:pStyle w:val="18"/>
        <w:spacing w:line="360" w:lineRule="auto"/>
        <w:ind w:firstLine="480"/>
        <w:rPr>
          <w:rFonts w:hint="eastAsia" w:cs="宋体" w:asciiTheme="majorEastAsia" w:hAnsiTheme="majorEastAsia" w:eastAsiaTheme="majorEastAsia"/>
          <w:b w:val="0"/>
          <w:bCs/>
          <w:color w:val="auto"/>
          <w:sz w:val="24"/>
          <w:highlight w:val="none"/>
        </w:rPr>
      </w:pPr>
      <w:r>
        <w:rPr>
          <w:rFonts w:hint="eastAsia" w:cs="宋体" w:asciiTheme="majorEastAsia" w:hAnsiTheme="majorEastAsia" w:eastAsiaTheme="majorEastAsia"/>
          <w:b w:val="0"/>
          <w:bCs/>
          <w:color w:val="auto"/>
          <w:sz w:val="24"/>
          <w:highlight w:val="none"/>
        </w:rPr>
        <w:t xml:space="preserve">    2.以联合体形式投标的，提供联合协议(本项目不接受联合体投标或者投标人不以联合体形式投标的，则不需要提供) ；</w:t>
      </w:r>
    </w:p>
    <w:p w14:paraId="41256952">
      <w:pPr>
        <w:pStyle w:val="18"/>
        <w:spacing w:line="360" w:lineRule="auto"/>
        <w:ind w:firstLine="480"/>
        <w:rPr>
          <w:rFonts w:hint="eastAsia" w:cs="宋体" w:asciiTheme="majorEastAsia" w:hAnsiTheme="majorEastAsia" w:eastAsiaTheme="majorEastAsia"/>
          <w:b w:val="0"/>
          <w:bCs/>
          <w:color w:val="auto"/>
          <w:sz w:val="24"/>
          <w:highlight w:val="none"/>
        </w:rPr>
      </w:pPr>
      <w:r>
        <w:rPr>
          <w:rFonts w:hint="eastAsia" w:cs="宋体" w:asciiTheme="majorEastAsia" w:hAnsiTheme="majorEastAsia" w:eastAsiaTheme="majorEastAsia"/>
          <w:b w:val="0"/>
          <w:bCs/>
          <w:color w:val="auto"/>
          <w:sz w:val="24"/>
          <w:highlight w:val="none"/>
        </w:rPr>
        <w:t>3.落实政府采购政策需满足的资格要求：</w:t>
      </w:r>
    </w:p>
    <w:p w14:paraId="62E7007E">
      <w:pPr>
        <w:pStyle w:val="18"/>
        <w:spacing w:line="360" w:lineRule="auto"/>
        <w:ind w:firstLine="480"/>
        <w:rPr>
          <w:rFonts w:hint="eastAsia" w:cs="宋体" w:asciiTheme="majorEastAsia" w:hAnsiTheme="majorEastAsia" w:eastAsiaTheme="majorEastAsia"/>
          <w:b w:val="0"/>
          <w:bCs/>
          <w:color w:val="auto"/>
          <w:sz w:val="24"/>
          <w:highlight w:val="none"/>
        </w:rPr>
      </w:pPr>
      <w:sdt>
        <w:sdtPr>
          <w:rPr>
            <w:rFonts w:hint="eastAsia" w:cs="宋体" w:asciiTheme="majorEastAsia" w:hAnsiTheme="majorEastAsia" w:eastAsiaTheme="majorEastAsia"/>
            <w:b w:val="0"/>
            <w:bCs/>
            <w:color w:val="auto"/>
            <w:sz w:val="24"/>
            <w:highlight w:val="none"/>
          </w:rPr>
          <w:id w:val="1928616923"/>
        </w:sdtPr>
        <w:sdtEndPr>
          <w:rPr>
            <w:rFonts w:hint="eastAsia" w:cs="宋体" w:asciiTheme="majorEastAsia" w:hAnsiTheme="majorEastAsia" w:eastAsiaTheme="majorEastAsia"/>
            <w:b w:val="0"/>
            <w:bCs/>
            <w:color w:val="auto"/>
            <w:sz w:val="24"/>
            <w:highlight w:val="none"/>
          </w:rPr>
        </w:sdtEndPr>
        <w:sdtContent>
          <w:r>
            <w:rPr>
              <w:rFonts w:hint="eastAsia" w:cs="宋体" w:asciiTheme="majorEastAsia" w:hAnsiTheme="majorEastAsia" w:eastAsiaTheme="majorEastAsia"/>
              <w:b w:val="0"/>
              <w:bCs/>
              <w:color w:val="auto"/>
              <w:sz w:val="24"/>
              <w:highlight w:val="none"/>
            </w:rPr>
            <w:t>☐</w:t>
          </w:r>
        </w:sdtContent>
      </w:sdt>
      <w:r>
        <w:rPr>
          <w:rFonts w:hint="eastAsia" w:cs="宋体" w:asciiTheme="majorEastAsia" w:hAnsiTheme="majorEastAsia" w:eastAsiaTheme="majorEastAsia"/>
          <w:b w:val="0"/>
          <w:bCs/>
          <w:color w:val="auto"/>
          <w:sz w:val="24"/>
          <w:highlight w:val="none"/>
        </w:rPr>
        <w:t>无（注：不得限制大中型企业与小微企业组成联合体参与投标）；</w:t>
      </w:r>
    </w:p>
    <w:p w14:paraId="62AD48E7">
      <w:pPr>
        <w:pStyle w:val="18"/>
        <w:spacing w:line="360" w:lineRule="auto"/>
        <w:ind w:firstLine="480"/>
        <w:rPr>
          <w:rFonts w:hint="eastAsia" w:cs="宋体" w:asciiTheme="majorEastAsia" w:hAnsiTheme="majorEastAsia" w:eastAsiaTheme="majorEastAsia"/>
          <w:b w:val="0"/>
          <w:bCs/>
          <w:color w:val="auto"/>
          <w:sz w:val="24"/>
          <w:highlight w:val="none"/>
        </w:rPr>
      </w:pPr>
      <w:sdt>
        <w:sdtPr>
          <w:rPr>
            <w:rFonts w:hint="eastAsia" w:ascii="宋体" w:hAnsi="宋体" w:cs="宋体"/>
            <w:kern w:val="0"/>
            <w:highlight w:val="none"/>
          </w:rPr>
          <w:id w:val="147478366"/>
        </w:sdtPr>
        <w:sdtEndPr>
          <w:rPr>
            <w:rFonts w:hint="eastAsia" w:ascii="宋体" w:hAnsi="宋体" w:cs="宋体"/>
            <w:kern w:val="0"/>
            <w:highlight w:val="none"/>
          </w:rPr>
        </w:sdtEndPr>
        <w:sdtContent>
          <w:r>
            <w:rPr>
              <w:rFonts w:ascii="Wingdings" w:hAnsi="Wingdings" w:cs="宋体"/>
              <w:kern w:val="0"/>
              <w:highlight w:val="none"/>
            </w:rPr>
            <w:sym w:font="Wingdings" w:char="00FE"/>
          </w:r>
        </w:sdtContent>
      </w:sdt>
      <w:r>
        <w:rPr>
          <w:rFonts w:hint="eastAsia" w:cs="宋体" w:asciiTheme="majorEastAsia" w:hAnsiTheme="majorEastAsia" w:eastAsiaTheme="majorEastAsia"/>
          <w:b w:val="0"/>
          <w:bCs/>
          <w:color w:val="auto"/>
          <w:sz w:val="24"/>
          <w:highlight w:val="none"/>
        </w:rPr>
        <w:t>专门面向中小企业</w:t>
      </w:r>
    </w:p>
    <w:p w14:paraId="09F7C48B">
      <w:pPr>
        <w:pStyle w:val="18"/>
        <w:spacing w:line="360" w:lineRule="auto"/>
        <w:ind w:left="0" w:leftChars="0" w:firstLine="560" w:firstLineChars="200"/>
        <w:rPr>
          <w:rFonts w:hint="eastAsia" w:cs="宋体" w:asciiTheme="majorEastAsia" w:hAnsiTheme="majorEastAsia" w:eastAsiaTheme="majorEastAsia"/>
          <w:b w:val="0"/>
          <w:bCs/>
          <w:color w:val="auto"/>
          <w:sz w:val="24"/>
          <w:highlight w:val="none"/>
        </w:rPr>
      </w:pPr>
      <w:sdt>
        <w:sdtPr>
          <w:rPr>
            <w:rFonts w:hint="eastAsia" w:ascii="宋体" w:hAnsi="宋体" w:cs="宋体"/>
            <w:kern w:val="0"/>
            <w:highlight w:val="none"/>
          </w:rPr>
          <w:id w:val="147471208"/>
        </w:sdtPr>
        <w:sdtEndPr>
          <w:rPr>
            <w:rFonts w:hint="eastAsia" w:ascii="宋体" w:hAnsi="宋体" w:cs="宋体"/>
            <w:kern w:val="0"/>
            <w:highlight w:val="none"/>
          </w:rPr>
        </w:sdtEndPr>
        <w:sdtContent>
          <w:r>
            <w:rPr>
              <w:rFonts w:ascii="Wingdings" w:hAnsi="Wingdings" w:cs="宋体"/>
              <w:kern w:val="0"/>
              <w:highlight w:val="none"/>
            </w:rPr>
            <w:sym w:font="Wingdings" w:char="00A8"/>
          </w:r>
        </w:sdtContent>
      </w:sdt>
      <w:r>
        <w:rPr>
          <w:rFonts w:hint="eastAsia" w:cs="宋体" w:asciiTheme="majorEastAsia" w:hAnsiTheme="majorEastAsia" w:eastAsiaTheme="majorEastAsia"/>
          <w:b w:val="0"/>
          <w:bCs/>
          <w:color w:val="auto"/>
          <w:sz w:val="24"/>
          <w:highlight w:val="none"/>
          <w:lang w:val="en-US" w:eastAsia="zh-CN"/>
        </w:rPr>
        <w:t>服务</w:t>
      </w:r>
      <w:r>
        <w:rPr>
          <w:rFonts w:hint="eastAsia" w:cs="宋体" w:asciiTheme="majorEastAsia" w:hAnsiTheme="majorEastAsia" w:eastAsiaTheme="majorEastAsia"/>
          <w:b w:val="0"/>
          <w:bCs/>
          <w:color w:val="auto"/>
          <w:sz w:val="24"/>
          <w:highlight w:val="none"/>
        </w:rPr>
        <w:t>全部由符合政策要求的中小企业</w:t>
      </w:r>
      <w:r>
        <w:rPr>
          <w:rFonts w:hint="eastAsia" w:cs="宋体" w:asciiTheme="majorEastAsia" w:hAnsiTheme="majorEastAsia" w:eastAsiaTheme="majorEastAsia"/>
          <w:b w:val="0"/>
          <w:bCs/>
          <w:color w:val="auto"/>
          <w:sz w:val="24"/>
          <w:highlight w:val="none"/>
          <w:lang w:val="en-US" w:eastAsia="zh-CN"/>
        </w:rPr>
        <w:t>承接</w:t>
      </w:r>
      <w:r>
        <w:rPr>
          <w:rFonts w:hint="eastAsia" w:cs="宋体" w:asciiTheme="majorEastAsia" w:hAnsiTheme="majorEastAsia" w:eastAsiaTheme="majorEastAsia"/>
          <w:b w:val="0"/>
          <w:bCs/>
          <w:color w:val="auto"/>
          <w:sz w:val="24"/>
          <w:highlight w:val="none"/>
        </w:rPr>
        <w:t>，提供中小企业声明函；</w:t>
      </w:r>
    </w:p>
    <w:p w14:paraId="3D4653F7">
      <w:pPr>
        <w:pStyle w:val="18"/>
        <w:spacing w:line="360" w:lineRule="auto"/>
        <w:ind w:firstLine="480"/>
        <w:rPr>
          <w:rFonts w:hint="eastAsia" w:cs="宋体" w:asciiTheme="majorEastAsia" w:hAnsiTheme="majorEastAsia" w:eastAsiaTheme="majorEastAsia"/>
          <w:b w:val="0"/>
          <w:bCs/>
          <w:color w:val="auto"/>
          <w:sz w:val="24"/>
          <w:highlight w:val="none"/>
        </w:rPr>
      </w:pPr>
      <w:sdt>
        <w:sdtPr>
          <w:rPr>
            <w:rFonts w:hint="eastAsia" w:cs="宋体" w:asciiTheme="majorEastAsia" w:hAnsiTheme="majorEastAsia" w:eastAsiaTheme="majorEastAsia"/>
            <w:b w:val="0"/>
            <w:bCs/>
            <w:color w:val="auto"/>
            <w:sz w:val="24"/>
            <w:highlight w:val="none"/>
          </w:rPr>
          <w:id w:val="313491756"/>
        </w:sdtPr>
        <w:sdtEndPr>
          <w:rPr>
            <w:rFonts w:hint="eastAsia" w:cs="宋体" w:asciiTheme="majorEastAsia" w:hAnsiTheme="majorEastAsia" w:eastAsiaTheme="majorEastAsia"/>
            <w:b w:val="0"/>
            <w:bCs/>
            <w:color w:val="auto"/>
            <w:sz w:val="24"/>
            <w:highlight w:val="none"/>
          </w:rPr>
        </w:sdtEndPr>
        <w:sdtContent>
          <w:sdt>
            <w:sdtPr>
              <w:rPr>
                <w:rFonts w:hint="eastAsia" w:ascii="宋体" w:hAnsi="宋体" w:cs="宋体"/>
                <w:kern w:val="0"/>
                <w:highlight w:val="none"/>
              </w:rPr>
              <w:id w:val="147476166"/>
            </w:sdtPr>
            <w:sdtEndPr>
              <w:rPr>
                <w:rFonts w:hint="eastAsia" w:ascii="宋体" w:hAnsi="宋体" w:cs="宋体"/>
                <w:kern w:val="0"/>
                <w:highlight w:val="none"/>
              </w:rPr>
            </w:sdtEndPr>
            <w:sdtContent>
              <w:r>
                <w:rPr>
                  <w:rFonts w:ascii="Wingdings" w:hAnsi="Wingdings" w:cs="宋体"/>
                  <w:kern w:val="0"/>
                  <w:highlight w:val="none"/>
                </w:rPr>
                <w:sym w:font="Wingdings" w:char="00FE"/>
              </w:r>
            </w:sdtContent>
          </w:sdt>
        </w:sdtContent>
      </w:sdt>
      <w:r>
        <w:rPr>
          <w:rFonts w:hint="eastAsia" w:cs="宋体" w:asciiTheme="majorEastAsia" w:hAnsiTheme="majorEastAsia" w:eastAsiaTheme="majorEastAsia"/>
          <w:b w:val="0"/>
          <w:bCs/>
          <w:color w:val="auto"/>
          <w:sz w:val="24"/>
          <w:highlight w:val="none"/>
          <w:lang w:val="en-US" w:eastAsia="zh-CN"/>
        </w:rPr>
        <w:t>服务</w:t>
      </w:r>
      <w:r>
        <w:rPr>
          <w:rFonts w:hint="eastAsia" w:cs="宋体" w:asciiTheme="majorEastAsia" w:hAnsiTheme="majorEastAsia" w:eastAsiaTheme="majorEastAsia"/>
          <w:b w:val="0"/>
          <w:bCs/>
          <w:color w:val="auto"/>
          <w:sz w:val="24"/>
          <w:highlight w:val="none"/>
        </w:rPr>
        <w:t>全部由符合政策要求的小微企业</w:t>
      </w:r>
      <w:r>
        <w:rPr>
          <w:rFonts w:hint="eastAsia" w:cs="宋体" w:asciiTheme="majorEastAsia" w:hAnsiTheme="majorEastAsia" w:eastAsiaTheme="majorEastAsia"/>
          <w:b w:val="0"/>
          <w:bCs/>
          <w:color w:val="auto"/>
          <w:sz w:val="24"/>
          <w:highlight w:val="none"/>
          <w:lang w:val="en-US" w:eastAsia="zh-CN"/>
        </w:rPr>
        <w:t>承接</w:t>
      </w:r>
      <w:r>
        <w:rPr>
          <w:rFonts w:hint="eastAsia" w:cs="宋体" w:asciiTheme="majorEastAsia" w:hAnsiTheme="majorEastAsia" w:eastAsiaTheme="majorEastAsia"/>
          <w:b w:val="0"/>
          <w:bCs/>
          <w:color w:val="auto"/>
          <w:sz w:val="24"/>
          <w:highlight w:val="none"/>
        </w:rPr>
        <w:t>，提供中小企业声明函；</w:t>
      </w:r>
    </w:p>
    <w:p w14:paraId="7126884F">
      <w:pPr>
        <w:pStyle w:val="18"/>
        <w:spacing w:line="360" w:lineRule="auto"/>
        <w:ind w:firstLine="480"/>
        <w:rPr>
          <w:rFonts w:hint="eastAsia" w:cs="宋体" w:asciiTheme="majorEastAsia" w:hAnsiTheme="majorEastAsia" w:eastAsiaTheme="majorEastAsia"/>
          <w:b w:val="0"/>
          <w:bCs/>
          <w:color w:val="auto"/>
          <w:sz w:val="24"/>
          <w:highlight w:val="none"/>
        </w:rPr>
      </w:pPr>
      <w:sdt>
        <w:sdtPr>
          <w:rPr>
            <w:rFonts w:hint="eastAsia" w:cs="宋体" w:asciiTheme="majorEastAsia" w:hAnsiTheme="majorEastAsia" w:eastAsiaTheme="majorEastAsia"/>
            <w:b w:val="0"/>
            <w:bCs/>
            <w:color w:val="auto"/>
            <w:sz w:val="24"/>
            <w:highlight w:val="none"/>
          </w:rPr>
          <w:id w:val="648567299"/>
        </w:sdtPr>
        <w:sdtEndPr>
          <w:rPr>
            <w:rFonts w:hint="eastAsia" w:cs="宋体" w:asciiTheme="majorEastAsia" w:hAnsiTheme="majorEastAsia" w:eastAsiaTheme="majorEastAsia"/>
            <w:b w:val="0"/>
            <w:bCs/>
            <w:color w:val="auto"/>
            <w:sz w:val="24"/>
            <w:highlight w:val="none"/>
          </w:rPr>
        </w:sdtEndPr>
        <w:sdtContent>
          <w:r>
            <w:rPr>
              <w:rFonts w:hint="eastAsia" w:cs="宋体" w:asciiTheme="majorEastAsia" w:hAnsiTheme="majorEastAsia" w:eastAsiaTheme="majorEastAsia"/>
              <w:b w:val="0"/>
              <w:bCs/>
              <w:color w:val="auto"/>
              <w:sz w:val="24"/>
              <w:highlight w:val="none"/>
            </w:rPr>
            <w:t>☐</w:t>
          </w:r>
          <w:bookmarkStart w:id="11" w:name="_Hlk101132524"/>
        </w:sdtContent>
      </w:sdt>
      <w:r>
        <w:rPr>
          <w:rFonts w:hint="eastAsia" w:cs="宋体" w:asciiTheme="majorEastAsia" w:hAnsiTheme="majorEastAsia" w:eastAsiaTheme="majorEastAsia"/>
          <w:b w:val="0"/>
          <w:bCs/>
          <w:color w:val="auto"/>
          <w:sz w:val="24"/>
          <w:highlight w:val="none"/>
        </w:rPr>
        <w:t>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bookmarkEnd w:id="11"/>
    <w:p w14:paraId="419ED585">
      <w:pPr>
        <w:pStyle w:val="18"/>
        <w:spacing w:line="360" w:lineRule="auto"/>
        <w:ind w:firstLine="480"/>
        <w:rPr>
          <w:rFonts w:hint="eastAsia" w:cs="宋体" w:asciiTheme="majorEastAsia" w:hAnsiTheme="majorEastAsia" w:eastAsiaTheme="majorEastAsia"/>
          <w:b w:val="0"/>
          <w:bCs/>
          <w:color w:val="auto"/>
          <w:sz w:val="24"/>
          <w:highlight w:val="none"/>
        </w:rPr>
      </w:pPr>
      <w:sdt>
        <w:sdtPr>
          <w:rPr>
            <w:rFonts w:hint="eastAsia" w:cs="宋体" w:asciiTheme="majorEastAsia" w:hAnsiTheme="majorEastAsia" w:eastAsiaTheme="majorEastAsia"/>
            <w:b w:val="0"/>
            <w:bCs/>
            <w:color w:val="auto"/>
            <w:sz w:val="24"/>
            <w:highlight w:val="none"/>
          </w:rPr>
          <w:id w:val="34630645"/>
        </w:sdtPr>
        <w:sdtEndPr>
          <w:rPr>
            <w:rFonts w:hint="eastAsia" w:cs="宋体" w:asciiTheme="majorEastAsia" w:hAnsiTheme="majorEastAsia" w:eastAsiaTheme="majorEastAsia"/>
            <w:b w:val="0"/>
            <w:bCs/>
            <w:color w:val="auto"/>
            <w:sz w:val="24"/>
            <w:highlight w:val="none"/>
          </w:rPr>
        </w:sdtEndPr>
        <w:sdtContent>
          <w:r>
            <w:rPr>
              <w:rFonts w:hint="eastAsia" w:cs="宋体" w:asciiTheme="majorEastAsia" w:hAnsiTheme="majorEastAsia" w:eastAsiaTheme="majorEastAsia"/>
              <w:b w:val="0"/>
              <w:bCs/>
              <w:color w:val="auto"/>
              <w:sz w:val="24"/>
              <w:highlight w:val="none"/>
            </w:rPr>
            <w:t>☐</w:t>
          </w:r>
        </w:sdtContent>
      </w:sdt>
      <w:r>
        <w:rPr>
          <w:rFonts w:hint="eastAsia" w:cs="宋体" w:asciiTheme="majorEastAsia" w:hAnsiTheme="majorEastAsia" w:eastAsiaTheme="majorEastAsia"/>
          <w:b w:val="0"/>
          <w:bCs/>
          <w:color w:val="auto"/>
          <w:sz w:val="24"/>
          <w:highlight w:val="none"/>
        </w:rPr>
        <w:t>要求合同分包，提供分包意向协议和中小企业声明函，分包意向协议中中小企业合同金额应当达到达到% ，其中小微企业合同金额应当达到% 。如果供应商本身提供所有标的均由中小企业制造、承建或承接，并相应达到了前述比例要求，视同符合了资格条件，无需再向中小企业分包，无需提供分包意向协议；</w:t>
      </w:r>
    </w:p>
    <w:p w14:paraId="616357F0">
      <w:pPr>
        <w:pStyle w:val="18"/>
        <w:spacing w:line="360" w:lineRule="auto"/>
        <w:ind w:firstLine="480"/>
        <w:rPr>
          <w:rFonts w:hint="eastAsia" w:cs="宋体" w:asciiTheme="majorEastAsia" w:hAnsiTheme="majorEastAsia" w:eastAsiaTheme="majorEastAsia"/>
          <w:b w:val="0"/>
          <w:bCs/>
          <w:color w:val="auto"/>
          <w:sz w:val="24"/>
          <w:highlight w:val="none"/>
        </w:rPr>
      </w:pPr>
      <w:r>
        <w:rPr>
          <w:rFonts w:hint="eastAsia" w:cs="宋体" w:asciiTheme="majorEastAsia" w:hAnsiTheme="majorEastAsia" w:eastAsiaTheme="majorEastAsia"/>
          <w:b w:val="0"/>
          <w:bCs/>
          <w:color w:val="auto"/>
          <w:sz w:val="24"/>
          <w:highlight w:val="none"/>
        </w:rPr>
        <w:t>4.本项目的特定资格要求：</w:t>
      </w:r>
    </w:p>
    <w:p w14:paraId="35A86E00">
      <w:pPr>
        <w:pStyle w:val="18"/>
        <w:spacing w:line="360" w:lineRule="auto"/>
        <w:ind w:firstLine="480"/>
        <w:rPr>
          <w:rFonts w:hint="eastAsia" w:cs="宋体" w:asciiTheme="majorEastAsia" w:hAnsiTheme="majorEastAsia" w:eastAsiaTheme="majorEastAsia"/>
          <w:b w:val="0"/>
          <w:bCs/>
          <w:color w:val="auto"/>
          <w:sz w:val="24"/>
          <w:highlight w:val="none"/>
        </w:rPr>
      </w:pPr>
      <w:sdt>
        <w:sdtPr>
          <w:rPr>
            <w:rFonts w:hint="eastAsia" w:ascii="宋体" w:hAnsi="宋体" w:cs="宋体"/>
            <w:kern w:val="0"/>
            <w:highlight w:val="none"/>
          </w:rPr>
          <w:id w:val="147471642"/>
        </w:sdtPr>
        <w:sdtEndPr>
          <w:rPr>
            <w:rFonts w:hint="eastAsia" w:ascii="宋体" w:hAnsi="宋体" w:cs="宋体"/>
            <w:kern w:val="0"/>
            <w:highlight w:val="none"/>
          </w:rPr>
        </w:sdtEndPr>
        <w:sdtContent>
          <w:r>
            <w:rPr>
              <w:rFonts w:ascii="Wingdings" w:hAnsi="Wingdings" w:cs="宋体"/>
              <w:kern w:val="0"/>
              <w:highlight w:val="none"/>
            </w:rPr>
            <w:t></w:t>
          </w:r>
        </w:sdtContent>
      </w:sdt>
      <w:r>
        <w:rPr>
          <w:rFonts w:hint="eastAsia" w:cs="宋体" w:asciiTheme="majorEastAsia" w:hAnsiTheme="majorEastAsia" w:eastAsiaTheme="majorEastAsia"/>
          <w:b w:val="0"/>
          <w:bCs/>
          <w:color w:val="auto"/>
          <w:sz w:val="24"/>
          <w:highlight w:val="none"/>
        </w:rPr>
        <w:t>无。</w:t>
      </w:r>
    </w:p>
    <w:p w14:paraId="41D8BBE0">
      <w:pPr>
        <w:pStyle w:val="18"/>
        <w:spacing w:line="360" w:lineRule="auto"/>
        <w:ind w:firstLine="480"/>
        <w:rPr>
          <w:rFonts w:hint="eastAsia" w:cs="宋体" w:asciiTheme="majorEastAsia" w:hAnsiTheme="majorEastAsia" w:eastAsiaTheme="majorEastAsia"/>
          <w:b w:val="0"/>
          <w:bCs/>
          <w:color w:val="auto"/>
          <w:sz w:val="24"/>
          <w:highlight w:val="none"/>
        </w:rPr>
      </w:pPr>
      <w:sdt>
        <w:sdtPr>
          <w:rPr>
            <w:rFonts w:hint="eastAsia" w:cs="宋体" w:asciiTheme="majorEastAsia" w:hAnsiTheme="majorEastAsia" w:eastAsiaTheme="majorEastAsia"/>
            <w:b w:val="0"/>
            <w:bCs/>
            <w:color w:val="auto"/>
            <w:sz w:val="24"/>
            <w:highlight w:val="none"/>
          </w:rPr>
          <w:id w:val="470266774"/>
        </w:sdtPr>
        <w:sdtEndPr>
          <w:rPr>
            <w:rFonts w:hint="eastAsia" w:cs="宋体" w:asciiTheme="majorEastAsia" w:hAnsiTheme="majorEastAsia" w:eastAsiaTheme="majorEastAsia"/>
            <w:b w:val="0"/>
            <w:bCs/>
            <w:color w:val="auto"/>
            <w:sz w:val="24"/>
            <w:highlight w:val="none"/>
          </w:rPr>
        </w:sdtEndPr>
        <w:sdtContent>
          <w:r>
            <w:rPr>
              <w:rFonts w:hint="eastAsia" w:cs="宋体" w:asciiTheme="majorEastAsia" w:hAnsiTheme="majorEastAsia" w:eastAsiaTheme="majorEastAsia"/>
              <w:b w:val="0"/>
              <w:bCs/>
              <w:color w:val="auto"/>
              <w:sz w:val="24"/>
              <w:highlight w:val="none"/>
            </w:rPr>
            <w:t>☐</w:t>
          </w:r>
        </w:sdtContent>
      </w:sdt>
      <w:r>
        <w:rPr>
          <w:rFonts w:hint="eastAsia" w:cs="宋体" w:asciiTheme="majorEastAsia" w:hAnsiTheme="majorEastAsia" w:eastAsiaTheme="majorEastAsia"/>
          <w:b w:val="0"/>
          <w:bCs/>
          <w:color w:val="auto"/>
          <w:sz w:val="24"/>
          <w:highlight w:val="none"/>
        </w:rPr>
        <w:t>有特定资格要求：，该特定条件的法律法规依据：。</w:t>
      </w:r>
    </w:p>
    <w:p w14:paraId="06166480">
      <w:pPr>
        <w:pStyle w:val="18"/>
        <w:spacing w:line="360" w:lineRule="auto"/>
        <w:ind w:firstLine="480"/>
        <w:rPr>
          <w:rFonts w:hint="eastAsia" w:cs="宋体" w:asciiTheme="majorEastAsia" w:hAnsiTheme="majorEastAsia" w:eastAsiaTheme="majorEastAsia"/>
          <w:b w:val="0"/>
          <w:bCs/>
          <w:color w:val="auto"/>
          <w:sz w:val="24"/>
          <w:highlight w:val="none"/>
        </w:rPr>
      </w:pPr>
      <w:r>
        <w:rPr>
          <w:rFonts w:hint="eastAsia" w:cs="宋体" w:asciiTheme="majorEastAsia" w:hAnsiTheme="majorEastAsia" w:eastAsiaTheme="majorEastAsia"/>
          <w:b w:val="0"/>
          <w:bCs/>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C5D86CA">
      <w:pPr>
        <w:keepNext w:val="0"/>
        <w:keepLines w:val="0"/>
        <w:pageBreakBefore w:val="0"/>
        <w:kinsoku/>
        <w:wordWrap/>
        <w:overflowPunct/>
        <w:topLinePunct w:val="0"/>
        <w:autoSpaceDE/>
        <w:autoSpaceDN/>
        <w:bidi w:val="0"/>
        <w:adjustRightInd w:val="0"/>
        <w:snapToGrid w:val="0"/>
        <w:spacing w:line="360" w:lineRule="auto"/>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 xml:space="preserve">三、获取招标文件 </w:t>
      </w:r>
    </w:p>
    <w:p w14:paraId="0776D47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val="0"/>
          <w:bCs/>
          <w:color w:val="auto"/>
          <w:sz w:val="24"/>
          <w:highlight w:val="none"/>
        </w:rPr>
        <w:t>时间：/至</w:t>
      </w:r>
      <w:r>
        <w:rPr>
          <w:rFonts w:hint="eastAsia" w:cs="宋体" w:asciiTheme="majorEastAsia" w:hAnsiTheme="majorEastAsia" w:eastAsiaTheme="majorEastAsia"/>
          <w:b w:val="0"/>
          <w:bCs/>
          <w:color w:val="auto"/>
          <w:sz w:val="24"/>
          <w:highlight w:val="none"/>
          <w:u w:val="single"/>
        </w:rPr>
        <w:t>202</w:t>
      </w:r>
      <w:r>
        <w:rPr>
          <w:rFonts w:hint="eastAsia" w:cs="宋体" w:asciiTheme="majorEastAsia" w:hAnsiTheme="majorEastAsia" w:eastAsiaTheme="majorEastAsia"/>
          <w:color w:val="auto"/>
          <w:sz w:val="24"/>
          <w:highlight w:val="none"/>
          <w:u w:val="single"/>
          <w:lang w:val="en-US" w:eastAsia="zh-CN"/>
        </w:rPr>
        <w:t>5</w:t>
      </w:r>
      <w:r>
        <w:rPr>
          <w:rFonts w:hint="eastAsia" w:cs="宋体" w:asciiTheme="majorEastAsia" w:hAnsiTheme="majorEastAsia" w:eastAsiaTheme="majorEastAsia"/>
          <w:color w:val="auto"/>
          <w:sz w:val="24"/>
          <w:highlight w:val="none"/>
          <w:u w:val="single"/>
        </w:rPr>
        <w:t>年</w:t>
      </w:r>
      <w:r>
        <w:rPr>
          <w:rFonts w:hint="eastAsia" w:cs="宋体" w:asciiTheme="majorEastAsia" w:hAnsiTheme="majorEastAsia" w:eastAsiaTheme="majorEastAsia"/>
          <w:color w:val="auto"/>
          <w:sz w:val="24"/>
          <w:highlight w:val="none"/>
          <w:u w:val="single"/>
          <w:lang w:val="en-US" w:eastAsia="zh-CN"/>
        </w:rPr>
        <w:t>07</w:t>
      </w:r>
      <w:r>
        <w:rPr>
          <w:rFonts w:hint="eastAsia" w:cs="宋体" w:asciiTheme="majorEastAsia" w:hAnsiTheme="majorEastAsia" w:eastAsiaTheme="majorEastAsia"/>
          <w:color w:val="auto"/>
          <w:sz w:val="24"/>
          <w:highlight w:val="none"/>
          <w:u w:val="single"/>
        </w:rPr>
        <w:t>月</w:t>
      </w:r>
      <w:r>
        <w:rPr>
          <w:rFonts w:hint="eastAsia" w:cs="宋体" w:asciiTheme="majorEastAsia" w:hAnsiTheme="majorEastAsia" w:eastAsiaTheme="majorEastAsia"/>
          <w:color w:val="auto"/>
          <w:sz w:val="24"/>
          <w:highlight w:val="none"/>
          <w:u w:val="single"/>
          <w:lang w:val="en-US" w:eastAsia="zh-CN"/>
        </w:rPr>
        <w:t>17</w:t>
      </w:r>
      <w:r>
        <w:rPr>
          <w:rFonts w:hint="eastAsia" w:cs="宋体" w:asciiTheme="majorEastAsia" w:hAnsiTheme="majorEastAsia" w:eastAsiaTheme="majorEastAsia"/>
          <w:color w:val="auto"/>
          <w:sz w:val="24"/>
          <w:highlight w:val="none"/>
          <w:u w:val="single"/>
        </w:rPr>
        <w:t>日</w:t>
      </w:r>
      <w:r>
        <w:rPr>
          <w:rFonts w:hint="eastAsia" w:cs="宋体" w:asciiTheme="majorEastAsia" w:hAnsiTheme="majorEastAsia" w:eastAsiaTheme="majorEastAsia"/>
          <w:color w:val="auto"/>
          <w:sz w:val="24"/>
          <w:highlight w:val="none"/>
        </w:rPr>
        <w:t>，每天上午00:00至12:00，下午12:00至23:59（北京时间，线上获取法定节假日均可，线下获取文件法定节假日除外）</w:t>
      </w:r>
    </w:p>
    <w:p w14:paraId="171559B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cs="宋体" w:asciiTheme="majorEastAsia" w:hAnsiTheme="majorEastAsia" w:eastAsiaTheme="majorEastAsia"/>
          <w:b w:val="0"/>
          <w:bCs/>
          <w:color w:val="auto"/>
          <w:sz w:val="24"/>
          <w:highlight w:val="none"/>
        </w:rPr>
      </w:pPr>
      <w:r>
        <w:rPr>
          <w:rFonts w:hint="eastAsia" w:cs="宋体" w:asciiTheme="majorEastAsia" w:hAnsiTheme="majorEastAsia" w:eastAsiaTheme="majorEastAsia"/>
          <w:b w:val="0"/>
          <w:bCs/>
          <w:color w:val="auto"/>
          <w:sz w:val="24"/>
          <w:highlight w:val="none"/>
        </w:rPr>
        <w:t xml:space="preserve">地点（网址）：政采云平台（https://www.zcygov.cn/） </w:t>
      </w:r>
    </w:p>
    <w:p w14:paraId="4AE624C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cs="宋体" w:asciiTheme="majorEastAsia" w:hAnsiTheme="majorEastAsia" w:eastAsiaTheme="majorEastAsia"/>
          <w:b w:val="0"/>
          <w:bCs/>
          <w:color w:val="auto"/>
          <w:sz w:val="24"/>
          <w:highlight w:val="none"/>
        </w:rPr>
      </w:pPr>
      <w:r>
        <w:rPr>
          <w:rFonts w:hint="eastAsia" w:cs="宋体" w:asciiTheme="majorEastAsia" w:hAnsiTheme="majorEastAsia" w:eastAsiaTheme="majorEastAsia"/>
          <w:b w:val="0"/>
          <w:bCs/>
          <w:color w:val="auto"/>
          <w:sz w:val="24"/>
          <w:highlight w:val="none"/>
        </w:rPr>
        <w:t xml:space="preserve">方式：供应商登录政采云平台https://www.zcygov.cn/在线申请获取采购文件（进入“项目采购”应用，在获取采购文件菜单中选择项目，申请获取采购文件）。 </w:t>
      </w:r>
    </w:p>
    <w:p w14:paraId="46A1FC0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val="0"/>
          <w:bCs/>
          <w:color w:val="auto"/>
          <w:sz w:val="24"/>
          <w:highlight w:val="none"/>
        </w:rPr>
        <w:t xml:space="preserve">售价（元）：0 </w:t>
      </w:r>
      <w:r>
        <w:rPr>
          <w:rFonts w:hint="eastAsia" w:cs="宋体" w:asciiTheme="majorEastAsia" w:hAnsiTheme="majorEastAsia" w:eastAsiaTheme="majorEastAsia"/>
          <w:b w:val="0"/>
          <w:bCs/>
          <w:color w:val="auto"/>
          <w:sz w:val="24"/>
          <w:highlight w:val="none"/>
        </w:rPr>
        <w:tab/>
      </w:r>
    </w:p>
    <w:p w14:paraId="1CF30D63">
      <w:pPr>
        <w:keepNext w:val="0"/>
        <w:keepLines w:val="0"/>
        <w:pageBreakBefore w:val="0"/>
        <w:kinsoku/>
        <w:wordWrap/>
        <w:overflowPunct/>
        <w:topLinePunct w:val="0"/>
        <w:autoSpaceDE/>
        <w:autoSpaceDN/>
        <w:bidi w:val="0"/>
        <w:adjustRightInd w:val="0"/>
        <w:snapToGrid w:val="0"/>
        <w:spacing w:line="360" w:lineRule="auto"/>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四、提交投标文件截止时间、开标时间和地点</w:t>
      </w:r>
    </w:p>
    <w:p w14:paraId="75D33048">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cs="宋体" w:asciiTheme="majorEastAsia" w:hAnsiTheme="majorEastAsia" w:eastAsiaTheme="majorEastAsia"/>
          <w:b w:val="0"/>
          <w:bCs/>
          <w:color w:val="auto"/>
          <w:sz w:val="24"/>
          <w:highlight w:val="none"/>
        </w:rPr>
      </w:pPr>
      <w:r>
        <w:rPr>
          <w:rFonts w:hint="eastAsia" w:cs="宋体" w:asciiTheme="majorEastAsia" w:hAnsiTheme="majorEastAsia" w:eastAsiaTheme="majorEastAsia"/>
          <w:b/>
          <w:bCs w:val="0"/>
          <w:color w:val="auto"/>
          <w:sz w:val="24"/>
          <w:highlight w:val="none"/>
        </w:rPr>
        <w:t>提交投标文件截止时间：</w:t>
      </w:r>
      <w:r>
        <w:rPr>
          <w:rFonts w:hint="eastAsia" w:cs="宋体" w:asciiTheme="majorEastAsia" w:hAnsiTheme="majorEastAsia" w:eastAsiaTheme="majorEastAsia"/>
          <w:b w:val="0"/>
          <w:bCs/>
          <w:color w:val="auto"/>
          <w:sz w:val="24"/>
          <w:highlight w:val="none"/>
          <w:u w:val="single"/>
        </w:rPr>
        <w:t>2025年</w:t>
      </w:r>
      <w:r>
        <w:rPr>
          <w:rFonts w:hint="eastAsia" w:cs="宋体" w:asciiTheme="majorEastAsia" w:hAnsiTheme="majorEastAsia" w:eastAsiaTheme="majorEastAsia"/>
          <w:b w:val="0"/>
          <w:bCs/>
          <w:color w:val="auto"/>
          <w:sz w:val="24"/>
          <w:highlight w:val="none"/>
          <w:u w:val="single"/>
          <w:lang w:val="en-US" w:eastAsia="zh-CN"/>
        </w:rPr>
        <w:t>07</w:t>
      </w:r>
      <w:r>
        <w:rPr>
          <w:rFonts w:hint="eastAsia" w:cs="宋体" w:asciiTheme="majorEastAsia" w:hAnsiTheme="majorEastAsia" w:eastAsiaTheme="majorEastAsia"/>
          <w:b w:val="0"/>
          <w:bCs/>
          <w:color w:val="auto"/>
          <w:sz w:val="24"/>
          <w:highlight w:val="none"/>
          <w:u w:val="single"/>
        </w:rPr>
        <w:t>月</w:t>
      </w:r>
      <w:r>
        <w:rPr>
          <w:rFonts w:hint="eastAsia" w:cs="宋体" w:asciiTheme="majorEastAsia" w:hAnsiTheme="majorEastAsia" w:eastAsiaTheme="majorEastAsia"/>
          <w:b w:val="0"/>
          <w:bCs/>
          <w:color w:val="auto"/>
          <w:sz w:val="24"/>
          <w:highlight w:val="none"/>
          <w:u w:val="single"/>
          <w:lang w:val="en-US" w:eastAsia="zh-CN"/>
        </w:rPr>
        <w:t>17</w:t>
      </w:r>
      <w:r>
        <w:rPr>
          <w:rFonts w:hint="eastAsia" w:cs="宋体" w:asciiTheme="majorEastAsia" w:hAnsiTheme="majorEastAsia" w:eastAsiaTheme="majorEastAsia"/>
          <w:b w:val="0"/>
          <w:bCs/>
          <w:color w:val="auto"/>
          <w:sz w:val="24"/>
          <w:highlight w:val="none"/>
          <w:u w:val="single"/>
        </w:rPr>
        <w:t>日</w:t>
      </w:r>
      <w:r>
        <w:rPr>
          <w:rFonts w:hint="eastAsia" w:cs="宋体" w:asciiTheme="majorEastAsia" w:hAnsiTheme="majorEastAsia" w:eastAsiaTheme="majorEastAsia"/>
          <w:b w:val="0"/>
          <w:bCs/>
          <w:color w:val="auto"/>
          <w:sz w:val="24"/>
          <w:highlight w:val="none"/>
          <w:u w:val="single"/>
          <w:lang w:val="en-US" w:eastAsia="zh-CN"/>
        </w:rPr>
        <w:t>14</w:t>
      </w:r>
      <w:r>
        <w:rPr>
          <w:rFonts w:hint="eastAsia" w:cs="宋体" w:asciiTheme="majorEastAsia" w:hAnsiTheme="majorEastAsia" w:eastAsiaTheme="majorEastAsia"/>
          <w:b w:val="0"/>
          <w:bCs/>
          <w:color w:val="auto"/>
          <w:sz w:val="24"/>
          <w:highlight w:val="none"/>
          <w:u w:val="single"/>
        </w:rPr>
        <w:t>点</w:t>
      </w:r>
      <w:r>
        <w:rPr>
          <w:rFonts w:hint="eastAsia" w:cs="宋体" w:asciiTheme="majorEastAsia" w:hAnsiTheme="majorEastAsia" w:eastAsiaTheme="majorEastAsia"/>
          <w:b w:val="0"/>
          <w:bCs/>
          <w:color w:val="auto"/>
          <w:sz w:val="24"/>
          <w:highlight w:val="none"/>
          <w:u w:val="single"/>
          <w:lang w:val="en-US" w:eastAsia="zh-CN"/>
        </w:rPr>
        <w:t>0</w:t>
      </w:r>
      <w:r>
        <w:rPr>
          <w:rFonts w:hint="eastAsia" w:cs="宋体" w:asciiTheme="majorEastAsia" w:hAnsiTheme="majorEastAsia" w:eastAsiaTheme="majorEastAsia"/>
          <w:b w:val="0"/>
          <w:bCs/>
          <w:color w:val="auto"/>
          <w:sz w:val="24"/>
          <w:highlight w:val="none"/>
          <w:u w:val="single"/>
        </w:rPr>
        <w:t>0分00秒</w:t>
      </w:r>
      <w:r>
        <w:rPr>
          <w:rFonts w:hint="eastAsia" w:cs="宋体" w:asciiTheme="majorEastAsia" w:hAnsiTheme="majorEastAsia" w:eastAsiaTheme="majorEastAsia"/>
          <w:b w:val="0"/>
          <w:bCs/>
          <w:color w:val="auto"/>
          <w:sz w:val="24"/>
          <w:highlight w:val="none"/>
        </w:rPr>
        <w:t>（北京时间）</w:t>
      </w:r>
    </w:p>
    <w:p w14:paraId="7C83CF68">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cs="宋体" w:asciiTheme="majorEastAsia" w:hAnsiTheme="majorEastAsia" w:eastAsiaTheme="majorEastAsia"/>
          <w:b w:val="0"/>
          <w:bCs/>
          <w:color w:val="auto"/>
          <w:sz w:val="24"/>
          <w:highlight w:val="none"/>
        </w:rPr>
      </w:pPr>
      <w:r>
        <w:rPr>
          <w:rFonts w:hint="eastAsia" w:cs="宋体" w:asciiTheme="majorEastAsia" w:hAnsiTheme="majorEastAsia" w:eastAsiaTheme="majorEastAsia"/>
          <w:b/>
          <w:bCs w:val="0"/>
          <w:color w:val="auto"/>
          <w:sz w:val="24"/>
          <w:highlight w:val="none"/>
        </w:rPr>
        <w:t>投标地点（网址）：</w:t>
      </w:r>
      <w:r>
        <w:rPr>
          <w:rFonts w:hint="eastAsia" w:cs="宋体" w:asciiTheme="majorEastAsia" w:hAnsiTheme="majorEastAsia" w:eastAsiaTheme="majorEastAsia"/>
          <w:b w:val="0"/>
          <w:bCs/>
          <w:color w:val="auto"/>
          <w:sz w:val="24"/>
          <w:highlight w:val="none"/>
        </w:rPr>
        <w:t xml:space="preserve">政采云平台（https://www.zcygov.cn/） </w:t>
      </w:r>
    </w:p>
    <w:p w14:paraId="41B620AE">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cs="宋体" w:asciiTheme="majorEastAsia" w:hAnsiTheme="majorEastAsia" w:eastAsiaTheme="majorEastAsia"/>
          <w:b w:val="0"/>
          <w:bCs/>
          <w:color w:val="auto"/>
          <w:sz w:val="24"/>
          <w:highlight w:val="none"/>
        </w:rPr>
      </w:pPr>
      <w:r>
        <w:rPr>
          <w:rFonts w:hint="eastAsia" w:cs="宋体" w:asciiTheme="majorEastAsia" w:hAnsiTheme="majorEastAsia" w:eastAsiaTheme="majorEastAsia"/>
          <w:b/>
          <w:bCs w:val="0"/>
          <w:color w:val="auto"/>
          <w:sz w:val="24"/>
          <w:highlight w:val="none"/>
        </w:rPr>
        <w:t>开标时间：</w:t>
      </w:r>
      <w:r>
        <w:rPr>
          <w:rFonts w:hint="eastAsia" w:cs="宋体" w:asciiTheme="majorEastAsia" w:hAnsiTheme="majorEastAsia" w:eastAsiaTheme="majorEastAsia"/>
          <w:b w:val="0"/>
          <w:bCs/>
          <w:color w:val="auto"/>
          <w:sz w:val="24"/>
          <w:highlight w:val="none"/>
          <w:u w:val="single"/>
        </w:rPr>
        <w:t>2025年0</w:t>
      </w:r>
      <w:r>
        <w:rPr>
          <w:rFonts w:hint="eastAsia" w:cs="宋体" w:asciiTheme="majorEastAsia" w:hAnsiTheme="majorEastAsia" w:eastAsiaTheme="majorEastAsia"/>
          <w:b w:val="0"/>
          <w:bCs/>
          <w:color w:val="auto"/>
          <w:sz w:val="24"/>
          <w:highlight w:val="none"/>
          <w:u w:val="single"/>
          <w:lang w:val="en-US" w:eastAsia="zh-CN"/>
        </w:rPr>
        <w:t>7</w:t>
      </w:r>
      <w:r>
        <w:rPr>
          <w:rFonts w:hint="eastAsia" w:cs="宋体" w:asciiTheme="majorEastAsia" w:hAnsiTheme="majorEastAsia" w:eastAsiaTheme="majorEastAsia"/>
          <w:b w:val="0"/>
          <w:bCs/>
          <w:color w:val="auto"/>
          <w:sz w:val="24"/>
          <w:highlight w:val="none"/>
          <w:u w:val="single"/>
        </w:rPr>
        <w:t>月</w:t>
      </w:r>
      <w:r>
        <w:rPr>
          <w:rFonts w:hint="eastAsia" w:cs="宋体" w:asciiTheme="majorEastAsia" w:hAnsiTheme="majorEastAsia" w:eastAsiaTheme="majorEastAsia"/>
          <w:b w:val="0"/>
          <w:bCs/>
          <w:color w:val="auto"/>
          <w:sz w:val="24"/>
          <w:highlight w:val="none"/>
          <w:u w:val="single"/>
          <w:lang w:val="en-US" w:eastAsia="zh-CN"/>
        </w:rPr>
        <w:t>17</w:t>
      </w:r>
      <w:r>
        <w:rPr>
          <w:rFonts w:hint="eastAsia" w:cs="宋体" w:asciiTheme="majorEastAsia" w:hAnsiTheme="majorEastAsia" w:eastAsiaTheme="majorEastAsia"/>
          <w:b w:val="0"/>
          <w:bCs/>
          <w:color w:val="auto"/>
          <w:sz w:val="24"/>
          <w:highlight w:val="none"/>
          <w:u w:val="single"/>
        </w:rPr>
        <w:t>日</w:t>
      </w:r>
      <w:r>
        <w:rPr>
          <w:rFonts w:hint="eastAsia" w:cs="宋体" w:asciiTheme="majorEastAsia" w:hAnsiTheme="majorEastAsia" w:eastAsiaTheme="majorEastAsia"/>
          <w:b w:val="0"/>
          <w:bCs/>
          <w:color w:val="auto"/>
          <w:sz w:val="24"/>
          <w:highlight w:val="none"/>
          <w:u w:val="single"/>
          <w:lang w:val="en-US" w:eastAsia="zh-CN"/>
        </w:rPr>
        <w:t>14</w:t>
      </w:r>
      <w:r>
        <w:rPr>
          <w:rFonts w:hint="eastAsia" w:cs="宋体" w:asciiTheme="majorEastAsia" w:hAnsiTheme="majorEastAsia" w:eastAsiaTheme="majorEastAsia"/>
          <w:b w:val="0"/>
          <w:bCs/>
          <w:color w:val="auto"/>
          <w:sz w:val="24"/>
          <w:highlight w:val="none"/>
          <w:u w:val="single"/>
        </w:rPr>
        <w:t>点</w:t>
      </w:r>
      <w:r>
        <w:rPr>
          <w:rFonts w:hint="eastAsia" w:cs="宋体" w:asciiTheme="majorEastAsia" w:hAnsiTheme="majorEastAsia" w:eastAsiaTheme="majorEastAsia"/>
          <w:b w:val="0"/>
          <w:bCs/>
          <w:color w:val="auto"/>
          <w:sz w:val="24"/>
          <w:highlight w:val="none"/>
          <w:u w:val="single"/>
          <w:lang w:val="en-US" w:eastAsia="zh-CN"/>
        </w:rPr>
        <w:t>0</w:t>
      </w:r>
      <w:r>
        <w:rPr>
          <w:rFonts w:hint="eastAsia" w:cs="宋体" w:asciiTheme="majorEastAsia" w:hAnsiTheme="majorEastAsia" w:eastAsiaTheme="majorEastAsia"/>
          <w:b w:val="0"/>
          <w:bCs/>
          <w:color w:val="auto"/>
          <w:sz w:val="24"/>
          <w:highlight w:val="none"/>
          <w:u w:val="single"/>
        </w:rPr>
        <w:t>0分00秒（北京时间）</w:t>
      </w:r>
    </w:p>
    <w:p w14:paraId="176B5533">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cs="宋体" w:asciiTheme="majorEastAsia" w:hAnsiTheme="majorEastAsia" w:eastAsiaTheme="majorEastAsia"/>
          <w:b w:val="0"/>
          <w:bCs/>
          <w:color w:val="auto"/>
          <w:sz w:val="24"/>
          <w:highlight w:val="none"/>
        </w:rPr>
      </w:pPr>
      <w:r>
        <w:rPr>
          <w:rFonts w:hint="eastAsia" w:cs="宋体" w:asciiTheme="majorEastAsia" w:hAnsiTheme="majorEastAsia" w:eastAsiaTheme="majorEastAsia"/>
          <w:b/>
          <w:bCs w:val="0"/>
          <w:color w:val="auto"/>
          <w:sz w:val="24"/>
          <w:highlight w:val="none"/>
        </w:rPr>
        <w:t>开标地点（网址）：</w:t>
      </w:r>
      <w:r>
        <w:rPr>
          <w:rFonts w:hint="eastAsia" w:cs="宋体" w:asciiTheme="majorEastAsia" w:hAnsiTheme="majorEastAsia" w:eastAsiaTheme="majorEastAsia"/>
          <w:b w:val="0"/>
          <w:bCs/>
          <w:color w:val="auto"/>
          <w:sz w:val="24"/>
          <w:highlight w:val="none"/>
        </w:rPr>
        <w:t>政采云平台（https://www.zcygov.cn/）</w:t>
      </w:r>
    </w:p>
    <w:p w14:paraId="33FF4F46">
      <w:pPr>
        <w:keepNext w:val="0"/>
        <w:keepLines w:val="0"/>
        <w:pageBreakBefore w:val="0"/>
        <w:kinsoku/>
        <w:wordWrap/>
        <w:overflowPunct/>
        <w:topLinePunct w:val="0"/>
        <w:autoSpaceDE/>
        <w:autoSpaceDN/>
        <w:bidi w:val="0"/>
        <w:adjustRightInd w:val="0"/>
        <w:snapToGrid w:val="0"/>
        <w:spacing w:line="360" w:lineRule="auto"/>
        <w:textAlignment w:val="auto"/>
        <w:rPr>
          <w:rFonts w:cs="宋体" w:asciiTheme="majorEastAsia" w:hAnsiTheme="majorEastAsia" w:eastAsiaTheme="majorEastAsia"/>
          <w:sz w:val="24"/>
          <w:highlight w:val="none"/>
        </w:rPr>
      </w:pPr>
      <w:r>
        <w:rPr>
          <w:rFonts w:hint="eastAsia" w:cs="宋体" w:asciiTheme="majorEastAsia" w:hAnsiTheme="majorEastAsia" w:eastAsiaTheme="majorEastAsia"/>
          <w:b/>
          <w:color w:val="auto"/>
          <w:sz w:val="24"/>
          <w:highlight w:val="none"/>
        </w:rPr>
        <w:t>五、</w:t>
      </w:r>
      <w:r>
        <w:rPr>
          <w:rFonts w:hint="eastAsia" w:cs="宋体" w:asciiTheme="majorEastAsia" w:hAnsiTheme="majorEastAsia" w:eastAsiaTheme="majorEastAsia"/>
          <w:b/>
          <w:sz w:val="24"/>
          <w:highlight w:val="none"/>
        </w:rPr>
        <w:t xml:space="preserve">公告期限 </w:t>
      </w:r>
    </w:p>
    <w:p w14:paraId="6CF2A18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自本公告发布之日起5个工作日。</w:t>
      </w:r>
    </w:p>
    <w:p w14:paraId="274C0010">
      <w:pPr>
        <w:keepNext w:val="0"/>
        <w:keepLines w:val="0"/>
        <w:pageBreakBefore w:val="0"/>
        <w:kinsoku/>
        <w:wordWrap/>
        <w:overflowPunct/>
        <w:topLinePunct w:val="0"/>
        <w:autoSpaceDE/>
        <w:autoSpaceDN/>
        <w:bidi w:val="0"/>
        <w:adjustRightInd w:val="0"/>
        <w:snapToGrid w:val="0"/>
        <w:spacing w:line="360" w:lineRule="auto"/>
        <w:textAlignment w:val="auto"/>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lang w:val="en-US" w:eastAsia="zh-CN"/>
        </w:rPr>
        <w:t>六</w:t>
      </w:r>
      <w:r>
        <w:rPr>
          <w:rFonts w:hint="eastAsia" w:cs="宋体" w:asciiTheme="majorEastAsia" w:hAnsiTheme="majorEastAsia" w:eastAsiaTheme="majorEastAsia"/>
          <w:b/>
          <w:sz w:val="24"/>
          <w:highlight w:val="none"/>
        </w:rPr>
        <w:t>、其他补充事宜</w:t>
      </w:r>
    </w:p>
    <w:p w14:paraId="070F389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486C51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19A2C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3BFBC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E3EE42B">
      <w:pPr>
        <w:keepNext w:val="0"/>
        <w:keepLines w:val="0"/>
        <w:pageBreakBefore w:val="0"/>
        <w:kinsoku/>
        <w:wordWrap/>
        <w:overflowPunct/>
        <w:topLinePunct w:val="0"/>
        <w:autoSpaceDE/>
        <w:autoSpaceDN/>
        <w:bidi w:val="0"/>
        <w:adjustRightInd w:val="0"/>
        <w:snapToGrid w:val="0"/>
        <w:spacing w:line="360" w:lineRule="auto"/>
        <w:textAlignment w:val="auto"/>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lang w:eastAsia="zh-CN"/>
        </w:rPr>
        <w:t>八</w:t>
      </w:r>
      <w:r>
        <w:rPr>
          <w:rFonts w:hint="eastAsia" w:cs="宋体" w:asciiTheme="majorEastAsia" w:hAnsiTheme="majorEastAsia" w:eastAsiaTheme="majorEastAsia"/>
          <w:b/>
          <w:sz w:val="24"/>
          <w:highlight w:val="none"/>
        </w:rPr>
        <w:t>、对本次采购提出询问、质疑、投诉，请按以下方式联系</w:t>
      </w:r>
    </w:p>
    <w:p w14:paraId="289E1CE1">
      <w:pPr>
        <w:keepNext w:val="0"/>
        <w:keepLines w:val="0"/>
        <w:pageBreakBefore w:val="0"/>
        <w:kinsoku/>
        <w:wordWrap/>
        <w:overflowPunct/>
        <w:topLinePunct w:val="0"/>
        <w:autoSpaceDE/>
        <w:autoSpaceDN/>
        <w:bidi w:val="0"/>
        <w:adjustRightInd w:val="0"/>
        <w:snapToGrid w:val="0"/>
        <w:spacing w:line="360" w:lineRule="auto"/>
        <w:ind w:firstLine="465"/>
        <w:textAlignment w:val="auto"/>
        <w:rPr>
          <w:rFonts w:hint="eastAsia"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1.采购人信息</w:t>
      </w:r>
    </w:p>
    <w:p w14:paraId="0F307359">
      <w:pPr>
        <w:keepNext w:val="0"/>
        <w:keepLines w:val="0"/>
        <w:pageBreakBefore w:val="0"/>
        <w:kinsoku/>
        <w:wordWrap/>
        <w:overflowPunct/>
        <w:topLinePunct w:val="0"/>
        <w:autoSpaceDE/>
        <w:autoSpaceDN/>
        <w:bidi w:val="0"/>
        <w:adjustRightInd w:val="0"/>
        <w:snapToGrid w:val="0"/>
        <w:spacing w:line="360" w:lineRule="auto"/>
        <w:ind w:firstLine="465"/>
        <w:textAlignment w:val="auto"/>
        <w:rPr>
          <w:rFonts w:hint="eastAsia" w:cs="宋体" w:asciiTheme="majorEastAsia" w:hAnsiTheme="majorEastAsia" w:eastAsiaTheme="majorEastAsia"/>
          <w:color w:val="auto"/>
          <w:sz w:val="24"/>
          <w:highlight w:val="none"/>
          <w:lang w:eastAsia="zh-CN"/>
        </w:rPr>
      </w:pPr>
      <w:r>
        <w:rPr>
          <w:rFonts w:hint="eastAsia" w:cs="宋体" w:asciiTheme="majorEastAsia" w:hAnsiTheme="majorEastAsia" w:eastAsiaTheme="majorEastAsia"/>
          <w:color w:val="auto"/>
          <w:sz w:val="24"/>
          <w:highlight w:val="none"/>
        </w:rPr>
        <w:t>名    称：</w:t>
      </w:r>
      <w:r>
        <w:rPr>
          <w:rFonts w:hint="eastAsia" w:ascii="宋体" w:hAnsi="宋体" w:cs="宋体"/>
          <w:i w:val="0"/>
          <w:iCs w:val="0"/>
          <w:caps w:val="0"/>
          <w:color w:val="auto"/>
          <w:spacing w:val="0"/>
          <w:sz w:val="24"/>
          <w:szCs w:val="24"/>
          <w:highlight w:val="none"/>
          <w:lang w:eastAsia="zh-CN"/>
        </w:rPr>
        <w:t>杭州西湖风景名胜区灵隐管理处</w:t>
      </w:r>
    </w:p>
    <w:p w14:paraId="2BDEC52D">
      <w:pPr>
        <w:keepNext w:val="0"/>
        <w:keepLines w:val="0"/>
        <w:pageBreakBefore w:val="0"/>
        <w:kinsoku/>
        <w:wordWrap/>
        <w:overflowPunct/>
        <w:topLinePunct w:val="0"/>
        <w:autoSpaceDE/>
        <w:autoSpaceDN/>
        <w:bidi w:val="0"/>
        <w:adjustRightInd w:val="0"/>
        <w:snapToGrid w:val="0"/>
        <w:spacing w:line="360" w:lineRule="auto"/>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    地    址：</w:t>
      </w:r>
      <w:r>
        <w:rPr>
          <w:rFonts w:hint="eastAsia" w:ascii="宋体" w:hAnsi="宋体" w:cs="宋体"/>
          <w:sz w:val="24"/>
          <w:highlight w:val="none"/>
        </w:rPr>
        <w:t>杭州市灵溪南路8号</w:t>
      </w:r>
      <w:r>
        <w:rPr>
          <w:rFonts w:hint="eastAsia" w:cs="宋体" w:asciiTheme="majorEastAsia" w:hAnsiTheme="majorEastAsia" w:eastAsiaTheme="majorEastAsia"/>
          <w:color w:val="auto"/>
          <w:sz w:val="24"/>
          <w:highlight w:val="none"/>
        </w:rPr>
        <w:t xml:space="preserve">       </w:t>
      </w:r>
    </w:p>
    <w:p w14:paraId="541FAD7B">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传    真： /</w:t>
      </w:r>
    </w:p>
    <w:p w14:paraId="51FFE9AA">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kern w:val="0"/>
          <w:sz w:val="24"/>
          <w:highlight w:val="none"/>
          <w:lang w:eastAsia="zh-CN"/>
        </w:rPr>
      </w:pPr>
      <w:r>
        <w:rPr>
          <w:rFonts w:hint="eastAsia" w:cs="宋体" w:asciiTheme="majorEastAsia" w:hAnsiTheme="majorEastAsia" w:eastAsiaTheme="majorEastAsia"/>
          <w:color w:val="auto"/>
          <w:sz w:val="24"/>
          <w:highlight w:val="none"/>
        </w:rPr>
        <w:t>项目联系人（询问）：</w:t>
      </w:r>
      <w:r>
        <w:rPr>
          <w:rFonts w:hint="eastAsia" w:ascii="宋体" w:hAnsi="宋体" w:cs="宋体"/>
          <w:color w:val="auto"/>
          <w:kern w:val="0"/>
          <w:sz w:val="24"/>
          <w:highlight w:val="none"/>
        </w:rPr>
        <w:t>倪</w:t>
      </w:r>
      <w:r>
        <w:rPr>
          <w:rFonts w:hint="eastAsia" w:ascii="宋体" w:hAnsi="宋体" w:cs="宋体"/>
          <w:color w:val="auto"/>
          <w:kern w:val="0"/>
          <w:sz w:val="24"/>
          <w:highlight w:val="none"/>
          <w:lang w:val="en-US" w:eastAsia="zh-CN"/>
        </w:rPr>
        <w:t>老师</w:t>
      </w:r>
    </w:p>
    <w:p w14:paraId="287CAF2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color w:val="auto"/>
          <w:kern w:val="0"/>
          <w:sz w:val="24"/>
          <w:highlight w:val="none"/>
        </w:rPr>
      </w:pPr>
      <w:r>
        <w:rPr>
          <w:rFonts w:hint="eastAsia" w:cs="宋体" w:asciiTheme="majorEastAsia" w:hAnsiTheme="majorEastAsia" w:eastAsiaTheme="majorEastAsia"/>
          <w:color w:val="auto"/>
          <w:sz w:val="24"/>
          <w:highlight w:val="none"/>
        </w:rPr>
        <w:t xml:space="preserve">    项目联系方式（询问）：</w:t>
      </w:r>
      <w:r>
        <w:rPr>
          <w:rFonts w:hint="eastAsia" w:ascii="宋体" w:hAnsi="宋体" w:cs="宋体"/>
          <w:color w:val="auto"/>
          <w:kern w:val="0"/>
          <w:sz w:val="24"/>
          <w:highlight w:val="none"/>
        </w:rPr>
        <w:t>0571-87975628</w:t>
      </w:r>
    </w:p>
    <w:p w14:paraId="413F563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lang w:eastAsia="zh-CN"/>
        </w:rPr>
      </w:pPr>
      <w:r>
        <w:rPr>
          <w:rFonts w:hint="eastAsia" w:cs="宋体" w:asciiTheme="majorEastAsia" w:hAnsiTheme="majorEastAsia" w:eastAsiaTheme="majorEastAsia"/>
          <w:color w:val="auto"/>
          <w:sz w:val="24"/>
          <w:highlight w:val="none"/>
        </w:rPr>
        <w:t xml:space="preserve">    质疑联系人：</w:t>
      </w:r>
      <w:r>
        <w:rPr>
          <w:rFonts w:hint="eastAsia" w:ascii="宋体" w:hAnsi="宋体" w:cs="宋体"/>
          <w:color w:val="auto"/>
          <w:kern w:val="0"/>
          <w:sz w:val="24"/>
          <w:highlight w:val="none"/>
        </w:rPr>
        <w:t>王</w:t>
      </w:r>
      <w:r>
        <w:rPr>
          <w:rFonts w:hint="eastAsia" w:ascii="宋体" w:hAnsi="宋体" w:cs="宋体"/>
          <w:color w:val="auto"/>
          <w:kern w:val="0"/>
          <w:sz w:val="24"/>
          <w:highlight w:val="none"/>
          <w:lang w:val="en-US" w:eastAsia="zh-CN"/>
        </w:rPr>
        <w:t>老师</w:t>
      </w:r>
    </w:p>
    <w:p w14:paraId="58F32238">
      <w:pPr>
        <w:keepNext w:val="0"/>
        <w:keepLines w:val="0"/>
        <w:pageBreakBefore w:val="0"/>
        <w:kinsoku/>
        <w:wordWrap/>
        <w:overflowPunct/>
        <w:topLinePunct w:val="0"/>
        <w:autoSpaceDE/>
        <w:autoSpaceDN/>
        <w:bidi w:val="0"/>
        <w:adjustRightInd w:val="0"/>
        <w:snapToGrid w:val="0"/>
        <w:spacing w:line="360" w:lineRule="auto"/>
        <w:textAlignment w:val="auto"/>
        <w:rPr>
          <w:rFonts w:cs="宋体" w:asciiTheme="majorEastAsia" w:hAnsiTheme="majorEastAsia" w:eastAsiaTheme="majorEastAsia"/>
          <w:color w:val="0000FF"/>
          <w:sz w:val="24"/>
          <w:highlight w:val="none"/>
        </w:rPr>
      </w:pPr>
      <w:r>
        <w:rPr>
          <w:rFonts w:hint="eastAsia" w:cs="宋体" w:asciiTheme="majorEastAsia" w:hAnsiTheme="majorEastAsia" w:eastAsiaTheme="majorEastAsia"/>
          <w:color w:val="auto"/>
          <w:sz w:val="24"/>
          <w:highlight w:val="none"/>
        </w:rPr>
        <w:t xml:space="preserve">    质疑联系方式：</w:t>
      </w:r>
      <w:r>
        <w:rPr>
          <w:rFonts w:hint="eastAsia" w:ascii="宋体" w:hAnsi="宋体" w:cs="宋体"/>
          <w:color w:val="auto"/>
          <w:kern w:val="0"/>
          <w:sz w:val="24"/>
          <w:highlight w:val="none"/>
        </w:rPr>
        <w:t>0571-87999110（</w:t>
      </w:r>
      <w:r>
        <w:rPr>
          <w:rFonts w:hint="eastAsia" w:ascii="宋体" w:hAnsi="宋体"/>
          <w:sz w:val="24"/>
          <w:highlight w:val="none"/>
        </w:rPr>
        <w:t xml:space="preserve">请通过以下路径在线提起质疑：政采云-项目采购-询问质疑投诉-质疑列表） </w:t>
      </w:r>
    </w:p>
    <w:p w14:paraId="17D3BBE5">
      <w:pPr>
        <w:keepNext w:val="0"/>
        <w:keepLines w:val="0"/>
        <w:pageBreakBefore w:val="0"/>
        <w:kinsoku/>
        <w:wordWrap/>
        <w:overflowPunct/>
        <w:topLinePunct w:val="0"/>
        <w:autoSpaceDE/>
        <w:autoSpaceDN/>
        <w:bidi w:val="0"/>
        <w:adjustRightInd w:val="0"/>
        <w:snapToGrid w:val="0"/>
        <w:spacing w:line="360" w:lineRule="auto"/>
        <w:textAlignment w:val="auto"/>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 xml:space="preserve">    2.采购代理机构信息            </w:t>
      </w:r>
    </w:p>
    <w:p w14:paraId="7BE1D10F">
      <w:pPr>
        <w:keepNext w:val="0"/>
        <w:keepLines w:val="0"/>
        <w:pageBreakBefore w:val="0"/>
        <w:kinsoku/>
        <w:wordWrap/>
        <w:overflowPunct/>
        <w:topLinePunct w:val="0"/>
        <w:autoSpaceDE/>
        <w:autoSpaceDN/>
        <w:bidi w:val="0"/>
        <w:adjustRightInd w:val="0"/>
        <w:snapToGrid w:val="0"/>
        <w:spacing w:line="360" w:lineRule="auto"/>
        <w:ind w:firstLine="465"/>
        <w:textAlignment w:val="auto"/>
        <w:rPr>
          <w:rFonts w:hint="eastAsia"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名    称：东方经纬项目管理有限公司</w:t>
      </w:r>
    </w:p>
    <w:p w14:paraId="6F493B50">
      <w:pPr>
        <w:keepNext w:val="0"/>
        <w:keepLines w:val="0"/>
        <w:pageBreakBefore w:val="0"/>
        <w:kinsoku/>
        <w:wordWrap/>
        <w:overflowPunct/>
        <w:topLinePunct w:val="0"/>
        <w:autoSpaceDE/>
        <w:autoSpaceDN/>
        <w:bidi w:val="0"/>
        <w:adjustRightInd w:val="0"/>
        <w:snapToGrid w:val="0"/>
        <w:spacing w:line="360" w:lineRule="auto"/>
        <w:ind w:firstLine="465"/>
        <w:textAlignment w:val="auto"/>
        <w:rPr>
          <w:rFonts w:hint="eastAsia"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地    址：杭州市上城区馆驿后2号泰地万新大厦1号楼9楼</w:t>
      </w:r>
    </w:p>
    <w:p w14:paraId="448F1DD0">
      <w:pPr>
        <w:keepNext w:val="0"/>
        <w:keepLines w:val="0"/>
        <w:pageBreakBefore w:val="0"/>
        <w:kinsoku/>
        <w:wordWrap/>
        <w:overflowPunct/>
        <w:topLinePunct w:val="0"/>
        <w:autoSpaceDE/>
        <w:autoSpaceDN/>
        <w:bidi w:val="0"/>
        <w:adjustRightInd w:val="0"/>
        <w:snapToGrid w:val="0"/>
        <w:spacing w:line="360" w:lineRule="auto"/>
        <w:ind w:firstLine="465"/>
        <w:textAlignment w:val="auto"/>
        <w:rPr>
          <w:rFonts w:hint="eastAsia"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 xml:space="preserve">传    真：/ </w:t>
      </w:r>
    </w:p>
    <w:p w14:paraId="53304F6D">
      <w:pPr>
        <w:keepNext w:val="0"/>
        <w:keepLines w:val="0"/>
        <w:pageBreakBefore w:val="0"/>
        <w:kinsoku/>
        <w:wordWrap/>
        <w:overflowPunct/>
        <w:topLinePunct w:val="0"/>
        <w:autoSpaceDE/>
        <w:autoSpaceDN/>
        <w:bidi w:val="0"/>
        <w:adjustRightInd w:val="0"/>
        <w:snapToGrid w:val="0"/>
        <w:spacing w:line="360" w:lineRule="auto"/>
        <w:ind w:firstLine="465"/>
        <w:textAlignment w:val="auto"/>
        <w:rPr>
          <w:rFonts w:hint="eastAsia"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项目联系人（询问）：谢思璐、陈瑞宝</w:t>
      </w:r>
    </w:p>
    <w:p w14:paraId="0D81F0E9">
      <w:pPr>
        <w:keepNext w:val="0"/>
        <w:keepLines w:val="0"/>
        <w:pageBreakBefore w:val="0"/>
        <w:kinsoku/>
        <w:wordWrap/>
        <w:overflowPunct/>
        <w:topLinePunct w:val="0"/>
        <w:autoSpaceDE/>
        <w:autoSpaceDN/>
        <w:bidi w:val="0"/>
        <w:adjustRightInd w:val="0"/>
        <w:snapToGrid w:val="0"/>
        <w:spacing w:line="360" w:lineRule="auto"/>
        <w:ind w:firstLine="465"/>
        <w:textAlignment w:val="auto"/>
        <w:rPr>
          <w:rFonts w:hint="eastAsia"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项目联系方式（询问）：18539552925</w:t>
      </w:r>
    </w:p>
    <w:p w14:paraId="344A93A2">
      <w:pPr>
        <w:keepNext w:val="0"/>
        <w:keepLines w:val="0"/>
        <w:pageBreakBefore w:val="0"/>
        <w:kinsoku/>
        <w:wordWrap/>
        <w:overflowPunct/>
        <w:topLinePunct w:val="0"/>
        <w:autoSpaceDE/>
        <w:autoSpaceDN/>
        <w:bidi w:val="0"/>
        <w:adjustRightInd w:val="0"/>
        <w:snapToGrid w:val="0"/>
        <w:spacing w:line="360" w:lineRule="auto"/>
        <w:ind w:firstLine="465"/>
        <w:textAlignment w:val="auto"/>
        <w:rPr>
          <w:rFonts w:hint="eastAsia"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 xml:space="preserve">质疑联系人：单老师 </w:t>
      </w:r>
    </w:p>
    <w:p w14:paraId="0B589D1A">
      <w:pPr>
        <w:keepNext w:val="0"/>
        <w:keepLines w:val="0"/>
        <w:pageBreakBefore w:val="0"/>
        <w:kinsoku/>
        <w:wordWrap/>
        <w:overflowPunct/>
        <w:topLinePunct w:val="0"/>
        <w:autoSpaceDE/>
        <w:autoSpaceDN/>
        <w:bidi w:val="0"/>
        <w:adjustRightInd w:val="0"/>
        <w:snapToGrid w:val="0"/>
        <w:spacing w:line="360" w:lineRule="auto"/>
        <w:ind w:firstLine="465"/>
        <w:textAlignment w:val="auto"/>
        <w:rPr>
          <w:rFonts w:hint="eastAsia"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质疑联系方式：0571-56783590</w:t>
      </w:r>
    </w:p>
    <w:p w14:paraId="04A4E735">
      <w:pPr>
        <w:keepNext w:val="0"/>
        <w:keepLines w:val="0"/>
        <w:pageBreakBefore w:val="0"/>
        <w:kinsoku/>
        <w:wordWrap/>
        <w:overflowPunct/>
        <w:topLinePunct w:val="0"/>
        <w:autoSpaceDE/>
        <w:autoSpaceDN/>
        <w:bidi w:val="0"/>
        <w:adjustRightInd w:val="0"/>
        <w:snapToGrid w:val="0"/>
        <w:spacing w:line="360" w:lineRule="auto"/>
        <w:ind w:firstLine="465"/>
        <w:textAlignment w:val="auto"/>
        <w:rPr>
          <w:rFonts w:hint="eastAsia"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3.同级政府采购监督管理部门</w:t>
      </w:r>
    </w:p>
    <w:p w14:paraId="3AD442F2">
      <w:pPr>
        <w:keepNext w:val="0"/>
        <w:keepLines w:val="0"/>
        <w:pageBreakBefore w:val="0"/>
        <w:kinsoku/>
        <w:wordWrap/>
        <w:overflowPunct/>
        <w:topLinePunct w:val="0"/>
        <w:autoSpaceDE/>
        <w:autoSpaceDN/>
        <w:bidi w:val="0"/>
        <w:adjustRightInd w:val="0"/>
        <w:snapToGrid w:val="0"/>
        <w:spacing w:line="360" w:lineRule="auto"/>
        <w:textAlignment w:val="auto"/>
        <w:rPr>
          <w:rFonts w:hint="eastAsia"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  名  称：杭州西湖风景名胜区管理委员会、浙江省政府采购行政裁决服务中心（杭州）</w:t>
      </w:r>
    </w:p>
    <w:p w14:paraId="20D8520D">
      <w:pPr>
        <w:keepNext w:val="0"/>
        <w:keepLines w:val="0"/>
        <w:pageBreakBefore w:val="0"/>
        <w:kinsoku/>
        <w:wordWrap/>
        <w:overflowPunct/>
        <w:topLinePunct w:val="0"/>
        <w:autoSpaceDE/>
        <w:autoSpaceDN/>
        <w:bidi w:val="0"/>
        <w:adjustRightInd w:val="0"/>
        <w:snapToGrid w:val="0"/>
        <w:spacing w:line="360" w:lineRule="auto"/>
        <w:textAlignment w:val="auto"/>
        <w:rPr>
          <w:rFonts w:hint="eastAsia"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  地  址：杭州市上城区清泰街549号城建综合大楼11楼（快递仅限ems或顺丰）</w:t>
      </w:r>
    </w:p>
    <w:p w14:paraId="6BF0C2BC">
      <w:pPr>
        <w:keepNext w:val="0"/>
        <w:keepLines w:val="0"/>
        <w:pageBreakBefore w:val="0"/>
        <w:kinsoku/>
        <w:wordWrap/>
        <w:overflowPunct/>
        <w:topLinePunct w:val="0"/>
        <w:autoSpaceDE/>
        <w:autoSpaceDN/>
        <w:bidi w:val="0"/>
        <w:adjustRightInd w:val="0"/>
        <w:snapToGrid w:val="0"/>
        <w:spacing w:line="360" w:lineRule="auto"/>
        <w:textAlignment w:val="auto"/>
        <w:rPr>
          <w:rFonts w:hint="eastAsia"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  传  真：/</w:t>
      </w:r>
    </w:p>
    <w:p w14:paraId="3826A0BC">
      <w:pPr>
        <w:keepNext w:val="0"/>
        <w:keepLines w:val="0"/>
        <w:pageBreakBefore w:val="0"/>
        <w:kinsoku/>
        <w:wordWrap/>
        <w:overflowPunct/>
        <w:topLinePunct w:val="0"/>
        <w:autoSpaceDE/>
        <w:autoSpaceDN/>
        <w:bidi w:val="0"/>
        <w:adjustRightInd w:val="0"/>
        <w:snapToGrid w:val="0"/>
        <w:spacing w:line="360" w:lineRule="auto"/>
        <w:textAlignment w:val="auto"/>
        <w:rPr>
          <w:rFonts w:hint="eastAsia"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  联系人：朱女士、王女士</w:t>
      </w:r>
    </w:p>
    <w:p w14:paraId="0B406DFE">
      <w:pPr>
        <w:keepNext w:val="0"/>
        <w:keepLines w:val="0"/>
        <w:pageBreakBefore w:val="0"/>
        <w:kinsoku/>
        <w:wordWrap/>
        <w:overflowPunct/>
        <w:topLinePunct w:val="0"/>
        <w:autoSpaceDE/>
        <w:autoSpaceDN/>
        <w:bidi w:val="0"/>
        <w:adjustRightInd w:val="0"/>
        <w:snapToGrid w:val="0"/>
        <w:spacing w:line="360" w:lineRule="auto"/>
        <w:textAlignment w:val="auto"/>
        <w:rPr>
          <w:rFonts w:hint="eastAsia"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  监督投诉电话：0571-87227671,0571-87800218</w:t>
      </w:r>
    </w:p>
    <w:p w14:paraId="48FA5F5B">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ajorEastAsia" w:hAnsiTheme="majorEastAsia" w:eastAsiaTheme="majorEastAsia"/>
          <w:sz w:val="24"/>
          <w:highlight w:val="none"/>
        </w:rPr>
      </w:pPr>
    </w:p>
    <w:p w14:paraId="094DE4FF">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若对项目采购电子交易系统操作有疑问，可登录政采云（https://www.zcygov.cn/），点击右侧咨询小采，获取采小蜜智能服务管家帮助，或拨打政采云服务热线95763获取热线服务帮助。</w:t>
      </w:r>
    </w:p>
    <w:p w14:paraId="4CA8BD3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CA问题联系电话（人工）：汇信CA 400-888-4636；天谷CA 400-087-8198。</w:t>
      </w:r>
    </w:p>
    <w:p w14:paraId="4CA8BB64">
      <w:pPr>
        <w:widowControl/>
        <w:adjustRightInd/>
        <w:jc w:val="left"/>
        <w:rPr>
          <w:rFonts w:cs="宋体" w:asciiTheme="majorEastAsia" w:hAnsiTheme="majorEastAsia" w:eastAsiaTheme="majorEastAsia"/>
          <w:b/>
          <w:sz w:val="36"/>
          <w:szCs w:val="20"/>
          <w:highlight w:val="none"/>
        </w:rPr>
      </w:pPr>
      <w:r>
        <w:rPr>
          <w:rFonts w:hint="eastAsia" w:cs="宋体" w:asciiTheme="majorEastAsia" w:hAnsiTheme="majorEastAsia" w:eastAsiaTheme="majorEastAsia"/>
          <w:b/>
          <w:sz w:val="36"/>
          <w:szCs w:val="20"/>
          <w:highlight w:val="none"/>
        </w:rPr>
        <w:br w:type="page"/>
      </w:r>
    </w:p>
    <w:p w14:paraId="28A8E5F4">
      <w:pPr>
        <w:adjustRightInd/>
        <w:spacing w:line="360" w:lineRule="auto"/>
        <w:jc w:val="center"/>
        <w:outlineLvl w:val="0"/>
        <w:rPr>
          <w:rFonts w:cs="宋体" w:asciiTheme="majorEastAsia" w:hAnsiTheme="majorEastAsia" w:eastAsiaTheme="majorEastAsia"/>
          <w:b/>
          <w:sz w:val="36"/>
          <w:szCs w:val="20"/>
          <w:highlight w:val="none"/>
        </w:rPr>
      </w:pPr>
      <w:r>
        <w:rPr>
          <w:rFonts w:hint="eastAsia" w:cs="宋体" w:asciiTheme="majorEastAsia" w:hAnsiTheme="majorEastAsia" w:eastAsiaTheme="majorEastAsia"/>
          <w:b/>
          <w:sz w:val="36"/>
          <w:szCs w:val="20"/>
          <w:highlight w:val="none"/>
        </w:rPr>
        <w:t>第二部分</w:t>
      </w:r>
      <w:bookmarkEnd w:id="8"/>
      <w:r>
        <w:rPr>
          <w:rFonts w:hint="eastAsia" w:cs="宋体" w:asciiTheme="majorEastAsia" w:hAnsiTheme="majorEastAsia" w:eastAsiaTheme="majorEastAsia"/>
          <w:b/>
          <w:sz w:val="36"/>
          <w:szCs w:val="20"/>
          <w:highlight w:val="none"/>
        </w:rPr>
        <w:t xml:space="preserve"> 投标人须知</w:t>
      </w:r>
      <w:bookmarkEnd w:id="9"/>
    </w:p>
    <w:p w14:paraId="23F4D91F">
      <w:pPr>
        <w:adjustRightInd/>
        <w:spacing w:line="360" w:lineRule="auto"/>
        <w:ind w:firstLine="3845" w:firstLineChars="1197"/>
        <w:outlineLvl w:val="0"/>
        <w:rPr>
          <w:rFonts w:cs="宋体" w:asciiTheme="majorEastAsia" w:hAnsiTheme="majorEastAsia" w:eastAsiaTheme="majorEastAsia"/>
          <w:b/>
          <w:sz w:val="32"/>
          <w:szCs w:val="20"/>
          <w:highlight w:val="none"/>
        </w:rPr>
      </w:pPr>
      <w:r>
        <w:rPr>
          <w:rFonts w:hint="eastAsia" w:cs="宋体" w:asciiTheme="majorEastAsia" w:hAnsiTheme="majorEastAsia" w:eastAsiaTheme="majorEastAsia"/>
          <w:b/>
          <w:sz w:val="32"/>
          <w:szCs w:val="20"/>
          <w:highlight w:val="none"/>
        </w:rPr>
        <w:t>前附表</w:t>
      </w:r>
    </w:p>
    <w:tbl>
      <w:tblPr>
        <w:tblStyle w:val="63"/>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66"/>
        <w:gridCol w:w="1961"/>
        <w:gridCol w:w="6494"/>
      </w:tblGrid>
      <w:tr w14:paraId="553DB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tcBorders>
              <w:top w:val="single" w:color="auto" w:sz="4" w:space="0"/>
              <w:left w:val="single" w:color="auto" w:sz="4" w:space="0"/>
              <w:bottom w:val="single" w:color="auto" w:sz="4" w:space="0"/>
              <w:right w:val="single" w:color="auto" w:sz="4" w:space="0"/>
            </w:tcBorders>
          </w:tcPr>
          <w:p w14:paraId="4E2B271D">
            <w:pPr>
              <w:snapToGrid w:val="0"/>
              <w:spacing w:line="360" w:lineRule="auto"/>
              <w:jc w:val="center"/>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rPr>
              <w:t>序号</w:t>
            </w:r>
          </w:p>
        </w:tc>
        <w:tc>
          <w:tcPr>
            <w:tcW w:w="1075" w:type="pct"/>
            <w:tcBorders>
              <w:top w:val="single" w:color="000000" w:sz="8" w:space="0"/>
              <w:left w:val="single" w:color="auto" w:sz="4" w:space="0"/>
              <w:bottom w:val="single" w:color="000000" w:sz="8" w:space="0"/>
              <w:right w:val="single" w:color="000000" w:sz="8" w:space="0"/>
            </w:tcBorders>
            <w:vAlign w:val="center"/>
          </w:tcPr>
          <w:p w14:paraId="30AA7BDE">
            <w:pPr>
              <w:snapToGrid w:val="0"/>
              <w:spacing w:line="360" w:lineRule="auto"/>
              <w:jc w:val="center"/>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rPr>
              <w:t>事项</w:t>
            </w:r>
          </w:p>
        </w:tc>
        <w:tc>
          <w:tcPr>
            <w:tcW w:w="3559" w:type="pct"/>
            <w:tcBorders>
              <w:top w:val="single" w:color="000000" w:sz="8" w:space="0"/>
              <w:left w:val="single" w:color="000000" w:sz="2" w:space="0"/>
              <w:bottom w:val="single" w:color="000000" w:sz="8" w:space="0"/>
              <w:right w:val="single" w:color="000000" w:sz="8" w:space="0"/>
            </w:tcBorders>
            <w:vAlign w:val="center"/>
          </w:tcPr>
          <w:p w14:paraId="57CFD497">
            <w:pPr>
              <w:snapToGrid w:val="0"/>
              <w:spacing w:line="360" w:lineRule="auto"/>
              <w:jc w:val="center"/>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rPr>
              <w:t>本项目的特别规定</w:t>
            </w:r>
          </w:p>
        </w:tc>
      </w:tr>
      <w:tr w14:paraId="309FF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3"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427F2C9C">
            <w:pPr>
              <w:snapToGrid w:val="0"/>
              <w:spacing w:line="360" w:lineRule="auto"/>
              <w:jc w:val="center"/>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1</w:t>
            </w:r>
          </w:p>
        </w:tc>
        <w:tc>
          <w:tcPr>
            <w:tcW w:w="1075" w:type="pct"/>
            <w:tcBorders>
              <w:top w:val="single" w:color="000000" w:sz="8" w:space="0"/>
              <w:left w:val="single" w:color="auto" w:sz="4" w:space="0"/>
              <w:bottom w:val="single" w:color="000000" w:sz="8" w:space="0"/>
              <w:right w:val="single" w:color="000000" w:sz="8" w:space="0"/>
            </w:tcBorders>
            <w:vAlign w:val="center"/>
          </w:tcPr>
          <w:p w14:paraId="19BF19E2">
            <w:pPr>
              <w:snapToGrid w:val="0"/>
              <w:spacing w:line="360" w:lineRule="auto"/>
              <w:jc w:val="center"/>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rPr>
              <w:t>项目属性</w:t>
            </w:r>
          </w:p>
        </w:tc>
        <w:tc>
          <w:tcPr>
            <w:tcW w:w="3559" w:type="pct"/>
            <w:tcBorders>
              <w:top w:val="single" w:color="000000" w:sz="8" w:space="0"/>
              <w:left w:val="single" w:color="000000" w:sz="2" w:space="0"/>
              <w:bottom w:val="single" w:color="000000" w:sz="8" w:space="0"/>
              <w:right w:val="single" w:color="000000" w:sz="8" w:space="0"/>
            </w:tcBorders>
            <w:vAlign w:val="center"/>
          </w:tcPr>
          <w:p w14:paraId="74103298">
            <w:pPr>
              <w:spacing w:line="400" w:lineRule="exact"/>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服务类。</w:t>
            </w:r>
          </w:p>
        </w:tc>
      </w:tr>
      <w:tr w14:paraId="71133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1739B7B7">
            <w:pPr>
              <w:snapToGrid w:val="0"/>
              <w:spacing w:line="360" w:lineRule="auto"/>
              <w:jc w:val="center"/>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2</w:t>
            </w:r>
          </w:p>
        </w:tc>
        <w:tc>
          <w:tcPr>
            <w:tcW w:w="1075" w:type="pct"/>
            <w:tcBorders>
              <w:top w:val="single" w:color="000000" w:sz="8" w:space="0"/>
              <w:left w:val="single" w:color="auto" w:sz="4" w:space="0"/>
              <w:bottom w:val="single" w:color="000000" w:sz="8" w:space="0"/>
              <w:right w:val="single" w:color="000000" w:sz="8" w:space="0"/>
            </w:tcBorders>
            <w:vAlign w:val="center"/>
          </w:tcPr>
          <w:p w14:paraId="7D39F2D9">
            <w:pPr>
              <w:snapToGrid w:val="0"/>
              <w:spacing w:line="360" w:lineRule="auto"/>
              <w:jc w:val="center"/>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rPr>
              <w:t>采购标的及其对应的中小企业划分标准所属行业</w:t>
            </w:r>
          </w:p>
        </w:tc>
        <w:tc>
          <w:tcPr>
            <w:tcW w:w="3559" w:type="pct"/>
            <w:tcBorders>
              <w:top w:val="single" w:color="000000" w:sz="8" w:space="0"/>
              <w:left w:val="single" w:color="000000" w:sz="2" w:space="0"/>
              <w:bottom w:val="single" w:color="000000" w:sz="8" w:space="0"/>
              <w:right w:val="single" w:color="000000" w:sz="8" w:space="0"/>
            </w:tcBorders>
            <w:vAlign w:val="center"/>
          </w:tcPr>
          <w:p w14:paraId="74863B98">
            <w:pPr>
              <w:snapToGrid w:val="0"/>
              <w:spacing w:line="400" w:lineRule="exact"/>
              <w:rPr>
                <w:rFonts w:hint="eastAsia" w:cs="宋体" w:asciiTheme="majorEastAsia" w:hAnsiTheme="majorEastAsia" w:eastAsiaTheme="majorEastAsia"/>
                <w:b/>
                <w:bCs/>
                <w:color w:val="auto"/>
                <w:kern w:val="0"/>
                <w:sz w:val="24"/>
                <w:highlight w:val="none"/>
                <w:u w:val="single"/>
              </w:rPr>
            </w:pPr>
            <w:r>
              <w:rPr>
                <w:rFonts w:hint="eastAsia" w:cs="宋体" w:asciiTheme="majorEastAsia" w:hAnsiTheme="majorEastAsia" w:eastAsiaTheme="majorEastAsia"/>
                <w:b/>
                <w:bCs/>
                <w:color w:val="auto"/>
                <w:kern w:val="0"/>
                <w:sz w:val="24"/>
                <w:highlight w:val="none"/>
                <w:u w:val="single"/>
              </w:rPr>
              <w:t>注：本项目专门面向</w:t>
            </w:r>
            <w:r>
              <w:rPr>
                <w:rFonts w:hint="eastAsia" w:cs="宋体" w:asciiTheme="majorEastAsia" w:hAnsiTheme="majorEastAsia" w:eastAsiaTheme="majorEastAsia"/>
                <w:b/>
                <w:bCs/>
                <w:color w:val="auto"/>
                <w:kern w:val="0"/>
                <w:sz w:val="24"/>
                <w:highlight w:val="none"/>
                <w:u w:val="single"/>
                <w:lang w:val="en-US" w:eastAsia="zh-CN"/>
              </w:rPr>
              <w:t>小微</w:t>
            </w:r>
            <w:r>
              <w:rPr>
                <w:rFonts w:hint="eastAsia" w:cs="宋体" w:asciiTheme="majorEastAsia" w:hAnsiTheme="majorEastAsia" w:eastAsiaTheme="majorEastAsia"/>
                <w:b/>
                <w:bCs/>
                <w:color w:val="auto"/>
                <w:kern w:val="0"/>
                <w:sz w:val="24"/>
                <w:highlight w:val="none"/>
                <w:u w:val="single"/>
              </w:rPr>
              <w:t>企业采购；</w:t>
            </w:r>
          </w:p>
          <w:p w14:paraId="5A1E9988">
            <w:pPr>
              <w:snapToGrid w:val="0"/>
              <w:spacing w:line="400" w:lineRule="exact"/>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标的：</w:t>
            </w:r>
            <w:r>
              <w:rPr>
                <w:rFonts w:hint="eastAsia" w:cs="宋体" w:asciiTheme="majorEastAsia" w:hAnsiTheme="majorEastAsia" w:eastAsiaTheme="majorEastAsia"/>
                <w:b w:val="0"/>
                <w:bCs/>
                <w:snapToGrid w:val="0"/>
                <w:color w:val="auto"/>
                <w:kern w:val="28"/>
                <w:sz w:val="24"/>
                <w:szCs w:val="20"/>
                <w:highlight w:val="none"/>
                <w:u w:val="single"/>
                <w:lang w:val="en-US" w:eastAsia="zh-CN" w:bidi="ar-SA"/>
              </w:rPr>
              <w:t>2025年度茅乡景区及仁寿山园林绿化养护服务项目</w:t>
            </w:r>
            <w:r>
              <w:rPr>
                <w:rFonts w:hint="eastAsia" w:cs="宋体" w:asciiTheme="majorEastAsia" w:hAnsiTheme="majorEastAsia" w:eastAsiaTheme="majorEastAsia"/>
                <w:color w:val="auto"/>
                <w:kern w:val="0"/>
                <w:sz w:val="24"/>
                <w:highlight w:val="none"/>
              </w:rPr>
              <w:t>，属于</w:t>
            </w:r>
            <w:r>
              <w:rPr>
                <w:rFonts w:hint="eastAsia" w:cs="宋体" w:asciiTheme="majorEastAsia" w:hAnsiTheme="majorEastAsia" w:eastAsiaTheme="majorEastAsia"/>
                <w:b w:val="0"/>
                <w:bCs/>
                <w:snapToGrid w:val="0"/>
                <w:color w:val="auto"/>
                <w:kern w:val="28"/>
                <w:sz w:val="24"/>
                <w:szCs w:val="20"/>
                <w:highlight w:val="none"/>
                <w:u w:val="single"/>
                <w:lang w:val="en-US" w:eastAsia="zh-CN" w:bidi="ar-SA"/>
              </w:rPr>
              <w:t>租赁和商务服务业</w:t>
            </w:r>
            <w:r>
              <w:rPr>
                <w:rFonts w:hint="eastAsia" w:cs="宋体" w:asciiTheme="majorEastAsia" w:hAnsiTheme="majorEastAsia" w:eastAsiaTheme="majorEastAsia"/>
                <w:color w:val="auto"/>
                <w:kern w:val="0"/>
                <w:sz w:val="24"/>
                <w:highlight w:val="none"/>
              </w:rPr>
              <w:t>；</w:t>
            </w:r>
          </w:p>
          <w:p w14:paraId="350E4291">
            <w:pPr>
              <w:pStyle w:val="3"/>
              <w:spacing w:line="400" w:lineRule="exact"/>
              <w:rPr>
                <w:rFonts w:cs="宋体" w:asciiTheme="majorEastAsia" w:hAnsiTheme="majorEastAsia" w:eastAsiaTheme="majorEastAsia"/>
                <w:szCs w:val="24"/>
                <w:highlight w:val="none"/>
                <w:lang w:val="en-US"/>
              </w:rPr>
            </w:pPr>
            <w:r>
              <w:rPr>
                <w:rFonts w:hint="eastAsia" w:cs="宋体" w:asciiTheme="majorEastAsia" w:hAnsiTheme="majorEastAsia" w:eastAsiaTheme="majorEastAsia"/>
                <w:snapToGrid/>
                <w:color w:val="auto"/>
                <w:kern w:val="0"/>
                <w:sz w:val="24"/>
                <w:szCs w:val="24"/>
                <w:highlight w:val="none"/>
                <w:lang w:val="en-US" w:eastAsia="zh-CN" w:bidi="ar-SA"/>
              </w:rPr>
              <w:t>根据《关于印发中小企业划型标准规定的通知》（工信部联企业〔2011〕300号）第四条规定</w:t>
            </w:r>
            <w:r>
              <w:rPr>
                <w:rFonts w:hint="eastAsia" w:cs="宋体" w:asciiTheme="majorEastAsia" w:hAnsiTheme="majorEastAsia" w:eastAsiaTheme="majorEastAsia"/>
                <w:snapToGrid/>
                <w:color w:val="auto"/>
                <w:kern w:val="0"/>
                <w:sz w:val="24"/>
                <w:szCs w:val="24"/>
                <w:highlight w:val="none"/>
                <w:u w:val="none"/>
                <w:lang w:val="en-US" w:eastAsia="zh-CN" w:bidi="ar-SA"/>
              </w:rPr>
              <w:t>：</w:t>
            </w:r>
            <w:r>
              <w:rPr>
                <w:rFonts w:hint="eastAsia" w:cs="宋体" w:asciiTheme="majorEastAsia" w:hAnsiTheme="majorEastAsia" w:eastAsiaTheme="majorEastAsia"/>
                <w:snapToGrid/>
                <w:color w:val="auto"/>
                <w:kern w:val="0"/>
                <w:sz w:val="24"/>
                <w:szCs w:val="24"/>
                <w:highlight w:val="none"/>
                <w:u w:val="single"/>
                <w:lang w:val="en-US" w:eastAsia="zh-CN" w:bidi="ar-SA"/>
              </w:rPr>
              <w:t>租赁和商务服务业</w:t>
            </w:r>
            <w:r>
              <w:rPr>
                <w:rFonts w:hint="eastAsia" w:cs="宋体" w:asciiTheme="majorEastAsia" w:hAnsiTheme="majorEastAsia" w:eastAsiaTheme="majorEastAsia"/>
                <w:snapToGrid/>
                <w:color w:val="auto"/>
                <w:kern w:val="0"/>
                <w:sz w:val="24"/>
                <w:szCs w:val="24"/>
                <w:highlight w:val="none"/>
                <w:u w:val="none"/>
                <w:lang w:val="en-US" w:eastAsia="zh-CN" w:bidi="ar-SA"/>
              </w:rPr>
              <w:t>行业</w:t>
            </w:r>
            <w:r>
              <w:rPr>
                <w:rFonts w:hint="eastAsia" w:cs="宋体" w:asciiTheme="majorEastAsia" w:hAnsiTheme="majorEastAsia" w:eastAsiaTheme="majorEastAsia"/>
                <w:snapToGrid/>
                <w:color w:val="auto"/>
                <w:kern w:val="0"/>
                <w:sz w:val="24"/>
                <w:szCs w:val="24"/>
                <w:highlight w:val="none"/>
                <w:lang w:val="en-US" w:eastAsia="zh-CN" w:bidi="ar-SA"/>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2228E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1D820FD2">
            <w:pPr>
              <w:snapToGrid w:val="0"/>
              <w:spacing w:line="360" w:lineRule="auto"/>
              <w:jc w:val="center"/>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3</w:t>
            </w:r>
          </w:p>
        </w:tc>
        <w:tc>
          <w:tcPr>
            <w:tcW w:w="1075" w:type="pct"/>
            <w:tcBorders>
              <w:top w:val="single" w:color="000000" w:sz="8" w:space="0"/>
              <w:left w:val="single" w:color="auto" w:sz="4" w:space="0"/>
              <w:bottom w:val="single" w:color="000000" w:sz="8" w:space="0"/>
              <w:right w:val="single" w:color="000000" w:sz="8" w:space="0"/>
            </w:tcBorders>
            <w:vAlign w:val="center"/>
          </w:tcPr>
          <w:p w14:paraId="6CCBBE34">
            <w:pPr>
              <w:snapToGrid w:val="0"/>
              <w:spacing w:line="360" w:lineRule="auto"/>
              <w:jc w:val="center"/>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rPr>
              <w:t>是否允许采购进口产品</w:t>
            </w:r>
          </w:p>
        </w:tc>
        <w:tc>
          <w:tcPr>
            <w:tcW w:w="3559" w:type="pct"/>
            <w:tcBorders>
              <w:top w:val="single" w:color="000000" w:sz="8" w:space="0"/>
              <w:left w:val="single" w:color="000000" w:sz="2" w:space="0"/>
              <w:bottom w:val="single" w:color="000000" w:sz="8" w:space="0"/>
              <w:right w:val="single" w:color="000000" w:sz="8" w:space="0"/>
            </w:tcBorders>
            <w:vAlign w:val="center"/>
          </w:tcPr>
          <w:p w14:paraId="5957D865">
            <w:pPr>
              <w:keepNext w:val="0"/>
              <w:keepLines w:val="0"/>
              <w:pageBreakBefore w:val="0"/>
              <w:kinsoku/>
              <w:wordWrap/>
              <w:overflowPunct/>
              <w:topLinePunct w:val="0"/>
              <w:bidi w:val="0"/>
              <w:adjustRightInd w:val="0"/>
              <w:snapToGrid/>
              <w:spacing w:line="400" w:lineRule="exact"/>
              <w:textAlignment w:val="auto"/>
              <w:rPr>
                <w:rFonts w:hint="eastAsia" w:cs="宋体" w:asciiTheme="majorEastAsia" w:hAnsiTheme="majorEastAsia" w:eastAsiaTheme="majorEastAsia"/>
                <w:kern w:val="0"/>
                <w:sz w:val="24"/>
                <w:highlight w:val="none"/>
              </w:rPr>
            </w:pPr>
            <w:sdt>
              <w:sdtPr>
                <w:rPr>
                  <w:rFonts w:hint="eastAsia" w:ascii="宋体" w:hAnsi="宋体" w:cs="宋体"/>
                  <w:kern w:val="0"/>
                  <w:highlight w:val="none"/>
                </w:rPr>
                <w:id w:val="672303543"/>
              </w:sdtPr>
              <w:sdtEndPr>
                <w:rPr>
                  <w:rFonts w:hint="eastAsia" w:ascii="宋体" w:hAnsi="宋体" w:cs="宋体"/>
                  <w:kern w:val="0"/>
                  <w:highlight w:val="none"/>
                </w:rPr>
              </w:sdtEndPr>
              <w:sdtContent>
                <w:r>
                  <w:rPr>
                    <w:rFonts w:hint="eastAsia" w:ascii="宋体" w:hAnsi="宋体" w:cs="宋体"/>
                    <w:kern w:val="0"/>
                    <w:highlight w:val="none"/>
                  </w:rPr>
                  <w:sym w:font="Wingdings" w:char="F0FE"/>
                </w:r>
              </w:sdtContent>
            </w:sdt>
            <w:r>
              <w:rPr>
                <w:rFonts w:hint="eastAsia" w:cs="宋体" w:asciiTheme="majorEastAsia" w:hAnsiTheme="majorEastAsia" w:eastAsiaTheme="majorEastAsia"/>
                <w:kern w:val="0"/>
                <w:sz w:val="24"/>
                <w:highlight w:val="none"/>
              </w:rPr>
              <w:t>本项目不允许采购进口产品。</w:t>
            </w:r>
          </w:p>
          <w:p w14:paraId="67358179">
            <w:pPr>
              <w:pStyle w:val="2"/>
              <w:keepNext w:val="0"/>
              <w:keepLines w:val="0"/>
              <w:pageBreakBefore w:val="0"/>
              <w:kinsoku/>
              <w:wordWrap/>
              <w:overflowPunct/>
              <w:topLinePunct w:val="0"/>
              <w:bidi w:val="0"/>
              <w:adjustRightInd w:val="0"/>
              <w:snapToGrid/>
              <w:spacing w:line="400" w:lineRule="exact"/>
              <w:ind w:left="0" w:leftChars="0" w:firstLine="0" w:firstLineChars="0"/>
              <w:textAlignment w:val="auto"/>
              <w:rPr>
                <w:highlight w:val="none"/>
              </w:rPr>
            </w:pPr>
            <w:r>
              <w:rPr>
                <w:rFonts w:hint="eastAsia"/>
                <w:highlight w:val="none"/>
              </w:rPr>
              <w:t>☐可以就采购进口产品</w:t>
            </w:r>
          </w:p>
        </w:tc>
      </w:tr>
      <w:tr w14:paraId="7BDF5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8"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7EFC38AE">
            <w:pPr>
              <w:snapToGrid w:val="0"/>
              <w:spacing w:line="360" w:lineRule="auto"/>
              <w:jc w:val="center"/>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4</w:t>
            </w:r>
          </w:p>
        </w:tc>
        <w:tc>
          <w:tcPr>
            <w:tcW w:w="1075" w:type="pct"/>
            <w:tcBorders>
              <w:top w:val="single" w:color="000000" w:sz="8" w:space="0"/>
              <w:left w:val="single" w:color="auto" w:sz="4" w:space="0"/>
              <w:bottom w:val="single" w:color="000000" w:sz="8" w:space="0"/>
              <w:right w:val="single" w:color="000000" w:sz="8" w:space="0"/>
            </w:tcBorders>
            <w:vAlign w:val="center"/>
          </w:tcPr>
          <w:p w14:paraId="595FF922">
            <w:pPr>
              <w:snapToGrid w:val="0"/>
              <w:spacing w:line="360" w:lineRule="auto"/>
              <w:jc w:val="center"/>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rPr>
              <w:t>分包</w:t>
            </w:r>
          </w:p>
        </w:tc>
        <w:tc>
          <w:tcPr>
            <w:tcW w:w="3559" w:type="pct"/>
            <w:tcBorders>
              <w:top w:val="single" w:color="000000" w:sz="8" w:space="0"/>
              <w:left w:val="single" w:color="000000" w:sz="2" w:space="0"/>
              <w:bottom w:val="single" w:color="000000" w:sz="8" w:space="0"/>
              <w:right w:val="single" w:color="000000" w:sz="8" w:space="0"/>
            </w:tcBorders>
            <w:vAlign w:val="center"/>
          </w:tcPr>
          <w:p w14:paraId="66AC4976">
            <w:pPr>
              <w:keepNext w:val="0"/>
              <w:keepLines w:val="0"/>
              <w:pageBreakBefore w:val="0"/>
              <w:kinsoku/>
              <w:wordWrap/>
              <w:overflowPunct/>
              <w:topLinePunct w:val="0"/>
              <w:bidi w:val="0"/>
              <w:adjustRightInd w:val="0"/>
              <w:snapToGrid/>
              <w:spacing w:line="400" w:lineRule="exact"/>
              <w:textAlignment w:val="auto"/>
              <w:rPr>
                <w:rFonts w:hint="eastAsia" w:ascii="宋体" w:hAnsi="宋体" w:eastAsia="宋体" w:cs="宋体"/>
                <w:sz w:val="24"/>
                <w:szCs w:val="24"/>
                <w:highlight w:val="none"/>
                <w:lang w:eastAsia="zh-CN"/>
              </w:rPr>
            </w:pPr>
            <w:sdt>
              <w:sdtPr>
                <w:rPr>
                  <w:rFonts w:hint="eastAsia" w:ascii="宋体" w:hAnsi="宋体" w:cs="宋体"/>
                  <w:kern w:val="0"/>
                  <w:highlight w:val="none"/>
                </w:rPr>
                <w:id w:val="644818902"/>
              </w:sdtPr>
              <w:sdtEndPr>
                <w:rPr>
                  <w:rFonts w:hint="eastAsia" w:ascii="宋体" w:hAnsi="宋体" w:cs="宋体"/>
                  <w:kern w:val="0"/>
                  <w:highlight w:val="none"/>
                </w:rPr>
              </w:sdtEndPr>
              <w:sdtContent>
                <w:r>
                  <w:rPr>
                    <w:rFonts w:ascii="Wingdings" w:hAnsi="Wingdings" w:cs="宋体"/>
                    <w:kern w:val="0"/>
                    <w:highlight w:val="none"/>
                  </w:rPr>
                  <w:t></w:t>
                </w:r>
              </w:sdtContent>
            </w:sdt>
            <w:r>
              <w:rPr>
                <w:rFonts w:hint="eastAsia" w:ascii="宋体" w:hAnsi="宋体" w:eastAsia="宋体" w:cs="宋体"/>
                <w:kern w:val="0"/>
                <w:sz w:val="24"/>
                <w:szCs w:val="24"/>
                <w:highlight w:val="none"/>
              </w:rPr>
              <w:t xml:space="preserve"> A</w:t>
            </w:r>
            <w:r>
              <w:rPr>
                <w:rFonts w:hint="eastAsia" w:ascii="宋体" w:hAnsi="宋体" w:eastAsia="宋体" w:cs="宋体"/>
                <w:sz w:val="24"/>
                <w:szCs w:val="24"/>
                <w:highlight w:val="none"/>
              </w:rPr>
              <w:t>同意将非主体、非关键性的</w:t>
            </w:r>
            <w:r>
              <w:rPr>
                <w:rFonts w:hint="eastAsia" w:ascii="宋体" w:hAnsi="宋体" w:cs="宋体"/>
                <w:sz w:val="24"/>
                <w:szCs w:val="24"/>
                <w:highlight w:val="none"/>
                <w:u w:val="single"/>
                <w:lang w:val="en-US" w:eastAsia="zh-CN"/>
              </w:rPr>
              <w:t>养护工具</w:t>
            </w:r>
            <w:r>
              <w:rPr>
                <w:rFonts w:hint="eastAsia" w:ascii="宋体" w:hAnsi="宋体" w:eastAsia="宋体" w:cs="宋体"/>
                <w:sz w:val="24"/>
                <w:szCs w:val="24"/>
                <w:highlight w:val="none"/>
              </w:rPr>
              <w:t>工作分包</w:t>
            </w:r>
            <w:r>
              <w:rPr>
                <w:rFonts w:hint="eastAsia" w:ascii="宋体" w:hAnsi="宋体" w:cs="宋体"/>
                <w:sz w:val="24"/>
                <w:szCs w:val="24"/>
                <w:highlight w:val="none"/>
                <w:lang w:eastAsia="zh-CN"/>
              </w:rPr>
              <w:t>。</w:t>
            </w:r>
          </w:p>
          <w:p w14:paraId="63FFFCD4">
            <w:pPr>
              <w:keepNext w:val="0"/>
              <w:keepLines w:val="0"/>
              <w:pageBreakBefore w:val="0"/>
              <w:kinsoku/>
              <w:wordWrap/>
              <w:overflowPunct/>
              <w:topLinePunct w:val="0"/>
              <w:bidi w:val="0"/>
              <w:adjustRightInd w:val="0"/>
              <w:snapToGrid/>
              <w:spacing w:line="400" w:lineRule="exact"/>
              <w:textAlignment w:val="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242807027"/>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t>☐</w:t>
                </w:r>
              </w:sdtContent>
            </w:sdt>
            <w:r>
              <w:rPr>
                <w:rFonts w:hint="eastAsia" w:ascii="宋体" w:hAnsi="宋体" w:eastAsia="宋体" w:cs="宋体"/>
                <w:kern w:val="0"/>
                <w:sz w:val="24"/>
                <w:szCs w:val="24"/>
                <w:highlight w:val="none"/>
              </w:rPr>
              <w:t xml:space="preserve"> B</w:t>
            </w:r>
            <w:r>
              <w:rPr>
                <w:rFonts w:hint="eastAsia" w:ascii="宋体" w:hAnsi="宋体" w:eastAsia="宋体" w:cs="宋体"/>
                <w:sz w:val="24"/>
                <w:szCs w:val="24"/>
                <w:highlight w:val="none"/>
              </w:rPr>
              <w:t>不同意分包。</w:t>
            </w:r>
          </w:p>
          <w:p w14:paraId="60184F88">
            <w:pPr>
              <w:keepNext w:val="0"/>
              <w:keepLines w:val="0"/>
              <w:pageBreakBefore w:val="0"/>
              <w:kinsoku/>
              <w:wordWrap/>
              <w:overflowPunct/>
              <w:topLinePunct w:val="0"/>
              <w:bidi w:val="0"/>
              <w:adjustRightInd w:val="0"/>
              <w:snapToGrid/>
              <w:spacing w:line="400" w:lineRule="exact"/>
              <w:textAlignment w:val="auto"/>
              <w:rPr>
                <w:rFonts w:cs="宋体" w:asciiTheme="majorEastAsia" w:hAnsiTheme="majorEastAsia" w:eastAsiaTheme="majorEastAsia"/>
                <w:sz w:val="24"/>
                <w:highlight w:val="none"/>
              </w:rPr>
            </w:pPr>
            <w:r>
              <w:rPr>
                <w:rFonts w:hint="eastAsia" w:ascii="宋体" w:hAnsi="宋体" w:eastAsia="宋体" w:cs="宋体"/>
                <w:sz w:val="24"/>
                <w:szCs w:val="24"/>
                <w:highlight w:val="none"/>
              </w:rPr>
              <w:t>注：不得限制大中型企业向小微企业合理分包。</w:t>
            </w:r>
          </w:p>
        </w:tc>
      </w:tr>
      <w:tr w14:paraId="59DC2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7"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02C8D59D">
            <w:pPr>
              <w:snapToGrid w:val="0"/>
              <w:spacing w:line="360" w:lineRule="auto"/>
              <w:jc w:val="center"/>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5</w:t>
            </w:r>
          </w:p>
        </w:tc>
        <w:tc>
          <w:tcPr>
            <w:tcW w:w="1075" w:type="pct"/>
            <w:tcBorders>
              <w:top w:val="single" w:color="000000" w:sz="8" w:space="0"/>
              <w:left w:val="single" w:color="auto" w:sz="4" w:space="0"/>
              <w:bottom w:val="single" w:color="000000" w:sz="8" w:space="0"/>
              <w:right w:val="single" w:color="000000" w:sz="8" w:space="0"/>
            </w:tcBorders>
            <w:vAlign w:val="center"/>
          </w:tcPr>
          <w:p w14:paraId="793E35D8">
            <w:pPr>
              <w:snapToGrid w:val="0"/>
              <w:spacing w:line="360" w:lineRule="auto"/>
              <w:jc w:val="center"/>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rPr>
              <w:t>开标前答疑会或现场考察</w:t>
            </w:r>
          </w:p>
        </w:tc>
        <w:tc>
          <w:tcPr>
            <w:tcW w:w="3559" w:type="pct"/>
            <w:tcBorders>
              <w:top w:val="single" w:color="000000" w:sz="8" w:space="0"/>
              <w:left w:val="single" w:color="000000" w:sz="2" w:space="0"/>
              <w:bottom w:val="single" w:color="000000" w:sz="8" w:space="0"/>
              <w:right w:val="single" w:color="000000" w:sz="8" w:space="0"/>
            </w:tcBorders>
            <w:vAlign w:val="center"/>
          </w:tcPr>
          <w:p w14:paraId="45FFBCA5">
            <w:pPr>
              <w:keepNext w:val="0"/>
              <w:keepLines w:val="0"/>
              <w:pageBreakBefore w:val="0"/>
              <w:kinsoku/>
              <w:wordWrap/>
              <w:overflowPunct/>
              <w:topLinePunct w:val="0"/>
              <w:bidi w:val="0"/>
              <w:adjustRightInd w:val="0"/>
              <w:snapToGrid/>
              <w:spacing w:line="400" w:lineRule="exact"/>
              <w:textAlignment w:val="auto"/>
              <w:rPr>
                <w:rFonts w:hint="eastAsia" w:ascii="宋体" w:hAnsi="宋体" w:eastAsia="宋体" w:cs="宋体"/>
                <w:sz w:val="24"/>
                <w:szCs w:val="24"/>
                <w:highlight w:val="none"/>
              </w:rPr>
            </w:pPr>
            <w:sdt>
              <w:sdtPr>
                <w:rPr>
                  <w:rFonts w:hint="eastAsia" w:ascii="宋体" w:hAnsi="宋体" w:cs="宋体"/>
                  <w:kern w:val="0"/>
                  <w:highlight w:val="none"/>
                </w:rPr>
                <w:id w:val="147482152"/>
              </w:sdtPr>
              <w:sdtEndPr>
                <w:rPr>
                  <w:rFonts w:hint="eastAsia" w:ascii="宋体" w:hAnsi="宋体" w:cs="宋体"/>
                  <w:kern w:val="0"/>
                  <w:highlight w:val="none"/>
                </w:rPr>
              </w:sdtEndPr>
              <w:sdtContent>
                <w:r>
                  <w:rPr>
                    <w:rFonts w:ascii="Wingdings" w:hAnsi="Wingdings" w:cs="宋体"/>
                    <w:kern w:val="0"/>
                    <w:highlight w:val="none"/>
                  </w:rPr>
                  <w:t></w:t>
                </w:r>
              </w:sdtContent>
            </w:sdt>
            <w:r>
              <w:rPr>
                <w:rFonts w:hint="eastAsia" w:ascii="宋体" w:hAnsi="宋体" w:eastAsia="宋体" w:cs="宋体"/>
                <w:kern w:val="0"/>
                <w:sz w:val="24"/>
                <w:szCs w:val="24"/>
                <w:highlight w:val="none"/>
              </w:rPr>
              <w:t xml:space="preserve"> </w:t>
            </w:r>
            <w:r>
              <w:rPr>
                <w:rFonts w:hint="eastAsia" w:ascii="宋体" w:hAnsi="宋体" w:eastAsia="宋体" w:cs="宋体"/>
                <w:sz w:val="24"/>
                <w:szCs w:val="24"/>
                <w:highlight w:val="none"/>
              </w:rPr>
              <w:t>A不组织。</w:t>
            </w:r>
          </w:p>
          <w:p w14:paraId="4BE37042">
            <w:pPr>
              <w:keepNext w:val="0"/>
              <w:keepLines w:val="0"/>
              <w:pageBreakBefore w:val="0"/>
              <w:kinsoku/>
              <w:wordWrap/>
              <w:overflowPunct/>
              <w:topLinePunct w:val="0"/>
              <w:bidi w:val="0"/>
              <w:adjustRightInd w:val="0"/>
              <w:snapToGrid/>
              <w:spacing w:line="400" w:lineRule="exact"/>
              <w:textAlignment w:val="auto"/>
              <w:rPr>
                <w:rFonts w:hint="eastAsia" w:ascii="宋体" w:hAnsi="宋体" w:eastAsia="宋体" w:cs="宋体"/>
                <w:sz w:val="24"/>
                <w:szCs w:val="24"/>
                <w:highlight w:val="none"/>
              </w:rPr>
            </w:pPr>
            <w:sdt>
              <w:sdtPr>
                <w:rPr>
                  <w:rFonts w:hint="eastAsia" w:ascii="宋体" w:hAnsi="宋体" w:eastAsia="宋体" w:cs="宋体"/>
                  <w:sz w:val="24"/>
                  <w:szCs w:val="24"/>
                  <w:highlight w:val="none"/>
                </w:rPr>
                <w:id w:val="238790731"/>
              </w:sdtPr>
              <w:sdtEndPr>
                <w:rPr>
                  <w:rFonts w:hint="eastAsia" w:ascii="宋体" w:hAnsi="宋体" w:eastAsia="宋体" w:cs="宋体"/>
                  <w:sz w:val="24"/>
                  <w:szCs w:val="24"/>
                  <w:highlight w:val="none"/>
                </w:rPr>
              </w:sdtEndPr>
              <w:sdtContent>
                <w:r>
                  <w:rPr>
                    <w:rFonts w:hint="eastAsia" w:ascii="宋体" w:hAnsi="宋体" w:eastAsia="宋体" w:cs="宋体"/>
                    <w:sz w:val="24"/>
                    <w:szCs w:val="24"/>
                    <w:highlight w:val="none"/>
                  </w:rPr>
                  <w:t>☐</w:t>
                </w:r>
              </w:sdtContent>
            </w:sdt>
            <w:r>
              <w:rPr>
                <w:rFonts w:hint="eastAsia" w:ascii="宋体" w:hAnsi="宋体" w:eastAsia="宋体" w:cs="宋体"/>
                <w:sz w:val="24"/>
                <w:szCs w:val="24"/>
                <w:highlight w:val="none"/>
              </w:rPr>
              <w:t>B组织，时间：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,地点：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F3B46FE">
            <w:pPr>
              <w:pStyle w:val="81"/>
              <w:keepNext w:val="0"/>
              <w:keepLines w:val="0"/>
              <w:pageBreakBefore w:val="0"/>
              <w:kinsoku/>
              <w:wordWrap/>
              <w:overflowPunct/>
              <w:topLinePunct w:val="0"/>
              <w:bidi w:val="0"/>
              <w:adjustRightInd w:val="0"/>
              <w:snapToGrid/>
              <w:spacing w:line="400" w:lineRule="exact"/>
              <w:ind w:firstLine="0" w:firstLineChars="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☐C不统一组织，供应商在获取采购文件后，自行至项目现场考察。地点：</w:t>
            </w:r>
            <w:r>
              <w:rPr>
                <w:rFonts w:hint="eastAsia" w:ascii="宋体" w:hAnsi="宋体" w:eastAsia="宋体" w:cs="宋体"/>
                <w:sz w:val="24"/>
                <w:szCs w:val="24"/>
                <w:highlight w:val="none"/>
                <w:u w:val="single"/>
              </w:rPr>
              <w:t xml:space="preserve">      </w:t>
            </w:r>
            <w:r>
              <w:rPr>
                <w:rFonts w:hint="eastAsia" w:ascii="宋体" w:hAnsi="宋体" w:eastAsia="宋体" w:cs="宋体"/>
                <w:kern w:val="2"/>
                <w:sz w:val="24"/>
                <w:szCs w:val="24"/>
                <w:highlight w:val="none"/>
              </w:rPr>
              <w:t>，联系人：</w:t>
            </w:r>
            <w:r>
              <w:rPr>
                <w:rFonts w:hint="eastAsia" w:ascii="宋体" w:hAnsi="宋体" w:eastAsia="宋体" w:cs="宋体"/>
                <w:sz w:val="24"/>
                <w:szCs w:val="24"/>
                <w:highlight w:val="none"/>
                <w:u w:val="single"/>
              </w:rPr>
              <w:t xml:space="preserve">      </w:t>
            </w:r>
            <w:r>
              <w:rPr>
                <w:rFonts w:hint="eastAsia" w:ascii="宋体" w:hAnsi="宋体" w:eastAsia="宋体" w:cs="宋体"/>
                <w:kern w:val="2"/>
                <w:sz w:val="24"/>
                <w:szCs w:val="24"/>
                <w:highlight w:val="none"/>
              </w:rPr>
              <w:t>，联系方式：</w:t>
            </w:r>
            <w:r>
              <w:rPr>
                <w:rFonts w:hint="eastAsia" w:ascii="宋体" w:hAnsi="宋体" w:eastAsia="宋体" w:cs="宋体"/>
                <w:sz w:val="24"/>
                <w:szCs w:val="24"/>
                <w:highlight w:val="none"/>
                <w:u w:val="single"/>
              </w:rPr>
              <w:t xml:space="preserve">      </w:t>
            </w:r>
            <w:r>
              <w:rPr>
                <w:rFonts w:hint="eastAsia" w:ascii="宋体" w:hAnsi="宋体" w:eastAsia="宋体" w:cs="宋体"/>
                <w:kern w:val="2"/>
                <w:sz w:val="24"/>
                <w:szCs w:val="24"/>
                <w:highlight w:val="none"/>
              </w:rPr>
              <w:t>。</w:t>
            </w:r>
          </w:p>
          <w:p w14:paraId="161210D3">
            <w:pPr>
              <w:keepNext w:val="0"/>
              <w:keepLines w:val="0"/>
              <w:pageBreakBefore w:val="0"/>
              <w:kinsoku/>
              <w:wordWrap/>
              <w:overflowPunct/>
              <w:topLinePunct w:val="0"/>
              <w:bidi w:val="0"/>
              <w:adjustRightInd w:val="0"/>
              <w:snapToGrid/>
              <w:spacing w:line="400" w:lineRule="exact"/>
              <w:textAlignment w:val="auto"/>
              <w:rPr>
                <w:rFonts w:cs="宋体" w:asciiTheme="majorEastAsia" w:hAnsiTheme="majorEastAsia" w:eastAsiaTheme="majorEastAsia"/>
                <w:sz w:val="24"/>
                <w:highlight w:val="none"/>
              </w:rPr>
            </w:pPr>
          </w:p>
        </w:tc>
      </w:tr>
      <w:tr w14:paraId="37F11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5"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5FC65FC5">
            <w:pPr>
              <w:snapToGrid w:val="0"/>
              <w:spacing w:line="360" w:lineRule="auto"/>
              <w:jc w:val="center"/>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6</w:t>
            </w:r>
          </w:p>
        </w:tc>
        <w:tc>
          <w:tcPr>
            <w:tcW w:w="1075" w:type="pct"/>
            <w:tcBorders>
              <w:top w:val="single" w:color="000000" w:sz="8" w:space="0"/>
              <w:left w:val="single" w:color="auto" w:sz="4" w:space="0"/>
              <w:bottom w:val="single" w:color="000000" w:sz="8" w:space="0"/>
              <w:right w:val="single" w:color="000000" w:sz="8" w:space="0"/>
            </w:tcBorders>
            <w:vAlign w:val="center"/>
          </w:tcPr>
          <w:p w14:paraId="0B9BBE3E">
            <w:pPr>
              <w:snapToGrid w:val="0"/>
              <w:spacing w:line="360" w:lineRule="auto"/>
              <w:jc w:val="center"/>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rPr>
              <w:t>样品提供</w:t>
            </w:r>
          </w:p>
        </w:tc>
        <w:tc>
          <w:tcPr>
            <w:tcW w:w="3559" w:type="pct"/>
            <w:tcBorders>
              <w:top w:val="single" w:color="000000" w:sz="8" w:space="0"/>
              <w:left w:val="single" w:color="000000" w:sz="2" w:space="0"/>
              <w:bottom w:val="single" w:color="000000" w:sz="8" w:space="0"/>
              <w:right w:val="single" w:color="000000" w:sz="8" w:space="0"/>
            </w:tcBorders>
            <w:vAlign w:val="center"/>
          </w:tcPr>
          <w:p w14:paraId="3E1493EE">
            <w:pPr>
              <w:spacing w:line="360" w:lineRule="auto"/>
              <w:rPr>
                <w:rFonts w:ascii="宋体" w:hAnsi="宋体" w:cs="宋体"/>
                <w:sz w:val="24"/>
                <w:highlight w:val="none"/>
              </w:rPr>
            </w:pPr>
            <w:sdt>
              <w:sdtPr>
                <w:rPr>
                  <w:rFonts w:hint="eastAsia" w:ascii="宋体" w:hAnsi="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3799EED7">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B要求提供，</w:t>
            </w:r>
          </w:p>
          <w:p w14:paraId="652EC894">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7FF6F055">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55A8192D">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35D90289">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3247EDF9">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3BC2BB9F">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83C2442">
            <w:pPr>
              <w:spacing w:line="400" w:lineRule="exact"/>
              <w:rPr>
                <w:rFonts w:cs="宋体" w:asciiTheme="majorEastAsia" w:hAnsiTheme="majorEastAsia" w:eastAsiaTheme="majorEastAsia"/>
                <w:b/>
                <w:sz w:val="24"/>
                <w:highlight w:val="none"/>
              </w:rPr>
            </w:pPr>
            <w:r>
              <w:rPr>
                <w:rFonts w:hint="eastAsia" w:ascii="宋体" w:hAnsi="宋体" w:cs="宋体"/>
                <w:sz w:val="24"/>
                <w:highlight w:val="none"/>
              </w:rPr>
              <w:t>（7）制作、运输、安装和保管样品所发生的一切费用由投标人自理。</w:t>
            </w:r>
          </w:p>
        </w:tc>
      </w:tr>
      <w:tr w14:paraId="00AAB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14D344D2">
            <w:pPr>
              <w:snapToGrid w:val="0"/>
              <w:spacing w:line="360" w:lineRule="auto"/>
              <w:jc w:val="center"/>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7</w:t>
            </w:r>
          </w:p>
        </w:tc>
        <w:tc>
          <w:tcPr>
            <w:tcW w:w="1075" w:type="pct"/>
            <w:tcBorders>
              <w:top w:val="single" w:color="000000" w:sz="8" w:space="0"/>
              <w:left w:val="single" w:color="auto" w:sz="4" w:space="0"/>
              <w:bottom w:val="single" w:color="000000" w:sz="8" w:space="0"/>
              <w:right w:val="single" w:color="000000" w:sz="8" w:space="0"/>
            </w:tcBorders>
            <w:vAlign w:val="center"/>
          </w:tcPr>
          <w:p w14:paraId="63F3B0C7">
            <w:pPr>
              <w:snapToGrid w:val="0"/>
              <w:spacing w:line="360" w:lineRule="auto"/>
              <w:jc w:val="center"/>
              <w:rPr>
                <w:rFonts w:cs="宋体" w:asciiTheme="majorEastAsia" w:hAnsiTheme="majorEastAsia" w:eastAsiaTheme="majorEastAsia"/>
                <w:bCs/>
                <w:sz w:val="24"/>
                <w:highlight w:val="none"/>
              </w:rPr>
            </w:pPr>
            <w:r>
              <w:rPr>
                <w:rFonts w:hint="eastAsia" w:cs="宋体" w:asciiTheme="majorEastAsia" w:hAnsiTheme="majorEastAsia" w:eastAsiaTheme="majorEastAsia"/>
                <w:b/>
                <w:sz w:val="24"/>
                <w:highlight w:val="none"/>
              </w:rPr>
              <w:t>方案讲解演示</w:t>
            </w:r>
          </w:p>
        </w:tc>
        <w:tc>
          <w:tcPr>
            <w:tcW w:w="3559" w:type="pct"/>
            <w:tcBorders>
              <w:top w:val="single" w:color="000000" w:sz="8" w:space="0"/>
              <w:left w:val="single" w:color="000000" w:sz="2" w:space="0"/>
              <w:bottom w:val="single" w:color="000000" w:sz="8" w:space="0"/>
              <w:right w:val="single" w:color="000000" w:sz="8" w:space="0"/>
            </w:tcBorders>
            <w:vAlign w:val="center"/>
          </w:tcPr>
          <w:p w14:paraId="5A273A38">
            <w:pPr>
              <w:spacing w:line="360" w:lineRule="auto"/>
              <w:rPr>
                <w:rFonts w:ascii="宋体" w:hAnsi="宋体" w:cs="宋体"/>
                <w:sz w:val="24"/>
                <w:highlight w:val="none"/>
              </w:rPr>
            </w:pPr>
            <w:sdt>
              <w:sdtPr>
                <w:rPr>
                  <w:rFonts w:hint="eastAsia" w:ascii="宋体" w:hAnsi="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10BF31CB">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14:paraId="780456D4">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20（编制时可根据项目情况进行调整）</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3（编制时可根据项目情况进行调整）</w:t>
            </w:r>
            <w:r>
              <w:rPr>
                <w:rFonts w:hint="eastAsia" w:ascii="宋体" w:hAnsi="宋体" w:cs="宋体"/>
                <w:kern w:val="0"/>
                <w:sz w:val="24"/>
                <w:highlight w:val="none"/>
              </w:rPr>
              <w:t>人。讲解演示结束后按要求解答评标委员会提问。</w:t>
            </w:r>
          </w:p>
          <w:p w14:paraId="13D692A1">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39DA54FC">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37F6F23D">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w:t>
            </w:r>
            <w:r>
              <w:rPr>
                <w:rFonts w:hint="eastAsia" w:ascii="宋体" w:hAnsi="宋体" w:cs="宋体"/>
                <w:kern w:val="0"/>
                <w:sz w:val="24"/>
                <w:highlight w:val="none"/>
                <w:lang w:eastAsia="zh-CN"/>
              </w:rPr>
              <w:t>开标</w:t>
            </w:r>
            <w:r>
              <w:rPr>
                <w:rFonts w:hint="eastAsia" w:ascii="宋体" w:hAnsi="宋体" w:cs="宋体"/>
                <w:kern w:val="0"/>
                <w:sz w:val="24"/>
                <w:highlight w:val="none"/>
              </w:rPr>
              <w:t>现场讲解演示。现场讲解地点为</w:t>
            </w:r>
            <w:r>
              <w:rPr>
                <w:rFonts w:hint="eastAsia" w:ascii="宋体" w:hAnsi="宋体" w:cs="宋体"/>
                <w:color w:val="FF0000"/>
                <w:kern w:val="0"/>
                <w:sz w:val="24"/>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59BFA5E5">
            <w:pPr>
              <w:spacing w:line="400" w:lineRule="exact"/>
              <w:rPr>
                <w:rFonts w:cs="宋体" w:asciiTheme="majorEastAsia" w:hAnsiTheme="majorEastAsia" w:eastAsiaTheme="majorEastAsia"/>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266F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365" w:type="pct"/>
            <w:vMerge w:val="restart"/>
            <w:tcBorders>
              <w:top w:val="single" w:color="auto" w:sz="4" w:space="0"/>
              <w:left w:val="single" w:color="auto" w:sz="4" w:space="0"/>
              <w:right w:val="single" w:color="auto" w:sz="4" w:space="0"/>
            </w:tcBorders>
            <w:vAlign w:val="center"/>
          </w:tcPr>
          <w:p w14:paraId="36D3B9F1">
            <w:pPr>
              <w:snapToGrid w:val="0"/>
              <w:spacing w:line="360" w:lineRule="auto"/>
              <w:jc w:val="center"/>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8</w:t>
            </w:r>
          </w:p>
        </w:tc>
        <w:tc>
          <w:tcPr>
            <w:tcW w:w="1075" w:type="pct"/>
            <w:vMerge w:val="restart"/>
            <w:tcBorders>
              <w:top w:val="single" w:color="000000" w:sz="8" w:space="0"/>
              <w:left w:val="single" w:color="auto" w:sz="4" w:space="0"/>
              <w:right w:val="single" w:color="000000" w:sz="8" w:space="0"/>
            </w:tcBorders>
            <w:vAlign w:val="center"/>
          </w:tcPr>
          <w:p w14:paraId="4E1A79FB">
            <w:pPr>
              <w:snapToGrid w:val="0"/>
              <w:spacing w:line="360" w:lineRule="auto"/>
              <w:jc w:val="center"/>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rPr>
              <w:t>投标人应当提供的资格、资信证明文件</w:t>
            </w:r>
          </w:p>
        </w:tc>
        <w:tc>
          <w:tcPr>
            <w:tcW w:w="3559" w:type="pct"/>
            <w:tcBorders>
              <w:top w:val="single" w:color="000000" w:sz="8" w:space="0"/>
              <w:left w:val="single" w:color="000000" w:sz="2" w:space="0"/>
              <w:bottom w:val="single" w:color="auto" w:sz="4" w:space="0"/>
              <w:right w:val="single" w:color="000000" w:sz="8" w:space="0"/>
            </w:tcBorders>
            <w:vAlign w:val="center"/>
          </w:tcPr>
          <w:p w14:paraId="2249E0AF">
            <w:pPr>
              <w:spacing w:line="400" w:lineRule="exact"/>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（1）资格证明文件：见招标文件第二部分11.1。</w:t>
            </w:r>
          </w:p>
          <w:p w14:paraId="093FF8A2">
            <w:pPr>
              <w:spacing w:line="400" w:lineRule="exact"/>
              <w:rPr>
                <w:rFonts w:cs="宋体" w:asciiTheme="majorEastAsia" w:hAnsiTheme="majorEastAsia" w:eastAsiaTheme="majorEastAsia"/>
                <w:snapToGrid w:val="0"/>
                <w:kern w:val="0"/>
                <w:sz w:val="24"/>
                <w:highlight w:val="none"/>
              </w:rPr>
            </w:pPr>
            <w:r>
              <w:rPr>
                <w:rFonts w:hint="eastAsia" w:cs="宋体" w:asciiTheme="majorEastAsia" w:hAnsiTheme="majorEastAsia" w:eastAsiaTheme="majorEastAsia"/>
                <w:kern w:val="0"/>
                <w:sz w:val="24"/>
                <w:highlight w:val="none"/>
                <w:lang w:val="zh-CN"/>
              </w:rPr>
              <w:t>投标人未提供有效的资格证明文件的，视为投标人不具备招标文件中规定的资格要求，投标无效。</w:t>
            </w:r>
          </w:p>
        </w:tc>
      </w:tr>
      <w:tr w14:paraId="2579D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1" w:hRule="atLeast"/>
          <w:tblHeader/>
        </w:trPr>
        <w:tc>
          <w:tcPr>
            <w:tcW w:w="365" w:type="pct"/>
            <w:vMerge w:val="continue"/>
            <w:tcBorders>
              <w:left w:val="single" w:color="auto" w:sz="4" w:space="0"/>
              <w:bottom w:val="single" w:color="auto" w:sz="4" w:space="0"/>
              <w:right w:val="single" w:color="auto" w:sz="4" w:space="0"/>
            </w:tcBorders>
          </w:tcPr>
          <w:p w14:paraId="683AC839">
            <w:pPr>
              <w:snapToGrid w:val="0"/>
              <w:spacing w:line="360" w:lineRule="auto"/>
              <w:jc w:val="center"/>
              <w:rPr>
                <w:rFonts w:cs="宋体" w:asciiTheme="majorEastAsia" w:hAnsiTheme="majorEastAsia" w:eastAsiaTheme="majorEastAsia"/>
                <w:sz w:val="24"/>
                <w:highlight w:val="none"/>
              </w:rPr>
            </w:pPr>
          </w:p>
        </w:tc>
        <w:tc>
          <w:tcPr>
            <w:tcW w:w="1075" w:type="pct"/>
            <w:vMerge w:val="continue"/>
            <w:tcBorders>
              <w:left w:val="single" w:color="auto" w:sz="4" w:space="0"/>
              <w:bottom w:val="single" w:color="000000" w:sz="8" w:space="0"/>
              <w:right w:val="single" w:color="000000" w:sz="8" w:space="0"/>
            </w:tcBorders>
            <w:vAlign w:val="center"/>
          </w:tcPr>
          <w:p w14:paraId="3FF9A969">
            <w:pPr>
              <w:snapToGrid w:val="0"/>
              <w:spacing w:line="360" w:lineRule="auto"/>
              <w:jc w:val="center"/>
              <w:rPr>
                <w:rFonts w:cs="宋体" w:asciiTheme="majorEastAsia" w:hAnsiTheme="majorEastAsia" w:eastAsiaTheme="majorEastAsia"/>
                <w:b/>
                <w:sz w:val="24"/>
                <w:highlight w:val="none"/>
              </w:rPr>
            </w:pPr>
          </w:p>
        </w:tc>
        <w:tc>
          <w:tcPr>
            <w:tcW w:w="3559" w:type="pct"/>
            <w:tcBorders>
              <w:top w:val="single" w:color="auto" w:sz="4" w:space="0"/>
              <w:left w:val="single" w:color="000000" w:sz="2" w:space="0"/>
              <w:bottom w:val="single" w:color="000000" w:sz="8" w:space="0"/>
              <w:right w:val="single" w:color="000000" w:sz="8" w:space="0"/>
            </w:tcBorders>
            <w:vAlign w:val="center"/>
          </w:tcPr>
          <w:p w14:paraId="6A5127F7">
            <w:pPr>
              <w:spacing w:line="400" w:lineRule="exact"/>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（2）资信证明文件：根据招标文件第四部分评标标准提供。</w:t>
            </w:r>
          </w:p>
        </w:tc>
      </w:tr>
      <w:tr w14:paraId="0A122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5" w:type="pct"/>
            <w:tcBorders>
              <w:top w:val="single" w:color="auto" w:sz="4" w:space="0"/>
              <w:left w:val="single" w:color="000000" w:sz="8" w:space="0"/>
              <w:bottom w:val="single" w:color="auto" w:sz="4" w:space="0"/>
              <w:right w:val="single" w:color="000000" w:sz="2" w:space="0"/>
            </w:tcBorders>
            <w:vAlign w:val="center"/>
          </w:tcPr>
          <w:p w14:paraId="60D2904E">
            <w:pPr>
              <w:snapToGrid w:val="0"/>
              <w:spacing w:line="360" w:lineRule="auto"/>
              <w:jc w:val="center"/>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9</w:t>
            </w:r>
          </w:p>
        </w:tc>
        <w:tc>
          <w:tcPr>
            <w:tcW w:w="1075" w:type="pct"/>
            <w:tcBorders>
              <w:top w:val="single" w:color="000000" w:sz="8" w:space="0"/>
              <w:left w:val="single" w:color="000000" w:sz="2" w:space="0"/>
              <w:bottom w:val="single" w:color="000000" w:sz="8" w:space="0"/>
              <w:right w:val="single" w:color="000000" w:sz="8" w:space="0"/>
            </w:tcBorders>
            <w:vAlign w:val="center"/>
          </w:tcPr>
          <w:p w14:paraId="17706A0B">
            <w:pPr>
              <w:snapToGrid w:val="0"/>
              <w:spacing w:line="360" w:lineRule="auto"/>
              <w:jc w:val="center"/>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rPr>
              <w:t>节能产品、环境标志产品</w:t>
            </w:r>
          </w:p>
        </w:tc>
        <w:tc>
          <w:tcPr>
            <w:tcW w:w="3559" w:type="pct"/>
            <w:tcBorders>
              <w:top w:val="single" w:color="000000" w:sz="8" w:space="0"/>
              <w:left w:val="single" w:color="000000" w:sz="2" w:space="0"/>
              <w:bottom w:val="single" w:color="000000" w:sz="8" w:space="0"/>
              <w:right w:val="single" w:color="000000" w:sz="8" w:space="0"/>
            </w:tcBorders>
            <w:vAlign w:val="center"/>
          </w:tcPr>
          <w:p w14:paraId="0D2E64EA">
            <w:pPr>
              <w:pStyle w:val="81"/>
              <w:jc w:val="both"/>
              <w:rPr>
                <w:rFonts w:hint="eastAsia" w:cs="宋体" w:asciiTheme="majorEastAsia" w:hAnsiTheme="majorEastAsia" w:eastAsiaTheme="majorEastAsia"/>
                <w:kern w:val="0"/>
                <w:sz w:val="24"/>
                <w:highlight w:val="none"/>
              </w:rPr>
            </w:pPr>
            <w:r>
              <w:rPr>
                <w:rFonts w:hint="eastAsia" w:cs="宋体" w:asciiTheme="majorEastAsia" w:hAnsiTheme="majorEastAsia" w:eastAsiaTheme="majorEastAsia"/>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FADAD49">
            <w:pPr>
              <w:pStyle w:val="81"/>
              <w:ind w:left="0" w:leftChars="0" w:firstLine="480" w:firstLineChars="200"/>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p>
          <w:p w14:paraId="1BA7D06C">
            <w:pPr>
              <w:pStyle w:val="8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p>
          <w:p w14:paraId="66FE2185">
            <w:pPr>
              <w:pStyle w:val="8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p>
          <w:p w14:paraId="374C5C45">
            <w:pPr>
              <w:snapToGrid w:val="0"/>
              <w:spacing w:line="400" w:lineRule="exact"/>
              <w:ind w:firstLine="480" w:firstLineChars="200"/>
              <w:rPr>
                <w:rFonts w:cs="宋体" w:asciiTheme="majorEastAsia" w:hAnsiTheme="majorEastAsia" w:eastAsiaTheme="majorEastAsia"/>
                <w:sz w:val="24"/>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563B0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5" w:type="pct"/>
            <w:tcBorders>
              <w:top w:val="single" w:color="auto" w:sz="4" w:space="0"/>
              <w:left w:val="single" w:color="000000" w:sz="8" w:space="0"/>
              <w:bottom w:val="single" w:color="auto" w:sz="4" w:space="0"/>
              <w:right w:val="single" w:color="000000" w:sz="2" w:space="0"/>
            </w:tcBorders>
            <w:vAlign w:val="center"/>
          </w:tcPr>
          <w:p w14:paraId="2573418D">
            <w:pPr>
              <w:snapToGrid w:val="0"/>
              <w:spacing w:line="360" w:lineRule="auto"/>
              <w:jc w:val="center"/>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10</w:t>
            </w:r>
          </w:p>
        </w:tc>
        <w:tc>
          <w:tcPr>
            <w:tcW w:w="1075" w:type="pct"/>
            <w:tcBorders>
              <w:top w:val="single" w:color="000000" w:sz="8" w:space="0"/>
              <w:left w:val="single" w:color="000000" w:sz="2" w:space="0"/>
              <w:bottom w:val="single" w:color="000000" w:sz="8" w:space="0"/>
              <w:right w:val="single" w:color="000000" w:sz="8" w:space="0"/>
            </w:tcBorders>
            <w:vAlign w:val="center"/>
          </w:tcPr>
          <w:p w14:paraId="7ED9257B">
            <w:pPr>
              <w:snapToGrid w:val="0"/>
              <w:spacing w:line="360" w:lineRule="auto"/>
              <w:jc w:val="center"/>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rPr>
              <w:t>报价要求</w:t>
            </w:r>
          </w:p>
        </w:tc>
        <w:tc>
          <w:tcPr>
            <w:tcW w:w="3559" w:type="pct"/>
            <w:tcBorders>
              <w:top w:val="single" w:color="000000" w:sz="8" w:space="0"/>
              <w:left w:val="single" w:color="000000" w:sz="2" w:space="0"/>
              <w:bottom w:val="single" w:color="000000" w:sz="8" w:space="0"/>
              <w:right w:val="single" w:color="000000" w:sz="8" w:space="0"/>
            </w:tcBorders>
            <w:vAlign w:val="center"/>
          </w:tcPr>
          <w:p w14:paraId="2DB30BFD">
            <w:pPr>
              <w:snapToGrid w:val="0"/>
              <w:spacing w:line="360" w:lineRule="auto"/>
              <w:jc w:val="left"/>
              <w:rPr>
                <w:rFonts w:ascii="宋体" w:hAnsi="宋体" w:cs="宋体"/>
                <w:b/>
                <w:bCs/>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b w:val="0"/>
                <w:bCs w:val="0"/>
                <w:kern w:val="0"/>
                <w:sz w:val="24"/>
                <w:highlight w:val="none"/>
                <w:lang w:val="zh-CN"/>
              </w:rPr>
              <w:t>投标文件中价格全部采用人民币报价。招标文件未列明，而投标人认为必需的费用也需列入报价。</w:t>
            </w:r>
            <w:r>
              <w:rPr>
                <w:rFonts w:hint="eastAsia" w:ascii="宋体" w:hAnsi="宋体" w:cs="宋体"/>
                <w:b/>
                <w:bCs/>
                <w:kern w:val="0"/>
                <w:sz w:val="24"/>
                <w:highlight w:val="none"/>
                <w:lang w:val="zh-CN"/>
              </w:rPr>
              <w:t>提醒：验收时检测费用由采购人承担，不包含在投标总价中。</w:t>
            </w:r>
          </w:p>
          <w:p w14:paraId="543C9CAA">
            <w:pPr>
              <w:snapToGrid w:val="0"/>
              <w:spacing w:line="360" w:lineRule="auto"/>
              <w:jc w:val="left"/>
              <w:rPr>
                <w:rFonts w:ascii="宋体" w:hAnsi="宋体" w:cs="宋体"/>
                <w:b w:val="0"/>
                <w:bCs w:val="0"/>
                <w:kern w:val="0"/>
                <w:sz w:val="24"/>
                <w:highlight w:val="none"/>
                <w:lang w:val="zh-CN"/>
              </w:rPr>
            </w:pPr>
            <w:r>
              <w:rPr>
                <w:rFonts w:hint="eastAsia" w:ascii="宋体" w:hAnsi="宋体" w:cs="宋体"/>
                <w:b w:val="0"/>
                <w:bCs w:val="0"/>
                <w:kern w:val="0"/>
                <w:sz w:val="24"/>
                <w:highlight w:val="none"/>
                <w:lang w:val="zh-CN"/>
              </w:rPr>
              <w:t>投标报价出现下列情形的，投标无效：</w:t>
            </w:r>
          </w:p>
          <w:p w14:paraId="795E8B4F">
            <w:pPr>
              <w:snapToGrid w:val="0"/>
              <w:spacing w:line="360" w:lineRule="auto"/>
              <w:ind w:firstLine="240" w:firstLineChars="100"/>
              <w:jc w:val="left"/>
              <w:rPr>
                <w:rFonts w:ascii="宋体" w:hAnsi="宋体" w:cs="宋体"/>
                <w:b w:val="0"/>
                <w:bCs w:val="0"/>
                <w:kern w:val="0"/>
                <w:sz w:val="24"/>
                <w:highlight w:val="none"/>
                <w:lang w:val="zh-CN"/>
              </w:rPr>
            </w:pPr>
            <w:r>
              <w:rPr>
                <w:rFonts w:hint="eastAsia" w:ascii="宋体" w:hAnsi="宋体" w:cs="宋体"/>
                <w:b w:val="0"/>
                <w:bCs w:val="0"/>
                <w:kern w:val="0"/>
                <w:sz w:val="24"/>
                <w:highlight w:val="none"/>
                <w:lang w:val="zh-CN"/>
              </w:rPr>
              <w:t>投标文件出现不是唯一的、有选择性投标报价的；</w:t>
            </w:r>
          </w:p>
          <w:p w14:paraId="3EACDC9D">
            <w:pPr>
              <w:snapToGrid w:val="0"/>
              <w:spacing w:line="360" w:lineRule="auto"/>
              <w:ind w:firstLine="240" w:firstLineChars="100"/>
              <w:jc w:val="left"/>
              <w:rPr>
                <w:rFonts w:ascii="宋体" w:hAnsi="宋体" w:cs="宋体"/>
                <w:b w:val="0"/>
                <w:bCs w:val="0"/>
                <w:kern w:val="0"/>
                <w:sz w:val="24"/>
                <w:highlight w:val="none"/>
                <w:lang w:val="zh-CN"/>
              </w:rPr>
            </w:pPr>
            <w:r>
              <w:rPr>
                <w:rFonts w:hint="eastAsia" w:ascii="宋体" w:hAnsi="宋体" w:cs="宋体"/>
                <w:b w:val="0"/>
                <w:bCs w:val="0"/>
                <w:kern w:val="0"/>
                <w:sz w:val="24"/>
                <w:highlight w:val="none"/>
                <w:lang w:val="zh-CN"/>
              </w:rPr>
              <w:t>投标报价超过招标文件中规定的预算金额或者最高限价的;</w:t>
            </w:r>
          </w:p>
          <w:p w14:paraId="04F82A8E">
            <w:pPr>
              <w:spacing w:line="360" w:lineRule="auto"/>
              <w:ind w:firstLine="240" w:firstLineChars="100"/>
              <w:rPr>
                <w:rFonts w:ascii="宋体" w:hAnsi="宋体" w:cs="宋体"/>
                <w:b w:val="0"/>
                <w:bCs w:val="0"/>
                <w:sz w:val="24"/>
                <w:highlight w:val="none"/>
              </w:rPr>
            </w:pPr>
            <w:r>
              <w:rPr>
                <w:rFonts w:hint="eastAsia" w:ascii="宋体" w:hAnsi="宋体" w:cs="宋体"/>
                <w:b w:val="0"/>
                <w:bCs w:val="0"/>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val="0"/>
                <w:bCs w:val="0"/>
                <w:sz w:val="24"/>
                <w:szCs w:val="21"/>
                <w:highlight w:val="none"/>
              </w:rPr>
              <w:t>;</w:t>
            </w:r>
          </w:p>
          <w:p w14:paraId="15E10B23">
            <w:pPr>
              <w:spacing w:line="360" w:lineRule="auto"/>
              <w:ind w:firstLine="240" w:firstLineChars="100"/>
              <w:rPr>
                <w:rFonts w:cs="宋体" w:asciiTheme="majorEastAsia" w:hAnsiTheme="majorEastAsia" w:eastAsiaTheme="majorEastAsia"/>
                <w:sz w:val="24"/>
                <w:highlight w:val="none"/>
              </w:rPr>
            </w:pPr>
            <w:r>
              <w:rPr>
                <w:rFonts w:hint="eastAsia" w:ascii="宋体" w:hAnsi="宋体" w:cs="宋体"/>
                <w:b w:val="0"/>
                <w:bCs w:val="0"/>
                <w:kern w:val="0"/>
                <w:sz w:val="24"/>
                <w:highlight w:val="none"/>
              </w:rPr>
              <w:t>投标人对根据修正原则修正后的报价不确认的</w:t>
            </w:r>
            <w:r>
              <w:rPr>
                <w:rFonts w:hint="eastAsia" w:ascii="宋体" w:hAnsi="宋体" w:cs="宋体"/>
                <w:b w:val="0"/>
                <w:bCs w:val="0"/>
                <w:sz w:val="24"/>
                <w:highlight w:val="none"/>
              </w:rPr>
              <w:t>。</w:t>
            </w:r>
          </w:p>
        </w:tc>
      </w:tr>
      <w:tr w14:paraId="5A295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3" w:hRule="atLeast"/>
          <w:tblHeader/>
        </w:trPr>
        <w:tc>
          <w:tcPr>
            <w:tcW w:w="365" w:type="pct"/>
            <w:tcBorders>
              <w:top w:val="single" w:color="auto" w:sz="4" w:space="0"/>
              <w:left w:val="single" w:color="000000" w:sz="8" w:space="0"/>
              <w:right w:val="single" w:color="000000" w:sz="2" w:space="0"/>
            </w:tcBorders>
            <w:vAlign w:val="center"/>
          </w:tcPr>
          <w:p w14:paraId="52432CFC">
            <w:pPr>
              <w:snapToGrid w:val="0"/>
              <w:spacing w:line="360" w:lineRule="auto"/>
              <w:jc w:val="center"/>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11</w:t>
            </w:r>
          </w:p>
        </w:tc>
        <w:tc>
          <w:tcPr>
            <w:tcW w:w="1075" w:type="pct"/>
            <w:tcBorders>
              <w:top w:val="single" w:color="000000" w:sz="8" w:space="0"/>
              <w:left w:val="single" w:color="000000" w:sz="2" w:space="0"/>
              <w:right w:val="single" w:color="000000" w:sz="8" w:space="0"/>
            </w:tcBorders>
            <w:vAlign w:val="center"/>
          </w:tcPr>
          <w:p w14:paraId="13D12388">
            <w:pPr>
              <w:snapToGrid w:val="0"/>
              <w:spacing w:line="360" w:lineRule="auto"/>
              <w:jc w:val="center"/>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rPr>
              <w:t>中小企业信用融资</w:t>
            </w:r>
          </w:p>
        </w:tc>
        <w:tc>
          <w:tcPr>
            <w:tcW w:w="3559" w:type="pct"/>
            <w:tcBorders>
              <w:top w:val="single" w:color="000000" w:sz="8" w:space="0"/>
              <w:left w:val="single" w:color="000000" w:sz="2" w:space="0"/>
              <w:right w:val="single" w:color="000000" w:sz="8" w:space="0"/>
            </w:tcBorders>
            <w:vAlign w:val="center"/>
          </w:tcPr>
          <w:p w14:paraId="54FEAF8F">
            <w:pPr>
              <w:spacing w:line="400" w:lineRule="exact"/>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napToGrid w:val="0"/>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4AE48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365" w:type="pct"/>
            <w:tcBorders>
              <w:top w:val="single" w:color="auto" w:sz="4" w:space="0"/>
              <w:left w:val="single" w:color="000000" w:sz="8" w:space="0"/>
              <w:bottom w:val="single" w:color="auto" w:sz="4" w:space="0"/>
              <w:right w:val="single" w:color="000000" w:sz="2" w:space="0"/>
            </w:tcBorders>
            <w:vAlign w:val="center"/>
          </w:tcPr>
          <w:p w14:paraId="44206B5D">
            <w:pPr>
              <w:snapToGrid w:val="0"/>
              <w:spacing w:line="360" w:lineRule="auto"/>
              <w:jc w:val="center"/>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12</w:t>
            </w:r>
          </w:p>
        </w:tc>
        <w:tc>
          <w:tcPr>
            <w:tcW w:w="1075" w:type="pct"/>
            <w:tcBorders>
              <w:top w:val="single" w:color="000000" w:sz="8" w:space="0"/>
              <w:left w:val="single" w:color="000000" w:sz="2" w:space="0"/>
              <w:bottom w:val="single" w:color="auto" w:sz="4" w:space="0"/>
              <w:right w:val="single" w:color="000000" w:sz="8" w:space="0"/>
            </w:tcBorders>
            <w:vAlign w:val="center"/>
          </w:tcPr>
          <w:p w14:paraId="0BD0C2CD">
            <w:pPr>
              <w:snapToGrid w:val="0"/>
              <w:spacing w:line="360" w:lineRule="auto"/>
              <w:jc w:val="center"/>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rPr>
              <w:t xml:space="preserve">备份投标文件送达地点和签收人员 </w:t>
            </w:r>
          </w:p>
        </w:tc>
        <w:tc>
          <w:tcPr>
            <w:tcW w:w="3559" w:type="pct"/>
            <w:tcBorders>
              <w:top w:val="single" w:color="000000" w:sz="8" w:space="0"/>
              <w:left w:val="single" w:color="000000" w:sz="2" w:space="0"/>
              <w:bottom w:val="single" w:color="auto" w:sz="4" w:space="0"/>
              <w:right w:val="single" w:color="000000" w:sz="8" w:space="0"/>
            </w:tcBorders>
            <w:vAlign w:val="center"/>
          </w:tcPr>
          <w:p w14:paraId="6171783E">
            <w:pPr>
              <w:pStyle w:val="35"/>
              <w:spacing w:line="400" w:lineRule="exact"/>
              <w:ind w:firstLine="480" w:firstLineChars="200"/>
              <w:rPr>
                <w:rFonts w:cs="宋体" w:asciiTheme="majorEastAsia" w:hAnsiTheme="majorEastAsia" w:eastAsiaTheme="majorEastAsia"/>
                <w:b/>
                <w:sz w:val="24"/>
                <w:szCs w:val="24"/>
                <w:highlight w:val="none"/>
              </w:rPr>
            </w:pPr>
            <w:r>
              <w:rPr>
                <w:rFonts w:hint="eastAsia" w:cs="宋体" w:asciiTheme="majorEastAsia" w:hAnsiTheme="majorEastAsia" w:eastAsiaTheme="majorEastAsia"/>
                <w:kern w:val="28"/>
                <w:sz w:val="24"/>
                <w:szCs w:val="24"/>
                <w:highlight w:val="none"/>
              </w:rPr>
              <w:t>备份投</w:t>
            </w:r>
            <w:r>
              <w:rPr>
                <w:rFonts w:hint="eastAsia" w:cs="宋体" w:asciiTheme="majorEastAsia" w:hAnsiTheme="majorEastAsia" w:eastAsiaTheme="majorEastAsia"/>
                <w:color w:val="auto"/>
                <w:kern w:val="28"/>
                <w:sz w:val="24"/>
                <w:szCs w:val="24"/>
                <w:highlight w:val="none"/>
              </w:rPr>
              <w:t>标文件送达地点：</w:t>
            </w:r>
            <w:r>
              <w:rPr>
                <w:rFonts w:hint="eastAsia" w:hAnsi="宋体" w:cs="宋体"/>
                <w:sz w:val="24"/>
                <w:szCs w:val="24"/>
                <w:highlight w:val="none"/>
                <w:u w:val="single"/>
              </w:rPr>
              <w:t xml:space="preserve">杭州市上城区馆驿后2号泰地万新大厦1号楼9楼 </w:t>
            </w:r>
            <w:r>
              <w:rPr>
                <w:rFonts w:hint="eastAsia" w:hAnsi="宋体" w:cs="宋体"/>
                <w:kern w:val="28"/>
                <w:sz w:val="24"/>
                <w:szCs w:val="24"/>
                <w:highlight w:val="none"/>
              </w:rPr>
              <w:t>；备份投标文件签收人员联系电话：</w:t>
            </w:r>
            <w:r>
              <w:rPr>
                <w:rFonts w:hint="eastAsia" w:hAnsi="宋体" w:cs="宋体"/>
                <w:sz w:val="24"/>
                <w:szCs w:val="24"/>
                <w:highlight w:val="none"/>
                <w:u w:val="single"/>
              </w:rPr>
              <w:t>谢思璐，18539552925</w:t>
            </w:r>
            <w:r>
              <w:rPr>
                <w:rFonts w:hint="eastAsia" w:hAnsi="宋体" w:cs="宋体"/>
                <w:sz w:val="24"/>
                <w:szCs w:val="24"/>
                <w:highlight w:val="none"/>
              </w:rPr>
              <w:t>。</w:t>
            </w:r>
            <w:r>
              <w:rPr>
                <w:rFonts w:hint="eastAsia" w:cs="宋体" w:asciiTheme="majorEastAsia" w:hAnsiTheme="majorEastAsia" w:eastAsiaTheme="majorEastAsia"/>
                <w:b/>
                <w:color w:val="auto"/>
                <w:sz w:val="24"/>
                <w:szCs w:val="24"/>
                <w:highlight w:val="none"/>
              </w:rPr>
              <w:t>采购人、采购代理机构不强制或变相强制投标人提交备份投标文件。</w:t>
            </w:r>
          </w:p>
        </w:tc>
      </w:tr>
      <w:tr w14:paraId="0C5E8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365" w:type="pct"/>
            <w:vMerge w:val="restart"/>
            <w:tcBorders>
              <w:top w:val="single" w:color="auto" w:sz="4" w:space="0"/>
              <w:left w:val="single" w:color="000000" w:sz="8" w:space="0"/>
              <w:right w:val="single" w:color="000000" w:sz="2" w:space="0"/>
            </w:tcBorders>
            <w:vAlign w:val="center"/>
          </w:tcPr>
          <w:p w14:paraId="01307773">
            <w:pPr>
              <w:snapToGrid w:val="0"/>
              <w:spacing w:line="360" w:lineRule="auto"/>
              <w:jc w:val="center"/>
              <w:rPr>
                <w:rFonts w:hint="default" w:cs="宋体" w:asciiTheme="majorEastAsia" w:hAnsiTheme="majorEastAsia" w:eastAsiaTheme="majorEastAsia"/>
                <w:sz w:val="24"/>
                <w:highlight w:val="none"/>
                <w:lang w:val="en-US" w:eastAsia="zh-CN"/>
              </w:rPr>
            </w:pPr>
            <w:r>
              <w:rPr>
                <w:rFonts w:hint="eastAsia" w:cs="宋体" w:asciiTheme="majorEastAsia" w:hAnsiTheme="majorEastAsia" w:eastAsiaTheme="majorEastAsia"/>
                <w:sz w:val="24"/>
                <w:highlight w:val="none"/>
                <w:lang w:val="en-US" w:eastAsia="zh-CN"/>
              </w:rPr>
              <w:t>13</w:t>
            </w:r>
          </w:p>
        </w:tc>
        <w:tc>
          <w:tcPr>
            <w:tcW w:w="1075" w:type="pct"/>
            <w:vMerge w:val="restart"/>
            <w:tcBorders>
              <w:top w:val="single" w:color="000000" w:sz="8" w:space="0"/>
              <w:left w:val="single" w:color="000000" w:sz="2" w:space="0"/>
              <w:right w:val="single" w:color="000000" w:sz="8" w:space="0"/>
            </w:tcBorders>
            <w:vAlign w:val="center"/>
          </w:tcPr>
          <w:p w14:paraId="048507AA">
            <w:pPr>
              <w:snapToGrid w:val="0"/>
              <w:spacing w:line="360" w:lineRule="auto"/>
              <w:jc w:val="center"/>
              <w:rPr>
                <w:rFonts w:hint="eastAsia" w:cs="宋体" w:asciiTheme="majorEastAsia" w:hAnsiTheme="majorEastAsia" w:eastAsiaTheme="majorEastAsia"/>
                <w:b/>
                <w:sz w:val="24"/>
                <w:highlight w:val="none"/>
              </w:rPr>
            </w:pPr>
            <w:r>
              <w:rPr>
                <w:rFonts w:hint="eastAsia" w:cs="仿宋_GB2312" w:asciiTheme="minorEastAsia" w:hAnsiTheme="minorEastAsia" w:eastAsiaTheme="minorEastAsia"/>
                <w:b/>
                <w:sz w:val="24"/>
                <w:highlight w:val="none"/>
              </w:rPr>
              <w:t>特别说明</w:t>
            </w:r>
          </w:p>
        </w:tc>
        <w:tc>
          <w:tcPr>
            <w:tcW w:w="3559" w:type="pct"/>
            <w:tcBorders>
              <w:top w:val="single" w:color="000000" w:sz="8" w:space="0"/>
              <w:left w:val="single" w:color="000000" w:sz="2" w:space="0"/>
              <w:bottom w:val="single" w:color="auto" w:sz="4" w:space="0"/>
              <w:right w:val="single" w:color="000000" w:sz="8" w:space="0"/>
            </w:tcBorders>
            <w:vAlign w:val="center"/>
          </w:tcPr>
          <w:p w14:paraId="7234E23F">
            <w:pPr>
              <w:spacing w:line="360" w:lineRule="auto"/>
              <w:rPr>
                <w:rFonts w:hint="eastAsia" w:cs="宋体" w:asciiTheme="majorEastAsia" w:hAnsiTheme="majorEastAsia" w:eastAsiaTheme="majorEastAsia"/>
                <w:kern w:val="28"/>
                <w:sz w:val="24"/>
                <w:szCs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6E919F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365" w:type="pct"/>
            <w:vMerge w:val="continue"/>
            <w:tcBorders>
              <w:left w:val="single" w:color="000000" w:sz="8" w:space="0"/>
              <w:bottom w:val="single" w:color="auto" w:sz="4" w:space="0"/>
              <w:right w:val="single" w:color="000000" w:sz="2" w:space="0"/>
            </w:tcBorders>
            <w:vAlign w:val="center"/>
          </w:tcPr>
          <w:p w14:paraId="50DAD620">
            <w:pPr>
              <w:snapToGrid w:val="0"/>
              <w:spacing w:line="360" w:lineRule="auto"/>
              <w:jc w:val="center"/>
              <w:rPr>
                <w:rFonts w:hint="eastAsia" w:cs="宋体" w:asciiTheme="majorEastAsia" w:hAnsiTheme="majorEastAsia" w:eastAsiaTheme="majorEastAsia"/>
                <w:sz w:val="24"/>
                <w:highlight w:val="none"/>
                <w:lang w:val="en-US" w:eastAsia="zh-CN"/>
              </w:rPr>
            </w:pPr>
          </w:p>
        </w:tc>
        <w:tc>
          <w:tcPr>
            <w:tcW w:w="1075" w:type="pct"/>
            <w:vMerge w:val="continue"/>
            <w:tcBorders>
              <w:left w:val="single" w:color="000000" w:sz="2" w:space="0"/>
              <w:bottom w:val="single" w:color="auto" w:sz="4" w:space="0"/>
              <w:right w:val="single" w:color="000000" w:sz="8" w:space="0"/>
            </w:tcBorders>
            <w:vAlign w:val="center"/>
          </w:tcPr>
          <w:p w14:paraId="17242035">
            <w:pPr>
              <w:snapToGrid w:val="0"/>
              <w:spacing w:line="360" w:lineRule="auto"/>
              <w:jc w:val="center"/>
              <w:rPr>
                <w:rFonts w:hint="eastAsia" w:cs="仿宋_GB2312" w:asciiTheme="minorEastAsia" w:hAnsiTheme="minorEastAsia" w:eastAsiaTheme="minorEastAsia"/>
                <w:b/>
                <w:sz w:val="24"/>
                <w:highlight w:val="none"/>
              </w:rPr>
            </w:pPr>
          </w:p>
        </w:tc>
        <w:tc>
          <w:tcPr>
            <w:tcW w:w="3559" w:type="pct"/>
            <w:tcBorders>
              <w:top w:val="single" w:color="000000" w:sz="8" w:space="0"/>
              <w:left w:val="single" w:color="000000" w:sz="2" w:space="0"/>
              <w:bottom w:val="single" w:color="auto" w:sz="4" w:space="0"/>
              <w:right w:val="single" w:color="000000" w:sz="8" w:space="0"/>
            </w:tcBorders>
            <w:vAlign w:val="center"/>
          </w:tcPr>
          <w:p w14:paraId="39075A1A">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4747404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2D327A71">
            <w:pPr>
              <w:spacing w:line="360" w:lineRule="auto"/>
              <w:rPr>
                <w:rFonts w:hint="eastAsia"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47457428"/>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6975D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1" w:hRule="atLeast"/>
          <w:tblHeader/>
        </w:trPr>
        <w:tc>
          <w:tcPr>
            <w:tcW w:w="365" w:type="pct"/>
            <w:tcBorders>
              <w:left w:val="single" w:color="000000" w:sz="8" w:space="0"/>
              <w:bottom w:val="single" w:color="auto" w:sz="4" w:space="0"/>
              <w:right w:val="single" w:color="000000" w:sz="2" w:space="0"/>
            </w:tcBorders>
            <w:vAlign w:val="center"/>
          </w:tcPr>
          <w:p w14:paraId="5F6BF419">
            <w:pPr>
              <w:snapToGrid w:val="0"/>
              <w:spacing w:line="360" w:lineRule="auto"/>
              <w:jc w:val="center"/>
              <w:rPr>
                <w:rFonts w:hint="default" w:cs="宋体" w:asciiTheme="majorEastAsia" w:hAnsiTheme="majorEastAsia" w:eastAsiaTheme="majorEastAsia"/>
                <w:sz w:val="24"/>
                <w:highlight w:val="none"/>
                <w:lang w:val="en-US" w:eastAsia="zh-CN"/>
              </w:rPr>
            </w:pPr>
            <w:r>
              <w:rPr>
                <w:rFonts w:hint="eastAsia" w:cs="宋体" w:asciiTheme="majorEastAsia" w:hAnsiTheme="majorEastAsia" w:eastAsiaTheme="majorEastAsia"/>
                <w:sz w:val="24"/>
                <w:highlight w:val="none"/>
                <w:lang w:val="en-US" w:eastAsia="zh-CN"/>
              </w:rPr>
              <w:t>14</w:t>
            </w:r>
          </w:p>
        </w:tc>
        <w:tc>
          <w:tcPr>
            <w:tcW w:w="1962" w:type="dxa"/>
            <w:tcBorders>
              <w:left w:val="single" w:color="000000" w:sz="2" w:space="0"/>
              <w:bottom w:val="single" w:color="auto" w:sz="4" w:space="0"/>
              <w:right w:val="single" w:color="000000" w:sz="8" w:space="0"/>
            </w:tcBorders>
            <w:vAlign w:val="center"/>
          </w:tcPr>
          <w:p w14:paraId="683039FA">
            <w:pPr>
              <w:snapToGrid w:val="0"/>
              <w:spacing w:line="360" w:lineRule="auto"/>
              <w:jc w:val="center"/>
              <w:rPr>
                <w:rFonts w:hint="eastAsia" w:cs="仿宋_GB2312" w:asciiTheme="minorEastAsia" w:hAnsiTheme="minorEastAsia" w:eastAsiaTheme="minorEastAsia"/>
                <w:b/>
                <w:sz w:val="24"/>
                <w:highlight w:val="none"/>
              </w:rPr>
            </w:pPr>
            <w:r>
              <w:rPr>
                <w:rFonts w:hint="eastAsia" w:cs="仿宋_GB2312" w:asciiTheme="minorEastAsia" w:hAnsiTheme="minorEastAsia" w:eastAsiaTheme="minorEastAsia"/>
                <w:b/>
                <w:color w:val="auto"/>
                <w:sz w:val="24"/>
                <w:highlight w:val="none"/>
                <w:lang w:val="en" w:eastAsia="zh-CN"/>
              </w:rPr>
              <w:t>中标候选人数量</w:t>
            </w:r>
          </w:p>
        </w:tc>
        <w:tc>
          <w:tcPr>
            <w:tcW w:w="6493" w:type="dxa"/>
            <w:tcBorders>
              <w:top w:val="single" w:color="000000" w:sz="8" w:space="0"/>
              <w:left w:val="single" w:color="000000" w:sz="2" w:space="0"/>
              <w:bottom w:val="single" w:color="auto" w:sz="4" w:space="0"/>
              <w:right w:val="single" w:color="000000" w:sz="8" w:space="0"/>
            </w:tcBorders>
            <w:vAlign w:val="center"/>
          </w:tcPr>
          <w:p w14:paraId="277754D3">
            <w:pPr>
              <w:spacing w:line="360" w:lineRule="auto"/>
              <w:rPr>
                <w:rFonts w:hint="eastAsia" w:cs="Arial" w:asciiTheme="minorEastAsia" w:hAnsiTheme="minorEastAsia" w:eastAsiaTheme="minorEastAsia"/>
                <w:kern w:val="0"/>
                <w:sz w:val="24"/>
                <w:highlight w:val="none"/>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31252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428B9E94">
            <w:pPr>
              <w:snapToGrid w:val="0"/>
              <w:spacing w:line="360" w:lineRule="auto"/>
              <w:jc w:val="center"/>
              <w:rPr>
                <w:rFonts w:hint="eastAsia" w:eastAsiaTheme="majorEastAsia"/>
                <w:highlight w:val="none"/>
                <w:lang w:val="en-US" w:eastAsia="zh-CN"/>
              </w:rPr>
            </w:pPr>
            <w:r>
              <w:rPr>
                <w:rFonts w:hint="eastAsia" w:cs="宋体" w:asciiTheme="majorEastAsia" w:hAnsiTheme="majorEastAsia" w:eastAsiaTheme="majorEastAsia"/>
                <w:sz w:val="24"/>
                <w:highlight w:val="none"/>
              </w:rPr>
              <w:t>1</w:t>
            </w:r>
            <w:r>
              <w:rPr>
                <w:rFonts w:hint="eastAsia" w:cs="宋体" w:asciiTheme="majorEastAsia" w:hAnsiTheme="majorEastAsia" w:eastAsiaTheme="majorEastAsia"/>
                <w:sz w:val="24"/>
                <w:highlight w:val="none"/>
                <w:lang w:val="en-US" w:eastAsia="zh-CN"/>
              </w:rPr>
              <w:t>5</w:t>
            </w:r>
          </w:p>
        </w:tc>
        <w:tc>
          <w:tcPr>
            <w:tcW w:w="1075" w:type="pct"/>
            <w:tcBorders>
              <w:top w:val="single" w:color="auto" w:sz="4" w:space="0"/>
              <w:left w:val="single" w:color="auto" w:sz="4" w:space="0"/>
              <w:bottom w:val="single" w:color="auto" w:sz="4" w:space="0"/>
              <w:right w:val="single" w:color="auto" w:sz="4" w:space="0"/>
            </w:tcBorders>
            <w:vAlign w:val="center"/>
          </w:tcPr>
          <w:p w14:paraId="065A4E0A">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代理费用收取</w:t>
            </w:r>
          </w:p>
          <w:p w14:paraId="198DD992">
            <w:pPr>
              <w:snapToGrid w:val="0"/>
              <w:spacing w:line="360" w:lineRule="auto"/>
              <w:jc w:val="center"/>
              <w:rPr>
                <w:rFonts w:cs="宋体" w:asciiTheme="majorEastAsia" w:hAnsiTheme="majorEastAsia" w:eastAsiaTheme="majorEastAsia"/>
                <w:b/>
                <w:sz w:val="24"/>
                <w:highlight w:val="none"/>
              </w:rPr>
            </w:pPr>
            <w:r>
              <w:rPr>
                <w:rFonts w:hint="eastAsia" w:cs="仿宋_GB2312" w:asciiTheme="minorEastAsia" w:hAnsiTheme="minorEastAsia" w:eastAsiaTheme="minorEastAsia"/>
                <w:b/>
                <w:color w:val="auto"/>
                <w:sz w:val="24"/>
                <w:highlight w:val="none"/>
                <w:lang w:val="en" w:eastAsia="zh-CN"/>
              </w:rPr>
              <w:t>方式及标准</w:t>
            </w:r>
          </w:p>
        </w:tc>
        <w:tc>
          <w:tcPr>
            <w:tcW w:w="3559" w:type="pct"/>
            <w:tcBorders>
              <w:top w:val="single" w:color="auto" w:sz="4" w:space="0"/>
              <w:left w:val="single" w:color="auto" w:sz="4" w:space="0"/>
              <w:bottom w:val="single" w:color="auto" w:sz="4" w:space="0"/>
              <w:right w:val="single" w:color="auto" w:sz="4" w:space="0"/>
            </w:tcBorders>
            <w:vAlign w:val="center"/>
          </w:tcPr>
          <w:p w14:paraId="2EF52AB0">
            <w:pPr>
              <w:snapToGrid w:val="0"/>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、成交单位须在领取成交通知书的同时，提供与线上递交的“电子加密响应文件”一致的纸质响应文件并装订成册一正三副给采购代理机构。</w:t>
            </w:r>
          </w:p>
          <w:p w14:paraId="5396767D">
            <w:pPr>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lang w:val="en-US" w:eastAsia="zh-CN"/>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本项目招标代理服务费按发改价格[2011]534号文收费标准的收取，收费基数以中标价为准，不足</w:t>
            </w:r>
            <w:r>
              <w:rPr>
                <w:rFonts w:hint="eastAsia" w:ascii="宋体" w:hAnsi="宋体" w:cs="宋体"/>
                <w:snapToGrid w:val="0"/>
                <w:color w:val="000000" w:themeColor="text1"/>
                <w:kern w:val="28"/>
                <w:sz w:val="24"/>
                <w:highlight w:val="none"/>
                <w:lang w:val="en-US" w:eastAsia="zh-CN"/>
                <w14:textFill>
                  <w14:solidFill>
                    <w14:schemeClr w14:val="tx1"/>
                  </w14:solidFill>
                </w14:textFill>
              </w:rPr>
              <w:t>5</w:t>
            </w:r>
            <w:r>
              <w:rPr>
                <w:rFonts w:hint="eastAsia" w:ascii="宋体" w:hAnsi="宋体" w:cs="宋体"/>
                <w:snapToGrid w:val="0"/>
                <w:color w:val="000000" w:themeColor="text1"/>
                <w:kern w:val="28"/>
                <w:sz w:val="24"/>
                <w:highlight w:val="none"/>
                <w14:textFill>
                  <w14:solidFill>
                    <w14:schemeClr w14:val="tx1"/>
                  </w14:solidFill>
                </w14:textFill>
              </w:rPr>
              <w:t>000元按</w:t>
            </w:r>
            <w:r>
              <w:rPr>
                <w:rFonts w:hint="eastAsia" w:ascii="宋体" w:hAnsi="宋体" w:cs="宋体"/>
                <w:snapToGrid w:val="0"/>
                <w:color w:val="000000" w:themeColor="text1"/>
                <w:kern w:val="28"/>
                <w:sz w:val="24"/>
                <w:highlight w:val="none"/>
                <w:lang w:val="en-US" w:eastAsia="zh-CN"/>
                <w14:textFill>
                  <w14:solidFill>
                    <w14:schemeClr w14:val="tx1"/>
                  </w14:solidFill>
                </w14:textFill>
              </w:rPr>
              <w:t>5</w:t>
            </w:r>
            <w:r>
              <w:rPr>
                <w:rFonts w:hint="eastAsia" w:ascii="宋体" w:hAnsi="宋体" w:cs="宋体"/>
                <w:snapToGrid w:val="0"/>
                <w:color w:val="000000" w:themeColor="text1"/>
                <w:kern w:val="28"/>
                <w:sz w:val="24"/>
                <w:highlight w:val="none"/>
                <w14:textFill>
                  <w14:solidFill>
                    <w14:schemeClr w14:val="tx1"/>
                  </w14:solidFill>
                </w14:textFill>
              </w:rPr>
              <w:t>000元收取，由中标供应商在领取中标通知书时一次性支付。</w:t>
            </w:r>
          </w:p>
          <w:p w14:paraId="1C8AF5C1">
            <w:pPr>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代理费汇款信息：</w:t>
            </w:r>
          </w:p>
          <w:p w14:paraId="17CFAAFA">
            <w:pPr>
              <w:pageBreakBefore w:val="0"/>
              <w:widowControl w:val="0"/>
              <w:kinsoku/>
              <w:wordWrap/>
              <w:overflowPunct/>
              <w:topLinePunct w:val="0"/>
              <w:autoSpaceDE/>
              <w:autoSpaceDN/>
              <w:bidi w:val="0"/>
              <w:adjustRightInd w:val="0"/>
              <w:snapToGrid w:val="0"/>
              <w:spacing w:line="360" w:lineRule="auto"/>
              <w:textAlignment w:val="auto"/>
              <w:rPr>
                <w:rFonts w:cs="宋体" w:asciiTheme="majorEastAsia" w:hAnsiTheme="majorEastAsia" w:eastAsiaTheme="majorEastAsia"/>
                <w:kern w:val="0"/>
                <w:sz w:val="24"/>
                <w:highlight w:val="none"/>
              </w:rPr>
            </w:pPr>
            <w:r>
              <w:rPr>
                <w:rFonts w:hint="eastAsia" w:ascii="宋体" w:hAnsi="宋体" w:eastAsia="宋体" w:cs="宋体"/>
                <w:snapToGrid w:val="0"/>
                <w:color w:val="000000" w:themeColor="text1"/>
                <w:kern w:val="28"/>
                <w:sz w:val="24"/>
                <w:highlight w:val="none"/>
                <w14:textFill>
                  <w14:solidFill>
                    <w14:schemeClr w14:val="tx1"/>
                  </w14:solidFill>
                </w14:textFill>
              </w:rPr>
              <w:t>（中标服务费账户：东方经纬项目管理有限公司，账号：7332610182600025935，开户行：中信银行庆春支行）</w:t>
            </w:r>
          </w:p>
        </w:tc>
      </w:tr>
    </w:tbl>
    <w:p w14:paraId="094900A7">
      <w:pPr>
        <w:snapToGrid w:val="0"/>
        <w:spacing w:line="360" w:lineRule="auto"/>
        <w:jc w:val="center"/>
        <w:rPr>
          <w:rFonts w:cs="宋体" w:asciiTheme="majorEastAsia" w:hAnsiTheme="majorEastAsia" w:eastAsiaTheme="majorEastAsia"/>
          <w:b/>
          <w:sz w:val="32"/>
          <w:szCs w:val="20"/>
          <w:highlight w:val="none"/>
        </w:rPr>
      </w:pPr>
    </w:p>
    <w:bookmarkEnd w:id="10"/>
    <w:p w14:paraId="268CE275">
      <w:pPr>
        <w:adjustRightInd/>
        <w:spacing w:line="360" w:lineRule="auto"/>
        <w:ind w:firstLine="3845" w:firstLineChars="1197"/>
        <w:outlineLvl w:val="0"/>
        <w:rPr>
          <w:rFonts w:cs="宋体" w:asciiTheme="majorEastAsia" w:hAnsiTheme="majorEastAsia" w:eastAsiaTheme="majorEastAsia"/>
          <w:b/>
          <w:sz w:val="32"/>
          <w:szCs w:val="20"/>
          <w:highlight w:val="none"/>
        </w:rPr>
      </w:pPr>
      <w:bookmarkStart w:id="12" w:name="第三部分"/>
      <w:bookmarkStart w:id="13" w:name="_Toc164416483"/>
    </w:p>
    <w:p w14:paraId="418B1E52">
      <w:pPr>
        <w:adjustRightInd/>
        <w:spacing w:line="360" w:lineRule="auto"/>
        <w:ind w:firstLine="3845" w:firstLineChars="1197"/>
        <w:outlineLvl w:val="0"/>
        <w:rPr>
          <w:rFonts w:cs="宋体" w:asciiTheme="majorEastAsia" w:hAnsiTheme="majorEastAsia" w:eastAsiaTheme="majorEastAsia"/>
          <w:b/>
          <w:sz w:val="32"/>
          <w:szCs w:val="20"/>
          <w:highlight w:val="none"/>
        </w:rPr>
      </w:pPr>
    </w:p>
    <w:p w14:paraId="58A22942">
      <w:pPr>
        <w:rPr>
          <w:rFonts w:hint="eastAsia" w:cs="宋体" w:asciiTheme="majorEastAsia" w:hAnsiTheme="majorEastAsia" w:eastAsiaTheme="majorEastAsia"/>
          <w:b/>
          <w:sz w:val="32"/>
          <w:szCs w:val="20"/>
          <w:highlight w:val="none"/>
        </w:rPr>
      </w:pPr>
      <w:r>
        <w:rPr>
          <w:rFonts w:hint="eastAsia" w:cs="宋体" w:asciiTheme="majorEastAsia" w:hAnsiTheme="majorEastAsia" w:eastAsiaTheme="majorEastAsia"/>
          <w:b/>
          <w:sz w:val="32"/>
          <w:szCs w:val="20"/>
          <w:highlight w:val="none"/>
        </w:rPr>
        <w:br w:type="page"/>
      </w:r>
    </w:p>
    <w:p w14:paraId="290C2F49">
      <w:pPr>
        <w:adjustRightInd/>
        <w:spacing w:line="360" w:lineRule="auto"/>
        <w:jc w:val="center"/>
        <w:outlineLvl w:val="0"/>
        <w:rPr>
          <w:rFonts w:cs="宋体" w:asciiTheme="majorEastAsia" w:hAnsiTheme="majorEastAsia" w:eastAsiaTheme="majorEastAsia"/>
          <w:b/>
          <w:sz w:val="32"/>
          <w:szCs w:val="20"/>
          <w:highlight w:val="none"/>
        </w:rPr>
      </w:pPr>
      <w:r>
        <w:rPr>
          <w:rFonts w:hint="eastAsia" w:cs="宋体" w:asciiTheme="majorEastAsia" w:hAnsiTheme="majorEastAsia" w:eastAsiaTheme="majorEastAsia"/>
          <w:b/>
          <w:sz w:val="32"/>
          <w:szCs w:val="20"/>
          <w:highlight w:val="none"/>
        </w:rPr>
        <w:t>一、总则</w:t>
      </w:r>
    </w:p>
    <w:p w14:paraId="79366803">
      <w:pPr>
        <w:snapToGrid w:val="0"/>
        <w:spacing w:line="360" w:lineRule="auto"/>
        <w:ind w:firstLine="482" w:firstLineChars="200"/>
        <w:jc w:val="left"/>
        <w:outlineLvl w:val="1"/>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rPr>
        <w:t>1.适用范围</w:t>
      </w:r>
    </w:p>
    <w:p w14:paraId="6919A090">
      <w:pPr>
        <w:snapToGrid w:val="0"/>
        <w:spacing w:line="360" w:lineRule="auto"/>
        <w:ind w:firstLine="480" w:firstLineChars="200"/>
        <w:jc w:val="left"/>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本招标文件适用于该项目的招标、投标、开标、资格审查及信用信息查询、评标、定标、合同、验收等行为（法律、法规另有规定的，从其规定）。</w:t>
      </w:r>
    </w:p>
    <w:p w14:paraId="685B8435">
      <w:pPr>
        <w:adjustRightInd/>
        <w:spacing w:line="360" w:lineRule="auto"/>
        <w:ind w:firstLine="482" w:firstLineChars="200"/>
        <w:outlineLvl w:val="0"/>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rPr>
        <w:t>2.定义</w:t>
      </w:r>
    </w:p>
    <w:p w14:paraId="6D89D0B2">
      <w:pPr>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2.1“采购人”系指招标公告中载明的本项目的采购人。</w:t>
      </w:r>
    </w:p>
    <w:p w14:paraId="6350660C">
      <w:pPr>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2.2“采购代理机构”系指招标公告中载明的本项目的采购代理机构。</w:t>
      </w:r>
    </w:p>
    <w:p w14:paraId="07EACEAC">
      <w:pPr>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2.3“投标人”系指是指响应招标、参加投标竞争的法人、其他组织或者自然人。</w:t>
      </w:r>
    </w:p>
    <w:p w14:paraId="34C01E27">
      <w:pPr>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2.4“负责人”系指法人企业的法定负责人，或其他组织为法律、行政法规规定代表单位行使职权的主要负责人，或自然人本人。</w:t>
      </w:r>
    </w:p>
    <w:p w14:paraId="2F048DFF">
      <w:pPr>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FFE023D">
      <w:pPr>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2.6“电子交易平台”系指本项目政府采购活动所依托的政府采购云平台（https://www.zcygov.cn/）。</w:t>
      </w:r>
    </w:p>
    <w:p w14:paraId="3D326A5D">
      <w:pPr>
        <w:spacing w:line="360" w:lineRule="auto"/>
        <w:ind w:firstLine="480" w:firstLineChars="200"/>
        <w:rPr>
          <w:rFonts w:hint="eastAsia" w:cs="宋体" w:asciiTheme="majorEastAsia" w:hAnsiTheme="majorEastAsia" w:eastAsiaTheme="majorEastAsia"/>
          <w:sz w:val="24"/>
          <w:highlight w:val="none"/>
          <w:lang w:eastAsia="zh-CN"/>
        </w:rPr>
      </w:pPr>
      <w:r>
        <w:rPr>
          <w:rFonts w:hint="eastAsia" w:cs="宋体" w:asciiTheme="majorEastAsia" w:hAnsiTheme="majorEastAsia" w:eastAsiaTheme="majorEastAsia"/>
          <w:sz w:val="24"/>
          <w:highlight w:val="none"/>
        </w:rPr>
        <w:t>2.7“▲”系指实质性要求条款</w:t>
      </w:r>
      <w:r>
        <w:rPr>
          <w:rFonts w:hint="eastAsia" w:cs="宋体" w:asciiTheme="majorEastAsia" w:hAnsiTheme="majorEastAsia" w:eastAsiaTheme="majorEastAsia"/>
          <w:sz w:val="24"/>
          <w:highlight w:val="none"/>
          <w:lang w:eastAsia="zh-CN"/>
        </w:rPr>
        <w:t>，</w:t>
      </w:r>
      <w:r>
        <w:rPr>
          <w:rFonts w:hint="eastAsia" w:ascii="宋体" w:hAnsi="宋体" w:cs="宋体"/>
          <w:highlight w:val="none"/>
        </w:rPr>
        <w:t>“</w:t>
      </w:r>
      <w:sdt>
        <w:sdtPr>
          <w:rPr>
            <w:rFonts w:hint="eastAsia" w:ascii="宋体" w:hAnsi="宋体" w:cs="宋体"/>
            <w:kern w:val="0"/>
            <w:highlight w:val="none"/>
          </w:rPr>
          <w:id w:val="512970236"/>
        </w:sdtPr>
        <w:sdtEndPr>
          <w:rPr>
            <w:rFonts w:hint="eastAsia" w:ascii="宋体" w:hAnsi="宋体" w:cs="宋体"/>
            <w:kern w:val="0"/>
            <w:highlight w:val="none"/>
          </w:rPr>
        </w:sdtEndPr>
        <w:sdtContent>
          <w:r>
            <w:rPr>
              <w:rFonts w:ascii="Wingdings" w:hAnsi="Wingdings" w:cs="宋体"/>
              <w:kern w:val="0"/>
              <w:highlight w:val="none"/>
            </w:rPr>
            <w:t></w:t>
          </w:r>
        </w:sdtContent>
      </w:sdt>
      <w:r>
        <w:rPr>
          <w:rFonts w:hint="eastAsia" w:ascii="宋体" w:hAnsi="宋体" w:cs="宋体"/>
          <w:highlight w:val="none"/>
        </w:rPr>
        <w:t>”</w:t>
      </w:r>
      <w:r>
        <w:rPr>
          <w:rFonts w:hint="eastAsia" w:cs="宋体" w:asciiTheme="majorEastAsia" w:hAnsiTheme="majorEastAsia" w:eastAsiaTheme="majorEastAsia"/>
          <w:sz w:val="24"/>
          <w:highlight w:val="none"/>
          <w:lang w:eastAsia="zh-CN"/>
        </w:rPr>
        <w:t>系指适用本项目的要求，“☐”系指不适用本项目的要求。</w:t>
      </w:r>
    </w:p>
    <w:p w14:paraId="0707A608">
      <w:pPr>
        <w:spacing w:line="360" w:lineRule="auto"/>
        <w:ind w:firstLine="482" w:firstLineChars="200"/>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rPr>
        <w:t>3.采购项目需要落实的政府采购政策</w:t>
      </w:r>
    </w:p>
    <w:p w14:paraId="3189302A">
      <w:pPr>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ajorEastAsia" w:hAnsiTheme="majorEastAsia" w:eastAsiaTheme="majorEastAsia"/>
          <w:kern w:val="0"/>
          <w:sz w:val="24"/>
          <w:highlight w:val="none"/>
        </w:rPr>
        <w:t>优先采购向我国企业转让技术、与我国企业签订消化吸收再创新方案的供应商的进口产品</w:t>
      </w:r>
      <w:r>
        <w:rPr>
          <w:rFonts w:hint="eastAsia" w:cs="宋体" w:asciiTheme="majorEastAsia" w:hAnsiTheme="majorEastAsia" w:eastAsiaTheme="majorEastAsia"/>
          <w:sz w:val="24"/>
          <w:highlight w:val="none"/>
        </w:rPr>
        <w:t>。</w:t>
      </w:r>
    </w:p>
    <w:p w14:paraId="234D42A6">
      <w:pPr>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3.2支持绿色发展</w:t>
      </w:r>
    </w:p>
    <w:p w14:paraId="258B8951">
      <w:pPr>
        <w:spacing w:line="360" w:lineRule="auto"/>
        <w:ind w:firstLine="480" w:firstLineChars="200"/>
        <w:rPr>
          <w:rFonts w:cs="宋体" w:asciiTheme="majorEastAsia" w:hAnsiTheme="majorEastAsia" w:eastAsiaTheme="majorEastAsia"/>
          <w:b/>
          <w:sz w:val="24"/>
          <w:highlight w:val="none"/>
        </w:rPr>
      </w:pPr>
      <w:r>
        <w:rPr>
          <w:rFonts w:hint="eastAsia" w:cs="宋体" w:asciiTheme="majorEastAsia" w:hAnsiTheme="majorEastAsia" w:eastAsiaTheme="majorEastAsia"/>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ajorEastAsia" w:hAnsiTheme="majorEastAsia" w:eastAsiaTheme="majorEastAsia"/>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5BCCAFA">
      <w:pPr>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3.2.2修缮、装修类项目采购建材的，采购人应将绿色建筑和绿色建材性能、指标等作为实质性条件纳入招标文件和合同。</w:t>
      </w:r>
    </w:p>
    <w:p w14:paraId="759D9817">
      <w:pPr>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D157456">
      <w:pPr>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1E23DD23">
      <w:pPr>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3.3支持中小企业发展</w:t>
      </w:r>
    </w:p>
    <w:p w14:paraId="35DE1D65">
      <w:pPr>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E4B2623">
      <w:pPr>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符合中小企业划分标准的个体工商户，在政府采购活动中视同中小企业。</w:t>
      </w:r>
    </w:p>
    <w:p w14:paraId="3A397677">
      <w:pPr>
        <w:widowControl/>
        <w:spacing w:line="360" w:lineRule="auto"/>
        <w:ind w:firstLine="480" w:firstLineChars="200"/>
        <w:jc w:val="left"/>
        <w:rPr>
          <w:rFonts w:cs="宋体" w:asciiTheme="majorEastAsia" w:hAnsiTheme="majorEastAsia" w:eastAsiaTheme="majorEastAsia"/>
          <w:kern w:val="0"/>
          <w:sz w:val="24"/>
          <w:highlight w:val="none"/>
        </w:rPr>
      </w:pPr>
      <w:r>
        <w:rPr>
          <w:rFonts w:hint="eastAsia" w:cs="宋体" w:asciiTheme="majorEastAsia" w:hAnsiTheme="majorEastAsia" w:eastAsiaTheme="majorEastAsia"/>
          <w:bCs/>
          <w:sz w:val="24"/>
          <w:highlight w:val="none"/>
        </w:rPr>
        <w:t>3.3.2</w:t>
      </w:r>
      <w:r>
        <w:rPr>
          <w:rFonts w:hint="eastAsia" w:cs="宋体" w:asciiTheme="majorEastAsia" w:hAnsiTheme="majorEastAsia" w:eastAsiaTheme="majorEastAsia"/>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D54600D">
      <w:pPr>
        <w:widowControl/>
        <w:spacing w:line="360" w:lineRule="auto"/>
        <w:ind w:firstLine="480" w:firstLineChars="200"/>
        <w:jc w:val="left"/>
        <w:rPr>
          <w:rFonts w:cs="宋体" w:asciiTheme="majorEastAsia" w:hAnsiTheme="majorEastAsia" w:eastAsiaTheme="majorEastAsia"/>
          <w:kern w:val="0"/>
          <w:sz w:val="24"/>
          <w:highlight w:val="none"/>
        </w:rPr>
      </w:pPr>
      <w:r>
        <w:rPr>
          <w:rFonts w:hint="eastAsia" w:cs="宋体" w:asciiTheme="majorEastAsia" w:hAnsiTheme="majorEastAsia" w:eastAsiaTheme="majorEastAsia"/>
          <w:kern w:val="0"/>
          <w:sz w:val="24"/>
          <w:highlight w:val="none"/>
        </w:rPr>
        <w:t>以联合体形式参加政府采购活动，联合体各方均为中小企业的，联合体视同中小企业。其中，联合体各方均为小微企业的，联合体视同小微企业。</w:t>
      </w:r>
    </w:p>
    <w:p w14:paraId="28732FFC">
      <w:pPr>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DFDF756">
      <w:pPr>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3.3.4符合《关于促进残疾人就业政府采购政策的通知》（财库〔2017〕141号）规定的条件并提供《残疾人福利性单位声明函》（附件1）的残疾人福利性单位视同小型、微型企业；</w:t>
      </w:r>
    </w:p>
    <w:p w14:paraId="3A1521B1">
      <w:pPr>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DAC4189">
      <w:pPr>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74A7BA4">
      <w:pPr>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3.3.7中小企业享受扶持政策获得政府采购合同的，小微企业不得将合同分包给大中型企业，中型企业不得将合同分包给大型企业。</w:t>
      </w:r>
    </w:p>
    <w:p w14:paraId="2FA1DCA6">
      <w:pPr>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3.4</w:t>
      </w:r>
      <w:r>
        <w:rPr>
          <w:rFonts w:hint="eastAsia" w:cs="宋体" w:asciiTheme="majorEastAsia" w:hAnsiTheme="majorEastAsia" w:eastAsiaTheme="majorEastAsia"/>
          <w:bCs/>
          <w:sz w:val="24"/>
          <w:highlight w:val="none"/>
        </w:rPr>
        <w:t>支持创新发展</w:t>
      </w:r>
    </w:p>
    <w:p w14:paraId="055C981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F739E83">
      <w:pPr>
        <w:keepNext/>
        <w:keepLines/>
        <w:pageBreakBefore w:val="0"/>
        <w:widowControl w:val="0"/>
        <w:tabs>
          <w:tab w:val="left" w:pos="432"/>
        </w:tabs>
        <w:kinsoku/>
        <w:wordWrap/>
        <w:overflowPunct/>
        <w:topLinePunct w:val="0"/>
        <w:autoSpaceDE/>
        <w:autoSpaceDN/>
        <w:bidi w:val="0"/>
        <w:adjustRightInd w:val="0"/>
        <w:snapToGrid/>
        <w:ind w:left="0" w:firstLine="480" w:firstLineChars="200"/>
        <w:textAlignment w:val="auto"/>
        <w:outlineLvl w:val="9"/>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696F13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32D871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33F7141E">
      <w:pPr>
        <w:spacing w:line="360" w:lineRule="auto"/>
        <w:ind w:firstLine="482" w:firstLineChars="200"/>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rPr>
        <w:t>4.询问、质疑、投诉</w:t>
      </w:r>
    </w:p>
    <w:p w14:paraId="6B8770DA">
      <w:pPr>
        <w:autoSpaceDE w:val="0"/>
        <w:autoSpaceDN w:val="0"/>
        <w:spacing w:line="360" w:lineRule="auto"/>
        <w:ind w:firstLine="480" w:firstLineChars="200"/>
        <w:jc w:val="left"/>
        <w:rPr>
          <w:rFonts w:cs="宋体" w:asciiTheme="majorEastAsia" w:hAnsiTheme="majorEastAsia" w:eastAsiaTheme="majorEastAsia"/>
          <w:kern w:val="0"/>
          <w:sz w:val="24"/>
          <w:highlight w:val="none"/>
          <w:lang w:val="zh-CN"/>
        </w:rPr>
      </w:pPr>
      <w:r>
        <w:rPr>
          <w:rFonts w:hint="eastAsia" w:cs="宋体" w:asciiTheme="majorEastAsia" w:hAnsiTheme="majorEastAsia" w:eastAsiaTheme="majorEastAsia"/>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E689A0">
      <w:pPr>
        <w:autoSpaceDE w:val="0"/>
        <w:autoSpaceDN w:val="0"/>
        <w:spacing w:line="360" w:lineRule="auto"/>
        <w:ind w:firstLine="480" w:firstLineChars="200"/>
        <w:jc w:val="left"/>
        <w:rPr>
          <w:rFonts w:cs="宋体" w:asciiTheme="majorEastAsia" w:hAnsiTheme="majorEastAsia" w:eastAsiaTheme="majorEastAsia"/>
          <w:kern w:val="0"/>
          <w:sz w:val="24"/>
          <w:highlight w:val="none"/>
          <w:lang w:val="zh-CN"/>
        </w:rPr>
      </w:pPr>
      <w:r>
        <w:rPr>
          <w:rFonts w:hint="eastAsia" w:cs="宋体" w:asciiTheme="majorEastAsia" w:hAnsiTheme="majorEastAsia" w:eastAsiaTheme="majorEastAsia"/>
          <w:kern w:val="0"/>
          <w:sz w:val="24"/>
          <w:highlight w:val="none"/>
          <w:lang w:val="zh-CN"/>
        </w:rPr>
        <w:t>4.2供应商询问</w:t>
      </w:r>
    </w:p>
    <w:p w14:paraId="6CBB6104">
      <w:pPr>
        <w:autoSpaceDE w:val="0"/>
        <w:autoSpaceDN w:val="0"/>
        <w:spacing w:line="360" w:lineRule="auto"/>
        <w:ind w:firstLine="480" w:firstLineChars="200"/>
        <w:jc w:val="left"/>
        <w:rPr>
          <w:rFonts w:cs="宋体" w:asciiTheme="majorEastAsia" w:hAnsiTheme="majorEastAsia" w:eastAsiaTheme="majorEastAsia"/>
          <w:kern w:val="0"/>
          <w:sz w:val="24"/>
          <w:highlight w:val="none"/>
          <w:lang w:val="zh-CN"/>
        </w:rPr>
      </w:pPr>
      <w:r>
        <w:rPr>
          <w:rFonts w:hint="eastAsia" w:cs="宋体" w:asciiTheme="majorEastAsia" w:hAnsiTheme="majorEastAsia" w:eastAsiaTheme="majorEastAsia"/>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242A239">
      <w:pPr>
        <w:autoSpaceDE w:val="0"/>
        <w:autoSpaceDN w:val="0"/>
        <w:spacing w:line="360" w:lineRule="auto"/>
        <w:ind w:firstLine="480" w:firstLineChars="200"/>
        <w:jc w:val="left"/>
        <w:rPr>
          <w:rFonts w:cs="宋体" w:asciiTheme="majorEastAsia" w:hAnsiTheme="majorEastAsia" w:eastAsiaTheme="majorEastAsia"/>
          <w:kern w:val="0"/>
          <w:sz w:val="24"/>
          <w:highlight w:val="none"/>
          <w:lang w:val="zh-CN"/>
        </w:rPr>
      </w:pPr>
      <w:r>
        <w:rPr>
          <w:rFonts w:hint="eastAsia" w:cs="宋体" w:asciiTheme="majorEastAsia" w:hAnsiTheme="majorEastAsia" w:eastAsiaTheme="majorEastAsia"/>
          <w:kern w:val="0"/>
          <w:sz w:val="24"/>
          <w:highlight w:val="none"/>
          <w:lang w:val="zh-CN"/>
        </w:rPr>
        <w:t>4.3供应商质疑</w:t>
      </w:r>
    </w:p>
    <w:p w14:paraId="1BCF22E4">
      <w:pPr>
        <w:pStyle w:val="35"/>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kern w:val="0"/>
          <w:sz w:val="24"/>
          <w:highlight w:val="none"/>
          <w:lang w:val="zh-CN"/>
        </w:rPr>
        <w:t>4.3</w:t>
      </w:r>
      <w:r>
        <w:rPr>
          <w:rFonts w:hint="eastAsia" w:cs="宋体" w:asciiTheme="majorEastAsia" w:hAnsiTheme="majorEastAsia" w:eastAsiaTheme="majorEastAsia"/>
          <w:sz w:val="24"/>
          <w:highlight w:val="none"/>
        </w:rPr>
        <w:t>.1提出质疑的供应商应当是参与所质疑项目采购活动的供应商。潜在供应商已依法获取其可质疑的招标文件的，可以对该文件提出质疑。</w:t>
      </w:r>
    </w:p>
    <w:p w14:paraId="69595C66">
      <w:pPr>
        <w:pStyle w:val="35"/>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kern w:val="0"/>
          <w:sz w:val="24"/>
          <w:highlight w:val="none"/>
          <w:lang w:val="zh-CN"/>
        </w:rPr>
        <w:t>4.3</w:t>
      </w:r>
      <w:r>
        <w:rPr>
          <w:rFonts w:hint="eastAsia" w:cs="宋体" w:asciiTheme="majorEastAsia" w:hAnsiTheme="majorEastAsia" w:eastAsiaTheme="majorEastAsia"/>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F2BCF72">
      <w:pPr>
        <w:pStyle w:val="18"/>
        <w:spacing w:line="360" w:lineRule="auto"/>
        <w:ind w:firstLine="960" w:firstLineChars="400"/>
        <w:rPr>
          <w:rFonts w:cs="宋体" w:asciiTheme="majorEastAsia" w:hAnsiTheme="majorEastAsia" w:eastAsiaTheme="majorEastAsia"/>
          <w:snapToGrid/>
          <w:color w:val="auto"/>
          <w:kern w:val="2"/>
          <w:sz w:val="24"/>
          <w:highlight w:val="none"/>
        </w:rPr>
      </w:pPr>
      <w:r>
        <w:rPr>
          <w:rFonts w:hint="eastAsia" w:cs="宋体" w:asciiTheme="majorEastAsia" w:hAnsiTheme="majorEastAsia" w:eastAsiaTheme="majorEastAsia"/>
          <w:snapToGrid/>
          <w:color w:val="auto"/>
          <w:kern w:val="2"/>
          <w:sz w:val="24"/>
          <w:highlight w:val="none"/>
        </w:rPr>
        <w:t>4.3.2.1对招标文件提出质疑的，质疑期限为供应商获得招标文件之日或者招标文件公告期限届满之日起计算。</w:t>
      </w:r>
    </w:p>
    <w:p w14:paraId="3E5AD4AB">
      <w:pPr>
        <w:pStyle w:val="18"/>
        <w:spacing w:line="360" w:lineRule="auto"/>
        <w:ind w:firstLine="960" w:firstLineChars="4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4.3.2.2对采购过程提出质疑的，质疑期限为各采购程序环节结束之日起计算。</w:t>
      </w:r>
    </w:p>
    <w:p w14:paraId="308AC781">
      <w:pPr>
        <w:pStyle w:val="18"/>
        <w:spacing w:line="360" w:lineRule="auto"/>
        <w:ind w:firstLine="960" w:firstLineChars="4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4.3.2.3对采购结果提出质疑的，质疑期限自采购结果公告期限届满之日起计算。</w:t>
      </w:r>
    </w:p>
    <w:p w14:paraId="2A4B1646">
      <w:pPr>
        <w:pStyle w:val="35"/>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kern w:val="0"/>
          <w:sz w:val="24"/>
          <w:highlight w:val="none"/>
          <w:lang w:val="zh-CN"/>
        </w:rPr>
        <w:t>4.3.3</w:t>
      </w:r>
      <w:r>
        <w:rPr>
          <w:rFonts w:hint="eastAsia" w:cs="宋体" w:asciiTheme="majorEastAsia" w:hAnsiTheme="majorEastAsia" w:eastAsiaTheme="majorEastAsia"/>
          <w:sz w:val="24"/>
          <w:highlight w:val="none"/>
        </w:rPr>
        <w:t>供应商提出质疑应当提交质疑函和必要的证明材料。质疑函应当包括下列内容：</w:t>
      </w:r>
    </w:p>
    <w:p w14:paraId="1AC5B37B">
      <w:pPr>
        <w:pStyle w:val="35"/>
        <w:spacing w:line="360" w:lineRule="auto"/>
        <w:ind w:firstLine="960" w:firstLineChars="400"/>
        <w:rPr>
          <w:rFonts w:cs="宋体" w:asciiTheme="majorEastAsia" w:hAnsiTheme="majorEastAsia" w:eastAsiaTheme="majorEastAsia"/>
          <w:kern w:val="0"/>
          <w:sz w:val="24"/>
          <w:highlight w:val="none"/>
          <w:lang w:val="zh-CN"/>
        </w:rPr>
      </w:pPr>
      <w:r>
        <w:rPr>
          <w:rFonts w:hint="eastAsia" w:cs="宋体" w:asciiTheme="majorEastAsia" w:hAnsiTheme="majorEastAsia" w:eastAsiaTheme="majorEastAsia"/>
          <w:kern w:val="0"/>
          <w:sz w:val="24"/>
          <w:highlight w:val="none"/>
          <w:lang w:val="zh-CN"/>
        </w:rPr>
        <w:t>4.3.3.1供应商的姓名或者名称、地址、邮编、联系人及联系电话；</w:t>
      </w:r>
    </w:p>
    <w:p w14:paraId="7241EB22">
      <w:pPr>
        <w:pStyle w:val="35"/>
        <w:spacing w:line="360" w:lineRule="auto"/>
        <w:ind w:firstLine="960" w:firstLineChars="400"/>
        <w:rPr>
          <w:rFonts w:cs="宋体" w:asciiTheme="majorEastAsia" w:hAnsiTheme="majorEastAsia" w:eastAsiaTheme="majorEastAsia"/>
          <w:kern w:val="0"/>
          <w:sz w:val="24"/>
          <w:highlight w:val="none"/>
          <w:lang w:val="zh-CN"/>
        </w:rPr>
      </w:pPr>
      <w:r>
        <w:rPr>
          <w:rFonts w:hint="eastAsia" w:cs="宋体" w:asciiTheme="majorEastAsia" w:hAnsiTheme="majorEastAsia" w:eastAsiaTheme="majorEastAsia"/>
          <w:kern w:val="0"/>
          <w:sz w:val="24"/>
          <w:highlight w:val="none"/>
          <w:lang w:val="zh-CN"/>
        </w:rPr>
        <w:t>4.3.3.2质疑项目的名称、编号；</w:t>
      </w:r>
    </w:p>
    <w:p w14:paraId="47E6EEA2">
      <w:pPr>
        <w:pStyle w:val="35"/>
        <w:spacing w:line="360" w:lineRule="auto"/>
        <w:ind w:firstLine="960" w:firstLineChars="400"/>
        <w:rPr>
          <w:rFonts w:cs="宋体" w:asciiTheme="majorEastAsia" w:hAnsiTheme="majorEastAsia" w:eastAsiaTheme="majorEastAsia"/>
          <w:kern w:val="0"/>
          <w:sz w:val="24"/>
          <w:highlight w:val="none"/>
          <w:lang w:val="zh-CN"/>
        </w:rPr>
      </w:pPr>
      <w:r>
        <w:rPr>
          <w:rFonts w:hint="eastAsia" w:cs="宋体" w:asciiTheme="majorEastAsia" w:hAnsiTheme="majorEastAsia" w:eastAsiaTheme="majorEastAsia"/>
          <w:kern w:val="0"/>
          <w:sz w:val="24"/>
          <w:highlight w:val="none"/>
          <w:lang w:val="zh-CN"/>
        </w:rPr>
        <w:t>4.3.3.3具体、明确的质疑事项和与质疑事项相关的请求；</w:t>
      </w:r>
    </w:p>
    <w:p w14:paraId="0CA7FB2D">
      <w:pPr>
        <w:pStyle w:val="35"/>
        <w:spacing w:line="360" w:lineRule="auto"/>
        <w:ind w:firstLine="960" w:firstLineChars="400"/>
        <w:rPr>
          <w:rFonts w:cs="宋体" w:asciiTheme="majorEastAsia" w:hAnsiTheme="majorEastAsia" w:eastAsiaTheme="majorEastAsia"/>
          <w:kern w:val="0"/>
          <w:sz w:val="24"/>
          <w:highlight w:val="none"/>
          <w:lang w:val="zh-CN"/>
        </w:rPr>
      </w:pPr>
      <w:r>
        <w:rPr>
          <w:rFonts w:hint="eastAsia" w:cs="宋体" w:asciiTheme="majorEastAsia" w:hAnsiTheme="majorEastAsia" w:eastAsiaTheme="majorEastAsia"/>
          <w:kern w:val="0"/>
          <w:sz w:val="24"/>
          <w:highlight w:val="none"/>
          <w:lang w:val="zh-CN"/>
        </w:rPr>
        <w:t>4.3.3.4事实依据；</w:t>
      </w:r>
    </w:p>
    <w:p w14:paraId="717F0EA1">
      <w:pPr>
        <w:pStyle w:val="35"/>
        <w:spacing w:line="360" w:lineRule="auto"/>
        <w:ind w:firstLine="960" w:firstLineChars="400"/>
        <w:rPr>
          <w:rFonts w:cs="宋体" w:asciiTheme="majorEastAsia" w:hAnsiTheme="majorEastAsia" w:eastAsiaTheme="majorEastAsia"/>
          <w:kern w:val="0"/>
          <w:sz w:val="24"/>
          <w:highlight w:val="none"/>
          <w:lang w:val="zh-CN"/>
        </w:rPr>
      </w:pPr>
      <w:r>
        <w:rPr>
          <w:rFonts w:hint="eastAsia" w:cs="宋体" w:asciiTheme="majorEastAsia" w:hAnsiTheme="majorEastAsia" w:eastAsiaTheme="majorEastAsia"/>
          <w:kern w:val="0"/>
          <w:sz w:val="24"/>
          <w:highlight w:val="none"/>
          <w:lang w:val="zh-CN"/>
        </w:rPr>
        <w:t>4.3.3.5必要的法律依据；</w:t>
      </w:r>
    </w:p>
    <w:p w14:paraId="3E70F2EB">
      <w:pPr>
        <w:pStyle w:val="35"/>
        <w:spacing w:line="360" w:lineRule="auto"/>
        <w:ind w:firstLine="960" w:firstLineChars="400"/>
        <w:rPr>
          <w:rFonts w:cs="宋体" w:asciiTheme="majorEastAsia" w:hAnsiTheme="majorEastAsia" w:eastAsiaTheme="majorEastAsia"/>
          <w:kern w:val="0"/>
          <w:sz w:val="24"/>
          <w:highlight w:val="none"/>
          <w:lang w:val="zh-CN"/>
        </w:rPr>
      </w:pPr>
      <w:r>
        <w:rPr>
          <w:rFonts w:hint="eastAsia" w:cs="宋体" w:asciiTheme="majorEastAsia" w:hAnsiTheme="majorEastAsia" w:eastAsiaTheme="majorEastAsia"/>
          <w:kern w:val="0"/>
          <w:sz w:val="24"/>
          <w:highlight w:val="none"/>
          <w:lang w:val="zh-CN"/>
        </w:rPr>
        <w:t>4.3.3.6提出质疑的日期。</w:t>
      </w:r>
    </w:p>
    <w:p w14:paraId="696A173B">
      <w:pPr>
        <w:pStyle w:val="35"/>
        <w:snapToGrid w:val="0"/>
        <w:spacing w:line="360" w:lineRule="auto"/>
        <w:ind w:firstLine="480" w:firstLineChars="200"/>
        <w:rPr>
          <w:rFonts w:cs="宋体" w:asciiTheme="majorEastAsia" w:hAnsiTheme="majorEastAsia" w:eastAsiaTheme="majorEastAsia"/>
          <w:kern w:val="0"/>
          <w:sz w:val="24"/>
          <w:highlight w:val="none"/>
          <w:lang w:val="zh-CN"/>
        </w:rPr>
      </w:pPr>
      <w:r>
        <w:rPr>
          <w:rFonts w:hint="eastAsia" w:cs="宋体" w:asciiTheme="majorEastAsia" w:hAnsiTheme="majorEastAsia" w:eastAsiaTheme="majorEastAsia"/>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10586845">
      <w:pPr>
        <w:pStyle w:val="35"/>
        <w:snapToGrid w:val="0"/>
        <w:spacing w:line="360" w:lineRule="auto"/>
        <w:ind w:firstLine="480" w:firstLineChars="200"/>
        <w:rPr>
          <w:rFonts w:cs="宋体" w:asciiTheme="majorEastAsia" w:hAnsiTheme="majorEastAsia" w:eastAsiaTheme="majorEastAsia"/>
          <w:kern w:val="0"/>
          <w:sz w:val="24"/>
          <w:highlight w:val="none"/>
          <w:lang w:val="zh-CN"/>
        </w:rPr>
      </w:pPr>
      <w:r>
        <w:rPr>
          <w:rFonts w:hint="eastAsia" w:cs="宋体" w:asciiTheme="majorEastAsia" w:hAnsiTheme="majorEastAsia" w:eastAsiaTheme="majorEastAsia"/>
          <w:kern w:val="0"/>
          <w:sz w:val="24"/>
          <w:highlight w:val="none"/>
          <w:lang w:val="zh-CN"/>
        </w:rPr>
        <w:t>质疑函范本及制作说明详见附件2。</w:t>
      </w:r>
    </w:p>
    <w:p w14:paraId="44C8531D">
      <w:pPr>
        <w:pStyle w:val="891"/>
        <w:shd w:val="clear" w:color="auto" w:fill="FFFFFF"/>
        <w:adjustRightInd w:val="0"/>
        <w:snapToGrid w:val="0"/>
        <w:spacing w:before="0" w:beforeAutospacing="0" w:after="0" w:afterAutospacing="0" w:line="360" w:lineRule="auto"/>
        <w:ind w:firstLine="480" w:firstLineChars="200"/>
        <w:contextualSpacing/>
        <w:rPr>
          <w:rFonts w:asciiTheme="majorEastAsia" w:hAnsiTheme="majorEastAsia" w:eastAsiaTheme="majorEastAsia"/>
          <w:highlight w:val="none"/>
        </w:rPr>
      </w:pPr>
      <w:r>
        <w:rPr>
          <w:rFonts w:hint="eastAsia" w:asciiTheme="majorEastAsia" w:hAnsiTheme="majorEastAsia" w:eastAsiaTheme="majorEastAsia"/>
          <w:highlight w:val="none"/>
        </w:rPr>
        <w:t>4.3.4对同一采购程序环节的质疑，供应商须在法定质疑期内一次性提出。</w:t>
      </w:r>
    </w:p>
    <w:p w14:paraId="6ED26F5A">
      <w:pPr>
        <w:pStyle w:val="891"/>
        <w:shd w:val="clear" w:color="auto" w:fill="FFFFFF"/>
        <w:adjustRightInd w:val="0"/>
        <w:snapToGrid w:val="0"/>
        <w:spacing w:before="0" w:beforeAutospacing="0" w:after="0" w:afterAutospacing="0" w:line="360" w:lineRule="auto"/>
        <w:ind w:firstLine="480" w:firstLineChars="200"/>
        <w:contextualSpacing/>
        <w:rPr>
          <w:rFonts w:asciiTheme="majorEastAsia" w:hAnsiTheme="majorEastAsia" w:eastAsiaTheme="majorEastAsia"/>
          <w:highlight w:val="none"/>
        </w:rPr>
      </w:pPr>
      <w:r>
        <w:rPr>
          <w:rFonts w:hint="eastAsia" w:asciiTheme="majorEastAsia" w:hAnsiTheme="majorEastAsia" w:eastAsiaTheme="majorEastAsia"/>
          <w:highlight w:val="none"/>
          <w:lang w:val="zh-CN"/>
        </w:rPr>
        <w:t>4.3</w:t>
      </w:r>
      <w:r>
        <w:rPr>
          <w:rFonts w:hint="eastAsia" w:asciiTheme="majorEastAsia" w:hAnsiTheme="majorEastAsia" w:eastAsiaTheme="major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9E9C9EA">
      <w:pPr>
        <w:pStyle w:val="891"/>
        <w:shd w:val="clear" w:color="auto" w:fill="FFFFFF"/>
        <w:adjustRightInd w:val="0"/>
        <w:snapToGrid w:val="0"/>
        <w:spacing w:before="0" w:beforeAutospacing="0" w:after="0" w:afterAutospacing="0" w:line="360" w:lineRule="auto"/>
        <w:ind w:firstLine="480" w:firstLineChars="200"/>
        <w:contextualSpacing/>
        <w:rPr>
          <w:rFonts w:asciiTheme="majorEastAsia" w:hAnsiTheme="majorEastAsia" w:eastAsiaTheme="majorEastAsia"/>
          <w:highlight w:val="none"/>
        </w:rPr>
      </w:pPr>
      <w:r>
        <w:rPr>
          <w:rFonts w:hint="eastAsia" w:asciiTheme="majorEastAsia" w:hAnsiTheme="majorEastAsia" w:eastAsiaTheme="majorEastAsia"/>
          <w:highlight w:val="none"/>
          <w:lang w:val="zh-CN"/>
        </w:rPr>
        <w:t>4.3</w:t>
      </w:r>
      <w:r>
        <w:rPr>
          <w:rFonts w:hint="eastAsia" w:asciiTheme="majorEastAsia" w:hAnsiTheme="majorEastAsia" w:eastAsiaTheme="majorEastAsia"/>
          <w:highlight w:val="none"/>
        </w:rPr>
        <w:t>.6询问或者质疑事项可能影响采购结果的，采购人应当暂停签订合同，已经签订合同的，应当中止履行合同。</w:t>
      </w:r>
    </w:p>
    <w:p w14:paraId="06681085">
      <w:pPr>
        <w:pStyle w:val="891"/>
        <w:shd w:val="clear" w:color="auto" w:fill="FFFFFF"/>
        <w:adjustRightInd w:val="0"/>
        <w:snapToGrid w:val="0"/>
        <w:spacing w:before="0" w:beforeAutospacing="0" w:after="0" w:afterAutospacing="0" w:line="360" w:lineRule="auto"/>
        <w:ind w:firstLine="480" w:firstLineChars="200"/>
        <w:contextualSpacing/>
        <w:rPr>
          <w:rFonts w:asciiTheme="majorEastAsia" w:hAnsiTheme="majorEastAsia" w:eastAsiaTheme="majorEastAsia"/>
          <w:highlight w:val="none"/>
          <w:lang w:val="zh-CN"/>
        </w:rPr>
      </w:pPr>
      <w:r>
        <w:rPr>
          <w:rFonts w:hint="eastAsia" w:asciiTheme="majorEastAsia" w:hAnsiTheme="majorEastAsia" w:eastAsiaTheme="majorEastAsia"/>
          <w:highlight w:val="none"/>
          <w:lang w:val="zh-CN"/>
        </w:rPr>
        <w:t>4.4供应商投诉</w:t>
      </w:r>
    </w:p>
    <w:p w14:paraId="4D2A4C2D">
      <w:pPr>
        <w:pStyle w:val="891"/>
        <w:shd w:val="clear" w:color="auto" w:fill="FFFFFF"/>
        <w:adjustRightInd w:val="0"/>
        <w:snapToGrid w:val="0"/>
        <w:spacing w:before="0" w:beforeAutospacing="0" w:after="0" w:afterAutospacing="0" w:line="360" w:lineRule="auto"/>
        <w:ind w:firstLine="480" w:firstLineChars="200"/>
        <w:contextualSpacing/>
        <w:rPr>
          <w:rFonts w:asciiTheme="majorEastAsia" w:hAnsiTheme="majorEastAsia" w:eastAsiaTheme="majorEastAsia"/>
          <w:highlight w:val="none"/>
        </w:rPr>
      </w:pPr>
      <w:r>
        <w:rPr>
          <w:rFonts w:hint="eastAsia" w:asciiTheme="majorEastAsia" w:hAnsiTheme="majorEastAsia" w:eastAsiaTheme="major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B30A6C4">
      <w:pPr>
        <w:pStyle w:val="891"/>
        <w:shd w:val="clear" w:color="auto" w:fill="FFFFFF"/>
        <w:adjustRightInd w:val="0"/>
        <w:snapToGrid w:val="0"/>
        <w:spacing w:before="0" w:beforeAutospacing="0" w:after="0" w:afterAutospacing="0" w:line="360" w:lineRule="auto"/>
        <w:ind w:firstLine="480" w:firstLineChars="200"/>
        <w:contextualSpacing/>
        <w:rPr>
          <w:rFonts w:asciiTheme="majorEastAsia" w:hAnsiTheme="majorEastAsia" w:eastAsiaTheme="majorEastAsia"/>
          <w:highlight w:val="none"/>
        </w:rPr>
      </w:pPr>
      <w:r>
        <w:rPr>
          <w:rFonts w:hint="eastAsia" w:asciiTheme="majorEastAsia" w:hAnsiTheme="majorEastAsia" w:eastAsiaTheme="majorEastAsia"/>
          <w:highlight w:val="none"/>
        </w:rPr>
        <w:t>4.4.</w:t>
      </w:r>
      <w:r>
        <w:rPr>
          <w:rFonts w:hint="eastAsia" w:asciiTheme="majorEastAsia" w:hAnsiTheme="majorEastAsia" w:eastAsiaTheme="majorEastAsia"/>
          <w:highlight w:val="none"/>
          <w:lang w:val="zh-CN"/>
        </w:rPr>
        <w:t>2</w:t>
      </w:r>
      <w:r>
        <w:rPr>
          <w:rFonts w:hint="eastAsia" w:asciiTheme="majorEastAsia" w:hAnsiTheme="majorEastAsia" w:eastAsiaTheme="majorEastAsia"/>
          <w:highlight w:val="none"/>
        </w:rPr>
        <w:t>供应商投诉的事项不得超出已质疑事项的范围，基于质疑答复内容提出的投诉事项除外。</w:t>
      </w:r>
    </w:p>
    <w:p w14:paraId="7F9434CD">
      <w:pPr>
        <w:pStyle w:val="891"/>
        <w:shd w:val="clear" w:color="auto" w:fill="FFFFFF"/>
        <w:adjustRightInd w:val="0"/>
        <w:snapToGrid w:val="0"/>
        <w:spacing w:before="0" w:beforeAutospacing="0" w:after="0" w:afterAutospacing="0" w:line="360" w:lineRule="auto"/>
        <w:ind w:firstLine="480" w:firstLineChars="200"/>
        <w:contextualSpacing/>
        <w:rPr>
          <w:rFonts w:asciiTheme="majorEastAsia" w:hAnsiTheme="majorEastAsia" w:eastAsiaTheme="majorEastAsia"/>
          <w:highlight w:val="none"/>
        </w:rPr>
      </w:pPr>
      <w:r>
        <w:rPr>
          <w:rFonts w:hint="eastAsia" w:asciiTheme="majorEastAsia" w:hAnsiTheme="majorEastAsia" w:eastAsiaTheme="majorEastAsia"/>
          <w:highlight w:val="none"/>
        </w:rPr>
        <w:t>4.4.3供应商投诉应当有明确的请求和必要的证明材料。</w:t>
      </w:r>
    </w:p>
    <w:p w14:paraId="715FABF9">
      <w:pPr>
        <w:pStyle w:val="891"/>
        <w:shd w:val="clear" w:color="auto" w:fill="FFFFFF"/>
        <w:adjustRightInd w:val="0"/>
        <w:snapToGrid w:val="0"/>
        <w:spacing w:before="0" w:beforeAutospacing="0" w:after="0" w:afterAutospacing="0" w:line="360" w:lineRule="auto"/>
        <w:ind w:firstLine="480" w:firstLineChars="200"/>
        <w:contextualSpacing/>
        <w:rPr>
          <w:rFonts w:hint="eastAsia" w:asciiTheme="majorEastAsia" w:hAnsiTheme="majorEastAsia" w:eastAsiaTheme="majorEastAsia"/>
          <w:highlight w:val="none"/>
        </w:rPr>
      </w:pPr>
      <w:r>
        <w:rPr>
          <w:rFonts w:hint="eastAsia" w:asciiTheme="majorEastAsia" w:hAnsiTheme="majorEastAsia" w:eastAsiaTheme="majorEastAsia"/>
          <w:highlight w:val="none"/>
        </w:rPr>
        <w:t>4.4.4以联合体形式参加政府采购活动的，其投诉应当由组成联合体的所有供应商共同提出。</w:t>
      </w:r>
    </w:p>
    <w:p w14:paraId="430042C6">
      <w:pPr>
        <w:pStyle w:val="89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1E054835">
      <w:pPr>
        <w:pStyle w:val="133"/>
        <w:snapToGrid w:val="0"/>
        <w:spacing w:before="0"/>
        <w:ind w:firstLine="360"/>
        <w:rPr>
          <w:rFonts w:cs="宋体" w:asciiTheme="majorEastAsia" w:hAnsiTheme="majorEastAsia" w:eastAsiaTheme="majorEastAsia"/>
          <w:sz w:val="18"/>
          <w:szCs w:val="18"/>
          <w:highlight w:val="none"/>
        </w:rPr>
      </w:pPr>
    </w:p>
    <w:p w14:paraId="1DB0FE22">
      <w:pPr>
        <w:snapToGrid w:val="0"/>
        <w:spacing w:line="360" w:lineRule="auto"/>
        <w:jc w:val="center"/>
        <w:outlineLvl w:val="0"/>
        <w:rPr>
          <w:rFonts w:cs="宋体" w:asciiTheme="majorEastAsia" w:hAnsiTheme="majorEastAsia" w:eastAsiaTheme="majorEastAsia"/>
          <w:b/>
          <w:sz w:val="32"/>
          <w:szCs w:val="20"/>
          <w:highlight w:val="none"/>
        </w:rPr>
      </w:pPr>
      <w:r>
        <w:rPr>
          <w:rFonts w:hint="eastAsia" w:cs="宋体" w:asciiTheme="majorEastAsia" w:hAnsiTheme="majorEastAsia" w:eastAsiaTheme="majorEastAsia"/>
          <w:b/>
          <w:sz w:val="32"/>
          <w:szCs w:val="20"/>
          <w:highlight w:val="none"/>
        </w:rPr>
        <w:t>二、招标文件的构成、澄清、修改</w:t>
      </w:r>
    </w:p>
    <w:p w14:paraId="106DA899">
      <w:pPr>
        <w:pStyle w:val="35"/>
        <w:snapToGrid w:val="0"/>
        <w:spacing w:line="360" w:lineRule="auto"/>
        <w:ind w:firstLine="482" w:firstLineChars="200"/>
        <w:rPr>
          <w:rFonts w:cs="宋体" w:asciiTheme="majorEastAsia" w:hAnsiTheme="majorEastAsia" w:eastAsiaTheme="majorEastAsia"/>
          <w:b/>
          <w:sz w:val="24"/>
          <w:szCs w:val="24"/>
          <w:highlight w:val="none"/>
        </w:rPr>
      </w:pPr>
      <w:r>
        <w:rPr>
          <w:rFonts w:hint="eastAsia" w:cs="宋体" w:asciiTheme="majorEastAsia" w:hAnsiTheme="majorEastAsia" w:eastAsiaTheme="majorEastAsia"/>
          <w:b/>
          <w:sz w:val="24"/>
          <w:szCs w:val="24"/>
          <w:highlight w:val="none"/>
        </w:rPr>
        <w:t>5.招标文件的构成</w:t>
      </w:r>
    </w:p>
    <w:p w14:paraId="5653D42F">
      <w:pPr>
        <w:pStyle w:val="35"/>
        <w:snapToGrid w:val="0"/>
        <w:spacing w:line="360" w:lineRule="auto"/>
        <w:ind w:firstLine="480" w:firstLineChars="200"/>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5.1招标文件包括下列文件及附件：</w:t>
      </w:r>
    </w:p>
    <w:p w14:paraId="45B2AD66">
      <w:pPr>
        <w:pStyle w:val="35"/>
        <w:snapToGrid w:val="0"/>
        <w:spacing w:line="360" w:lineRule="auto"/>
        <w:ind w:firstLine="960" w:firstLineChars="400"/>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5.1.1招标公告；</w:t>
      </w:r>
    </w:p>
    <w:p w14:paraId="47B02844">
      <w:pPr>
        <w:pStyle w:val="35"/>
        <w:snapToGrid w:val="0"/>
        <w:spacing w:line="360" w:lineRule="auto"/>
        <w:ind w:firstLine="960" w:firstLineChars="400"/>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5.1.2投标人须知；</w:t>
      </w:r>
    </w:p>
    <w:p w14:paraId="0511177A">
      <w:pPr>
        <w:pStyle w:val="35"/>
        <w:snapToGrid w:val="0"/>
        <w:spacing w:line="360" w:lineRule="auto"/>
        <w:ind w:firstLine="960" w:firstLineChars="400"/>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5.1.3采购需求；</w:t>
      </w:r>
    </w:p>
    <w:p w14:paraId="38D1CA47">
      <w:pPr>
        <w:pStyle w:val="35"/>
        <w:snapToGrid w:val="0"/>
        <w:spacing w:line="360" w:lineRule="auto"/>
        <w:ind w:firstLine="960" w:firstLineChars="400"/>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5.1.4评标办法；</w:t>
      </w:r>
    </w:p>
    <w:p w14:paraId="6D568DBB">
      <w:pPr>
        <w:pStyle w:val="35"/>
        <w:snapToGrid w:val="0"/>
        <w:spacing w:line="360" w:lineRule="auto"/>
        <w:ind w:firstLine="960" w:firstLineChars="400"/>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5.1.5拟签订的合同文本；</w:t>
      </w:r>
    </w:p>
    <w:p w14:paraId="5CB7F6DC">
      <w:pPr>
        <w:pStyle w:val="35"/>
        <w:snapToGrid w:val="0"/>
        <w:spacing w:line="360" w:lineRule="auto"/>
        <w:ind w:firstLine="960" w:firstLineChars="400"/>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highlight w:val="none"/>
        </w:rPr>
        <w:t>5.1.6</w:t>
      </w:r>
      <w:r>
        <w:rPr>
          <w:rFonts w:hint="eastAsia" w:cs="宋体" w:asciiTheme="majorEastAsia" w:hAnsiTheme="majorEastAsia" w:eastAsiaTheme="majorEastAsia"/>
          <w:sz w:val="24"/>
          <w:szCs w:val="24"/>
          <w:highlight w:val="none"/>
        </w:rPr>
        <w:t>应提交的有关格式范例。</w:t>
      </w:r>
    </w:p>
    <w:p w14:paraId="7AB933BD">
      <w:pPr>
        <w:snapToGrid w:val="0"/>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5.2与本项目有关的</w:t>
      </w:r>
      <w:r>
        <w:rPr>
          <w:rFonts w:hint="eastAsia" w:cs="宋体" w:asciiTheme="majorEastAsia" w:hAnsiTheme="majorEastAsia" w:eastAsiaTheme="majorEastAsia"/>
          <w:bCs/>
          <w:sz w:val="24"/>
          <w:highlight w:val="none"/>
        </w:rPr>
        <w:t>澄清或者修改的内容为招标文件的组成部分</w:t>
      </w:r>
      <w:r>
        <w:rPr>
          <w:rFonts w:hint="eastAsia" w:cs="宋体" w:asciiTheme="majorEastAsia" w:hAnsiTheme="majorEastAsia" w:eastAsiaTheme="majorEastAsia"/>
          <w:sz w:val="24"/>
          <w:highlight w:val="none"/>
        </w:rPr>
        <w:t>。</w:t>
      </w:r>
    </w:p>
    <w:p w14:paraId="0A306D20">
      <w:pPr>
        <w:pStyle w:val="35"/>
        <w:snapToGrid w:val="0"/>
        <w:spacing w:line="360" w:lineRule="auto"/>
        <w:ind w:firstLine="482" w:firstLineChars="200"/>
        <w:rPr>
          <w:rFonts w:cs="宋体" w:asciiTheme="majorEastAsia" w:hAnsiTheme="majorEastAsia" w:eastAsiaTheme="majorEastAsia"/>
          <w:b/>
          <w:sz w:val="24"/>
          <w:szCs w:val="24"/>
          <w:highlight w:val="none"/>
        </w:rPr>
      </w:pPr>
      <w:r>
        <w:rPr>
          <w:rFonts w:hint="eastAsia" w:cs="宋体" w:asciiTheme="majorEastAsia" w:hAnsiTheme="majorEastAsia" w:eastAsiaTheme="majorEastAsia"/>
          <w:b/>
          <w:sz w:val="24"/>
          <w:szCs w:val="24"/>
          <w:highlight w:val="none"/>
        </w:rPr>
        <w:t>6.招标文件的澄清、修改</w:t>
      </w:r>
    </w:p>
    <w:p w14:paraId="2CB2D612">
      <w:pPr>
        <w:pStyle w:val="133"/>
        <w:snapToGrid w:val="0"/>
        <w:spacing w:before="0"/>
        <w:ind w:firstLine="480"/>
        <w:rPr>
          <w:rFonts w:cs="宋体" w:asciiTheme="majorEastAsia" w:hAnsiTheme="majorEastAsia" w:eastAsiaTheme="majorEastAsia"/>
          <w:highlight w:val="none"/>
        </w:rPr>
      </w:pPr>
      <w:r>
        <w:rPr>
          <w:rFonts w:hint="eastAsia" w:cs="宋体" w:asciiTheme="majorEastAsia" w:hAnsiTheme="majorEastAsia" w:eastAsiaTheme="majorEastAsia"/>
          <w:highlight w:val="none"/>
        </w:rPr>
        <w:t>6.1已获取招标文件的潜在投标人，若有问题需要澄清，应于投标截止时间前，以书面形式向采购代理机构提出。</w:t>
      </w:r>
    </w:p>
    <w:p w14:paraId="61F059EF">
      <w:pPr>
        <w:pStyle w:val="133"/>
        <w:snapToGrid w:val="0"/>
        <w:spacing w:before="0"/>
        <w:ind w:firstLine="480"/>
        <w:rPr>
          <w:rFonts w:cs="宋体" w:asciiTheme="majorEastAsia" w:hAnsiTheme="majorEastAsia" w:eastAsiaTheme="majorEastAsia"/>
          <w:highlight w:val="none"/>
        </w:rPr>
      </w:pPr>
      <w:r>
        <w:rPr>
          <w:rFonts w:hint="eastAsia" w:cs="宋体" w:asciiTheme="majorEastAsia" w:hAnsiTheme="majorEastAsia" w:eastAsiaTheme="majorEastAsia"/>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B1D346F">
      <w:pPr>
        <w:pStyle w:val="3"/>
        <w:snapToGrid w:val="0"/>
        <w:rPr>
          <w:rFonts w:cs="宋体" w:asciiTheme="majorEastAsia" w:hAnsiTheme="majorEastAsia" w:eastAsiaTheme="majorEastAsia"/>
          <w:sz w:val="18"/>
          <w:szCs w:val="18"/>
          <w:highlight w:val="none"/>
          <w:lang w:val="en-US"/>
        </w:rPr>
      </w:pPr>
    </w:p>
    <w:p w14:paraId="476C5F95">
      <w:pPr>
        <w:snapToGrid w:val="0"/>
        <w:spacing w:line="360" w:lineRule="auto"/>
        <w:jc w:val="center"/>
        <w:outlineLvl w:val="0"/>
        <w:rPr>
          <w:rFonts w:cs="宋体" w:asciiTheme="majorEastAsia" w:hAnsiTheme="majorEastAsia" w:eastAsiaTheme="majorEastAsia"/>
          <w:b/>
          <w:sz w:val="30"/>
          <w:szCs w:val="20"/>
          <w:highlight w:val="none"/>
        </w:rPr>
      </w:pPr>
      <w:r>
        <w:rPr>
          <w:rFonts w:hint="eastAsia" w:cs="宋体" w:asciiTheme="majorEastAsia" w:hAnsiTheme="majorEastAsia" w:eastAsiaTheme="majorEastAsia"/>
          <w:b/>
          <w:sz w:val="30"/>
          <w:szCs w:val="20"/>
          <w:highlight w:val="none"/>
        </w:rPr>
        <w:t>三、投标</w:t>
      </w:r>
    </w:p>
    <w:p w14:paraId="1816CD72">
      <w:pPr>
        <w:pStyle w:val="35"/>
        <w:snapToGrid w:val="0"/>
        <w:spacing w:line="360" w:lineRule="auto"/>
        <w:ind w:firstLine="482" w:firstLineChars="200"/>
        <w:rPr>
          <w:rFonts w:cs="宋体" w:asciiTheme="majorEastAsia" w:hAnsiTheme="majorEastAsia" w:eastAsiaTheme="majorEastAsia"/>
          <w:b/>
          <w:sz w:val="24"/>
          <w:szCs w:val="24"/>
          <w:highlight w:val="none"/>
        </w:rPr>
      </w:pPr>
      <w:r>
        <w:rPr>
          <w:rFonts w:hint="eastAsia" w:cs="宋体" w:asciiTheme="majorEastAsia" w:hAnsiTheme="majorEastAsia" w:eastAsiaTheme="majorEastAsia"/>
          <w:b/>
          <w:sz w:val="24"/>
          <w:szCs w:val="24"/>
          <w:highlight w:val="none"/>
        </w:rPr>
        <w:t>7.招标文件的获取</w:t>
      </w:r>
    </w:p>
    <w:p w14:paraId="372CDBD5">
      <w:pPr>
        <w:snapToGrid w:val="0"/>
        <w:spacing w:line="360" w:lineRule="auto"/>
        <w:ind w:firstLine="480" w:firstLineChars="200"/>
        <w:rPr>
          <w:rFonts w:cs="宋体" w:asciiTheme="majorEastAsia" w:hAnsiTheme="majorEastAsia" w:eastAsiaTheme="majorEastAsia"/>
          <w:snapToGrid w:val="0"/>
          <w:kern w:val="28"/>
          <w:sz w:val="24"/>
          <w:highlight w:val="none"/>
        </w:rPr>
      </w:pPr>
      <w:r>
        <w:rPr>
          <w:rFonts w:hint="eastAsia" w:cs="宋体" w:asciiTheme="majorEastAsia" w:hAnsiTheme="majorEastAsia" w:eastAsiaTheme="majorEastAsia"/>
          <w:snapToGrid w:val="0"/>
          <w:kern w:val="28"/>
          <w:sz w:val="24"/>
          <w:highlight w:val="none"/>
        </w:rPr>
        <w:t>详见招标公告中获取招标文件的时间期限、地点、方式及招标文件售价。</w:t>
      </w:r>
    </w:p>
    <w:p w14:paraId="6D38FCA3">
      <w:pPr>
        <w:pStyle w:val="35"/>
        <w:snapToGrid w:val="0"/>
        <w:spacing w:line="360" w:lineRule="auto"/>
        <w:ind w:firstLine="482" w:firstLineChars="200"/>
        <w:rPr>
          <w:rFonts w:cs="宋体" w:asciiTheme="majorEastAsia" w:hAnsiTheme="majorEastAsia" w:eastAsiaTheme="majorEastAsia"/>
          <w:b/>
          <w:sz w:val="24"/>
          <w:szCs w:val="24"/>
          <w:highlight w:val="none"/>
        </w:rPr>
      </w:pPr>
      <w:r>
        <w:rPr>
          <w:rFonts w:hint="eastAsia" w:cs="宋体" w:asciiTheme="majorEastAsia" w:hAnsiTheme="majorEastAsia" w:eastAsiaTheme="majorEastAsia"/>
          <w:b/>
          <w:sz w:val="24"/>
          <w:szCs w:val="24"/>
          <w:highlight w:val="none"/>
        </w:rPr>
        <w:t>8.开标前答疑会或现场考察</w:t>
      </w:r>
    </w:p>
    <w:p w14:paraId="5DDE3BE0">
      <w:pPr>
        <w:pStyle w:val="35"/>
        <w:snapToGrid w:val="0"/>
        <w:spacing w:line="360" w:lineRule="auto"/>
        <w:ind w:firstLine="480" w:firstLineChars="200"/>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采购人组织潜在投标人现场考察或者召开开标前答疑会的，潜在投标人按第二部分投标人须知前附表的规定参加现场考察或者开标前答疑会。</w:t>
      </w:r>
    </w:p>
    <w:p w14:paraId="3136246C">
      <w:pPr>
        <w:pStyle w:val="35"/>
        <w:snapToGrid w:val="0"/>
        <w:spacing w:line="360" w:lineRule="auto"/>
        <w:ind w:firstLine="482" w:firstLineChars="200"/>
        <w:rPr>
          <w:rFonts w:cs="宋体" w:asciiTheme="majorEastAsia" w:hAnsiTheme="majorEastAsia" w:eastAsiaTheme="majorEastAsia"/>
          <w:b/>
          <w:szCs w:val="24"/>
          <w:highlight w:val="none"/>
        </w:rPr>
      </w:pPr>
      <w:r>
        <w:rPr>
          <w:rFonts w:hint="eastAsia" w:cs="宋体" w:asciiTheme="majorEastAsia" w:hAnsiTheme="majorEastAsia" w:eastAsiaTheme="majorEastAsia"/>
          <w:b/>
          <w:kern w:val="28"/>
          <w:sz w:val="24"/>
          <w:szCs w:val="24"/>
          <w:highlight w:val="none"/>
        </w:rPr>
        <w:t>9.投标保证金</w:t>
      </w:r>
    </w:p>
    <w:p w14:paraId="38A7BB47">
      <w:pPr>
        <w:pStyle w:val="18"/>
        <w:spacing w:line="360" w:lineRule="auto"/>
        <w:ind w:firstLine="470" w:firstLineChars="196"/>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本项目不需缴纳投标保证金。</w:t>
      </w:r>
    </w:p>
    <w:p w14:paraId="5E36E9AB">
      <w:pPr>
        <w:pStyle w:val="35"/>
        <w:snapToGrid w:val="0"/>
        <w:spacing w:line="360" w:lineRule="auto"/>
        <w:ind w:firstLine="482" w:firstLineChars="200"/>
        <w:rPr>
          <w:rFonts w:cs="宋体" w:asciiTheme="majorEastAsia" w:hAnsiTheme="majorEastAsia" w:eastAsiaTheme="majorEastAsia"/>
          <w:b/>
          <w:sz w:val="24"/>
          <w:szCs w:val="24"/>
          <w:highlight w:val="none"/>
        </w:rPr>
      </w:pPr>
      <w:r>
        <w:rPr>
          <w:rFonts w:hint="eastAsia" w:cs="宋体" w:asciiTheme="majorEastAsia" w:hAnsiTheme="majorEastAsia" w:eastAsiaTheme="majorEastAsia"/>
          <w:b/>
          <w:sz w:val="24"/>
          <w:szCs w:val="24"/>
          <w:highlight w:val="none"/>
        </w:rPr>
        <w:t>10.投标文件的语言</w:t>
      </w:r>
    </w:p>
    <w:p w14:paraId="46037822">
      <w:pPr>
        <w:autoSpaceDE w:val="0"/>
        <w:autoSpaceDN w:val="0"/>
        <w:snapToGrid w:val="0"/>
        <w:spacing w:line="360" w:lineRule="auto"/>
        <w:ind w:firstLine="480" w:firstLineChars="200"/>
        <w:rPr>
          <w:rFonts w:cs="宋体" w:asciiTheme="majorEastAsia" w:hAnsiTheme="majorEastAsia" w:eastAsiaTheme="majorEastAsia"/>
          <w:sz w:val="24"/>
          <w:highlight w:val="none"/>
          <w:lang w:val="zh-CN"/>
        </w:rPr>
      </w:pPr>
      <w:r>
        <w:rPr>
          <w:rFonts w:hint="eastAsia" w:cs="宋体" w:asciiTheme="majorEastAsia" w:hAnsiTheme="majorEastAsia" w:eastAsiaTheme="majorEastAsia"/>
          <w:sz w:val="24"/>
          <w:highlight w:val="none"/>
        </w:rPr>
        <w:t>投标文件及投标人与采购有关的来往通知、函件和文件均应使用中文。</w:t>
      </w:r>
    </w:p>
    <w:p w14:paraId="43240E4E">
      <w:pPr>
        <w:pStyle w:val="35"/>
        <w:snapToGrid w:val="0"/>
        <w:spacing w:line="360" w:lineRule="auto"/>
        <w:ind w:firstLine="482" w:firstLineChars="200"/>
        <w:rPr>
          <w:rFonts w:cs="宋体" w:asciiTheme="majorEastAsia" w:hAnsiTheme="majorEastAsia" w:eastAsiaTheme="majorEastAsia"/>
          <w:b/>
          <w:sz w:val="24"/>
          <w:szCs w:val="24"/>
          <w:highlight w:val="none"/>
        </w:rPr>
      </w:pPr>
      <w:r>
        <w:rPr>
          <w:rFonts w:hint="eastAsia" w:cs="宋体" w:asciiTheme="majorEastAsia" w:hAnsiTheme="majorEastAsia" w:eastAsiaTheme="majorEastAsia"/>
          <w:b/>
          <w:sz w:val="24"/>
          <w:szCs w:val="24"/>
          <w:highlight w:val="none"/>
        </w:rPr>
        <w:t>11.投标文件的组成</w:t>
      </w:r>
    </w:p>
    <w:p w14:paraId="53B7446E">
      <w:pPr>
        <w:snapToGrid w:val="0"/>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11.1</w:t>
      </w:r>
      <w:r>
        <w:rPr>
          <w:rFonts w:hint="eastAsia" w:cs="宋体" w:asciiTheme="majorEastAsia" w:hAnsiTheme="majorEastAsia" w:eastAsiaTheme="majorEastAsia"/>
          <w:b/>
          <w:sz w:val="24"/>
          <w:highlight w:val="none"/>
        </w:rPr>
        <w:t>资格文件</w:t>
      </w:r>
      <w:r>
        <w:rPr>
          <w:rFonts w:hint="eastAsia" w:cs="宋体" w:asciiTheme="majorEastAsia" w:hAnsiTheme="majorEastAsia" w:eastAsiaTheme="majorEastAsia"/>
          <w:sz w:val="24"/>
          <w:highlight w:val="none"/>
        </w:rPr>
        <w:t>：</w:t>
      </w:r>
    </w:p>
    <w:p w14:paraId="6AE4B347">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4849268D">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11.1.2营业执照</w:t>
      </w:r>
    </w:p>
    <w:p w14:paraId="581B69C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w:t>
      </w:r>
      <w:r>
        <w:rPr>
          <w:rFonts w:hint="eastAsia" w:ascii="宋体" w:hAnsi="宋体" w:cs="宋体"/>
          <w:sz w:val="24"/>
          <w:highlight w:val="none"/>
          <w:lang w:val="en-US" w:eastAsia="zh-CN"/>
        </w:rPr>
        <w:t>3</w:t>
      </w:r>
      <w:r>
        <w:rPr>
          <w:rFonts w:hint="eastAsia" w:ascii="宋体" w:hAnsi="宋体" w:cs="宋体"/>
          <w:snapToGrid w:val="0"/>
          <w:kern w:val="28"/>
          <w:sz w:val="24"/>
          <w:szCs w:val="20"/>
          <w:highlight w:val="none"/>
        </w:rPr>
        <w:t>联合协议（如果有)；</w:t>
      </w:r>
    </w:p>
    <w:p w14:paraId="416C16A9">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11.1.</w:t>
      </w:r>
      <w:r>
        <w:rPr>
          <w:rFonts w:hint="eastAsia" w:ascii="宋体" w:hAnsi="宋体" w:cs="宋体"/>
          <w:sz w:val="24"/>
          <w:highlight w:val="none"/>
          <w:lang w:val="en-US" w:eastAsia="zh-CN"/>
        </w:rPr>
        <w:t>4</w:t>
      </w:r>
      <w:r>
        <w:rPr>
          <w:rFonts w:hint="eastAsia" w:ascii="宋体" w:hAnsi="宋体" w:cs="宋体"/>
          <w:sz w:val="24"/>
          <w:highlight w:val="none"/>
        </w:rPr>
        <w:t>落实政府采购政策需满足的资格要求；▲中小企业声明函</w:t>
      </w:r>
    </w:p>
    <w:p w14:paraId="3DDDCF1A">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本项目的特定资格要求（如果有)。</w:t>
      </w:r>
    </w:p>
    <w:p w14:paraId="0A5C8013">
      <w:pPr>
        <w:snapToGrid w:val="0"/>
        <w:spacing w:line="360" w:lineRule="auto"/>
        <w:ind w:firstLine="480" w:firstLineChars="200"/>
        <w:rPr>
          <w:rFonts w:cs="宋体" w:asciiTheme="majorEastAsia" w:hAnsiTheme="majorEastAsia" w:eastAsiaTheme="majorEastAsia"/>
          <w:color w:val="auto"/>
          <w:sz w:val="24"/>
          <w:highlight w:val="none"/>
          <w:lang w:val="zh-CN"/>
        </w:rPr>
      </w:pPr>
      <w:r>
        <w:rPr>
          <w:rFonts w:hint="eastAsia" w:cs="宋体" w:asciiTheme="majorEastAsia" w:hAnsiTheme="majorEastAsia" w:eastAsiaTheme="majorEastAsia"/>
          <w:color w:val="auto"/>
          <w:sz w:val="24"/>
          <w:highlight w:val="none"/>
          <w:lang w:val="zh-CN"/>
        </w:rPr>
        <w:t>11.</w:t>
      </w:r>
      <w:r>
        <w:rPr>
          <w:rFonts w:hint="eastAsia" w:cs="宋体" w:asciiTheme="majorEastAsia" w:hAnsiTheme="majorEastAsia" w:eastAsiaTheme="majorEastAsia"/>
          <w:color w:val="auto"/>
          <w:sz w:val="24"/>
          <w:highlight w:val="none"/>
        </w:rPr>
        <w:t>2</w:t>
      </w:r>
      <w:r>
        <w:rPr>
          <w:rFonts w:hint="eastAsia" w:cs="宋体" w:asciiTheme="majorEastAsia" w:hAnsiTheme="majorEastAsia" w:eastAsiaTheme="majorEastAsia"/>
          <w:b/>
          <w:bCs/>
          <w:color w:val="auto"/>
          <w:sz w:val="24"/>
          <w:highlight w:val="none"/>
        </w:rPr>
        <w:t>商务技术</w:t>
      </w:r>
      <w:r>
        <w:rPr>
          <w:rFonts w:hint="eastAsia" w:cs="宋体" w:asciiTheme="majorEastAsia" w:hAnsiTheme="majorEastAsia" w:eastAsiaTheme="majorEastAsia"/>
          <w:b/>
          <w:bCs/>
          <w:color w:val="auto"/>
          <w:sz w:val="24"/>
          <w:highlight w:val="none"/>
          <w:lang w:val="zh-CN"/>
        </w:rPr>
        <w:t>文件</w:t>
      </w:r>
      <w:r>
        <w:rPr>
          <w:rFonts w:hint="eastAsia" w:cs="宋体" w:asciiTheme="majorEastAsia" w:hAnsiTheme="majorEastAsia" w:eastAsiaTheme="majorEastAsia"/>
          <w:color w:val="auto"/>
          <w:sz w:val="24"/>
          <w:highlight w:val="none"/>
          <w:lang w:val="zh-CN"/>
        </w:rPr>
        <w:t>：</w:t>
      </w:r>
    </w:p>
    <w:p w14:paraId="58EB398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3BF3B79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3D959A67">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761982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6BE6D69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64DE05C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7234C7C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179519BC">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144AFF54">
      <w:pPr>
        <w:snapToGrid w:val="0"/>
        <w:spacing w:line="360" w:lineRule="auto"/>
        <w:ind w:firstLine="480" w:firstLineChars="200"/>
        <w:rPr>
          <w:rFonts w:cs="宋体" w:asciiTheme="majorEastAsia" w:hAnsiTheme="majorEastAsia" w:eastAsiaTheme="majorEastAsia"/>
          <w:color w:val="auto"/>
          <w:sz w:val="24"/>
          <w:highlight w:val="none"/>
          <w:u w:val="single"/>
          <w:lang w:val="zh-CN"/>
        </w:rPr>
      </w:pPr>
      <w:r>
        <w:rPr>
          <w:rFonts w:hint="eastAsia" w:cs="宋体" w:asciiTheme="majorEastAsia" w:hAnsiTheme="majorEastAsia" w:eastAsiaTheme="majorEastAsia"/>
          <w:color w:val="auto"/>
          <w:kern w:val="0"/>
          <w:sz w:val="24"/>
          <w:highlight w:val="none"/>
          <w:lang w:val="zh-CN"/>
        </w:rPr>
        <w:t>11.</w:t>
      </w:r>
      <w:r>
        <w:rPr>
          <w:rFonts w:hint="eastAsia" w:cs="宋体" w:asciiTheme="majorEastAsia" w:hAnsiTheme="majorEastAsia" w:eastAsiaTheme="majorEastAsia"/>
          <w:color w:val="auto"/>
          <w:kern w:val="0"/>
          <w:sz w:val="24"/>
          <w:highlight w:val="none"/>
        </w:rPr>
        <w:t>3</w:t>
      </w:r>
      <w:r>
        <w:rPr>
          <w:rFonts w:hint="eastAsia" w:cs="宋体" w:asciiTheme="majorEastAsia" w:hAnsiTheme="majorEastAsia" w:eastAsiaTheme="majorEastAsia"/>
          <w:b/>
          <w:color w:val="auto"/>
          <w:sz w:val="24"/>
          <w:highlight w:val="none"/>
        </w:rPr>
        <w:t>报价文件：</w:t>
      </w:r>
    </w:p>
    <w:p w14:paraId="04E4AC95">
      <w:pPr>
        <w:snapToGrid w:val="0"/>
        <w:spacing w:line="360" w:lineRule="auto"/>
        <w:ind w:firstLine="960" w:firstLineChars="4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11.3.1开标一览表（报价表）；</w:t>
      </w:r>
    </w:p>
    <w:p w14:paraId="63965FCC">
      <w:pPr>
        <w:pStyle w:val="6"/>
        <w:adjustRightInd w:val="0"/>
        <w:snapToGrid w:val="0"/>
        <w:ind w:left="0" w:firstLine="960" w:firstLineChars="400"/>
        <w:rPr>
          <w:rFonts w:hint="eastAsia" w:cs="宋体" w:asciiTheme="majorEastAsia" w:hAnsiTheme="majorEastAsia" w:eastAsiaTheme="majorEastAsia"/>
          <w:b w:val="0"/>
          <w:bCs w:val="0"/>
          <w:color w:val="auto"/>
          <w:sz w:val="24"/>
          <w:szCs w:val="24"/>
          <w:highlight w:val="none"/>
          <w:lang w:val="en-US" w:eastAsia="zh-CN"/>
        </w:rPr>
      </w:pPr>
      <w:r>
        <w:rPr>
          <w:rFonts w:hint="eastAsia" w:cs="宋体" w:asciiTheme="majorEastAsia" w:hAnsiTheme="majorEastAsia" w:eastAsiaTheme="majorEastAsia"/>
          <w:b w:val="0"/>
          <w:bCs w:val="0"/>
          <w:color w:val="auto"/>
          <w:sz w:val="24"/>
          <w:szCs w:val="24"/>
          <w:highlight w:val="none"/>
          <w:lang w:val="en-US"/>
        </w:rPr>
        <w:t>11.3.2</w:t>
      </w:r>
      <w:r>
        <w:rPr>
          <w:rFonts w:hint="eastAsia" w:cs="宋体" w:asciiTheme="majorEastAsia" w:hAnsiTheme="majorEastAsia" w:eastAsiaTheme="majorEastAsia"/>
          <w:b w:val="0"/>
          <w:bCs w:val="0"/>
          <w:color w:val="auto"/>
          <w:sz w:val="24"/>
          <w:szCs w:val="24"/>
          <w:highlight w:val="none"/>
          <w:lang w:val="en-US" w:eastAsia="zh-CN"/>
        </w:rPr>
        <w:t>报价明细表。</w:t>
      </w:r>
    </w:p>
    <w:p w14:paraId="7B5A9EF2">
      <w:pPr>
        <w:snapToGrid w:val="0"/>
        <w:spacing w:line="360" w:lineRule="auto"/>
        <w:ind w:firstLine="723" w:firstLineChars="300"/>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投标文件含有采购人不能接受的附加条件的，投标无效；</w:t>
      </w:r>
    </w:p>
    <w:p w14:paraId="37024108">
      <w:pPr>
        <w:snapToGrid w:val="0"/>
        <w:spacing w:line="360" w:lineRule="auto"/>
        <w:ind w:firstLine="723" w:firstLineChars="300"/>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投标人提供虚假材料投标的，投标无效。</w:t>
      </w:r>
    </w:p>
    <w:p w14:paraId="51A6300E">
      <w:pPr>
        <w:snapToGrid w:val="0"/>
        <w:spacing w:line="360" w:lineRule="auto"/>
        <w:ind w:firstLine="720" w:firstLineChars="300"/>
        <w:rPr>
          <w:rFonts w:cs="宋体" w:asciiTheme="majorEastAsia" w:hAnsiTheme="majorEastAsia" w:eastAsiaTheme="majorEastAsia"/>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7D162B55">
      <w:pPr>
        <w:pStyle w:val="133"/>
        <w:snapToGrid w:val="0"/>
        <w:spacing w:before="0"/>
        <w:ind w:firstLine="482"/>
        <w:outlineLvl w:val="0"/>
        <w:rPr>
          <w:rFonts w:cs="宋体" w:asciiTheme="majorEastAsia" w:hAnsiTheme="majorEastAsia" w:eastAsiaTheme="majorEastAsia"/>
          <w:b/>
          <w:szCs w:val="24"/>
          <w:highlight w:val="none"/>
        </w:rPr>
      </w:pPr>
      <w:r>
        <w:rPr>
          <w:rFonts w:hint="eastAsia" w:cs="宋体" w:asciiTheme="majorEastAsia" w:hAnsiTheme="majorEastAsia" w:eastAsiaTheme="majorEastAsia"/>
          <w:b/>
          <w:szCs w:val="24"/>
          <w:highlight w:val="none"/>
        </w:rPr>
        <w:t>12</w:t>
      </w:r>
      <w:r>
        <w:rPr>
          <w:rFonts w:hint="eastAsia" w:cs="宋体" w:asciiTheme="majorEastAsia" w:hAnsiTheme="majorEastAsia" w:eastAsiaTheme="majorEastAsia"/>
          <w:b/>
          <w:kern w:val="0"/>
          <w:szCs w:val="24"/>
          <w:highlight w:val="none"/>
          <w:lang w:val="zh-CN"/>
        </w:rPr>
        <w:t>.</w:t>
      </w:r>
      <w:r>
        <w:rPr>
          <w:rFonts w:hint="eastAsia" w:cs="宋体" w:asciiTheme="majorEastAsia" w:hAnsiTheme="majorEastAsia" w:eastAsiaTheme="majorEastAsia"/>
          <w:b/>
          <w:szCs w:val="24"/>
          <w:highlight w:val="none"/>
        </w:rPr>
        <w:t>投标文件的编制</w:t>
      </w:r>
    </w:p>
    <w:p w14:paraId="5BAE7FFE">
      <w:pPr>
        <w:snapToGrid w:val="0"/>
        <w:spacing w:line="360" w:lineRule="auto"/>
        <w:ind w:firstLine="480" w:firstLineChars="200"/>
        <w:rPr>
          <w:rFonts w:cs="宋体" w:asciiTheme="majorEastAsia" w:hAnsiTheme="majorEastAsia" w:eastAsiaTheme="majorEastAsia"/>
          <w:b/>
          <w:sz w:val="24"/>
          <w:highlight w:val="none"/>
        </w:rPr>
      </w:pPr>
      <w:r>
        <w:rPr>
          <w:rFonts w:hint="eastAsia" w:cs="宋体" w:asciiTheme="majorEastAsia" w:hAnsiTheme="majorEastAsia" w:eastAsiaTheme="majorEastAsia"/>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9D92B7B">
      <w:pPr>
        <w:snapToGrid w:val="0"/>
        <w:spacing w:line="360" w:lineRule="auto"/>
        <w:ind w:firstLine="480" w:firstLineChars="200"/>
        <w:rPr>
          <w:rFonts w:cs="宋体" w:asciiTheme="majorEastAsia" w:hAnsiTheme="majorEastAsia" w:eastAsiaTheme="majorEastAsia"/>
          <w:kern w:val="0"/>
          <w:sz w:val="24"/>
          <w:highlight w:val="none"/>
          <w:lang w:val="zh-CN"/>
        </w:rPr>
      </w:pPr>
      <w:r>
        <w:rPr>
          <w:rFonts w:hint="eastAsia" w:cs="宋体" w:asciiTheme="majorEastAsia" w:hAnsiTheme="majorEastAsia" w:eastAsiaTheme="majorEastAsia"/>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64925EE">
      <w:pPr>
        <w:snapToGrid w:val="0"/>
        <w:spacing w:line="360" w:lineRule="auto"/>
        <w:ind w:firstLine="480" w:firstLineChars="200"/>
        <w:rPr>
          <w:rFonts w:cs="宋体" w:asciiTheme="majorEastAsia" w:hAnsiTheme="majorEastAsia" w:eastAsiaTheme="majorEastAsia"/>
          <w:kern w:val="0"/>
          <w:sz w:val="24"/>
          <w:highlight w:val="none"/>
          <w:lang w:val="zh-CN"/>
        </w:rPr>
      </w:pPr>
      <w:r>
        <w:rPr>
          <w:rFonts w:hint="eastAsia" w:cs="宋体" w:asciiTheme="majorEastAsia" w:hAnsiTheme="majorEastAsia" w:eastAsiaTheme="majorEastAsia"/>
          <w:kern w:val="0"/>
          <w:sz w:val="24"/>
          <w:highlight w:val="none"/>
          <w:lang w:val="zh-CN"/>
        </w:rPr>
        <w:t>12.3使用“政采云电子交易客户端”需要提前申领CA数字证书，申领流程请自行前往“浙江政府采购网-下载专区-电子交易客户端-CA驱动和申领流程”进行查阅。</w:t>
      </w:r>
    </w:p>
    <w:p w14:paraId="3A5ECBD6">
      <w:pPr>
        <w:snapToGrid w:val="0"/>
        <w:spacing w:line="360" w:lineRule="auto"/>
        <w:ind w:firstLine="482" w:firstLineChars="200"/>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rPr>
        <w:t>13.投标文件的签署、盖章</w:t>
      </w:r>
    </w:p>
    <w:p w14:paraId="560EB323">
      <w:pPr>
        <w:pStyle w:val="133"/>
        <w:snapToGrid w:val="0"/>
        <w:spacing w:before="0"/>
        <w:ind w:firstLine="480"/>
        <w:rPr>
          <w:rFonts w:cs="宋体" w:asciiTheme="majorEastAsia" w:hAnsiTheme="majorEastAsia" w:eastAsiaTheme="majorEastAsia"/>
          <w:b/>
          <w:highlight w:val="none"/>
        </w:rPr>
      </w:pPr>
      <w:r>
        <w:rPr>
          <w:rFonts w:hint="eastAsia" w:cs="宋体" w:asciiTheme="majorEastAsia" w:hAnsiTheme="majorEastAsia" w:eastAsiaTheme="majorEastAsia"/>
          <w:szCs w:val="24"/>
          <w:highlight w:val="none"/>
        </w:rPr>
        <w:t>13.1投标文件按照招标文件第六部分格式要</w:t>
      </w:r>
      <w:r>
        <w:rPr>
          <w:rFonts w:hint="eastAsia" w:cs="宋体" w:asciiTheme="majorEastAsia" w:hAnsiTheme="majorEastAsia" w:eastAsiaTheme="majorEastAsia"/>
          <w:highlight w:val="none"/>
        </w:rPr>
        <w:t>求进行签署、盖章。</w:t>
      </w:r>
      <w:r>
        <w:rPr>
          <w:rFonts w:hint="eastAsia" w:cs="宋体" w:asciiTheme="majorEastAsia" w:hAnsiTheme="majorEastAsia" w:eastAsiaTheme="majorEastAsia"/>
          <w:b/>
          <w:highlight w:val="none"/>
        </w:rPr>
        <w:t>▲投标人的投标文件未按照招标文件要求签署、盖章的，其投标无效</w:t>
      </w:r>
      <w:r>
        <w:rPr>
          <w:rFonts w:hint="eastAsia" w:cs="宋体" w:asciiTheme="majorEastAsia" w:hAnsiTheme="majorEastAsia" w:eastAsiaTheme="majorEastAsia"/>
          <w:szCs w:val="24"/>
          <w:highlight w:val="none"/>
        </w:rPr>
        <w:t>。</w:t>
      </w:r>
    </w:p>
    <w:p w14:paraId="6A235458">
      <w:pPr>
        <w:pStyle w:val="133"/>
        <w:snapToGrid w:val="0"/>
        <w:spacing w:before="0"/>
        <w:ind w:firstLine="480"/>
        <w:rPr>
          <w:rFonts w:cs="宋体" w:asciiTheme="majorEastAsia" w:hAnsiTheme="majorEastAsia" w:eastAsiaTheme="majorEastAsia"/>
          <w:highlight w:val="none"/>
        </w:rPr>
      </w:pPr>
      <w:r>
        <w:rPr>
          <w:rFonts w:hint="eastAsia" w:cs="宋体" w:asciiTheme="majorEastAsia" w:hAnsiTheme="majorEastAsia" w:eastAsiaTheme="majorEastAsia"/>
          <w:highlight w:val="none"/>
        </w:rPr>
        <w:t>13.2为确保网上操作合法、有效和安全，投标人应当在投标截止时间前完成在“政府采购云平台”的身份认证，确保在电子投标过程中能够对相关数据电文进行加密和使用电子签名。</w:t>
      </w:r>
    </w:p>
    <w:p w14:paraId="0FD62475">
      <w:pPr>
        <w:pStyle w:val="133"/>
        <w:snapToGrid w:val="0"/>
        <w:spacing w:before="0"/>
        <w:ind w:firstLine="480"/>
        <w:rPr>
          <w:rFonts w:cs="宋体" w:asciiTheme="majorEastAsia" w:hAnsiTheme="majorEastAsia" w:eastAsiaTheme="majorEastAsia"/>
          <w:szCs w:val="24"/>
          <w:highlight w:val="none"/>
        </w:rPr>
      </w:pPr>
      <w:r>
        <w:rPr>
          <w:rFonts w:hint="eastAsia" w:cs="宋体" w:asciiTheme="majorEastAsia" w:hAnsiTheme="majorEastAsia" w:eastAsiaTheme="majorEastAsia"/>
          <w:highlight w:val="none"/>
        </w:rPr>
        <w:t>13.3招标文件对投标文件签署、盖章的要求适用于电子签名。</w:t>
      </w:r>
    </w:p>
    <w:p w14:paraId="3EE6E518">
      <w:pPr>
        <w:pStyle w:val="133"/>
        <w:snapToGrid w:val="0"/>
        <w:spacing w:before="0"/>
        <w:ind w:firstLine="482"/>
        <w:rPr>
          <w:rFonts w:cs="宋体" w:asciiTheme="majorEastAsia" w:hAnsiTheme="majorEastAsia" w:eastAsiaTheme="majorEastAsia"/>
          <w:b/>
          <w:szCs w:val="24"/>
          <w:highlight w:val="none"/>
        </w:rPr>
      </w:pPr>
      <w:r>
        <w:rPr>
          <w:rFonts w:hint="eastAsia" w:cs="宋体" w:asciiTheme="majorEastAsia" w:hAnsiTheme="majorEastAsia" w:eastAsiaTheme="majorEastAsia"/>
          <w:b/>
          <w:szCs w:val="24"/>
          <w:highlight w:val="none"/>
        </w:rPr>
        <w:t>14.投标文件的提交、补充、修改、撤回</w:t>
      </w:r>
    </w:p>
    <w:p w14:paraId="07EBCC48">
      <w:pPr>
        <w:pStyle w:val="133"/>
        <w:snapToGrid w:val="0"/>
        <w:spacing w:before="0"/>
        <w:ind w:firstLine="480"/>
        <w:rPr>
          <w:rFonts w:cs="宋体" w:asciiTheme="majorEastAsia" w:hAnsiTheme="majorEastAsia" w:eastAsiaTheme="majorEastAsia"/>
          <w:szCs w:val="24"/>
          <w:highlight w:val="none"/>
        </w:rPr>
      </w:pPr>
      <w:r>
        <w:rPr>
          <w:rFonts w:hint="eastAsia" w:cs="宋体" w:asciiTheme="majorEastAsia" w:hAnsiTheme="majorEastAsia" w:eastAsiaTheme="majorEastAsia"/>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7B53799">
      <w:pPr>
        <w:pStyle w:val="133"/>
        <w:snapToGrid w:val="0"/>
        <w:spacing w:before="0"/>
        <w:ind w:firstLine="480"/>
        <w:rPr>
          <w:rFonts w:cs="宋体" w:asciiTheme="majorEastAsia" w:hAnsiTheme="majorEastAsia" w:eastAsiaTheme="majorEastAsia"/>
          <w:szCs w:val="24"/>
          <w:highlight w:val="none"/>
        </w:rPr>
      </w:pPr>
      <w:r>
        <w:rPr>
          <w:rFonts w:hint="eastAsia" w:cs="宋体" w:asciiTheme="majorEastAsia" w:hAnsiTheme="majorEastAsia" w:eastAsiaTheme="majorEastAsia"/>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F606EA3">
      <w:pPr>
        <w:pStyle w:val="133"/>
        <w:snapToGrid w:val="0"/>
        <w:spacing w:before="0"/>
        <w:ind w:firstLine="480"/>
        <w:rPr>
          <w:rFonts w:cs="宋体" w:asciiTheme="majorEastAsia" w:hAnsiTheme="majorEastAsia" w:eastAsiaTheme="majorEastAsia"/>
          <w:szCs w:val="24"/>
          <w:highlight w:val="none"/>
        </w:rPr>
      </w:pPr>
      <w:r>
        <w:rPr>
          <w:rFonts w:hint="eastAsia" w:cs="宋体" w:asciiTheme="majorEastAsia" w:hAnsiTheme="majorEastAsia" w:eastAsiaTheme="majorEastAsia"/>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B1D978C">
      <w:pPr>
        <w:pStyle w:val="35"/>
        <w:snapToGrid w:val="0"/>
        <w:spacing w:line="360" w:lineRule="auto"/>
        <w:ind w:firstLine="482" w:firstLineChars="200"/>
        <w:rPr>
          <w:rFonts w:cs="宋体" w:asciiTheme="majorEastAsia" w:hAnsiTheme="majorEastAsia" w:eastAsiaTheme="majorEastAsia"/>
          <w:b/>
          <w:sz w:val="24"/>
          <w:szCs w:val="24"/>
          <w:highlight w:val="none"/>
        </w:rPr>
      </w:pPr>
      <w:r>
        <w:rPr>
          <w:rFonts w:hint="eastAsia" w:cs="宋体" w:asciiTheme="majorEastAsia" w:hAnsiTheme="majorEastAsia" w:eastAsiaTheme="majorEastAsia"/>
          <w:b/>
          <w:sz w:val="24"/>
          <w:szCs w:val="24"/>
          <w:highlight w:val="none"/>
        </w:rPr>
        <w:t>15.备份投标文件</w:t>
      </w:r>
    </w:p>
    <w:p w14:paraId="74676BD2">
      <w:pPr>
        <w:pStyle w:val="35"/>
        <w:snapToGrid w:val="0"/>
        <w:spacing w:line="360" w:lineRule="auto"/>
        <w:ind w:firstLine="360" w:firstLineChars="150"/>
        <w:rPr>
          <w:rFonts w:cs="宋体" w:asciiTheme="majorEastAsia" w:hAnsiTheme="majorEastAsia" w:eastAsiaTheme="majorEastAsia"/>
          <w:b/>
          <w:sz w:val="24"/>
          <w:szCs w:val="24"/>
          <w:highlight w:val="none"/>
        </w:rPr>
      </w:pPr>
      <w:r>
        <w:rPr>
          <w:rFonts w:hint="eastAsia" w:cs="宋体" w:asciiTheme="majorEastAsia" w:hAnsiTheme="majorEastAsia" w:eastAsiaTheme="majorEastAsia"/>
          <w:sz w:val="24"/>
          <w:szCs w:val="24"/>
          <w:highlight w:val="none"/>
        </w:rPr>
        <w:t xml:space="preserve"> 15.1投标人在电子交易平台传输递交投标文件后，还可以在投标截止时间前直接提交或者以邮政快递方式递交备份投标文件1份，</w:t>
      </w:r>
      <w:r>
        <w:rPr>
          <w:rFonts w:hint="eastAsia" w:cs="宋体" w:asciiTheme="majorEastAsia" w:hAnsiTheme="majorEastAsia" w:eastAsiaTheme="majorEastAsia"/>
          <w:b/>
          <w:sz w:val="24"/>
          <w:szCs w:val="24"/>
          <w:highlight w:val="none"/>
        </w:rPr>
        <w:t>但采购人、采购代理机构不强制或变相强制投标人提交备份投标文件。</w:t>
      </w:r>
    </w:p>
    <w:p w14:paraId="74004F8C">
      <w:pPr>
        <w:pStyle w:val="35"/>
        <w:snapToGrid w:val="0"/>
        <w:spacing w:line="360" w:lineRule="auto"/>
        <w:ind w:firstLine="480" w:firstLineChars="200"/>
        <w:rPr>
          <w:rFonts w:cs="宋体" w:asciiTheme="majorEastAsia" w:hAnsiTheme="majorEastAsia" w:eastAsiaTheme="majorEastAsia"/>
          <w:b/>
          <w:sz w:val="24"/>
          <w:szCs w:val="24"/>
          <w:highlight w:val="none"/>
        </w:rPr>
      </w:pPr>
      <w:r>
        <w:rPr>
          <w:rFonts w:hint="eastAsia" w:cs="宋体" w:asciiTheme="majorEastAsia" w:hAnsiTheme="majorEastAsia" w:eastAsiaTheme="majorEastAsia"/>
          <w:sz w:val="24"/>
          <w:szCs w:val="24"/>
          <w:highlight w:val="none"/>
        </w:rPr>
        <w:t>15.2备份投标文件须在“政采云投标客户端”制作生成，并储存在</w:t>
      </w:r>
      <w:r>
        <w:rPr>
          <w:rFonts w:hint="eastAsia" w:cs="宋体" w:asciiTheme="majorEastAsia" w:hAnsiTheme="majorEastAsia" w:eastAsiaTheme="majorEastAsia"/>
          <w:sz w:val="24"/>
          <w:highlight w:val="none"/>
        </w:rPr>
        <w:t>DVD光盘等存储介质</w:t>
      </w:r>
      <w:r>
        <w:rPr>
          <w:rFonts w:hint="eastAsia" w:cs="宋体" w:asciiTheme="majorEastAsia" w:hAnsiTheme="majorEastAsia" w:eastAsiaTheme="majorEastAsia"/>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ajorEastAsia" w:hAnsiTheme="majorEastAsia" w:eastAsiaTheme="majorEastAsia"/>
          <w:b/>
          <w:sz w:val="24"/>
          <w:highlight w:val="none"/>
        </w:rPr>
        <w:t>不符合上述制作、</w:t>
      </w:r>
      <w:r>
        <w:rPr>
          <w:rFonts w:hint="eastAsia" w:cs="宋体" w:asciiTheme="majorEastAsia" w:hAnsiTheme="majorEastAsia" w:eastAsiaTheme="majorEastAsia"/>
          <w:b/>
          <w:sz w:val="24"/>
          <w:szCs w:val="24"/>
          <w:highlight w:val="none"/>
        </w:rPr>
        <w:t>存储、密封规定的备份投标文件将被视为无效或者被拒绝接收。</w:t>
      </w:r>
    </w:p>
    <w:p w14:paraId="4519E25D">
      <w:pPr>
        <w:pStyle w:val="35"/>
        <w:snapToGrid w:val="0"/>
        <w:spacing w:line="360" w:lineRule="auto"/>
        <w:ind w:firstLine="480" w:firstLineChars="200"/>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04C833F">
      <w:pPr>
        <w:pStyle w:val="35"/>
        <w:snapToGrid w:val="0"/>
        <w:spacing w:line="360" w:lineRule="auto"/>
        <w:ind w:firstLine="480" w:firstLineChars="200"/>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cs="宋体" w:asciiTheme="majorEastAsia" w:hAnsiTheme="majorEastAsia" w:eastAsiaTheme="majorEastAsia"/>
          <w:snapToGrid/>
          <w:sz w:val="24"/>
          <w:szCs w:val="24"/>
          <w:highlight w:val="none"/>
        </w:rPr>
        <w:t>招标文件第二部分投标人须知前附表规定的备份投标文件送达地点；</w:t>
      </w:r>
      <w:r>
        <w:rPr>
          <w:rFonts w:hint="eastAsia" w:cs="宋体" w:asciiTheme="majorEastAsia" w:hAnsiTheme="majorEastAsia" w:eastAsiaTheme="majorEastAsia"/>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4DEA827">
      <w:pPr>
        <w:pStyle w:val="35"/>
        <w:snapToGrid w:val="0"/>
        <w:spacing w:line="360" w:lineRule="auto"/>
        <w:ind w:firstLine="479" w:firstLineChars="199"/>
        <w:rPr>
          <w:rFonts w:cs="宋体" w:asciiTheme="majorEastAsia" w:hAnsiTheme="majorEastAsia" w:eastAsiaTheme="majorEastAsia"/>
          <w:b/>
          <w:sz w:val="24"/>
          <w:szCs w:val="24"/>
          <w:highlight w:val="none"/>
        </w:rPr>
      </w:pPr>
      <w:r>
        <w:rPr>
          <w:rFonts w:hint="eastAsia" w:cs="宋体" w:asciiTheme="majorEastAsia" w:hAnsiTheme="majorEastAsia" w:eastAsiaTheme="majorEastAsia"/>
          <w:b/>
          <w:sz w:val="24"/>
          <w:szCs w:val="24"/>
          <w:highlight w:val="none"/>
        </w:rPr>
        <w:t>15.5投标人仅提交备份投标文件，未在电子交易平台传输递交投标文件的，投标无效。</w:t>
      </w:r>
    </w:p>
    <w:p w14:paraId="1498893C">
      <w:pPr>
        <w:pStyle w:val="133"/>
        <w:snapToGrid w:val="0"/>
        <w:spacing w:before="0"/>
        <w:ind w:firstLine="482"/>
        <w:rPr>
          <w:rFonts w:cs="宋体" w:asciiTheme="majorEastAsia" w:hAnsiTheme="majorEastAsia" w:eastAsiaTheme="majorEastAsia"/>
          <w:b/>
          <w:szCs w:val="24"/>
          <w:highlight w:val="none"/>
        </w:rPr>
      </w:pPr>
      <w:r>
        <w:rPr>
          <w:rFonts w:hint="eastAsia" w:cs="宋体" w:asciiTheme="majorEastAsia" w:hAnsiTheme="majorEastAsia" w:eastAsiaTheme="majorEastAsia"/>
          <w:b/>
          <w:szCs w:val="24"/>
          <w:highlight w:val="none"/>
        </w:rPr>
        <w:t>16.投标文件的无效处理</w:t>
      </w:r>
    </w:p>
    <w:p w14:paraId="0F6C3E83">
      <w:pPr>
        <w:pStyle w:val="26"/>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有招标文件第四部分4.2规定的情形之一的，投标无效。</w:t>
      </w:r>
    </w:p>
    <w:p w14:paraId="3FE77ECF">
      <w:pPr>
        <w:pStyle w:val="133"/>
        <w:snapToGrid w:val="0"/>
        <w:spacing w:before="0"/>
        <w:ind w:firstLine="482"/>
        <w:rPr>
          <w:rFonts w:cs="宋体" w:asciiTheme="majorEastAsia" w:hAnsiTheme="majorEastAsia" w:eastAsiaTheme="majorEastAsia"/>
          <w:b/>
          <w:szCs w:val="24"/>
          <w:highlight w:val="none"/>
        </w:rPr>
      </w:pPr>
      <w:r>
        <w:rPr>
          <w:rFonts w:hint="eastAsia" w:cs="宋体" w:asciiTheme="majorEastAsia" w:hAnsiTheme="majorEastAsia" w:eastAsiaTheme="majorEastAsia"/>
          <w:b/>
          <w:szCs w:val="24"/>
          <w:highlight w:val="none"/>
        </w:rPr>
        <w:t>17.投标有效期</w:t>
      </w:r>
    </w:p>
    <w:p w14:paraId="51E7343B">
      <w:pPr>
        <w:snapToGrid w:val="0"/>
        <w:spacing w:line="360" w:lineRule="auto"/>
        <w:ind w:firstLine="480" w:firstLineChars="200"/>
        <w:rPr>
          <w:rFonts w:cs="宋体" w:asciiTheme="majorEastAsia" w:hAnsiTheme="majorEastAsia" w:eastAsiaTheme="majorEastAsia"/>
          <w:b/>
          <w:sz w:val="24"/>
          <w:szCs w:val="21"/>
          <w:highlight w:val="none"/>
        </w:rPr>
      </w:pPr>
      <w:r>
        <w:rPr>
          <w:rFonts w:hint="eastAsia" w:cs="宋体" w:asciiTheme="majorEastAsia" w:hAnsiTheme="majorEastAsia" w:eastAsiaTheme="majorEastAsia"/>
          <w:sz w:val="24"/>
          <w:szCs w:val="20"/>
          <w:highlight w:val="none"/>
        </w:rPr>
        <w:t>17.1投标有效期为从提交投标文件的截止之日起90天。▲</w:t>
      </w:r>
      <w:r>
        <w:rPr>
          <w:rFonts w:hint="eastAsia" w:cs="宋体" w:asciiTheme="majorEastAsia" w:hAnsiTheme="majorEastAsia" w:eastAsiaTheme="majorEastAsia"/>
          <w:b/>
          <w:sz w:val="24"/>
          <w:szCs w:val="20"/>
          <w:highlight w:val="none"/>
        </w:rPr>
        <w:t>投标人的投标文件中承</w:t>
      </w:r>
      <w:r>
        <w:rPr>
          <w:rFonts w:hint="eastAsia" w:cs="宋体" w:asciiTheme="majorEastAsia" w:hAnsiTheme="majorEastAsia" w:eastAsiaTheme="majorEastAsia"/>
          <w:b/>
          <w:sz w:val="24"/>
          <w:szCs w:val="21"/>
          <w:highlight w:val="none"/>
        </w:rPr>
        <w:t>诺的投标有效期少于招标文件中载明的投标有效期的，投标无效。</w:t>
      </w:r>
    </w:p>
    <w:p w14:paraId="06C24C0C">
      <w:pPr>
        <w:pStyle w:val="133"/>
        <w:snapToGrid w:val="0"/>
        <w:spacing w:before="0"/>
        <w:ind w:firstLine="480"/>
        <w:rPr>
          <w:rFonts w:cs="宋体" w:asciiTheme="majorEastAsia" w:hAnsiTheme="majorEastAsia" w:eastAsiaTheme="majorEastAsia"/>
          <w:highlight w:val="none"/>
        </w:rPr>
      </w:pPr>
      <w:r>
        <w:rPr>
          <w:rFonts w:hint="eastAsia" w:cs="宋体" w:asciiTheme="majorEastAsia" w:hAnsiTheme="majorEastAsia" w:eastAsiaTheme="majorEastAsia"/>
          <w:highlight w:val="none"/>
        </w:rPr>
        <w:t>17.2投标文件合格投递后，自投标截止日期起，在投标有效期内有效。</w:t>
      </w:r>
    </w:p>
    <w:p w14:paraId="0839E8BC">
      <w:pPr>
        <w:pStyle w:val="133"/>
        <w:snapToGrid w:val="0"/>
        <w:spacing w:before="0"/>
        <w:ind w:firstLine="480"/>
        <w:rPr>
          <w:rFonts w:cs="宋体" w:asciiTheme="majorEastAsia" w:hAnsiTheme="majorEastAsia" w:eastAsiaTheme="majorEastAsia"/>
          <w:highlight w:val="none"/>
        </w:rPr>
      </w:pPr>
      <w:r>
        <w:rPr>
          <w:rFonts w:hint="eastAsia" w:cs="宋体" w:asciiTheme="majorEastAsia" w:hAnsiTheme="majorEastAsia" w:eastAsiaTheme="majorEastAsia"/>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97FB982">
      <w:pPr>
        <w:pStyle w:val="133"/>
        <w:snapToGrid w:val="0"/>
        <w:spacing w:before="0"/>
        <w:ind w:firstLine="1928" w:firstLineChars="600"/>
        <w:rPr>
          <w:rFonts w:hint="eastAsia" w:cs="宋体" w:asciiTheme="majorEastAsia" w:hAnsiTheme="majorEastAsia" w:eastAsiaTheme="majorEastAsia"/>
          <w:b/>
          <w:sz w:val="32"/>
          <w:highlight w:val="none"/>
        </w:rPr>
      </w:pPr>
    </w:p>
    <w:p w14:paraId="6FC91303">
      <w:pPr>
        <w:pStyle w:val="133"/>
        <w:snapToGrid w:val="0"/>
        <w:spacing w:before="0"/>
        <w:ind w:firstLine="1928" w:firstLineChars="600"/>
        <w:rPr>
          <w:rFonts w:cs="宋体" w:asciiTheme="majorEastAsia" w:hAnsiTheme="majorEastAsia" w:eastAsiaTheme="majorEastAsia"/>
          <w:b/>
          <w:sz w:val="32"/>
          <w:highlight w:val="none"/>
        </w:rPr>
      </w:pPr>
      <w:r>
        <w:rPr>
          <w:rFonts w:hint="eastAsia" w:cs="宋体" w:asciiTheme="majorEastAsia" w:hAnsiTheme="majorEastAsia" w:eastAsiaTheme="majorEastAsia"/>
          <w:b/>
          <w:sz w:val="32"/>
          <w:highlight w:val="none"/>
        </w:rPr>
        <w:t>四、开标、资格审查与信用信息查询</w:t>
      </w:r>
    </w:p>
    <w:p w14:paraId="497CB368">
      <w:pPr>
        <w:pStyle w:val="560"/>
        <w:snapToGrid w:val="0"/>
        <w:spacing w:before="0" w:line="360" w:lineRule="auto"/>
        <w:ind w:left="0" w:firstLine="482" w:firstLineChars="200"/>
        <w:contextualSpacing/>
        <w:rPr>
          <w:rFonts w:cs="宋体" w:asciiTheme="majorEastAsia" w:hAnsiTheme="majorEastAsia" w:eastAsiaTheme="majorEastAsia"/>
          <w:sz w:val="24"/>
          <w:highlight w:val="none"/>
        </w:rPr>
      </w:pPr>
      <w:r>
        <w:rPr>
          <w:rFonts w:hint="eastAsia" w:cs="宋体" w:asciiTheme="majorEastAsia" w:hAnsiTheme="majorEastAsia" w:eastAsiaTheme="majorEastAsia"/>
          <w:b/>
          <w:sz w:val="24"/>
          <w:szCs w:val="24"/>
          <w:highlight w:val="none"/>
        </w:rPr>
        <w:t>18.开标</w:t>
      </w:r>
    </w:p>
    <w:p w14:paraId="44C10CCA">
      <w:pPr>
        <w:pStyle w:val="560"/>
        <w:snapToGrid w:val="0"/>
        <w:spacing w:before="0" w:line="360" w:lineRule="auto"/>
        <w:ind w:left="0" w:firstLine="480" w:firstLineChars="200"/>
        <w:contextualSpacing/>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18.1采购代理机构按照招标文件规定的时间通过电子交易平台组织开标，所有投标人均应当准时在线参加。投标人不足3家的，不得开标。</w:t>
      </w:r>
    </w:p>
    <w:p w14:paraId="232937A0">
      <w:pPr>
        <w:pStyle w:val="560"/>
        <w:snapToGrid w:val="0"/>
        <w:spacing w:before="0" w:line="360" w:lineRule="auto"/>
        <w:ind w:left="0" w:firstLine="240" w:firstLineChars="100"/>
        <w:contextualSpacing/>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B43C4D8">
      <w:pPr>
        <w:pStyle w:val="560"/>
        <w:snapToGrid w:val="0"/>
        <w:spacing w:before="0" w:line="360" w:lineRule="auto"/>
        <w:ind w:left="0" w:firstLine="240" w:firstLineChars="100"/>
        <w:contextualSpacing/>
        <w:rPr>
          <w:rFonts w:cs="宋体" w:asciiTheme="majorEastAsia" w:hAnsiTheme="majorEastAsia" w:eastAsiaTheme="majorEastAsia"/>
          <w:b/>
          <w:sz w:val="24"/>
          <w:highlight w:val="none"/>
        </w:rPr>
      </w:pPr>
      <w:r>
        <w:rPr>
          <w:rFonts w:hint="eastAsia" w:cs="宋体" w:asciiTheme="majorEastAsia" w:hAnsiTheme="majorEastAsia" w:eastAsiaTheme="majorEastAsia"/>
          <w:sz w:val="24"/>
          <w:highlight w:val="none"/>
        </w:rPr>
        <w:t>　18.3</w:t>
      </w:r>
      <w:r>
        <w:rPr>
          <w:rFonts w:hint="eastAsia" w:cs="宋体" w:asciiTheme="majorEastAsia" w:hAnsiTheme="majorEastAsia" w:eastAsiaTheme="majorEastAsia"/>
          <w:b/>
          <w:sz w:val="24"/>
          <w:highlight w:val="none"/>
        </w:rPr>
        <w:t>投标文件未按时解密，投标人提供了备份投标文件的，以备份投标文件作为依据，否则视为投标文件撤回。投标文件已按时解密的，备份投标文件自动失效。</w:t>
      </w:r>
    </w:p>
    <w:p w14:paraId="47167C85">
      <w:pPr>
        <w:widowControl/>
        <w:snapToGrid w:val="0"/>
        <w:spacing w:line="360" w:lineRule="auto"/>
        <w:ind w:firstLine="482" w:firstLineChars="200"/>
        <w:jc w:val="left"/>
        <w:rPr>
          <w:rFonts w:cs="宋体" w:asciiTheme="majorEastAsia" w:hAnsiTheme="majorEastAsia" w:eastAsiaTheme="majorEastAsia"/>
          <w:b/>
          <w:sz w:val="24"/>
          <w:szCs w:val="20"/>
          <w:highlight w:val="none"/>
        </w:rPr>
      </w:pPr>
      <w:r>
        <w:rPr>
          <w:rFonts w:hint="eastAsia" w:cs="宋体" w:asciiTheme="majorEastAsia" w:hAnsiTheme="majorEastAsia" w:eastAsiaTheme="majorEastAsia"/>
          <w:b/>
          <w:sz w:val="24"/>
          <w:szCs w:val="20"/>
          <w:highlight w:val="none"/>
        </w:rPr>
        <w:t>19.资格审查</w:t>
      </w:r>
    </w:p>
    <w:p w14:paraId="06213275">
      <w:pPr>
        <w:snapToGrid w:val="0"/>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kern w:val="0"/>
          <w:sz w:val="24"/>
          <w:highlight w:val="none"/>
        </w:rPr>
        <w:t>19.1</w:t>
      </w:r>
      <w:r>
        <w:rPr>
          <w:rFonts w:hint="eastAsia" w:cs="宋体" w:asciiTheme="majorEastAsia" w:hAnsiTheme="majorEastAsia" w:eastAsiaTheme="majorEastAsia"/>
          <w:sz w:val="24"/>
          <w:highlight w:val="none"/>
        </w:rPr>
        <w:t>采购人或采购代理机构依据法律法规和招标文件的规定，对投标人的资格进行审查。</w:t>
      </w:r>
    </w:p>
    <w:p w14:paraId="729231BF">
      <w:pPr>
        <w:pStyle w:val="133"/>
        <w:snapToGrid w:val="0"/>
        <w:spacing w:before="0"/>
        <w:ind w:firstLine="480"/>
        <w:rPr>
          <w:rFonts w:cs="宋体" w:asciiTheme="majorEastAsia" w:hAnsiTheme="majorEastAsia" w:eastAsiaTheme="majorEastAsia"/>
          <w:highlight w:val="none"/>
        </w:rPr>
      </w:pPr>
      <w:r>
        <w:rPr>
          <w:rFonts w:hint="eastAsia" w:cs="宋体" w:asciiTheme="majorEastAsia" w:hAnsiTheme="majorEastAsia" w:eastAsiaTheme="majorEastAsia"/>
          <w:kern w:val="0"/>
          <w:szCs w:val="24"/>
          <w:highlight w:val="none"/>
        </w:rPr>
        <w:t>19.2投标人未按照招标文件要求提供与</w:t>
      </w:r>
      <w:r>
        <w:rPr>
          <w:rFonts w:hint="eastAsia" w:cs="宋体" w:asciiTheme="majorEastAsia" w:hAnsiTheme="majorEastAsia" w:eastAsiaTheme="majorEastAsia"/>
          <w:highlight w:val="none"/>
        </w:rPr>
        <w:t>资格条件相应的</w:t>
      </w:r>
      <w:r>
        <w:rPr>
          <w:rFonts w:hint="eastAsia" w:cs="宋体" w:asciiTheme="majorEastAsia" w:hAnsiTheme="majorEastAsia" w:eastAsiaTheme="majorEastAsia"/>
          <w:kern w:val="0"/>
          <w:szCs w:val="24"/>
          <w:highlight w:val="none"/>
        </w:rPr>
        <w:t>有效资格证明材料的，视为</w:t>
      </w:r>
      <w:r>
        <w:rPr>
          <w:rFonts w:hint="eastAsia" w:cs="宋体" w:asciiTheme="majorEastAsia" w:hAnsiTheme="majorEastAsia" w:eastAsiaTheme="majorEastAsia"/>
          <w:highlight w:val="none"/>
        </w:rPr>
        <w:t>投标人不具备招标文件中规定的资格要求，其投标无效。</w:t>
      </w:r>
    </w:p>
    <w:p w14:paraId="481CC340">
      <w:pPr>
        <w:pStyle w:val="133"/>
        <w:snapToGrid w:val="0"/>
        <w:spacing w:before="0"/>
        <w:ind w:firstLine="480"/>
        <w:rPr>
          <w:rFonts w:cs="宋体" w:asciiTheme="majorEastAsia" w:hAnsiTheme="majorEastAsia" w:eastAsiaTheme="majorEastAsia"/>
          <w:highlight w:val="none"/>
        </w:rPr>
      </w:pPr>
      <w:r>
        <w:rPr>
          <w:rFonts w:hint="eastAsia" w:cs="宋体" w:asciiTheme="majorEastAsia" w:hAnsiTheme="majorEastAsia" w:eastAsiaTheme="majorEastAsia"/>
          <w:kern w:val="0"/>
          <w:szCs w:val="24"/>
          <w:highlight w:val="none"/>
        </w:rPr>
        <w:t>19.</w:t>
      </w:r>
      <w:r>
        <w:rPr>
          <w:rFonts w:hint="eastAsia" w:cs="宋体" w:asciiTheme="majorEastAsia" w:hAnsiTheme="majorEastAsia" w:eastAsiaTheme="majorEastAsia"/>
          <w:highlight w:val="none"/>
        </w:rPr>
        <w:t>3对未通过资格审查的投标人，采购人或采购代理机构告知其未通过的原因。</w:t>
      </w:r>
    </w:p>
    <w:p w14:paraId="5B8672E8">
      <w:pPr>
        <w:pStyle w:val="133"/>
        <w:snapToGrid w:val="0"/>
        <w:spacing w:before="0"/>
        <w:ind w:firstLine="480"/>
        <w:rPr>
          <w:rFonts w:cs="宋体" w:asciiTheme="majorEastAsia" w:hAnsiTheme="majorEastAsia" w:eastAsiaTheme="majorEastAsia"/>
          <w:color w:val="auto"/>
          <w:highlight w:val="none"/>
        </w:rPr>
      </w:pPr>
      <w:r>
        <w:rPr>
          <w:rFonts w:hint="eastAsia" w:cs="宋体" w:asciiTheme="majorEastAsia" w:hAnsiTheme="majorEastAsia" w:eastAsiaTheme="majorEastAsia"/>
          <w:kern w:val="0"/>
          <w:szCs w:val="24"/>
          <w:highlight w:val="none"/>
        </w:rPr>
        <w:t>19.</w:t>
      </w:r>
      <w:r>
        <w:rPr>
          <w:rFonts w:hint="eastAsia" w:cs="宋体" w:asciiTheme="majorEastAsia" w:hAnsiTheme="majorEastAsia" w:eastAsiaTheme="majorEastAsia"/>
          <w:highlight w:val="none"/>
        </w:rPr>
        <w:t>4合格投标人</w:t>
      </w:r>
      <w:r>
        <w:rPr>
          <w:rFonts w:hint="eastAsia" w:cs="宋体" w:asciiTheme="majorEastAsia" w:hAnsiTheme="majorEastAsia" w:eastAsiaTheme="majorEastAsia"/>
          <w:color w:val="auto"/>
          <w:highlight w:val="none"/>
        </w:rPr>
        <w:t>不足3家的，不再评标。</w:t>
      </w:r>
    </w:p>
    <w:p w14:paraId="050F92E6">
      <w:pPr>
        <w:pStyle w:val="133"/>
        <w:snapToGrid w:val="0"/>
        <w:spacing w:before="0"/>
        <w:ind w:firstLine="482"/>
        <w:rPr>
          <w:rFonts w:cs="宋体" w:asciiTheme="majorEastAsia" w:hAnsiTheme="majorEastAsia" w:eastAsiaTheme="majorEastAsia"/>
          <w:b/>
          <w:szCs w:val="24"/>
          <w:highlight w:val="none"/>
        </w:rPr>
      </w:pPr>
      <w:r>
        <w:rPr>
          <w:rFonts w:hint="eastAsia" w:cs="宋体" w:asciiTheme="majorEastAsia" w:hAnsiTheme="majorEastAsia" w:eastAsiaTheme="majorEastAsia"/>
          <w:b/>
          <w:szCs w:val="24"/>
          <w:highlight w:val="none"/>
        </w:rPr>
        <w:t>20.信用信息查询</w:t>
      </w:r>
    </w:p>
    <w:p w14:paraId="60C6F813">
      <w:pPr>
        <w:pStyle w:val="133"/>
        <w:snapToGrid w:val="0"/>
        <w:spacing w:before="0"/>
        <w:ind w:firstLine="495" w:firstLineChars="0"/>
        <w:rPr>
          <w:rFonts w:cs="宋体" w:asciiTheme="majorEastAsia" w:hAnsiTheme="majorEastAsia" w:eastAsiaTheme="majorEastAsia"/>
          <w:kern w:val="0"/>
          <w:szCs w:val="24"/>
          <w:highlight w:val="none"/>
        </w:rPr>
      </w:pPr>
      <w:r>
        <w:rPr>
          <w:rFonts w:hint="eastAsia" w:cs="宋体" w:asciiTheme="majorEastAsia" w:hAnsiTheme="majorEastAsia" w:eastAsiaTheme="majorEastAsia"/>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79EF2CBA">
      <w:pPr>
        <w:pStyle w:val="133"/>
        <w:snapToGrid w:val="0"/>
        <w:spacing w:before="0"/>
        <w:ind w:firstLine="495" w:firstLineChars="0"/>
        <w:rPr>
          <w:rFonts w:cs="宋体" w:asciiTheme="majorEastAsia" w:hAnsiTheme="majorEastAsia" w:eastAsiaTheme="majorEastAsia"/>
          <w:kern w:val="0"/>
          <w:szCs w:val="24"/>
          <w:highlight w:val="none"/>
        </w:rPr>
      </w:pPr>
      <w:r>
        <w:rPr>
          <w:rFonts w:hint="eastAsia" w:cs="宋体" w:asciiTheme="majorEastAsia" w:hAnsiTheme="majorEastAsia" w:eastAsiaTheme="majorEastAsia"/>
          <w:kern w:val="0"/>
          <w:szCs w:val="24"/>
          <w:highlight w:val="none"/>
        </w:rPr>
        <w:t>20.2信用信息查询记录和证据留存的具体方式：现场查询的投标人的信用记录、查询结果经确认后将与采购文件一起存档。</w:t>
      </w:r>
    </w:p>
    <w:p w14:paraId="06B6E8C4">
      <w:pPr>
        <w:pStyle w:val="133"/>
        <w:snapToGrid w:val="0"/>
        <w:spacing w:before="0"/>
        <w:ind w:firstLine="495" w:firstLineChars="0"/>
        <w:rPr>
          <w:rFonts w:cs="宋体" w:asciiTheme="majorEastAsia" w:hAnsiTheme="majorEastAsia" w:eastAsiaTheme="majorEastAsia"/>
          <w:kern w:val="0"/>
          <w:szCs w:val="24"/>
          <w:highlight w:val="none"/>
        </w:rPr>
      </w:pPr>
      <w:r>
        <w:rPr>
          <w:rFonts w:hint="eastAsia" w:cs="宋体" w:asciiTheme="majorEastAsia" w:hAnsiTheme="majorEastAsia" w:eastAsiaTheme="majorEastAsia"/>
          <w:kern w:val="0"/>
          <w:szCs w:val="24"/>
          <w:highlight w:val="none"/>
        </w:rPr>
        <w:t>20.3信用信息的使用规则：经查询列入失信被执行人名单、重大税收违法案件当事人名单、政府采购严重违法失信行为记录名单的投标人将被拒绝参与政府采购活动。</w:t>
      </w:r>
    </w:p>
    <w:p w14:paraId="27D7E4E4">
      <w:pPr>
        <w:pStyle w:val="133"/>
        <w:snapToGrid w:val="0"/>
        <w:spacing w:before="0"/>
        <w:ind w:firstLine="480"/>
        <w:rPr>
          <w:rFonts w:cs="宋体" w:asciiTheme="majorEastAsia" w:hAnsiTheme="majorEastAsia" w:eastAsiaTheme="majorEastAsia"/>
          <w:highlight w:val="none"/>
        </w:rPr>
      </w:pPr>
      <w:r>
        <w:rPr>
          <w:rFonts w:hint="eastAsia" w:cs="宋体" w:asciiTheme="majorEastAsia" w:hAnsiTheme="majorEastAsia" w:eastAsiaTheme="majorEastAsia"/>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ajorEastAsia" w:hAnsiTheme="majorEastAsia" w:eastAsiaTheme="majorEastAsia"/>
          <w:highlight w:val="none"/>
        </w:rPr>
        <w:t>。</w:t>
      </w:r>
    </w:p>
    <w:p w14:paraId="58DEFFF7">
      <w:pPr>
        <w:pStyle w:val="133"/>
        <w:snapToGrid w:val="0"/>
        <w:spacing w:before="0"/>
        <w:ind w:firstLine="0" w:firstLineChars="0"/>
        <w:rPr>
          <w:rFonts w:cs="宋体" w:asciiTheme="majorEastAsia" w:hAnsiTheme="majorEastAsia" w:eastAsiaTheme="majorEastAsia"/>
          <w:kern w:val="0"/>
          <w:szCs w:val="24"/>
          <w:highlight w:val="none"/>
        </w:rPr>
      </w:pPr>
    </w:p>
    <w:p w14:paraId="3FE1D4CD">
      <w:pPr>
        <w:snapToGrid w:val="0"/>
        <w:spacing w:line="360" w:lineRule="auto"/>
        <w:jc w:val="center"/>
        <w:outlineLvl w:val="0"/>
        <w:rPr>
          <w:rFonts w:cs="宋体" w:asciiTheme="majorEastAsia" w:hAnsiTheme="majorEastAsia" w:eastAsiaTheme="majorEastAsia"/>
          <w:b/>
          <w:sz w:val="36"/>
          <w:szCs w:val="36"/>
          <w:highlight w:val="none"/>
        </w:rPr>
      </w:pPr>
      <w:r>
        <w:rPr>
          <w:rFonts w:hint="eastAsia" w:cs="宋体" w:asciiTheme="majorEastAsia" w:hAnsiTheme="majorEastAsia" w:eastAsiaTheme="majorEastAsia"/>
          <w:b/>
          <w:sz w:val="36"/>
          <w:szCs w:val="36"/>
          <w:highlight w:val="none"/>
        </w:rPr>
        <w:t>五、评标</w:t>
      </w:r>
    </w:p>
    <w:p w14:paraId="3413BAA8">
      <w:pPr>
        <w:snapToGrid w:val="0"/>
        <w:spacing w:line="360" w:lineRule="auto"/>
        <w:ind w:firstLine="482" w:firstLineChars="200"/>
        <w:rPr>
          <w:rFonts w:cs="宋体" w:asciiTheme="majorEastAsia" w:hAnsiTheme="majorEastAsia" w:eastAsiaTheme="majorEastAsia"/>
          <w:b/>
          <w:sz w:val="24"/>
          <w:highlight w:val="none"/>
        </w:rPr>
      </w:pPr>
      <w:bookmarkStart w:id="14" w:name="_Toc91899903"/>
      <w:r>
        <w:rPr>
          <w:rFonts w:hint="eastAsia" w:cs="宋体" w:asciiTheme="majorEastAsia" w:hAnsiTheme="majorEastAsia" w:eastAsiaTheme="majorEastAsia"/>
          <w:b/>
          <w:sz w:val="24"/>
          <w:highlight w:val="none"/>
        </w:rPr>
        <w:t>21.</w:t>
      </w:r>
      <w:r>
        <w:rPr>
          <w:rFonts w:hint="eastAsia" w:cs="宋体" w:asciiTheme="majorEastAsia" w:hAnsiTheme="majorEastAsia" w:eastAsiaTheme="majorEastAsia"/>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ajorEastAsia" w:hAnsiTheme="majorEastAsia" w:eastAsiaTheme="majorEastAsia"/>
          <w:b/>
          <w:sz w:val="24"/>
          <w:highlight w:val="none"/>
        </w:rPr>
        <w:t>详见招标文件第四部分评标办法。</w:t>
      </w:r>
    </w:p>
    <w:p w14:paraId="43C997E8">
      <w:pPr>
        <w:snapToGrid w:val="0"/>
        <w:spacing w:line="360" w:lineRule="auto"/>
        <w:rPr>
          <w:rFonts w:cs="宋体" w:asciiTheme="majorEastAsia" w:hAnsiTheme="majorEastAsia" w:eastAsiaTheme="majorEastAsia"/>
          <w:b/>
          <w:sz w:val="24"/>
          <w:highlight w:val="none"/>
        </w:rPr>
      </w:pPr>
    </w:p>
    <w:p w14:paraId="6D403747">
      <w:pPr>
        <w:snapToGrid w:val="0"/>
        <w:spacing w:line="360" w:lineRule="auto"/>
        <w:jc w:val="center"/>
        <w:outlineLvl w:val="0"/>
        <w:rPr>
          <w:rFonts w:cs="宋体" w:asciiTheme="majorEastAsia" w:hAnsiTheme="majorEastAsia" w:eastAsiaTheme="majorEastAsia"/>
          <w:b/>
          <w:sz w:val="36"/>
          <w:szCs w:val="36"/>
          <w:highlight w:val="none"/>
        </w:rPr>
      </w:pPr>
      <w:r>
        <w:rPr>
          <w:rFonts w:hint="eastAsia" w:cs="宋体" w:asciiTheme="majorEastAsia" w:hAnsiTheme="majorEastAsia" w:eastAsiaTheme="majorEastAsia"/>
          <w:b/>
          <w:sz w:val="36"/>
          <w:szCs w:val="36"/>
          <w:highlight w:val="none"/>
        </w:rPr>
        <w:t>六、定 标</w:t>
      </w:r>
    </w:p>
    <w:p w14:paraId="5EBA7DF8">
      <w:pPr>
        <w:pStyle w:val="26"/>
        <w:snapToGrid w:val="0"/>
        <w:spacing w:line="360" w:lineRule="auto"/>
        <w:ind w:left="479" w:leftChars="228" w:firstLine="0" w:firstLineChars="0"/>
        <w:rPr>
          <w:rFonts w:cs="宋体" w:asciiTheme="majorEastAsia" w:hAnsiTheme="majorEastAsia" w:eastAsiaTheme="majorEastAsia"/>
          <w:b/>
          <w:highlight w:val="none"/>
        </w:rPr>
      </w:pPr>
      <w:r>
        <w:rPr>
          <w:rFonts w:hint="eastAsia" w:cs="宋体" w:asciiTheme="majorEastAsia" w:hAnsiTheme="majorEastAsia" w:eastAsiaTheme="majorEastAsia"/>
          <w:b/>
          <w:highlight w:val="none"/>
        </w:rPr>
        <w:t>22.确定中标供应商</w:t>
      </w:r>
    </w:p>
    <w:p w14:paraId="02136256">
      <w:pPr>
        <w:pStyle w:val="133"/>
        <w:snapToGrid w:val="0"/>
        <w:spacing w:before="0"/>
        <w:ind w:firstLine="480"/>
        <w:rPr>
          <w:rFonts w:cs="宋体" w:asciiTheme="majorEastAsia" w:hAnsiTheme="majorEastAsia" w:eastAsiaTheme="majorEastAsia"/>
          <w:b/>
          <w:color w:val="auto"/>
          <w:szCs w:val="24"/>
          <w:highlight w:val="none"/>
        </w:rPr>
      </w:pPr>
      <w:r>
        <w:rPr>
          <w:rFonts w:hint="eastAsia" w:cs="宋体" w:asciiTheme="majorEastAsia" w:hAnsiTheme="majorEastAsia" w:eastAsiaTheme="majorEastAsia"/>
          <w:szCs w:val="24"/>
          <w:highlight w:val="none"/>
        </w:rPr>
        <w:t>政府采购项目实行全流程电子化，评审报告送交、采购结果确定和结果公告均在线完成。为进一步提升采购结果确定效率，采购代理机构应当依法及时将评审报告在线送交采</w:t>
      </w:r>
      <w:r>
        <w:rPr>
          <w:rFonts w:hint="eastAsia" w:cs="宋体" w:asciiTheme="majorEastAsia" w:hAnsiTheme="majorEastAsia" w:eastAsiaTheme="majorEastAsia"/>
          <w:color w:val="auto"/>
          <w:szCs w:val="24"/>
          <w:highlight w:val="none"/>
        </w:rPr>
        <w:t>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6733E2C">
      <w:pPr>
        <w:pStyle w:val="133"/>
        <w:snapToGrid w:val="0"/>
        <w:spacing w:before="0"/>
        <w:ind w:firstLine="482"/>
        <w:rPr>
          <w:rFonts w:cs="宋体" w:asciiTheme="majorEastAsia" w:hAnsiTheme="majorEastAsia" w:eastAsiaTheme="majorEastAsia"/>
          <w:b/>
          <w:color w:val="auto"/>
          <w:szCs w:val="24"/>
          <w:highlight w:val="none"/>
        </w:rPr>
      </w:pPr>
      <w:r>
        <w:rPr>
          <w:rFonts w:hint="eastAsia" w:cs="宋体" w:asciiTheme="majorEastAsia" w:hAnsiTheme="majorEastAsia" w:eastAsiaTheme="majorEastAsia"/>
          <w:b/>
          <w:color w:val="auto"/>
          <w:szCs w:val="24"/>
          <w:highlight w:val="none"/>
        </w:rPr>
        <w:t>23.中标通知与中标结果公告</w:t>
      </w:r>
    </w:p>
    <w:p w14:paraId="7519C80E">
      <w:pPr>
        <w:widowControl/>
        <w:shd w:val="clear" w:color="auto" w:fill="FFFFFF"/>
        <w:snapToGrid w:val="0"/>
        <w:spacing w:line="360" w:lineRule="auto"/>
        <w:ind w:firstLine="48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4E22CEA">
      <w:pPr>
        <w:widowControl/>
        <w:shd w:val="clear" w:color="auto" w:fill="FFFFFF"/>
        <w:snapToGrid w:val="0"/>
        <w:spacing w:line="360" w:lineRule="auto"/>
        <w:ind w:firstLine="48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cs="宋体" w:asciiTheme="majorEastAsia" w:hAnsiTheme="majorEastAsia" w:eastAsiaTheme="majorEastAsia"/>
          <w:color w:val="auto"/>
          <w:sz w:val="24"/>
          <w:highlight w:val="none"/>
        </w:rPr>
        <w:t>资格审查情况、评审专家抽取规则、符合性审查情况、</w:t>
      </w:r>
      <w:bookmarkEnd w:id="15"/>
      <w:r>
        <w:rPr>
          <w:rFonts w:hint="eastAsia" w:cs="宋体" w:asciiTheme="majorEastAsia" w:hAnsiTheme="majorEastAsia" w:eastAsiaTheme="majorEastAsia"/>
          <w:color w:val="auto"/>
          <w:sz w:val="24"/>
          <w:highlight w:val="none"/>
        </w:rPr>
        <w:t>未中标情况说明、中标公告期限以及评审专家名单、评分汇总及明细。</w:t>
      </w:r>
    </w:p>
    <w:p w14:paraId="662942F1">
      <w:pPr>
        <w:widowControl/>
        <w:shd w:val="clear" w:color="auto" w:fill="FFFFFF"/>
        <w:snapToGrid w:val="0"/>
        <w:spacing w:line="360" w:lineRule="auto"/>
        <w:ind w:firstLine="48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23.3公告期限为1个工作日。</w:t>
      </w:r>
    </w:p>
    <w:p w14:paraId="427A52E9">
      <w:pPr>
        <w:pStyle w:val="133"/>
        <w:snapToGrid w:val="0"/>
        <w:spacing w:before="0"/>
        <w:ind w:firstLine="482"/>
        <w:rPr>
          <w:rFonts w:cs="宋体" w:asciiTheme="majorEastAsia" w:hAnsiTheme="majorEastAsia" w:eastAsiaTheme="majorEastAsia"/>
          <w:bCs/>
          <w:color w:val="auto"/>
          <w:szCs w:val="24"/>
          <w:highlight w:val="none"/>
        </w:rPr>
      </w:pPr>
      <w:r>
        <w:rPr>
          <w:rFonts w:hint="eastAsia" w:cs="宋体" w:asciiTheme="majorEastAsia" w:hAnsiTheme="majorEastAsia" w:eastAsiaTheme="majorEastAsia"/>
          <w:b w:val="0"/>
          <w:bCs/>
          <w:color w:val="auto"/>
          <w:szCs w:val="24"/>
          <w:highlight w:val="none"/>
        </w:rPr>
        <w:t>23.4</w:t>
      </w:r>
      <w:r>
        <w:rPr>
          <w:rFonts w:hint="eastAsia" w:cs="宋体" w:asciiTheme="majorEastAsia" w:hAnsiTheme="majorEastAsia" w:eastAsiaTheme="majorEastAsia"/>
          <w:bCs/>
          <w:color w:val="auto"/>
          <w:szCs w:val="24"/>
          <w:highlight w:val="none"/>
        </w:rPr>
        <w:t>由于中标、成交供应商原因导致重新采购的，应当承担支付代理费和专家评审费等费用在内的赔偿责任。</w:t>
      </w:r>
    </w:p>
    <w:p w14:paraId="592B7547">
      <w:pPr>
        <w:pStyle w:val="133"/>
        <w:snapToGrid w:val="0"/>
        <w:spacing w:before="0"/>
        <w:ind w:firstLine="480"/>
        <w:rPr>
          <w:rFonts w:cs="宋体" w:asciiTheme="majorEastAsia" w:hAnsiTheme="majorEastAsia" w:eastAsiaTheme="majorEastAsia"/>
          <w:bCs/>
          <w:color w:val="FF0000"/>
          <w:szCs w:val="24"/>
          <w:highlight w:val="none"/>
        </w:rPr>
      </w:pPr>
    </w:p>
    <w:p w14:paraId="027C6907">
      <w:pPr>
        <w:snapToGrid w:val="0"/>
        <w:spacing w:line="360" w:lineRule="auto"/>
        <w:ind w:left="120" w:leftChars="57" w:firstLine="482" w:firstLineChars="150"/>
        <w:jc w:val="center"/>
        <w:rPr>
          <w:rFonts w:cs="宋体" w:asciiTheme="majorEastAsia" w:hAnsiTheme="majorEastAsia" w:eastAsiaTheme="majorEastAsia"/>
          <w:b/>
          <w:sz w:val="32"/>
          <w:highlight w:val="none"/>
        </w:rPr>
      </w:pPr>
      <w:r>
        <w:rPr>
          <w:rFonts w:hint="eastAsia" w:cs="宋体" w:asciiTheme="majorEastAsia" w:hAnsiTheme="majorEastAsia" w:eastAsiaTheme="majorEastAsia"/>
          <w:b/>
          <w:sz w:val="32"/>
          <w:highlight w:val="none"/>
        </w:rPr>
        <w:t>七、合同授予</w:t>
      </w:r>
    </w:p>
    <w:p w14:paraId="0B596F05">
      <w:pPr>
        <w:pStyle w:val="26"/>
        <w:snapToGrid w:val="0"/>
        <w:spacing w:line="360" w:lineRule="auto"/>
        <w:ind w:left="479" w:leftChars="228" w:firstLine="0" w:firstLineChars="0"/>
        <w:rPr>
          <w:rFonts w:cs="宋体" w:asciiTheme="majorEastAsia" w:hAnsiTheme="majorEastAsia" w:eastAsiaTheme="majorEastAsia"/>
          <w:b/>
          <w:highlight w:val="none"/>
        </w:rPr>
      </w:pPr>
      <w:r>
        <w:rPr>
          <w:rFonts w:hint="eastAsia" w:cs="宋体" w:asciiTheme="majorEastAsia" w:hAnsiTheme="majorEastAsia" w:eastAsiaTheme="majorEastAsia"/>
          <w:b/>
          <w:highlight w:val="none"/>
        </w:rPr>
        <w:t>24.</w:t>
      </w:r>
      <w:r>
        <w:rPr>
          <w:rFonts w:hint="eastAsia" w:cs="宋体" w:asciiTheme="majorEastAsia" w:hAnsiTheme="majorEastAsia" w:eastAsiaTheme="majorEastAsia"/>
          <w:highlight w:val="none"/>
        </w:rPr>
        <w:t>合同主要条款详见第五部分拟签订的合同文本。</w:t>
      </w:r>
    </w:p>
    <w:p w14:paraId="3E77143C">
      <w:pPr>
        <w:pStyle w:val="26"/>
        <w:snapToGrid w:val="0"/>
        <w:spacing w:line="360" w:lineRule="auto"/>
        <w:ind w:left="479" w:leftChars="228" w:firstLine="0" w:firstLineChars="0"/>
        <w:rPr>
          <w:rFonts w:cs="宋体" w:asciiTheme="majorEastAsia" w:hAnsiTheme="majorEastAsia" w:eastAsiaTheme="majorEastAsia"/>
          <w:b/>
          <w:highlight w:val="none"/>
        </w:rPr>
      </w:pPr>
      <w:r>
        <w:rPr>
          <w:rFonts w:hint="eastAsia" w:cs="宋体" w:asciiTheme="majorEastAsia" w:hAnsiTheme="majorEastAsia" w:eastAsiaTheme="majorEastAsia"/>
          <w:b/>
          <w:highlight w:val="none"/>
        </w:rPr>
        <w:t>25.合同的签订</w:t>
      </w:r>
    </w:p>
    <w:p w14:paraId="3D277A39">
      <w:pPr>
        <w:widowControl/>
        <w:shd w:val="clear" w:color="auto" w:fill="FFFFFF"/>
        <w:snapToGrid w:val="0"/>
        <w:spacing w:line="360" w:lineRule="auto"/>
        <w:ind w:firstLine="480"/>
        <w:jc w:val="left"/>
        <w:rPr>
          <w:rFonts w:cs="宋体" w:asciiTheme="majorEastAsia" w:hAnsiTheme="majorEastAsia" w:eastAsiaTheme="majorEastAsia"/>
          <w:kern w:val="0"/>
          <w:sz w:val="24"/>
          <w:highlight w:val="none"/>
        </w:rPr>
      </w:pPr>
      <w:r>
        <w:rPr>
          <w:rFonts w:hint="eastAsia" w:cs="宋体" w:asciiTheme="majorEastAsia" w:hAnsiTheme="majorEastAsia" w:eastAsiaTheme="majorEastAsia"/>
          <w:sz w:val="24"/>
          <w:highlight w:val="none"/>
        </w:rPr>
        <w:t>25.1</w:t>
      </w:r>
      <w:r>
        <w:rPr>
          <w:rFonts w:hint="eastAsia" w:cs="宋体" w:asciiTheme="majorEastAsia" w:hAnsiTheme="majorEastAsia" w:eastAsiaTheme="majorEastAsia"/>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F4EF0B8">
      <w:pPr>
        <w:pStyle w:val="133"/>
        <w:snapToGrid w:val="0"/>
        <w:spacing w:before="0"/>
        <w:ind w:firstLine="480"/>
        <w:rPr>
          <w:rFonts w:cs="宋体" w:asciiTheme="majorEastAsia" w:hAnsiTheme="majorEastAsia" w:eastAsiaTheme="majorEastAsia"/>
          <w:kern w:val="0"/>
          <w:highlight w:val="none"/>
        </w:rPr>
      </w:pPr>
      <w:r>
        <w:rPr>
          <w:rFonts w:hint="eastAsia" w:cs="宋体" w:asciiTheme="majorEastAsia" w:hAnsiTheme="majorEastAsia" w:eastAsiaTheme="majorEastAsia"/>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85BEDB8">
      <w:pPr>
        <w:pStyle w:val="133"/>
        <w:snapToGrid w:val="0"/>
        <w:spacing w:before="0"/>
        <w:ind w:firstLine="480"/>
        <w:rPr>
          <w:rFonts w:cs="宋体" w:asciiTheme="majorEastAsia" w:hAnsiTheme="majorEastAsia" w:eastAsiaTheme="majorEastAsia"/>
          <w:highlight w:val="none"/>
        </w:rPr>
      </w:pPr>
      <w:r>
        <w:rPr>
          <w:rFonts w:hint="eastAsia" w:cs="宋体" w:asciiTheme="majorEastAsia" w:hAnsiTheme="majorEastAsia" w:eastAsiaTheme="majorEastAsia"/>
          <w:highlight w:val="none"/>
        </w:rPr>
        <w:t>25.3如签订合同并生效后，供应商无故拒绝或延期，除按照合同条款处理外，列入不良行为记录一次，并给予通报。</w:t>
      </w:r>
    </w:p>
    <w:p w14:paraId="4A1F6332">
      <w:pPr>
        <w:pStyle w:val="133"/>
        <w:snapToGrid w:val="0"/>
        <w:spacing w:before="0"/>
        <w:ind w:firstLine="480"/>
        <w:rPr>
          <w:rFonts w:cs="宋体" w:asciiTheme="majorEastAsia" w:hAnsiTheme="majorEastAsia" w:eastAsiaTheme="majorEastAsia"/>
          <w:highlight w:val="none"/>
        </w:rPr>
      </w:pPr>
      <w:r>
        <w:rPr>
          <w:rFonts w:hint="eastAsia" w:cs="宋体" w:asciiTheme="majorEastAsia" w:hAnsiTheme="majorEastAsia" w:eastAsiaTheme="majorEastAsia"/>
          <w:highlight w:val="none"/>
        </w:rPr>
        <w:t>25.4中标供应商拒绝与采购人签订合同的，采购人可以按照评审报告推荐的中标或者成交候选人名单排序，确定下一候选人为中标供应商，也可以重新开展政府采购活动。</w:t>
      </w:r>
    </w:p>
    <w:p w14:paraId="3B2B2B3B">
      <w:pPr>
        <w:pStyle w:val="133"/>
        <w:snapToGrid w:val="0"/>
        <w:spacing w:before="0"/>
        <w:ind w:firstLine="480"/>
        <w:rPr>
          <w:rFonts w:cs="宋体" w:asciiTheme="majorEastAsia" w:hAnsiTheme="majorEastAsia" w:eastAsiaTheme="majorEastAsia"/>
          <w:highlight w:val="none"/>
        </w:rPr>
      </w:pPr>
      <w:r>
        <w:rPr>
          <w:rFonts w:hint="eastAsia" w:cs="宋体" w:asciiTheme="majorEastAsia" w:hAnsiTheme="majorEastAsia" w:eastAsiaTheme="majorEastAsia"/>
          <w:highlight w:val="none"/>
        </w:rPr>
        <w:t>25.5采购合同由采购人与中标供应商根据招标文件、投标文件等内容通过政府采购电子交易平台在线签订，自动备案。</w:t>
      </w:r>
    </w:p>
    <w:p w14:paraId="4E37FC16">
      <w:pPr>
        <w:pStyle w:val="26"/>
        <w:snapToGrid w:val="0"/>
        <w:spacing w:line="360" w:lineRule="auto"/>
        <w:ind w:left="479" w:leftChars="228" w:firstLine="0" w:firstLineChars="0"/>
        <w:rPr>
          <w:rFonts w:cs="宋体" w:asciiTheme="majorEastAsia" w:hAnsiTheme="majorEastAsia" w:eastAsiaTheme="majorEastAsia"/>
          <w:b/>
          <w:highlight w:val="none"/>
        </w:rPr>
      </w:pPr>
      <w:r>
        <w:rPr>
          <w:rFonts w:hint="eastAsia" w:cs="宋体" w:asciiTheme="majorEastAsia" w:hAnsiTheme="majorEastAsia" w:eastAsiaTheme="majorEastAsia"/>
          <w:b/>
          <w:highlight w:val="none"/>
        </w:rPr>
        <w:t>26.履约保证金</w:t>
      </w:r>
    </w:p>
    <w:p w14:paraId="238084C9">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B3A3E0">
      <w:pPr>
        <w:keepNext/>
        <w:keepLines/>
        <w:pageBreakBefore w:val="0"/>
        <w:widowControl w:val="0"/>
        <w:tabs>
          <w:tab w:val="left" w:pos="432"/>
        </w:tabs>
        <w:kinsoku/>
        <w:wordWrap/>
        <w:overflowPunct/>
        <w:topLinePunct w:val="0"/>
        <w:autoSpaceDE/>
        <w:autoSpaceDN/>
        <w:bidi w:val="0"/>
        <w:adjustRightInd w:val="0"/>
        <w:snapToGrid/>
        <w:spacing w:line="416" w:lineRule="auto"/>
        <w:ind w:left="0" w:firstLine="480" w:firstLineChars="200"/>
        <w:textAlignment w:val="auto"/>
        <w:outlineLvl w:val="9"/>
        <w:rPr>
          <w:rFonts w:cs="宋体" w:asciiTheme="majorEastAsia" w:hAnsiTheme="majorEastAsia" w:eastAsiaTheme="majorEastAsia"/>
          <w:b w:val="0"/>
          <w:bCs w:val="0"/>
          <w:snapToGrid w:val="0"/>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759B8A71">
      <w:pPr>
        <w:pStyle w:val="6"/>
        <w:adjustRightInd w:val="0"/>
        <w:snapToGrid w:val="0"/>
        <w:ind w:left="0" w:firstLine="482" w:firstLineChars="200"/>
        <w:rPr>
          <w:rFonts w:cs="宋体" w:asciiTheme="majorEastAsia" w:hAnsiTheme="majorEastAsia" w:eastAsiaTheme="majorEastAsia"/>
          <w:highlight w:val="none"/>
        </w:rPr>
      </w:pPr>
      <w:r>
        <w:rPr>
          <w:rFonts w:hint="eastAsia" w:cs="宋体" w:asciiTheme="majorEastAsia" w:hAnsiTheme="majorEastAsia" w:eastAsiaTheme="majorEastAsia"/>
          <w:sz w:val="24"/>
          <w:highlight w:val="none"/>
          <w:lang w:val="en-US"/>
        </w:rPr>
        <w:t>27.预付款</w:t>
      </w:r>
    </w:p>
    <w:p w14:paraId="0EC7781F">
      <w:pPr>
        <w:pageBreakBefore w:val="0"/>
        <w:kinsoku/>
        <w:wordWrap/>
        <w:overflowPunct/>
        <w:topLinePunct w:val="0"/>
        <w:bidi w:val="0"/>
        <w:adjustRightInd w:val="0"/>
        <w:snapToGrid w:val="0"/>
        <w:spacing w:beforeAutospacing="0" w:line="360" w:lineRule="auto"/>
        <w:ind w:firstLine="480" w:firstLineChars="200"/>
        <w:textAlignment w:val="auto"/>
        <w:rPr>
          <w:rFonts w:cs="宋体" w:asciiTheme="majorEastAsia" w:hAnsiTheme="majorEastAsia" w:eastAsiaTheme="majorEastAsia"/>
          <w:sz w:val="24"/>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49F3B991">
      <w:pPr>
        <w:pStyle w:val="3"/>
        <w:rPr>
          <w:rFonts w:cs="宋体" w:asciiTheme="majorEastAsia" w:hAnsiTheme="majorEastAsia" w:eastAsiaTheme="majorEastAsia"/>
          <w:highlight w:val="none"/>
        </w:rPr>
      </w:pPr>
    </w:p>
    <w:p w14:paraId="2C52F6D4">
      <w:pPr>
        <w:snapToGrid w:val="0"/>
        <w:spacing w:line="360" w:lineRule="auto"/>
        <w:ind w:firstLine="3357" w:firstLineChars="1045"/>
        <w:rPr>
          <w:rFonts w:cs="宋体" w:asciiTheme="majorEastAsia" w:hAnsiTheme="majorEastAsia" w:eastAsiaTheme="majorEastAsia"/>
          <w:b/>
          <w:sz w:val="24"/>
          <w:highlight w:val="none"/>
        </w:rPr>
      </w:pPr>
      <w:r>
        <w:rPr>
          <w:rFonts w:hint="eastAsia" w:cs="宋体" w:asciiTheme="majorEastAsia" w:hAnsiTheme="majorEastAsia" w:eastAsiaTheme="majorEastAsia"/>
          <w:b/>
          <w:sz w:val="32"/>
          <w:highlight w:val="none"/>
        </w:rPr>
        <w:t>八、电子交易活动的中止</w:t>
      </w:r>
    </w:p>
    <w:p w14:paraId="3AC16C9D">
      <w:pPr>
        <w:pStyle w:val="133"/>
        <w:snapToGrid w:val="0"/>
        <w:spacing w:before="0"/>
        <w:ind w:firstLine="482"/>
        <w:rPr>
          <w:rFonts w:cs="宋体" w:asciiTheme="majorEastAsia" w:hAnsiTheme="majorEastAsia" w:eastAsiaTheme="majorEastAsia"/>
          <w:highlight w:val="none"/>
        </w:rPr>
      </w:pPr>
      <w:r>
        <w:rPr>
          <w:rFonts w:hint="eastAsia" w:cs="宋体" w:asciiTheme="majorEastAsia" w:hAnsiTheme="majorEastAsia" w:eastAsiaTheme="majorEastAsia"/>
          <w:b/>
          <w:bCs/>
          <w:highlight w:val="none"/>
        </w:rPr>
        <w:t>2</w:t>
      </w:r>
      <w:r>
        <w:rPr>
          <w:rFonts w:hint="eastAsia" w:cs="宋体" w:asciiTheme="majorEastAsia" w:hAnsiTheme="majorEastAsia" w:eastAsiaTheme="majorEastAsia"/>
          <w:b/>
          <w:bCs/>
          <w:szCs w:val="24"/>
          <w:highlight w:val="none"/>
        </w:rPr>
        <w:t>8</w:t>
      </w:r>
      <w:r>
        <w:rPr>
          <w:rFonts w:hint="eastAsia" w:cs="宋体" w:asciiTheme="majorEastAsia" w:hAnsiTheme="majorEastAsia" w:eastAsiaTheme="majorEastAsia"/>
          <w:b/>
          <w:szCs w:val="24"/>
          <w:highlight w:val="none"/>
        </w:rPr>
        <w:t>.电子交易活动的中止。</w:t>
      </w:r>
      <w:r>
        <w:rPr>
          <w:rFonts w:hint="eastAsia" w:cs="宋体" w:asciiTheme="majorEastAsia" w:hAnsiTheme="majorEastAsia" w:eastAsiaTheme="majorEastAsia"/>
          <w:highlight w:val="none"/>
        </w:rPr>
        <w:t>采购过程中出现以下情形，导致电子交易平台无法正常运行，或者无法保证电子交易的公平、公正和安全时，采购代理机构可中止电子交易活动：</w:t>
      </w:r>
    </w:p>
    <w:p w14:paraId="7E046AC6">
      <w:pPr>
        <w:pStyle w:val="133"/>
        <w:snapToGrid w:val="0"/>
        <w:spacing w:before="0"/>
        <w:ind w:firstLine="480"/>
        <w:rPr>
          <w:rFonts w:cs="宋体" w:asciiTheme="majorEastAsia" w:hAnsiTheme="majorEastAsia" w:eastAsiaTheme="majorEastAsia"/>
          <w:highlight w:val="none"/>
        </w:rPr>
      </w:pPr>
      <w:r>
        <w:rPr>
          <w:rFonts w:hint="eastAsia" w:cs="宋体" w:asciiTheme="majorEastAsia" w:hAnsiTheme="majorEastAsia" w:eastAsiaTheme="majorEastAsia"/>
          <w:highlight w:val="none"/>
        </w:rPr>
        <w:t xml:space="preserve">28.1电子交易平台发生故障而无法登录访问的； </w:t>
      </w:r>
    </w:p>
    <w:p w14:paraId="6FC5448E">
      <w:pPr>
        <w:pStyle w:val="133"/>
        <w:snapToGrid w:val="0"/>
        <w:spacing w:before="0"/>
        <w:ind w:firstLine="480"/>
        <w:rPr>
          <w:rFonts w:cs="宋体" w:asciiTheme="majorEastAsia" w:hAnsiTheme="majorEastAsia" w:eastAsiaTheme="majorEastAsia"/>
          <w:highlight w:val="none"/>
        </w:rPr>
      </w:pPr>
      <w:r>
        <w:rPr>
          <w:rFonts w:hint="eastAsia" w:cs="宋体" w:asciiTheme="majorEastAsia" w:hAnsiTheme="majorEastAsia" w:eastAsiaTheme="majorEastAsia"/>
          <w:highlight w:val="none"/>
        </w:rPr>
        <w:t>28.2电子交易平台应用或数据库出现错误，不能进行正常操作的；</w:t>
      </w:r>
    </w:p>
    <w:p w14:paraId="3A9E6B57">
      <w:pPr>
        <w:pStyle w:val="133"/>
        <w:snapToGrid w:val="0"/>
        <w:spacing w:before="0"/>
        <w:ind w:firstLine="480"/>
        <w:rPr>
          <w:rFonts w:cs="宋体" w:asciiTheme="majorEastAsia" w:hAnsiTheme="majorEastAsia" w:eastAsiaTheme="majorEastAsia"/>
          <w:highlight w:val="none"/>
        </w:rPr>
      </w:pPr>
      <w:r>
        <w:rPr>
          <w:rFonts w:hint="eastAsia" w:cs="宋体" w:asciiTheme="majorEastAsia" w:hAnsiTheme="majorEastAsia" w:eastAsiaTheme="majorEastAsia"/>
          <w:highlight w:val="none"/>
        </w:rPr>
        <w:t>28.3电子交易平台发现严重安全漏洞，有潜在泄密危险的；</w:t>
      </w:r>
    </w:p>
    <w:p w14:paraId="31AFE17A">
      <w:pPr>
        <w:pStyle w:val="133"/>
        <w:snapToGrid w:val="0"/>
        <w:spacing w:before="0"/>
        <w:ind w:firstLine="480"/>
        <w:rPr>
          <w:rFonts w:cs="宋体" w:asciiTheme="majorEastAsia" w:hAnsiTheme="majorEastAsia" w:eastAsiaTheme="majorEastAsia"/>
          <w:highlight w:val="none"/>
        </w:rPr>
      </w:pPr>
      <w:r>
        <w:rPr>
          <w:rFonts w:hint="eastAsia" w:cs="宋体" w:asciiTheme="majorEastAsia" w:hAnsiTheme="majorEastAsia" w:eastAsiaTheme="majorEastAsia"/>
          <w:highlight w:val="none"/>
        </w:rPr>
        <w:t xml:space="preserve">28.4病毒发作导致不能进行正常操作的； </w:t>
      </w:r>
    </w:p>
    <w:p w14:paraId="2F9369F5">
      <w:pPr>
        <w:pStyle w:val="133"/>
        <w:snapToGrid w:val="0"/>
        <w:spacing w:before="0"/>
        <w:ind w:firstLine="480"/>
        <w:rPr>
          <w:rFonts w:cs="宋体" w:asciiTheme="majorEastAsia" w:hAnsiTheme="majorEastAsia" w:eastAsiaTheme="majorEastAsia"/>
          <w:highlight w:val="none"/>
        </w:rPr>
      </w:pPr>
      <w:r>
        <w:rPr>
          <w:rFonts w:hint="eastAsia" w:cs="宋体" w:asciiTheme="majorEastAsia" w:hAnsiTheme="majorEastAsia" w:eastAsiaTheme="majorEastAsia"/>
          <w:highlight w:val="none"/>
        </w:rPr>
        <w:t>28.5其他无法保证电子交易的公平、公正和安全的情况。</w:t>
      </w:r>
    </w:p>
    <w:p w14:paraId="3A36D12B">
      <w:pPr>
        <w:pStyle w:val="133"/>
        <w:snapToGrid w:val="0"/>
        <w:spacing w:before="0"/>
        <w:ind w:firstLine="480"/>
        <w:rPr>
          <w:rFonts w:cs="宋体" w:asciiTheme="majorEastAsia" w:hAnsiTheme="majorEastAsia" w:eastAsiaTheme="majorEastAsia"/>
          <w:highlight w:val="none"/>
        </w:rPr>
      </w:pPr>
      <w:r>
        <w:rPr>
          <w:rFonts w:hint="eastAsia" w:cs="宋体" w:asciiTheme="majorEastAsia" w:hAnsiTheme="majorEastAsia" w:eastAsiaTheme="majorEastAsia"/>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162987D0">
      <w:pPr>
        <w:tabs>
          <w:tab w:val="left" w:pos="0"/>
        </w:tabs>
        <w:snapToGrid w:val="0"/>
        <w:spacing w:line="360" w:lineRule="auto"/>
        <w:ind w:firstLine="480"/>
        <w:rPr>
          <w:rFonts w:cs="宋体" w:asciiTheme="majorEastAsia" w:hAnsiTheme="majorEastAsia" w:eastAsiaTheme="majorEastAsia"/>
          <w:sz w:val="24"/>
          <w:highlight w:val="none"/>
        </w:rPr>
      </w:pPr>
    </w:p>
    <w:p w14:paraId="1F481BC7">
      <w:pPr>
        <w:snapToGrid w:val="0"/>
        <w:spacing w:line="360" w:lineRule="auto"/>
        <w:ind w:left="120" w:leftChars="57" w:firstLine="482" w:firstLineChars="150"/>
        <w:jc w:val="center"/>
        <w:rPr>
          <w:rFonts w:cs="宋体" w:asciiTheme="majorEastAsia" w:hAnsiTheme="majorEastAsia" w:eastAsiaTheme="majorEastAsia"/>
          <w:b/>
          <w:sz w:val="32"/>
          <w:highlight w:val="none"/>
        </w:rPr>
      </w:pPr>
      <w:r>
        <w:rPr>
          <w:rFonts w:hint="eastAsia" w:cs="宋体" w:asciiTheme="majorEastAsia" w:hAnsiTheme="majorEastAsia" w:eastAsiaTheme="majorEastAsia"/>
          <w:b/>
          <w:sz w:val="32"/>
          <w:highlight w:val="none"/>
        </w:rPr>
        <w:t>九、验收</w:t>
      </w:r>
    </w:p>
    <w:p w14:paraId="556E9CEB">
      <w:pPr>
        <w:pStyle w:val="26"/>
        <w:snapToGrid w:val="0"/>
        <w:spacing w:line="360" w:lineRule="auto"/>
        <w:ind w:firstLine="482"/>
        <w:rPr>
          <w:rFonts w:cs="宋体" w:asciiTheme="majorEastAsia" w:hAnsiTheme="majorEastAsia" w:eastAsiaTheme="majorEastAsia"/>
          <w:b/>
          <w:color w:val="auto"/>
          <w:highlight w:val="none"/>
        </w:rPr>
      </w:pPr>
      <w:r>
        <w:rPr>
          <w:rFonts w:hint="eastAsia" w:cs="宋体" w:asciiTheme="majorEastAsia" w:hAnsiTheme="majorEastAsia" w:eastAsiaTheme="majorEastAsia"/>
          <w:b/>
          <w:color w:val="auto"/>
          <w:highlight w:val="none"/>
        </w:rPr>
        <w:t>30.验收</w:t>
      </w:r>
    </w:p>
    <w:p w14:paraId="311B2D99">
      <w:pPr>
        <w:tabs>
          <w:tab w:val="left" w:pos="0"/>
        </w:tabs>
        <w:snapToGrid w:val="0"/>
        <w:spacing w:line="360" w:lineRule="auto"/>
        <w:ind w:firstLine="480"/>
        <w:rPr>
          <w:rFonts w:cs="宋体" w:asciiTheme="majorEastAsia" w:hAnsiTheme="majorEastAsia" w:eastAsiaTheme="majorEastAsia"/>
          <w:kern w:val="0"/>
          <w:sz w:val="24"/>
          <w:highlight w:val="none"/>
        </w:rPr>
      </w:pPr>
      <w:r>
        <w:rPr>
          <w:rFonts w:hint="eastAsia" w:cs="宋体" w:asciiTheme="majorEastAsia" w:hAnsiTheme="majorEastAsia" w:eastAsiaTheme="majorEastAsia"/>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w:t>
      </w:r>
      <w:r>
        <w:rPr>
          <w:rFonts w:hint="eastAsia" w:cs="宋体" w:asciiTheme="majorEastAsia" w:hAnsiTheme="majorEastAsia" w:eastAsiaTheme="majorEastAsia"/>
          <w:kern w:val="0"/>
          <w:sz w:val="24"/>
          <w:highlight w:val="none"/>
        </w:rPr>
        <w:t>应当在验收书上签字，并承担相应的法律责任。如果发现与合同中要求不符，供应商须承担由此发生的一切损失和费用，并接受相应的处理。</w:t>
      </w:r>
    </w:p>
    <w:p w14:paraId="66F3B76A">
      <w:pPr>
        <w:tabs>
          <w:tab w:val="left" w:pos="0"/>
        </w:tabs>
        <w:snapToGrid w:val="0"/>
        <w:spacing w:line="360" w:lineRule="auto"/>
        <w:ind w:firstLine="480"/>
        <w:rPr>
          <w:rFonts w:cs="宋体" w:asciiTheme="majorEastAsia" w:hAnsiTheme="majorEastAsia" w:eastAsiaTheme="majorEastAsia"/>
          <w:kern w:val="0"/>
          <w:sz w:val="24"/>
          <w:highlight w:val="none"/>
        </w:rPr>
      </w:pPr>
      <w:r>
        <w:rPr>
          <w:rFonts w:hint="eastAsia" w:cs="宋体" w:asciiTheme="majorEastAsia" w:hAnsiTheme="majorEastAsia" w:eastAsiaTheme="majorEastAsia"/>
          <w:kern w:val="0"/>
          <w:sz w:val="24"/>
          <w:highlight w:val="none"/>
        </w:rPr>
        <w:t>30.2采购人可以邀请参加本项目的其他投标人或者第三方机构参与验收。参与验收的投标人或者第三方机构的意见作为验收书的参考资料一并存档。</w:t>
      </w:r>
    </w:p>
    <w:p w14:paraId="1F728F80">
      <w:pPr>
        <w:tabs>
          <w:tab w:val="left" w:pos="0"/>
        </w:tabs>
        <w:snapToGrid w:val="0"/>
        <w:spacing w:line="360" w:lineRule="auto"/>
        <w:ind w:firstLine="480"/>
        <w:rPr>
          <w:rFonts w:cs="宋体" w:asciiTheme="majorEastAsia" w:hAnsiTheme="majorEastAsia" w:eastAsiaTheme="majorEastAsia"/>
          <w:kern w:val="0"/>
          <w:sz w:val="24"/>
          <w:highlight w:val="none"/>
        </w:rPr>
      </w:pPr>
      <w:r>
        <w:rPr>
          <w:rFonts w:hint="eastAsia" w:cs="宋体" w:asciiTheme="majorEastAsia" w:hAnsiTheme="majorEastAsia" w:eastAsiaTheme="majorEastAsia"/>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8C98542">
      <w:pPr>
        <w:tabs>
          <w:tab w:val="left" w:pos="0"/>
        </w:tabs>
        <w:snapToGrid w:val="0"/>
        <w:spacing w:line="360" w:lineRule="auto"/>
        <w:ind w:firstLine="480"/>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kern w:val="0"/>
          <w:sz w:val="24"/>
          <w:highlight w:val="none"/>
        </w:rPr>
        <w:t>30.4验收合格的项目，采购人将根据采购合同的约定及时向供应商支付采购资金、退还履约保证金。验收不合格的项目，采购人将依法及时处理。采购合同的履行、违约责任和解决争议</w:t>
      </w:r>
      <w:r>
        <w:rPr>
          <w:rFonts w:hint="eastAsia" w:cs="宋体" w:asciiTheme="majorEastAsia" w:hAnsiTheme="majorEastAsia" w:eastAsiaTheme="majorEastAsia"/>
          <w:color w:val="auto"/>
          <w:kern w:val="0"/>
          <w:sz w:val="24"/>
          <w:highlight w:val="none"/>
        </w:rPr>
        <w:t>的方式等适用《中华人民共和国民法典》。供应商在履约过程中有政府采购法律法规规定的违法违规情形的，采购人应当及时报告本级财政部门。</w:t>
      </w:r>
    </w:p>
    <w:p w14:paraId="025B0403">
      <w:pPr>
        <w:pStyle w:val="6"/>
        <w:adjustRightInd w:val="0"/>
        <w:snapToGrid w:val="0"/>
        <w:ind w:left="0" w:firstLine="480" w:firstLineChars="200"/>
        <w:rPr>
          <w:rFonts w:cs="宋体" w:asciiTheme="majorEastAsia" w:hAnsiTheme="majorEastAsia" w:eastAsiaTheme="majorEastAsia"/>
          <w:b w:val="0"/>
          <w:bCs w:val="0"/>
          <w:color w:val="auto"/>
          <w:kern w:val="0"/>
          <w:sz w:val="24"/>
          <w:szCs w:val="24"/>
          <w:highlight w:val="none"/>
          <w:lang w:val="en-US"/>
        </w:rPr>
      </w:pPr>
      <w:r>
        <w:rPr>
          <w:rFonts w:hint="eastAsia" w:cs="宋体" w:asciiTheme="majorEastAsia" w:hAnsiTheme="majorEastAsia" w:eastAsiaTheme="majorEastAsia"/>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6119500">
      <w:pPr>
        <w:pStyle w:val="82"/>
        <w:rPr>
          <w:rFonts w:cs="宋体" w:asciiTheme="majorEastAsia" w:hAnsiTheme="majorEastAsia" w:eastAsiaTheme="majorEastAsia"/>
          <w:color w:val="auto"/>
          <w:highlight w:val="none"/>
        </w:rPr>
      </w:pPr>
    </w:p>
    <w:bookmarkEnd w:id="14"/>
    <w:p w14:paraId="76008C33">
      <w:pPr>
        <w:tabs>
          <w:tab w:val="left" w:pos="0"/>
        </w:tabs>
        <w:spacing w:line="360" w:lineRule="auto"/>
        <w:ind w:firstLine="480"/>
        <w:rPr>
          <w:rFonts w:cs="宋体" w:asciiTheme="majorEastAsia" w:hAnsiTheme="majorEastAsia" w:eastAsiaTheme="maj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68072998"/>
      <w:bookmarkEnd w:id="16"/>
      <w:bookmarkStart w:id="17" w:name="_Hlt74707468"/>
      <w:bookmarkEnd w:id="17"/>
      <w:bookmarkStart w:id="18" w:name="_Hlt74730295"/>
      <w:bookmarkEnd w:id="18"/>
      <w:bookmarkStart w:id="19" w:name="_Hlt75236011"/>
      <w:bookmarkEnd w:id="19"/>
      <w:bookmarkStart w:id="20" w:name="_Hlt68057669"/>
      <w:bookmarkEnd w:id="20"/>
      <w:bookmarkStart w:id="21" w:name="_Hlt75236290"/>
      <w:bookmarkEnd w:id="21"/>
      <w:bookmarkStart w:id="22" w:name="_Hlt68072990"/>
      <w:bookmarkEnd w:id="22"/>
      <w:bookmarkStart w:id="23" w:name="_Hlt75236101"/>
      <w:bookmarkEnd w:id="23"/>
      <w:bookmarkStart w:id="24" w:name="_Hlt68073093"/>
      <w:bookmarkEnd w:id="24"/>
      <w:bookmarkStart w:id="25" w:name="_Hlt74714665"/>
      <w:bookmarkEnd w:id="25"/>
      <w:bookmarkStart w:id="26" w:name="_Hlt68403820"/>
      <w:bookmarkEnd w:id="26"/>
      <w:bookmarkStart w:id="27" w:name="_Hlt74729768"/>
      <w:bookmarkEnd w:id="27"/>
    </w:p>
    <w:bookmarkEnd w:id="12"/>
    <w:bookmarkEnd w:id="13"/>
    <w:p w14:paraId="450665CC">
      <w:pPr>
        <w:keepNext w:val="0"/>
        <w:keepLines w:val="0"/>
        <w:pageBreakBefore w:val="0"/>
        <w:kinsoku/>
        <w:wordWrap/>
        <w:overflowPunct/>
        <w:topLinePunct w:val="0"/>
        <w:bidi w:val="0"/>
        <w:adjustRightInd w:val="0"/>
        <w:snapToGrid w:val="0"/>
        <w:spacing w:line="360" w:lineRule="auto"/>
        <w:jc w:val="center"/>
        <w:textAlignment w:val="auto"/>
        <w:outlineLvl w:val="0"/>
        <w:rPr>
          <w:rFonts w:cs="宋体" w:asciiTheme="majorEastAsia" w:hAnsiTheme="majorEastAsia" w:eastAsiaTheme="majorEastAsia"/>
          <w:b/>
          <w:sz w:val="36"/>
          <w:szCs w:val="36"/>
          <w:highlight w:val="none"/>
          <w:shd w:val="clear" w:color="auto" w:fill="FFFFFF" w:themeFill="background1"/>
        </w:rPr>
      </w:pPr>
      <w:bookmarkStart w:id="28" w:name="第四部分"/>
      <w:r>
        <w:rPr>
          <w:rFonts w:hint="eastAsia" w:cs="宋体" w:asciiTheme="majorEastAsia" w:hAnsiTheme="majorEastAsia" w:eastAsiaTheme="majorEastAsia"/>
          <w:b/>
          <w:sz w:val="36"/>
          <w:szCs w:val="36"/>
          <w:highlight w:val="none"/>
          <w:shd w:val="clear" w:color="auto" w:fill="FFFFFF" w:themeFill="background1"/>
        </w:rPr>
        <w:t>第三部分   采购需求</w:t>
      </w:r>
    </w:p>
    <w:p w14:paraId="7AC2B2D2">
      <w:pPr>
        <w:keepNext w:val="0"/>
        <w:keepLines w:val="0"/>
        <w:pageBreakBefore w:val="0"/>
        <w:kinsoku/>
        <w:wordWrap/>
        <w:overflowPunct/>
        <w:topLinePunct w:val="0"/>
        <w:bidi w:val="0"/>
        <w:adjustRightInd w:val="0"/>
        <w:snapToGrid w:val="0"/>
        <w:spacing w:line="360" w:lineRule="auto"/>
        <w:ind w:firstLine="482" w:firstLineChars="200"/>
        <w:textAlignment w:val="auto"/>
        <w:outlineLvl w:val="1"/>
        <w:rPr>
          <w:rFonts w:hint="eastAsia" w:ascii="宋体" w:hAnsi="宋体" w:cs="宋体"/>
          <w:sz w:val="24"/>
          <w:highlight w:val="none"/>
        </w:rPr>
      </w:pPr>
      <w:r>
        <w:rPr>
          <w:rFonts w:hint="eastAsia" w:ascii="宋体" w:hAnsi="宋体" w:cs="宋体"/>
          <w:b/>
          <w:sz w:val="24"/>
          <w:highlight w:val="none"/>
          <w:lang w:val="en-US" w:eastAsia="zh-CN"/>
        </w:rPr>
        <w:t>一、</w:t>
      </w:r>
      <w:r>
        <w:rPr>
          <w:rFonts w:hint="eastAsia" w:ascii="宋体" w:hAnsi="宋体" w:cs="宋体"/>
          <w:b/>
          <w:sz w:val="24"/>
          <w:highlight w:val="none"/>
        </w:rPr>
        <w:t>项目名称：</w:t>
      </w:r>
      <w:r>
        <w:rPr>
          <w:rFonts w:hint="eastAsia" w:ascii="宋体" w:hAnsi="宋体" w:cs="宋体"/>
          <w:sz w:val="24"/>
          <w:highlight w:val="none"/>
          <w:lang w:eastAsia="zh-CN"/>
        </w:rPr>
        <w:t>2025年度茅乡景区及仁寿山园林绿化养护服务项目</w:t>
      </w:r>
    </w:p>
    <w:p w14:paraId="2FD30E67">
      <w:pPr>
        <w:keepNext w:val="0"/>
        <w:keepLines w:val="0"/>
        <w:pageBreakBefore w:val="0"/>
        <w:kinsoku/>
        <w:wordWrap/>
        <w:overflowPunct/>
        <w:topLinePunct w:val="0"/>
        <w:bidi w:val="0"/>
        <w:adjustRightInd w:val="0"/>
        <w:snapToGrid w:val="0"/>
        <w:spacing w:line="360" w:lineRule="auto"/>
        <w:ind w:firstLine="482" w:firstLineChars="200"/>
        <w:jc w:val="left"/>
        <w:textAlignment w:val="auto"/>
        <w:outlineLvl w:val="1"/>
        <w:rPr>
          <w:rFonts w:hint="eastAsia" w:ascii="宋体" w:hAnsi="宋体" w:cs="宋体"/>
          <w:b/>
          <w:bCs/>
          <w:color w:val="auto"/>
          <w:sz w:val="24"/>
          <w:highlight w:val="none"/>
        </w:rPr>
      </w:pPr>
      <w:bookmarkStart w:id="29" w:name="_Toc416098590"/>
      <w:r>
        <w:rPr>
          <w:rFonts w:hint="eastAsia" w:ascii="宋体" w:hAnsi="宋体" w:cs="宋体"/>
          <w:b/>
          <w:bCs/>
          <w:sz w:val="24"/>
          <w:highlight w:val="none"/>
          <w:lang w:val="en-US" w:eastAsia="zh-CN"/>
        </w:rPr>
        <w:t>二</w:t>
      </w:r>
      <w:r>
        <w:rPr>
          <w:rFonts w:hint="eastAsia" w:ascii="宋体" w:hAnsi="宋体" w:cs="宋体"/>
          <w:b/>
          <w:bCs/>
          <w:sz w:val="24"/>
          <w:highlight w:val="none"/>
        </w:rPr>
        <w:t>、服</w:t>
      </w:r>
      <w:r>
        <w:rPr>
          <w:rFonts w:hint="eastAsia" w:ascii="宋体" w:hAnsi="宋体" w:cs="宋体"/>
          <w:b/>
          <w:bCs/>
          <w:color w:val="auto"/>
          <w:sz w:val="24"/>
          <w:highlight w:val="none"/>
        </w:rPr>
        <w:t>务范围</w:t>
      </w:r>
      <w:bookmarkEnd w:id="29"/>
      <w:r>
        <w:rPr>
          <w:rFonts w:hint="eastAsia" w:ascii="宋体" w:hAnsi="宋体" w:cs="宋体"/>
          <w:b/>
          <w:bCs/>
          <w:color w:val="auto"/>
          <w:sz w:val="24"/>
          <w:highlight w:val="none"/>
        </w:rPr>
        <w:t>及内容</w:t>
      </w:r>
    </w:p>
    <w:p w14:paraId="450059D7">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1、养护</w:t>
      </w:r>
      <w:r>
        <w:rPr>
          <w:rFonts w:hint="eastAsia" w:ascii="宋体" w:hAnsi="宋体" w:cs="宋体"/>
          <w:color w:val="auto"/>
          <w:sz w:val="24"/>
          <w:highlight w:val="none"/>
          <w:lang w:val="en-US" w:eastAsia="zh-CN"/>
        </w:rPr>
        <w:t>范围</w:t>
      </w:r>
      <w:r>
        <w:rPr>
          <w:rFonts w:hint="eastAsia" w:ascii="宋体" w:hAnsi="宋体" w:cs="宋体"/>
          <w:color w:val="auto"/>
          <w:sz w:val="24"/>
          <w:highlight w:val="none"/>
        </w:rPr>
        <w:t>：下茅家埠景区、仁寿山景区、都锦生故居、浙江辛亥革命纪念馆、林风眠旧居、龙井路分段（灵隐路-龙井支路口、龙井支路口至龙井路292号灯杆）、灵隐路全段（曙光路口至天曹桥口）、龙泓涧区域、灵溪南路双峰路沿线以东等区域范围内的公园道路绿地、行道树、花坛花境、水生植物、修枝、苗木种植、园林设施维护等日常园林养护、机动应急任务保障（含抗雪、防冻、防台、防汛、抗旱等）等园林养护作业。</w:t>
      </w:r>
    </w:p>
    <w:p w14:paraId="0AEE7844">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主要工作内容：</w:t>
      </w:r>
      <w:r>
        <w:rPr>
          <w:rFonts w:hint="eastAsia" w:ascii="宋体" w:hAnsi="宋体" w:cs="宋体"/>
          <w:color w:val="auto"/>
          <w:sz w:val="24"/>
          <w:highlight w:val="none"/>
        </w:rPr>
        <w:t>主要含“树木迁移、调整；树木（包括行道树）抹芽、修枝、修剪；整地、裸露黄土复绿；草坪滚剪、草坪除草、草坪填土平整</w:t>
      </w:r>
      <w:r>
        <w:rPr>
          <w:rFonts w:hint="eastAsia" w:ascii="宋体" w:hAnsi="宋体" w:cs="宋体"/>
          <w:color w:val="auto"/>
          <w:sz w:val="24"/>
          <w:highlight w:val="none"/>
          <w:lang w:eastAsia="zh-CN"/>
        </w:rPr>
        <w:t>；</w:t>
      </w:r>
      <w:r>
        <w:rPr>
          <w:rFonts w:hint="eastAsia" w:ascii="宋体" w:hAnsi="宋体" w:cs="宋体"/>
          <w:color w:val="auto"/>
          <w:sz w:val="24"/>
          <w:highlight w:val="none"/>
        </w:rPr>
        <w:t>绿化带、道路两侧林带、地被除草；浇水、施肥、病虫害防治；花展布置、花坛花境换花；由于遭受自然天气影响导致植物景观或养护不当引起的苗木补种；枯死树清理、林带内枯枝等垃圾清理；养护范围内所有园林植物花卉的抗旱、防汛、抗雪及灾害性天气导致的损毁产生的园林垃圾外运、处置等。养护服务过程中，产生的苗木、肥料、农药等材料费用由供应商提供。</w:t>
      </w:r>
    </w:p>
    <w:p w14:paraId="64BD62E4">
      <w:pPr>
        <w:keepNext w:val="0"/>
        <w:keepLines w:val="0"/>
        <w:pageBreakBefore w:val="0"/>
        <w:kinsoku/>
        <w:wordWrap/>
        <w:overflowPunct/>
        <w:topLinePunct w:val="0"/>
        <w:bidi w:val="0"/>
        <w:adjustRightInd w:val="0"/>
        <w:snapToGrid w:val="0"/>
        <w:spacing w:line="360" w:lineRule="auto"/>
        <w:ind w:firstLine="482" w:firstLineChars="200"/>
        <w:jc w:val="left"/>
        <w:textAlignment w:val="auto"/>
        <w:outlineLvl w:val="1"/>
        <w:rPr>
          <w:rFonts w:hint="eastAsia" w:ascii="宋体" w:hAnsi="宋体" w:cs="宋体"/>
          <w:b/>
          <w:bCs/>
          <w:color w:val="auto"/>
          <w:sz w:val="24"/>
          <w:highlight w:val="none"/>
        </w:rPr>
      </w:pPr>
      <w:r>
        <w:rPr>
          <w:rFonts w:hint="eastAsia" w:ascii="宋体" w:hAnsi="宋体" w:cs="宋体"/>
          <w:b/>
          <w:bCs/>
          <w:color w:val="auto"/>
          <w:sz w:val="24"/>
          <w:highlight w:val="none"/>
          <w:lang w:eastAsia="zh-CN"/>
        </w:rPr>
        <w:t>三</w:t>
      </w:r>
      <w:r>
        <w:rPr>
          <w:rFonts w:hint="eastAsia" w:ascii="宋体" w:hAnsi="宋体" w:cs="宋体"/>
          <w:b/>
          <w:bCs/>
          <w:color w:val="auto"/>
          <w:sz w:val="24"/>
          <w:highlight w:val="none"/>
        </w:rPr>
        <w:t>、服务要求</w:t>
      </w:r>
    </w:p>
    <w:p w14:paraId="61A68433">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1、全年计划</w:t>
      </w:r>
      <w:r>
        <w:rPr>
          <w:rFonts w:hint="eastAsia" w:ascii="宋体" w:hAnsi="宋体" w:cs="宋体"/>
          <w:color w:val="auto"/>
          <w:sz w:val="24"/>
          <w:highlight w:val="none"/>
          <w:lang w:val="en-US" w:eastAsia="zh-CN"/>
        </w:rPr>
        <w:t>服务工数4968</w:t>
      </w:r>
      <w:r>
        <w:rPr>
          <w:rFonts w:hint="eastAsia" w:ascii="宋体" w:hAnsi="宋体" w:cs="宋体"/>
          <w:color w:val="auto"/>
          <w:sz w:val="24"/>
          <w:highlight w:val="none"/>
        </w:rPr>
        <w:t>工</w:t>
      </w:r>
      <w:r>
        <w:rPr>
          <w:rFonts w:hint="eastAsia" w:ascii="宋体" w:hAnsi="宋体" w:cs="宋体"/>
          <w:color w:val="auto"/>
          <w:sz w:val="24"/>
          <w:highlight w:val="none"/>
          <w:lang w:val="en-US" w:eastAsia="zh-CN"/>
        </w:rPr>
        <w:t>数</w:t>
      </w:r>
      <w:r>
        <w:rPr>
          <w:rFonts w:hint="eastAsia" w:ascii="宋体" w:hAnsi="宋体" w:cs="宋体"/>
          <w:color w:val="auto"/>
          <w:sz w:val="24"/>
          <w:highlight w:val="none"/>
        </w:rPr>
        <w:t>，其中日常养护</w:t>
      </w:r>
      <w:r>
        <w:rPr>
          <w:rFonts w:hint="eastAsia" w:ascii="宋体" w:hAnsi="宋体" w:cs="宋体"/>
          <w:color w:val="auto"/>
          <w:sz w:val="24"/>
          <w:highlight w:val="none"/>
          <w:lang w:val="en-US" w:eastAsia="zh-CN"/>
        </w:rPr>
        <w:t>服务工数</w:t>
      </w:r>
      <w:r>
        <w:rPr>
          <w:rFonts w:hint="eastAsia" w:ascii="宋体" w:hAnsi="宋体" w:cs="宋体"/>
          <w:color w:val="auto"/>
          <w:sz w:val="24"/>
          <w:highlight w:val="none"/>
        </w:rPr>
        <w:t>1846工</w:t>
      </w:r>
      <w:r>
        <w:rPr>
          <w:rFonts w:hint="eastAsia" w:ascii="宋体" w:hAnsi="宋体" w:cs="宋体"/>
          <w:color w:val="auto"/>
          <w:sz w:val="24"/>
          <w:highlight w:val="none"/>
          <w:lang w:val="en-US" w:eastAsia="zh-CN"/>
        </w:rPr>
        <w:t>数</w:t>
      </w:r>
      <w:r>
        <w:rPr>
          <w:rFonts w:hint="eastAsia" w:ascii="宋体" w:hAnsi="宋体" w:cs="宋体"/>
          <w:color w:val="auto"/>
          <w:sz w:val="24"/>
          <w:highlight w:val="none"/>
        </w:rPr>
        <w:t>,园林景观提升</w:t>
      </w:r>
      <w:r>
        <w:rPr>
          <w:rFonts w:hint="eastAsia" w:ascii="宋体" w:hAnsi="宋体" w:cs="宋体"/>
          <w:color w:val="auto"/>
          <w:sz w:val="24"/>
          <w:highlight w:val="none"/>
          <w:lang w:val="en-US" w:eastAsia="zh-CN"/>
        </w:rPr>
        <w:t>服务工数</w:t>
      </w:r>
      <w:r>
        <w:rPr>
          <w:rFonts w:hint="eastAsia" w:ascii="宋体" w:hAnsi="宋体" w:cs="宋体"/>
          <w:color w:val="auto"/>
          <w:sz w:val="24"/>
          <w:highlight w:val="none"/>
        </w:rPr>
        <w:t>1859工</w:t>
      </w:r>
      <w:r>
        <w:rPr>
          <w:rFonts w:hint="eastAsia" w:ascii="宋体" w:hAnsi="宋体" w:cs="宋体"/>
          <w:color w:val="auto"/>
          <w:sz w:val="24"/>
          <w:highlight w:val="none"/>
          <w:lang w:val="en-US" w:eastAsia="zh-CN"/>
        </w:rPr>
        <w:t>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机动应急保障</w:t>
      </w:r>
      <w:r>
        <w:rPr>
          <w:rFonts w:hint="eastAsia" w:ascii="宋体" w:hAnsi="宋体" w:cs="宋体"/>
          <w:color w:val="auto"/>
          <w:sz w:val="24"/>
          <w:highlight w:val="none"/>
          <w:lang w:val="en-US" w:eastAsia="zh-CN"/>
        </w:rPr>
        <w:t>服务工数</w:t>
      </w:r>
      <w:r>
        <w:rPr>
          <w:rFonts w:hint="eastAsia" w:ascii="宋体" w:hAnsi="宋体" w:eastAsia="宋体" w:cs="宋体"/>
          <w:color w:val="auto"/>
          <w:sz w:val="24"/>
          <w:highlight w:val="none"/>
        </w:rPr>
        <w:t>约</w:t>
      </w:r>
      <w:r>
        <w:rPr>
          <w:rFonts w:hint="eastAsia" w:ascii="宋体" w:hAnsi="宋体" w:eastAsia="宋体" w:cs="宋体"/>
          <w:color w:val="auto"/>
          <w:sz w:val="24"/>
          <w:highlight w:val="none"/>
          <w:lang w:val="en-US" w:eastAsia="zh-CN"/>
        </w:rPr>
        <w:t>1263</w:t>
      </w:r>
      <w:r>
        <w:rPr>
          <w:rFonts w:hint="eastAsia" w:ascii="宋体" w:hAnsi="宋体" w:eastAsia="宋体" w:cs="宋体"/>
          <w:color w:val="auto"/>
          <w:sz w:val="24"/>
          <w:highlight w:val="none"/>
        </w:rPr>
        <w:t>工</w:t>
      </w:r>
      <w:r>
        <w:rPr>
          <w:rFonts w:hint="eastAsia" w:ascii="宋体" w:hAnsi="宋体" w:cs="宋体"/>
          <w:color w:val="auto"/>
          <w:sz w:val="24"/>
          <w:highlight w:val="none"/>
          <w:lang w:val="en-US" w:eastAsia="zh-CN"/>
        </w:rPr>
        <w:t>数</w:t>
      </w:r>
      <w:r>
        <w:rPr>
          <w:rFonts w:hint="eastAsia" w:ascii="宋体" w:hAnsi="宋体" w:eastAsia="宋体" w:cs="宋体"/>
          <w:color w:val="auto"/>
          <w:sz w:val="24"/>
          <w:highlight w:val="none"/>
        </w:rPr>
        <w:t>（女工比例不超过20%）。</w:t>
      </w:r>
    </w:p>
    <w:p w14:paraId="5BF59BE6">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2、园林日常养护，主要负责养护范围内的园林日常养护工作，</w:t>
      </w:r>
      <w:r>
        <w:rPr>
          <w:rFonts w:hint="eastAsia" w:ascii="宋体" w:hAnsi="宋体" w:cs="宋体"/>
          <w:color w:val="auto"/>
          <w:sz w:val="24"/>
          <w:highlight w:val="none"/>
          <w:lang w:eastAsia="zh-CN"/>
        </w:rPr>
        <w:t>每日服务工数最低保障为</w:t>
      </w:r>
      <w:r>
        <w:rPr>
          <w:rFonts w:hint="eastAsia" w:ascii="宋体" w:hAnsi="宋体" w:cs="宋体"/>
          <w:color w:val="auto"/>
          <w:sz w:val="24"/>
          <w:highlight w:val="none"/>
          <w:lang w:val="en-US" w:eastAsia="zh-CN"/>
        </w:rPr>
        <w:t>9工数</w:t>
      </w:r>
      <w:r>
        <w:rPr>
          <w:rFonts w:hint="eastAsia" w:ascii="宋体" w:hAnsi="宋体" w:cs="宋体"/>
          <w:color w:val="auto"/>
          <w:sz w:val="24"/>
          <w:highlight w:val="none"/>
        </w:rPr>
        <w:t>，项目负责人必须每天对工作情况进行检查，并记好工作台帐；同时安排好养护人员的工作，并做好每日电子考勤卡的考勤工作；在作业过程中，现场负责人须保持24小时手机畅通；养护项目负责人如不能到岗，必须向采购人管理人员请假，否则按</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违约处理。</w:t>
      </w:r>
    </w:p>
    <w:p w14:paraId="61AD81FE">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3、园林景观提升，主要负责养护范围内花坛花境种植、大树修剪复壮、节日摆花布置、园林突击任务等。</w:t>
      </w:r>
    </w:p>
    <w:p w14:paraId="1773E803">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4、应急抢险，主要负责抗雪、防冻、防台、防汛、抗旱等任务</w:t>
      </w:r>
      <w:r>
        <w:rPr>
          <w:rFonts w:hint="eastAsia" w:ascii="宋体" w:hAnsi="宋体" w:cs="宋体"/>
          <w:color w:val="auto"/>
          <w:sz w:val="24"/>
          <w:highlight w:val="none"/>
          <w:lang w:eastAsia="zh-CN"/>
        </w:rPr>
        <w:t>。</w:t>
      </w:r>
    </w:p>
    <w:p w14:paraId="68052398">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5、园林景观提升与应急抢险任务，根据</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预约派工单安排相关人员上岗。工作人员上岗时须配备工作服、安全帽、安全带、工作服、黄背心等。</w:t>
      </w:r>
    </w:p>
    <w:p w14:paraId="399A76A2">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6、与</w:t>
      </w:r>
      <w:r>
        <w:rPr>
          <w:rFonts w:hint="eastAsia" w:ascii="宋体" w:hAnsi="宋体" w:cs="宋体"/>
          <w:color w:val="auto"/>
          <w:sz w:val="24"/>
          <w:highlight w:val="none"/>
          <w:lang w:eastAsia="zh-CN"/>
        </w:rPr>
        <w:t>服务</w:t>
      </w:r>
      <w:r>
        <w:rPr>
          <w:rFonts w:hint="eastAsia" w:ascii="宋体" w:hAnsi="宋体" w:cs="宋体"/>
          <w:color w:val="auto"/>
          <w:sz w:val="24"/>
          <w:highlight w:val="none"/>
        </w:rPr>
        <w:t>有关的作业所涉及的工具（含零星材料），需</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自备。</w:t>
      </w:r>
    </w:p>
    <w:p w14:paraId="4A028AE3">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7、园林养护人员外环境作业时间：10小时/天，7：00—17：00，项目负责人到岗时间8:00-17:30，到岗率100%。</w:t>
      </w:r>
    </w:p>
    <w:p w14:paraId="3ECA1C3B">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严格遵守上级有关部门的养护标准要求执行，并严格按照《灵隐管理处“双最”公园综合检查考核细则》、《灵隐管理处“双最”道路（河道）绿地综合检查考核细则》等规范进行养护。</w:t>
      </w:r>
    </w:p>
    <w:p w14:paraId="4143C1FA">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9、绿地内树木修剪、滚草、枯死枝清理等，垃圾须当日清运完毕。</w:t>
      </w:r>
    </w:p>
    <w:p w14:paraId="74F4B513">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10、草坪随时修剪要求，草坪草高度不超过8cm（常绿草高度不超过6cm），树木周围和草坪边缘应及时切边。常绿草四季应保持绿色，草坪的纯洁度在98%以上，无空秃、黄化现象。对被人为损坏和已发生病害的常绿草坪两天内切除调换，补种时确保草坪的美观和平整。</w:t>
      </w:r>
    </w:p>
    <w:p w14:paraId="780A29AE">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11、乔灌木的修剪按《杭州园林植物养护技术规程》进行操作,根据采购人要求无患子、枫香、鸡爪槭、梅花等乔木或大型花灌木冬季必须刷白，及时防治病虫害；发现枯枝、死枝必须24小时内处理完毕；花灌木随时修剪，球形灌木常年保持形态完整，色块灌木应控制高度及宽度，色块之间界限分明、线条清晰流畅，无缺株、无空洞。按采购人的要求对枯死的树木连同根部在24小时内挖除，并在2天内补种完毕，补种苗木的规格、品种和原苗木基本相同。</w:t>
      </w:r>
    </w:p>
    <w:p w14:paraId="246B71A9">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11.1</w:t>
      </w:r>
      <w:r>
        <w:rPr>
          <w:rFonts w:hint="eastAsia" w:ascii="宋体" w:hAnsi="宋体" w:cs="宋体"/>
          <w:color w:val="auto"/>
          <w:sz w:val="24"/>
          <w:highlight w:val="none"/>
        </w:rPr>
        <w:t>花灌木养护：应根据花芽发育规律，对花灌木进行适当修剪，促进花枝萌发；同时，应在花前花后做好施肥工作，可适量施一些有机肥，促进根系生长，提高土壤有机质含量。</w:t>
      </w:r>
    </w:p>
    <w:p w14:paraId="7D049EE3">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12、花坛花境的养护，保证一年六次换花（含四个季度双最公园评比、五一、十一花境评比），做好花坛花境日常养护工作，充分考虑地域环境、气候条件保证花卉、植物等的成活率和整体美观性；防治病虫害，及时清理病弱死株及补种，延长花卉的盛放周期保证景观效果。</w:t>
      </w:r>
    </w:p>
    <w:p w14:paraId="4D8C3042">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12.1花境构图自然、植物配置合理，与周围环境相协调，花境类型可以多样，突出设计主题自然花境图案、色彩搭配富有艺术感，种植、养护技术精湛。</w:t>
      </w:r>
    </w:p>
    <w:p w14:paraId="49B94164">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13、病虫害防治：应认真贯彻“综合防治，以防为主”的方针，做到治早、治好，无明显病虫害发现，鼓励使用生物防治技术，提倡生态环保理念。</w:t>
      </w:r>
    </w:p>
    <w:p w14:paraId="4334845D">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14、遇有抗台、抗雪、防汛及抗旱等突发事件（防汛防台期（7-8月）、防雪抗冻期（12-2月）、抗旱期（8-10月）），必须无条件及时组织力量做好应急抢险等保障工作，服从采购人的统一指挥。对各类灾害性天气有应急预案，并自备相关工具。道路发生行道树倒伏，应在接到通知后半小时内赶到现场，12小时内处理完毕。如堵塞交通，2小时内予以清除。</w:t>
      </w:r>
    </w:p>
    <w:p w14:paraId="202CC6F0">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cs="宋体"/>
          <w:color w:val="auto"/>
          <w:highlight w:val="none"/>
          <w:lang w:val="en-US"/>
        </w:rPr>
      </w:pPr>
      <w:r>
        <w:rPr>
          <w:rFonts w:hint="eastAsia" w:ascii="宋体" w:hAnsi="宋体" w:cs="宋体"/>
          <w:color w:val="auto"/>
          <w:sz w:val="24"/>
          <w:highlight w:val="none"/>
        </w:rPr>
        <w:t>15、自觉接受各级部门的检查和社会舆论的监督。负责做好本合同养护区域内的长效管理抄告单、“数字城管”和投诉电话、新闻舆论批评和市、局、处等相关部门、群众信访等投诉处理件的处理、整改和回复工作，应在时限内处理完毕并将信息反馈。</w:t>
      </w:r>
    </w:p>
    <w:p w14:paraId="6BDE8786">
      <w:pPr>
        <w:keepNext w:val="0"/>
        <w:keepLines w:val="0"/>
        <w:pageBreakBefore w:val="0"/>
        <w:kinsoku/>
        <w:wordWrap/>
        <w:overflowPunct/>
        <w:topLinePunct w:val="0"/>
        <w:bidi w:val="0"/>
        <w:adjustRightInd w:val="0"/>
        <w:snapToGrid w:val="0"/>
        <w:spacing w:line="360" w:lineRule="auto"/>
        <w:ind w:firstLine="482" w:firstLineChars="200"/>
        <w:jc w:val="left"/>
        <w:textAlignment w:val="auto"/>
        <w:outlineLvl w:val="1"/>
        <w:rPr>
          <w:rFonts w:hint="eastAsia" w:ascii="宋体" w:hAnsi="宋体" w:cs="宋体"/>
          <w:b/>
          <w:bCs/>
          <w:color w:val="auto"/>
          <w:sz w:val="24"/>
          <w:highlight w:val="none"/>
        </w:rPr>
      </w:pPr>
      <w:bookmarkStart w:id="30" w:name="_Toc416098593"/>
      <w:r>
        <w:rPr>
          <w:rFonts w:hint="eastAsia" w:ascii="宋体" w:hAnsi="宋体" w:cs="宋体"/>
          <w:b/>
          <w:bCs/>
          <w:color w:val="auto"/>
          <w:sz w:val="24"/>
          <w:highlight w:val="none"/>
          <w:lang w:eastAsia="zh-CN"/>
        </w:rPr>
        <w:t>四</w:t>
      </w:r>
      <w:r>
        <w:rPr>
          <w:rFonts w:hint="eastAsia" w:ascii="宋体" w:hAnsi="宋体" w:cs="宋体"/>
          <w:b/>
          <w:bCs/>
          <w:color w:val="auto"/>
          <w:sz w:val="24"/>
          <w:highlight w:val="none"/>
        </w:rPr>
        <w:t>、养护考核要求</w:t>
      </w:r>
      <w:bookmarkEnd w:id="30"/>
    </w:p>
    <w:p w14:paraId="2618559E">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管理考核采取日常巡查管理和检查考核相结合。招标人及相关部门负责日常巡查监管和考核。</w:t>
      </w:r>
    </w:p>
    <w:p w14:paraId="192984B3">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数字城管案卷、智慧园文抄告等市级抄告及群众来电、来信、来访投诉并经查实的，出现重复抄告、投诉的每次承担违约金500元，法定节假日和重大活动保障不到位的每次承担违约金1000元。</w:t>
      </w:r>
    </w:p>
    <w:p w14:paraId="6A358A3B">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主要领导及分管领导检查发现问题，每次承担违约金500元，情节严重承担违约金1000元-2000元。</w:t>
      </w:r>
    </w:p>
    <w:p w14:paraId="2C0A322F">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双最”公园考核、处长效管理考核扣分的，每条承担违约金1000元。因</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原因（</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被抄告问题占区域问题总量60%以上）导致“双最”道路或公园排名末3位的，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有权解除合同，</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承担当月服务费作为违约金。</w:t>
      </w:r>
    </w:p>
    <w:p w14:paraId="724E7222">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highlight w:val="none"/>
          <w:lang w:val="en-US"/>
        </w:rPr>
      </w:pPr>
      <w:r>
        <w:rPr>
          <w:rFonts w:hint="eastAsia" w:ascii="宋体" w:hAnsi="宋体" w:cs="宋体"/>
          <w:color w:val="auto"/>
          <w:sz w:val="24"/>
          <w:highlight w:val="none"/>
          <w:lang w:val="en-US"/>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val="en-US"/>
        </w:rPr>
        <w:t>有关部门发出整改通知书</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lang w:val="en-US"/>
        </w:rPr>
        <w:t>不整改或整改不力的，一次承担违约金1000元，累计达到三次的，</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val="en-US"/>
        </w:rPr>
        <w:t>予以解除合同，履约保证金不予归还。</w:t>
      </w:r>
    </w:p>
    <w:p w14:paraId="4564BC66">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新闻媒体评比曝光1次，扣款3000元。</w:t>
      </w:r>
    </w:p>
    <w:p w14:paraId="03C4C3F4">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highlight w:val="none"/>
          <w:lang w:val="en-US"/>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en-US"/>
        </w:rPr>
        <w:t>遇到突发事件、自然灾害或天气影响，必须服从</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val="en-US"/>
        </w:rPr>
        <w:t>指挥和安排，遇抗雪防冻、抗台防汛等天气，</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lang w:val="en-US"/>
        </w:rPr>
        <w:t>必须在第一时间内迅速组织人员、机具设备将道路清理干净，如发现</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lang w:val="en-US"/>
        </w:rPr>
        <w:t>在接到通知后，没有作出积极反应的，每次承担违约金500元，在接到</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val="en-US"/>
        </w:rPr>
        <w:t>通知后，未在规定时间内到达现场的，每次承担违约金3000元，未在规定时间内完成任务的，每次承担违约金3000元。</w:t>
      </w:r>
    </w:p>
    <w:p w14:paraId="1504BFEF">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市级检查失分扣2000元/次，省级检查失分扣5000元/次，国家级检查失分扣10000元/次，</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可解除园林养护服务合同。</w:t>
      </w:r>
    </w:p>
    <w:p w14:paraId="035757E0">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其他</w:t>
      </w:r>
    </w:p>
    <w:p w14:paraId="6DF32398">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.1</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应按照</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要求，配足园林养护人员，因</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原因致使人员不足的，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将按缺勤考虑，按缺勤人数及天数，扣除当月养护费用，因</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原因致使人员不足，且影响</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正常工作运转的，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可以向其他公司紧急聘用养护人员以弥补岗位缺口，所涉及的费用由</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承担。</w:t>
      </w:r>
    </w:p>
    <w:p w14:paraId="37D34D77">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在作业过程中，如出现</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人员迟到早退、聚集聊天、消极怠工、不按</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工作要求操作、不服从管理等情况，发现一次扣除费用500元，发现二次扣除费用2000元，发生三次及以上，</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可解除合同。如出现打架斗殴等对</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公园景区形象产生恶劣影响的情况，视情况严重程度予以处罚，如情节严重的，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有权中止合同，且不支付劳务费用。</w:t>
      </w:r>
    </w:p>
    <w:p w14:paraId="64FF1F2B">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日常巡检中，如现场养护人员不到位的，每发现一次承担违约金500元，情节严重承担违约金1000元。</w:t>
      </w:r>
    </w:p>
    <w:p w14:paraId="2CBEA6DE">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color w:val="auto"/>
          <w:sz w:val="24"/>
          <w:highlight w:val="none"/>
          <w:lang w:val="en-US" w:eastAsia="zh-CN"/>
        </w:rPr>
        <w:t>10、在日</w:t>
      </w:r>
      <w:r>
        <w:rPr>
          <w:rFonts w:hint="eastAsia" w:ascii="宋体" w:hAnsi="宋体" w:cs="宋体"/>
          <w:color w:val="auto"/>
          <w:sz w:val="24"/>
          <w:highlight w:val="none"/>
        </w:rPr>
        <w:t>常巡检中，如发现现场养护人员电子考勤不到位的，每发现一次承担违约金500元，养护班组整体电子考勤缺卡、没打卡的，视情节严重承担违约金5000元。</w:t>
      </w:r>
      <w:bookmarkStart w:id="31" w:name="_Toc416098594"/>
    </w:p>
    <w:bookmarkEnd w:id="31"/>
    <w:p w14:paraId="6986F6A5">
      <w:pPr>
        <w:keepNext w:val="0"/>
        <w:keepLines w:val="0"/>
        <w:pageBreakBefore w:val="0"/>
        <w:kinsoku/>
        <w:wordWrap/>
        <w:overflowPunct/>
        <w:topLinePunct w:val="0"/>
        <w:bidi w:val="0"/>
        <w:adjustRightInd w:val="0"/>
        <w:snapToGrid w:val="0"/>
        <w:spacing w:line="360" w:lineRule="auto"/>
        <w:ind w:firstLine="482" w:firstLineChars="200"/>
        <w:jc w:val="left"/>
        <w:textAlignment w:val="auto"/>
        <w:outlineLvl w:val="1"/>
        <w:rPr>
          <w:rFonts w:hint="eastAsia" w:ascii="宋体" w:hAnsi="宋体" w:cs="宋体"/>
          <w:sz w:val="24"/>
          <w:highlight w:val="none"/>
        </w:rPr>
      </w:pPr>
      <w:r>
        <w:rPr>
          <w:rFonts w:hint="eastAsia" w:ascii="宋体" w:hAnsi="宋体" w:cs="宋体"/>
          <w:b/>
          <w:bCs/>
          <w:sz w:val="24"/>
          <w:highlight w:val="none"/>
          <w:lang w:eastAsia="zh-CN"/>
        </w:rPr>
        <w:t>五</w:t>
      </w:r>
      <w:r>
        <w:rPr>
          <w:rFonts w:hint="eastAsia" w:ascii="宋体" w:hAnsi="宋体" w:cs="宋体"/>
          <w:b/>
          <w:bCs/>
          <w:sz w:val="24"/>
          <w:highlight w:val="none"/>
        </w:rPr>
        <w:t>、质量标准及要求</w:t>
      </w:r>
      <w:r>
        <w:rPr>
          <w:rFonts w:hint="eastAsia" w:ascii="宋体" w:hAnsi="宋体" w:cs="宋体"/>
          <w:sz w:val="24"/>
          <w:highlight w:val="none"/>
        </w:rPr>
        <w:t xml:space="preserve"> </w:t>
      </w:r>
    </w:p>
    <w:p w14:paraId="703C59D1">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1、质量标准：达到《杭州市城区绿地养护质量标准》。</w:t>
      </w:r>
    </w:p>
    <w:p w14:paraId="221433AD">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投标人</w:t>
      </w:r>
      <w:r>
        <w:rPr>
          <w:rFonts w:hint="eastAsia" w:ascii="宋体" w:hAnsi="宋体" w:cs="宋体"/>
          <w:sz w:val="24"/>
          <w:highlight w:val="none"/>
        </w:rPr>
        <w:t>提供的服务应确保按时完成</w:t>
      </w:r>
      <w:r>
        <w:rPr>
          <w:rFonts w:hint="eastAsia" w:ascii="宋体" w:hAnsi="宋体" w:cs="宋体"/>
          <w:sz w:val="24"/>
          <w:highlight w:val="none"/>
          <w:lang w:eastAsia="zh-CN"/>
        </w:rPr>
        <w:t>采购人</w:t>
      </w:r>
      <w:r>
        <w:rPr>
          <w:rFonts w:hint="eastAsia" w:ascii="宋体" w:hAnsi="宋体" w:cs="宋体"/>
          <w:sz w:val="24"/>
          <w:highlight w:val="none"/>
        </w:rPr>
        <w:t xml:space="preserve">规定的工作任务。对达不到要求的，根据实际情况达不到验收合格的，按损失金额进行赔偿。 </w:t>
      </w:r>
    </w:p>
    <w:p w14:paraId="13F38503">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3、如在服务过程中发生问题，</w:t>
      </w:r>
      <w:r>
        <w:rPr>
          <w:rFonts w:hint="eastAsia" w:ascii="宋体" w:hAnsi="宋体" w:cs="宋体"/>
          <w:sz w:val="24"/>
          <w:highlight w:val="none"/>
          <w:lang w:eastAsia="zh-CN"/>
        </w:rPr>
        <w:t>投标人</w:t>
      </w:r>
      <w:r>
        <w:rPr>
          <w:rFonts w:hint="eastAsia" w:ascii="宋体" w:hAnsi="宋体" w:cs="宋体"/>
          <w:sz w:val="24"/>
          <w:highlight w:val="none"/>
        </w:rPr>
        <w:t>项目负责人应在接到</w:t>
      </w:r>
      <w:r>
        <w:rPr>
          <w:rFonts w:hint="eastAsia" w:ascii="宋体" w:hAnsi="宋体" w:cs="宋体"/>
          <w:sz w:val="24"/>
          <w:highlight w:val="none"/>
          <w:lang w:eastAsia="zh-CN"/>
        </w:rPr>
        <w:t>采购人</w:t>
      </w:r>
      <w:r>
        <w:rPr>
          <w:rFonts w:hint="eastAsia" w:ascii="宋体" w:hAnsi="宋体" w:cs="宋体"/>
          <w:sz w:val="24"/>
          <w:highlight w:val="none"/>
        </w:rPr>
        <w:t>通知后在1小时内到达项目现场。</w:t>
      </w:r>
    </w:p>
    <w:p w14:paraId="3C1006F0">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4、在服务质量保证期内，</w:t>
      </w:r>
      <w:r>
        <w:rPr>
          <w:rFonts w:hint="eastAsia" w:ascii="宋体" w:hAnsi="宋体" w:cs="宋体"/>
          <w:sz w:val="24"/>
          <w:highlight w:val="none"/>
          <w:lang w:eastAsia="zh-CN"/>
        </w:rPr>
        <w:t>投标人</w:t>
      </w:r>
      <w:r>
        <w:rPr>
          <w:rFonts w:hint="eastAsia" w:ascii="宋体" w:hAnsi="宋体" w:cs="宋体"/>
          <w:sz w:val="24"/>
          <w:highlight w:val="none"/>
        </w:rPr>
        <w:t>应对出现的质量及安全问题负责并处理解决，并承担一切费用。</w:t>
      </w:r>
    </w:p>
    <w:p w14:paraId="244253D8">
      <w:pPr>
        <w:keepNext w:val="0"/>
        <w:keepLines w:val="0"/>
        <w:pageBreakBefore w:val="0"/>
        <w:kinsoku/>
        <w:wordWrap/>
        <w:overflowPunct/>
        <w:topLinePunct w:val="0"/>
        <w:bidi w:val="0"/>
        <w:adjustRightInd w:val="0"/>
        <w:snapToGrid w:val="0"/>
        <w:spacing w:line="360" w:lineRule="auto"/>
        <w:ind w:firstLine="482" w:firstLineChars="200"/>
        <w:jc w:val="left"/>
        <w:textAlignment w:val="auto"/>
        <w:outlineLvl w:val="1"/>
        <w:rPr>
          <w:rFonts w:hint="eastAsia" w:ascii="宋体" w:hAnsi="宋体" w:cs="宋体"/>
          <w:b/>
          <w:bCs/>
          <w:sz w:val="24"/>
          <w:highlight w:val="none"/>
        </w:rPr>
      </w:pPr>
      <w:r>
        <w:rPr>
          <w:rFonts w:hint="eastAsia" w:ascii="宋体" w:hAnsi="宋体" w:cs="宋体"/>
          <w:b/>
          <w:bCs/>
          <w:sz w:val="24"/>
          <w:highlight w:val="none"/>
          <w:lang w:eastAsia="zh-CN"/>
        </w:rPr>
        <w:t>六、</w:t>
      </w:r>
      <w:r>
        <w:rPr>
          <w:rFonts w:hint="eastAsia" w:ascii="宋体" w:hAnsi="宋体" w:cs="宋体"/>
          <w:b/>
          <w:bCs/>
          <w:sz w:val="24"/>
          <w:highlight w:val="none"/>
        </w:rPr>
        <w:t>商务要求</w:t>
      </w:r>
    </w:p>
    <w:p w14:paraId="4B531190">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1、报价要求</w:t>
      </w:r>
    </w:p>
    <w:p w14:paraId="7CE426C6">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1.1</w:t>
      </w:r>
      <w:r>
        <w:rPr>
          <w:rFonts w:hint="eastAsia" w:ascii="宋体" w:hAnsi="宋体" w:cs="宋体"/>
          <w:sz w:val="24"/>
          <w:highlight w:val="none"/>
          <w:lang w:val="zh-CN"/>
        </w:rPr>
        <w:t>本项目采用投标总价进行报价，按实际</w:t>
      </w:r>
      <w:r>
        <w:rPr>
          <w:rFonts w:hint="eastAsia" w:ascii="宋体" w:hAnsi="宋体" w:cs="宋体"/>
          <w:color w:val="auto"/>
          <w:sz w:val="24"/>
          <w:highlight w:val="none"/>
          <w:lang w:val="en-US" w:eastAsia="zh-CN"/>
        </w:rPr>
        <w:t>服务工数</w:t>
      </w:r>
      <w:r>
        <w:rPr>
          <w:rFonts w:hint="eastAsia" w:ascii="宋体" w:hAnsi="宋体" w:cs="宋体"/>
          <w:sz w:val="24"/>
          <w:highlight w:val="none"/>
          <w:lang w:val="zh-CN"/>
        </w:rPr>
        <w:t>数量结算。总报价应包括劳务人员（包括人员工资、预计加班费用、社会保障费用等）、季节性劳务</w:t>
      </w:r>
      <w:r>
        <w:rPr>
          <w:rFonts w:hint="eastAsia" w:ascii="宋体" w:hAnsi="宋体" w:cs="宋体"/>
          <w:color w:val="auto"/>
          <w:sz w:val="24"/>
          <w:highlight w:val="none"/>
          <w:lang w:val="en-US" w:eastAsia="zh-CN"/>
        </w:rPr>
        <w:t>服务工数</w:t>
      </w:r>
      <w:r>
        <w:rPr>
          <w:rFonts w:hint="eastAsia" w:ascii="宋体" w:hAnsi="宋体" w:cs="宋体"/>
          <w:sz w:val="24"/>
          <w:highlight w:val="none"/>
        </w:rPr>
        <w:t>、垃圾处置（园林垃圾）等</w:t>
      </w:r>
      <w:r>
        <w:rPr>
          <w:rFonts w:hint="eastAsia" w:ascii="宋体" w:hAnsi="宋体" w:cs="宋体"/>
          <w:sz w:val="24"/>
          <w:highlight w:val="none"/>
          <w:lang w:val="zh-CN"/>
        </w:rPr>
        <w:t>运营并达到合同标准而需实际发生的各类成本费用、维修费用、作业所涉及的物耗费用（含零星材料，工具、补植苗木、花境用花、绿地施肥）、能耗费用、管理酬金、水电费、税费等。投标人需自行承担涉及投标的一切费用，均计入报价。政策性文件规定及合同包含的所有风险、责任等各项应有费用均应考虑在内。</w:t>
      </w:r>
    </w:p>
    <w:p w14:paraId="3FF2F826">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lang w:val="zh-CN"/>
        </w:rPr>
      </w:pPr>
      <w:r>
        <w:rPr>
          <w:rFonts w:hint="eastAsia" w:ascii="宋体" w:hAnsi="宋体" w:cs="宋体"/>
          <w:sz w:val="24"/>
          <w:highlight w:val="none"/>
        </w:rPr>
        <w:t>1.2</w:t>
      </w:r>
      <w:r>
        <w:rPr>
          <w:rFonts w:hint="eastAsia" w:ascii="宋体" w:hAnsi="宋体" w:cs="宋体"/>
          <w:sz w:val="24"/>
          <w:highlight w:val="none"/>
          <w:lang w:eastAsia="zh-CN"/>
        </w:rPr>
        <w:t>投标人</w:t>
      </w:r>
      <w:r>
        <w:rPr>
          <w:rFonts w:hint="eastAsia" w:ascii="宋体" w:hAnsi="宋体" w:cs="宋体"/>
          <w:sz w:val="24"/>
          <w:highlight w:val="none"/>
        </w:rPr>
        <w:t>必须</w:t>
      </w:r>
      <w:r>
        <w:rPr>
          <w:rFonts w:hint="eastAsia" w:ascii="宋体" w:hAnsi="宋体" w:cs="宋体"/>
          <w:sz w:val="24"/>
          <w:highlight w:val="none"/>
          <w:lang w:eastAsia="zh-CN"/>
        </w:rPr>
        <w:t>保证</w:t>
      </w:r>
      <w:r>
        <w:rPr>
          <w:rFonts w:hint="eastAsia" w:ascii="宋体" w:hAnsi="宋体" w:cs="宋体"/>
          <w:sz w:val="24"/>
          <w:highlight w:val="none"/>
        </w:rPr>
        <w:t>养护区域的</w:t>
      </w:r>
      <w:r>
        <w:rPr>
          <w:rFonts w:hint="eastAsia" w:ascii="宋体" w:hAnsi="宋体" w:cs="宋体"/>
          <w:sz w:val="24"/>
          <w:highlight w:val="none"/>
          <w:lang w:eastAsia="zh-CN"/>
        </w:rPr>
        <w:t>每日</w:t>
      </w:r>
      <w:r>
        <w:rPr>
          <w:rFonts w:hint="eastAsia" w:ascii="宋体" w:hAnsi="宋体" w:cs="宋体"/>
          <w:sz w:val="24"/>
          <w:highlight w:val="none"/>
        </w:rPr>
        <w:t>日常养护</w:t>
      </w:r>
      <w:r>
        <w:rPr>
          <w:rFonts w:hint="eastAsia" w:ascii="宋体" w:hAnsi="宋体" w:cs="宋体"/>
          <w:sz w:val="24"/>
          <w:highlight w:val="none"/>
          <w:lang w:eastAsia="zh-CN"/>
        </w:rPr>
        <w:t>服务工数不低于最低保障（</w:t>
      </w:r>
      <w:r>
        <w:rPr>
          <w:rFonts w:hint="eastAsia" w:ascii="宋体" w:hAnsi="宋体" w:cs="宋体"/>
          <w:sz w:val="24"/>
          <w:highlight w:val="none"/>
          <w:lang w:val="en-US" w:eastAsia="zh-CN"/>
        </w:rPr>
        <w:t>9工数</w:t>
      </w:r>
      <w:r>
        <w:rPr>
          <w:rFonts w:hint="eastAsia" w:ascii="宋体" w:hAnsi="宋体" w:cs="宋体"/>
          <w:sz w:val="24"/>
          <w:highlight w:val="none"/>
          <w:lang w:eastAsia="zh-CN"/>
        </w:rPr>
        <w:t>），</w:t>
      </w:r>
      <w:r>
        <w:rPr>
          <w:rFonts w:hint="eastAsia" w:ascii="宋体" w:hAnsi="宋体" w:cs="宋体"/>
          <w:sz w:val="24"/>
          <w:highlight w:val="none"/>
          <w:lang w:val="zh-CN"/>
        </w:rPr>
        <w:t>养护区域的日常养护人员配备全年计划服务工数4</w:t>
      </w:r>
      <w:r>
        <w:rPr>
          <w:rFonts w:hint="eastAsia" w:ascii="宋体" w:hAnsi="宋体" w:cs="宋体"/>
          <w:sz w:val="24"/>
          <w:highlight w:val="none"/>
          <w:lang w:val="en-US" w:eastAsia="zh-CN"/>
        </w:rPr>
        <w:t>968</w:t>
      </w:r>
      <w:r>
        <w:rPr>
          <w:rFonts w:hint="eastAsia" w:ascii="宋体" w:hAnsi="宋体" w:cs="宋体"/>
          <w:sz w:val="24"/>
          <w:highlight w:val="none"/>
          <w:lang w:val="zh-CN"/>
        </w:rPr>
        <w:t>工</w:t>
      </w:r>
      <w:r>
        <w:rPr>
          <w:rFonts w:hint="eastAsia" w:ascii="宋体" w:hAnsi="宋体" w:cs="宋体"/>
          <w:color w:val="auto"/>
          <w:sz w:val="24"/>
          <w:highlight w:val="none"/>
          <w:lang w:val="en-US" w:eastAsia="zh-CN"/>
        </w:rPr>
        <w:t>数</w:t>
      </w:r>
      <w:r>
        <w:rPr>
          <w:rFonts w:hint="eastAsia" w:ascii="宋体" w:hAnsi="宋体" w:cs="宋体"/>
          <w:sz w:val="24"/>
          <w:highlight w:val="none"/>
          <w:lang w:val="zh-CN"/>
        </w:rPr>
        <w:t>，其中日常养护服务工数1846工</w:t>
      </w:r>
      <w:r>
        <w:rPr>
          <w:rFonts w:hint="eastAsia" w:ascii="宋体" w:hAnsi="宋体" w:cs="宋体"/>
          <w:color w:val="auto"/>
          <w:sz w:val="24"/>
          <w:highlight w:val="none"/>
          <w:lang w:val="en-US" w:eastAsia="zh-CN"/>
        </w:rPr>
        <w:t>数</w:t>
      </w:r>
      <w:r>
        <w:rPr>
          <w:rFonts w:hint="eastAsia" w:ascii="宋体" w:hAnsi="宋体" w:cs="宋体"/>
          <w:sz w:val="24"/>
          <w:highlight w:val="none"/>
          <w:lang w:val="zh-CN"/>
        </w:rPr>
        <w:t>,园林景观提升服务工数1859工</w:t>
      </w:r>
      <w:r>
        <w:rPr>
          <w:rFonts w:hint="eastAsia" w:ascii="宋体" w:hAnsi="宋体" w:cs="宋体"/>
          <w:color w:val="auto"/>
          <w:sz w:val="24"/>
          <w:highlight w:val="none"/>
          <w:lang w:val="en-US" w:eastAsia="zh-CN"/>
        </w:rPr>
        <w:t>数</w:t>
      </w:r>
      <w:r>
        <w:rPr>
          <w:rFonts w:hint="eastAsia" w:ascii="宋体" w:hAnsi="宋体" w:cs="宋体"/>
          <w:sz w:val="24"/>
          <w:highlight w:val="none"/>
          <w:lang w:val="zh-CN"/>
        </w:rPr>
        <w:t>，机动应急保障服务工数约</w:t>
      </w:r>
      <w:r>
        <w:rPr>
          <w:rFonts w:hint="eastAsia" w:ascii="宋体" w:hAnsi="宋体" w:cs="宋体"/>
          <w:sz w:val="24"/>
          <w:highlight w:val="none"/>
          <w:lang w:val="en-US" w:eastAsia="zh-CN"/>
        </w:rPr>
        <w:t>1263</w:t>
      </w:r>
      <w:r>
        <w:rPr>
          <w:rFonts w:hint="eastAsia" w:ascii="宋体" w:hAnsi="宋体" w:cs="宋体"/>
          <w:sz w:val="24"/>
          <w:highlight w:val="none"/>
          <w:lang w:val="zh-CN"/>
        </w:rPr>
        <w:t>工</w:t>
      </w:r>
      <w:r>
        <w:rPr>
          <w:rFonts w:hint="eastAsia" w:ascii="宋体" w:hAnsi="宋体" w:cs="宋体"/>
          <w:color w:val="auto"/>
          <w:sz w:val="24"/>
          <w:highlight w:val="none"/>
          <w:lang w:val="en-US" w:eastAsia="zh-CN"/>
        </w:rPr>
        <w:t>数</w:t>
      </w:r>
      <w:r>
        <w:rPr>
          <w:rFonts w:hint="eastAsia" w:ascii="宋体" w:hAnsi="宋体" w:cs="宋体"/>
          <w:sz w:val="24"/>
          <w:highlight w:val="none"/>
          <w:lang w:val="zh-CN"/>
        </w:rPr>
        <w:t>（女工比例不超过20%）。</w:t>
      </w:r>
      <w:r>
        <w:rPr>
          <w:rFonts w:hint="eastAsia" w:ascii="宋体" w:hAnsi="宋体" w:eastAsia="宋体" w:cs="宋体"/>
          <w:sz w:val="24"/>
          <w:highlight w:val="none"/>
          <w:lang w:val="zh-CN"/>
        </w:rPr>
        <w:t>其中派遣人员每人每月人工费用不得低于</w:t>
      </w:r>
      <w:r>
        <w:rPr>
          <w:rFonts w:hint="eastAsia" w:ascii="宋体" w:hAnsi="宋体" w:cs="宋体"/>
          <w:sz w:val="24"/>
          <w:highlight w:val="none"/>
          <w:lang w:val="en-US" w:eastAsia="zh-CN"/>
        </w:rPr>
        <w:t>当地最低工资标准</w:t>
      </w:r>
      <w:r>
        <w:rPr>
          <w:rFonts w:hint="eastAsia" w:ascii="宋体" w:hAnsi="宋体" w:cs="宋体"/>
          <w:sz w:val="24"/>
          <w:highlight w:val="none"/>
          <w:lang w:val="zh-CN"/>
        </w:rPr>
        <w:t>，否则评标委员可以认为低于成本价恶性竞争而判定为无效标(因人工费上涨引起费用增加的风险应考虑在投标总价内，采购单位不另行支付)。</w:t>
      </w:r>
    </w:p>
    <w:p w14:paraId="0E04CB4A">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2、付款方式和条件</w:t>
      </w:r>
    </w:p>
    <w:p w14:paraId="5667CDDE">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2.1付款方式：按月结，</w:t>
      </w:r>
      <w:r>
        <w:rPr>
          <w:rFonts w:hint="eastAsia" w:ascii="宋体" w:hAnsi="宋体" w:cs="宋体"/>
          <w:sz w:val="24"/>
          <w:highlight w:val="none"/>
          <w:lang w:val="zh-CN"/>
        </w:rPr>
        <w:t>以</w:t>
      </w:r>
      <w:r>
        <w:rPr>
          <w:rFonts w:hint="eastAsia" w:ascii="宋体" w:hAnsi="宋体" w:cs="宋体"/>
          <w:sz w:val="24"/>
          <w:highlight w:val="none"/>
        </w:rPr>
        <w:t>转账方式</w:t>
      </w:r>
      <w:r>
        <w:rPr>
          <w:rFonts w:hint="eastAsia" w:ascii="宋体" w:hAnsi="宋体" w:cs="宋体"/>
          <w:sz w:val="24"/>
          <w:highlight w:val="none"/>
          <w:lang w:val="zh-CN"/>
        </w:rPr>
        <w:t>，按实际服务工数数量结算。（注：根据【浙财采监〔2022〕3号】-《浙江省财政厅关于进一步发挥政府采购政策功能全力推动经济稳进提质的通知》规定：“对供应商为大型企业的项目或者以人工投入为主且实行按月定期结算支付款项的项目，可不约定预付款”，故本项目无预付款）</w:t>
      </w:r>
    </w:p>
    <w:p w14:paraId="1287E629">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2.2付款条件：</w:t>
      </w:r>
      <w:r>
        <w:rPr>
          <w:rFonts w:hint="eastAsia" w:ascii="宋体" w:hAnsi="宋体" w:cs="宋体"/>
          <w:sz w:val="24"/>
          <w:highlight w:val="none"/>
          <w:lang w:eastAsia="zh-CN"/>
        </w:rPr>
        <w:t>投标人</w:t>
      </w:r>
      <w:r>
        <w:rPr>
          <w:rFonts w:hint="eastAsia" w:ascii="宋体" w:hAnsi="宋体" w:cs="宋体"/>
          <w:sz w:val="24"/>
          <w:highlight w:val="none"/>
        </w:rPr>
        <w:t>凭采购人出具的月派遣人员清单和采购人相关负责人签字认可的实际服务工数审批单及等额税务发票于次月20日前向采购人进行结算。</w:t>
      </w:r>
    </w:p>
    <w:p w14:paraId="2DFC3F1B">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3、履行合同的时间、地点、违约责任、解决争议的方式</w:t>
      </w:r>
    </w:p>
    <w:p w14:paraId="63D2E1BC">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3.1履行合同的时间：1年（具体时间按合同签订为准）。</w:t>
      </w:r>
    </w:p>
    <w:p w14:paraId="6977D731">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3.2履行合同的地点：管理处辖区</w:t>
      </w:r>
    </w:p>
    <w:p w14:paraId="15937674">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3.3履约保证金：</w:t>
      </w:r>
      <w:r>
        <w:rPr>
          <w:rFonts w:hint="eastAsia" w:ascii="宋体" w:hAnsi="宋体" w:cs="宋体"/>
          <w:sz w:val="24"/>
          <w:highlight w:val="none"/>
          <w:lang w:val="zh-CN"/>
        </w:rPr>
        <w:t>中标金额的</w:t>
      </w:r>
      <w:r>
        <w:rPr>
          <w:rFonts w:hint="eastAsia" w:ascii="宋体" w:hAnsi="宋体" w:cs="宋体"/>
          <w:sz w:val="24"/>
          <w:highlight w:val="none"/>
        </w:rPr>
        <w:t>1</w:t>
      </w:r>
      <w:r>
        <w:rPr>
          <w:rFonts w:hint="eastAsia" w:ascii="宋体" w:hAnsi="宋体" w:cs="宋体"/>
          <w:sz w:val="24"/>
          <w:highlight w:val="none"/>
          <w:lang w:val="zh-CN"/>
        </w:rPr>
        <w:t>%。</w:t>
      </w:r>
    </w:p>
    <w:p w14:paraId="41EA07D7">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3.4履行合同的违约责任</w:t>
      </w:r>
    </w:p>
    <w:p w14:paraId="7EEE62B1">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（1）采购人无正当理由拒收接受服务的，采购人向</w:t>
      </w:r>
      <w:r>
        <w:rPr>
          <w:rFonts w:hint="eastAsia" w:ascii="宋体" w:hAnsi="宋体" w:cs="宋体"/>
          <w:sz w:val="24"/>
          <w:highlight w:val="none"/>
          <w:lang w:eastAsia="zh-CN"/>
        </w:rPr>
        <w:t>投标人</w:t>
      </w:r>
      <w:r>
        <w:rPr>
          <w:rFonts w:hint="eastAsia" w:ascii="宋体" w:hAnsi="宋体" w:cs="宋体"/>
          <w:sz w:val="24"/>
          <w:highlight w:val="none"/>
        </w:rPr>
        <w:t>偿付合同款项百分之五作为违约金。</w:t>
      </w:r>
    </w:p>
    <w:p w14:paraId="7DBE27C0">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（2）采购人无故逾期验收和办理款项支付手续的,采购人应按逾期付款总额每日万分之五向</w:t>
      </w:r>
      <w:r>
        <w:rPr>
          <w:rFonts w:hint="eastAsia" w:ascii="宋体" w:hAnsi="宋体" w:cs="宋体"/>
          <w:sz w:val="24"/>
          <w:highlight w:val="none"/>
          <w:lang w:eastAsia="zh-CN"/>
        </w:rPr>
        <w:t>投标人</w:t>
      </w:r>
      <w:r>
        <w:rPr>
          <w:rFonts w:hint="eastAsia" w:ascii="宋体" w:hAnsi="宋体" w:cs="宋体"/>
          <w:sz w:val="24"/>
          <w:highlight w:val="none"/>
        </w:rPr>
        <w:t>支付违约金。</w:t>
      </w:r>
    </w:p>
    <w:p w14:paraId="3AFB972C">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eastAsia="zh-CN"/>
        </w:rPr>
        <w:t>投标人</w:t>
      </w:r>
      <w:r>
        <w:rPr>
          <w:rFonts w:hint="eastAsia" w:ascii="宋体" w:hAnsi="宋体" w:cs="宋体"/>
          <w:sz w:val="24"/>
          <w:highlight w:val="none"/>
        </w:rPr>
        <w:t>未能如期提供服务的，对采购人的通知逾期未响应，采购人自行安排人员完成工作，产生的相关费用由</w:t>
      </w:r>
      <w:r>
        <w:rPr>
          <w:rFonts w:hint="eastAsia" w:ascii="宋体" w:hAnsi="宋体" w:cs="宋体"/>
          <w:sz w:val="24"/>
          <w:highlight w:val="none"/>
          <w:lang w:eastAsia="zh-CN"/>
        </w:rPr>
        <w:t>投标人</w:t>
      </w:r>
      <w:r>
        <w:rPr>
          <w:rFonts w:hint="eastAsia" w:ascii="宋体" w:hAnsi="宋体" w:cs="宋体"/>
          <w:sz w:val="24"/>
          <w:highlight w:val="none"/>
        </w:rPr>
        <w:t>承担。</w:t>
      </w:r>
      <w:r>
        <w:rPr>
          <w:rFonts w:hint="eastAsia" w:ascii="宋体" w:hAnsi="宋体" w:cs="宋体"/>
          <w:sz w:val="24"/>
          <w:highlight w:val="none"/>
          <w:lang w:eastAsia="zh-CN"/>
        </w:rPr>
        <w:t>投标人</w:t>
      </w:r>
      <w:r>
        <w:rPr>
          <w:rFonts w:hint="eastAsia" w:ascii="宋体" w:hAnsi="宋体" w:cs="宋体"/>
          <w:sz w:val="24"/>
          <w:highlight w:val="none"/>
        </w:rPr>
        <w:t>超过约定日期10个工作日仍不能提供服务的，采购人可解除本合同。</w:t>
      </w:r>
    </w:p>
    <w:p w14:paraId="2D036877">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3.5履行合同中解决争议的方式：</w:t>
      </w:r>
      <w:r>
        <w:rPr>
          <w:rFonts w:hint="eastAsia" w:ascii="宋体" w:hAnsi="宋体" w:cs="宋体"/>
          <w:sz w:val="24"/>
          <w:highlight w:val="none"/>
          <w:lang w:val="zh-CN"/>
        </w:rPr>
        <w:t>在合同执行过程中如发生争议，首先应本着友好的原则协商解决，协商未果的，合同中甲乙双方均可</w:t>
      </w:r>
      <w:r>
        <w:rPr>
          <w:rFonts w:hint="eastAsia" w:ascii="宋体" w:hAnsi="宋体" w:cs="宋体"/>
          <w:sz w:val="24"/>
          <w:highlight w:val="none"/>
        </w:rPr>
        <w:t>向本项目所在地人民法院提起诉讼。</w:t>
      </w:r>
    </w:p>
    <w:p w14:paraId="67CCD73A">
      <w:pPr>
        <w:keepNext w:val="0"/>
        <w:keepLines w:val="0"/>
        <w:pageBreakBefore w:val="0"/>
        <w:numPr>
          <w:ilvl w:val="0"/>
          <w:numId w:val="0"/>
        </w:numPr>
        <w:kinsoku/>
        <w:wordWrap/>
        <w:overflowPunct/>
        <w:topLinePunct w:val="0"/>
        <w:bidi w:val="0"/>
        <w:adjustRightInd w:val="0"/>
        <w:snapToGrid w:val="0"/>
        <w:spacing w:line="360" w:lineRule="auto"/>
        <w:ind w:left="-62" w:leftChars="0" w:firstLine="482" w:firstLineChars="0"/>
        <w:jc w:val="left"/>
        <w:textAlignment w:val="auto"/>
        <w:rPr>
          <w:rFonts w:hint="eastAsia" w:ascii="宋体" w:hAnsi="宋体" w:cs="宋体"/>
          <w:b/>
          <w:bCs/>
          <w:sz w:val="24"/>
          <w:highlight w:val="none"/>
        </w:rPr>
      </w:pPr>
      <w:r>
        <w:rPr>
          <w:rFonts w:hint="eastAsia" w:ascii="宋体" w:hAnsi="宋体" w:eastAsia="宋体" w:cs="宋体"/>
          <w:b/>
          <w:bCs/>
          <w:kern w:val="2"/>
          <w:sz w:val="24"/>
          <w:szCs w:val="24"/>
          <w:highlight w:val="none"/>
          <w:lang w:val="en-US" w:eastAsia="zh-CN" w:bidi="ar-SA"/>
        </w:rPr>
        <w:t>4、</w:t>
      </w:r>
      <w:r>
        <w:rPr>
          <w:rFonts w:hint="eastAsia" w:ascii="宋体" w:hAnsi="宋体" w:cs="宋体"/>
          <w:b/>
          <w:bCs/>
          <w:sz w:val="24"/>
          <w:highlight w:val="none"/>
          <w:lang w:eastAsia="zh-CN"/>
        </w:rPr>
        <w:t>投标人</w:t>
      </w:r>
      <w:r>
        <w:rPr>
          <w:rFonts w:hint="eastAsia" w:ascii="宋体" w:hAnsi="宋体" w:cs="宋体"/>
          <w:b/>
          <w:bCs/>
          <w:sz w:val="24"/>
          <w:highlight w:val="none"/>
        </w:rPr>
        <w:t>派遣的养护人员在作业中必须采取有效的安全措施，做好相关安全工作。在作业过程中，必须穿反光衣。养护人员在作业期间发生工伤、职业病、死亡等事故（包括上下班过程中的交通伤亡事故）等，由</w:t>
      </w:r>
      <w:r>
        <w:rPr>
          <w:rFonts w:hint="eastAsia" w:ascii="宋体" w:hAnsi="宋体" w:cs="宋体"/>
          <w:b/>
          <w:bCs/>
          <w:sz w:val="24"/>
          <w:highlight w:val="none"/>
          <w:lang w:eastAsia="zh-CN"/>
        </w:rPr>
        <w:t>投标人</w:t>
      </w:r>
      <w:r>
        <w:rPr>
          <w:rFonts w:hint="eastAsia" w:ascii="宋体" w:hAnsi="宋体" w:cs="宋体"/>
          <w:b/>
          <w:bCs/>
          <w:sz w:val="24"/>
          <w:highlight w:val="none"/>
        </w:rPr>
        <w:t>按国家和本地区的有关政策、规定处理。由于养护人员在作业过程中导致任何第三方的财产、经营损失或人身伤害、死亡的，一切责任均由</w:t>
      </w:r>
      <w:r>
        <w:rPr>
          <w:rFonts w:hint="eastAsia" w:ascii="宋体" w:hAnsi="宋体" w:cs="宋体"/>
          <w:b/>
          <w:bCs/>
          <w:sz w:val="24"/>
          <w:highlight w:val="none"/>
          <w:lang w:eastAsia="zh-CN"/>
        </w:rPr>
        <w:t>投标人</w:t>
      </w:r>
      <w:r>
        <w:rPr>
          <w:rFonts w:hint="eastAsia" w:ascii="宋体" w:hAnsi="宋体" w:cs="宋体"/>
          <w:b/>
          <w:bCs/>
          <w:sz w:val="24"/>
          <w:highlight w:val="none"/>
        </w:rPr>
        <w:t>承担。</w:t>
      </w:r>
    </w:p>
    <w:p w14:paraId="47E6DEF6">
      <w:pPr>
        <w:keepNext w:val="0"/>
        <w:keepLines w:val="0"/>
        <w:pageBreakBefore w:val="0"/>
        <w:numPr>
          <w:ilvl w:val="0"/>
          <w:numId w:val="0"/>
        </w:numPr>
        <w:kinsoku/>
        <w:wordWrap/>
        <w:overflowPunct/>
        <w:topLinePunct w:val="0"/>
        <w:bidi w:val="0"/>
        <w:adjustRightInd w:val="0"/>
        <w:snapToGrid w:val="0"/>
        <w:spacing w:line="360" w:lineRule="auto"/>
        <w:ind w:left="-62" w:leftChars="0" w:firstLine="482" w:firstLineChars="0"/>
        <w:jc w:val="left"/>
        <w:textAlignment w:val="auto"/>
        <w:rPr>
          <w:rFonts w:hint="eastAsia" w:ascii="宋体" w:hAnsi="宋体" w:cs="宋体"/>
          <w:b/>
          <w:bCs/>
          <w:sz w:val="24"/>
          <w:highlight w:val="none"/>
        </w:rPr>
      </w:pPr>
      <w:r>
        <w:rPr>
          <w:rFonts w:hint="eastAsia" w:ascii="宋体" w:hAnsi="宋体" w:eastAsia="宋体" w:cs="宋体"/>
          <w:b/>
          <w:bCs/>
          <w:kern w:val="2"/>
          <w:sz w:val="24"/>
          <w:szCs w:val="24"/>
          <w:highlight w:val="none"/>
          <w:lang w:val="en-US" w:eastAsia="zh-CN" w:bidi="ar-SA"/>
        </w:rPr>
        <w:t>5、</w:t>
      </w:r>
      <w:r>
        <w:rPr>
          <w:rFonts w:hint="eastAsia" w:ascii="宋体" w:hAnsi="宋体" w:cs="宋体"/>
          <w:b/>
          <w:bCs/>
          <w:sz w:val="24"/>
          <w:highlight w:val="none"/>
        </w:rPr>
        <w:t>严格遵守《劳动法》、《劳动合同法》等劳动法规，保障职工合法权益。严格执行杭州市最新文件规定的工资标准，必须落实职工劳保福利待遇，为职工缴纳社会保险费（养老保险、医疗保险、失业保险、工伤保险和生育保险），保障职工休息休假权利，加班必须足额支付加班费，职工的工资、岗位津贴、加班工资等必须确保按月发放。如因违法、违规造成上访或群体性事件的，由</w:t>
      </w:r>
      <w:r>
        <w:rPr>
          <w:rFonts w:hint="eastAsia" w:ascii="宋体" w:hAnsi="宋体" w:cs="宋体"/>
          <w:b/>
          <w:bCs/>
          <w:sz w:val="24"/>
          <w:highlight w:val="none"/>
          <w:lang w:eastAsia="zh-CN"/>
        </w:rPr>
        <w:t>投标人</w:t>
      </w:r>
      <w:r>
        <w:rPr>
          <w:rFonts w:hint="eastAsia" w:ascii="宋体" w:hAnsi="宋体" w:cs="宋体"/>
          <w:b/>
          <w:bCs/>
          <w:sz w:val="24"/>
          <w:highlight w:val="none"/>
        </w:rPr>
        <w:t>负责处理。</w:t>
      </w:r>
      <w:r>
        <w:rPr>
          <w:rFonts w:hint="eastAsia" w:ascii="宋体" w:hAnsi="宋体" w:cs="宋体"/>
          <w:b/>
          <w:bCs/>
          <w:sz w:val="24"/>
          <w:highlight w:val="none"/>
          <w:lang w:eastAsia="zh-CN"/>
        </w:rPr>
        <w:t>投标人</w:t>
      </w:r>
      <w:r>
        <w:rPr>
          <w:rFonts w:hint="eastAsia" w:ascii="宋体" w:hAnsi="宋体" w:cs="宋体"/>
          <w:b/>
          <w:bCs/>
          <w:sz w:val="24"/>
          <w:highlight w:val="none"/>
        </w:rPr>
        <w:t>未达到上述要求的，</w:t>
      </w:r>
      <w:r>
        <w:rPr>
          <w:rFonts w:hint="eastAsia" w:ascii="宋体" w:hAnsi="宋体" w:cs="宋体"/>
          <w:b/>
          <w:bCs/>
          <w:sz w:val="24"/>
          <w:highlight w:val="none"/>
          <w:lang w:eastAsia="zh-CN"/>
        </w:rPr>
        <w:t>采购人</w:t>
      </w:r>
      <w:r>
        <w:rPr>
          <w:rFonts w:hint="eastAsia" w:ascii="宋体" w:hAnsi="宋体" w:cs="宋体"/>
          <w:b/>
          <w:bCs/>
          <w:sz w:val="24"/>
          <w:highlight w:val="none"/>
        </w:rPr>
        <w:t>有权立即解除合同。</w:t>
      </w:r>
    </w:p>
    <w:p w14:paraId="25054225">
      <w:pPr>
        <w:keepNext w:val="0"/>
        <w:keepLines w:val="0"/>
        <w:pageBreakBefore w:val="0"/>
        <w:numPr>
          <w:ilvl w:val="0"/>
          <w:numId w:val="0"/>
        </w:numPr>
        <w:kinsoku/>
        <w:wordWrap/>
        <w:overflowPunct/>
        <w:topLinePunct w:val="0"/>
        <w:bidi w:val="0"/>
        <w:adjustRightInd w:val="0"/>
        <w:snapToGrid w:val="0"/>
        <w:spacing w:line="360" w:lineRule="auto"/>
        <w:ind w:left="-62" w:leftChars="0" w:firstLine="482" w:firstLineChars="0"/>
        <w:jc w:val="left"/>
        <w:textAlignment w:val="auto"/>
        <w:rPr>
          <w:rFonts w:hint="eastAsia" w:ascii="宋体" w:hAnsi="宋体" w:cs="宋体"/>
          <w:b/>
          <w:bCs/>
          <w:sz w:val="24"/>
          <w:highlight w:val="none"/>
        </w:rPr>
      </w:pPr>
      <w:r>
        <w:rPr>
          <w:rFonts w:hint="eastAsia" w:ascii="宋体" w:hAnsi="宋体" w:eastAsia="宋体" w:cs="宋体"/>
          <w:b/>
          <w:bCs/>
          <w:kern w:val="2"/>
          <w:sz w:val="24"/>
          <w:szCs w:val="24"/>
          <w:highlight w:val="none"/>
          <w:lang w:val="en-US" w:eastAsia="zh-CN" w:bidi="ar-SA"/>
        </w:rPr>
        <w:t>6、</w:t>
      </w:r>
      <w:r>
        <w:rPr>
          <w:rFonts w:hint="eastAsia" w:ascii="宋体" w:hAnsi="宋体" w:cs="宋体"/>
          <w:b/>
          <w:bCs/>
          <w:sz w:val="24"/>
          <w:highlight w:val="none"/>
        </w:rPr>
        <w:t>项目实施过程中制订有效流感防控工作制定方案并保证落实到位。如因防控失职等造成被通报批评的，由</w:t>
      </w:r>
      <w:r>
        <w:rPr>
          <w:rFonts w:hint="eastAsia" w:ascii="宋体" w:hAnsi="宋体" w:cs="宋体"/>
          <w:b/>
          <w:bCs/>
          <w:sz w:val="24"/>
          <w:highlight w:val="none"/>
          <w:lang w:eastAsia="zh-CN"/>
        </w:rPr>
        <w:t>投标人</w:t>
      </w:r>
      <w:r>
        <w:rPr>
          <w:rFonts w:hint="eastAsia" w:ascii="宋体" w:hAnsi="宋体" w:cs="宋体"/>
          <w:b/>
          <w:bCs/>
          <w:sz w:val="24"/>
          <w:highlight w:val="none"/>
        </w:rPr>
        <w:t>负责处理，并承担全部责任。且</w:t>
      </w:r>
      <w:r>
        <w:rPr>
          <w:rFonts w:hint="eastAsia" w:ascii="宋体" w:hAnsi="宋体" w:cs="宋体"/>
          <w:b/>
          <w:bCs/>
          <w:sz w:val="24"/>
          <w:highlight w:val="none"/>
          <w:lang w:eastAsia="zh-CN"/>
        </w:rPr>
        <w:t>采购人</w:t>
      </w:r>
      <w:r>
        <w:rPr>
          <w:rFonts w:hint="eastAsia" w:ascii="宋体" w:hAnsi="宋体" w:cs="宋体"/>
          <w:b/>
          <w:bCs/>
          <w:sz w:val="24"/>
          <w:highlight w:val="none"/>
        </w:rPr>
        <w:t>有权解除合同。</w:t>
      </w:r>
    </w:p>
    <w:p w14:paraId="34B0A47B">
      <w:pPr>
        <w:keepNext w:val="0"/>
        <w:keepLines w:val="0"/>
        <w:pageBreakBefore w:val="0"/>
        <w:numPr>
          <w:ilvl w:val="0"/>
          <w:numId w:val="0"/>
        </w:numPr>
        <w:kinsoku/>
        <w:wordWrap/>
        <w:overflowPunct/>
        <w:topLinePunct w:val="0"/>
        <w:bidi w:val="0"/>
        <w:adjustRightInd w:val="0"/>
        <w:snapToGrid w:val="0"/>
        <w:spacing w:line="360" w:lineRule="auto"/>
        <w:ind w:left="-62" w:leftChars="0" w:firstLine="482" w:firstLineChars="0"/>
        <w:jc w:val="left"/>
        <w:textAlignment w:val="auto"/>
        <w:rPr>
          <w:rFonts w:hint="eastAsia" w:ascii="宋体" w:hAnsi="宋体" w:cs="宋体"/>
          <w:b/>
          <w:bCs/>
          <w:sz w:val="24"/>
          <w:highlight w:val="none"/>
        </w:rPr>
      </w:pPr>
      <w:r>
        <w:rPr>
          <w:rFonts w:hint="eastAsia" w:ascii="宋体" w:hAnsi="宋体" w:eastAsia="宋体" w:cs="宋体"/>
          <w:b/>
          <w:bCs/>
          <w:kern w:val="2"/>
          <w:sz w:val="24"/>
          <w:szCs w:val="24"/>
          <w:highlight w:val="none"/>
          <w:lang w:val="en-US" w:eastAsia="zh-CN" w:bidi="ar-SA"/>
        </w:rPr>
        <w:t>7、</w:t>
      </w:r>
      <w:r>
        <w:rPr>
          <w:rFonts w:hint="eastAsia" w:ascii="宋体" w:hAnsi="宋体" w:cs="宋体"/>
          <w:b/>
          <w:bCs/>
          <w:sz w:val="24"/>
          <w:highlight w:val="none"/>
        </w:rPr>
        <w:t>严格执行市、区“无欠薪”制度文件、服务工数实名管理制度、工资保证金制度、分账管理制度、按月足额支付制度、委托银行代发工资制度。如发生欠薪事件等造成被通报批评的，由</w:t>
      </w:r>
      <w:r>
        <w:rPr>
          <w:rFonts w:hint="eastAsia" w:ascii="宋体" w:hAnsi="宋体" w:cs="宋体"/>
          <w:b/>
          <w:bCs/>
          <w:sz w:val="24"/>
          <w:highlight w:val="none"/>
          <w:lang w:eastAsia="zh-CN"/>
        </w:rPr>
        <w:t>投标人</w:t>
      </w:r>
      <w:r>
        <w:rPr>
          <w:rFonts w:hint="eastAsia" w:ascii="宋体" w:hAnsi="宋体" w:cs="宋体"/>
          <w:b/>
          <w:bCs/>
          <w:sz w:val="24"/>
          <w:highlight w:val="none"/>
        </w:rPr>
        <w:t>负责处理，并承担全部责任。且</w:t>
      </w:r>
      <w:r>
        <w:rPr>
          <w:rFonts w:hint="eastAsia" w:ascii="宋体" w:hAnsi="宋体" w:cs="宋体"/>
          <w:b/>
          <w:bCs/>
          <w:sz w:val="24"/>
          <w:highlight w:val="none"/>
          <w:lang w:eastAsia="zh-CN"/>
        </w:rPr>
        <w:t>采购人</w:t>
      </w:r>
      <w:r>
        <w:rPr>
          <w:rFonts w:hint="eastAsia" w:ascii="宋体" w:hAnsi="宋体" w:cs="宋体"/>
          <w:b/>
          <w:bCs/>
          <w:sz w:val="24"/>
          <w:highlight w:val="none"/>
        </w:rPr>
        <w:t>有权解除合同。</w:t>
      </w:r>
    </w:p>
    <w:p w14:paraId="708589C4">
      <w:pPr>
        <w:keepNext w:val="0"/>
        <w:keepLines w:val="0"/>
        <w:pageBreakBefore w:val="0"/>
        <w:kinsoku/>
        <w:wordWrap/>
        <w:overflowPunct/>
        <w:topLinePunct w:val="0"/>
        <w:bidi w:val="0"/>
        <w:adjustRightInd w:val="0"/>
        <w:snapToGrid w:val="0"/>
        <w:spacing w:line="360" w:lineRule="auto"/>
        <w:ind w:firstLine="482" w:firstLineChars="200"/>
        <w:jc w:val="left"/>
        <w:textAlignment w:val="auto"/>
        <w:outlineLvl w:val="1"/>
        <w:rPr>
          <w:rFonts w:hint="eastAsia" w:ascii="宋体" w:hAnsi="宋体" w:cs="宋体"/>
          <w:b/>
          <w:bCs/>
          <w:sz w:val="24"/>
          <w:highlight w:val="none"/>
        </w:rPr>
      </w:pPr>
      <w:r>
        <w:rPr>
          <w:rFonts w:hint="eastAsia" w:ascii="宋体" w:hAnsi="宋体" w:cs="宋体"/>
          <w:b/>
          <w:bCs/>
          <w:sz w:val="24"/>
          <w:highlight w:val="none"/>
        </w:rPr>
        <w:t>七、</w:t>
      </w:r>
      <w:r>
        <w:rPr>
          <w:rFonts w:hint="eastAsia" w:ascii="宋体" w:hAnsi="宋体" w:cs="宋体"/>
          <w:b/>
          <w:bCs/>
          <w:iCs/>
          <w:sz w:val="24"/>
          <w:highlight w:val="none"/>
        </w:rPr>
        <w:t>验收、交付标准和方法</w:t>
      </w:r>
    </w:p>
    <w:p w14:paraId="021EA738">
      <w:pPr>
        <w:keepNext w:val="0"/>
        <w:keepLines w:val="0"/>
        <w:pageBreakBefore w:val="0"/>
        <w:tabs>
          <w:tab w:val="left" w:pos="904"/>
        </w:tabs>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1、采购人按照《杭州市政府采购履约验收暂行办法》（杭财采监[2019]10号）规定组织对中标人履约的验收。验收方成员应当在验收书上签字，并承担相应的法律责任。如果发现与合同中要求不符，中标人须承担由此发生的一切损失和费用，并接受相应的处理。</w:t>
      </w:r>
    </w:p>
    <w:p w14:paraId="3418F66D">
      <w:pPr>
        <w:keepNext w:val="0"/>
        <w:keepLines w:val="0"/>
        <w:pageBreakBefore w:val="0"/>
        <w:tabs>
          <w:tab w:val="left" w:pos="904"/>
        </w:tabs>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2、严格按照采购合同开展履约验收。采购人成立验收小组，按照采购合同的约定对中标人履约情况进行验收，验收时，按照采购合同的约定对每一项技术、服务、安全标准的履约情况进行确认，出具验收报告并经验收小组全体成员签字。采购人根据验收报告形成验收意见并经采购人与成交中标人签字盖章，并在财政指定媒体上公示无异议后生效。验收结果与采购合同约定的资金支付及履约保证金返还条件挂钩。履约验收的各项资料应当存档备查。</w:t>
      </w:r>
    </w:p>
    <w:p w14:paraId="120FF2E8">
      <w:pPr>
        <w:keepNext w:val="0"/>
        <w:keepLines w:val="0"/>
        <w:pageBreakBefore w:val="0"/>
        <w:tabs>
          <w:tab w:val="left" w:pos="904"/>
        </w:tabs>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3、验收合格的项目，采购人将根据采购合同的约定及时向中标人支付采购资金、退还履约保证金。验收不合格的项目，采购人将依法及时处理。采购合同的履行、违约责任和解决争议的方式等适用《中华人民共和国民法典》。</w:t>
      </w:r>
    </w:p>
    <w:p w14:paraId="3EDD517C">
      <w:pPr>
        <w:keepNext w:val="0"/>
        <w:keepLines w:val="0"/>
        <w:pageBreakBefore w:val="0"/>
        <w:tabs>
          <w:tab w:val="left" w:pos="904"/>
        </w:tabs>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4、验收产生的费用首次验收费用由采购人承担，如首次验收不合格，后续验收费用由中标人支付。</w:t>
      </w:r>
    </w:p>
    <w:p w14:paraId="78015CD9">
      <w:pPr>
        <w:keepNext w:val="0"/>
        <w:keepLines w:val="0"/>
        <w:pageBreakBefore w:val="0"/>
        <w:tabs>
          <w:tab w:val="left" w:pos="904"/>
        </w:tabs>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5、验收内容及资料要求：</w:t>
      </w:r>
    </w:p>
    <w:p w14:paraId="619DC2D8">
      <w:pPr>
        <w:keepNext w:val="0"/>
        <w:keepLines w:val="0"/>
        <w:pageBreakBefore w:val="0"/>
        <w:tabs>
          <w:tab w:val="left" w:pos="904"/>
        </w:tabs>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根据采购文件确定的技术指标或者服务要求确定验收指标和标准。未进行相应约定的，应当符合国家强制性规定、政策要求、安全标准、行业或企业有关标准等。</w:t>
      </w:r>
    </w:p>
    <w:p w14:paraId="0B87285A">
      <w:pPr>
        <w:pStyle w:val="727"/>
        <w:spacing w:line="360" w:lineRule="auto"/>
        <w:rPr>
          <w:rFonts w:hint="eastAsia"/>
          <w:b w:val="0"/>
          <w:bCs/>
          <w:kern w:val="2"/>
          <w:szCs w:val="24"/>
          <w:highlight w:val="none"/>
        </w:rPr>
      </w:pPr>
    </w:p>
    <w:p w14:paraId="1AA544E7">
      <w:pPr>
        <w:spacing w:line="360" w:lineRule="auto"/>
        <w:jc w:val="center"/>
        <w:outlineLvl w:val="0"/>
        <w:rPr>
          <w:rFonts w:cs="宋体" w:asciiTheme="majorEastAsia" w:hAnsiTheme="majorEastAsia" w:eastAsiaTheme="majorEastAsia"/>
          <w:b/>
          <w:sz w:val="36"/>
          <w:szCs w:val="36"/>
          <w:highlight w:val="none"/>
        </w:rPr>
      </w:pPr>
      <w:r>
        <w:rPr>
          <w:rFonts w:hint="eastAsia" w:cs="宋体" w:asciiTheme="majorEastAsia" w:hAnsiTheme="majorEastAsia" w:eastAsiaTheme="majorEastAsia"/>
          <w:b/>
          <w:sz w:val="36"/>
          <w:szCs w:val="36"/>
          <w:highlight w:val="none"/>
        </w:rPr>
        <w:t xml:space="preserve">第四部分   </w:t>
      </w:r>
      <w:bookmarkStart w:id="32" w:name="_Toc184308105"/>
      <w:bookmarkEnd w:id="32"/>
      <w:bookmarkStart w:id="33" w:name="_Toc184308055"/>
      <w:bookmarkEnd w:id="33"/>
      <w:bookmarkStart w:id="34" w:name="_Toc184313291"/>
      <w:bookmarkEnd w:id="34"/>
      <w:bookmarkStart w:id="35" w:name="_Toc184308046"/>
      <w:bookmarkEnd w:id="35"/>
      <w:bookmarkStart w:id="36" w:name="_Toc184312075"/>
      <w:bookmarkEnd w:id="36"/>
      <w:bookmarkStart w:id="37" w:name="_Toc184312105"/>
      <w:bookmarkEnd w:id="37"/>
      <w:bookmarkStart w:id="38" w:name="_Toc184308101"/>
      <w:bookmarkEnd w:id="38"/>
      <w:bookmarkStart w:id="39" w:name="_Toc184308090"/>
      <w:bookmarkEnd w:id="39"/>
      <w:bookmarkStart w:id="40" w:name="_Toc184312096"/>
      <w:bookmarkEnd w:id="40"/>
      <w:bookmarkStart w:id="41" w:name="_Toc184312085"/>
      <w:bookmarkEnd w:id="41"/>
      <w:bookmarkStart w:id="42" w:name="_Toc184314421"/>
      <w:bookmarkEnd w:id="42"/>
      <w:bookmarkStart w:id="43" w:name="_Toc184308056"/>
      <w:bookmarkEnd w:id="43"/>
      <w:bookmarkStart w:id="44" w:name="_Toc184312115"/>
      <w:bookmarkEnd w:id="44"/>
      <w:bookmarkStart w:id="45" w:name="_Toc184310300"/>
      <w:bookmarkEnd w:id="45"/>
      <w:bookmarkStart w:id="46" w:name="_Toc184314469"/>
      <w:bookmarkEnd w:id="46"/>
      <w:bookmarkStart w:id="47" w:name="_Toc184313276"/>
      <w:bookmarkEnd w:id="47"/>
      <w:bookmarkStart w:id="48" w:name="_Toc184310278"/>
      <w:bookmarkEnd w:id="48"/>
      <w:bookmarkStart w:id="49" w:name="_Toc184310273"/>
      <w:bookmarkEnd w:id="49"/>
      <w:bookmarkStart w:id="50" w:name="_Toc184312089"/>
      <w:bookmarkEnd w:id="50"/>
      <w:bookmarkStart w:id="51" w:name="_Toc184308106"/>
      <w:bookmarkEnd w:id="51"/>
      <w:bookmarkStart w:id="52" w:name="_Toc184308045"/>
      <w:bookmarkEnd w:id="52"/>
      <w:bookmarkStart w:id="53" w:name="_Toc184310275"/>
      <w:bookmarkEnd w:id="53"/>
      <w:bookmarkStart w:id="54" w:name="_Toc184314461"/>
      <w:bookmarkEnd w:id="54"/>
      <w:bookmarkStart w:id="55" w:name="_Toc184310313"/>
      <w:bookmarkEnd w:id="55"/>
      <w:bookmarkStart w:id="56" w:name="_Toc184313302"/>
      <w:bookmarkEnd w:id="56"/>
      <w:bookmarkStart w:id="57" w:name="_Toc184310308"/>
      <w:bookmarkEnd w:id="57"/>
      <w:bookmarkStart w:id="58" w:name="_Toc184314428"/>
      <w:bookmarkEnd w:id="58"/>
      <w:bookmarkStart w:id="59" w:name="_Toc184313251"/>
      <w:bookmarkEnd w:id="59"/>
      <w:bookmarkStart w:id="60" w:name="_Toc184314454"/>
      <w:bookmarkEnd w:id="60"/>
      <w:bookmarkStart w:id="61" w:name="_Toc184314481"/>
      <w:bookmarkEnd w:id="61"/>
      <w:bookmarkStart w:id="62" w:name="_Toc184312116"/>
      <w:bookmarkEnd w:id="62"/>
      <w:bookmarkStart w:id="63" w:name="_Toc184310282"/>
      <w:bookmarkEnd w:id="63"/>
      <w:bookmarkStart w:id="64" w:name="_Toc184310281"/>
      <w:bookmarkEnd w:id="64"/>
      <w:bookmarkStart w:id="65" w:name="_Toc184314425"/>
      <w:bookmarkEnd w:id="65"/>
      <w:bookmarkStart w:id="66" w:name="_Toc184313257"/>
      <w:bookmarkEnd w:id="66"/>
      <w:bookmarkStart w:id="67" w:name="_Toc184314479"/>
      <w:bookmarkEnd w:id="67"/>
      <w:bookmarkStart w:id="68" w:name="_Toc184310321"/>
      <w:bookmarkEnd w:id="68"/>
      <w:bookmarkStart w:id="69" w:name="_Toc184312118"/>
      <w:bookmarkEnd w:id="69"/>
      <w:bookmarkStart w:id="70" w:name="_Toc184314457"/>
      <w:bookmarkEnd w:id="70"/>
      <w:bookmarkStart w:id="71" w:name="_Toc184313300"/>
      <w:bookmarkEnd w:id="71"/>
      <w:bookmarkStart w:id="72" w:name="_Toc184313261"/>
      <w:bookmarkEnd w:id="72"/>
      <w:bookmarkStart w:id="73" w:name="_Toc184312120"/>
      <w:bookmarkEnd w:id="73"/>
      <w:bookmarkStart w:id="74" w:name="_Toc184313278"/>
      <w:bookmarkEnd w:id="74"/>
      <w:bookmarkStart w:id="75" w:name="_Toc184314445"/>
      <w:bookmarkEnd w:id="75"/>
      <w:bookmarkStart w:id="76" w:name="_Toc184310290"/>
      <w:bookmarkEnd w:id="76"/>
      <w:bookmarkStart w:id="77" w:name="_Toc184313299"/>
      <w:bookmarkEnd w:id="77"/>
      <w:bookmarkStart w:id="78" w:name="_Toc184313245"/>
      <w:bookmarkEnd w:id="78"/>
      <w:bookmarkStart w:id="79" w:name="_Toc184314417"/>
      <w:bookmarkEnd w:id="79"/>
      <w:bookmarkStart w:id="80" w:name="_Toc184312131"/>
      <w:bookmarkEnd w:id="80"/>
      <w:bookmarkStart w:id="81" w:name="_Toc184314474"/>
      <w:bookmarkEnd w:id="81"/>
      <w:bookmarkStart w:id="82" w:name="_Toc184312091"/>
      <w:bookmarkEnd w:id="82"/>
      <w:bookmarkStart w:id="83" w:name="_Toc184308044"/>
      <w:bookmarkEnd w:id="83"/>
      <w:bookmarkStart w:id="84" w:name="_Toc184310299"/>
      <w:bookmarkEnd w:id="84"/>
      <w:bookmarkStart w:id="85" w:name="_Toc184308099"/>
      <w:bookmarkEnd w:id="85"/>
      <w:bookmarkStart w:id="86" w:name="_Toc184308069"/>
      <w:bookmarkEnd w:id="86"/>
      <w:bookmarkStart w:id="87" w:name="_Toc184312106"/>
      <w:bookmarkEnd w:id="87"/>
      <w:bookmarkStart w:id="88" w:name="_Toc184314476"/>
      <w:bookmarkEnd w:id="88"/>
      <w:bookmarkStart w:id="89" w:name="_Toc184312069"/>
      <w:bookmarkEnd w:id="89"/>
      <w:bookmarkStart w:id="90" w:name="_Toc184310285"/>
      <w:bookmarkEnd w:id="90"/>
      <w:bookmarkStart w:id="91" w:name="_Toc184310295"/>
      <w:bookmarkEnd w:id="91"/>
      <w:bookmarkStart w:id="92" w:name="_Toc184313256"/>
      <w:bookmarkEnd w:id="92"/>
      <w:bookmarkStart w:id="93" w:name="_Toc184313310"/>
      <w:bookmarkEnd w:id="93"/>
      <w:bookmarkStart w:id="94" w:name="_Toc184314431"/>
      <w:bookmarkEnd w:id="94"/>
      <w:bookmarkStart w:id="95" w:name="_Toc184312128"/>
      <w:bookmarkEnd w:id="95"/>
      <w:bookmarkStart w:id="96" w:name="_Toc184314432"/>
      <w:bookmarkEnd w:id="96"/>
      <w:bookmarkStart w:id="97" w:name="_Toc184310316"/>
      <w:bookmarkEnd w:id="97"/>
      <w:bookmarkStart w:id="98" w:name="_Toc184312136"/>
      <w:bookmarkEnd w:id="98"/>
      <w:bookmarkStart w:id="99" w:name="_Toc184313263"/>
      <w:bookmarkEnd w:id="99"/>
      <w:bookmarkStart w:id="100" w:name="_Toc184313282"/>
      <w:bookmarkEnd w:id="100"/>
      <w:bookmarkStart w:id="101" w:name="_Toc184313285"/>
      <w:bookmarkEnd w:id="101"/>
      <w:bookmarkStart w:id="102" w:name="_Toc184310338"/>
      <w:bookmarkEnd w:id="102"/>
      <w:bookmarkStart w:id="103" w:name="_Toc184310289"/>
      <w:bookmarkEnd w:id="103"/>
      <w:bookmarkStart w:id="104" w:name="_Toc184314458"/>
      <w:bookmarkEnd w:id="104"/>
      <w:bookmarkStart w:id="105" w:name="_Toc184314434"/>
      <w:bookmarkEnd w:id="105"/>
      <w:bookmarkStart w:id="106" w:name="_Toc184308064"/>
      <w:bookmarkEnd w:id="106"/>
      <w:bookmarkStart w:id="107" w:name="_Toc184308092"/>
      <w:bookmarkEnd w:id="107"/>
      <w:bookmarkStart w:id="108" w:name="_Toc184313259"/>
      <w:bookmarkEnd w:id="108"/>
      <w:bookmarkStart w:id="109" w:name="_Toc184314451"/>
      <w:bookmarkEnd w:id="109"/>
      <w:bookmarkStart w:id="110" w:name="_Toc184313255"/>
      <w:bookmarkEnd w:id="110"/>
      <w:bookmarkStart w:id="111" w:name="_Toc184308067"/>
      <w:bookmarkEnd w:id="111"/>
      <w:bookmarkStart w:id="112" w:name="_Toc184310305"/>
      <w:bookmarkEnd w:id="112"/>
      <w:bookmarkStart w:id="113" w:name="_Toc184310302"/>
      <w:bookmarkEnd w:id="113"/>
      <w:bookmarkStart w:id="114" w:name="_Toc184310330"/>
      <w:bookmarkEnd w:id="114"/>
      <w:bookmarkStart w:id="115" w:name="_Toc184310312"/>
      <w:bookmarkEnd w:id="115"/>
      <w:bookmarkStart w:id="116" w:name="_Toc184313262"/>
      <w:bookmarkEnd w:id="116"/>
      <w:bookmarkStart w:id="117" w:name="_Toc184314443"/>
      <w:bookmarkEnd w:id="117"/>
      <w:bookmarkStart w:id="118" w:name="_Toc184310320"/>
      <w:bookmarkEnd w:id="118"/>
      <w:bookmarkStart w:id="119" w:name="_Toc184310311"/>
      <w:bookmarkEnd w:id="119"/>
      <w:bookmarkStart w:id="120" w:name="_Toc184312107"/>
      <w:bookmarkEnd w:id="120"/>
      <w:bookmarkStart w:id="121" w:name="_Toc184308053"/>
      <w:bookmarkEnd w:id="121"/>
      <w:bookmarkStart w:id="122" w:name="_Toc184314415"/>
      <w:bookmarkEnd w:id="122"/>
      <w:bookmarkStart w:id="123" w:name="_Toc184314440"/>
      <w:bookmarkEnd w:id="123"/>
      <w:bookmarkStart w:id="124" w:name="_Toc184310334"/>
      <w:bookmarkEnd w:id="124"/>
      <w:bookmarkStart w:id="125" w:name="_Toc184308065"/>
      <w:bookmarkEnd w:id="125"/>
      <w:bookmarkStart w:id="126" w:name="_Toc184314447"/>
      <w:bookmarkEnd w:id="126"/>
      <w:bookmarkStart w:id="127" w:name="_Toc184310293"/>
      <w:bookmarkEnd w:id="127"/>
      <w:bookmarkStart w:id="128" w:name="_Toc184314427"/>
      <w:bookmarkEnd w:id="128"/>
      <w:bookmarkStart w:id="129" w:name="_Toc184312121"/>
      <w:bookmarkEnd w:id="129"/>
      <w:bookmarkStart w:id="130" w:name="_Toc184313280"/>
      <w:bookmarkEnd w:id="130"/>
      <w:bookmarkStart w:id="131" w:name="_Toc184313254"/>
      <w:bookmarkEnd w:id="131"/>
      <w:bookmarkStart w:id="132" w:name="_Toc184313309"/>
      <w:bookmarkEnd w:id="132"/>
      <w:bookmarkStart w:id="133" w:name="_Toc184310274"/>
      <w:bookmarkEnd w:id="133"/>
      <w:bookmarkStart w:id="134" w:name="_Toc184314449"/>
      <w:bookmarkEnd w:id="134"/>
      <w:bookmarkStart w:id="135" w:name="_Toc184312129"/>
      <w:bookmarkEnd w:id="135"/>
      <w:bookmarkStart w:id="136" w:name="_Toc184314477"/>
      <w:bookmarkEnd w:id="136"/>
      <w:bookmarkStart w:id="137" w:name="_Toc184310296"/>
      <w:bookmarkEnd w:id="137"/>
      <w:bookmarkStart w:id="138" w:name="_Toc184313265"/>
      <w:bookmarkEnd w:id="138"/>
      <w:bookmarkStart w:id="139" w:name="_Toc184314473"/>
      <w:bookmarkEnd w:id="139"/>
      <w:bookmarkStart w:id="140" w:name="_Toc184308052"/>
      <w:bookmarkEnd w:id="140"/>
      <w:bookmarkStart w:id="141" w:name="_Toc184312074"/>
      <w:bookmarkEnd w:id="141"/>
      <w:bookmarkStart w:id="142" w:name="_Toc184308057"/>
      <w:bookmarkEnd w:id="142"/>
      <w:bookmarkStart w:id="143" w:name="_Toc184308104"/>
      <w:bookmarkEnd w:id="143"/>
      <w:bookmarkStart w:id="144" w:name="_Toc184308102"/>
      <w:bookmarkEnd w:id="144"/>
      <w:bookmarkStart w:id="145" w:name="_Toc184308076"/>
      <w:bookmarkEnd w:id="145"/>
      <w:bookmarkStart w:id="146" w:name="_Toc184313271"/>
      <w:bookmarkEnd w:id="146"/>
      <w:bookmarkStart w:id="147" w:name="_Toc184312092"/>
      <w:bookmarkEnd w:id="147"/>
      <w:bookmarkStart w:id="148" w:name="_Toc184312068"/>
      <w:bookmarkEnd w:id="148"/>
      <w:bookmarkStart w:id="149" w:name="_Toc184312082"/>
      <w:bookmarkEnd w:id="149"/>
      <w:bookmarkStart w:id="150" w:name="_Toc184308060"/>
      <w:bookmarkEnd w:id="150"/>
      <w:bookmarkStart w:id="151" w:name="_Toc184312070"/>
      <w:bookmarkEnd w:id="151"/>
      <w:bookmarkStart w:id="152" w:name="_Toc184308054"/>
      <w:bookmarkEnd w:id="152"/>
      <w:bookmarkStart w:id="153" w:name="_Toc184313260"/>
      <w:bookmarkEnd w:id="153"/>
      <w:bookmarkStart w:id="154" w:name="_Toc184314475"/>
      <w:bookmarkEnd w:id="154"/>
      <w:bookmarkStart w:id="155" w:name="_Toc184314424"/>
      <w:bookmarkEnd w:id="155"/>
      <w:bookmarkStart w:id="156" w:name="_Toc184308081"/>
      <w:bookmarkEnd w:id="156"/>
      <w:bookmarkStart w:id="157" w:name="_Toc184313301"/>
      <w:bookmarkEnd w:id="157"/>
      <w:bookmarkStart w:id="158" w:name="_Toc184313296"/>
      <w:bookmarkEnd w:id="158"/>
      <w:bookmarkStart w:id="159" w:name="_Toc184308041"/>
      <w:bookmarkEnd w:id="159"/>
      <w:bookmarkStart w:id="160" w:name="_Toc184313269"/>
      <w:bookmarkEnd w:id="160"/>
      <w:bookmarkStart w:id="161" w:name="_Toc184314450"/>
      <w:bookmarkEnd w:id="161"/>
      <w:bookmarkStart w:id="162" w:name="_Toc184313297"/>
      <w:bookmarkEnd w:id="162"/>
      <w:bookmarkStart w:id="163" w:name="_Toc184312133"/>
      <w:bookmarkEnd w:id="163"/>
      <w:bookmarkStart w:id="164" w:name="_Toc184310276"/>
      <w:bookmarkEnd w:id="164"/>
      <w:bookmarkStart w:id="165" w:name="_Toc184312084"/>
      <w:bookmarkEnd w:id="165"/>
      <w:bookmarkStart w:id="166" w:name="_Toc184313242"/>
      <w:bookmarkEnd w:id="166"/>
      <w:bookmarkStart w:id="167" w:name="_Toc184310342"/>
      <w:bookmarkEnd w:id="167"/>
      <w:bookmarkStart w:id="168" w:name="_Toc184308085"/>
      <w:bookmarkEnd w:id="168"/>
      <w:bookmarkStart w:id="169" w:name="_Toc184310280"/>
      <w:bookmarkEnd w:id="169"/>
      <w:bookmarkStart w:id="170" w:name="_Toc184314441"/>
      <w:bookmarkEnd w:id="170"/>
      <w:bookmarkStart w:id="171" w:name="_Toc184310333"/>
      <w:bookmarkEnd w:id="171"/>
      <w:bookmarkStart w:id="172" w:name="_Toc184313270"/>
      <w:bookmarkEnd w:id="172"/>
      <w:bookmarkStart w:id="173" w:name="_Toc184310319"/>
      <w:bookmarkEnd w:id="173"/>
      <w:bookmarkStart w:id="174" w:name="_Toc184312080"/>
      <w:bookmarkEnd w:id="174"/>
      <w:bookmarkStart w:id="175" w:name="_Toc184314412"/>
      <w:bookmarkEnd w:id="175"/>
      <w:bookmarkStart w:id="176" w:name="_Toc184314463"/>
      <w:bookmarkEnd w:id="176"/>
      <w:bookmarkStart w:id="177" w:name="_Toc184313294"/>
      <w:bookmarkEnd w:id="177"/>
      <w:bookmarkStart w:id="178" w:name="_Toc184312088"/>
      <w:bookmarkEnd w:id="178"/>
      <w:bookmarkStart w:id="179" w:name="_Toc184312126"/>
      <w:bookmarkEnd w:id="179"/>
      <w:bookmarkStart w:id="180" w:name="_Toc184312135"/>
      <w:bookmarkEnd w:id="180"/>
      <w:bookmarkStart w:id="181" w:name="_Toc184310284"/>
      <w:bookmarkEnd w:id="181"/>
      <w:bookmarkStart w:id="182" w:name="_Toc184308050"/>
      <w:bookmarkEnd w:id="182"/>
      <w:bookmarkStart w:id="183" w:name="_Toc184314439"/>
      <w:bookmarkEnd w:id="183"/>
      <w:bookmarkStart w:id="184" w:name="_Toc184314436"/>
      <w:bookmarkEnd w:id="184"/>
      <w:bookmarkStart w:id="185" w:name="_Toc184312113"/>
      <w:bookmarkEnd w:id="185"/>
      <w:bookmarkStart w:id="186" w:name="_Toc184310323"/>
      <w:bookmarkEnd w:id="186"/>
      <w:bookmarkStart w:id="187" w:name="_Toc184310298"/>
      <w:bookmarkEnd w:id="187"/>
      <w:bookmarkStart w:id="188" w:name="_Toc184312122"/>
      <w:bookmarkEnd w:id="188"/>
      <w:bookmarkStart w:id="189" w:name="_Toc184312138"/>
      <w:bookmarkEnd w:id="189"/>
      <w:bookmarkStart w:id="190" w:name="_Toc184310301"/>
      <w:bookmarkEnd w:id="190"/>
      <w:bookmarkStart w:id="191" w:name="_Toc184313307"/>
      <w:bookmarkEnd w:id="191"/>
      <w:bookmarkStart w:id="192" w:name="_Toc184308075"/>
      <w:bookmarkEnd w:id="192"/>
      <w:bookmarkStart w:id="193" w:name="_Toc184314452"/>
      <w:bookmarkEnd w:id="193"/>
      <w:bookmarkStart w:id="194" w:name="_Toc184314414"/>
      <w:bookmarkEnd w:id="194"/>
      <w:bookmarkStart w:id="195" w:name="_Toc184308072"/>
      <w:bookmarkEnd w:id="195"/>
      <w:bookmarkStart w:id="196" w:name="_Toc184313286"/>
      <w:bookmarkEnd w:id="196"/>
      <w:bookmarkStart w:id="197" w:name="_Toc184308098"/>
      <w:bookmarkEnd w:id="197"/>
      <w:bookmarkStart w:id="198" w:name="_Toc184310340"/>
      <w:bookmarkEnd w:id="198"/>
      <w:bookmarkStart w:id="199" w:name="_Toc184314430"/>
      <w:bookmarkEnd w:id="199"/>
      <w:bookmarkStart w:id="200" w:name="_Toc184313240"/>
      <w:bookmarkEnd w:id="200"/>
      <w:bookmarkStart w:id="201" w:name="_Toc184312067"/>
      <w:bookmarkEnd w:id="201"/>
      <w:bookmarkStart w:id="202" w:name="_Toc184310328"/>
      <w:bookmarkEnd w:id="202"/>
      <w:bookmarkStart w:id="203" w:name="_Toc184312127"/>
      <w:bookmarkEnd w:id="203"/>
      <w:bookmarkStart w:id="204" w:name="_Toc184314471"/>
      <w:bookmarkEnd w:id="204"/>
      <w:bookmarkStart w:id="205" w:name="_Toc184308042"/>
      <w:bookmarkEnd w:id="205"/>
      <w:bookmarkStart w:id="206" w:name="_Toc184312081"/>
      <w:bookmarkEnd w:id="206"/>
      <w:bookmarkStart w:id="207" w:name="_Toc184310283"/>
      <w:bookmarkEnd w:id="207"/>
      <w:bookmarkStart w:id="208" w:name="_Toc184313273"/>
      <w:bookmarkEnd w:id="208"/>
      <w:bookmarkStart w:id="209" w:name="_Toc184310343"/>
      <w:bookmarkEnd w:id="209"/>
      <w:bookmarkStart w:id="210" w:name="_Toc184308048"/>
      <w:bookmarkEnd w:id="210"/>
      <w:bookmarkStart w:id="211" w:name="_Toc184310337"/>
      <w:bookmarkEnd w:id="211"/>
      <w:bookmarkStart w:id="212" w:name="_Toc184314411"/>
      <w:bookmarkEnd w:id="212"/>
      <w:bookmarkStart w:id="213" w:name="_Toc184308088"/>
      <w:bookmarkEnd w:id="213"/>
      <w:bookmarkStart w:id="214" w:name="_Toc184314464"/>
      <w:bookmarkEnd w:id="214"/>
      <w:bookmarkStart w:id="215" w:name="_Toc184313287"/>
      <w:bookmarkEnd w:id="215"/>
      <w:bookmarkStart w:id="216" w:name="_Toc184310288"/>
      <w:bookmarkEnd w:id="216"/>
      <w:bookmarkStart w:id="217" w:name="_Toc184313281"/>
      <w:bookmarkEnd w:id="217"/>
      <w:bookmarkStart w:id="218" w:name="_Toc184314456"/>
      <w:bookmarkEnd w:id="218"/>
      <w:bookmarkStart w:id="219" w:name="_Toc184314462"/>
      <w:bookmarkEnd w:id="219"/>
      <w:bookmarkStart w:id="220" w:name="_Toc184308079"/>
      <w:bookmarkEnd w:id="220"/>
      <w:bookmarkStart w:id="221" w:name="_Toc184314442"/>
      <w:bookmarkEnd w:id="221"/>
      <w:bookmarkStart w:id="222" w:name="_Toc184314472"/>
      <w:bookmarkEnd w:id="222"/>
      <w:bookmarkStart w:id="223" w:name="_Toc184314437"/>
      <w:bookmarkEnd w:id="223"/>
      <w:bookmarkStart w:id="224" w:name="_Toc184312130"/>
      <w:bookmarkEnd w:id="224"/>
      <w:bookmarkStart w:id="225" w:name="_Toc184308063"/>
      <w:bookmarkEnd w:id="225"/>
      <w:bookmarkStart w:id="226" w:name="_Toc184310291"/>
      <w:bookmarkEnd w:id="226"/>
      <w:bookmarkStart w:id="227" w:name="_Toc184314465"/>
      <w:bookmarkEnd w:id="227"/>
      <w:bookmarkStart w:id="228" w:name="_Toc184314418"/>
      <w:bookmarkEnd w:id="228"/>
      <w:bookmarkStart w:id="229" w:name="_Toc184310287"/>
      <w:bookmarkEnd w:id="229"/>
      <w:bookmarkStart w:id="230" w:name="_Toc184314466"/>
      <w:bookmarkEnd w:id="230"/>
      <w:bookmarkStart w:id="231" w:name="_Toc184313275"/>
      <w:bookmarkEnd w:id="231"/>
      <w:bookmarkStart w:id="232" w:name="_Toc184310304"/>
      <w:bookmarkEnd w:id="232"/>
      <w:bookmarkStart w:id="233" w:name="_Toc184314420"/>
      <w:bookmarkEnd w:id="233"/>
      <w:bookmarkStart w:id="234" w:name="_Toc184312102"/>
      <w:bookmarkEnd w:id="234"/>
      <w:bookmarkStart w:id="235" w:name="_Toc184308068"/>
      <w:bookmarkEnd w:id="235"/>
      <w:bookmarkStart w:id="236" w:name="_Toc184312124"/>
      <w:bookmarkEnd w:id="236"/>
      <w:bookmarkStart w:id="237" w:name="_Toc184308038"/>
      <w:bookmarkEnd w:id="237"/>
      <w:bookmarkStart w:id="238" w:name="_Toc184308097"/>
      <w:bookmarkEnd w:id="238"/>
      <w:bookmarkStart w:id="239" w:name="_Toc184312077"/>
      <w:bookmarkEnd w:id="239"/>
      <w:bookmarkStart w:id="240" w:name="_Toc184314446"/>
      <w:bookmarkEnd w:id="240"/>
      <w:bookmarkStart w:id="241" w:name="_Toc184312097"/>
      <w:bookmarkEnd w:id="241"/>
      <w:bookmarkStart w:id="242" w:name="_Toc184313272"/>
      <w:bookmarkEnd w:id="242"/>
      <w:bookmarkStart w:id="243" w:name="_Toc184312093"/>
      <w:bookmarkEnd w:id="243"/>
      <w:bookmarkStart w:id="244" w:name="_Toc184312086"/>
      <w:bookmarkEnd w:id="244"/>
      <w:bookmarkStart w:id="245" w:name="_Toc184310303"/>
      <w:bookmarkEnd w:id="245"/>
      <w:bookmarkStart w:id="246" w:name="_Toc184310322"/>
      <w:bookmarkEnd w:id="246"/>
      <w:bookmarkStart w:id="247" w:name="_Toc184310332"/>
      <w:bookmarkEnd w:id="247"/>
      <w:bookmarkStart w:id="248" w:name="_Toc184308071"/>
      <w:bookmarkEnd w:id="248"/>
      <w:bookmarkStart w:id="249" w:name="_Toc184312078"/>
      <w:bookmarkEnd w:id="249"/>
      <w:bookmarkStart w:id="250" w:name="_Toc184308108"/>
      <w:bookmarkEnd w:id="250"/>
      <w:bookmarkStart w:id="251" w:name="_Toc184313288"/>
      <w:bookmarkEnd w:id="251"/>
      <w:bookmarkStart w:id="252" w:name="_Toc184313295"/>
      <w:bookmarkEnd w:id="252"/>
      <w:bookmarkStart w:id="253" w:name="_Toc184308062"/>
      <w:bookmarkEnd w:id="253"/>
      <w:bookmarkStart w:id="254" w:name="_Toc184313252"/>
      <w:bookmarkEnd w:id="254"/>
      <w:bookmarkStart w:id="255" w:name="_Toc184308087"/>
      <w:bookmarkEnd w:id="255"/>
      <w:bookmarkStart w:id="256" w:name="_Toc184312109"/>
      <w:bookmarkEnd w:id="256"/>
      <w:bookmarkStart w:id="257" w:name="_Toc184308049"/>
      <w:bookmarkEnd w:id="257"/>
      <w:bookmarkStart w:id="258" w:name="_Toc184314448"/>
      <w:bookmarkEnd w:id="258"/>
      <w:bookmarkStart w:id="259" w:name="_Toc184308047"/>
      <w:bookmarkEnd w:id="259"/>
      <w:bookmarkStart w:id="260" w:name="_Toc184308077"/>
      <w:bookmarkEnd w:id="260"/>
      <w:bookmarkStart w:id="261" w:name="_Toc184313292"/>
      <w:bookmarkEnd w:id="261"/>
      <w:bookmarkStart w:id="262" w:name="_Toc184313239"/>
      <w:bookmarkEnd w:id="262"/>
      <w:bookmarkStart w:id="263" w:name="_Toc184312119"/>
      <w:bookmarkEnd w:id="263"/>
      <w:bookmarkStart w:id="264" w:name="_Toc184314478"/>
      <w:bookmarkEnd w:id="264"/>
      <w:bookmarkStart w:id="265" w:name="_Toc184310292"/>
      <w:bookmarkEnd w:id="265"/>
      <w:bookmarkStart w:id="266" w:name="_Toc184312099"/>
      <w:bookmarkEnd w:id="266"/>
      <w:bookmarkStart w:id="267" w:name="_Toc184313274"/>
      <w:bookmarkEnd w:id="267"/>
      <w:bookmarkStart w:id="268" w:name="_Toc184308082"/>
      <w:bookmarkEnd w:id="268"/>
      <w:bookmarkStart w:id="269" w:name="_Toc184314455"/>
      <w:bookmarkEnd w:id="269"/>
      <w:bookmarkStart w:id="270" w:name="_Toc184308089"/>
      <w:bookmarkEnd w:id="270"/>
      <w:bookmarkStart w:id="271" w:name="_Toc184312125"/>
      <w:bookmarkEnd w:id="271"/>
      <w:bookmarkStart w:id="272" w:name="_Toc184312117"/>
      <w:bookmarkEnd w:id="272"/>
      <w:bookmarkStart w:id="273" w:name="_Toc184308073"/>
      <w:bookmarkEnd w:id="273"/>
      <w:bookmarkStart w:id="274" w:name="_Toc184314459"/>
      <w:bookmarkEnd w:id="274"/>
      <w:bookmarkStart w:id="275" w:name="_Toc184314433"/>
      <w:bookmarkEnd w:id="275"/>
      <w:bookmarkStart w:id="276" w:name="_Toc184308083"/>
      <w:bookmarkEnd w:id="276"/>
      <w:bookmarkStart w:id="277" w:name="_Toc184308103"/>
      <w:bookmarkEnd w:id="277"/>
      <w:bookmarkStart w:id="278" w:name="_Toc184308070"/>
      <w:bookmarkEnd w:id="278"/>
      <w:bookmarkStart w:id="279" w:name="_Toc184312108"/>
      <w:bookmarkEnd w:id="279"/>
      <w:bookmarkStart w:id="280" w:name="_Toc184310325"/>
      <w:bookmarkEnd w:id="280"/>
      <w:bookmarkStart w:id="281" w:name="_Toc184308051"/>
      <w:bookmarkEnd w:id="281"/>
      <w:bookmarkStart w:id="282" w:name="_Toc184314468"/>
      <w:bookmarkEnd w:id="282"/>
      <w:bookmarkStart w:id="283" w:name="_Toc184313290"/>
      <w:bookmarkEnd w:id="283"/>
      <w:bookmarkStart w:id="284" w:name="_Toc184314419"/>
      <w:bookmarkEnd w:id="284"/>
      <w:bookmarkStart w:id="285" w:name="_Toc184313303"/>
      <w:bookmarkEnd w:id="285"/>
      <w:bookmarkStart w:id="286" w:name="_Toc184313284"/>
      <w:bookmarkEnd w:id="286"/>
      <w:bookmarkStart w:id="287" w:name="_Toc184312139"/>
      <w:bookmarkEnd w:id="287"/>
      <w:bookmarkStart w:id="288" w:name="_Toc184314410"/>
      <w:bookmarkEnd w:id="288"/>
      <w:bookmarkStart w:id="289" w:name="_Toc184308037"/>
      <w:bookmarkEnd w:id="289"/>
      <w:bookmarkStart w:id="290" w:name="_Toc184310309"/>
      <w:bookmarkEnd w:id="290"/>
      <w:bookmarkStart w:id="291" w:name="_Toc184308074"/>
      <w:bookmarkEnd w:id="291"/>
      <w:bookmarkStart w:id="292" w:name="_Toc184310324"/>
      <w:bookmarkEnd w:id="292"/>
      <w:bookmarkStart w:id="293" w:name="_Toc184314435"/>
      <w:bookmarkEnd w:id="293"/>
      <w:bookmarkStart w:id="294" w:name="_Toc184312073"/>
      <w:bookmarkEnd w:id="294"/>
      <w:bookmarkStart w:id="295" w:name="_Toc184312076"/>
      <w:bookmarkEnd w:id="295"/>
      <w:bookmarkStart w:id="296" w:name="_Toc184308066"/>
      <w:bookmarkEnd w:id="296"/>
      <w:bookmarkStart w:id="297" w:name="_Toc184314438"/>
      <w:bookmarkEnd w:id="297"/>
      <w:bookmarkStart w:id="298" w:name="_Toc184313279"/>
      <w:bookmarkEnd w:id="298"/>
      <w:bookmarkStart w:id="299" w:name="_Toc184308080"/>
      <w:bookmarkEnd w:id="299"/>
      <w:bookmarkStart w:id="300" w:name="_Toc184310329"/>
      <w:bookmarkEnd w:id="300"/>
      <w:bookmarkStart w:id="301" w:name="_Toc184310315"/>
      <w:bookmarkEnd w:id="301"/>
      <w:bookmarkStart w:id="302" w:name="_Toc184308040"/>
      <w:bookmarkEnd w:id="302"/>
      <w:bookmarkStart w:id="303" w:name="_Toc184310286"/>
      <w:bookmarkEnd w:id="303"/>
      <w:bookmarkStart w:id="304" w:name="_Toc184310272"/>
      <w:bookmarkEnd w:id="304"/>
      <w:bookmarkStart w:id="305" w:name="_Toc184310310"/>
      <w:bookmarkEnd w:id="305"/>
      <w:bookmarkStart w:id="306" w:name="_Toc184308058"/>
      <w:bookmarkEnd w:id="306"/>
      <w:bookmarkStart w:id="307" w:name="_Toc184312098"/>
      <w:bookmarkEnd w:id="307"/>
      <w:bookmarkStart w:id="308" w:name="_Toc184314426"/>
      <w:bookmarkEnd w:id="308"/>
      <w:bookmarkStart w:id="309" w:name="_Toc184313306"/>
      <w:bookmarkEnd w:id="309"/>
      <w:bookmarkStart w:id="310" w:name="_Toc184313253"/>
      <w:bookmarkEnd w:id="310"/>
      <w:bookmarkStart w:id="311" w:name="_Toc184310327"/>
      <w:bookmarkEnd w:id="311"/>
      <w:bookmarkStart w:id="312" w:name="_Toc184310339"/>
      <w:bookmarkEnd w:id="312"/>
      <w:bookmarkStart w:id="313" w:name="_Toc184310297"/>
      <w:bookmarkEnd w:id="313"/>
      <w:bookmarkStart w:id="314" w:name="_Toc184314470"/>
      <w:bookmarkEnd w:id="314"/>
      <w:bookmarkStart w:id="315" w:name="_Toc184312087"/>
      <w:bookmarkEnd w:id="315"/>
      <w:bookmarkStart w:id="316" w:name="_Toc184312100"/>
      <w:bookmarkEnd w:id="316"/>
      <w:bookmarkStart w:id="317" w:name="_Toc184312079"/>
      <w:bookmarkEnd w:id="317"/>
      <w:bookmarkStart w:id="318" w:name="_Toc184312134"/>
      <w:bookmarkEnd w:id="318"/>
      <w:bookmarkStart w:id="319" w:name="_Toc184308043"/>
      <w:bookmarkEnd w:id="319"/>
      <w:bookmarkStart w:id="320" w:name="_Toc184308093"/>
      <w:bookmarkEnd w:id="320"/>
      <w:bookmarkStart w:id="321" w:name="_Toc184310314"/>
      <w:bookmarkEnd w:id="321"/>
      <w:bookmarkStart w:id="322" w:name="_Toc184312114"/>
      <w:bookmarkEnd w:id="322"/>
      <w:bookmarkStart w:id="323" w:name="_Toc184313289"/>
      <w:bookmarkEnd w:id="323"/>
      <w:bookmarkStart w:id="324" w:name="_Toc184308059"/>
      <w:bookmarkEnd w:id="324"/>
      <w:bookmarkStart w:id="325" w:name="_Toc184314453"/>
      <w:bookmarkEnd w:id="325"/>
      <w:bookmarkStart w:id="326" w:name="_Toc184314482"/>
      <w:bookmarkEnd w:id="326"/>
      <w:bookmarkStart w:id="327" w:name="_Toc184313304"/>
      <w:bookmarkEnd w:id="327"/>
      <w:bookmarkStart w:id="328" w:name="_Toc184310336"/>
      <w:bookmarkEnd w:id="328"/>
      <w:bookmarkStart w:id="329" w:name="_Toc184310318"/>
      <w:bookmarkEnd w:id="329"/>
      <w:bookmarkStart w:id="330" w:name="_Toc184313258"/>
      <w:bookmarkEnd w:id="330"/>
      <w:bookmarkStart w:id="331" w:name="_Toc184313305"/>
      <w:bookmarkEnd w:id="331"/>
      <w:bookmarkStart w:id="332" w:name="_Toc184313248"/>
      <w:bookmarkEnd w:id="332"/>
      <w:bookmarkStart w:id="333" w:name="_Toc184310317"/>
      <w:bookmarkEnd w:id="333"/>
      <w:bookmarkStart w:id="334" w:name="_Toc184314444"/>
      <w:bookmarkEnd w:id="334"/>
      <w:bookmarkStart w:id="335" w:name="_Toc184312083"/>
      <w:bookmarkEnd w:id="335"/>
      <w:bookmarkStart w:id="336" w:name="_Toc184310277"/>
      <w:bookmarkEnd w:id="336"/>
      <w:bookmarkStart w:id="337" w:name="_Toc184312111"/>
      <w:bookmarkEnd w:id="337"/>
      <w:bookmarkStart w:id="338" w:name="_Toc184314422"/>
      <w:bookmarkEnd w:id="338"/>
      <w:bookmarkStart w:id="339" w:name="_Toc184313246"/>
      <w:bookmarkEnd w:id="339"/>
      <w:bookmarkStart w:id="340" w:name="_Toc184308091"/>
      <w:bookmarkEnd w:id="340"/>
      <w:bookmarkStart w:id="341" w:name="_Toc184313268"/>
      <w:bookmarkEnd w:id="341"/>
      <w:bookmarkStart w:id="342" w:name="_Toc184312103"/>
      <w:bookmarkEnd w:id="342"/>
      <w:bookmarkStart w:id="343" w:name="_Toc184310326"/>
      <w:bookmarkEnd w:id="343"/>
      <w:bookmarkStart w:id="344" w:name="_Toc184313244"/>
      <w:bookmarkEnd w:id="344"/>
      <w:bookmarkStart w:id="345" w:name="_Toc184312132"/>
      <w:bookmarkEnd w:id="345"/>
      <w:bookmarkStart w:id="346" w:name="_Toc184310306"/>
      <w:bookmarkEnd w:id="346"/>
      <w:bookmarkStart w:id="347" w:name="_Toc184314423"/>
      <w:bookmarkEnd w:id="347"/>
      <w:bookmarkStart w:id="348" w:name="_Toc184308094"/>
      <w:bookmarkEnd w:id="348"/>
      <w:bookmarkStart w:id="349" w:name="_Toc184313267"/>
      <w:bookmarkEnd w:id="349"/>
      <w:bookmarkStart w:id="350" w:name="_Toc184310307"/>
      <w:bookmarkEnd w:id="350"/>
      <w:bookmarkStart w:id="351" w:name="_Toc184313247"/>
      <w:bookmarkEnd w:id="351"/>
      <w:bookmarkStart w:id="352" w:name="_Toc184310331"/>
      <w:bookmarkEnd w:id="352"/>
      <w:bookmarkStart w:id="353" w:name="_Toc184310294"/>
      <w:bookmarkEnd w:id="353"/>
      <w:bookmarkStart w:id="354" w:name="_Toc184310344"/>
      <w:bookmarkEnd w:id="354"/>
      <w:bookmarkStart w:id="355" w:name="_Toc184313249"/>
      <w:bookmarkEnd w:id="355"/>
      <w:bookmarkStart w:id="356" w:name="_Toc184312090"/>
      <w:bookmarkEnd w:id="356"/>
      <w:bookmarkStart w:id="357" w:name="_Toc184310335"/>
      <w:bookmarkEnd w:id="357"/>
      <w:bookmarkStart w:id="358" w:name="_Toc184308096"/>
      <w:bookmarkEnd w:id="358"/>
      <w:bookmarkStart w:id="359" w:name="_Toc184314416"/>
      <w:bookmarkEnd w:id="359"/>
      <w:bookmarkStart w:id="360" w:name="_Toc184308078"/>
      <w:bookmarkEnd w:id="360"/>
      <w:bookmarkStart w:id="361" w:name="_Toc184313298"/>
      <w:bookmarkEnd w:id="361"/>
      <w:bookmarkStart w:id="362" w:name="_Toc184312110"/>
      <w:bookmarkEnd w:id="362"/>
      <w:bookmarkStart w:id="363" w:name="_Toc184313238"/>
      <w:bookmarkEnd w:id="363"/>
      <w:bookmarkStart w:id="364" w:name="_Toc184312095"/>
      <w:bookmarkEnd w:id="364"/>
      <w:bookmarkStart w:id="365" w:name="_Toc184312137"/>
      <w:bookmarkEnd w:id="365"/>
      <w:bookmarkStart w:id="366" w:name="_Toc184314429"/>
      <w:bookmarkEnd w:id="366"/>
      <w:bookmarkStart w:id="367" w:name="_Toc184310341"/>
      <w:bookmarkEnd w:id="367"/>
      <w:bookmarkStart w:id="368" w:name="_Toc184312094"/>
      <w:bookmarkEnd w:id="368"/>
      <w:bookmarkStart w:id="369" w:name="_Toc184313243"/>
      <w:bookmarkEnd w:id="369"/>
      <w:bookmarkStart w:id="370" w:name="_Toc184312123"/>
      <w:bookmarkEnd w:id="370"/>
      <w:bookmarkStart w:id="371" w:name="_Toc184312072"/>
      <w:bookmarkEnd w:id="371"/>
      <w:bookmarkStart w:id="372" w:name="_Toc184314480"/>
      <w:bookmarkEnd w:id="372"/>
      <w:bookmarkStart w:id="373" w:name="_Toc184314467"/>
      <w:bookmarkEnd w:id="373"/>
      <w:bookmarkStart w:id="374" w:name="_Toc184314460"/>
      <w:bookmarkEnd w:id="374"/>
      <w:bookmarkStart w:id="375" w:name="_Toc184308036"/>
      <w:bookmarkEnd w:id="375"/>
      <w:bookmarkStart w:id="376" w:name="_Toc184308095"/>
      <w:bookmarkEnd w:id="376"/>
      <w:bookmarkStart w:id="377" w:name="_Toc184313264"/>
      <w:bookmarkEnd w:id="377"/>
      <w:bookmarkStart w:id="378" w:name="_Toc184312104"/>
      <w:bookmarkEnd w:id="378"/>
      <w:bookmarkStart w:id="379" w:name="_Toc184308039"/>
      <w:bookmarkEnd w:id="379"/>
      <w:bookmarkStart w:id="380" w:name="_Toc184310279"/>
      <w:bookmarkEnd w:id="380"/>
      <w:bookmarkStart w:id="381" w:name="_Toc184313283"/>
      <w:bookmarkEnd w:id="381"/>
      <w:bookmarkStart w:id="382" w:name="_Toc184308084"/>
      <w:bookmarkEnd w:id="382"/>
      <w:bookmarkStart w:id="383" w:name="_Toc184313308"/>
      <w:bookmarkEnd w:id="383"/>
      <w:bookmarkStart w:id="384" w:name="_Toc184312101"/>
      <w:bookmarkEnd w:id="384"/>
      <w:bookmarkStart w:id="385" w:name="_Toc184308107"/>
      <w:bookmarkEnd w:id="385"/>
      <w:bookmarkStart w:id="386" w:name="_Toc184313293"/>
      <w:bookmarkEnd w:id="386"/>
      <w:bookmarkStart w:id="387" w:name="_Toc184308061"/>
      <w:bookmarkEnd w:id="387"/>
      <w:bookmarkStart w:id="388" w:name="_Toc184313277"/>
      <w:bookmarkEnd w:id="388"/>
      <w:bookmarkStart w:id="389" w:name="_Toc184313266"/>
      <w:bookmarkEnd w:id="389"/>
      <w:bookmarkStart w:id="390" w:name="_Toc184308086"/>
      <w:bookmarkEnd w:id="390"/>
      <w:bookmarkStart w:id="391" w:name="_Toc184313241"/>
      <w:bookmarkEnd w:id="391"/>
      <w:bookmarkStart w:id="392" w:name="_Toc184314413"/>
      <w:bookmarkEnd w:id="392"/>
      <w:bookmarkStart w:id="393" w:name="_Toc184308100"/>
      <w:bookmarkEnd w:id="393"/>
      <w:bookmarkStart w:id="394" w:name="_Toc184312071"/>
      <w:bookmarkEnd w:id="394"/>
      <w:bookmarkStart w:id="395" w:name="_Toc184313250"/>
      <w:bookmarkEnd w:id="395"/>
      <w:bookmarkStart w:id="396" w:name="_Toc184312112"/>
      <w:bookmarkEnd w:id="396"/>
      <w:r>
        <w:rPr>
          <w:rFonts w:hint="eastAsia" w:cs="宋体" w:asciiTheme="majorEastAsia" w:hAnsiTheme="majorEastAsia" w:eastAsiaTheme="majorEastAsia"/>
          <w:b/>
          <w:sz w:val="36"/>
          <w:szCs w:val="36"/>
          <w:highlight w:val="none"/>
        </w:rPr>
        <w:t>评标办法</w:t>
      </w:r>
    </w:p>
    <w:p w14:paraId="3A1F706E">
      <w:pPr>
        <w:snapToGrid w:val="0"/>
        <w:spacing w:line="360" w:lineRule="auto"/>
        <w:jc w:val="center"/>
        <w:rPr>
          <w:rFonts w:cs="宋体" w:asciiTheme="majorEastAsia" w:hAnsiTheme="majorEastAsia" w:eastAsiaTheme="majorEastAsia"/>
          <w:b/>
          <w:sz w:val="32"/>
          <w:szCs w:val="20"/>
          <w:highlight w:val="none"/>
        </w:rPr>
      </w:pPr>
      <w:r>
        <w:rPr>
          <w:rFonts w:hint="eastAsia" w:cs="宋体" w:asciiTheme="majorEastAsia" w:hAnsiTheme="majorEastAsia" w:eastAsiaTheme="majorEastAsia"/>
          <w:b/>
          <w:sz w:val="32"/>
          <w:szCs w:val="20"/>
          <w:highlight w:val="none"/>
        </w:rPr>
        <w:t>评标办法前附表</w:t>
      </w:r>
    </w:p>
    <w:tbl>
      <w:tblPr>
        <w:tblStyle w:val="63"/>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961"/>
        <w:gridCol w:w="794"/>
        <w:gridCol w:w="1027"/>
        <w:gridCol w:w="1711"/>
      </w:tblGrid>
      <w:tr w14:paraId="03C6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Align w:val="center"/>
          </w:tcPr>
          <w:p w14:paraId="1F5F0F38">
            <w:pPr>
              <w:topLinePunct/>
              <w:snapToGrid w:val="0"/>
              <w:jc w:val="center"/>
              <w:outlineLvl w:val="0"/>
              <w:rPr>
                <w:rFonts w:hint="eastAsia" w:ascii="宋体" w:hAnsi="宋体" w:eastAsia="宋体" w:cs="宋体"/>
                <w:bCs/>
                <w:sz w:val="24"/>
                <w:szCs w:val="24"/>
                <w:highlight w:val="none"/>
              </w:rPr>
            </w:pPr>
            <w:bookmarkStart w:id="397" w:name="RANGE!A1"/>
            <w:r>
              <w:rPr>
                <w:rFonts w:hint="eastAsia" w:ascii="宋体" w:hAnsi="宋体" w:eastAsia="宋体" w:cs="宋体"/>
                <w:color w:val="000000"/>
                <w:sz w:val="24"/>
                <w:szCs w:val="24"/>
                <w:highlight w:val="none"/>
              </w:rPr>
              <w:t>序号</w:t>
            </w:r>
            <w:bookmarkEnd w:id="397"/>
          </w:p>
        </w:tc>
        <w:tc>
          <w:tcPr>
            <w:tcW w:w="2676" w:type="pct"/>
            <w:vAlign w:val="center"/>
          </w:tcPr>
          <w:p w14:paraId="29859816">
            <w:pPr>
              <w:topLinePunct/>
              <w:jc w:val="center"/>
              <w:outlineLvl w:val="0"/>
              <w:rPr>
                <w:rFonts w:hint="eastAsia" w:ascii="宋体" w:hAnsi="宋体" w:eastAsia="宋体" w:cs="宋体"/>
                <w:bCs/>
                <w:sz w:val="24"/>
                <w:szCs w:val="24"/>
                <w:highlight w:val="none"/>
              </w:rPr>
            </w:pPr>
            <w:bookmarkStart w:id="398" w:name="RANGE!B1"/>
            <w:r>
              <w:rPr>
                <w:rFonts w:hint="eastAsia" w:ascii="宋体" w:hAnsi="宋体" w:eastAsia="宋体" w:cs="宋体"/>
                <w:color w:val="000000"/>
                <w:sz w:val="24"/>
                <w:szCs w:val="24"/>
                <w:highlight w:val="none"/>
              </w:rPr>
              <w:t>评标标准</w:t>
            </w:r>
            <w:bookmarkEnd w:id="398"/>
          </w:p>
        </w:tc>
        <w:tc>
          <w:tcPr>
            <w:tcW w:w="428" w:type="pct"/>
            <w:vAlign w:val="center"/>
          </w:tcPr>
          <w:p w14:paraId="37432A8F">
            <w:pPr>
              <w:topLinePunct/>
              <w:jc w:val="center"/>
              <w:outlineLvl w:val="0"/>
              <w:rPr>
                <w:rFonts w:hint="eastAsia" w:ascii="宋体" w:hAnsi="宋体" w:eastAsia="宋体" w:cs="宋体"/>
                <w:bCs/>
                <w:sz w:val="24"/>
                <w:szCs w:val="24"/>
                <w:highlight w:val="none"/>
              </w:rPr>
            </w:pPr>
            <w:bookmarkStart w:id="399" w:name="RANGE!C1"/>
            <w:r>
              <w:rPr>
                <w:rFonts w:hint="eastAsia" w:ascii="宋体" w:hAnsi="宋体" w:eastAsia="宋体" w:cs="宋体"/>
                <w:color w:val="000000"/>
                <w:sz w:val="24"/>
                <w:szCs w:val="24"/>
                <w:highlight w:val="none"/>
              </w:rPr>
              <w:t>权重</w:t>
            </w:r>
            <w:bookmarkEnd w:id="399"/>
          </w:p>
        </w:tc>
        <w:tc>
          <w:tcPr>
            <w:tcW w:w="554" w:type="pct"/>
            <w:vAlign w:val="center"/>
          </w:tcPr>
          <w:p w14:paraId="0FEB9C39">
            <w:pPr>
              <w:topLinePunct/>
              <w:jc w:val="center"/>
              <w:outlineLvl w:val="0"/>
              <w:rPr>
                <w:rFonts w:hint="eastAsia" w:ascii="宋体" w:hAnsi="宋体" w:eastAsia="宋体" w:cs="宋体"/>
                <w:bCs/>
                <w:sz w:val="24"/>
                <w:szCs w:val="24"/>
                <w:highlight w:val="none"/>
              </w:rPr>
            </w:pPr>
            <w:bookmarkStart w:id="400" w:name="RANGE!D1"/>
            <w:r>
              <w:rPr>
                <w:rFonts w:hint="eastAsia" w:ascii="宋体" w:hAnsi="宋体" w:eastAsia="宋体" w:cs="宋体"/>
                <w:color w:val="000000"/>
                <w:sz w:val="24"/>
                <w:szCs w:val="24"/>
                <w:highlight w:val="none"/>
              </w:rPr>
              <w:t>主观分/客观分属性</w:t>
            </w:r>
            <w:bookmarkEnd w:id="400"/>
          </w:p>
        </w:tc>
        <w:tc>
          <w:tcPr>
            <w:tcW w:w="923" w:type="pct"/>
            <w:vAlign w:val="center"/>
          </w:tcPr>
          <w:p w14:paraId="0768929A">
            <w:pPr>
              <w:topLinePunct/>
              <w:snapToGrid w:val="0"/>
              <w:jc w:val="center"/>
              <w:outlineLvl w:val="0"/>
              <w:rPr>
                <w:rFonts w:hint="eastAsia" w:ascii="宋体" w:hAnsi="宋体" w:eastAsia="宋体" w:cs="宋体"/>
                <w:bCs/>
                <w:sz w:val="24"/>
                <w:szCs w:val="24"/>
                <w:highlight w:val="none"/>
              </w:rPr>
            </w:pPr>
            <w:r>
              <w:rPr>
                <w:rFonts w:hint="eastAsia" w:ascii="宋体" w:hAnsi="宋体" w:eastAsia="宋体" w:cs="宋体"/>
                <w:color w:val="000000"/>
                <w:sz w:val="24"/>
                <w:szCs w:val="24"/>
                <w:highlight w:val="none"/>
              </w:rPr>
              <w:t>投标文件中评标标准相应的商务技术资料目录*</w:t>
            </w:r>
          </w:p>
        </w:tc>
      </w:tr>
      <w:tr w14:paraId="706F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Align w:val="center"/>
          </w:tcPr>
          <w:p w14:paraId="768CA9E0">
            <w:pPr>
              <w:topLinePunct/>
              <w:snapToGrid w:val="0"/>
              <w:spacing w:line="400" w:lineRule="exact"/>
              <w:jc w:val="center"/>
              <w:outlineLvl w:val="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w:t>
            </w:r>
          </w:p>
        </w:tc>
        <w:tc>
          <w:tcPr>
            <w:tcW w:w="2676" w:type="pct"/>
            <w:vAlign w:val="center"/>
          </w:tcPr>
          <w:p w14:paraId="6AFFCDA3">
            <w:pPr>
              <w:snapToGrid w:val="0"/>
              <w:spacing w:line="360" w:lineRule="auto"/>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lang w:val="en-US" w:eastAsia="zh-CN"/>
              </w:rPr>
              <w:t>自</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年1月1日（时间以合同签订时间为准）以来承担类似</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业绩</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，每</w:t>
            </w:r>
            <w:r>
              <w:rPr>
                <w:rFonts w:hint="eastAsia" w:ascii="宋体" w:hAnsi="宋体" w:eastAsia="宋体" w:cs="宋体"/>
                <w:sz w:val="24"/>
                <w:szCs w:val="24"/>
                <w:highlight w:val="none"/>
                <w:lang w:val="en-US" w:eastAsia="zh-CN"/>
              </w:rPr>
              <w:t>提供一</w:t>
            </w:r>
            <w:r>
              <w:rPr>
                <w:rFonts w:hint="eastAsia" w:ascii="宋体" w:hAnsi="宋体" w:eastAsia="宋体" w:cs="宋体"/>
                <w:sz w:val="24"/>
                <w:szCs w:val="24"/>
                <w:highlight w:val="none"/>
              </w:rPr>
              <w:t>个得0.5分，最多得1分。</w:t>
            </w:r>
          </w:p>
          <w:p w14:paraId="483A87B3">
            <w:pPr>
              <w:snapToGrid w:val="0"/>
              <w:spacing w:line="360" w:lineRule="auto"/>
              <w:jc w:val="left"/>
              <w:rPr>
                <w:rFonts w:hint="eastAsia" w:ascii="宋体" w:hAnsi="宋体" w:eastAsia="宋体" w:cs="宋体"/>
                <w:snapToGrid w:val="0"/>
                <w:color w:val="000000"/>
                <w:sz w:val="24"/>
                <w:szCs w:val="24"/>
                <w:highlight w:val="none"/>
              </w:rPr>
            </w:pPr>
            <w:r>
              <w:rPr>
                <w:rFonts w:hint="eastAsia" w:ascii="宋体" w:hAnsi="宋体" w:eastAsia="宋体" w:cs="宋体"/>
                <w:sz w:val="24"/>
                <w:szCs w:val="24"/>
                <w:highlight w:val="none"/>
              </w:rPr>
              <w:t>证明材料：提供合同扫描件并加盖公章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否则不得分</w:t>
            </w:r>
            <w:r>
              <w:rPr>
                <w:rFonts w:hint="eastAsia" w:ascii="宋体" w:hAnsi="宋体" w:eastAsia="宋体" w:cs="宋体"/>
                <w:sz w:val="24"/>
                <w:szCs w:val="24"/>
                <w:highlight w:val="none"/>
              </w:rPr>
              <w:t>。</w:t>
            </w:r>
          </w:p>
        </w:tc>
        <w:tc>
          <w:tcPr>
            <w:tcW w:w="428" w:type="pct"/>
            <w:vAlign w:val="center"/>
          </w:tcPr>
          <w:p w14:paraId="303D4086">
            <w:pPr>
              <w:topLinePunct/>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554" w:type="pct"/>
            <w:vAlign w:val="center"/>
          </w:tcPr>
          <w:p w14:paraId="48DDF967">
            <w:pPr>
              <w:topLinePunct/>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客观分</w:t>
            </w:r>
          </w:p>
        </w:tc>
        <w:tc>
          <w:tcPr>
            <w:tcW w:w="923" w:type="pct"/>
            <w:vAlign w:val="center"/>
          </w:tcPr>
          <w:p w14:paraId="1A7ABCD1">
            <w:pPr>
              <w:topLinePunct/>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类似业绩</w:t>
            </w:r>
          </w:p>
        </w:tc>
      </w:tr>
      <w:tr w14:paraId="7E94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Align w:val="center"/>
          </w:tcPr>
          <w:p w14:paraId="5F457FB4">
            <w:pPr>
              <w:topLinePunct/>
              <w:snapToGrid w:val="0"/>
              <w:spacing w:line="400" w:lineRule="exact"/>
              <w:jc w:val="center"/>
              <w:outlineLvl w:val="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w:t>
            </w:r>
          </w:p>
        </w:tc>
        <w:tc>
          <w:tcPr>
            <w:tcW w:w="2676" w:type="pct"/>
            <w:vAlign w:val="center"/>
          </w:tcPr>
          <w:p w14:paraId="1A6C9053">
            <w:pPr>
              <w:snapToGrid w:val="0"/>
              <w:spacing w:line="360" w:lineRule="auto"/>
              <w:jc w:val="left"/>
              <w:rPr>
                <w:rFonts w:hint="eastAsia" w:ascii="宋体" w:hAnsi="宋体" w:eastAsia="宋体" w:cs="宋体"/>
                <w:sz w:val="24"/>
                <w:szCs w:val="24"/>
                <w:highlight w:val="none"/>
                <w:lang w:val="en-US"/>
              </w:rPr>
            </w:pP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rPr>
              <w:t>具有环境管理体系认证的得</w:t>
            </w:r>
            <w:r>
              <w:rPr>
                <w:rFonts w:hint="eastAsia" w:ascii="宋体" w:hAnsi="宋体" w:eastAsia="宋体" w:cs="宋体"/>
                <w:sz w:val="24"/>
                <w:szCs w:val="24"/>
                <w:highlight w:val="none"/>
                <w:lang w:val="en-US"/>
              </w:rPr>
              <w:t>1分；</w:t>
            </w:r>
          </w:p>
          <w:p w14:paraId="07826F19">
            <w:pPr>
              <w:snapToGrid w:val="0"/>
              <w:spacing w:line="360" w:lineRule="auto"/>
              <w:jc w:val="left"/>
              <w:rPr>
                <w:rFonts w:hint="eastAsia" w:ascii="宋体" w:hAnsi="宋体" w:eastAsia="宋体" w:cs="宋体"/>
                <w:sz w:val="24"/>
                <w:szCs w:val="24"/>
                <w:highlight w:val="none"/>
                <w:lang w:val="en-US"/>
              </w:rPr>
            </w:pP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rPr>
              <w:t>具有职业健康安全管理体系认证的得</w:t>
            </w:r>
            <w:r>
              <w:rPr>
                <w:rFonts w:hint="eastAsia" w:ascii="宋体" w:hAnsi="宋体" w:eastAsia="宋体" w:cs="宋体"/>
                <w:sz w:val="24"/>
                <w:szCs w:val="24"/>
                <w:highlight w:val="none"/>
                <w:lang w:val="en-US"/>
              </w:rPr>
              <w:t>1分；</w:t>
            </w:r>
          </w:p>
          <w:p w14:paraId="5091CABD">
            <w:pPr>
              <w:snapToGrid w:val="0"/>
              <w:spacing w:line="360" w:lineRule="auto"/>
              <w:jc w:val="left"/>
              <w:rPr>
                <w:rFonts w:hint="eastAsia" w:ascii="宋体" w:hAnsi="宋体" w:eastAsia="宋体" w:cs="宋体"/>
                <w:sz w:val="24"/>
                <w:szCs w:val="24"/>
                <w:highlight w:val="none"/>
                <w:lang w:val="en-US"/>
              </w:rPr>
            </w:pP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rPr>
              <w:t>具有</w:t>
            </w:r>
            <w:r>
              <w:rPr>
                <w:rFonts w:hint="eastAsia" w:ascii="宋体" w:hAnsi="宋体" w:eastAsia="宋体" w:cs="宋体"/>
                <w:sz w:val="24"/>
                <w:szCs w:val="24"/>
                <w:highlight w:val="none"/>
                <w:lang w:val="en-US"/>
              </w:rPr>
              <w:t>质量管理体系认证</w:t>
            </w:r>
            <w:r>
              <w:rPr>
                <w:rFonts w:hint="eastAsia" w:ascii="宋体" w:hAnsi="宋体" w:eastAsia="宋体" w:cs="宋体"/>
                <w:sz w:val="24"/>
                <w:szCs w:val="24"/>
                <w:highlight w:val="none"/>
              </w:rPr>
              <w:t>的得</w:t>
            </w:r>
            <w:r>
              <w:rPr>
                <w:rFonts w:hint="eastAsia" w:ascii="宋体" w:hAnsi="宋体" w:eastAsia="宋体" w:cs="宋体"/>
                <w:sz w:val="24"/>
                <w:szCs w:val="24"/>
                <w:highlight w:val="none"/>
                <w:lang w:val="en-US"/>
              </w:rPr>
              <w:t>1分；</w:t>
            </w:r>
          </w:p>
          <w:p w14:paraId="7FCE2914">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证明材料：提供有效期内体系证书扫描件并加盖公章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否则不得分</w:t>
            </w:r>
            <w:r>
              <w:rPr>
                <w:rFonts w:hint="eastAsia" w:ascii="宋体" w:hAnsi="宋体" w:eastAsia="宋体" w:cs="宋体"/>
                <w:sz w:val="24"/>
                <w:szCs w:val="24"/>
                <w:highlight w:val="none"/>
              </w:rPr>
              <w:t>。</w:t>
            </w:r>
          </w:p>
        </w:tc>
        <w:tc>
          <w:tcPr>
            <w:tcW w:w="428" w:type="pct"/>
            <w:vAlign w:val="center"/>
          </w:tcPr>
          <w:p w14:paraId="226829F9">
            <w:pPr>
              <w:topLinePunct/>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554" w:type="pct"/>
            <w:vAlign w:val="center"/>
          </w:tcPr>
          <w:p w14:paraId="0FD16B6B">
            <w:pPr>
              <w:topLinePunct/>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客</w:t>
            </w:r>
            <w:r>
              <w:rPr>
                <w:rFonts w:hint="eastAsia" w:ascii="宋体" w:hAnsi="宋体" w:eastAsia="宋体" w:cs="宋体"/>
                <w:sz w:val="24"/>
                <w:szCs w:val="24"/>
                <w:highlight w:val="none"/>
                <w:lang w:eastAsia="zh-CN"/>
              </w:rPr>
              <w:t>观分</w:t>
            </w:r>
          </w:p>
        </w:tc>
        <w:tc>
          <w:tcPr>
            <w:tcW w:w="923" w:type="pct"/>
            <w:vAlign w:val="center"/>
          </w:tcPr>
          <w:p w14:paraId="0C421547">
            <w:pPr>
              <w:topLinePun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管理体系</w:t>
            </w:r>
          </w:p>
        </w:tc>
      </w:tr>
      <w:tr w14:paraId="4A76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Align w:val="center"/>
          </w:tcPr>
          <w:p w14:paraId="684A176B">
            <w:pPr>
              <w:topLinePunct/>
              <w:snapToGrid w:val="0"/>
              <w:spacing w:line="400" w:lineRule="exact"/>
              <w:jc w:val="center"/>
              <w:outlineLvl w:val="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w:t>
            </w:r>
          </w:p>
        </w:tc>
        <w:tc>
          <w:tcPr>
            <w:tcW w:w="2676" w:type="pct"/>
            <w:vAlign w:val="center"/>
          </w:tcPr>
          <w:p w14:paraId="3C02A8D7">
            <w:pPr>
              <w:snapToGrid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有城市应急突发事件（气象灾害、防汛抗台、抗雪防冻、建筑垃圾及渣土、突发事件应急处理及重大活动保障等）处理预案，具有可操作性且有实战经验，每项得2分，偏离的每项扣1分，未提供不得分。本项满分10分。证明材料：照片、资料或业主证明等。</w:t>
            </w:r>
          </w:p>
        </w:tc>
        <w:tc>
          <w:tcPr>
            <w:tcW w:w="428" w:type="pct"/>
            <w:vAlign w:val="center"/>
          </w:tcPr>
          <w:p w14:paraId="30F61CCC">
            <w:pPr>
              <w:topLinePunct/>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554" w:type="pct"/>
            <w:vAlign w:val="center"/>
          </w:tcPr>
          <w:p w14:paraId="15260124">
            <w:pPr>
              <w:topLinePunct/>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客</w:t>
            </w:r>
            <w:r>
              <w:rPr>
                <w:rFonts w:hint="eastAsia" w:ascii="宋体" w:hAnsi="宋体" w:eastAsia="宋体" w:cs="宋体"/>
                <w:sz w:val="24"/>
                <w:szCs w:val="24"/>
                <w:highlight w:val="none"/>
                <w:lang w:eastAsia="zh-CN"/>
              </w:rPr>
              <w:t>观分</w:t>
            </w:r>
          </w:p>
        </w:tc>
        <w:tc>
          <w:tcPr>
            <w:tcW w:w="923" w:type="pct"/>
            <w:vAlign w:val="center"/>
          </w:tcPr>
          <w:p w14:paraId="5946228F">
            <w:pPr>
              <w:topLinePun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城市应急突发事件实战经验</w:t>
            </w:r>
          </w:p>
        </w:tc>
      </w:tr>
      <w:tr w14:paraId="2152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Align w:val="center"/>
          </w:tcPr>
          <w:p w14:paraId="4C797DC9">
            <w:pPr>
              <w:topLinePunct/>
              <w:snapToGrid w:val="0"/>
              <w:spacing w:line="400" w:lineRule="exact"/>
              <w:jc w:val="center"/>
              <w:outlineLvl w:val="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4</w:t>
            </w:r>
          </w:p>
        </w:tc>
        <w:tc>
          <w:tcPr>
            <w:tcW w:w="2676" w:type="pct"/>
            <w:vAlign w:val="center"/>
          </w:tcPr>
          <w:p w14:paraId="7A6743D6">
            <w:pPr>
              <w:snapToGrid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项目负责人：</w:t>
            </w:r>
          </w:p>
          <w:p w14:paraId="6A41FFA4">
            <w:pPr>
              <w:numPr>
                <w:ilvl w:val="0"/>
                <w:numId w:val="0"/>
              </w:numPr>
              <w:snapToGrid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拟担任养护项目负责人：具有园林绿化相关专业中级及以上职称或中级及以上技师的得2分（含花卉、绿化等）。须提供有效证书复印件，否则不得分。</w:t>
            </w:r>
          </w:p>
        </w:tc>
        <w:tc>
          <w:tcPr>
            <w:tcW w:w="428" w:type="pct"/>
            <w:vAlign w:val="center"/>
          </w:tcPr>
          <w:p w14:paraId="368F0B6D">
            <w:pPr>
              <w:topLinePunct/>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554" w:type="pct"/>
            <w:vAlign w:val="center"/>
          </w:tcPr>
          <w:p w14:paraId="1C9AEC67">
            <w:pPr>
              <w:topLinePunct/>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客</w:t>
            </w:r>
            <w:r>
              <w:rPr>
                <w:rFonts w:hint="eastAsia" w:ascii="宋体" w:hAnsi="宋体" w:eastAsia="宋体" w:cs="宋体"/>
                <w:sz w:val="24"/>
                <w:szCs w:val="24"/>
                <w:highlight w:val="none"/>
                <w:lang w:eastAsia="zh-CN"/>
              </w:rPr>
              <w:t>观分</w:t>
            </w:r>
          </w:p>
        </w:tc>
        <w:tc>
          <w:tcPr>
            <w:tcW w:w="923" w:type="pct"/>
            <w:vAlign w:val="center"/>
          </w:tcPr>
          <w:p w14:paraId="53AF98F0">
            <w:pPr>
              <w:topLinePun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项目负责人</w:t>
            </w:r>
          </w:p>
        </w:tc>
      </w:tr>
      <w:tr w14:paraId="29DF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Align w:val="center"/>
          </w:tcPr>
          <w:p w14:paraId="48E6696D">
            <w:pPr>
              <w:topLinePunct/>
              <w:snapToGrid w:val="0"/>
              <w:spacing w:line="400" w:lineRule="exact"/>
              <w:jc w:val="center"/>
              <w:outlineLvl w:val="0"/>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w:t>
            </w:r>
          </w:p>
        </w:tc>
        <w:tc>
          <w:tcPr>
            <w:tcW w:w="2676" w:type="pct"/>
            <w:vAlign w:val="center"/>
          </w:tcPr>
          <w:p w14:paraId="00E27621">
            <w:pPr>
              <w:numPr>
                <w:ilvl w:val="0"/>
                <w:numId w:val="0"/>
              </w:numPr>
              <w:snapToGrid w:val="0"/>
              <w:spacing w:line="360" w:lineRule="auto"/>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相关承诺：</w:t>
            </w:r>
          </w:p>
          <w:p w14:paraId="6D19F9B8">
            <w:pPr>
              <w:numPr>
                <w:ilvl w:val="0"/>
                <w:numId w:val="0"/>
              </w:numPr>
              <w:snapToGrid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（1）承诺负责员工的劳资纠纷及意外伤害的处理，如因处理不当或对采购人带来不良影响的，承担经济和法律责任。承诺的得4分，未承诺不得分。</w:t>
            </w:r>
          </w:p>
          <w:p w14:paraId="1D8E3B5F">
            <w:pPr>
              <w:numPr>
                <w:ilvl w:val="0"/>
                <w:numId w:val="0"/>
              </w:numPr>
              <w:snapToGrid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（2）承诺承担服务期间指派员工（非）工伤、疾病死亡所产生的经济赔偿责任。承诺的得4分，未承诺不得分。</w:t>
            </w:r>
          </w:p>
          <w:p w14:paraId="1C4E2084">
            <w:pPr>
              <w:numPr>
                <w:ilvl w:val="0"/>
                <w:numId w:val="0"/>
              </w:numPr>
              <w:snapToGrid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注：承诺函格式自拟。</w:t>
            </w:r>
          </w:p>
        </w:tc>
        <w:tc>
          <w:tcPr>
            <w:tcW w:w="428" w:type="pct"/>
            <w:vAlign w:val="center"/>
          </w:tcPr>
          <w:p w14:paraId="0C44F4EA">
            <w:pPr>
              <w:numPr>
                <w:ilvl w:val="0"/>
                <w:numId w:val="0"/>
              </w:numPr>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554" w:type="pct"/>
            <w:vAlign w:val="center"/>
          </w:tcPr>
          <w:p w14:paraId="32C0A5E4">
            <w:pPr>
              <w:numPr>
                <w:ilvl w:val="0"/>
                <w:numId w:val="0"/>
              </w:numPr>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客观分</w:t>
            </w:r>
          </w:p>
        </w:tc>
        <w:tc>
          <w:tcPr>
            <w:tcW w:w="923" w:type="pct"/>
            <w:vAlign w:val="center"/>
          </w:tcPr>
          <w:p w14:paraId="194424B8">
            <w:pPr>
              <w:numPr>
                <w:ilvl w:val="0"/>
                <w:numId w:val="0"/>
              </w:numPr>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相关承诺</w:t>
            </w:r>
          </w:p>
        </w:tc>
      </w:tr>
      <w:tr w14:paraId="72A2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Align w:val="center"/>
          </w:tcPr>
          <w:p w14:paraId="3EF94538">
            <w:pPr>
              <w:topLinePunct/>
              <w:snapToGrid w:val="0"/>
              <w:spacing w:line="400" w:lineRule="exact"/>
              <w:jc w:val="center"/>
              <w:outlineLvl w:val="0"/>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6</w:t>
            </w:r>
          </w:p>
        </w:tc>
        <w:tc>
          <w:tcPr>
            <w:tcW w:w="2676" w:type="pct"/>
            <w:vAlign w:val="center"/>
          </w:tcPr>
          <w:p w14:paraId="161CBDA6">
            <w:pPr>
              <w:snapToGrid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项目整体服务方案，根据</w:t>
            </w: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lang w:val="en-US" w:eastAsia="zh-CN"/>
              </w:rPr>
              <w:t>针对采购需求提供的整理服务方案</w:t>
            </w:r>
            <w:r>
              <w:rPr>
                <w:rFonts w:hint="eastAsia" w:ascii="宋体" w:hAnsi="宋体" w:eastAsia="宋体" w:cs="宋体"/>
                <w:sz w:val="24"/>
                <w:szCs w:val="24"/>
                <w:highlight w:val="none"/>
              </w:rPr>
              <w:t>内容全面合理、理解正确且具有针对性，与采购需求完全相适应的得5分；内容详细且与采购需求相适应，但存在不足的得4分；内容基本与采购需求相适应，但存在欠缺的得3分；内容存在缺项的得2分；内容与采购需求不适应的得1分；</w:t>
            </w:r>
            <w:r>
              <w:rPr>
                <w:rFonts w:hint="eastAsia" w:ascii="宋体" w:hAnsi="宋体" w:eastAsia="宋体" w:cs="宋体"/>
                <w:sz w:val="24"/>
                <w:szCs w:val="24"/>
                <w:highlight w:val="none"/>
                <w:lang w:val="zh-CN" w:eastAsia="zh-CN"/>
              </w:rPr>
              <w:t>未提供的</w:t>
            </w:r>
            <w:r>
              <w:rPr>
                <w:rFonts w:hint="eastAsia" w:ascii="宋体" w:hAnsi="宋体" w:cs="宋体"/>
                <w:sz w:val="24"/>
                <w:szCs w:val="24"/>
                <w:highlight w:val="none"/>
                <w:lang w:val="en-US" w:eastAsia="zh-CN"/>
              </w:rPr>
              <w:t>不得分。</w:t>
            </w:r>
          </w:p>
        </w:tc>
        <w:tc>
          <w:tcPr>
            <w:tcW w:w="428" w:type="pct"/>
            <w:vAlign w:val="center"/>
          </w:tcPr>
          <w:p w14:paraId="5FDC946E">
            <w:pPr>
              <w:topLinePunct/>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554" w:type="pct"/>
            <w:vAlign w:val="center"/>
          </w:tcPr>
          <w:p w14:paraId="1CE248D8">
            <w:pPr>
              <w:topLinePunct/>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c>
          <w:tcPr>
            <w:tcW w:w="923" w:type="pct"/>
            <w:vAlign w:val="center"/>
          </w:tcPr>
          <w:p w14:paraId="48D5DD0E">
            <w:pPr>
              <w:topLinePun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项目整体服务方案</w:t>
            </w:r>
          </w:p>
        </w:tc>
      </w:tr>
      <w:tr w14:paraId="5D58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Align w:val="center"/>
          </w:tcPr>
          <w:p w14:paraId="0767A927">
            <w:pPr>
              <w:topLinePunct/>
              <w:snapToGrid w:val="0"/>
              <w:spacing w:line="400" w:lineRule="exact"/>
              <w:jc w:val="center"/>
              <w:outlineLvl w:val="0"/>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7</w:t>
            </w:r>
          </w:p>
        </w:tc>
        <w:tc>
          <w:tcPr>
            <w:tcW w:w="2676" w:type="pct"/>
            <w:vAlign w:val="center"/>
          </w:tcPr>
          <w:p w14:paraId="708D5C13">
            <w:pPr>
              <w:snapToGrid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分析本项目的重难点以及应对措施</w:t>
            </w:r>
            <w:r>
              <w:rPr>
                <w:rFonts w:hint="eastAsia" w:ascii="宋体" w:hAnsi="宋体" w:eastAsia="宋体" w:cs="宋体"/>
                <w:sz w:val="24"/>
                <w:szCs w:val="24"/>
                <w:highlight w:val="none"/>
              </w:rPr>
              <w:t>内容全面合理、理解正确且具有针对性，与采购需求完全相适应的得5分；内容详细且与采购需求相适应，但存在不足的得4分；内容基本与采购需求相适应，但存在欠缺的得3分；内容存在缺项的得2分；内容与采购需求不适应的得1分；</w:t>
            </w:r>
            <w:r>
              <w:rPr>
                <w:rFonts w:hint="eastAsia" w:ascii="宋体" w:hAnsi="宋体" w:eastAsia="宋体" w:cs="宋体"/>
                <w:sz w:val="24"/>
                <w:szCs w:val="24"/>
                <w:highlight w:val="none"/>
                <w:lang w:val="zh-CN" w:eastAsia="zh-CN"/>
              </w:rPr>
              <w:t>未提供的</w:t>
            </w:r>
            <w:r>
              <w:rPr>
                <w:rFonts w:hint="eastAsia" w:ascii="宋体" w:hAnsi="宋体" w:cs="宋体"/>
                <w:sz w:val="24"/>
                <w:szCs w:val="24"/>
                <w:highlight w:val="none"/>
                <w:lang w:val="en-US" w:eastAsia="zh-CN"/>
              </w:rPr>
              <w:t>不得分。</w:t>
            </w:r>
          </w:p>
        </w:tc>
        <w:tc>
          <w:tcPr>
            <w:tcW w:w="428" w:type="pct"/>
            <w:vAlign w:val="center"/>
          </w:tcPr>
          <w:p w14:paraId="5E263E0C">
            <w:pPr>
              <w:topLinePunct/>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554" w:type="pct"/>
            <w:vAlign w:val="center"/>
          </w:tcPr>
          <w:p w14:paraId="34A8F143">
            <w:pPr>
              <w:topLinePunct/>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c>
          <w:tcPr>
            <w:tcW w:w="923" w:type="pct"/>
            <w:vAlign w:val="center"/>
          </w:tcPr>
          <w:p w14:paraId="7EF2435F">
            <w:pPr>
              <w:topLinePun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重难点分析及其应对措施</w:t>
            </w:r>
          </w:p>
        </w:tc>
      </w:tr>
      <w:tr w14:paraId="2DE5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Align w:val="center"/>
          </w:tcPr>
          <w:p w14:paraId="386B7338">
            <w:pPr>
              <w:topLinePunct/>
              <w:snapToGrid w:val="0"/>
              <w:spacing w:line="400" w:lineRule="exact"/>
              <w:jc w:val="center"/>
              <w:outlineLvl w:val="0"/>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8</w:t>
            </w:r>
          </w:p>
        </w:tc>
        <w:tc>
          <w:tcPr>
            <w:tcW w:w="2676" w:type="pct"/>
            <w:vAlign w:val="center"/>
          </w:tcPr>
          <w:p w14:paraId="0F9E99DB">
            <w:pPr>
              <w:snapToGrid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绿地养护质量管理保障体系（人员、制度）建设及落实情况</w:t>
            </w:r>
            <w:r>
              <w:rPr>
                <w:rFonts w:hint="eastAsia" w:ascii="宋体" w:hAnsi="宋体" w:eastAsia="宋体" w:cs="宋体"/>
                <w:sz w:val="24"/>
                <w:szCs w:val="24"/>
                <w:highlight w:val="none"/>
              </w:rPr>
              <w:t>内容全面合理、理解正确且具有针对性，与采购需求完全相适应的得5分；内容详细且与采购需求相适应，但存在不足的得4分；内容基本与采购需求相适应，但存在欠缺的得3分；内容存在缺项的得2分；内容与采购需求不适应的得1分；</w:t>
            </w:r>
            <w:r>
              <w:rPr>
                <w:rFonts w:hint="eastAsia" w:ascii="宋体" w:hAnsi="宋体" w:eastAsia="宋体" w:cs="宋体"/>
                <w:sz w:val="24"/>
                <w:szCs w:val="24"/>
                <w:highlight w:val="none"/>
                <w:lang w:val="zh-CN" w:eastAsia="zh-CN"/>
              </w:rPr>
              <w:t>未提供的</w:t>
            </w:r>
            <w:r>
              <w:rPr>
                <w:rFonts w:hint="eastAsia" w:ascii="宋体" w:hAnsi="宋体" w:cs="宋体"/>
                <w:sz w:val="24"/>
                <w:szCs w:val="24"/>
                <w:highlight w:val="none"/>
                <w:lang w:val="en-US" w:eastAsia="zh-CN"/>
              </w:rPr>
              <w:t>不得分。</w:t>
            </w:r>
          </w:p>
        </w:tc>
        <w:tc>
          <w:tcPr>
            <w:tcW w:w="428" w:type="pct"/>
            <w:vAlign w:val="center"/>
          </w:tcPr>
          <w:p w14:paraId="704640C9">
            <w:pPr>
              <w:topLinePunct/>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554" w:type="pct"/>
            <w:vAlign w:val="center"/>
          </w:tcPr>
          <w:p w14:paraId="60D7ABA7">
            <w:pPr>
              <w:topLinePunct/>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主观分</w:t>
            </w:r>
          </w:p>
        </w:tc>
        <w:tc>
          <w:tcPr>
            <w:tcW w:w="923" w:type="pct"/>
            <w:vAlign w:val="center"/>
          </w:tcPr>
          <w:p w14:paraId="341C9D1F">
            <w:pPr>
              <w:topLinePun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质量管理保障体系</w:t>
            </w:r>
          </w:p>
        </w:tc>
      </w:tr>
      <w:tr w14:paraId="45A9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Align w:val="center"/>
          </w:tcPr>
          <w:p w14:paraId="25B74037">
            <w:pPr>
              <w:topLinePunct/>
              <w:snapToGrid w:val="0"/>
              <w:spacing w:line="400" w:lineRule="exact"/>
              <w:jc w:val="center"/>
              <w:outlineLvl w:val="0"/>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9</w:t>
            </w:r>
          </w:p>
        </w:tc>
        <w:tc>
          <w:tcPr>
            <w:tcW w:w="2676" w:type="pct"/>
            <w:vAlign w:val="center"/>
          </w:tcPr>
          <w:p w14:paraId="196CAE18">
            <w:pPr>
              <w:snapToGrid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绿地养护安全文明作业和环境保护管理措施科学合理、全面到位性：</w:t>
            </w:r>
            <w:r>
              <w:rPr>
                <w:rFonts w:hint="eastAsia" w:ascii="宋体" w:hAnsi="宋体" w:eastAsia="宋体" w:cs="宋体"/>
                <w:sz w:val="24"/>
                <w:szCs w:val="24"/>
                <w:highlight w:val="none"/>
              </w:rPr>
              <w:t>内容全面合理、理解正确且具有针对性，与采购需求完全相适应的得5分；内容详细且与采购需求相适应，但存在不足的得4分；内容基本与采购需求相适应，但存在欠缺的得3分；内容存在缺项的得2分；内容与采购需求不适应的得1分；</w:t>
            </w:r>
            <w:r>
              <w:rPr>
                <w:rFonts w:hint="eastAsia" w:ascii="宋体" w:hAnsi="宋体" w:eastAsia="宋体" w:cs="宋体"/>
                <w:sz w:val="24"/>
                <w:szCs w:val="24"/>
                <w:highlight w:val="none"/>
                <w:lang w:val="zh-CN" w:eastAsia="zh-CN"/>
              </w:rPr>
              <w:t>未提供的</w:t>
            </w:r>
            <w:r>
              <w:rPr>
                <w:rFonts w:hint="eastAsia" w:ascii="宋体" w:hAnsi="宋体" w:cs="宋体"/>
                <w:sz w:val="24"/>
                <w:szCs w:val="24"/>
                <w:highlight w:val="none"/>
                <w:lang w:val="en-US" w:eastAsia="zh-CN"/>
              </w:rPr>
              <w:t>不得分。</w:t>
            </w:r>
          </w:p>
        </w:tc>
        <w:tc>
          <w:tcPr>
            <w:tcW w:w="428" w:type="pct"/>
            <w:vAlign w:val="center"/>
          </w:tcPr>
          <w:p w14:paraId="25C3985E">
            <w:pPr>
              <w:topLinePunct/>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554" w:type="pct"/>
            <w:vAlign w:val="center"/>
          </w:tcPr>
          <w:p w14:paraId="450B5B57">
            <w:pPr>
              <w:topLinePunct/>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主观分</w:t>
            </w:r>
          </w:p>
        </w:tc>
        <w:tc>
          <w:tcPr>
            <w:tcW w:w="923" w:type="pct"/>
            <w:vAlign w:val="center"/>
          </w:tcPr>
          <w:p w14:paraId="552AECB8">
            <w:pPr>
              <w:topLinePun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安全文明作业和环境保护管理措施</w:t>
            </w:r>
          </w:p>
        </w:tc>
      </w:tr>
      <w:tr w14:paraId="7BEC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Align w:val="center"/>
          </w:tcPr>
          <w:p w14:paraId="1C218338">
            <w:pPr>
              <w:topLinePunct/>
              <w:snapToGrid w:val="0"/>
              <w:spacing w:line="400" w:lineRule="exact"/>
              <w:jc w:val="center"/>
              <w:outlineLvl w:val="0"/>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10</w:t>
            </w:r>
          </w:p>
        </w:tc>
        <w:tc>
          <w:tcPr>
            <w:tcW w:w="2676" w:type="pct"/>
            <w:vAlign w:val="center"/>
          </w:tcPr>
          <w:p w14:paraId="612F5DFA">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现场进度计划安排合理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满足项目关键节点要求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内容全面合理且具有针对性，与采购需求完全相适应的得5分；内容详细且与采购需求相适应，但存在不足的得4分；内容基本与采购需求相适应，但存在欠缺的得3分；内容存在缺项的得2分；内容与采购需求不适应的得1分；</w:t>
            </w:r>
            <w:r>
              <w:rPr>
                <w:rFonts w:hint="eastAsia" w:ascii="宋体" w:hAnsi="宋体" w:eastAsia="宋体" w:cs="宋体"/>
                <w:sz w:val="24"/>
                <w:szCs w:val="24"/>
                <w:highlight w:val="none"/>
                <w:lang w:val="zh-CN" w:eastAsia="zh-CN"/>
              </w:rPr>
              <w:t>未提供的</w:t>
            </w:r>
            <w:r>
              <w:rPr>
                <w:rFonts w:hint="eastAsia" w:ascii="宋体" w:hAnsi="宋体" w:cs="宋体"/>
                <w:sz w:val="24"/>
                <w:szCs w:val="24"/>
                <w:highlight w:val="none"/>
                <w:lang w:val="en-US" w:eastAsia="zh-CN"/>
              </w:rPr>
              <w:t>不得分。</w:t>
            </w:r>
          </w:p>
        </w:tc>
        <w:tc>
          <w:tcPr>
            <w:tcW w:w="428" w:type="pct"/>
            <w:vAlign w:val="center"/>
          </w:tcPr>
          <w:p w14:paraId="59F48E67">
            <w:pPr>
              <w:topLinePunct/>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554" w:type="pct"/>
            <w:vAlign w:val="center"/>
          </w:tcPr>
          <w:p w14:paraId="4AF2B588">
            <w:pPr>
              <w:topLinePunct/>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主观分</w:t>
            </w:r>
          </w:p>
        </w:tc>
        <w:tc>
          <w:tcPr>
            <w:tcW w:w="923" w:type="pct"/>
            <w:vAlign w:val="center"/>
          </w:tcPr>
          <w:p w14:paraId="48B8D989">
            <w:pPr>
              <w:topLinePunct/>
              <w:jc w:val="center"/>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现场进度计划安排</w:t>
            </w:r>
          </w:p>
        </w:tc>
      </w:tr>
      <w:tr w14:paraId="76DD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Align w:val="center"/>
          </w:tcPr>
          <w:p w14:paraId="1FF14C61">
            <w:pPr>
              <w:topLinePunct/>
              <w:snapToGrid w:val="0"/>
              <w:spacing w:line="400" w:lineRule="exact"/>
              <w:jc w:val="center"/>
              <w:outlineLvl w:val="0"/>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11</w:t>
            </w:r>
          </w:p>
        </w:tc>
        <w:tc>
          <w:tcPr>
            <w:tcW w:w="2676" w:type="pct"/>
            <w:vAlign w:val="center"/>
          </w:tcPr>
          <w:p w14:paraId="22455B43">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zh-CN" w:eastAsia="zh-CN"/>
              </w:rPr>
              <w:t>针对</w:t>
            </w:r>
            <w:r>
              <w:rPr>
                <w:rFonts w:hint="eastAsia" w:ascii="宋体" w:hAnsi="宋体" w:eastAsia="宋体" w:cs="宋体"/>
                <w:sz w:val="24"/>
                <w:szCs w:val="24"/>
                <w:highlight w:val="none"/>
                <w:lang w:val="en-US" w:eastAsia="zh-CN"/>
              </w:rPr>
              <w:t>旅游高峰期间、节假日期间、重大活动保障期间园林养护的具体保证措施</w:t>
            </w:r>
            <w:r>
              <w:rPr>
                <w:rFonts w:hint="eastAsia" w:ascii="宋体" w:hAnsi="宋体" w:eastAsia="宋体" w:cs="宋体"/>
                <w:sz w:val="24"/>
                <w:szCs w:val="24"/>
                <w:highlight w:val="none"/>
              </w:rPr>
              <w:t>内容全面合理且具有针对性，</w:t>
            </w:r>
            <w:r>
              <w:rPr>
                <w:rFonts w:hint="eastAsia" w:ascii="宋体" w:hAnsi="宋体" w:eastAsia="宋体" w:cs="宋体"/>
                <w:color w:val="auto"/>
                <w:sz w:val="24"/>
                <w:szCs w:val="24"/>
                <w:highlight w:val="none"/>
                <w:lang w:val="en-US" w:eastAsia="zh-CN"/>
              </w:rPr>
              <w:t>详实有效、科学合理、可操作性强</w:t>
            </w:r>
            <w:r>
              <w:rPr>
                <w:rFonts w:hint="eastAsia" w:ascii="宋体" w:hAnsi="宋体" w:eastAsia="宋体" w:cs="宋体"/>
                <w:sz w:val="24"/>
                <w:szCs w:val="24"/>
                <w:highlight w:val="none"/>
              </w:rPr>
              <w:t>得5分；内容</w:t>
            </w:r>
            <w:r>
              <w:rPr>
                <w:rFonts w:hint="eastAsia" w:ascii="宋体" w:hAnsi="宋体" w:eastAsia="宋体" w:cs="宋体"/>
                <w:color w:val="auto"/>
                <w:sz w:val="24"/>
                <w:szCs w:val="24"/>
                <w:highlight w:val="none"/>
                <w:lang w:val="en-US" w:eastAsia="zh-CN"/>
              </w:rPr>
              <w:t>较为详细、完善、合理，措施详实、操作性较强的</w:t>
            </w:r>
            <w:r>
              <w:rPr>
                <w:rFonts w:hint="eastAsia" w:ascii="宋体" w:hAnsi="宋体" w:eastAsia="宋体" w:cs="宋体"/>
                <w:sz w:val="24"/>
                <w:szCs w:val="24"/>
                <w:highlight w:val="none"/>
              </w:rPr>
              <w:t>得4分；内容</w:t>
            </w:r>
            <w:r>
              <w:rPr>
                <w:rFonts w:hint="eastAsia" w:ascii="宋体" w:hAnsi="宋体" w:eastAsia="宋体" w:cs="宋体"/>
                <w:color w:val="auto"/>
                <w:sz w:val="24"/>
                <w:szCs w:val="24"/>
                <w:highlight w:val="none"/>
                <w:lang w:val="en-US" w:eastAsia="zh-CN"/>
              </w:rPr>
              <w:t>合理性一般的</w:t>
            </w:r>
            <w:r>
              <w:rPr>
                <w:rFonts w:hint="eastAsia" w:ascii="宋体" w:hAnsi="宋体" w:eastAsia="宋体" w:cs="宋体"/>
                <w:sz w:val="24"/>
                <w:szCs w:val="24"/>
                <w:highlight w:val="none"/>
              </w:rPr>
              <w:t>得3分；内容</w:t>
            </w:r>
            <w:r>
              <w:rPr>
                <w:rFonts w:hint="eastAsia" w:ascii="宋体" w:hAnsi="宋体" w:eastAsia="宋体" w:cs="宋体"/>
                <w:color w:val="auto"/>
                <w:sz w:val="24"/>
                <w:szCs w:val="24"/>
                <w:highlight w:val="none"/>
                <w:lang w:val="en-US" w:eastAsia="zh-CN"/>
              </w:rPr>
              <w:t>不够具体、不够合理的</w:t>
            </w:r>
            <w:r>
              <w:rPr>
                <w:rFonts w:hint="eastAsia" w:ascii="宋体" w:hAnsi="宋体" w:eastAsia="宋体" w:cs="宋体"/>
                <w:sz w:val="24"/>
                <w:szCs w:val="24"/>
                <w:highlight w:val="none"/>
              </w:rPr>
              <w:t>得2分；内容</w:t>
            </w:r>
            <w:r>
              <w:rPr>
                <w:rFonts w:hint="eastAsia" w:ascii="宋体" w:hAnsi="宋体" w:eastAsia="宋体" w:cs="宋体"/>
                <w:color w:val="auto"/>
                <w:sz w:val="24"/>
                <w:szCs w:val="24"/>
                <w:highlight w:val="none"/>
                <w:lang w:val="en-US" w:eastAsia="zh-CN"/>
              </w:rPr>
              <w:t>存在一定偏离的</w:t>
            </w:r>
            <w:r>
              <w:rPr>
                <w:rFonts w:hint="eastAsia" w:ascii="宋体" w:hAnsi="宋体" w:eastAsia="宋体" w:cs="宋体"/>
                <w:sz w:val="24"/>
                <w:szCs w:val="24"/>
                <w:highlight w:val="none"/>
              </w:rPr>
              <w:t>得1分；</w:t>
            </w:r>
            <w:r>
              <w:rPr>
                <w:rFonts w:hint="eastAsia" w:ascii="宋体" w:hAnsi="宋体" w:eastAsia="宋体" w:cs="宋体"/>
                <w:sz w:val="24"/>
                <w:szCs w:val="24"/>
                <w:highlight w:val="none"/>
                <w:lang w:val="zh-CN" w:eastAsia="zh-CN"/>
              </w:rPr>
              <w:t>未提供的</w:t>
            </w:r>
            <w:r>
              <w:rPr>
                <w:rFonts w:hint="eastAsia" w:ascii="宋体" w:hAnsi="宋体" w:cs="宋体"/>
                <w:sz w:val="24"/>
                <w:szCs w:val="24"/>
                <w:highlight w:val="none"/>
                <w:lang w:val="en-US" w:eastAsia="zh-CN"/>
              </w:rPr>
              <w:t>不得分。</w:t>
            </w:r>
          </w:p>
        </w:tc>
        <w:tc>
          <w:tcPr>
            <w:tcW w:w="428" w:type="pct"/>
            <w:vAlign w:val="center"/>
          </w:tcPr>
          <w:p w14:paraId="0AAC2F27">
            <w:pPr>
              <w:topLinePunct/>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554" w:type="pct"/>
            <w:vAlign w:val="center"/>
          </w:tcPr>
          <w:p w14:paraId="00E24398">
            <w:pPr>
              <w:topLinePunct/>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主观分</w:t>
            </w:r>
          </w:p>
        </w:tc>
        <w:tc>
          <w:tcPr>
            <w:tcW w:w="923" w:type="pct"/>
            <w:vAlign w:val="center"/>
          </w:tcPr>
          <w:p w14:paraId="464FE592">
            <w:pPr>
              <w:topLinePunct/>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具体保证措施</w:t>
            </w:r>
          </w:p>
        </w:tc>
      </w:tr>
      <w:tr w14:paraId="3EF3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Align w:val="center"/>
          </w:tcPr>
          <w:p w14:paraId="0FF7AAB3">
            <w:pPr>
              <w:topLinePunct/>
              <w:snapToGrid w:val="0"/>
              <w:spacing w:line="400" w:lineRule="exact"/>
              <w:jc w:val="center"/>
              <w:outlineLvl w:val="0"/>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12</w:t>
            </w:r>
          </w:p>
        </w:tc>
        <w:tc>
          <w:tcPr>
            <w:tcW w:w="2676" w:type="pct"/>
            <w:vAlign w:val="center"/>
          </w:tcPr>
          <w:p w14:paraId="094E91B9">
            <w:pPr>
              <w:snapToGrid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根据各养护片区制订的匹配方案科学合理、全面到位性</w:t>
            </w:r>
            <w:r>
              <w:rPr>
                <w:rFonts w:hint="eastAsia" w:ascii="宋体" w:hAnsi="宋体" w:eastAsia="宋体" w:cs="宋体"/>
                <w:sz w:val="24"/>
                <w:szCs w:val="24"/>
                <w:highlight w:val="none"/>
              </w:rPr>
              <w:t>内容全面合理、理解正确且具有针对性，与采购需求完全相适应的得5分；内容详细且与采购需求相适应，但存在不足的得4分；内容基本与采购需求相适应，但存在欠缺的得3分；内容存在缺项的得2分；内容与采购需求不适应的得1分；</w:t>
            </w:r>
            <w:r>
              <w:rPr>
                <w:rFonts w:hint="eastAsia" w:ascii="宋体" w:hAnsi="宋体" w:eastAsia="宋体" w:cs="宋体"/>
                <w:sz w:val="24"/>
                <w:szCs w:val="24"/>
                <w:highlight w:val="none"/>
                <w:lang w:val="zh-CN" w:eastAsia="zh-CN"/>
              </w:rPr>
              <w:t>未提供的</w:t>
            </w:r>
            <w:r>
              <w:rPr>
                <w:rFonts w:hint="eastAsia" w:ascii="宋体" w:hAnsi="宋体" w:cs="宋体"/>
                <w:sz w:val="24"/>
                <w:szCs w:val="24"/>
                <w:highlight w:val="none"/>
                <w:lang w:val="en-US" w:eastAsia="zh-CN"/>
              </w:rPr>
              <w:t>不得分。</w:t>
            </w:r>
          </w:p>
        </w:tc>
        <w:tc>
          <w:tcPr>
            <w:tcW w:w="428" w:type="pct"/>
            <w:vAlign w:val="center"/>
          </w:tcPr>
          <w:p w14:paraId="46D9714C">
            <w:pPr>
              <w:topLinePunct/>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554" w:type="pct"/>
            <w:vAlign w:val="center"/>
          </w:tcPr>
          <w:p w14:paraId="7F1585F2">
            <w:pPr>
              <w:topLinePunct/>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主观分</w:t>
            </w:r>
          </w:p>
        </w:tc>
        <w:tc>
          <w:tcPr>
            <w:tcW w:w="923" w:type="pct"/>
            <w:vAlign w:val="center"/>
          </w:tcPr>
          <w:p w14:paraId="23BA6730">
            <w:pPr>
              <w:topLinePun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养护片区制订的匹配方案</w:t>
            </w:r>
          </w:p>
        </w:tc>
      </w:tr>
      <w:tr w14:paraId="3083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Align w:val="center"/>
          </w:tcPr>
          <w:p w14:paraId="577ED8E8">
            <w:pPr>
              <w:topLinePunct/>
              <w:snapToGrid w:val="0"/>
              <w:spacing w:line="400" w:lineRule="exact"/>
              <w:jc w:val="center"/>
              <w:outlineLvl w:val="0"/>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13</w:t>
            </w:r>
          </w:p>
        </w:tc>
        <w:tc>
          <w:tcPr>
            <w:tcW w:w="2676" w:type="pct"/>
            <w:vAlign w:val="center"/>
          </w:tcPr>
          <w:p w14:paraId="19AF1029">
            <w:pPr>
              <w:snapToGrid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合同开始执行和合同到期后移交平稳过渡计划实施方案</w:t>
            </w:r>
            <w:r>
              <w:rPr>
                <w:rFonts w:hint="eastAsia" w:ascii="宋体" w:hAnsi="宋体" w:eastAsia="宋体" w:cs="宋体"/>
                <w:sz w:val="24"/>
                <w:szCs w:val="24"/>
                <w:highlight w:val="none"/>
              </w:rPr>
              <w:t>内容全面合理、理解正确且具有针对性，与采购需求完全相适应的得5分；内容详细且与采购需求相适应，但存在不足的得4分；内容基本与采购需求相适应，但存在欠缺的得3分；内容存在缺项的得2分；内容与采购需求不适应的得1分；</w:t>
            </w:r>
            <w:r>
              <w:rPr>
                <w:rFonts w:hint="eastAsia" w:ascii="宋体" w:hAnsi="宋体" w:eastAsia="宋体" w:cs="宋体"/>
                <w:sz w:val="24"/>
                <w:szCs w:val="24"/>
                <w:highlight w:val="none"/>
                <w:lang w:val="zh-CN" w:eastAsia="zh-CN"/>
              </w:rPr>
              <w:t>未提供的</w:t>
            </w:r>
            <w:r>
              <w:rPr>
                <w:rFonts w:hint="eastAsia" w:ascii="宋体" w:hAnsi="宋体" w:cs="宋体"/>
                <w:sz w:val="24"/>
                <w:szCs w:val="24"/>
                <w:highlight w:val="none"/>
                <w:lang w:val="en-US" w:eastAsia="zh-CN"/>
              </w:rPr>
              <w:t>不得分。</w:t>
            </w:r>
          </w:p>
        </w:tc>
        <w:tc>
          <w:tcPr>
            <w:tcW w:w="428" w:type="pct"/>
            <w:vAlign w:val="center"/>
          </w:tcPr>
          <w:p w14:paraId="0DD5E69B">
            <w:pPr>
              <w:topLinePunct/>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554" w:type="pct"/>
            <w:vAlign w:val="center"/>
          </w:tcPr>
          <w:p w14:paraId="0E6E7DD1">
            <w:pPr>
              <w:topLinePunct/>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主观分</w:t>
            </w:r>
          </w:p>
        </w:tc>
        <w:tc>
          <w:tcPr>
            <w:tcW w:w="923" w:type="pct"/>
            <w:vAlign w:val="center"/>
          </w:tcPr>
          <w:p w14:paraId="6A808C2C">
            <w:pPr>
              <w:topLinePun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移交平稳过渡计划实施方案</w:t>
            </w:r>
          </w:p>
        </w:tc>
      </w:tr>
      <w:tr w14:paraId="474D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Align w:val="center"/>
          </w:tcPr>
          <w:p w14:paraId="29995C85">
            <w:pPr>
              <w:topLinePunct/>
              <w:snapToGrid w:val="0"/>
              <w:spacing w:line="400" w:lineRule="exact"/>
              <w:jc w:val="center"/>
              <w:outlineLvl w:val="0"/>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14</w:t>
            </w:r>
          </w:p>
        </w:tc>
        <w:tc>
          <w:tcPr>
            <w:tcW w:w="2676" w:type="pct"/>
            <w:vAlign w:val="center"/>
          </w:tcPr>
          <w:p w14:paraId="42BD11FC">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b w:val="0"/>
                <w:bCs w:val="0"/>
                <w:color w:val="auto"/>
                <w:kern w:val="2"/>
                <w:sz w:val="24"/>
                <w:szCs w:val="24"/>
                <w:highlight w:val="none"/>
                <w:lang w:val="en-US" w:eastAsia="zh-CN" w:bidi="ar-SA"/>
              </w:rPr>
              <w:t>根据服务难易程度安排人员合理，重点突出，做到定人、定岗、定责任、定时间的得</w:t>
            </w: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分；人员安排较为科学合理的得3分；人员安排部分完善合理的得2分；人员安排力量较为薄弱的得1分；</w:t>
            </w:r>
            <w:r>
              <w:rPr>
                <w:rFonts w:hint="eastAsia" w:ascii="宋体" w:hAnsi="宋体" w:eastAsia="宋体" w:cs="宋体"/>
                <w:sz w:val="24"/>
                <w:szCs w:val="24"/>
                <w:highlight w:val="none"/>
                <w:lang w:val="zh-CN" w:eastAsia="zh-CN"/>
              </w:rPr>
              <w:t>未提供的</w:t>
            </w:r>
            <w:r>
              <w:rPr>
                <w:rFonts w:hint="eastAsia" w:ascii="宋体" w:hAnsi="宋体" w:cs="宋体"/>
                <w:sz w:val="24"/>
                <w:szCs w:val="24"/>
                <w:highlight w:val="none"/>
                <w:lang w:val="en-US" w:eastAsia="zh-CN"/>
              </w:rPr>
              <w:t>不得分。</w:t>
            </w:r>
          </w:p>
        </w:tc>
        <w:tc>
          <w:tcPr>
            <w:tcW w:w="428" w:type="pct"/>
            <w:vAlign w:val="center"/>
          </w:tcPr>
          <w:p w14:paraId="1D43643E">
            <w:pPr>
              <w:topLinePunct/>
              <w:snapToGrid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554" w:type="pct"/>
            <w:vAlign w:val="center"/>
          </w:tcPr>
          <w:p w14:paraId="269030DA">
            <w:pPr>
              <w:topLinePunct/>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主观分</w:t>
            </w:r>
          </w:p>
        </w:tc>
        <w:tc>
          <w:tcPr>
            <w:tcW w:w="923" w:type="pct"/>
            <w:vAlign w:val="center"/>
          </w:tcPr>
          <w:p w14:paraId="768092C5">
            <w:pPr>
              <w:topLinePun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人员安排方面</w:t>
            </w:r>
          </w:p>
        </w:tc>
      </w:tr>
      <w:tr w14:paraId="4DDB0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Align w:val="center"/>
          </w:tcPr>
          <w:p w14:paraId="465DA2FE">
            <w:pPr>
              <w:topLinePunct/>
              <w:snapToGrid w:val="0"/>
              <w:spacing w:line="400" w:lineRule="exact"/>
              <w:jc w:val="center"/>
              <w:outlineLvl w:val="0"/>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15</w:t>
            </w:r>
          </w:p>
        </w:tc>
        <w:tc>
          <w:tcPr>
            <w:tcW w:w="2676" w:type="pct"/>
            <w:vAlign w:val="center"/>
          </w:tcPr>
          <w:p w14:paraId="03C2DFC0">
            <w:pPr>
              <w:snapToGrid w:val="0"/>
              <w:spacing w:line="36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zh-CN" w:eastAsia="zh-CN" w:bidi="ar-SA"/>
              </w:rPr>
              <w:t>投标人提供的考核监督制度、奖惩制度科学合理、具体完善的得</w:t>
            </w:r>
            <w:r>
              <w:rPr>
                <w:rFonts w:hint="eastAsia" w:ascii="宋体" w:hAnsi="宋体" w:eastAsia="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zh-CN" w:eastAsia="zh-CN" w:bidi="ar-SA"/>
              </w:rPr>
              <w:t>分；较为科学合理的得</w:t>
            </w:r>
            <w:r>
              <w:rPr>
                <w:rFonts w:hint="eastAsia" w:ascii="宋体" w:hAnsi="宋体" w:eastAsia="宋体" w:cs="宋体"/>
                <w:b w:val="0"/>
                <w:bCs w:val="0"/>
                <w:color w:val="auto"/>
                <w:kern w:val="2"/>
                <w:sz w:val="24"/>
                <w:szCs w:val="24"/>
                <w:highlight w:val="none"/>
                <w:lang w:val="en-US" w:eastAsia="zh-CN" w:bidi="ar-SA"/>
              </w:rPr>
              <w:t>3分；相对简单的得2分；</w:t>
            </w:r>
            <w:r>
              <w:rPr>
                <w:rFonts w:hint="eastAsia" w:ascii="宋体" w:hAnsi="宋体" w:eastAsia="宋体" w:cs="宋体"/>
                <w:b w:val="0"/>
                <w:bCs w:val="0"/>
                <w:color w:val="auto"/>
                <w:kern w:val="2"/>
                <w:sz w:val="24"/>
                <w:szCs w:val="24"/>
                <w:highlight w:val="none"/>
                <w:lang w:val="zh-CN" w:eastAsia="zh-CN" w:bidi="ar-SA"/>
              </w:rPr>
              <w:t>制度落实较差的得1分；</w:t>
            </w:r>
            <w:r>
              <w:rPr>
                <w:rFonts w:hint="eastAsia" w:ascii="宋体" w:hAnsi="宋体" w:eastAsia="宋体" w:cs="宋体"/>
                <w:sz w:val="24"/>
                <w:szCs w:val="24"/>
                <w:highlight w:val="none"/>
                <w:lang w:val="zh-CN" w:eastAsia="zh-CN"/>
              </w:rPr>
              <w:t>未提供的</w:t>
            </w:r>
            <w:r>
              <w:rPr>
                <w:rFonts w:hint="eastAsia" w:ascii="宋体" w:hAnsi="宋体" w:cs="宋体"/>
                <w:sz w:val="24"/>
                <w:szCs w:val="24"/>
                <w:highlight w:val="none"/>
                <w:lang w:val="en-US" w:eastAsia="zh-CN"/>
              </w:rPr>
              <w:t>不得分。</w:t>
            </w:r>
          </w:p>
        </w:tc>
        <w:tc>
          <w:tcPr>
            <w:tcW w:w="428" w:type="pct"/>
            <w:vAlign w:val="center"/>
          </w:tcPr>
          <w:p w14:paraId="6E0CABBD">
            <w:pPr>
              <w:snapToGrid w:val="0"/>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554" w:type="pct"/>
            <w:vAlign w:val="center"/>
          </w:tcPr>
          <w:p w14:paraId="0CA9E21E">
            <w:pPr>
              <w:snapToGrid w:val="0"/>
              <w:spacing w:line="36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主观分</w:t>
            </w:r>
          </w:p>
        </w:tc>
        <w:tc>
          <w:tcPr>
            <w:tcW w:w="923" w:type="pct"/>
            <w:vAlign w:val="center"/>
          </w:tcPr>
          <w:p w14:paraId="5B1ABC7E">
            <w:pPr>
              <w:snapToGrid w:val="0"/>
              <w:spacing w:line="36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zh-CN" w:eastAsia="zh-CN" w:bidi="ar-SA"/>
              </w:rPr>
              <w:t>考核监督制度、奖惩制度</w:t>
            </w:r>
          </w:p>
        </w:tc>
      </w:tr>
      <w:tr w14:paraId="1565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Align w:val="center"/>
          </w:tcPr>
          <w:p w14:paraId="2DE540ED">
            <w:pPr>
              <w:topLinePunct/>
              <w:snapToGrid w:val="0"/>
              <w:spacing w:line="400" w:lineRule="exact"/>
              <w:jc w:val="center"/>
              <w:outlineLvl w:val="0"/>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16</w:t>
            </w:r>
          </w:p>
        </w:tc>
        <w:tc>
          <w:tcPr>
            <w:tcW w:w="2676" w:type="pct"/>
            <w:vAlign w:val="center"/>
          </w:tcPr>
          <w:p w14:paraId="16D92150">
            <w:pPr>
              <w:spacing w:line="360" w:lineRule="auto"/>
              <w:outlineLvl w:val="0"/>
              <w:rPr>
                <w:rFonts w:hint="eastAsia" w:ascii="宋体" w:hAnsi="宋体" w:eastAsia="宋体" w:cs="宋体"/>
                <w:b w:val="0"/>
                <w:bCs w:val="0"/>
                <w:color w:val="auto"/>
                <w:kern w:val="2"/>
                <w:sz w:val="24"/>
                <w:szCs w:val="24"/>
                <w:highlight w:val="none"/>
                <w:lang w:val="zh-CN" w:eastAsia="zh-CN" w:bidi="ar-SA"/>
              </w:rPr>
            </w:pPr>
            <w:r>
              <w:rPr>
                <w:rFonts w:hint="eastAsia" w:cs="宋体"/>
                <w:b w:val="0"/>
                <w:bCs w:val="0"/>
                <w:color w:val="auto"/>
                <w:kern w:val="2"/>
                <w:sz w:val="24"/>
                <w:szCs w:val="24"/>
                <w:highlight w:val="none"/>
                <w:lang w:val="zh-CN" w:eastAsia="zh-CN" w:bidi="ar-SA"/>
              </w:rPr>
              <w:t>投标人提供的</w:t>
            </w:r>
            <w:r>
              <w:rPr>
                <w:rFonts w:hint="eastAsia" w:ascii="宋体" w:hAnsi="宋体" w:eastAsia="宋体" w:cs="宋体"/>
                <w:b w:val="0"/>
                <w:bCs w:val="0"/>
                <w:color w:val="auto"/>
                <w:kern w:val="2"/>
                <w:sz w:val="24"/>
                <w:szCs w:val="24"/>
                <w:highlight w:val="none"/>
                <w:lang w:val="zh-CN" w:eastAsia="zh-CN" w:bidi="ar-SA"/>
              </w:rPr>
              <w:t>针对本项目实施的内部考核办法及管理制度科学合理</w:t>
            </w:r>
            <w:r>
              <w:rPr>
                <w:rFonts w:hint="eastAsia" w:ascii="宋体" w:hAnsi="宋体" w:cs="宋体"/>
                <w:b w:val="0"/>
                <w:bCs w:val="0"/>
                <w:color w:val="auto"/>
                <w:kern w:val="2"/>
                <w:sz w:val="24"/>
                <w:szCs w:val="24"/>
                <w:highlight w:val="none"/>
                <w:lang w:val="zh-CN" w:eastAsia="zh-CN" w:bidi="ar-SA"/>
              </w:rPr>
              <w:t>、具体完善</w:t>
            </w:r>
            <w:r>
              <w:rPr>
                <w:rFonts w:hint="eastAsia" w:ascii="宋体" w:hAnsi="宋体" w:eastAsia="宋体" w:cs="宋体"/>
                <w:b w:val="0"/>
                <w:bCs w:val="0"/>
                <w:color w:val="auto"/>
                <w:kern w:val="2"/>
                <w:sz w:val="24"/>
                <w:szCs w:val="24"/>
                <w:highlight w:val="none"/>
                <w:lang w:val="zh-CN" w:eastAsia="zh-CN" w:bidi="ar-SA"/>
              </w:rPr>
              <w:t>的得</w:t>
            </w: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zh-CN" w:eastAsia="zh-CN" w:bidi="ar-SA"/>
              </w:rPr>
              <w:t>分</w:t>
            </w:r>
            <w:r>
              <w:rPr>
                <w:rFonts w:hint="eastAsia" w:ascii="宋体" w:hAnsi="宋体" w:cs="宋体"/>
                <w:b w:val="0"/>
                <w:bCs w:val="0"/>
                <w:color w:val="auto"/>
                <w:kern w:val="2"/>
                <w:sz w:val="24"/>
                <w:szCs w:val="24"/>
                <w:highlight w:val="none"/>
                <w:lang w:val="zh-CN" w:eastAsia="zh-CN" w:bidi="ar-SA"/>
              </w:rPr>
              <w:t>；较为科学合理的得</w:t>
            </w:r>
            <w:r>
              <w:rPr>
                <w:rFonts w:hint="eastAsia" w:ascii="宋体" w:hAnsi="宋体" w:cs="宋体"/>
                <w:b w:val="0"/>
                <w:bCs w:val="0"/>
                <w:color w:val="auto"/>
                <w:kern w:val="2"/>
                <w:sz w:val="24"/>
                <w:szCs w:val="24"/>
                <w:highlight w:val="none"/>
                <w:lang w:val="en-US" w:eastAsia="zh-CN" w:bidi="ar-SA"/>
              </w:rPr>
              <w:t>3分；相对简单的得2分；</w:t>
            </w:r>
            <w:r>
              <w:rPr>
                <w:rFonts w:hint="eastAsia" w:ascii="宋体" w:hAnsi="宋体" w:cs="宋体"/>
                <w:b w:val="0"/>
                <w:bCs w:val="0"/>
                <w:color w:val="auto"/>
                <w:kern w:val="2"/>
                <w:sz w:val="24"/>
                <w:szCs w:val="24"/>
                <w:highlight w:val="none"/>
                <w:lang w:val="zh-CN" w:eastAsia="zh-CN" w:bidi="ar-SA"/>
              </w:rPr>
              <w:t>制度落实较差的得</w:t>
            </w:r>
            <w:r>
              <w:rPr>
                <w:rFonts w:hint="eastAsia" w:ascii="宋体" w:hAnsi="宋体" w:eastAsia="宋体" w:cs="宋体"/>
                <w:b w:val="0"/>
                <w:bCs w:val="0"/>
                <w:color w:val="auto"/>
                <w:kern w:val="2"/>
                <w:sz w:val="24"/>
                <w:szCs w:val="24"/>
                <w:highlight w:val="none"/>
                <w:lang w:val="zh-CN" w:eastAsia="zh-CN" w:bidi="ar-SA"/>
              </w:rPr>
              <w:t>1分</w:t>
            </w:r>
            <w:r>
              <w:rPr>
                <w:rFonts w:hint="eastAsia" w:ascii="宋体" w:hAnsi="宋体" w:cs="宋体"/>
                <w:b w:val="0"/>
                <w:bCs w:val="0"/>
                <w:color w:val="auto"/>
                <w:kern w:val="2"/>
                <w:sz w:val="24"/>
                <w:szCs w:val="24"/>
                <w:highlight w:val="none"/>
                <w:lang w:val="zh-CN" w:eastAsia="zh-CN" w:bidi="ar-SA"/>
              </w:rPr>
              <w:t>；</w:t>
            </w:r>
            <w:r>
              <w:rPr>
                <w:rFonts w:hint="eastAsia" w:ascii="宋体" w:hAnsi="宋体" w:eastAsia="宋体" w:cs="宋体"/>
                <w:sz w:val="24"/>
                <w:szCs w:val="24"/>
                <w:highlight w:val="none"/>
                <w:lang w:val="zh-CN" w:eastAsia="zh-CN"/>
              </w:rPr>
              <w:t>未提供的</w:t>
            </w:r>
            <w:r>
              <w:rPr>
                <w:rFonts w:hint="eastAsia" w:ascii="宋体" w:hAnsi="宋体" w:cs="宋体"/>
                <w:sz w:val="24"/>
                <w:szCs w:val="24"/>
                <w:highlight w:val="none"/>
                <w:lang w:val="en-US" w:eastAsia="zh-CN"/>
              </w:rPr>
              <w:t>不得分。</w:t>
            </w:r>
          </w:p>
        </w:tc>
        <w:tc>
          <w:tcPr>
            <w:tcW w:w="428" w:type="pct"/>
            <w:vAlign w:val="center"/>
          </w:tcPr>
          <w:p w14:paraId="77C422DE">
            <w:pPr>
              <w:pStyle w:val="26"/>
              <w:spacing w:line="360" w:lineRule="auto"/>
              <w:ind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4</w:t>
            </w:r>
          </w:p>
        </w:tc>
        <w:tc>
          <w:tcPr>
            <w:tcW w:w="554" w:type="pct"/>
            <w:vAlign w:val="center"/>
          </w:tcPr>
          <w:p w14:paraId="3E1D775D">
            <w:pPr>
              <w:spacing w:line="360" w:lineRule="auto"/>
              <w:ind w:firstLine="0" w:firstLine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923" w:type="pct"/>
            <w:vAlign w:val="center"/>
          </w:tcPr>
          <w:p w14:paraId="7A35896A">
            <w:pPr>
              <w:pStyle w:val="26"/>
              <w:spacing w:line="360" w:lineRule="auto"/>
              <w:ind w:firstLine="0" w:firstLineChars="0"/>
              <w:jc w:val="center"/>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内部考核办法及管理制度</w:t>
            </w:r>
          </w:p>
        </w:tc>
      </w:tr>
      <w:tr w14:paraId="5077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Align w:val="center"/>
          </w:tcPr>
          <w:p w14:paraId="0B8061EC">
            <w:pPr>
              <w:topLinePunct/>
              <w:snapToGrid w:val="0"/>
              <w:spacing w:line="400" w:lineRule="exact"/>
              <w:jc w:val="center"/>
              <w:outlineLvl w:val="0"/>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17</w:t>
            </w:r>
          </w:p>
        </w:tc>
        <w:tc>
          <w:tcPr>
            <w:tcW w:w="2676" w:type="pct"/>
            <w:vAlign w:val="center"/>
          </w:tcPr>
          <w:p w14:paraId="3E10DE61">
            <w:pPr>
              <w:spacing w:line="360" w:lineRule="auto"/>
              <w:outlineLvl w:val="0"/>
              <w:rPr>
                <w:rFonts w:hint="eastAsia"/>
                <w:highlight w:val="none"/>
                <w:lang w:val="zh-CN" w:eastAsia="zh-CN"/>
              </w:rPr>
            </w:pPr>
            <w:r>
              <w:rPr>
                <w:rFonts w:hint="eastAsia" w:ascii="Times New Roman" w:hAnsi="Times New Roman" w:eastAsia="宋体" w:cs="宋体"/>
                <w:b w:val="0"/>
                <w:bCs w:val="0"/>
                <w:color w:val="auto"/>
                <w:kern w:val="2"/>
                <w:sz w:val="24"/>
                <w:szCs w:val="24"/>
                <w:highlight w:val="none"/>
                <w:lang w:val="en-US" w:eastAsia="zh-CN" w:bidi="ar-SA"/>
              </w:rPr>
              <w:t>投标人提供的针对本项目</w:t>
            </w:r>
            <w:r>
              <w:rPr>
                <w:rFonts w:hint="eastAsia" w:ascii="Times New Roman" w:hAnsi="Times New Roman" w:eastAsia="宋体" w:cs="宋体"/>
                <w:b w:val="0"/>
                <w:bCs w:val="0"/>
                <w:color w:val="auto"/>
                <w:kern w:val="2"/>
                <w:sz w:val="24"/>
                <w:szCs w:val="24"/>
                <w:highlight w:val="none"/>
                <w:lang w:val="zh-CN" w:eastAsia="zh-CN" w:bidi="ar-SA"/>
              </w:rPr>
              <w:t>拟投入设备设施</w:t>
            </w:r>
            <w:r>
              <w:rPr>
                <w:rFonts w:hint="eastAsia" w:ascii="Times New Roman" w:hAnsi="Times New Roman" w:eastAsia="宋体" w:cs="宋体"/>
                <w:b w:val="0"/>
                <w:bCs w:val="0"/>
                <w:color w:val="auto"/>
                <w:kern w:val="2"/>
                <w:sz w:val="24"/>
                <w:szCs w:val="24"/>
                <w:highlight w:val="none"/>
                <w:lang w:val="en-US" w:eastAsia="zh-CN" w:bidi="ar-SA"/>
              </w:rPr>
              <w:t>方案</w:t>
            </w:r>
            <w:r>
              <w:rPr>
                <w:rFonts w:hint="eastAsia" w:ascii="宋体" w:hAnsi="宋体" w:eastAsia="宋体" w:cs="宋体"/>
                <w:b w:val="0"/>
                <w:bCs w:val="0"/>
                <w:color w:val="auto"/>
                <w:kern w:val="2"/>
                <w:sz w:val="24"/>
                <w:szCs w:val="24"/>
                <w:highlight w:val="none"/>
                <w:lang w:val="zh-CN" w:eastAsia="zh-CN" w:bidi="ar-SA"/>
              </w:rPr>
              <w:t>科学合理</w:t>
            </w:r>
            <w:r>
              <w:rPr>
                <w:rFonts w:hint="eastAsia" w:ascii="宋体" w:hAnsi="宋体" w:cs="宋体"/>
                <w:b w:val="0"/>
                <w:bCs w:val="0"/>
                <w:color w:val="auto"/>
                <w:kern w:val="2"/>
                <w:sz w:val="24"/>
                <w:szCs w:val="24"/>
                <w:highlight w:val="none"/>
                <w:lang w:val="zh-CN" w:eastAsia="zh-CN" w:bidi="ar-SA"/>
              </w:rPr>
              <w:t>、具体完善</w:t>
            </w:r>
            <w:r>
              <w:rPr>
                <w:rFonts w:hint="eastAsia" w:ascii="宋体" w:hAnsi="宋体" w:eastAsia="宋体" w:cs="宋体"/>
                <w:b w:val="0"/>
                <w:bCs w:val="0"/>
                <w:color w:val="auto"/>
                <w:kern w:val="2"/>
                <w:sz w:val="24"/>
                <w:szCs w:val="24"/>
                <w:highlight w:val="none"/>
                <w:lang w:val="zh-CN" w:eastAsia="zh-CN" w:bidi="ar-SA"/>
              </w:rPr>
              <w:t>的得</w:t>
            </w: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zh-CN" w:eastAsia="zh-CN" w:bidi="ar-SA"/>
              </w:rPr>
              <w:t>分</w:t>
            </w:r>
            <w:r>
              <w:rPr>
                <w:rFonts w:hint="eastAsia" w:ascii="宋体" w:hAnsi="宋体" w:cs="宋体"/>
                <w:b w:val="0"/>
                <w:bCs w:val="0"/>
                <w:color w:val="auto"/>
                <w:kern w:val="2"/>
                <w:sz w:val="24"/>
                <w:szCs w:val="24"/>
                <w:highlight w:val="none"/>
                <w:lang w:val="zh-CN" w:eastAsia="zh-CN" w:bidi="ar-SA"/>
              </w:rPr>
              <w:t>；较为科学合理的得</w:t>
            </w:r>
            <w:r>
              <w:rPr>
                <w:rFonts w:hint="eastAsia" w:ascii="宋体" w:hAnsi="宋体" w:cs="宋体"/>
                <w:b w:val="0"/>
                <w:bCs w:val="0"/>
                <w:color w:val="auto"/>
                <w:kern w:val="2"/>
                <w:sz w:val="24"/>
                <w:szCs w:val="24"/>
                <w:highlight w:val="none"/>
                <w:lang w:val="en-US" w:eastAsia="zh-CN" w:bidi="ar-SA"/>
              </w:rPr>
              <w:t>3分；相对简单的得2分；</w:t>
            </w:r>
            <w:r>
              <w:rPr>
                <w:rFonts w:hint="eastAsia" w:ascii="宋体" w:hAnsi="宋体" w:cs="宋体"/>
                <w:b w:val="0"/>
                <w:bCs w:val="0"/>
                <w:color w:val="auto"/>
                <w:kern w:val="2"/>
                <w:sz w:val="24"/>
                <w:szCs w:val="24"/>
                <w:highlight w:val="none"/>
                <w:lang w:val="zh-CN" w:eastAsia="zh-CN" w:bidi="ar-SA"/>
              </w:rPr>
              <w:t>制度落实较差的得</w:t>
            </w:r>
            <w:r>
              <w:rPr>
                <w:rFonts w:hint="eastAsia" w:ascii="宋体" w:hAnsi="宋体" w:eastAsia="宋体" w:cs="宋体"/>
                <w:b w:val="0"/>
                <w:bCs w:val="0"/>
                <w:color w:val="auto"/>
                <w:kern w:val="2"/>
                <w:sz w:val="24"/>
                <w:szCs w:val="24"/>
                <w:highlight w:val="none"/>
                <w:lang w:val="zh-CN" w:eastAsia="zh-CN" w:bidi="ar-SA"/>
              </w:rPr>
              <w:t>1分</w:t>
            </w:r>
            <w:r>
              <w:rPr>
                <w:rFonts w:hint="eastAsia" w:ascii="宋体" w:hAnsi="宋体" w:cs="宋体"/>
                <w:b w:val="0"/>
                <w:bCs w:val="0"/>
                <w:color w:val="auto"/>
                <w:kern w:val="2"/>
                <w:sz w:val="24"/>
                <w:szCs w:val="24"/>
                <w:highlight w:val="none"/>
                <w:lang w:val="zh-CN" w:eastAsia="zh-CN" w:bidi="ar-SA"/>
              </w:rPr>
              <w:t>；</w:t>
            </w:r>
            <w:r>
              <w:rPr>
                <w:rFonts w:hint="eastAsia" w:ascii="宋体" w:hAnsi="宋体" w:eastAsia="宋体" w:cs="宋体"/>
                <w:sz w:val="24"/>
                <w:szCs w:val="24"/>
                <w:highlight w:val="none"/>
                <w:lang w:val="zh-CN" w:eastAsia="zh-CN"/>
              </w:rPr>
              <w:t>未提供的</w:t>
            </w:r>
            <w:r>
              <w:rPr>
                <w:rFonts w:hint="eastAsia" w:ascii="宋体" w:hAnsi="宋体" w:cs="宋体"/>
                <w:sz w:val="24"/>
                <w:szCs w:val="24"/>
                <w:highlight w:val="none"/>
                <w:lang w:val="en-US" w:eastAsia="zh-CN"/>
              </w:rPr>
              <w:t>不得分。</w:t>
            </w:r>
          </w:p>
        </w:tc>
        <w:tc>
          <w:tcPr>
            <w:tcW w:w="428" w:type="pct"/>
            <w:vAlign w:val="center"/>
          </w:tcPr>
          <w:p w14:paraId="689E7E7C">
            <w:pPr>
              <w:spacing w:line="360" w:lineRule="auto"/>
              <w:jc w:val="center"/>
              <w:outlineLvl w:val="0"/>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554" w:type="pct"/>
            <w:vAlign w:val="center"/>
          </w:tcPr>
          <w:p w14:paraId="6C1481E4">
            <w:pPr>
              <w:spacing w:line="360" w:lineRule="auto"/>
              <w:jc w:val="center"/>
              <w:outlineLvl w:val="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923" w:type="pct"/>
            <w:vAlign w:val="center"/>
          </w:tcPr>
          <w:p w14:paraId="4ADB9994">
            <w:pPr>
              <w:spacing w:line="360" w:lineRule="auto"/>
              <w:jc w:val="center"/>
              <w:outlineLvl w:val="0"/>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拟投入设备设施</w:t>
            </w:r>
            <w:r>
              <w:rPr>
                <w:rFonts w:hint="eastAsia" w:ascii="宋体" w:hAnsi="宋体" w:eastAsia="宋体" w:cs="宋体"/>
                <w:b w:val="0"/>
                <w:bCs w:val="0"/>
                <w:color w:val="auto"/>
                <w:kern w:val="2"/>
                <w:sz w:val="24"/>
                <w:szCs w:val="24"/>
                <w:highlight w:val="none"/>
                <w:lang w:val="en-US" w:eastAsia="zh-CN" w:bidi="ar-SA"/>
              </w:rPr>
              <w:t>方案</w:t>
            </w:r>
          </w:p>
        </w:tc>
      </w:tr>
      <w:tr w14:paraId="5643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Align w:val="center"/>
          </w:tcPr>
          <w:p w14:paraId="7DBE8AFF">
            <w:pPr>
              <w:topLinePunct/>
              <w:spacing w:line="360" w:lineRule="auto"/>
              <w:jc w:val="center"/>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p>
        </w:tc>
        <w:tc>
          <w:tcPr>
            <w:tcW w:w="2676" w:type="pct"/>
            <w:vAlign w:val="center"/>
          </w:tcPr>
          <w:p w14:paraId="273D954B">
            <w:pPr>
              <w:snapToGrid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投入本项目的组员</w:t>
            </w:r>
            <w:r>
              <w:rPr>
                <w:rFonts w:hint="eastAsia" w:ascii="宋体" w:hAnsi="宋体" w:eastAsia="宋体" w:cs="宋体"/>
                <w:sz w:val="24"/>
                <w:szCs w:val="24"/>
                <w:highlight w:val="none"/>
                <w:lang w:val="zh-CN" w:eastAsia="zh-CN"/>
              </w:rPr>
              <w:t>专业素质和专业结构及养护劳动人员力量的投入情况合理科学、完整全面的得</w:t>
            </w:r>
            <w:r>
              <w:rPr>
                <w:rFonts w:hint="eastAsia" w:ascii="宋体" w:hAnsi="宋体" w:eastAsia="宋体" w:cs="宋体"/>
                <w:sz w:val="24"/>
                <w:szCs w:val="24"/>
                <w:highlight w:val="none"/>
                <w:lang w:val="en-US" w:eastAsia="zh-CN"/>
              </w:rPr>
              <w:t>5分；投入情况</w:t>
            </w:r>
            <w:r>
              <w:rPr>
                <w:rFonts w:hint="eastAsia" w:ascii="宋体" w:hAnsi="宋体" w:cs="宋体"/>
                <w:sz w:val="24"/>
                <w:szCs w:val="24"/>
                <w:highlight w:val="none"/>
                <w:lang w:val="en-US" w:eastAsia="zh-CN"/>
              </w:rPr>
              <w:t>较为</w:t>
            </w:r>
            <w:r>
              <w:rPr>
                <w:rFonts w:hint="eastAsia" w:ascii="宋体" w:hAnsi="宋体" w:eastAsia="宋体" w:cs="宋体"/>
                <w:sz w:val="24"/>
                <w:szCs w:val="24"/>
                <w:highlight w:val="none"/>
                <w:lang w:val="en-US" w:eastAsia="zh-CN"/>
              </w:rPr>
              <w:t>合理科学、完整全面的得4分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一般的得3分；相对简单的得2分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较差的得1分；</w:t>
            </w:r>
            <w:r>
              <w:rPr>
                <w:rFonts w:hint="eastAsia" w:ascii="宋体" w:hAnsi="宋体" w:eastAsia="宋体" w:cs="宋体"/>
                <w:sz w:val="24"/>
                <w:szCs w:val="24"/>
                <w:highlight w:val="none"/>
                <w:lang w:val="zh-CN" w:eastAsia="zh-CN"/>
              </w:rPr>
              <w:t>未提供的</w:t>
            </w:r>
            <w:r>
              <w:rPr>
                <w:rFonts w:hint="eastAsia" w:ascii="宋体" w:hAnsi="宋体" w:cs="宋体"/>
                <w:sz w:val="24"/>
                <w:szCs w:val="24"/>
                <w:highlight w:val="none"/>
                <w:lang w:val="en-US" w:eastAsia="zh-CN"/>
              </w:rPr>
              <w:t>不得分。</w:t>
            </w:r>
          </w:p>
        </w:tc>
        <w:tc>
          <w:tcPr>
            <w:tcW w:w="428" w:type="pct"/>
            <w:vAlign w:val="center"/>
          </w:tcPr>
          <w:p w14:paraId="7727BBD7">
            <w:pPr>
              <w:topLinePunct/>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554" w:type="pct"/>
            <w:vAlign w:val="center"/>
          </w:tcPr>
          <w:p w14:paraId="6209EDB5">
            <w:pPr>
              <w:topLinePunct/>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主观分</w:t>
            </w:r>
          </w:p>
        </w:tc>
        <w:tc>
          <w:tcPr>
            <w:tcW w:w="923" w:type="pct"/>
            <w:vAlign w:val="center"/>
          </w:tcPr>
          <w:p w14:paraId="310FC8E0">
            <w:pPr>
              <w:topLinePunct/>
              <w:jc w:val="center"/>
              <w:rPr>
                <w:rFonts w:hint="eastAsia" w:ascii="宋体" w:hAnsi="宋体" w:eastAsia="宋体" w:cs="宋体"/>
                <w:sz w:val="24"/>
                <w:szCs w:val="24"/>
                <w:highlight w:val="none"/>
              </w:rPr>
            </w:pPr>
            <w:r>
              <w:rPr>
                <w:rFonts w:hint="eastAsia" w:ascii="宋体" w:hAnsi="宋体" w:eastAsia="宋体" w:cs="宋体"/>
                <w:b w:val="0"/>
                <w:bCs w:val="0"/>
                <w:color w:val="auto"/>
                <w:kern w:val="2"/>
                <w:sz w:val="24"/>
                <w:szCs w:val="24"/>
                <w:highlight w:val="none"/>
                <w:lang w:val="en-US" w:eastAsia="zh-CN" w:bidi="ar-SA"/>
              </w:rPr>
              <w:t>投入本项目的组员（除项目负责人</w:t>
            </w:r>
            <w:r>
              <w:rPr>
                <w:rFonts w:hint="eastAsia" w:cs="宋体"/>
                <w:b w:val="0"/>
                <w:bCs w:val="0"/>
                <w:color w:val="auto"/>
                <w:kern w:val="2"/>
                <w:sz w:val="24"/>
                <w:szCs w:val="24"/>
                <w:highlight w:val="none"/>
                <w:lang w:val="en-US" w:eastAsia="zh-CN" w:bidi="ar-SA"/>
              </w:rPr>
              <w:t>外</w:t>
            </w:r>
            <w:r>
              <w:rPr>
                <w:rFonts w:hint="eastAsia" w:ascii="宋体" w:hAnsi="宋体" w:eastAsia="宋体" w:cs="宋体"/>
                <w:b w:val="0"/>
                <w:bCs w:val="0"/>
                <w:color w:val="auto"/>
                <w:kern w:val="2"/>
                <w:sz w:val="24"/>
                <w:szCs w:val="24"/>
                <w:highlight w:val="none"/>
                <w:lang w:val="en-US" w:eastAsia="zh-CN" w:bidi="ar-SA"/>
              </w:rPr>
              <w:t>）</w:t>
            </w:r>
          </w:p>
        </w:tc>
      </w:tr>
      <w:tr w14:paraId="0793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Align w:val="center"/>
          </w:tcPr>
          <w:p w14:paraId="6D333E28">
            <w:pPr>
              <w:topLinePunct/>
              <w:spacing w:line="360" w:lineRule="auto"/>
              <w:jc w:val="center"/>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w:t>
            </w:r>
          </w:p>
        </w:tc>
        <w:tc>
          <w:tcPr>
            <w:tcW w:w="2676" w:type="pct"/>
            <w:vAlign w:val="center"/>
          </w:tcPr>
          <w:p w14:paraId="5836A3B2">
            <w:pPr>
              <w:snapToGrid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val="zh-CN" w:eastAsia="zh-CN"/>
              </w:rPr>
              <w:t>提供有效的合理化建议和改进措施的得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eastAsia="zh-CN"/>
              </w:rPr>
              <w:t>分；建议和改进措施</w:t>
            </w:r>
            <w:r>
              <w:rPr>
                <w:rFonts w:hint="eastAsia" w:ascii="宋体" w:hAnsi="宋体" w:eastAsia="宋体" w:cs="宋体"/>
                <w:sz w:val="24"/>
                <w:szCs w:val="24"/>
                <w:highlight w:val="none"/>
                <w:lang w:val="en-US" w:eastAsia="zh-CN"/>
              </w:rPr>
              <w:t>较为合理的</w:t>
            </w:r>
            <w:r>
              <w:rPr>
                <w:rFonts w:hint="eastAsia" w:ascii="宋体" w:hAnsi="宋体" w:eastAsia="宋体" w:cs="宋体"/>
                <w:sz w:val="24"/>
                <w:szCs w:val="24"/>
                <w:highlight w:val="none"/>
                <w:lang w:val="zh-CN" w:eastAsia="zh-CN"/>
              </w:rPr>
              <w:t>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val="zh-CN" w:eastAsia="zh-CN"/>
              </w:rPr>
              <w:t>建议和改进措施表现一般的得</w:t>
            </w:r>
            <w:r>
              <w:rPr>
                <w:rFonts w:hint="eastAsia" w:ascii="宋体" w:hAnsi="宋体" w:eastAsia="宋体" w:cs="宋体"/>
                <w:sz w:val="24"/>
                <w:szCs w:val="24"/>
                <w:highlight w:val="none"/>
                <w:lang w:val="en-US" w:eastAsia="zh-CN"/>
              </w:rPr>
              <w:t>3分；相对简单的得2分；</w:t>
            </w:r>
            <w:r>
              <w:rPr>
                <w:rFonts w:hint="eastAsia" w:ascii="宋体" w:hAnsi="宋体" w:eastAsia="宋体" w:cs="宋体"/>
                <w:sz w:val="24"/>
                <w:szCs w:val="24"/>
                <w:highlight w:val="none"/>
                <w:lang w:val="en-US" w:eastAsia="zh-CN"/>
              </w:rPr>
              <w:t>较差的得1分；</w:t>
            </w:r>
            <w:r>
              <w:rPr>
                <w:rFonts w:hint="eastAsia" w:ascii="宋体" w:hAnsi="宋体" w:eastAsia="宋体" w:cs="宋体"/>
                <w:sz w:val="24"/>
                <w:szCs w:val="24"/>
                <w:highlight w:val="none"/>
                <w:lang w:val="zh-CN" w:eastAsia="zh-CN"/>
              </w:rPr>
              <w:t>未提供的</w:t>
            </w:r>
            <w:r>
              <w:rPr>
                <w:rFonts w:hint="eastAsia" w:ascii="宋体" w:hAnsi="宋体" w:cs="宋体"/>
                <w:sz w:val="24"/>
                <w:szCs w:val="24"/>
                <w:highlight w:val="none"/>
                <w:lang w:val="en-US" w:eastAsia="zh-CN"/>
              </w:rPr>
              <w:t>不得分。</w:t>
            </w:r>
          </w:p>
        </w:tc>
        <w:tc>
          <w:tcPr>
            <w:tcW w:w="428" w:type="pct"/>
            <w:vAlign w:val="center"/>
          </w:tcPr>
          <w:p w14:paraId="4547E302">
            <w:pPr>
              <w:topLinePunct/>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554" w:type="pct"/>
            <w:vAlign w:val="center"/>
          </w:tcPr>
          <w:p w14:paraId="2C973CF6">
            <w:pPr>
              <w:topLinePunct/>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c>
          <w:tcPr>
            <w:tcW w:w="923" w:type="pct"/>
            <w:vAlign w:val="center"/>
          </w:tcPr>
          <w:p w14:paraId="460A6519">
            <w:pPr>
              <w:topLinePunct/>
              <w:spacing w:line="360" w:lineRule="auto"/>
              <w:jc w:val="center"/>
              <w:outlineLvl w:val="0"/>
              <w:rPr>
                <w:rFonts w:hint="eastAsia" w:ascii="宋体" w:hAnsi="宋体" w:eastAsia="宋体" w:cs="宋体"/>
                <w:sz w:val="24"/>
                <w:szCs w:val="24"/>
                <w:highlight w:val="none"/>
              </w:rPr>
            </w:pPr>
            <w:r>
              <w:rPr>
                <w:rFonts w:hint="eastAsia" w:ascii="宋体" w:hAnsi="宋体" w:eastAsia="宋体" w:cs="宋体"/>
                <w:sz w:val="24"/>
                <w:szCs w:val="24"/>
                <w:highlight w:val="none"/>
                <w:lang w:val="zh-CN" w:eastAsia="zh-CN"/>
              </w:rPr>
              <w:t>合理化建议和改进措施</w:t>
            </w:r>
          </w:p>
        </w:tc>
      </w:tr>
      <w:tr w14:paraId="614C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417" w:type="pct"/>
            <w:vAlign w:val="center"/>
          </w:tcPr>
          <w:p w14:paraId="13B544F5">
            <w:pPr>
              <w:topLinePunct/>
              <w:spacing w:line="360" w:lineRule="auto"/>
              <w:jc w:val="center"/>
              <w:outlineLvl w:val="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w:t>
            </w:r>
          </w:p>
        </w:tc>
        <w:tc>
          <w:tcPr>
            <w:tcW w:w="2676" w:type="pct"/>
            <w:vAlign w:val="center"/>
          </w:tcPr>
          <w:p w14:paraId="4B4574DE">
            <w:pPr>
              <w:snapToGrid w:val="0"/>
              <w:spacing w:line="360" w:lineRule="auto"/>
              <w:jc w:val="left"/>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有效投标报价的最低价作为评标基准价，其最低报价为满分；按［投标报价得分=（评标基准价/投标报价）*10］的计算公式计算。</w:t>
            </w:r>
          </w:p>
          <w:p w14:paraId="3B3E406B">
            <w:pPr>
              <w:snapToGrid w:val="0"/>
              <w:spacing w:line="360" w:lineRule="auto"/>
              <w:jc w:val="left"/>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评标过程中，不得去掉报价中的最高报价和最低报价。</w:t>
            </w:r>
          </w:p>
          <w:p w14:paraId="5C523EC2">
            <w:pPr>
              <w:snapToGrid w:val="0"/>
              <w:spacing w:line="360" w:lineRule="auto"/>
              <w:jc w:val="left"/>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注：本项目专门面向小微企业，故不做政策价格调整。</w:t>
            </w:r>
          </w:p>
        </w:tc>
        <w:tc>
          <w:tcPr>
            <w:tcW w:w="428" w:type="pct"/>
            <w:vAlign w:val="center"/>
          </w:tcPr>
          <w:p w14:paraId="175800D1">
            <w:pPr>
              <w:topLinePunct/>
              <w:snapToGrid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p>
        </w:tc>
        <w:tc>
          <w:tcPr>
            <w:tcW w:w="554" w:type="pct"/>
            <w:vAlign w:val="center"/>
          </w:tcPr>
          <w:p w14:paraId="4B75C828">
            <w:pPr>
              <w:topLinePunct/>
              <w:snapToGrid w:val="0"/>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客</w:t>
            </w:r>
            <w:r>
              <w:rPr>
                <w:rFonts w:hint="eastAsia" w:ascii="宋体" w:hAnsi="宋体" w:eastAsia="宋体" w:cs="宋体"/>
                <w:sz w:val="24"/>
                <w:szCs w:val="24"/>
                <w:highlight w:val="none"/>
                <w:lang w:eastAsia="zh-CN"/>
              </w:rPr>
              <w:t>观分</w:t>
            </w:r>
          </w:p>
        </w:tc>
        <w:tc>
          <w:tcPr>
            <w:tcW w:w="923" w:type="pct"/>
            <w:vAlign w:val="center"/>
          </w:tcPr>
          <w:p w14:paraId="29CFC160">
            <w:pPr>
              <w:topLinePunct/>
              <w:spacing w:line="360" w:lineRule="auto"/>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r>
    </w:tbl>
    <w:p w14:paraId="5090EFF0">
      <w:pPr>
        <w:snapToGrid w:val="0"/>
        <w:spacing w:line="360" w:lineRule="auto"/>
        <w:rPr>
          <w:rFonts w:cs="宋体" w:asciiTheme="majorEastAsia" w:hAnsiTheme="majorEastAsia" w:eastAsiaTheme="majorEastAsia"/>
          <w:b/>
          <w:sz w:val="24"/>
          <w:highlight w:val="none"/>
        </w:rPr>
      </w:pPr>
      <w:r>
        <w:rPr>
          <w:rFonts w:hint="eastAsia" w:cs="宋体" w:asciiTheme="majorEastAsia" w:hAnsiTheme="majorEastAsia" w:eastAsiaTheme="majorEastAsia"/>
          <w:sz w:val="24"/>
          <w:highlight w:val="none"/>
          <w:shd w:val="clear" w:color="auto" w:fill="FFFFFF"/>
        </w:rPr>
        <w:t> *</w:t>
      </w:r>
      <w:r>
        <w:rPr>
          <w:rFonts w:hint="eastAsia" w:cs="宋体" w:asciiTheme="majorEastAsia" w:hAnsiTheme="majorEastAsia" w:eastAsiaTheme="majorEastAsia"/>
          <w:b/>
          <w:sz w:val="24"/>
          <w:highlight w:val="none"/>
        </w:rPr>
        <w:t>备注：</w:t>
      </w:r>
      <w:r>
        <w:rPr>
          <w:rFonts w:hint="eastAsia" w:cs="宋体" w:asciiTheme="majorEastAsia" w:hAnsiTheme="majorEastAsia" w:eastAsiaTheme="majorEastAsia"/>
          <w:sz w:val="24"/>
          <w:highlight w:val="none"/>
        </w:rPr>
        <w:t>投标人编制投标文件（商务技术文件部分）时，建议按此目录（序号和内容）提供评标标准相应的商务技术资料。 </w:t>
      </w:r>
    </w:p>
    <w:p w14:paraId="542D8B8B">
      <w:pPr>
        <w:snapToGrid w:val="0"/>
        <w:spacing w:line="360" w:lineRule="auto"/>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rPr>
        <w:t>一、评标方法</w:t>
      </w:r>
    </w:p>
    <w:p w14:paraId="1A538C28">
      <w:pPr>
        <w:snapToGrid w:val="0"/>
        <w:spacing w:line="360" w:lineRule="auto"/>
        <w:ind w:firstLine="472" w:firstLineChars="196"/>
        <w:rPr>
          <w:rFonts w:cs="宋体" w:asciiTheme="majorEastAsia" w:hAnsiTheme="majorEastAsia" w:eastAsiaTheme="majorEastAsia"/>
          <w:kern w:val="0"/>
          <w:sz w:val="24"/>
          <w:highlight w:val="none"/>
        </w:rPr>
      </w:pPr>
      <w:r>
        <w:rPr>
          <w:rFonts w:hint="eastAsia" w:cs="宋体" w:asciiTheme="majorEastAsia" w:hAnsiTheme="majorEastAsia" w:eastAsiaTheme="majorEastAsia"/>
          <w:b/>
          <w:kern w:val="0"/>
          <w:sz w:val="24"/>
          <w:highlight w:val="none"/>
        </w:rPr>
        <w:t>1.本项目采用综合评分法。</w:t>
      </w:r>
      <w:r>
        <w:rPr>
          <w:rFonts w:hint="eastAsia" w:cs="宋体" w:asciiTheme="majorEastAsia" w:hAnsiTheme="majorEastAsia" w:eastAsiaTheme="majorEastAsia"/>
          <w:kern w:val="0"/>
          <w:sz w:val="24"/>
          <w:highlight w:val="none"/>
        </w:rPr>
        <w:t>综合评分法，是指投标文件满足招标文件全部实质性要求，且按照评审因素的量化指标评审得分最高的投标人为中标候选人的评标方法。</w:t>
      </w:r>
    </w:p>
    <w:p w14:paraId="3A2CBDD0">
      <w:pPr>
        <w:snapToGrid w:val="0"/>
        <w:spacing w:line="360" w:lineRule="auto"/>
        <w:rPr>
          <w:rFonts w:cs="宋体" w:asciiTheme="majorEastAsia" w:hAnsiTheme="majorEastAsia" w:eastAsiaTheme="majorEastAsia"/>
          <w:kern w:val="0"/>
          <w:sz w:val="24"/>
          <w:highlight w:val="none"/>
        </w:rPr>
      </w:pPr>
      <w:r>
        <w:rPr>
          <w:rFonts w:hint="eastAsia" w:cs="宋体" w:asciiTheme="majorEastAsia" w:hAnsiTheme="majorEastAsia" w:eastAsiaTheme="majorEastAsia"/>
          <w:b/>
          <w:sz w:val="24"/>
          <w:highlight w:val="none"/>
        </w:rPr>
        <w:t>二、评标标准</w:t>
      </w:r>
    </w:p>
    <w:p w14:paraId="1FFB3A80">
      <w:pPr>
        <w:snapToGrid w:val="0"/>
        <w:spacing w:line="360" w:lineRule="auto"/>
        <w:ind w:firstLine="472" w:firstLineChars="196"/>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rPr>
        <w:t>2.评标标准：</w:t>
      </w:r>
      <w:r>
        <w:rPr>
          <w:rFonts w:hint="eastAsia" w:cs="宋体" w:asciiTheme="majorEastAsia" w:hAnsiTheme="majorEastAsia" w:eastAsiaTheme="majorEastAsia"/>
          <w:kern w:val="0"/>
          <w:sz w:val="24"/>
          <w:highlight w:val="none"/>
        </w:rPr>
        <w:t>见评标办法前附表。</w:t>
      </w:r>
    </w:p>
    <w:p w14:paraId="542B0C68">
      <w:pPr>
        <w:snapToGrid w:val="0"/>
        <w:spacing w:line="360" w:lineRule="auto"/>
        <w:outlineLvl w:val="0"/>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rPr>
        <w:t>三、评标程序</w:t>
      </w:r>
    </w:p>
    <w:p w14:paraId="03C5F83E">
      <w:pPr>
        <w:snapToGrid w:val="0"/>
        <w:spacing w:line="360" w:lineRule="auto"/>
        <w:ind w:firstLine="472" w:firstLineChars="196"/>
        <w:rPr>
          <w:rFonts w:cs="宋体" w:asciiTheme="majorEastAsia" w:hAnsiTheme="majorEastAsia" w:eastAsiaTheme="majorEastAsia"/>
          <w:kern w:val="0"/>
          <w:sz w:val="24"/>
          <w:highlight w:val="none"/>
        </w:rPr>
      </w:pPr>
      <w:r>
        <w:rPr>
          <w:rFonts w:hint="eastAsia" w:cs="宋体" w:asciiTheme="majorEastAsia" w:hAnsiTheme="majorEastAsia" w:eastAsiaTheme="majorEastAsia"/>
          <w:b/>
          <w:kern w:val="0"/>
          <w:sz w:val="24"/>
          <w:highlight w:val="none"/>
        </w:rPr>
        <w:t>3.1符合性审查。</w:t>
      </w:r>
      <w:r>
        <w:rPr>
          <w:rFonts w:hint="eastAsia" w:cs="宋体" w:asciiTheme="majorEastAsia" w:hAnsiTheme="majorEastAsia" w:eastAsiaTheme="majorEastAsia"/>
          <w:kern w:val="0"/>
          <w:sz w:val="24"/>
          <w:highlight w:val="none"/>
        </w:rPr>
        <w:t>评标委员会应当对符合资格的投标人的投标文件进行符合性审查，以确定其是否满足招标文件的实质性要求。不满足招标文件的实质性要求的，投标无效。</w:t>
      </w:r>
    </w:p>
    <w:p w14:paraId="7711CD7D">
      <w:pPr>
        <w:snapToGrid w:val="0"/>
        <w:spacing w:line="360" w:lineRule="auto"/>
        <w:ind w:firstLine="472" w:firstLineChars="196"/>
        <w:rPr>
          <w:rFonts w:cs="宋体" w:asciiTheme="majorEastAsia" w:hAnsiTheme="majorEastAsia" w:eastAsiaTheme="majorEastAsia"/>
          <w:kern w:val="0"/>
          <w:sz w:val="24"/>
          <w:highlight w:val="none"/>
        </w:rPr>
      </w:pPr>
      <w:r>
        <w:rPr>
          <w:rFonts w:hint="eastAsia" w:cs="宋体" w:asciiTheme="majorEastAsia" w:hAnsiTheme="majorEastAsia" w:eastAsiaTheme="majorEastAsia"/>
          <w:b/>
          <w:kern w:val="0"/>
          <w:sz w:val="24"/>
          <w:highlight w:val="none"/>
        </w:rPr>
        <w:t>3.2比较与评价。</w:t>
      </w:r>
      <w:r>
        <w:rPr>
          <w:rFonts w:hint="eastAsia" w:cs="宋体" w:asciiTheme="majorEastAsia" w:hAnsiTheme="majorEastAsia" w:eastAsiaTheme="majorEastAsia"/>
          <w:kern w:val="0"/>
          <w:sz w:val="24"/>
          <w:highlight w:val="none"/>
        </w:rPr>
        <w:t>评标委员会应当按照招标文件中规定的评标方法和标准，对符合性审查合格的投标文件进行商务和技术评估，综合比较与评价。</w:t>
      </w:r>
    </w:p>
    <w:p w14:paraId="1B2FC973">
      <w:pPr>
        <w:snapToGrid w:val="0"/>
        <w:spacing w:line="360" w:lineRule="auto"/>
        <w:ind w:firstLine="472" w:firstLineChars="196"/>
        <w:rPr>
          <w:rFonts w:cs="宋体" w:asciiTheme="majorEastAsia" w:hAnsiTheme="majorEastAsia" w:eastAsiaTheme="majorEastAsia"/>
          <w:kern w:val="0"/>
          <w:sz w:val="24"/>
          <w:highlight w:val="none"/>
        </w:rPr>
      </w:pPr>
      <w:r>
        <w:rPr>
          <w:rFonts w:hint="eastAsia" w:cs="宋体" w:asciiTheme="majorEastAsia" w:hAnsiTheme="majorEastAsia" w:eastAsiaTheme="majorEastAsia"/>
          <w:b/>
          <w:kern w:val="0"/>
          <w:sz w:val="24"/>
          <w:highlight w:val="none"/>
        </w:rPr>
        <w:t>3.3汇总商务技术得分。</w:t>
      </w:r>
      <w:r>
        <w:rPr>
          <w:rFonts w:hint="eastAsia" w:cs="宋体" w:asciiTheme="majorEastAsia" w:hAnsiTheme="majorEastAsia" w:eastAsiaTheme="majorEastAsia"/>
          <w:kern w:val="0"/>
          <w:sz w:val="24"/>
          <w:highlight w:val="none"/>
        </w:rPr>
        <w:t>评标委员会各成员应当独立对每个投标人的商务和技术文件进行评价，并汇总商务技术得分情况。</w:t>
      </w:r>
    </w:p>
    <w:p w14:paraId="501CB7D9">
      <w:pPr>
        <w:snapToGrid w:val="0"/>
        <w:spacing w:line="360" w:lineRule="auto"/>
        <w:ind w:firstLine="472" w:firstLineChars="196"/>
        <w:rPr>
          <w:rFonts w:cs="宋体" w:asciiTheme="majorEastAsia" w:hAnsiTheme="majorEastAsia" w:eastAsiaTheme="majorEastAsia"/>
          <w:b/>
          <w:kern w:val="0"/>
          <w:sz w:val="24"/>
          <w:highlight w:val="none"/>
        </w:rPr>
      </w:pPr>
      <w:r>
        <w:rPr>
          <w:rFonts w:hint="eastAsia" w:cs="宋体" w:asciiTheme="majorEastAsia" w:hAnsiTheme="majorEastAsia" w:eastAsiaTheme="majorEastAsia"/>
          <w:b/>
          <w:kern w:val="0"/>
          <w:sz w:val="24"/>
          <w:highlight w:val="none"/>
        </w:rPr>
        <w:t>3.4报价评审。</w:t>
      </w:r>
    </w:p>
    <w:p w14:paraId="5A7D653F">
      <w:pPr>
        <w:pStyle w:val="133"/>
        <w:snapToGrid w:val="0"/>
        <w:spacing w:before="0"/>
        <w:ind w:firstLine="508" w:firstLineChars="212"/>
        <w:rPr>
          <w:rFonts w:cs="宋体" w:asciiTheme="majorEastAsia" w:hAnsiTheme="majorEastAsia" w:eastAsiaTheme="majorEastAsia"/>
          <w:kern w:val="0"/>
          <w:szCs w:val="24"/>
          <w:highlight w:val="none"/>
        </w:rPr>
      </w:pPr>
      <w:r>
        <w:rPr>
          <w:rFonts w:hint="eastAsia" w:cs="宋体" w:asciiTheme="majorEastAsia" w:hAnsiTheme="majorEastAsia" w:eastAsiaTheme="majorEastAsia"/>
          <w:kern w:val="0"/>
          <w:szCs w:val="24"/>
          <w:highlight w:val="none"/>
        </w:rPr>
        <w:t>3.4.1投标文件报价出现前后不一致的，按照下列规定修正：</w:t>
      </w:r>
    </w:p>
    <w:p w14:paraId="6D8BBFBE">
      <w:pPr>
        <w:pStyle w:val="133"/>
        <w:snapToGrid w:val="0"/>
        <w:spacing w:before="0"/>
        <w:ind w:firstLine="480"/>
        <w:rPr>
          <w:rFonts w:cs="宋体" w:asciiTheme="majorEastAsia" w:hAnsiTheme="majorEastAsia" w:eastAsiaTheme="majorEastAsia"/>
          <w:kern w:val="0"/>
          <w:szCs w:val="24"/>
          <w:highlight w:val="none"/>
        </w:rPr>
      </w:pPr>
      <w:r>
        <w:rPr>
          <w:rFonts w:hint="eastAsia" w:cs="宋体" w:asciiTheme="majorEastAsia" w:hAnsiTheme="majorEastAsia" w:eastAsiaTheme="majorEastAsia"/>
          <w:kern w:val="0"/>
          <w:szCs w:val="24"/>
          <w:highlight w:val="none"/>
        </w:rPr>
        <w:t>3.4.1.1投标文件中开标一览表(报价表)内容与投标文件中相应内容不一致的，以开标一览表(报价表)为准；</w:t>
      </w:r>
    </w:p>
    <w:p w14:paraId="43B77009">
      <w:pPr>
        <w:pStyle w:val="133"/>
        <w:snapToGrid w:val="0"/>
        <w:spacing w:before="0"/>
        <w:ind w:firstLine="480"/>
        <w:rPr>
          <w:rFonts w:cs="宋体" w:asciiTheme="majorEastAsia" w:hAnsiTheme="majorEastAsia" w:eastAsiaTheme="majorEastAsia"/>
          <w:kern w:val="0"/>
          <w:szCs w:val="24"/>
          <w:highlight w:val="none"/>
        </w:rPr>
      </w:pPr>
      <w:r>
        <w:rPr>
          <w:rFonts w:hint="eastAsia" w:cs="宋体" w:asciiTheme="majorEastAsia" w:hAnsiTheme="majorEastAsia" w:eastAsiaTheme="majorEastAsia"/>
          <w:kern w:val="0"/>
          <w:szCs w:val="24"/>
          <w:highlight w:val="none"/>
        </w:rPr>
        <w:t>3.4.1.2大写金额和小写金额不一致的，以大写金额为准；</w:t>
      </w:r>
    </w:p>
    <w:p w14:paraId="2ACBEC11">
      <w:pPr>
        <w:pStyle w:val="133"/>
        <w:snapToGrid w:val="0"/>
        <w:spacing w:before="0"/>
        <w:ind w:firstLine="480"/>
        <w:rPr>
          <w:rFonts w:cs="宋体" w:asciiTheme="majorEastAsia" w:hAnsiTheme="majorEastAsia" w:eastAsiaTheme="majorEastAsia"/>
          <w:kern w:val="0"/>
          <w:szCs w:val="24"/>
          <w:highlight w:val="none"/>
        </w:rPr>
      </w:pPr>
      <w:r>
        <w:rPr>
          <w:rFonts w:hint="eastAsia" w:cs="宋体" w:asciiTheme="majorEastAsia" w:hAnsiTheme="majorEastAsia" w:eastAsiaTheme="majorEastAsia"/>
          <w:kern w:val="0"/>
          <w:szCs w:val="24"/>
          <w:highlight w:val="none"/>
        </w:rPr>
        <w:t>3.4.1.3单价金额小数点或者百分比有明显错位的，以开标一览表的总价为准，并修改单价；</w:t>
      </w:r>
    </w:p>
    <w:p w14:paraId="658C11C6">
      <w:pPr>
        <w:pStyle w:val="133"/>
        <w:snapToGrid w:val="0"/>
        <w:spacing w:before="0"/>
        <w:ind w:firstLine="480"/>
        <w:rPr>
          <w:rFonts w:cs="宋体" w:asciiTheme="majorEastAsia" w:hAnsiTheme="majorEastAsia" w:eastAsiaTheme="majorEastAsia"/>
          <w:kern w:val="0"/>
          <w:szCs w:val="24"/>
          <w:highlight w:val="none"/>
        </w:rPr>
      </w:pPr>
      <w:r>
        <w:rPr>
          <w:rFonts w:hint="eastAsia" w:cs="宋体" w:asciiTheme="majorEastAsia" w:hAnsiTheme="majorEastAsia" w:eastAsiaTheme="majorEastAsia"/>
          <w:kern w:val="0"/>
          <w:szCs w:val="24"/>
          <w:highlight w:val="none"/>
        </w:rPr>
        <w:t>3.4.1.4总价金额与按单价汇总金额不一致的，以单价金额计算结果为准。</w:t>
      </w:r>
    </w:p>
    <w:p w14:paraId="7E8D7765">
      <w:pPr>
        <w:pStyle w:val="133"/>
        <w:snapToGrid w:val="0"/>
        <w:spacing w:before="0"/>
        <w:ind w:firstLine="480"/>
        <w:rPr>
          <w:rFonts w:cs="宋体" w:asciiTheme="majorEastAsia" w:hAnsiTheme="majorEastAsia" w:eastAsiaTheme="majorEastAsia"/>
          <w:kern w:val="0"/>
          <w:szCs w:val="24"/>
          <w:highlight w:val="none"/>
        </w:rPr>
      </w:pPr>
      <w:r>
        <w:rPr>
          <w:rFonts w:hint="eastAsia" w:cs="宋体" w:asciiTheme="majorEastAsia" w:hAnsiTheme="majorEastAsia" w:eastAsiaTheme="majorEastAsia"/>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7CF34DE9">
      <w:pPr>
        <w:snapToGrid w:val="0"/>
        <w:spacing w:line="360" w:lineRule="auto"/>
        <w:ind w:firstLine="480" w:firstLineChars="200"/>
        <w:jc w:val="left"/>
        <w:rPr>
          <w:rFonts w:cs="宋体" w:asciiTheme="majorEastAsia" w:hAnsiTheme="majorEastAsia" w:eastAsiaTheme="majorEastAsia"/>
          <w:kern w:val="0"/>
          <w:sz w:val="24"/>
          <w:highlight w:val="none"/>
        </w:rPr>
      </w:pPr>
      <w:r>
        <w:rPr>
          <w:rFonts w:hint="eastAsia" w:cs="宋体" w:asciiTheme="majorEastAsia" w:hAnsiTheme="majorEastAsia" w:eastAsiaTheme="majorEastAsia"/>
          <w:kern w:val="0"/>
          <w:sz w:val="24"/>
          <w:highlight w:val="none"/>
        </w:rPr>
        <w:t>3.4.2投标文件出现不是唯一的、有选择性投标报价的，投标无效。</w:t>
      </w:r>
    </w:p>
    <w:p w14:paraId="7C3BC4FC">
      <w:pPr>
        <w:snapToGrid w:val="0"/>
        <w:spacing w:line="360" w:lineRule="auto"/>
        <w:ind w:firstLine="480" w:firstLineChars="200"/>
        <w:jc w:val="left"/>
        <w:rPr>
          <w:rFonts w:cs="宋体" w:asciiTheme="majorEastAsia" w:hAnsiTheme="majorEastAsia" w:eastAsiaTheme="majorEastAsia"/>
          <w:kern w:val="0"/>
          <w:sz w:val="24"/>
          <w:highlight w:val="none"/>
        </w:rPr>
      </w:pPr>
      <w:r>
        <w:rPr>
          <w:rFonts w:hint="eastAsia" w:cs="宋体" w:asciiTheme="majorEastAsia" w:hAnsiTheme="majorEastAsia" w:eastAsiaTheme="majorEastAsia"/>
          <w:kern w:val="0"/>
          <w:sz w:val="24"/>
          <w:highlight w:val="none"/>
        </w:rPr>
        <w:t>3.4.3投标报价超过招标文件中规定的预算金额或者最高限价的，投标无效。</w:t>
      </w:r>
    </w:p>
    <w:p w14:paraId="40B7224B">
      <w:pPr>
        <w:pStyle w:val="133"/>
        <w:snapToGrid w:val="0"/>
        <w:spacing w:before="0"/>
        <w:ind w:firstLine="480"/>
        <w:rPr>
          <w:rFonts w:cs="宋体" w:asciiTheme="majorEastAsia" w:hAnsiTheme="majorEastAsia" w:eastAsiaTheme="majorEastAsia"/>
          <w:kern w:val="0"/>
          <w:szCs w:val="24"/>
          <w:highlight w:val="none"/>
        </w:rPr>
      </w:pPr>
      <w:r>
        <w:rPr>
          <w:rFonts w:hint="eastAsia" w:cs="宋体" w:asciiTheme="majorEastAsia" w:hAnsiTheme="majorEastAsia" w:eastAsiaTheme="majorEastAsia"/>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C8C3735">
      <w:pPr>
        <w:pStyle w:val="133"/>
        <w:snapToGrid w:val="0"/>
        <w:spacing w:before="0"/>
        <w:ind w:firstLine="480"/>
        <w:rPr>
          <w:rFonts w:cs="宋体" w:asciiTheme="majorEastAsia" w:hAnsiTheme="majorEastAsia" w:eastAsiaTheme="majorEastAsia"/>
          <w:kern w:val="0"/>
          <w:szCs w:val="24"/>
          <w:highlight w:val="none"/>
        </w:rPr>
      </w:pPr>
      <w:r>
        <w:rPr>
          <w:rFonts w:hint="eastAsia" w:cs="宋体" w:asciiTheme="majorEastAsia" w:hAnsiTheme="majorEastAsia" w:eastAsiaTheme="majorEastAsia"/>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E8C1520">
      <w:pPr>
        <w:spacing w:line="360" w:lineRule="auto"/>
        <w:ind w:firstLine="482" w:firstLineChars="200"/>
        <w:rPr>
          <w:rFonts w:ascii="宋体" w:hAnsi="宋体" w:cs="宋体"/>
          <w:color w:val="auto"/>
          <w:kern w:val="0"/>
          <w:sz w:val="24"/>
          <w:highlight w:val="none"/>
        </w:rPr>
      </w:pPr>
      <w:r>
        <w:rPr>
          <w:rFonts w:hint="eastAsia" w:cs="宋体" w:asciiTheme="majorEastAsia" w:hAnsiTheme="majorEastAsia" w:eastAsiaTheme="majorEastAsia"/>
          <w:b/>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5B945939">
      <w:pPr>
        <w:spacing w:line="360" w:lineRule="auto"/>
        <w:ind w:firstLine="480" w:firstLineChars="200"/>
        <w:rPr>
          <w:rFonts w:cs="宋体" w:asciiTheme="majorEastAsia" w:hAnsiTheme="majorEastAsia" w:eastAsiaTheme="majorEastAsia"/>
          <w:b/>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E11D3F7">
      <w:pPr>
        <w:snapToGrid w:val="0"/>
        <w:spacing w:line="360" w:lineRule="auto"/>
        <w:ind w:firstLine="472" w:firstLineChars="196"/>
        <w:rPr>
          <w:rFonts w:cs="宋体" w:asciiTheme="majorEastAsia" w:hAnsiTheme="majorEastAsia" w:eastAsiaTheme="majorEastAsia"/>
          <w:kern w:val="0"/>
          <w:sz w:val="24"/>
          <w:highlight w:val="none"/>
        </w:rPr>
      </w:pPr>
      <w:r>
        <w:rPr>
          <w:rFonts w:hint="eastAsia" w:cs="宋体" w:asciiTheme="majorEastAsia" w:hAnsiTheme="majorEastAsia" w:eastAsiaTheme="majorEastAsia"/>
          <w:b/>
          <w:kern w:val="0"/>
          <w:sz w:val="24"/>
          <w:highlight w:val="none"/>
        </w:rPr>
        <w:t>3.6编写评标报告。</w:t>
      </w:r>
      <w:r>
        <w:rPr>
          <w:rFonts w:hint="eastAsia" w:cs="宋体" w:asciiTheme="majorEastAsia" w:hAnsiTheme="majorEastAsia" w:eastAsiaTheme="majorEastAsia"/>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9B7E20">
      <w:pPr>
        <w:widowControl/>
        <w:shd w:val="clear" w:color="auto" w:fill="FFFFFF"/>
        <w:snapToGrid w:val="0"/>
        <w:spacing w:line="360" w:lineRule="auto"/>
        <w:jc w:val="left"/>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rPr>
        <w:t>四、评标中的其他事项</w:t>
      </w:r>
    </w:p>
    <w:p w14:paraId="294B423C">
      <w:pPr>
        <w:pStyle w:val="133"/>
        <w:snapToGrid w:val="0"/>
        <w:spacing w:before="0"/>
        <w:ind w:firstLine="472" w:firstLineChars="196"/>
        <w:rPr>
          <w:rFonts w:cs="宋体" w:asciiTheme="majorEastAsia" w:hAnsiTheme="majorEastAsia" w:eastAsiaTheme="majorEastAsia"/>
          <w:kern w:val="0"/>
          <w:szCs w:val="24"/>
          <w:highlight w:val="none"/>
        </w:rPr>
      </w:pPr>
      <w:r>
        <w:rPr>
          <w:rFonts w:hint="eastAsia" w:cs="宋体" w:asciiTheme="majorEastAsia" w:hAnsiTheme="majorEastAsia" w:eastAsiaTheme="majorEastAsia"/>
          <w:b/>
          <w:kern w:val="0"/>
          <w:szCs w:val="24"/>
          <w:highlight w:val="none"/>
        </w:rPr>
        <w:t>4.1投标人澄清、说明或者补正。</w:t>
      </w:r>
      <w:r>
        <w:rPr>
          <w:rFonts w:hint="eastAsia" w:cs="宋体" w:asciiTheme="majorEastAsia" w:hAnsiTheme="majorEastAsia" w:eastAsiaTheme="majorEastAsia"/>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B0B7E4F">
      <w:pPr>
        <w:pStyle w:val="26"/>
        <w:snapToGrid w:val="0"/>
        <w:spacing w:line="360" w:lineRule="auto"/>
        <w:ind w:left="954" w:leftChars="226" w:hanging="479" w:firstLineChars="0"/>
        <w:rPr>
          <w:rFonts w:cs="宋体" w:asciiTheme="majorEastAsia" w:hAnsiTheme="majorEastAsia" w:eastAsiaTheme="majorEastAsia"/>
          <w:highlight w:val="none"/>
        </w:rPr>
      </w:pPr>
      <w:r>
        <w:rPr>
          <w:rFonts w:hint="eastAsia" w:cs="宋体" w:asciiTheme="majorEastAsia" w:hAnsiTheme="majorEastAsia" w:eastAsiaTheme="majorEastAsia"/>
          <w:b/>
          <w:kern w:val="0"/>
          <w:highlight w:val="none"/>
        </w:rPr>
        <w:t>4.2投标无效。</w:t>
      </w:r>
      <w:r>
        <w:rPr>
          <w:rFonts w:hint="eastAsia" w:cs="宋体" w:asciiTheme="majorEastAsia" w:hAnsiTheme="majorEastAsia" w:eastAsiaTheme="majorEastAsia"/>
          <w:highlight w:val="none"/>
        </w:rPr>
        <w:t>有下列情形之一的，投标无效：</w:t>
      </w:r>
    </w:p>
    <w:p w14:paraId="4E8B953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FD1459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BC458F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E09383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160F22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AA399BA">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D08A42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FA2EC8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EE7A9B5">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A6EA2B4">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611F9304">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w:t>
      </w: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en-US" w:eastAsia="zh-CN"/>
        </w:rPr>
        <w:t>存在下列情形之一且无法合理解释的，其投标（响应）文件无效：1.不同</w:t>
      </w: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en-US" w:eastAsia="zh-CN"/>
        </w:rPr>
        <w:t>的电子投标（响应）文件上传计算机的网卡MAC地址或硬盘序列号等硬件信息相同的；2.上传的电子投标（响应）文件若出现使用本项目其他投标（响应）</w:t>
      </w: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en-US" w:eastAsia="zh-CN"/>
        </w:rPr>
        <w:t>的数字证书加密的，或者加盖本项目其他投标（响应）</w:t>
      </w:r>
      <w:r>
        <w:rPr>
          <w:rFonts w:hint="eastAsia" w:ascii="宋体" w:hAnsi="宋体" w:cs="宋体"/>
          <w:color w:val="auto"/>
          <w:kern w:val="0"/>
          <w:sz w:val="24"/>
          <w:highlight w:val="none"/>
          <w:lang w:val="en-US" w:eastAsia="zh-CN"/>
        </w:rPr>
        <w:t>人</w:t>
      </w:r>
      <w:r>
        <w:rPr>
          <w:rFonts w:hint="eastAsia" w:ascii="宋体" w:hAnsi="宋体" w:eastAsia="宋体" w:cs="宋体"/>
          <w:color w:val="auto"/>
          <w:kern w:val="0"/>
          <w:sz w:val="24"/>
          <w:highlight w:val="none"/>
          <w:lang w:val="en-US" w:eastAsia="zh-CN"/>
        </w:rPr>
        <w:t>的电子印章的；3.不同</w:t>
      </w: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en-US" w:eastAsia="zh-CN"/>
        </w:rPr>
        <w:t>的投标（响应）文件的内容存在3处（含）以上错误一致的；4.不同</w:t>
      </w: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en-US" w:eastAsia="zh-CN"/>
        </w:rPr>
        <w:t>联系人为同一人或不同联系人的联系电话一致的。</w:t>
      </w:r>
    </w:p>
    <w:p w14:paraId="3995F12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202C2F1C">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4.2.13 投标文件不满足招标文件的其它实质性要求的；</w:t>
      </w:r>
    </w:p>
    <w:p w14:paraId="5B4FB184">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4.2.14法律、法规、规章（适用本市的）及省级以上规范性文件（适用本市的）规定的其他无效情形。</w:t>
      </w:r>
    </w:p>
    <w:p w14:paraId="3B81A38A">
      <w:pPr>
        <w:pStyle w:val="26"/>
        <w:snapToGrid w:val="0"/>
        <w:spacing w:line="360" w:lineRule="auto"/>
        <w:ind w:firstLine="472" w:firstLineChars="196"/>
        <w:rPr>
          <w:rFonts w:cs="宋体" w:asciiTheme="majorEastAsia" w:hAnsiTheme="majorEastAsia" w:eastAsiaTheme="majorEastAsia"/>
          <w:highlight w:val="none"/>
        </w:rPr>
      </w:pPr>
      <w:r>
        <w:rPr>
          <w:rFonts w:hint="eastAsia" w:cs="宋体" w:asciiTheme="majorEastAsia" w:hAnsiTheme="majorEastAsia" w:eastAsiaTheme="majorEastAsia"/>
          <w:b/>
          <w:highlight w:val="none"/>
        </w:rPr>
        <w:t>5.废标。</w:t>
      </w:r>
      <w:r>
        <w:rPr>
          <w:rFonts w:hint="eastAsia" w:cs="宋体" w:asciiTheme="majorEastAsia" w:hAnsiTheme="majorEastAsia" w:eastAsiaTheme="majorEastAsia"/>
          <w:highlight w:val="none"/>
        </w:rPr>
        <w:t>根据《中华人民共和国政府采购法》第三十六条之规定，在采购中，出现下列情形之一的，应予废标：</w:t>
      </w:r>
    </w:p>
    <w:p w14:paraId="699FF753">
      <w:pPr>
        <w:pStyle w:val="26"/>
        <w:snapToGrid w:val="0"/>
        <w:spacing w:line="360" w:lineRule="auto"/>
        <w:rPr>
          <w:rFonts w:cs="宋体" w:asciiTheme="majorEastAsia" w:hAnsiTheme="majorEastAsia" w:eastAsiaTheme="majorEastAsia"/>
          <w:highlight w:val="none"/>
        </w:rPr>
      </w:pPr>
      <w:r>
        <w:rPr>
          <w:rFonts w:hint="eastAsia" w:cs="宋体" w:asciiTheme="majorEastAsia" w:hAnsiTheme="majorEastAsia" w:eastAsiaTheme="majorEastAsia"/>
          <w:highlight w:val="none"/>
        </w:rPr>
        <w:t>5.1符合专业条件的</w:t>
      </w:r>
      <w:r>
        <w:rPr>
          <w:rFonts w:hint="eastAsia" w:ascii="宋体" w:hAnsi="宋体" w:cs="宋体"/>
          <w:color w:val="auto"/>
          <w:kern w:val="0"/>
          <w:sz w:val="24"/>
          <w:highlight w:val="none"/>
          <w:lang w:val="en-US" w:eastAsia="zh-CN"/>
        </w:rPr>
        <w:t>投标人</w:t>
      </w:r>
      <w:r>
        <w:rPr>
          <w:rFonts w:hint="eastAsia" w:cs="宋体" w:asciiTheme="majorEastAsia" w:hAnsiTheme="majorEastAsia" w:eastAsiaTheme="majorEastAsia"/>
          <w:highlight w:val="none"/>
        </w:rPr>
        <w:t>或者对招标文件作实质响应的</w:t>
      </w:r>
      <w:r>
        <w:rPr>
          <w:rFonts w:hint="eastAsia" w:ascii="宋体" w:hAnsi="宋体" w:cs="宋体"/>
          <w:color w:val="auto"/>
          <w:kern w:val="0"/>
          <w:sz w:val="24"/>
          <w:highlight w:val="none"/>
          <w:lang w:val="en-US" w:eastAsia="zh-CN"/>
        </w:rPr>
        <w:t>投标人</w:t>
      </w:r>
      <w:r>
        <w:rPr>
          <w:rFonts w:hint="eastAsia" w:cs="宋体" w:asciiTheme="majorEastAsia" w:hAnsiTheme="majorEastAsia" w:eastAsiaTheme="majorEastAsia"/>
          <w:highlight w:val="none"/>
        </w:rPr>
        <w:t>不足3家的；</w:t>
      </w:r>
    </w:p>
    <w:p w14:paraId="723EB742">
      <w:pPr>
        <w:pStyle w:val="26"/>
        <w:snapToGrid w:val="0"/>
        <w:spacing w:line="360" w:lineRule="auto"/>
        <w:rPr>
          <w:rFonts w:cs="宋体" w:asciiTheme="majorEastAsia" w:hAnsiTheme="majorEastAsia" w:eastAsiaTheme="majorEastAsia"/>
          <w:highlight w:val="none"/>
        </w:rPr>
      </w:pPr>
      <w:r>
        <w:rPr>
          <w:rFonts w:hint="eastAsia" w:cs="宋体" w:asciiTheme="majorEastAsia" w:hAnsiTheme="majorEastAsia" w:eastAsiaTheme="majorEastAsia"/>
          <w:highlight w:val="none"/>
        </w:rPr>
        <w:t>5.2出现影响采购公正的违法、违规行为的；</w:t>
      </w:r>
    </w:p>
    <w:p w14:paraId="4E9DBBDF">
      <w:pPr>
        <w:pStyle w:val="26"/>
        <w:snapToGrid w:val="0"/>
        <w:spacing w:line="360" w:lineRule="auto"/>
        <w:rPr>
          <w:rFonts w:cs="宋体" w:asciiTheme="majorEastAsia" w:hAnsiTheme="majorEastAsia" w:eastAsiaTheme="majorEastAsia"/>
          <w:highlight w:val="none"/>
        </w:rPr>
      </w:pPr>
      <w:r>
        <w:rPr>
          <w:rFonts w:hint="eastAsia" w:cs="宋体" w:asciiTheme="majorEastAsia" w:hAnsiTheme="majorEastAsia" w:eastAsiaTheme="majorEastAsia"/>
          <w:highlight w:val="none"/>
        </w:rPr>
        <w:t>5.3投标人的报价均超过了采购预算，采购人不能支付的；</w:t>
      </w:r>
    </w:p>
    <w:p w14:paraId="483303AD">
      <w:pPr>
        <w:pStyle w:val="26"/>
        <w:snapToGrid w:val="0"/>
        <w:spacing w:line="360" w:lineRule="auto"/>
        <w:rPr>
          <w:rFonts w:cs="宋体" w:asciiTheme="majorEastAsia" w:hAnsiTheme="majorEastAsia" w:eastAsiaTheme="majorEastAsia"/>
          <w:highlight w:val="none"/>
        </w:rPr>
      </w:pPr>
      <w:r>
        <w:rPr>
          <w:rFonts w:hint="eastAsia" w:cs="宋体" w:asciiTheme="majorEastAsia" w:hAnsiTheme="majorEastAsia" w:eastAsiaTheme="majorEastAsia"/>
          <w:highlight w:val="none"/>
        </w:rPr>
        <w:t>5.4因重大变故，采购任务取消的。</w:t>
      </w:r>
    </w:p>
    <w:p w14:paraId="5446CE9D">
      <w:pPr>
        <w:pStyle w:val="26"/>
        <w:snapToGrid w:val="0"/>
        <w:spacing w:line="360" w:lineRule="auto"/>
        <w:rPr>
          <w:rFonts w:cs="宋体" w:asciiTheme="majorEastAsia" w:hAnsiTheme="majorEastAsia" w:eastAsiaTheme="majorEastAsia"/>
          <w:highlight w:val="none"/>
        </w:rPr>
      </w:pPr>
      <w:r>
        <w:rPr>
          <w:rFonts w:hint="eastAsia" w:cs="宋体" w:asciiTheme="majorEastAsia" w:hAnsiTheme="majorEastAsia" w:eastAsiaTheme="majorEastAsia"/>
          <w:highlight w:val="none"/>
        </w:rPr>
        <w:t>废标后，采购代理机构应当将废标理由通知所有投标人。</w:t>
      </w:r>
    </w:p>
    <w:p w14:paraId="77A972CC">
      <w:pPr>
        <w:pStyle w:val="26"/>
        <w:snapToGrid w:val="0"/>
        <w:spacing w:line="360" w:lineRule="auto"/>
        <w:ind w:firstLine="482"/>
        <w:rPr>
          <w:rFonts w:cs="宋体" w:asciiTheme="majorEastAsia" w:hAnsiTheme="majorEastAsia" w:eastAsiaTheme="majorEastAsia"/>
          <w:highlight w:val="none"/>
        </w:rPr>
      </w:pPr>
      <w:r>
        <w:rPr>
          <w:rFonts w:hint="eastAsia" w:cs="宋体" w:asciiTheme="majorEastAsia" w:hAnsiTheme="majorEastAsia" w:eastAsiaTheme="majorEastAsia"/>
          <w:b/>
          <w:highlight w:val="none"/>
        </w:rPr>
        <w:t>6.修改招标文件，重新组织采购活动。</w:t>
      </w:r>
      <w:r>
        <w:rPr>
          <w:rFonts w:hint="eastAsia" w:cs="宋体" w:asciiTheme="majorEastAsia" w:hAnsiTheme="majorEastAsia" w:eastAsiaTheme="majorEastAsia"/>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2C99EFA">
      <w:pPr>
        <w:pStyle w:val="26"/>
        <w:snapToGrid w:val="0"/>
        <w:spacing w:line="360" w:lineRule="auto"/>
        <w:ind w:firstLine="482"/>
        <w:rPr>
          <w:rFonts w:cs="宋体" w:asciiTheme="majorEastAsia" w:hAnsiTheme="majorEastAsia" w:eastAsiaTheme="majorEastAsia"/>
          <w:highlight w:val="none"/>
        </w:rPr>
      </w:pPr>
      <w:r>
        <w:rPr>
          <w:rFonts w:hint="eastAsia" w:cs="宋体" w:asciiTheme="majorEastAsia" w:hAnsiTheme="majorEastAsia" w:eastAsiaTheme="majorEastAsia"/>
          <w:b/>
          <w:kern w:val="0"/>
          <w:highlight w:val="none"/>
        </w:rPr>
        <w:t>7.重新开展采购。</w:t>
      </w:r>
      <w:r>
        <w:rPr>
          <w:rFonts w:hint="eastAsia" w:cs="宋体" w:asciiTheme="majorEastAsia" w:hAnsiTheme="majorEastAsia" w:eastAsiaTheme="majorEastAsia"/>
          <w:highlight w:val="none"/>
        </w:rPr>
        <w:t>有政府采购法第七十一条、第七十二条规定的违法行为之一，影响或者可能影响中标结果的，依照下列规定处理：</w:t>
      </w:r>
    </w:p>
    <w:p w14:paraId="06D75D34">
      <w:pPr>
        <w:pStyle w:val="26"/>
        <w:snapToGrid w:val="0"/>
        <w:spacing w:line="360" w:lineRule="auto"/>
        <w:rPr>
          <w:rFonts w:cs="宋体" w:asciiTheme="majorEastAsia" w:hAnsiTheme="majorEastAsia" w:eastAsiaTheme="majorEastAsia"/>
          <w:highlight w:val="none"/>
        </w:rPr>
      </w:pPr>
      <w:r>
        <w:rPr>
          <w:rFonts w:hint="eastAsia" w:cs="宋体" w:asciiTheme="majorEastAsia" w:hAnsiTheme="majorEastAsia" w:eastAsiaTheme="majorEastAsia"/>
          <w:highlight w:val="none"/>
        </w:rPr>
        <w:t>7.1未确定</w:t>
      </w:r>
      <w:r>
        <w:rPr>
          <w:rFonts w:hint="eastAsia" w:cs="宋体"/>
          <w:color w:val="auto"/>
          <w:highlight w:val="none"/>
        </w:rPr>
        <w:t>中标或者中标人</w:t>
      </w:r>
      <w:r>
        <w:rPr>
          <w:rFonts w:hint="eastAsia" w:cs="宋体" w:asciiTheme="majorEastAsia" w:hAnsiTheme="majorEastAsia" w:eastAsiaTheme="majorEastAsia"/>
          <w:highlight w:val="none"/>
        </w:rPr>
        <w:t>的，终止本次政府采购活动，重新开展政府采购活动。</w:t>
      </w:r>
    </w:p>
    <w:p w14:paraId="40B8A535">
      <w:pPr>
        <w:pStyle w:val="26"/>
        <w:snapToGrid w:val="0"/>
        <w:spacing w:line="360" w:lineRule="auto"/>
        <w:ind w:firstLine="600" w:firstLineChars="250"/>
        <w:rPr>
          <w:rFonts w:hint="eastAsia" w:cs="宋体"/>
          <w:color w:val="auto"/>
          <w:highlight w:val="none"/>
        </w:rPr>
      </w:pPr>
      <w:r>
        <w:rPr>
          <w:rFonts w:hint="eastAsia" w:cs="宋体" w:asciiTheme="majorEastAsia" w:hAnsiTheme="majorEastAsia" w:eastAsiaTheme="majorEastAsia"/>
          <w:highlight w:val="none"/>
        </w:rPr>
        <w:t>7.2已确定</w:t>
      </w:r>
      <w:r>
        <w:rPr>
          <w:rFonts w:hint="eastAsia" w:cs="宋体"/>
          <w:color w:val="auto"/>
          <w:highlight w:val="none"/>
        </w:rPr>
        <w:t>中标或者中标人</w:t>
      </w:r>
      <w:r>
        <w:rPr>
          <w:rFonts w:hint="eastAsia" w:cs="宋体" w:asciiTheme="majorEastAsia" w:hAnsiTheme="majorEastAsia" w:eastAsiaTheme="majorEastAsia"/>
          <w:highlight w:val="none"/>
        </w:rPr>
        <w:t>但尚未签订政府采购合同的，</w:t>
      </w:r>
      <w:r>
        <w:rPr>
          <w:rFonts w:hint="eastAsia" w:cs="宋体"/>
          <w:color w:val="auto"/>
          <w:highlight w:val="none"/>
        </w:rPr>
        <w:t>中标或者成交结果无效，从合格的中标或者成交候选人中另行确定中标或者中标人；没有合格的中标或者成交候选人的，重新开展政府采购活动。</w:t>
      </w:r>
    </w:p>
    <w:p w14:paraId="3C42F7E9">
      <w:pPr>
        <w:pStyle w:val="26"/>
        <w:snapToGrid w:val="0"/>
        <w:spacing w:line="360" w:lineRule="auto"/>
        <w:ind w:firstLine="600" w:firstLineChars="250"/>
        <w:rPr>
          <w:rFonts w:cs="宋体" w:asciiTheme="majorEastAsia" w:hAnsiTheme="majorEastAsia" w:eastAsiaTheme="majorEastAsia"/>
          <w:highlight w:val="none"/>
        </w:rPr>
      </w:pPr>
      <w:r>
        <w:rPr>
          <w:rFonts w:hint="eastAsia" w:cs="宋体" w:asciiTheme="majorEastAsia" w:hAnsiTheme="majorEastAsia" w:eastAsiaTheme="majorEastAsia"/>
          <w:highlight w:val="none"/>
        </w:rPr>
        <w:t>7.3政府采购合同已签订但尚未履行的，撤销合同，</w:t>
      </w:r>
      <w:r>
        <w:rPr>
          <w:rFonts w:hint="eastAsia" w:cs="宋体"/>
          <w:color w:val="auto"/>
          <w:highlight w:val="none"/>
        </w:rPr>
        <w:t>从合格的中标或者成交候选人中另行确定中标或者中标人；没有合格的中标或者成交候选人的，重新开展政府采购活动。</w:t>
      </w:r>
    </w:p>
    <w:p w14:paraId="3A6ED8C5">
      <w:pPr>
        <w:pStyle w:val="26"/>
        <w:snapToGrid w:val="0"/>
        <w:spacing w:line="360" w:lineRule="auto"/>
        <w:rPr>
          <w:rFonts w:cs="宋体" w:asciiTheme="majorEastAsia" w:hAnsiTheme="majorEastAsia" w:eastAsiaTheme="majorEastAsia"/>
          <w:highlight w:val="none"/>
        </w:rPr>
      </w:pPr>
      <w:r>
        <w:rPr>
          <w:rFonts w:hint="eastAsia" w:cs="宋体" w:asciiTheme="majorEastAsia" w:hAnsiTheme="majorEastAsia" w:eastAsiaTheme="majorEastAsia"/>
          <w:highlight w:val="none"/>
        </w:rPr>
        <w:t>7.4政府采购合同已经履行，给采购人、投标人造成损失的，由责任人承担赔偿责任。</w:t>
      </w:r>
    </w:p>
    <w:p w14:paraId="703B70C6">
      <w:pPr>
        <w:pStyle w:val="26"/>
        <w:snapToGrid w:val="0"/>
        <w:spacing w:line="360" w:lineRule="auto"/>
        <w:rPr>
          <w:rFonts w:cs="宋体" w:asciiTheme="majorEastAsia" w:hAnsiTheme="majorEastAsia" w:eastAsiaTheme="majorEastAsia"/>
          <w:highlight w:val="none"/>
        </w:rPr>
      </w:pPr>
      <w:r>
        <w:rPr>
          <w:rFonts w:hint="eastAsia" w:cs="宋体" w:asciiTheme="majorEastAsia" w:hAnsiTheme="majorEastAsia" w:eastAsiaTheme="majorEastAsia"/>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8"/>
    <w:p w14:paraId="0487D7A5">
      <w:pPr>
        <w:spacing w:line="360" w:lineRule="auto"/>
        <w:jc w:val="center"/>
        <w:outlineLvl w:val="0"/>
        <w:rPr>
          <w:rFonts w:hint="eastAsia" w:cs="宋体" w:asciiTheme="majorEastAsia" w:hAnsiTheme="majorEastAsia" w:eastAsiaTheme="majorEastAsia"/>
          <w:b/>
          <w:sz w:val="36"/>
          <w:szCs w:val="36"/>
          <w:highlight w:val="none"/>
        </w:rPr>
      </w:pPr>
      <w:bookmarkStart w:id="401" w:name="第五部分"/>
      <w:bookmarkStart w:id="402" w:name="_Toc86217003"/>
    </w:p>
    <w:p w14:paraId="4EC58766">
      <w:pPr>
        <w:spacing w:line="360" w:lineRule="auto"/>
        <w:jc w:val="center"/>
        <w:outlineLvl w:val="0"/>
        <w:rPr>
          <w:rFonts w:hint="eastAsia" w:cs="宋体" w:asciiTheme="majorEastAsia" w:hAnsiTheme="majorEastAsia" w:eastAsiaTheme="majorEastAsia"/>
          <w:b/>
          <w:sz w:val="36"/>
          <w:szCs w:val="36"/>
          <w:highlight w:val="none"/>
        </w:rPr>
      </w:pPr>
    </w:p>
    <w:p w14:paraId="6F061B8B">
      <w:pPr>
        <w:spacing w:line="360" w:lineRule="auto"/>
        <w:jc w:val="center"/>
        <w:outlineLvl w:val="0"/>
        <w:rPr>
          <w:rFonts w:cs="宋体" w:asciiTheme="majorEastAsia" w:hAnsiTheme="majorEastAsia" w:eastAsiaTheme="majorEastAsia"/>
          <w:b/>
          <w:sz w:val="36"/>
          <w:szCs w:val="36"/>
          <w:highlight w:val="none"/>
        </w:rPr>
      </w:pPr>
      <w:r>
        <w:rPr>
          <w:rFonts w:hint="eastAsia" w:cs="宋体" w:asciiTheme="majorEastAsia" w:hAnsiTheme="majorEastAsia" w:eastAsiaTheme="majorEastAsia"/>
          <w:b/>
          <w:sz w:val="36"/>
          <w:szCs w:val="36"/>
          <w:highlight w:val="none"/>
        </w:rPr>
        <w:t>第五部分 拟签订的合同文本</w:t>
      </w:r>
    </w:p>
    <w:p w14:paraId="4C74EEA7">
      <w:pPr>
        <w:pStyle w:val="35"/>
        <w:snapToGrid w:val="0"/>
        <w:spacing w:before="120" w:after="120" w:line="360" w:lineRule="auto"/>
        <w:jc w:val="center"/>
        <w:rPr>
          <w:rFonts w:hint="eastAsia" w:hAnsi="宋体" w:cs="宋体"/>
          <w:sz w:val="24"/>
          <w:szCs w:val="24"/>
          <w:highlight w:val="none"/>
        </w:rPr>
      </w:pPr>
      <w:r>
        <w:rPr>
          <w:rFonts w:hint="eastAsia" w:hAnsi="宋体" w:cs="宋体"/>
          <w:szCs w:val="21"/>
          <w:highlight w:val="none"/>
        </w:rPr>
        <w:t>（</w:t>
      </w:r>
      <w:r>
        <w:rPr>
          <w:rFonts w:hint="eastAsia" w:hAnsi="宋体" w:cs="宋体"/>
          <w:sz w:val="24"/>
          <w:szCs w:val="24"/>
          <w:highlight w:val="none"/>
        </w:rPr>
        <w:t>本合同为合同样稿，最终稿由甲乙方协商后确定）</w:t>
      </w:r>
    </w:p>
    <w:p w14:paraId="5E429C46">
      <w:pPr>
        <w:pStyle w:val="59"/>
        <w:widowControl w:val="0"/>
        <w:shd w:val="clear" w:color="auto" w:fill="FFFFFF"/>
        <w:snapToGrid w:val="0"/>
        <w:spacing w:before="0" w:beforeAutospacing="0" w:after="0" w:afterAutospacing="0" w:line="300" w:lineRule="auto"/>
        <w:jc w:val="center"/>
        <w:rPr>
          <w:rFonts w:hint="eastAsia" w:cs="宋体"/>
          <w:highlight w:val="none"/>
          <w:shd w:val="clear" w:color="auto" w:fill="FFFFFF"/>
        </w:rPr>
      </w:pPr>
      <w:r>
        <w:rPr>
          <w:rFonts w:hint="eastAsia" w:cs="宋体"/>
          <w:kern w:val="2"/>
          <w:highlight w:val="none"/>
          <w:shd w:val="clear" w:color="auto" w:fill="FFFFFF"/>
          <w:lang w:eastAsia="zh-CN" w:bidi="ar"/>
        </w:rPr>
        <w:t>2025年度茅乡景区及仁寿山园林绿化养护服务项目</w:t>
      </w:r>
      <w:r>
        <w:rPr>
          <w:rFonts w:hint="eastAsia" w:cs="宋体"/>
          <w:kern w:val="2"/>
          <w:highlight w:val="none"/>
          <w:shd w:val="clear" w:color="auto" w:fill="FFFFFF"/>
          <w:lang w:val="en-US" w:eastAsia="zh-CN" w:bidi="ar"/>
        </w:rPr>
        <w:t>服务</w:t>
      </w:r>
      <w:r>
        <w:rPr>
          <w:rFonts w:hint="eastAsia" w:cs="宋体"/>
          <w:kern w:val="2"/>
          <w:highlight w:val="none"/>
          <w:shd w:val="clear" w:color="auto" w:fill="FFFFFF"/>
          <w:lang w:bidi="ar"/>
        </w:rPr>
        <w:t>合同</w:t>
      </w:r>
    </w:p>
    <w:p w14:paraId="2FCBD657">
      <w:pPr>
        <w:pStyle w:val="59"/>
        <w:widowControl w:val="0"/>
        <w:shd w:val="clear" w:color="auto" w:fill="FFFFFF"/>
        <w:snapToGrid w:val="0"/>
        <w:spacing w:before="0" w:beforeAutospacing="0" w:after="0" w:afterAutospacing="0" w:line="300" w:lineRule="auto"/>
        <w:jc w:val="center"/>
        <w:rPr>
          <w:rFonts w:hint="eastAsia" w:cs="宋体"/>
          <w:highlight w:val="none"/>
          <w:shd w:val="clear" w:color="auto" w:fill="FFFFFF"/>
        </w:rPr>
      </w:pPr>
    </w:p>
    <w:p w14:paraId="6D9FCF82">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宋体" w:hAnsi="宋体" w:cs="宋体"/>
          <w:sz w:val="24"/>
          <w:highlight w:val="none"/>
          <w:u w:val="single"/>
          <w:lang w:val="zh-CN"/>
        </w:rPr>
      </w:pPr>
      <w:bookmarkStart w:id="403" w:name="_Toc326765771"/>
      <w:bookmarkStart w:id="404" w:name="_Toc328381300"/>
      <w:bookmarkStart w:id="405" w:name="_Toc339872468"/>
      <w:bookmarkStart w:id="406" w:name="_Toc349721554"/>
      <w:bookmarkStart w:id="407" w:name="_Toc350327365"/>
      <w:r>
        <w:rPr>
          <w:rFonts w:hint="eastAsia" w:ascii="宋体" w:hAnsi="宋体" w:cs="宋体"/>
          <w:sz w:val="24"/>
          <w:highlight w:val="none"/>
          <w:lang w:val="zh-CN" w:bidi="ar"/>
        </w:rPr>
        <w:t>甲方（采购人）：</w:t>
      </w:r>
      <w:r>
        <w:rPr>
          <w:rFonts w:hint="eastAsia" w:ascii="宋体" w:hAnsi="宋体" w:cs="宋体"/>
          <w:sz w:val="24"/>
          <w:highlight w:val="none"/>
          <w:u w:val="single"/>
          <w:lang w:val="zh-CN" w:bidi="ar"/>
        </w:rPr>
        <w:t>杭州西湖风景名胜区灵隐管理处</w:t>
      </w:r>
    </w:p>
    <w:p w14:paraId="29CA70A6">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宋体" w:hAnsi="宋体" w:cs="宋体"/>
          <w:sz w:val="24"/>
          <w:highlight w:val="none"/>
          <w:lang w:val="zh-CN"/>
        </w:rPr>
      </w:pPr>
      <w:r>
        <w:rPr>
          <w:rFonts w:hint="eastAsia" w:ascii="宋体" w:hAnsi="宋体" w:cs="宋体"/>
          <w:sz w:val="24"/>
          <w:highlight w:val="none"/>
          <w:lang w:val="zh-CN" w:bidi="ar"/>
        </w:rPr>
        <w:t>乙方（中标人）：</w:t>
      </w:r>
      <w:r>
        <w:rPr>
          <w:rFonts w:hint="eastAsia" w:ascii="宋体" w:hAnsi="宋体" w:cs="宋体"/>
          <w:b/>
          <w:bCs/>
          <w:sz w:val="24"/>
          <w:highlight w:val="none"/>
          <w:u w:val="single"/>
          <w:lang w:val="zh-CN" w:bidi="ar"/>
        </w:rPr>
        <w:t xml:space="preserve">          </w:t>
      </w:r>
      <w:r>
        <w:rPr>
          <w:rFonts w:hint="eastAsia" w:ascii="宋体" w:hAnsi="宋体" w:cs="宋体"/>
          <w:b/>
          <w:bCs/>
          <w:sz w:val="24"/>
          <w:highlight w:val="none"/>
          <w:u w:val="single"/>
          <w:lang w:bidi="ar"/>
        </w:rPr>
        <w:t xml:space="preserve">                  </w:t>
      </w:r>
    </w:p>
    <w:p w14:paraId="23A679FA">
      <w:pPr>
        <w:keepNext w:val="0"/>
        <w:keepLines w:val="0"/>
        <w:pageBreakBefore w:val="0"/>
        <w:kinsoku/>
        <w:wordWrap/>
        <w:overflowPunct/>
        <w:topLinePunct w:val="0"/>
        <w:autoSpaceDE w:val="0"/>
        <w:autoSpaceDN w:val="0"/>
        <w:bidi w:val="0"/>
        <w:adjustRightInd w:val="0"/>
        <w:snapToGrid w:val="0"/>
        <w:spacing w:line="360" w:lineRule="auto"/>
        <w:ind w:left="1" w:firstLine="600" w:firstLineChars="250"/>
        <w:textAlignment w:val="auto"/>
        <w:rPr>
          <w:rFonts w:hint="eastAsia" w:ascii="宋体" w:hAnsi="宋体" w:cs="宋体"/>
          <w:bCs/>
          <w:sz w:val="24"/>
          <w:highlight w:val="none"/>
        </w:rPr>
      </w:pPr>
      <w:r>
        <w:rPr>
          <w:rFonts w:hint="eastAsia" w:ascii="宋体" w:hAnsi="宋体" w:cs="宋体"/>
          <w:sz w:val="24"/>
          <w:highlight w:val="none"/>
          <w:lang w:val="zh-CN" w:bidi="ar"/>
        </w:rPr>
        <w:t>根据《中华人民共和国民法典》及</w:t>
      </w:r>
      <w:r>
        <w:rPr>
          <w:rFonts w:hint="eastAsia" w:ascii="宋体" w:hAnsi="宋体" w:cs="宋体"/>
          <w:sz w:val="24"/>
          <w:highlight w:val="none"/>
          <w:u w:val="single"/>
          <w:lang w:val="zh-CN" w:eastAsia="zh-CN" w:bidi="ar"/>
        </w:rPr>
        <w:t>2025年度茅乡景区及仁寿山园林绿化养护服务项目</w:t>
      </w:r>
      <w:r>
        <w:rPr>
          <w:rFonts w:hint="eastAsia" w:ascii="宋体" w:hAnsi="宋体" w:cs="宋体"/>
          <w:sz w:val="24"/>
          <w:highlight w:val="none"/>
          <w:lang w:val="zh-CN" w:bidi="ar"/>
        </w:rPr>
        <w:t>采购结果“中标通知书”的规定，甲、乙双方在平等的基础上、</w:t>
      </w:r>
      <w:r>
        <w:rPr>
          <w:rFonts w:hint="eastAsia" w:ascii="宋体" w:hAnsi="宋体" w:cs="宋体"/>
          <w:bCs/>
          <w:sz w:val="24"/>
          <w:highlight w:val="none"/>
          <w:lang w:bidi="ar"/>
        </w:rPr>
        <w:t>友好协商，对事宜进行讨论，达成一致意见，具体如下：</w:t>
      </w:r>
    </w:p>
    <w:p w14:paraId="6CD15A30">
      <w:pPr>
        <w:keepNext w:val="0"/>
        <w:keepLines w:val="0"/>
        <w:pageBreakBefore w:val="0"/>
        <w:numPr>
          <w:ilvl w:val="0"/>
          <w:numId w:val="1"/>
        </w:numPr>
        <w:kinsoku/>
        <w:wordWrap/>
        <w:overflowPunct/>
        <w:topLinePunct w:val="0"/>
        <w:autoSpaceDE w:val="0"/>
        <w:autoSpaceDN w:val="0"/>
        <w:bidi w:val="0"/>
        <w:adjustRightInd w:val="0"/>
        <w:snapToGrid w:val="0"/>
        <w:spacing w:line="360" w:lineRule="auto"/>
        <w:textAlignment w:val="auto"/>
        <w:rPr>
          <w:rFonts w:hint="eastAsia" w:ascii="宋体" w:hAnsi="宋体" w:cs="宋体"/>
          <w:b/>
          <w:bCs/>
          <w:sz w:val="24"/>
          <w:highlight w:val="none"/>
        </w:rPr>
      </w:pPr>
      <w:r>
        <w:rPr>
          <w:rFonts w:hint="eastAsia" w:ascii="宋体" w:hAnsi="宋体" w:cs="宋体"/>
          <w:b/>
          <w:bCs/>
          <w:sz w:val="24"/>
          <w:highlight w:val="none"/>
          <w:lang w:bidi="ar"/>
        </w:rPr>
        <w:t>项目简要说明</w:t>
      </w:r>
    </w:p>
    <w:p w14:paraId="736CE12E">
      <w:pPr>
        <w:keepNext w:val="0"/>
        <w:keepLines w:val="0"/>
        <w:pageBreakBefore w:val="0"/>
        <w:numPr>
          <w:ilvl w:val="0"/>
          <w:numId w:val="2"/>
        </w:numPr>
        <w:kinsoku/>
        <w:wordWrap/>
        <w:overflowPunct/>
        <w:topLinePunct w:val="0"/>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lang w:bidi="ar"/>
        </w:rPr>
        <w:t>服务期内派遣满足景区绿地养护要求的劳务人员完成园林绿化养护工作，包括所辖区域内公园道路绿地、行道树、花坛花境、水生植物、修枝、苗木种植、园林设施维护等日常园林养护、机动应急任务保障（含抗雪、防冻、防台、防汛、抗旱等）等园林养护作业。绿地养护范围为</w:t>
      </w:r>
      <w:r>
        <w:rPr>
          <w:rFonts w:hint="eastAsia" w:ascii="宋体" w:hAnsi="宋体" w:cs="宋体"/>
          <w:sz w:val="24"/>
          <w:highlight w:val="none"/>
          <w:u w:val="single"/>
          <w:lang w:bidi="ar"/>
        </w:rPr>
        <w:t>下茅家埠景区、仁寿山景区、都锦生故居、浙江辛亥革命纪念馆、林风眠旧居、龙井路分段（灵隐路-龙井支路口、龙井支路口至龙井路292号灯杆）、灵隐路全段（曙光路口至天曹桥口）、龙泓涧区域、灵溪南路双峰路沿线以东等区域范围内</w:t>
      </w:r>
      <w:r>
        <w:rPr>
          <w:rFonts w:hint="eastAsia" w:ascii="宋体" w:hAnsi="宋体" w:cs="宋体"/>
          <w:sz w:val="24"/>
          <w:highlight w:val="none"/>
          <w:lang w:bidi="ar"/>
        </w:rPr>
        <w:t>。落实项目负责人服务期内协调管理。</w:t>
      </w:r>
    </w:p>
    <w:p w14:paraId="5D91917F">
      <w:pPr>
        <w:keepNext w:val="0"/>
        <w:keepLines w:val="0"/>
        <w:pageBreakBefore w:val="0"/>
        <w:kinsoku/>
        <w:wordWrap/>
        <w:overflowPunct/>
        <w:topLinePunct w:val="0"/>
        <w:bidi w:val="0"/>
        <w:adjustRightInd w:val="0"/>
        <w:snapToGrid w:val="0"/>
        <w:spacing w:line="360" w:lineRule="auto"/>
        <w:ind w:firstLine="600"/>
        <w:jc w:val="left"/>
        <w:textAlignment w:val="auto"/>
        <w:rPr>
          <w:rFonts w:hint="eastAsia" w:ascii="宋体" w:hAnsi="宋体" w:cs="宋体"/>
          <w:sz w:val="24"/>
          <w:highlight w:val="none"/>
        </w:rPr>
      </w:pPr>
      <w:r>
        <w:rPr>
          <w:rFonts w:hint="eastAsia" w:ascii="宋体" w:hAnsi="宋体" w:cs="宋体"/>
          <w:sz w:val="24"/>
          <w:highlight w:val="none"/>
          <w:lang w:bidi="ar"/>
        </w:rPr>
        <w:t>2、</w:t>
      </w:r>
      <w:r>
        <w:rPr>
          <w:rFonts w:hint="eastAsia" w:ascii="宋体" w:hAnsi="宋体" w:cs="宋体"/>
          <w:sz w:val="24"/>
          <w:highlight w:val="none"/>
          <w:lang w:eastAsia="zh-CN" w:bidi="ar"/>
        </w:rPr>
        <w:t>乙方</w:t>
      </w:r>
      <w:r>
        <w:rPr>
          <w:rFonts w:hint="eastAsia" w:ascii="宋体" w:hAnsi="宋体" w:cs="宋体"/>
          <w:sz w:val="24"/>
          <w:highlight w:val="none"/>
          <w:lang w:bidi="ar"/>
        </w:rPr>
        <w:t>必须安排养护区域的日常养护人员配备全年计划服务工数4968工</w:t>
      </w:r>
      <w:r>
        <w:rPr>
          <w:rFonts w:hint="eastAsia" w:ascii="宋体" w:hAnsi="宋体" w:cs="宋体"/>
          <w:sz w:val="24"/>
          <w:highlight w:val="none"/>
          <w:lang w:eastAsia="zh-CN" w:bidi="ar"/>
        </w:rPr>
        <w:t>数</w:t>
      </w:r>
      <w:r>
        <w:rPr>
          <w:rFonts w:hint="eastAsia" w:ascii="宋体" w:hAnsi="宋体" w:cs="宋体"/>
          <w:sz w:val="24"/>
          <w:highlight w:val="none"/>
          <w:lang w:bidi="ar"/>
        </w:rPr>
        <w:t>，其中日常养护</w:t>
      </w:r>
      <w:r>
        <w:rPr>
          <w:rFonts w:hint="eastAsia" w:ascii="宋体" w:hAnsi="宋体" w:cs="宋体"/>
          <w:color w:val="auto"/>
          <w:sz w:val="24"/>
          <w:highlight w:val="none"/>
          <w:lang w:val="en-US" w:eastAsia="zh-CN"/>
        </w:rPr>
        <w:t>服务工数</w:t>
      </w:r>
      <w:r>
        <w:rPr>
          <w:rFonts w:hint="eastAsia" w:ascii="宋体" w:hAnsi="宋体" w:cs="宋体"/>
          <w:sz w:val="24"/>
          <w:highlight w:val="none"/>
          <w:lang w:bidi="ar"/>
        </w:rPr>
        <w:t>1846工</w:t>
      </w:r>
      <w:r>
        <w:rPr>
          <w:rFonts w:hint="eastAsia" w:ascii="宋体" w:hAnsi="宋体" w:cs="宋体"/>
          <w:sz w:val="24"/>
          <w:highlight w:val="none"/>
          <w:lang w:eastAsia="zh-CN" w:bidi="ar"/>
        </w:rPr>
        <w:t>数</w:t>
      </w:r>
      <w:r>
        <w:rPr>
          <w:rFonts w:hint="eastAsia" w:ascii="宋体" w:hAnsi="宋体" w:cs="宋体"/>
          <w:sz w:val="24"/>
          <w:highlight w:val="none"/>
          <w:lang w:bidi="ar"/>
        </w:rPr>
        <w:t>,园林景观提升</w:t>
      </w:r>
      <w:r>
        <w:rPr>
          <w:rFonts w:hint="eastAsia" w:ascii="宋体" w:hAnsi="宋体" w:cs="宋体"/>
          <w:color w:val="auto"/>
          <w:sz w:val="24"/>
          <w:highlight w:val="none"/>
          <w:lang w:val="en-US" w:eastAsia="zh-CN"/>
        </w:rPr>
        <w:t>服务工数</w:t>
      </w:r>
      <w:r>
        <w:rPr>
          <w:rFonts w:hint="eastAsia" w:ascii="宋体" w:hAnsi="宋体" w:cs="宋体"/>
          <w:sz w:val="24"/>
          <w:highlight w:val="none"/>
          <w:lang w:bidi="ar"/>
        </w:rPr>
        <w:t>1859工</w:t>
      </w:r>
      <w:r>
        <w:rPr>
          <w:rFonts w:hint="eastAsia" w:ascii="宋体" w:hAnsi="宋体" w:cs="宋体"/>
          <w:sz w:val="24"/>
          <w:highlight w:val="none"/>
          <w:lang w:eastAsia="zh-CN" w:bidi="ar"/>
        </w:rPr>
        <w:t>数，</w:t>
      </w:r>
      <w:r>
        <w:rPr>
          <w:rFonts w:hint="eastAsia" w:ascii="宋体" w:hAnsi="宋体" w:cs="宋体"/>
          <w:sz w:val="24"/>
          <w:highlight w:val="none"/>
          <w:lang w:bidi="ar"/>
        </w:rPr>
        <w:t>机动应急保障</w:t>
      </w:r>
      <w:r>
        <w:rPr>
          <w:rFonts w:hint="eastAsia" w:ascii="宋体" w:hAnsi="宋体" w:cs="宋体"/>
          <w:color w:val="auto"/>
          <w:sz w:val="24"/>
          <w:highlight w:val="none"/>
          <w:lang w:val="en-US" w:eastAsia="zh-CN"/>
        </w:rPr>
        <w:t>服务工数</w:t>
      </w:r>
      <w:r>
        <w:rPr>
          <w:rFonts w:hint="eastAsia" w:ascii="宋体" w:hAnsi="宋体" w:cs="宋体"/>
          <w:sz w:val="24"/>
          <w:highlight w:val="none"/>
          <w:lang w:bidi="ar"/>
        </w:rPr>
        <w:t>约</w:t>
      </w:r>
      <w:r>
        <w:rPr>
          <w:rFonts w:hint="eastAsia" w:ascii="宋体" w:hAnsi="宋体" w:cs="宋体"/>
          <w:sz w:val="24"/>
          <w:highlight w:val="none"/>
          <w:lang w:val="en-US" w:eastAsia="zh-CN" w:bidi="ar"/>
        </w:rPr>
        <w:t>1263</w:t>
      </w:r>
      <w:r>
        <w:rPr>
          <w:rFonts w:hint="eastAsia" w:ascii="宋体" w:hAnsi="宋体" w:cs="宋体"/>
          <w:sz w:val="24"/>
          <w:highlight w:val="none"/>
          <w:lang w:bidi="ar"/>
        </w:rPr>
        <w:t>工</w:t>
      </w:r>
      <w:r>
        <w:rPr>
          <w:rFonts w:hint="eastAsia" w:ascii="宋体" w:hAnsi="宋体" w:cs="宋体"/>
          <w:sz w:val="24"/>
          <w:highlight w:val="none"/>
          <w:lang w:eastAsia="zh-CN" w:bidi="ar"/>
        </w:rPr>
        <w:t>数</w:t>
      </w:r>
      <w:r>
        <w:rPr>
          <w:rFonts w:hint="eastAsia" w:ascii="宋体" w:hAnsi="宋体" w:cs="宋体"/>
          <w:sz w:val="24"/>
          <w:highlight w:val="none"/>
          <w:lang w:bidi="ar"/>
        </w:rPr>
        <w:t>（女工比例不超过20%）。</w:t>
      </w:r>
    </w:p>
    <w:p w14:paraId="12566596">
      <w:pPr>
        <w:keepNext w:val="0"/>
        <w:keepLines w:val="0"/>
        <w:pageBreakBefore w:val="0"/>
        <w:kinsoku/>
        <w:wordWrap/>
        <w:overflowPunct/>
        <w:topLinePunct w:val="0"/>
        <w:bidi w:val="0"/>
        <w:adjustRightInd w:val="0"/>
        <w:snapToGrid w:val="0"/>
        <w:spacing w:line="360" w:lineRule="auto"/>
        <w:ind w:firstLine="600"/>
        <w:jc w:val="left"/>
        <w:textAlignment w:val="auto"/>
        <w:rPr>
          <w:rFonts w:hint="eastAsia" w:ascii="宋体" w:hAnsi="宋体" w:cs="宋体"/>
          <w:sz w:val="24"/>
          <w:highlight w:val="none"/>
        </w:rPr>
      </w:pPr>
      <w:r>
        <w:rPr>
          <w:rFonts w:hint="eastAsia" w:ascii="宋体" w:hAnsi="宋体" w:cs="宋体"/>
          <w:sz w:val="24"/>
          <w:highlight w:val="none"/>
          <w:lang w:eastAsia="zh-CN" w:bidi="ar"/>
        </w:rPr>
        <w:t>（</w:t>
      </w:r>
      <w:r>
        <w:rPr>
          <w:rFonts w:hint="eastAsia" w:ascii="宋体" w:hAnsi="宋体" w:cs="宋体"/>
          <w:sz w:val="24"/>
          <w:highlight w:val="none"/>
          <w:lang w:val="en-US" w:eastAsia="zh-CN" w:bidi="ar"/>
        </w:rPr>
        <w:t>1</w:t>
      </w:r>
      <w:r>
        <w:rPr>
          <w:rFonts w:hint="eastAsia" w:ascii="宋体" w:hAnsi="宋体" w:cs="宋体"/>
          <w:sz w:val="24"/>
          <w:highlight w:val="none"/>
          <w:lang w:eastAsia="zh-CN" w:bidi="ar"/>
        </w:rPr>
        <w:t>）园</w:t>
      </w:r>
      <w:r>
        <w:rPr>
          <w:rFonts w:hint="eastAsia" w:ascii="宋体" w:hAnsi="宋体" w:cs="宋体"/>
          <w:color w:val="auto"/>
          <w:sz w:val="24"/>
          <w:highlight w:val="none"/>
        </w:rPr>
        <w:t>林日常养护，主要负责养护范围内的园林日常养护工作，</w:t>
      </w:r>
      <w:r>
        <w:rPr>
          <w:rFonts w:hint="eastAsia" w:ascii="宋体" w:hAnsi="宋体" w:cs="宋体"/>
          <w:color w:val="auto"/>
          <w:sz w:val="24"/>
          <w:highlight w:val="none"/>
          <w:lang w:eastAsia="zh-CN"/>
        </w:rPr>
        <w:t>每日服务工数最低保障为</w:t>
      </w:r>
      <w:r>
        <w:rPr>
          <w:rFonts w:hint="eastAsia" w:ascii="宋体" w:hAnsi="宋体" w:cs="宋体"/>
          <w:color w:val="auto"/>
          <w:sz w:val="24"/>
          <w:highlight w:val="none"/>
          <w:lang w:val="en-US" w:eastAsia="zh-CN"/>
        </w:rPr>
        <w:t>9工数</w:t>
      </w:r>
      <w:r>
        <w:rPr>
          <w:rFonts w:hint="eastAsia" w:ascii="宋体" w:hAnsi="宋体" w:cs="宋体"/>
          <w:color w:val="auto"/>
          <w:sz w:val="24"/>
          <w:highlight w:val="none"/>
        </w:rPr>
        <w:t>，</w:t>
      </w:r>
      <w:r>
        <w:rPr>
          <w:rFonts w:hint="eastAsia" w:ascii="宋体" w:hAnsi="宋体" w:cs="宋体"/>
          <w:sz w:val="24"/>
          <w:highlight w:val="none"/>
          <w:lang w:bidi="ar"/>
        </w:rPr>
        <w:t>项目负责人必须每天对工作情况进行检查，并记好工作台帐；同时安排好养护人员的工作，并做好每日电子考勤卡的考勤工作；在作业过程中，现场负责人须保持24小时手机畅通；养护项目负责人如不能到岗，必须向</w:t>
      </w:r>
      <w:r>
        <w:rPr>
          <w:rFonts w:hint="eastAsia" w:ascii="宋体" w:hAnsi="宋体" w:cs="宋体"/>
          <w:sz w:val="24"/>
          <w:highlight w:val="none"/>
          <w:lang w:eastAsia="zh-CN" w:bidi="ar"/>
        </w:rPr>
        <w:t>甲方</w:t>
      </w:r>
      <w:r>
        <w:rPr>
          <w:rFonts w:hint="eastAsia" w:ascii="宋体" w:hAnsi="宋体" w:cs="宋体"/>
          <w:sz w:val="24"/>
          <w:highlight w:val="none"/>
          <w:lang w:bidi="ar"/>
        </w:rPr>
        <w:t>管理人员请假，否则按</w:t>
      </w:r>
      <w:r>
        <w:rPr>
          <w:rFonts w:hint="eastAsia" w:ascii="宋体" w:hAnsi="宋体" w:cs="宋体"/>
          <w:sz w:val="24"/>
          <w:highlight w:val="none"/>
          <w:lang w:eastAsia="zh-CN" w:bidi="ar"/>
        </w:rPr>
        <w:t>乙方</w:t>
      </w:r>
      <w:r>
        <w:rPr>
          <w:rFonts w:hint="eastAsia" w:ascii="宋体" w:hAnsi="宋体" w:cs="宋体"/>
          <w:sz w:val="24"/>
          <w:highlight w:val="none"/>
          <w:lang w:bidi="ar"/>
        </w:rPr>
        <w:t>违约处理。</w:t>
      </w:r>
    </w:p>
    <w:p w14:paraId="26C0D918">
      <w:pPr>
        <w:keepNext w:val="0"/>
        <w:keepLines w:val="0"/>
        <w:pageBreakBefore w:val="0"/>
        <w:kinsoku/>
        <w:wordWrap/>
        <w:overflowPunct/>
        <w:topLinePunct w:val="0"/>
        <w:bidi w:val="0"/>
        <w:adjustRightInd w:val="0"/>
        <w:snapToGrid w:val="0"/>
        <w:spacing w:line="360" w:lineRule="auto"/>
        <w:ind w:firstLine="600"/>
        <w:jc w:val="left"/>
        <w:textAlignment w:val="auto"/>
        <w:rPr>
          <w:rFonts w:hint="eastAsia" w:ascii="宋体" w:hAnsi="宋体" w:cs="宋体"/>
          <w:sz w:val="24"/>
          <w:highlight w:val="none"/>
        </w:rPr>
      </w:pPr>
      <w:r>
        <w:rPr>
          <w:rFonts w:hint="eastAsia" w:ascii="宋体" w:hAnsi="宋体" w:cs="宋体"/>
          <w:sz w:val="24"/>
          <w:highlight w:val="none"/>
          <w:lang w:eastAsia="zh-CN" w:bidi="ar"/>
        </w:rPr>
        <w:t>（</w:t>
      </w:r>
      <w:r>
        <w:rPr>
          <w:rFonts w:hint="eastAsia" w:ascii="宋体" w:hAnsi="宋体" w:cs="宋体"/>
          <w:sz w:val="24"/>
          <w:highlight w:val="none"/>
          <w:lang w:val="en-US" w:eastAsia="zh-CN" w:bidi="ar"/>
        </w:rPr>
        <w:t>2</w:t>
      </w:r>
      <w:r>
        <w:rPr>
          <w:rFonts w:hint="eastAsia" w:ascii="宋体" w:hAnsi="宋体" w:cs="宋体"/>
          <w:sz w:val="24"/>
          <w:highlight w:val="none"/>
          <w:lang w:eastAsia="zh-CN" w:bidi="ar"/>
        </w:rPr>
        <w:t>）</w:t>
      </w:r>
      <w:r>
        <w:rPr>
          <w:rFonts w:hint="eastAsia" w:ascii="宋体" w:hAnsi="宋体" w:cs="宋体"/>
          <w:sz w:val="24"/>
          <w:highlight w:val="none"/>
          <w:lang w:bidi="ar"/>
        </w:rPr>
        <w:t>园林景观提升，主要负责养护范围内花坛花境种植、大树修剪复壮、节日摆花布置、园林突击任务等。</w:t>
      </w:r>
    </w:p>
    <w:p w14:paraId="3ABA657B">
      <w:pPr>
        <w:keepNext w:val="0"/>
        <w:keepLines w:val="0"/>
        <w:pageBreakBefore w:val="0"/>
        <w:kinsoku/>
        <w:wordWrap/>
        <w:overflowPunct/>
        <w:topLinePunct w:val="0"/>
        <w:bidi w:val="0"/>
        <w:adjustRightInd w:val="0"/>
        <w:snapToGrid w:val="0"/>
        <w:spacing w:line="360" w:lineRule="auto"/>
        <w:ind w:firstLine="600"/>
        <w:jc w:val="left"/>
        <w:textAlignment w:val="auto"/>
        <w:rPr>
          <w:rFonts w:hint="eastAsia" w:ascii="宋体" w:hAnsi="宋体" w:cs="宋体"/>
          <w:sz w:val="24"/>
          <w:highlight w:val="none"/>
        </w:rPr>
      </w:pPr>
      <w:r>
        <w:rPr>
          <w:rFonts w:hint="eastAsia" w:ascii="宋体" w:hAnsi="宋体" w:cs="宋体"/>
          <w:sz w:val="24"/>
          <w:highlight w:val="none"/>
          <w:lang w:eastAsia="zh-CN" w:bidi="ar"/>
        </w:rPr>
        <w:t>（</w:t>
      </w:r>
      <w:r>
        <w:rPr>
          <w:rFonts w:hint="eastAsia" w:ascii="宋体" w:hAnsi="宋体" w:cs="宋体"/>
          <w:sz w:val="24"/>
          <w:highlight w:val="none"/>
          <w:lang w:val="en-US" w:eastAsia="zh-CN" w:bidi="ar"/>
        </w:rPr>
        <w:t>3</w:t>
      </w:r>
      <w:r>
        <w:rPr>
          <w:rFonts w:hint="eastAsia" w:ascii="宋体" w:hAnsi="宋体" w:cs="宋体"/>
          <w:sz w:val="24"/>
          <w:highlight w:val="none"/>
          <w:lang w:eastAsia="zh-CN" w:bidi="ar"/>
        </w:rPr>
        <w:t>）</w:t>
      </w:r>
      <w:r>
        <w:rPr>
          <w:rFonts w:hint="eastAsia" w:ascii="宋体" w:hAnsi="宋体" w:cs="宋体"/>
          <w:sz w:val="24"/>
          <w:highlight w:val="none"/>
          <w:lang w:bidi="ar"/>
        </w:rPr>
        <w:t>应急抢险，主要负责抗雪、防冻、防台、防汛、抗旱等任务；</w:t>
      </w:r>
    </w:p>
    <w:p w14:paraId="2DF6B8B7">
      <w:pPr>
        <w:keepNext w:val="0"/>
        <w:keepLines w:val="0"/>
        <w:pageBreakBefore w:val="0"/>
        <w:kinsoku/>
        <w:wordWrap/>
        <w:overflowPunct/>
        <w:topLinePunct w:val="0"/>
        <w:bidi w:val="0"/>
        <w:adjustRightInd w:val="0"/>
        <w:snapToGrid w:val="0"/>
        <w:spacing w:line="360" w:lineRule="auto"/>
        <w:ind w:firstLine="600"/>
        <w:jc w:val="left"/>
        <w:textAlignment w:val="auto"/>
        <w:rPr>
          <w:rFonts w:hint="eastAsia" w:ascii="宋体" w:hAnsi="宋体" w:cs="宋体"/>
          <w:sz w:val="24"/>
          <w:highlight w:val="none"/>
        </w:rPr>
      </w:pPr>
      <w:r>
        <w:rPr>
          <w:rFonts w:hint="eastAsia" w:ascii="宋体" w:hAnsi="宋体" w:cs="宋体"/>
          <w:sz w:val="24"/>
          <w:highlight w:val="none"/>
          <w:lang w:eastAsia="zh-CN" w:bidi="ar"/>
        </w:rPr>
        <w:t>（</w:t>
      </w:r>
      <w:r>
        <w:rPr>
          <w:rFonts w:hint="eastAsia" w:ascii="宋体" w:hAnsi="宋体" w:cs="宋体"/>
          <w:sz w:val="24"/>
          <w:highlight w:val="none"/>
          <w:lang w:val="en-US" w:eastAsia="zh-CN" w:bidi="ar"/>
        </w:rPr>
        <w:t>4</w:t>
      </w:r>
      <w:r>
        <w:rPr>
          <w:rFonts w:hint="eastAsia" w:ascii="宋体" w:hAnsi="宋体" w:cs="宋体"/>
          <w:sz w:val="24"/>
          <w:highlight w:val="none"/>
          <w:lang w:eastAsia="zh-CN" w:bidi="ar"/>
        </w:rPr>
        <w:t>）</w:t>
      </w:r>
      <w:r>
        <w:rPr>
          <w:rFonts w:hint="eastAsia" w:ascii="宋体" w:hAnsi="宋体" w:cs="宋体"/>
          <w:sz w:val="24"/>
          <w:highlight w:val="none"/>
          <w:lang w:bidi="ar"/>
        </w:rPr>
        <w:t>园林景观提升与应急抢险任务，根据甲方预约派工单安排相关人员上岗。工作人员上岗时须配备工作服、安全帽、安全带、工作服、黄背心等。</w:t>
      </w:r>
    </w:p>
    <w:p w14:paraId="5D2E7DBA">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lang w:bidi="ar"/>
        </w:rPr>
        <w:t>3、与</w:t>
      </w:r>
      <w:r>
        <w:rPr>
          <w:rFonts w:hint="eastAsia" w:ascii="宋体" w:hAnsi="宋体" w:cs="宋体"/>
          <w:sz w:val="24"/>
          <w:highlight w:val="none"/>
          <w:lang w:eastAsia="zh-CN" w:bidi="ar"/>
        </w:rPr>
        <w:t>服务</w:t>
      </w:r>
      <w:r>
        <w:rPr>
          <w:rFonts w:hint="eastAsia" w:ascii="宋体" w:hAnsi="宋体" w:cs="宋体"/>
          <w:sz w:val="24"/>
          <w:highlight w:val="none"/>
          <w:lang w:bidi="ar"/>
        </w:rPr>
        <w:t>有关的作业所涉及的工具（含零星材料），需</w:t>
      </w:r>
      <w:r>
        <w:rPr>
          <w:rFonts w:hint="eastAsia" w:ascii="宋体" w:hAnsi="宋体" w:cs="宋体"/>
          <w:sz w:val="24"/>
          <w:highlight w:val="none"/>
          <w:lang w:eastAsia="zh-CN" w:bidi="ar"/>
        </w:rPr>
        <w:t>乙方</w:t>
      </w:r>
      <w:r>
        <w:rPr>
          <w:rFonts w:hint="eastAsia" w:ascii="宋体" w:hAnsi="宋体" w:cs="宋体"/>
          <w:sz w:val="24"/>
          <w:highlight w:val="none"/>
          <w:lang w:bidi="ar"/>
        </w:rPr>
        <w:t>自备。</w:t>
      </w:r>
    </w:p>
    <w:p w14:paraId="16BE0543">
      <w:pPr>
        <w:keepNext w:val="0"/>
        <w:keepLines w:val="0"/>
        <w:pageBreakBefore w:val="0"/>
        <w:kinsoku/>
        <w:wordWrap/>
        <w:overflowPunct/>
        <w:topLinePunct w:val="0"/>
        <w:bidi w:val="0"/>
        <w:adjustRightInd w:val="0"/>
        <w:snapToGrid w:val="0"/>
        <w:spacing w:line="360" w:lineRule="auto"/>
        <w:textAlignment w:val="auto"/>
        <w:rPr>
          <w:rFonts w:hint="eastAsia" w:ascii="宋体" w:hAnsi="宋体" w:cs="宋体"/>
          <w:b/>
          <w:bCs/>
          <w:sz w:val="24"/>
          <w:highlight w:val="none"/>
        </w:rPr>
      </w:pPr>
      <w:r>
        <w:rPr>
          <w:rFonts w:hint="eastAsia" w:ascii="宋体" w:hAnsi="宋体" w:cs="宋体"/>
          <w:sz w:val="24"/>
          <w:highlight w:val="none"/>
          <w:lang w:bidi="ar"/>
        </w:rPr>
        <w:t>二、</w:t>
      </w:r>
      <w:r>
        <w:rPr>
          <w:rFonts w:hint="eastAsia" w:ascii="宋体" w:hAnsi="宋体" w:cs="宋体"/>
          <w:b/>
          <w:bCs/>
          <w:sz w:val="24"/>
          <w:highlight w:val="none"/>
          <w:lang w:bidi="ar"/>
        </w:rPr>
        <w:t>服务内容、服务期限及服务要求</w:t>
      </w:r>
    </w:p>
    <w:p w14:paraId="19EF5F2F">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lang w:bidi="ar"/>
        </w:rPr>
        <w:t>1、服务内容主要是从事茅乡景区及仁寿山园林养护区域范围内现有园林绿化养护管理，具体养护项目主要含：</w:t>
      </w:r>
      <w:r>
        <w:rPr>
          <w:rFonts w:hint="eastAsia" w:ascii="宋体" w:hAnsi="宋体" w:cs="宋体"/>
          <w:sz w:val="24"/>
          <w:highlight w:val="none"/>
        </w:rPr>
        <w:t>树木迁移、调整；树木（包括行道树）抹芽、修枝、修剪；整地、裸露黄土复绿；草坪滚剪、草坪除草、草坪填土平整、水生植物冬季割黄；绿化带、道路两侧林带、地被除草；浇水、施肥、病虫害防治；花展布置、花坛花境换花；由于遭受自然天气影响导致植物景观或养护不当引起的苗木补种；枯死树清理、林带内枯枝等垃圾清理；养护范围内所有园林植物花卉的抗旱、防汛、抗雪及灾害性天气导致的损毁产生的园林垃圾外运、处置等。养护服务过程中，产生的苗木、肥料、农药等材料费用由</w:t>
      </w:r>
      <w:r>
        <w:rPr>
          <w:rFonts w:hint="eastAsia" w:ascii="宋体" w:hAnsi="宋体" w:cs="宋体"/>
          <w:sz w:val="24"/>
          <w:highlight w:val="none"/>
          <w:lang w:eastAsia="zh-CN"/>
        </w:rPr>
        <w:t>乙方</w:t>
      </w:r>
      <w:r>
        <w:rPr>
          <w:rFonts w:hint="eastAsia" w:ascii="宋体" w:hAnsi="宋体" w:cs="宋体"/>
          <w:sz w:val="24"/>
          <w:highlight w:val="none"/>
        </w:rPr>
        <w:t>提供</w:t>
      </w:r>
      <w:r>
        <w:rPr>
          <w:rFonts w:hint="eastAsia" w:ascii="宋体" w:hAnsi="宋体" w:cs="宋体"/>
          <w:sz w:val="24"/>
          <w:highlight w:val="none"/>
          <w:lang w:bidi="ar"/>
        </w:rPr>
        <w:t>。</w:t>
      </w:r>
    </w:p>
    <w:p w14:paraId="0E13BD91">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lang w:bidi="ar"/>
        </w:rPr>
        <w:t>2、园林养护人员外环境作业时间：10小时/天，7：00—17：00，项目负责人到岗时间8:00-17:30，到岗率100%。</w:t>
      </w:r>
    </w:p>
    <w:p w14:paraId="00BE38B7">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lang w:bidi="ar"/>
        </w:rPr>
        <w:t>3、</w:t>
      </w:r>
      <w:r>
        <w:rPr>
          <w:rFonts w:hint="eastAsia" w:ascii="宋体" w:hAnsi="宋体" w:cs="宋体"/>
          <w:sz w:val="24"/>
          <w:highlight w:val="none"/>
          <w:lang w:eastAsia="zh-CN" w:bidi="ar"/>
        </w:rPr>
        <w:t>乙方</w:t>
      </w:r>
      <w:r>
        <w:rPr>
          <w:rFonts w:hint="eastAsia" w:ascii="宋体" w:hAnsi="宋体" w:cs="宋体"/>
          <w:sz w:val="24"/>
          <w:highlight w:val="none"/>
          <w:lang w:bidi="ar"/>
        </w:rPr>
        <w:t>严格遵守上级有关部门的养护标准要求执行，并严格按照《灵隐管理处“双最”公园综合检查考核细则》、《灵隐管理处“双最”道路（河道）绿地综合检查考核细则》等规范进行养护。</w:t>
      </w:r>
    </w:p>
    <w:p w14:paraId="46EE0CFA">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lang w:bidi="ar"/>
        </w:rPr>
        <w:t>4、绿地内树木修剪、滚草、枯死枝清理等，垃圾须当日清运完毕。</w:t>
      </w:r>
    </w:p>
    <w:p w14:paraId="3EEA9CA6">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lang w:bidi="ar"/>
        </w:rPr>
        <w:t>5、草坪随时修剪要求，草坪草高度不超过8cm（常绿草高度不超过6cm），树木周围和草坪边缘应及时切边。常绿草四季应保持绿色，草坪的纯洁度在98%以上，无空秃、黄化现象。对被人为损坏和已发生病害的常绿草坪两天内切除调换，补种时确保草坪的美观和平整。</w:t>
      </w:r>
    </w:p>
    <w:p w14:paraId="261CCBF5">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lang w:bidi="ar"/>
        </w:rPr>
        <w:t>6、乔灌木的修剪按《杭州园林植物养护技术规程》进行操作,根据</w:t>
      </w:r>
      <w:r>
        <w:rPr>
          <w:rFonts w:hint="eastAsia" w:ascii="宋体" w:hAnsi="宋体" w:cs="宋体"/>
          <w:sz w:val="24"/>
          <w:highlight w:val="none"/>
          <w:lang w:eastAsia="zh-CN" w:bidi="ar"/>
        </w:rPr>
        <w:t>甲方</w:t>
      </w:r>
      <w:r>
        <w:rPr>
          <w:rFonts w:hint="eastAsia" w:ascii="宋体" w:hAnsi="宋体" w:cs="宋体"/>
          <w:sz w:val="24"/>
          <w:highlight w:val="none"/>
          <w:lang w:bidi="ar"/>
        </w:rPr>
        <w:t>要求无患子、枫香、鸡爪槭、梅花等乔木或大型花灌木冬季必须刷白，及时防治病虫害；发现枯枝、死枝必须24小时内处理完毕；花灌木随时修剪，球形灌木常年保持形态完整，色块灌木应控制高度及宽度，色块之间界限分明、线条清晰流畅，无缺株、无空洞。按</w:t>
      </w:r>
      <w:r>
        <w:rPr>
          <w:rFonts w:hint="eastAsia" w:ascii="宋体" w:hAnsi="宋体" w:cs="宋体"/>
          <w:sz w:val="24"/>
          <w:highlight w:val="none"/>
          <w:lang w:eastAsia="zh-CN" w:bidi="ar"/>
        </w:rPr>
        <w:t>甲方</w:t>
      </w:r>
      <w:r>
        <w:rPr>
          <w:rFonts w:hint="eastAsia" w:ascii="宋体" w:hAnsi="宋体" w:cs="宋体"/>
          <w:sz w:val="24"/>
          <w:highlight w:val="none"/>
          <w:lang w:bidi="ar"/>
        </w:rPr>
        <w:t>的要求对枯死的树木连同根部在24小时内挖除，并在2天内补种完毕，补种苗木的规格、品种和原苗木基本相同。</w:t>
      </w:r>
    </w:p>
    <w:p w14:paraId="31DF0E37">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lang w:bidi="ar"/>
        </w:rPr>
        <w:t>6.1花灌木养护：应根据花芽发育规律，对花灌木进行适当修剪，促进花枝萌发；同时，应在花前花后做好施肥工作，可适量施一些有机肥，促进根系生长，提高土壤有机质含量。</w:t>
      </w:r>
    </w:p>
    <w:p w14:paraId="14201543">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sz w:val="24"/>
          <w:highlight w:val="none"/>
          <w:lang w:bidi="ar"/>
        </w:rPr>
        <w:t>7、花坛花境的养护，保证一年六次换花（含四个季度双最公园评比、五一、十一花境评比），做好花坛花境日常养护工作，</w:t>
      </w:r>
      <w:r>
        <w:rPr>
          <w:rFonts w:hint="eastAsia" w:ascii="宋体" w:hAnsi="宋体" w:cs="宋体"/>
          <w:color w:val="auto"/>
          <w:sz w:val="24"/>
          <w:highlight w:val="none"/>
        </w:rPr>
        <w:t>充分考虑地域环境、气候条件保证花卉、植物等的成活率和整体美观性；防治病虫害，及时清理病弱死株及补种，延长花卉的盛放周期保证景观效果。</w:t>
      </w:r>
    </w:p>
    <w:p w14:paraId="6F846D36">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default" w:ascii="宋体" w:hAnsi="宋体" w:eastAsia="宋体" w:cs="宋体"/>
          <w:sz w:val="24"/>
          <w:highlight w:val="none"/>
          <w:lang w:val="en-US" w:eastAsia="zh-CN" w:bidi="ar"/>
        </w:rPr>
      </w:pPr>
      <w:r>
        <w:rPr>
          <w:rFonts w:hint="eastAsia" w:ascii="宋体" w:hAnsi="宋体" w:cs="宋体"/>
          <w:sz w:val="24"/>
          <w:highlight w:val="none"/>
          <w:lang w:val="en-US" w:eastAsia="zh-CN" w:bidi="ar"/>
        </w:rPr>
        <w:t>7.1</w:t>
      </w:r>
      <w:r>
        <w:rPr>
          <w:rFonts w:hint="eastAsia" w:ascii="宋体" w:hAnsi="宋体" w:cs="宋体"/>
          <w:color w:val="auto"/>
          <w:sz w:val="24"/>
          <w:highlight w:val="none"/>
        </w:rPr>
        <w:t>花境构图自然、植物配置合理，与周围环境相协调，花境类型可以多样，突出设计主题自然花境图案、色彩搭配富有艺术感，种植、养护技术精湛。</w:t>
      </w:r>
    </w:p>
    <w:p w14:paraId="713F42A6">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lang w:val="en-US" w:eastAsia="zh-CN" w:bidi="ar"/>
        </w:rPr>
        <w:t>8、</w:t>
      </w:r>
      <w:r>
        <w:rPr>
          <w:rFonts w:hint="eastAsia" w:ascii="宋体" w:hAnsi="宋体" w:cs="宋体"/>
          <w:sz w:val="24"/>
          <w:highlight w:val="none"/>
          <w:lang w:bidi="ar"/>
        </w:rPr>
        <w:t>病虫害防治：应认真贯彻“综合防治，以防为主”的方针，做到治早、治好，无明显病虫害发现，鼓励使用生物防治技术，提倡生态环保理念。</w:t>
      </w:r>
    </w:p>
    <w:p w14:paraId="2B599754">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lang w:bidi="ar"/>
        </w:rPr>
        <w:t>9、遇有抗台、防汛、抗旱、抗雪及抗旱等突发事件（防汛防台期（7-8月）、抗旱期（8-10月）、防雪抗冻期（12-2月）、抗旱（8-10月）），必须无条件及时组织力量做好应急抢险等保障工作，服从</w:t>
      </w:r>
      <w:r>
        <w:rPr>
          <w:rFonts w:hint="eastAsia" w:ascii="宋体" w:hAnsi="宋体" w:cs="宋体"/>
          <w:sz w:val="24"/>
          <w:highlight w:val="none"/>
          <w:lang w:eastAsia="zh-CN" w:bidi="ar"/>
        </w:rPr>
        <w:t>甲方</w:t>
      </w:r>
      <w:r>
        <w:rPr>
          <w:rFonts w:hint="eastAsia" w:ascii="宋体" w:hAnsi="宋体" w:cs="宋体"/>
          <w:sz w:val="24"/>
          <w:highlight w:val="none"/>
          <w:lang w:bidi="ar"/>
        </w:rPr>
        <w:t>的统一指挥。对各类灾害性天气有应急预案，并自备相关工具。道路发生行道树倒伏，应在接到通知后半小时内赶到现场，12小时内处理完毕。如堵塞交通，2小时内予以清除。</w:t>
      </w:r>
    </w:p>
    <w:p w14:paraId="0AA6E34D">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lang w:bidi="ar"/>
        </w:rPr>
      </w:pPr>
      <w:r>
        <w:rPr>
          <w:rFonts w:hint="eastAsia" w:ascii="宋体" w:hAnsi="宋体" w:cs="宋体"/>
          <w:sz w:val="24"/>
          <w:highlight w:val="none"/>
          <w:lang w:bidi="ar"/>
        </w:rPr>
        <w:t>10、自觉接受各级部门的检查和社会舆论的监督。负责做好本合同养护区域内的长效管理抄告单、“数字城管”和投诉电话、新闻舆论批评和市、局、处等相关部门、群众信访等投诉处理件的处理、整改和回复工作，应在时限内处理完毕并将信息反馈。</w:t>
      </w:r>
    </w:p>
    <w:p w14:paraId="0D30ED4B">
      <w:pPr>
        <w:keepNext w:val="0"/>
        <w:keepLines w:val="0"/>
        <w:pageBreakBefore w:val="0"/>
        <w:kinsoku/>
        <w:wordWrap/>
        <w:overflowPunct/>
        <w:topLinePunct w:val="0"/>
        <w:bidi w:val="0"/>
        <w:adjustRightInd w:val="0"/>
        <w:snapToGrid w:val="0"/>
        <w:spacing w:line="360" w:lineRule="auto"/>
        <w:ind w:firstLine="482" w:firstLineChars="200"/>
        <w:jc w:val="left"/>
        <w:textAlignment w:val="auto"/>
        <w:rPr>
          <w:rFonts w:hint="eastAsia" w:ascii="宋体" w:hAnsi="宋体" w:cs="宋体"/>
          <w:b/>
          <w:bCs/>
          <w:sz w:val="24"/>
          <w:highlight w:val="none"/>
        </w:rPr>
      </w:pPr>
      <w:r>
        <w:rPr>
          <w:rFonts w:hint="eastAsia" w:ascii="宋体" w:hAnsi="宋体" w:cs="宋体"/>
          <w:b/>
          <w:bCs/>
          <w:sz w:val="24"/>
          <w:highlight w:val="none"/>
        </w:rPr>
        <w:t>11、严格遵守《劳动法》、《劳动合同法》等劳动法规，保障职工合法权益。严格执行杭州市最新文件规定的工资标准，必须落实职工劳保福利待遇，为职工缴纳社会保险费（养老保险、医疗保险、失业保险、工伤保险和生育保险），保障职工休息休假权利，加班必须足额支付加班费，职工的工资、岗位津贴、加班工资等必须确保按月发放。如因违法、违规造成上访或群体性事件的，由乙方负责处理。乙方未达到上述要求的，甲方有权立即解除合同。</w:t>
      </w:r>
    </w:p>
    <w:p w14:paraId="2ACBC2D2">
      <w:pPr>
        <w:keepNext w:val="0"/>
        <w:keepLines w:val="0"/>
        <w:pageBreakBefore w:val="0"/>
        <w:kinsoku/>
        <w:wordWrap/>
        <w:overflowPunct/>
        <w:topLinePunct w:val="0"/>
        <w:bidi w:val="0"/>
        <w:adjustRightInd w:val="0"/>
        <w:snapToGrid w:val="0"/>
        <w:spacing w:line="360" w:lineRule="auto"/>
        <w:ind w:firstLine="482" w:firstLineChars="200"/>
        <w:jc w:val="left"/>
        <w:textAlignment w:val="auto"/>
        <w:rPr>
          <w:rFonts w:hint="eastAsia" w:ascii="宋体" w:hAnsi="宋体" w:cs="宋体"/>
          <w:b/>
          <w:bCs/>
          <w:sz w:val="24"/>
          <w:highlight w:val="none"/>
        </w:rPr>
      </w:pPr>
      <w:r>
        <w:rPr>
          <w:rFonts w:hint="eastAsia" w:ascii="宋体" w:hAnsi="宋体" w:cs="宋体"/>
          <w:b/>
          <w:bCs/>
          <w:sz w:val="24"/>
          <w:highlight w:val="none"/>
        </w:rPr>
        <w:t>12、项目实施过程中制订有效“流感”防控工作制定方案并保证落实到位。如因防控失职等造成被通报批评的，由乙方负责处理，并承担全部责任且甲方有权解除合同。</w:t>
      </w:r>
    </w:p>
    <w:p w14:paraId="47EE8FBD">
      <w:pPr>
        <w:pStyle w:val="981"/>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cs="宋体"/>
          <w:b/>
          <w:bCs/>
          <w:szCs w:val="24"/>
          <w:highlight w:val="none"/>
          <w:lang w:val="en-US"/>
        </w:rPr>
      </w:pPr>
      <w:r>
        <w:rPr>
          <w:rFonts w:hint="eastAsia" w:cs="宋体"/>
          <w:b/>
          <w:bCs/>
          <w:kern w:val="2"/>
          <w:szCs w:val="24"/>
          <w:highlight w:val="none"/>
          <w:lang w:val="en-US"/>
        </w:rPr>
        <w:t>13、严格执行市、区“无欠薪”制度文件、服务工数实名管理制度、工资保证金制度、分账管理制度、按月足额支付制度、委托银行代发工资制度。如发生欠薪事件等造成被通报批评的，由乙方负责处理，并承担全部责任。且甲方有权解除合同。</w:t>
      </w:r>
    </w:p>
    <w:p w14:paraId="41ACEE56">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cs="宋体"/>
          <w:b/>
          <w:bCs/>
          <w:sz w:val="24"/>
          <w:highlight w:val="none"/>
        </w:rPr>
      </w:pPr>
      <w:r>
        <w:rPr>
          <w:rFonts w:hint="eastAsia" w:ascii="宋体" w:hAnsi="宋体" w:cs="宋体"/>
          <w:b/>
          <w:bCs/>
          <w:sz w:val="24"/>
          <w:highlight w:val="none"/>
          <w:lang w:bidi="ar"/>
        </w:rPr>
        <w:t>三、茅乡景区及仁寿山园林养护区域养护考核要求</w:t>
      </w:r>
    </w:p>
    <w:p w14:paraId="5C700E80">
      <w:pPr>
        <w:keepNext w:val="0"/>
        <w:keepLines w:val="0"/>
        <w:pageBreakBefore w:val="0"/>
        <w:kinsoku/>
        <w:wordWrap/>
        <w:overflowPunct/>
        <w:topLinePunct w:val="0"/>
        <w:bidi w:val="0"/>
        <w:adjustRightInd w:val="0"/>
        <w:snapToGrid w:val="0"/>
        <w:spacing w:line="360" w:lineRule="auto"/>
        <w:ind w:firstLine="470" w:firstLineChars="196"/>
        <w:jc w:val="left"/>
        <w:textAlignment w:val="auto"/>
        <w:rPr>
          <w:rFonts w:hint="eastAsia" w:ascii="宋体" w:hAnsi="宋体" w:cs="宋体"/>
          <w:bCs/>
          <w:sz w:val="24"/>
          <w:highlight w:val="none"/>
        </w:rPr>
      </w:pPr>
      <w:r>
        <w:rPr>
          <w:rFonts w:hint="eastAsia" w:ascii="宋体" w:hAnsi="宋体" w:cs="宋体"/>
          <w:bCs/>
          <w:sz w:val="24"/>
          <w:highlight w:val="none"/>
          <w:lang w:bidi="ar"/>
        </w:rPr>
        <w:t>管理考核采取日常巡查管理和检查考核相结合。招标人及相关部门负责日常巡查监管和考核。</w:t>
      </w:r>
    </w:p>
    <w:p w14:paraId="625E908C">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数字城管案卷、智慧园文抄告等市级抄告及群众来电、来信、来访投诉并经查实的，出现重复抄告、投诉的每次承担违约金500元，法定节假日和重大活动保障不到位的每次承担违约金1000元。</w:t>
      </w:r>
    </w:p>
    <w:p w14:paraId="22F88D6C">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甲方主要领导及分管领导检查发现问题，每次承担违约金500元，情节严重承担违约金1000元-2000元。</w:t>
      </w:r>
    </w:p>
    <w:p w14:paraId="2834D5F5">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eastAsia="zh-CN"/>
        </w:rPr>
        <w:t>、“</w:t>
      </w:r>
      <w:r>
        <w:rPr>
          <w:rFonts w:hint="eastAsia" w:ascii="宋体" w:hAnsi="宋体" w:cs="宋体"/>
          <w:sz w:val="24"/>
          <w:highlight w:val="none"/>
        </w:rPr>
        <w:t>双最”公园考核、处长效管理考核扣分的，每条承担违约金1000元。因乙方原因（乙方被抄告问题占区域问题总量60%以上）导致“双最”道路或公园排名末3位的，甲方有权解除合同，乙方承担当月服务费作为违约金。</w:t>
      </w:r>
    </w:p>
    <w:p w14:paraId="2DEC3613">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lang w:val="en-US"/>
        </w:rPr>
      </w:pPr>
      <w:r>
        <w:rPr>
          <w:rFonts w:hint="eastAsia" w:ascii="宋体" w:hAnsi="宋体" w:cs="宋体"/>
          <w:sz w:val="24"/>
          <w:highlight w:val="none"/>
          <w:lang w:val="en-US"/>
        </w:rPr>
        <w:t>4</w:t>
      </w:r>
      <w:r>
        <w:rPr>
          <w:rFonts w:hint="eastAsia" w:ascii="宋体" w:hAnsi="宋体" w:cs="宋体"/>
          <w:sz w:val="24"/>
          <w:highlight w:val="none"/>
          <w:lang w:val="en-US" w:eastAsia="zh-CN"/>
        </w:rPr>
        <w:t>、</w:t>
      </w:r>
      <w:r>
        <w:rPr>
          <w:rFonts w:hint="eastAsia" w:ascii="宋体" w:hAnsi="宋体" w:cs="宋体"/>
          <w:sz w:val="24"/>
          <w:highlight w:val="none"/>
          <w:lang w:val="en-US"/>
        </w:rPr>
        <w:t>有关部门发出整改通知书乙方不整改或整改不力的，一次承担违约金1000元，累计达到三次的，甲方予以解除合同，履约保证金不予归还。</w:t>
      </w:r>
    </w:p>
    <w:p w14:paraId="7C33CDC2">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lang w:eastAsia="zh-CN"/>
        </w:rPr>
        <w:t>、</w:t>
      </w:r>
      <w:r>
        <w:rPr>
          <w:rFonts w:hint="eastAsia" w:ascii="宋体" w:hAnsi="宋体" w:cs="宋体"/>
          <w:sz w:val="24"/>
          <w:highlight w:val="none"/>
        </w:rPr>
        <w:t>新闻媒体评比曝光1次，扣款3000元。</w:t>
      </w:r>
    </w:p>
    <w:p w14:paraId="556DD9AD">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lang w:val="en-US"/>
        </w:rPr>
      </w:pPr>
      <w:r>
        <w:rPr>
          <w:rFonts w:hint="eastAsia" w:ascii="宋体" w:hAnsi="宋体" w:cs="宋体"/>
          <w:sz w:val="24"/>
          <w:highlight w:val="none"/>
          <w:lang w:val="en-US" w:eastAsia="zh-CN"/>
        </w:rPr>
        <w:t>6、</w:t>
      </w:r>
      <w:r>
        <w:rPr>
          <w:rFonts w:hint="eastAsia" w:ascii="宋体" w:hAnsi="宋体" w:cs="宋体"/>
          <w:sz w:val="24"/>
          <w:highlight w:val="none"/>
          <w:lang w:val="en-US"/>
        </w:rPr>
        <w:t>遇到突发事件、自然灾害或天气影响，必须服从甲方指挥和安排，遇抗雪防冻、抗台防汛等天气，乙方必须在第一时间内迅速组织人员、机具设备将道路清理干净，如发现乙方在接到通知后，没有作出积极反应的，每次承担违约金500元，在接到甲方通知后，未在规定时间内到达现场的，每次承担违约金3000元，未在规定时间内完成任务的，每次承担违约金3000元。</w:t>
      </w:r>
    </w:p>
    <w:p w14:paraId="42C8933E">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市级检查失分扣2000元/次，省级检查失分扣5000元/次，国家级检查失分扣10000元/次，甲方可解除园林养护服务合同。</w:t>
      </w:r>
    </w:p>
    <w:p w14:paraId="7C3EECF1">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lang w:val="en-US" w:eastAsia="zh-CN"/>
        </w:rPr>
        <w:t>8、</w:t>
      </w:r>
      <w:r>
        <w:rPr>
          <w:rFonts w:hint="eastAsia" w:ascii="宋体" w:hAnsi="宋体" w:cs="宋体"/>
          <w:sz w:val="24"/>
          <w:highlight w:val="none"/>
        </w:rPr>
        <w:t>其他</w:t>
      </w:r>
    </w:p>
    <w:p w14:paraId="4780A830">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lang w:val="en-US" w:eastAsia="zh-CN"/>
        </w:rPr>
        <w:t>8</w:t>
      </w:r>
      <w:r>
        <w:rPr>
          <w:rFonts w:hint="eastAsia" w:ascii="宋体" w:hAnsi="宋体" w:cs="宋体"/>
          <w:sz w:val="24"/>
          <w:highlight w:val="none"/>
        </w:rPr>
        <w:t>.1乙方应按照甲方要求，配足园林养护人员，因乙方原因致使人员不足的，甲方将按缺勤考虑，按缺勤人数及天数，扣除当月养护费用，因乙方原因致使人员不足，且影响甲方正常工作运转的，甲方可以向其他公司紧急聘用养护人员以弥补岗位缺口，所涉及的费用由乙方承担。</w:t>
      </w:r>
    </w:p>
    <w:p w14:paraId="53D7C1A5">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bCs/>
          <w:iCs/>
          <w:sz w:val="24"/>
          <w:highlight w:val="none"/>
        </w:rPr>
      </w:pPr>
      <w:r>
        <w:rPr>
          <w:rFonts w:hint="eastAsia" w:ascii="宋体" w:hAnsi="宋体" w:cs="宋体"/>
          <w:sz w:val="24"/>
          <w:highlight w:val="none"/>
        </w:rPr>
        <w:t>在作业过程中，</w:t>
      </w:r>
      <w:r>
        <w:rPr>
          <w:rFonts w:hint="eastAsia" w:ascii="宋体" w:hAnsi="宋体" w:cs="宋体"/>
          <w:bCs/>
          <w:iCs/>
          <w:sz w:val="24"/>
          <w:highlight w:val="none"/>
        </w:rPr>
        <w:t>如出现乙方人员迟到早退、聚集聊天、消极怠工、不按甲方工作要求操作、不服从管理等情况，发现一次扣除费用</w:t>
      </w:r>
      <w:r>
        <w:rPr>
          <w:rFonts w:hint="eastAsia" w:ascii="宋体" w:hAnsi="宋体" w:cs="宋体"/>
          <w:bCs/>
          <w:iCs/>
          <w:sz w:val="24"/>
          <w:highlight w:val="none"/>
          <w:lang w:val="en-US" w:eastAsia="zh-CN"/>
        </w:rPr>
        <w:t>5</w:t>
      </w:r>
      <w:r>
        <w:rPr>
          <w:rFonts w:hint="eastAsia" w:ascii="宋体" w:hAnsi="宋体" w:cs="宋体"/>
          <w:bCs/>
          <w:iCs/>
          <w:sz w:val="24"/>
          <w:highlight w:val="none"/>
        </w:rPr>
        <w:t>00元，发现二次扣除费用</w:t>
      </w:r>
      <w:r>
        <w:rPr>
          <w:rFonts w:hint="eastAsia" w:ascii="宋体" w:hAnsi="宋体" w:cs="宋体"/>
          <w:bCs/>
          <w:iCs/>
          <w:sz w:val="24"/>
          <w:highlight w:val="none"/>
          <w:lang w:val="en-US" w:eastAsia="zh-CN"/>
        </w:rPr>
        <w:t>20</w:t>
      </w:r>
      <w:r>
        <w:rPr>
          <w:rFonts w:hint="eastAsia" w:ascii="宋体" w:hAnsi="宋体" w:cs="宋体"/>
          <w:bCs/>
          <w:iCs/>
          <w:sz w:val="24"/>
          <w:highlight w:val="none"/>
        </w:rPr>
        <w:t>00</w:t>
      </w:r>
      <w:r>
        <w:rPr>
          <w:rFonts w:hint="eastAsia" w:ascii="宋体" w:hAnsi="宋体" w:cs="宋体"/>
          <w:bCs/>
          <w:iCs/>
          <w:sz w:val="24"/>
          <w:highlight w:val="none"/>
          <w:lang w:val="en-US" w:eastAsia="zh-CN"/>
        </w:rPr>
        <w:t>元</w:t>
      </w:r>
      <w:r>
        <w:rPr>
          <w:rFonts w:hint="eastAsia" w:ascii="宋体" w:hAnsi="宋体" w:cs="宋体"/>
          <w:bCs/>
          <w:iCs/>
          <w:sz w:val="24"/>
          <w:highlight w:val="none"/>
        </w:rPr>
        <w:t>，发生三次及以上，甲方可解除合同。如出现打架斗殴等对甲方公园景区形象产生恶劣影响的情况，视情况严重程度予以处罚，如情节严重的，甲方有权中止合同，且不支付劳务费用。</w:t>
      </w:r>
    </w:p>
    <w:p w14:paraId="5003727C">
      <w:pPr>
        <w:keepNext w:val="0"/>
        <w:keepLines w:val="0"/>
        <w:pageBreakBefore w:val="0"/>
        <w:numPr>
          <w:ilvl w:val="0"/>
          <w:numId w:val="0"/>
        </w:numPr>
        <w:kinsoku/>
        <w:wordWrap/>
        <w:overflowPunct/>
        <w:topLinePunct w:val="0"/>
        <w:bidi w:val="0"/>
        <w:adjustRightInd w:val="0"/>
        <w:snapToGrid w:val="0"/>
        <w:spacing w:line="360" w:lineRule="auto"/>
        <w:ind w:left="-62" w:leftChars="0" w:firstLine="482" w:firstLineChars="0"/>
        <w:jc w:val="left"/>
        <w:textAlignment w:val="auto"/>
        <w:rPr>
          <w:rFonts w:hint="eastAsia" w:ascii="宋体" w:hAnsi="宋体" w:cs="宋体"/>
          <w:sz w:val="24"/>
          <w:highlight w:val="none"/>
        </w:rPr>
      </w:pPr>
      <w:r>
        <w:rPr>
          <w:rFonts w:hint="eastAsia" w:ascii="宋体" w:hAnsi="宋体" w:cs="宋体"/>
          <w:kern w:val="2"/>
          <w:sz w:val="24"/>
          <w:szCs w:val="24"/>
          <w:highlight w:val="none"/>
          <w:lang w:val="en-US" w:eastAsia="zh-CN" w:bidi="ar-SA"/>
        </w:rPr>
        <w:t>9</w:t>
      </w:r>
      <w:r>
        <w:rPr>
          <w:rFonts w:hint="eastAsia" w:ascii="宋体" w:hAnsi="宋体" w:eastAsia="宋体" w:cs="宋体"/>
          <w:kern w:val="2"/>
          <w:sz w:val="24"/>
          <w:szCs w:val="24"/>
          <w:highlight w:val="none"/>
          <w:lang w:val="en-US" w:eastAsia="zh-CN" w:bidi="ar-SA"/>
        </w:rPr>
        <w:t>、</w:t>
      </w:r>
      <w:r>
        <w:rPr>
          <w:rFonts w:hint="eastAsia" w:ascii="宋体" w:hAnsi="宋体" w:cs="宋体"/>
          <w:sz w:val="24"/>
          <w:highlight w:val="none"/>
        </w:rPr>
        <w:t>日常巡检中，如现场养护人员不到位的，每发现一次承担违约金500元，情节严重承担违约金1000元。</w:t>
      </w:r>
    </w:p>
    <w:p w14:paraId="1A2C22FF">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10、在日常巡检中，如发现现场养护人员电子考勤不到位的，每发现一次承担违约金500元，养护班组整体电子考勤缺卡、没打卡的，视情节严重承担违约金5000元。</w:t>
      </w:r>
    </w:p>
    <w:p w14:paraId="7BDC6EFB">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cs="宋体"/>
          <w:b/>
          <w:bCs/>
          <w:sz w:val="24"/>
          <w:highlight w:val="none"/>
        </w:rPr>
      </w:pPr>
      <w:r>
        <w:rPr>
          <w:rFonts w:hint="eastAsia" w:ascii="宋体" w:hAnsi="宋体" w:cs="宋体"/>
          <w:b/>
          <w:bCs/>
          <w:sz w:val="24"/>
          <w:highlight w:val="none"/>
          <w:lang w:bidi="ar"/>
        </w:rPr>
        <w:t>四、质量保证及后续服务</w:t>
      </w:r>
    </w:p>
    <w:p w14:paraId="4FCC260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lang w:bidi="ar"/>
        </w:rPr>
        <w:t>4.1质量标准：达到《杭州市城区绿地养护质量标准》。</w:t>
      </w:r>
    </w:p>
    <w:p w14:paraId="57B5E0E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lang w:bidi="ar"/>
        </w:rPr>
        <w:t xml:space="preserve">4.2乙方提供的服务应确保按时完成甲方规定的工作任务。对达不到要求的，根据实际情况达不到验收合格的，按损失金额进行赔偿。 </w:t>
      </w:r>
    </w:p>
    <w:p w14:paraId="53C2C57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lang w:bidi="ar"/>
        </w:rPr>
        <w:t>4.3如在服务过程中发生问题，乙方项目负责人应在接到甲方通知后在</w:t>
      </w:r>
      <w:r>
        <w:rPr>
          <w:rFonts w:hint="eastAsia" w:ascii="宋体" w:hAnsi="宋体" w:cs="宋体"/>
          <w:sz w:val="24"/>
          <w:highlight w:val="none"/>
          <w:u w:val="single"/>
          <w:lang w:bidi="ar"/>
        </w:rPr>
        <w:t>1</w:t>
      </w:r>
      <w:r>
        <w:rPr>
          <w:rFonts w:hint="eastAsia" w:ascii="宋体" w:hAnsi="宋体" w:cs="宋体"/>
          <w:sz w:val="24"/>
          <w:highlight w:val="none"/>
          <w:lang w:bidi="ar"/>
        </w:rPr>
        <w:t>小时内到达项目现场。</w:t>
      </w:r>
    </w:p>
    <w:p w14:paraId="2D3AD7A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b/>
          <w:bCs/>
          <w:sz w:val="24"/>
          <w:highlight w:val="none"/>
        </w:rPr>
      </w:pPr>
      <w:r>
        <w:rPr>
          <w:rFonts w:hint="eastAsia" w:ascii="宋体" w:hAnsi="宋体" w:cs="宋体"/>
          <w:sz w:val="24"/>
          <w:highlight w:val="none"/>
          <w:lang w:bidi="ar"/>
        </w:rPr>
        <w:t>4.4在服务质量保证期内，乙方应对出现的质量及安全问题负责并处理解决，并承担一切费用。</w:t>
      </w:r>
    </w:p>
    <w:p w14:paraId="770B656B">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cs="宋体"/>
          <w:b/>
          <w:bCs/>
          <w:sz w:val="24"/>
          <w:highlight w:val="none"/>
        </w:rPr>
      </w:pPr>
      <w:r>
        <w:rPr>
          <w:rFonts w:hint="eastAsia" w:ascii="宋体" w:hAnsi="宋体" w:cs="宋体"/>
          <w:b/>
          <w:bCs/>
          <w:sz w:val="24"/>
          <w:highlight w:val="none"/>
          <w:lang w:bidi="ar"/>
        </w:rPr>
        <w:t>五、合同价、付款方式和条件</w:t>
      </w:r>
    </w:p>
    <w:p w14:paraId="0DFB1AF9">
      <w:pPr>
        <w:pStyle w:val="59"/>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4" w:firstLineChars="202"/>
        <w:jc w:val="both"/>
        <w:textAlignment w:val="auto"/>
        <w:rPr>
          <w:rFonts w:hint="eastAsia" w:cs="宋体"/>
          <w:highlight w:val="none"/>
        </w:rPr>
      </w:pPr>
      <w:r>
        <w:rPr>
          <w:rFonts w:hint="eastAsia" w:cs="宋体"/>
          <w:bCs/>
          <w:kern w:val="2"/>
          <w:highlight w:val="none"/>
          <w:lang w:bidi="ar"/>
        </w:rPr>
        <w:t>5.1合同价：合同总价为大写：</w:t>
      </w:r>
      <w:r>
        <w:rPr>
          <w:rFonts w:hint="eastAsia" w:cs="宋体"/>
          <w:bCs/>
          <w:kern w:val="2"/>
          <w:highlight w:val="none"/>
          <w:u w:val="single"/>
          <w:lang w:bidi="ar"/>
        </w:rPr>
        <w:t xml:space="preserve">      （</w:t>
      </w:r>
      <w:r>
        <w:rPr>
          <w:rFonts w:hint="eastAsia" w:cs="宋体"/>
          <w:bCs/>
          <w:kern w:val="2"/>
          <w:highlight w:val="none"/>
          <w:lang w:bidi="ar"/>
        </w:rPr>
        <w:t>小写：</w:t>
      </w:r>
      <w:r>
        <w:rPr>
          <w:rFonts w:hint="eastAsia" w:cs="宋体"/>
          <w:bCs/>
          <w:kern w:val="2"/>
          <w:highlight w:val="none"/>
          <w:u w:val="single"/>
          <w:lang w:bidi="ar"/>
        </w:rPr>
        <w:t xml:space="preserve">      </w:t>
      </w:r>
      <w:r>
        <w:rPr>
          <w:rFonts w:hint="eastAsia" w:cs="宋体"/>
          <w:bCs/>
          <w:kern w:val="2"/>
          <w:highlight w:val="none"/>
          <w:lang w:bidi="ar"/>
        </w:rPr>
        <w:t>万元），按月支付，并</w:t>
      </w:r>
      <w:r>
        <w:rPr>
          <w:rFonts w:hint="eastAsia" w:cs="宋体"/>
          <w:kern w:val="2"/>
          <w:highlight w:val="none"/>
          <w:lang w:bidi="ar"/>
        </w:rPr>
        <w:t>根据每月考核成绩扣除罚款</w:t>
      </w:r>
      <w:r>
        <w:rPr>
          <w:rFonts w:hint="eastAsia" w:cs="宋体"/>
          <w:bCs/>
          <w:kern w:val="2"/>
          <w:highlight w:val="none"/>
          <w:lang w:bidi="ar"/>
        </w:rPr>
        <w:t>。</w:t>
      </w:r>
    </w:p>
    <w:p w14:paraId="7CCB06C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highlight w:val="none"/>
          <w:lang w:val="zh-CN" w:bidi="ar"/>
        </w:rPr>
      </w:pPr>
      <w:r>
        <w:rPr>
          <w:rFonts w:hint="eastAsia" w:ascii="宋体" w:hAnsi="宋体" w:cs="宋体"/>
          <w:sz w:val="24"/>
          <w:highlight w:val="none"/>
          <w:lang w:val="zh-CN" w:bidi="ar"/>
        </w:rPr>
        <w:t>合同价中已包括</w:t>
      </w:r>
      <w:r>
        <w:rPr>
          <w:rFonts w:hint="eastAsia" w:ascii="宋体" w:hAnsi="宋体" w:cs="宋体"/>
          <w:sz w:val="24"/>
          <w:highlight w:val="none"/>
          <w:lang w:bidi="ar"/>
        </w:rPr>
        <w:t>：</w:t>
      </w:r>
      <w:r>
        <w:rPr>
          <w:rFonts w:hint="eastAsia" w:ascii="宋体" w:hAnsi="宋体" w:cs="宋体"/>
          <w:sz w:val="24"/>
          <w:highlight w:val="none"/>
          <w:lang w:val="zh-CN" w:bidi="ar"/>
        </w:rPr>
        <w:t>劳务人员（包括人员工资、预计加班费用、社会保障费用等）、季节性劳务服务工数</w:t>
      </w:r>
      <w:r>
        <w:rPr>
          <w:rFonts w:hint="eastAsia" w:ascii="宋体" w:hAnsi="宋体" w:cs="宋体"/>
          <w:bCs/>
          <w:sz w:val="24"/>
          <w:highlight w:val="none"/>
          <w:lang w:bidi="ar"/>
        </w:rPr>
        <w:t>、垃圾处置（园林垃圾）等</w:t>
      </w:r>
      <w:r>
        <w:rPr>
          <w:rFonts w:hint="eastAsia" w:ascii="宋体" w:hAnsi="宋体" w:cs="宋体"/>
          <w:sz w:val="24"/>
          <w:highlight w:val="none"/>
          <w:lang w:val="zh-CN" w:bidi="ar"/>
        </w:rPr>
        <w:t>服务并达到合同标准而需实际发生的各类成本费用、维修费用、作业所涉及的物耗费用（含零星材料，工具、补植苗木、花境用花、绿地施肥）、能耗费用、管理酬金、水电费、税费等。拟投入本项目的日常园林绿化养护工</w:t>
      </w:r>
      <w:r>
        <w:rPr>
          <w:rFonts w:hint="eastAsia" w:ascii="宋体" w:hAnsi="宋体" w:cs="宋体"/>
          <w:sz w:val="24"/>
          <w:highlight w:val="none"/>
          <w:lang w:bidi="ar"/>
        </w:rPr>
        <w:t>人员</w:t>
      </w:r>
      <w:r>
        <w:rPr>
          <w:rFonts w:hint="eastAsia" w:ascii="宋体" w:hAnsi="宋体" w:cs="宋体"/>
          <w:sz w:val="24"/>
          <w:highlight w:val="none"/>
          <w:lang w:val="zh-CN" w:bidi="ar"/>
        </w:rPr>
        <w:t>全年计划</w:t>
      </w:r>
      <w:r>
        <w:rPr>
          <w:rFonts w:hint="eastAsia" w:ascii="宋体" w:hAnsi="宋体" w:cs="宋体"/>
          <w:color w:val="auto"/>
          <w:sz w:val="24"/>
          <w:highlight w:val="none"/>
          <w:lang w:val="en-US" w:eastAsia="zh-CN"/>
        </w:rPr>
        <w:t>服务工数</w:t>
      </w:r>
      <w:r>
        <w:rPr>
          <w:rFonts w:hint="eastAsia" w:ascii="宋体" w:hAnsi="宋体" w:cs="宋体"/>
          <w:sz w:val="24"/>
          <w:highlight w:val="none"/>
          <w:lang w:val="en-US" w:eastAsia="zh-CN" w:bidi="ar"/>
        </w:rPr>
        <w:t>4968</w:t>
      </w:r>
      <w:r>
        <w:rPr>
          <w:rFonts w:hint="eastAsia" w:ascii="宋体" w:hAnsi="宋体" w:cs="宋体"/>
          <w:sz w:val="24"/>
          <w:highlight w:val="none"/>
          <w:lang w:val="zh-CN" w:bidi="ar"/>
        </w:rPr>
        <w:t>工</w:t>
      </w:r>
      <w:r>
        <w:rPr>
          <w:rFonts w:hint="eastAsia" w:ascii="宋体" w:hAnsi="宋体" w:cs="宋体"/>
          <w:sz w:val="24"/>
          <w:highlight w:val="none"/>
          <w:lang w:eastAsia="zh-CN" w:bidi="ar"/>
        </w:rPr>
        <w:t>数</w:t>
      </w:r>
      <w:r>
        <w:rPr>
          <w:rFonts w:hint="eastAsia" w:ascii="宋体" w:hAnsi="宋体" w:cs="宋体"/>
          <w:sz w:val="24"/>
          <w:highlight w:val="none"/>
          <w:lang w:val="zh-CN" w:bidi="ar"/>
        </w:rPr>
        <w:t>，其中日常养护</w:t>
      </w:r>
      <w:r>
        <w:rPr>
          <w:rFonts w:hint="eastAsia" w:ascii="宋体" w:hAnsi="宋体" w:cs="宋体"/>
          <w:color w:val="auto"/>
          <w:sz w:val="24"/>
          <w:highlight w:val="none"/>
          <w:lang w:val="en-US" w:eastAsia="zh-CN"/>
        </w:rPr>
        <w:t>服务工数</w:t>
      </w:r>
      <w:r>
        <w:rPr>
          <w:rFonts w:hint="eastAsia" w:ascii="宋体" w:hAnsi="宋体" w:cs="宋体"/>
          <w:sz w:val="24"/>
          <w:highlight w:val="none"/>
          <w:lang w:val="zh-CN" w:bidi="ar"/>
        </w:rPr>
        <w:t>1846工</w:t>
      </w:r>
      <w:r>
        <w:rPr>
          <w:rFonts w:hint="eastAsia" w:ascii="宋体" w:hAnsi="宋体" w:cs="宋体"/>
          <w:sz w:val="24"/>
          <w:highlight w:val="none"/>
          <w:lang w:eastAsia="zh-CN" w:bidi="ar"/>
        </w:rPr>
        <w:t>数</w:t>
      </w:r>
      <w:r>
        <w:rPr>
          <w:rFonts w:hint="eastAsia" w:ascii="宋体" w:hAnsi="宋体" w:cs="宋体"/>
          <w:sz w:val="24"/>
          <w:highlight w:val="none"/>
          <w:lang w:val="zh-CN" w:bidi="ar"/>
        </w:rPr>
        <w:t>,园林景观提升</w:t>
      </w:r>
      <w:r>
        <w:rPr>
          <w:rFonts w:hint="eastAsia" w:ascii="宋体" w:hAnsi="宋体" w:cs="宋体"/>
          <w:color w:val="auto"/>
          <w:sz w:val="24"/>
          <w:highlight w:val="none"/>
          <w:lang w:val="en-US" w:eastAsia="zh-CN"/>
        </w:rPr>
        <w:t>服务工数</w:t>
      </w:r>
      <w:r>
        <w:rPr>
          <w:rFonts w:hint="eastAsia" w:ascii="宋体" w:hAnsi="宋体" w:cs="宋体"/>
          <w:sz w:val="24"/>
          <w:highlight w:val="none"/>
          <w:lang w:val="zh-CN" w:bidi="ar"/>
        </w:rPr>
        <w:t>1859工</w:t>
      </w:r>
      <w:r>
        <w:rPr>
          <w:rFonts w:hint="eastAsia" w:ascii="宋体" w:hAnsi="宋体" w:cs="宋体"/>
          <w:sz w:val="24"/>
          <w:highlight w:val="none"/>
          <w:lang w:eastAsia="zh-CN" w:bidi="ar"/>
        </w:rPr>
        <w:t>数</w:t>
      </w:r>
      <w:r>
        <w:rPr>
          <w:rFonts w:hint="eastAsia" w:ascii="宋体" w:hAnsi="宋体" w:cs="宋体"/>
          <w:sz w:val="24"/>
          <w:highlight w:val="none"/>
          <w:lang w:val="zh-CN" w:bidi="ar"/>
        </w:rPr>
        <w:t>，机动应急保障</w:t>
      </w:r>
      <w:r>
        <w:rPr>
          <w:rFonts w:hint="eastAsia" w:ascii="宋体" w:hAnsi="宋体" w:cs="宋体"/>
          <w:color w:val="auto"/>
          <w:sz w:val="24"/>
          <w:highlight w:val="none"/>
          <w:lang w:val="en-US" w:eastAsia="zh-CN"/>
        </w:rPr>
        <w:t>服务工数</w:t>
      </w:r>
      <w:r>
        <w:rPr>
          <w:rFonts w:hint="eastAsia" w:ascii="宋体" w:hAnsi="宋体" w:cs="宋体"/>
          <w:sz w:val="24"/>
          <w:highlight w:val="none"/>
          <w:lang w:val="zh-CN" w:bidi="ar"/>
        </w:rPr>
        <w:t>约</w:t>
      </w:r>
      <w:r>
        <w:rPr>
          <w:rFonts w:hint="eastAsia" w:ascii="宋体" w:hAnsi="宋体" w:cs="宋体"/>
          <w:sz w:val="24"/>
          <w:highlight w:val="none"/>
          <w:lang w:val="en-US" w:eastAsia="zh-CN" w:bidi="ar"/>
        </w:rPr>
        <w:t>1263</w:t>
      </w:r>
      <w:r>
        <w:rPr>
          <w:rFonts w:hint="eastAsia" w:ascii="宋体" w:hAnsi="宋体" w:cs="宋体"/>
          <w:sz w:val="24"/>
          <w:highlight w:val="none"/>
          <w:lang w:val="zh-CN" w:bidi="ar"/>
        </w:rPr>
        <w:t>工</w:t>
      </w:r>
      <w:r>
        <w:rPr>
          <w:rFonts w:hint="eastAsia" w:ascii="宋体" w:hAnsi="宋体" w:cs="宋体"/>
          <w:sz w:val="24"/>
          <w:highlight w:val="none"/>
          <w:lang w:eastAsia="zh-CN" w:bidi="ar"/>
        </w:rPr>
        <w:t>数</w:t>
      </w:r>
      <w:r>
        <w:rPr>
          <w:rFonts w:hint="eastAsia" w:ascii="宋体" w:hAnsi="宋体" w:cs="宋体"/>
          <w:sz w:val="24"/>
          <w:highlight w:val="none"/>
          <w:lang w:val="zh-CN" w:bidi="ar"/>
        </w:rPr>
        <w:t>（女工比例不超过20%）</w:t>
      </w:r>
      <w:r>
        <w:rPr>
          <w:rFonts w:hint="eastAsia" w:ascii="宋体" w:hAnsi="宋体" w:cs="宋体"/>
          <w:sz w:val="24"/>
          <w:highlight w:val="none"/>
          <w:lang w:bidi="ar"/>
        </w:rPr>
        <w:t>，其中养护项目负责人1名（姓名</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，联系电话</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w:t>
      </w:r>
      <w:r>
        <w:rPr>
          <w:rFonts w:hint="eastAsia" w:ascii="宋体" w:hAnsi="宋体" w:eastAsia="宋体" w:cs="宋体"/>
          <w:sz w:val="24"/>
          <w:highlight w:val="none"/>
          <w:lang w:val="zh-CN" w:bidi="ar"/>
        </w:rPr>
        <w:t>其中派遣人员每人每月人工费用不得低于</w:t>
      </w:r>
      <w:r>
        <w:rPr>
          <w:rFonts w:hint="eastAsia" w:ascii="宋体" w:hAnsi="宋体" w:cs="宋体"/>
          <w:sz w:val="24"/>
          <w:highlight w:val="none"/>
          <w:lang w:val="en-US" w:eastAsia="zh-CN"/>
        </w:rPr>
        <w:t>当地最低工资标准</w:t>
      </w:r>
      <w:r>
        <w:rPr>
          <w:rFonts w:hint="eastAsia" w:ascii="宋体" w:hAnsi="宋体" w:eastAsia="宋体" w:cs="宋体"/>
          <w:sz w:val="24"/>
          <w:highlight w:val="none"/>
          <w:lang w:val="zh-CN" w:bidi="ar"/>
        </w:rPr>
        <w:t>。</w:t>
      </w:r>
    </w:p>
    <w:p w14:paraId="44B160DA">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lang w:bidi="ar"/>
        </w:rPr>
        <w:t>5.2付款方式和条件</w:t>
      </w:r>
    </w:p>
    <w:p w14:paraId="59D346D6">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lang w:bidi="ar"/>
        </w:rPr>
        <w:t>5.2.1付款方式：按月结，以转账方式。按实际服务工数数量结算。（注：根据【浙财采监〔2022〕3号】-《浙江省财政厅关于进一步发挥政府采购政策功能全力推动经济稳进提质的通知》规定：“对供应商为大型企业的项目或者以人工投入为主且实行按月定期结算支付款项的项目，可不约定预付款”，故本项目无预付款）</w:t>
      </w:r>
    </w:p>
    <w:p w14:paraId="486ED1EF">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lang w:bidi="ar"/>
        </w:rPr>
        <w:t>5.2.2付款条件：乙方凭甲方出具的月派遣人员清单和甲方相关负责人签字认可的实际</w:t>
      </w:r>
      <w:r>
        <w:rPr>
          <w:rFonts w:hint="eastAsia" w:ascii="宋体" w:hAnsi="宋体" w:cs="宋体"/>
          <w:color w:val="auto"/>
          <w:sz w:val="24"/>
          <w:highlight w:val="none"/>
          <w:lang w:val="en-US" w:eastAsia="zh-CN"/>
        </w:rPr>
        <w:t>服务工数</w:t>
      </w:r>
      <w:r>
        <w:rPr>
          <w:rFonts w:hint="eastAsia" w:ascii="宋体" w:hAnsi="宋体" w:cs="宋体"/>
          <w:sz w:val="24"/>
          <w:highlight w:val="none"/>
          <w:lang w:bidi="ar"/>
        </w:rPr>
        <w:t>审批单及等额税务发票于次月20日前向甲方进行结算。</w:t>
      </w:r>
    </w:p>
    <w:p w14:paraId="3E06A318">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cs="宋体"/>
          <w:b/>
          <w:bCs/>
          <w:sz w:val="24"/>
          <w:highlight w:val="none"/>
        </w:rPr>
      </w:pPr>
      <w:r>
        <w:rPr>
          <w:rFonts w:hint="eastAsia" w:ascii="宋体" w:hAnsi="宋体" w:cs="宋体"/>
          <w:b/>
          <w:bCs/>
          <w:sz w:val="24"/>
          <w:highlight w:val="none"/>
          <w:lang w:bidi="ar"/>
        </w:rPr>
        <w:t>六、履行合同的时间、地点、履约保证金</w:t>
      </w:r>
    </w:p>
    <w:p w14:paraId="03496823">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lang w:bidi="ar"/>
        </w:rPr>
        <w:t>6.1履约合同的时间：1年，自202 年  月  日至  年  月  日。</w:t>
      </w:r>
    </w:p>
    <w:p w14:paraId="749469CB">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lang w:bidi="ar"/>
        </w:rPr>
        <w:t>6.2履行合同的地点：杭州市灵隐管理处辖区，具体以甲方指定地点为准。</w:t>
      </w:r>
    </w:p>
    <w:p w14:paraId="7DCF7311">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lang w:bidi="ar"/>
        </w:rPr>
        <w:t>6.3履约保证金：</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万元（合同价的1%）。</w:t>
      </w:r>
    </w:p>
    <w:p w14:paraId="03A7DE29">
      <w:pPr>
        <w:pStyle w:val="59"/>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0" w:firstLineChars="200"/>
        <w:jc w:val="both"/>
        <w:textAlignment w:val="auto"/>
        <w:rPr>
          <w:rFonts w:hint="eastAsia" w:cs="宋体"/>
          <w:highlight w:val="none"/>
        </w:rPr>
      </w:pPr>
      <w:r>
        <w:rPr>
          <w:rFonts w:hint="eastAsia" w:cs="宋体"/>
          <w:kern w:val="2"/>
          <w:highlight w:val="none"/>
          <w:lang w:bidi="ar"/>
        </w:rPr>
        <w:t>6.4履约保证金可以用支票、银行汇票、转账的形式交纳。</w:t>
      </w:r>
    </w:p>
    <w:p w14:paraId="4480CEE5">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cs="宋体"/>
          <w:b w:val="0"/>
          <w:bCs w:val="0"/>
          <w:sz w:val="24"/>
          <w:highlight w:val="none"/>
        </w:rPr>
      </w:pPr>
      <w:r>
        <w:rPr>
          <w:rFonts w:hint="eastAsia" w:ascii="宋体" w:hAnsi="宋体" w:cs="宋体"/>
          <w:b w:val="0"/>
          <w:bCs w:val="0"/>
          <w:sz w:val="24"/>
          <w:highlight w:val="none"/>
          <w:lang w:val="zh-CN" w:bidi="ar"/>
        </w:rPr>
        <w:t>七、</w:t>
      </w:r>
      <w:r>
        <w:rPr>
          <w:rFonts w:hint="eastAsia" w:ascii="宋体" w:hAnsi="宋体" w:cs="宋体"/>
          <w:b w:val="0"/>
          <w:bCs w:val="0"/>
          <w:sz w:val="24"/>
          <w:highlight w:val="none"/>
          <w:lang w:bidi="ar"/>
        </w:rPr>
        <w:t>履行合同的违约责任</w:t>
      </w:r>
    </w:p>
    <w:p w14:paraId="612C8110">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lang w:bidi="ar"/>
        </w:rPr>
        <w:t>7.1</w:t>
      </w:r>
      <w:r>
        <w:rPr>
          <w:rFonts w:hint="eastAsia" w:ascii="宋体" w:hAnsi="宋体" w:cs="宋体"/>
          <w:spacing w:val="-2"/>
          <w:sz w:val="24"/>
          <w:highlight w:val="none"/>
          <w:lang w:bidi="ar"/>
        </w:rPr>
        <w:t>甲方无正当理由拒收接受服务的，甲方向乙方偿付合同款项百分之五作为违约金。</w:t>
      </w:r>
    </w:p>
    <w:p w14:paraId="1F736548">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lang w:bidi="ar"/>
        </w:rPr>
        <w:t>7.2甲方无故逾期验收和办理款项支付手续的,甲方应按逾期付款总额每日万分之五向乙方支付违约金。</w:t>
      </w:r>
    </w:p>
    <w:p w14:paraId="10C9A42A">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lang w:bidi="ar"/>
        </w:rPr>
        <w:t>7.3乙方未能如期提供服务的，对甲方的通知逾期未响应，甲方自行安排人员完成工作，产生的相关费用由乙方承担。乙方超过约定日期10个工作日仍不能提供服务的，甲方可解除本合同。</w:t>
      </w:r>
    </w:p>
    <w:p w14:paraId="3BA05B44">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cs="宋体"/>
          <w:b/>
          <w:bCs/>
          <w:sz w:val="24"/>
          <w:highlight w:val="none"/>
          <w:lang w:val="zh-CN" w:bidi="ar"/>
        </w:rPr>
      </w:pPr>
      <w:r>
        <w:rPr>
          <w:rFonts w:hint="eastAsia" w:ascii="宋体" w:hAnsi="宋体" w:cs="宋体"/>
          <w:b/>
          <w:bCs/>
          <w:sz w:val="24"/>
          <w:highlight w:val="none"/>
          <w:lang w:val="zh-CN" w:bidi="ar"/>
        </w:rPr>
        <w:t>八、其他</w:t>
      </w:r>
    </w:p>
    <w:p w14:paraId="6E9E7B31">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highlight w:val="none"/>
          <w:lang w:val="zh-CN"/>
        </w:rPr>
      </w:pPr>
      <w:r>
        <w:rPr>
          <w:rFonts w:hint="eastAsia" w:ascii="宋体" w:hAnsi="宋体" w:cs="宋体"/>
          <w:sz w:val="24"/>
          <w:highlight w:val="none"/>
          <w:lang w:bidi="ar"/>
        </w:rPr>
        <w:t>8.1</w:t>
      </w:r>
      <w:r>
        <w:rPr>
          <w:rFonts w:hint="eastAsia" w:ascii="宋体" w:hAnsi="宋体" w:cs="宋体"/>
          <w:sz w:val="24"/>
          <w:highlight w:val="none"/>
          <w:lang w:val="zh-CN" w:bidi="ar"/>
        </w:rPr>
        <w:t>本项目不得转让或分包，一经发现立即终止合同并全额没收履约保证金。</w:t>
      </w:r>
    </w:p>
    <w:p w14:paraId="3353D9BC">
      <w:pPr>
        <w:pStyle w:val="59"/>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0" w:firstLineChars="200"/>
        <w:jc w:val="both"/>
        <w:textAlignment w:val="auto"/>
        <w:rPr>
          <w:rFonts w:hint="eastAsia" w:cs="宋体"/>
          <w:highlight w:val="none"/>
        </w:rPr>
      </w:pPr>
      <w:r>
        <w:rPr>
          <w:rFonts w:hint="eastAsia" w:cs="宋体"/>
          <w:kern w:val="2"/>
          <w:highlight w:val="none"/>
          <w:lang w:bidi="ar"/>
        </w:rPr>
        <w:t xml:space="preserve">8.2补充内容： </w:t>
      </w:r>
      <w:r>
        <w:rPr>
          <w:rFonts w:hint="eastAsia" w:cs="宋体"/>
          <w:kern w:val="2"/>
          <w:highlight w:val="none"/>
          <w:u w:val="single"/>
          <w:lang w:bidi="ar"/>
        </w:rPr>
        <w:t xml:space="preserve">                                 </w:t>
      </w:r>
      <w:r>
        <w:rPr>
          <w:rFonts w:hint="eastAsia" w:cs="宋体"/>
          <w:kern w:val="2"/>
          <w:highlight w:val="none"/>
          <w:lang w:bidi="ar"/>
        </w:rPr>
        <w:t xml:space="preserve">。                   </w:t>
      </w:r>
    </w:p>
    <w:p w14:paraId="7AB0B7AA">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宋体" w:hAnsi="宋体" w:cs="宋体"/>
          <w:sz w:val="24"/>
          <w:highlight w:val="none"/>
          <w:lang w:val="zh-CN"/>
        </w:rPr>
      </w:pPr>
      <w:r>
        <w:rPr>
          <w:rFonts w:hint="eastAsia" w:ascii="宋体" w:hAnsi="宋体" w:cs="宋体"/>
          <w:b/>
          <w:bCs/>
          <w:sz w:val="24"/>
          <w:highlight w:val="none"/>
          <w:lang w:val="zh-CN" w:bidi="ar"/>
        </w:rPr>
        <w:t>九、不可抗力</w:t>
      </w:r>
    </w:p>
    <w:p w14:paraId="242AD9D5">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sz w:val="24"/>
          <w:highlight w:val="none"/>
          <w:lang w:val="zh-CN"/>
        </w:rPr>
      </w:pPr>
      <w:r>
        <w:rPr>
          <w:rFonts w:hint="eastAsia" w:ascii="宋体" w:hAnsi="宋体" w:cs="宋体"/>
          <w:sz w:val="24"/>
          <w:highlight w:val="none"/>
          <w:lang w:val="zh-CN" w:bidi="ar"/>
        </w:rPr>
        <w:t>9.1在执行合同期限内，乙方因不可抗力事件造成不能履行合同时，应立即通知对方，并寄送有关权威机构出具的证明，则合同履行期可相应延长，延长期与不可抗力影响期相同。出现上述情况不受合同有关逾期责任制约；</w:t>
      </w:r>
    </w:p>
    <w:p w14:paraId="60AD2ABF">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sz w:val="24"/>
          <w:highlight w:val="none"/>
          <w:lang w:val="zh-CN"/>
        </w:rPr>
      </w:pPr>
      <w:r>
        <w:rPr>
          <w:rFonts w:hint="eastAsia" w:ascii="宋体" w:hAnsi="宋体" w:cs="宋体"/>
          <w:sz w:val="24"/>
          <w:highlight w:val="none"/>
          <w:lang w:val="zh-CN" w:bidi="ar"/>
        </w:rPr>
        <w:t>9.2不可抗力影响时间持续15日以上时，甲乙双方应协商是否继续履行合同；</w:t>
      </w:r>
    </w:p>
    <w:p w14:paraId="120B806E">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sz w:val="24"/>
          <w:highlight w:val="none"/>
          <w:lang w:val="zh-CN"/>
        </w:rPr>
      </w:pPr>
      <w:r>
        <w:rPr>
          <w:rFonts w:hint="eastAsia" w:ascii="宋体" w:hAnsi="宋体" w:cs="宋体"/>
          <w:sz w:val="24"/>
          <w:highlight w:val="none"/>
          <w:lang w:val="zh-CN" w:bidi="ar"/>
        </w:rPr>
        <w:t>9.3本条所述</w:t>
      </w:r>
      <w:r>
        <w:rPr>
          <w:rFonts w:hint="eastAsia" w:ascii="宋体" w:hAnsi="宋体" w:cs="宋体"/>
          <w:sz w:val="24"/>
          <w:highlight w:val="none"/>
          <w:lang w:val="zh-CN" w:eastAsia="zh-TW" w:bidi="ar"/>
        </w:rPr>
        <w:t>“</w:t>
      </w:r>
      <w:r>
        <w:rPr>
          <w:rFonts w:hint="eastAsia" w:ascii="宋体" w:hAnsi="宋体" w:cs="宋体"/>
          <w:sz w:val="24"/>
          <w:highlight w:val="none"/>
          <w:lang w:val="zh-CN" w:bidi="ar"/>
        </w:rPr>
        <w:t>不可抗力</w:t>
      </w:r>
      <w:r>
        <w:rPr>
          <w:rFonts w:hint="eastAsia" w:ascii="宋体" w:hAnsi="宋体" w:cs="宋体"/>
          <w:sz w:val="24"/>
          <w:highlight w:val="none"/>
          <w:lang w:val="zh-CN" w:eastAsia="zh-TW" w:bidi="ar"/>
        </w:rPr>
        <w:t>”</w:t>
      </w:r>
      <w:r>
        <w:rPr>
          <w:rFonts w:hint="eastAsia" w:ascii="宋体" w:hAnsi="宋体" w:cs="宋体"/>
          <w:sz w:val="24"/>
          <w:highlight w:val="none"/>
          <w:lang w:val="zh-CN" w:bidi="ar"/>
        </w:rPr>
        <w:t>是指不可预见、不能克服及不能避免的事件，包括战争、严重火灾、洪水、地震等。</w:t>
      </w:r>
    </w:p>
    <w:p w14:paraId="2ADFC300">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宋体" w:hAnsi="宋体" w:cs="宋体"/>
          <w:b/>
          <w:bCs/>
          <w:sz w:val="24"/>
          <w:highlight w:val="none"/>
          <w:lang w:val="zh-CN"/>
        </w:rPr>
      </w:pPr>
      <w:r>
        <w:rPr>
          <w:rFonts w:hint="eastAsia" w:ascii="宋体" w:hAnsi="宋体" w:cs="宋体"/>
          <w:b/>
          <w:bCs/>
          <w:sz w:val="24"/>
          <w:highlight w:val="none"/>
          <w:lang w:val="zh-CN" w:bidi="ar"/>
        </w:rPr>
        <w:t>十、争议裁决</w:t>
      </w:r>
    </w:p>
    <w:p w14:paraId="76A4392E">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sz w:val="24"/>
          <w:highlight w:val="none"/>
          <w:lang w:val="zh-CN"/>
        </w:rPr>
      </w:pPr>
      <w:r>
        <w:rPr>
          <w:rFonts w:hint="eastAsia" w:ascii="宋体" w:hAnsi="宋体" w:cs="宋体"/>
          <w:sz w:val="24"/>
          <w:highlight w:val="none"/>
          <w:lang w:bidi="ar"/>
        </w:rPr>
        <w:t>10</w:t>
      </w:r>
      <w:r>
        <w:rPr>
          <w:rFonts w:hint="eastAsia" w:ascii="宋体" w:hAnsi="宋体" w:cs="宋体"/>
          <w:sz w:val="24"/>
          <w:highlight w:val="none"/>
          <w:lang w:val="zh-CN" w:bidi="ar"/>
        </w:rPr>
        <w:t>.1在本合同执行过程中如发生争议，首先应本着友好的原则协商解决，协商未果的，甲乙双方均可</w:t>
      </w:r>
      <w:r>
        <w:rPr>
          <w:rFonts w:hint="eastAsia" w:ascii="宋体" w:hAnsi="宋体" w:cs="宋体"/>
          <w:sz w:val="24"/>
          <w:highlight w:val="none"/>
          <w:lang w:bidi="ar"/>
        </w:rPr>
        <w:t>向本项目所在地人民法院提起诉讼。</w:t>
      </w:r>
    </w:p>
    <w:p w14:paraId="67CE7EC8">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宋体" w:hAnsi="宋体" w:cs="宋体"/>
          <w:b/>
          <w:bCs/>
          <w:sz w:val="24"/>
          <w:highlight w:val="none"/>
          <w:lang w:val="zh-CN"/>
        </w:rPr>
      </w:pPr>
      <w:r>
        <w:rPr>
          <w:rFonts w:hint="eastAsia" w:ascii="宋体" w:hAnsi="宋体" w:cs="宋体"/>
          <w:b/>
          <w:bCs/>
          <w:sz w:val="24"/>
          <w:highlight w:val="none"/>
          <w:lang w:val="zh-CN" w:bidi="ar"/>
        </w:rPr>
        <w:t>十一、其它约定事项</w:t>
      </w:r>
    </w:p>
    <w:p w14:paraId="4FD525B8">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sz w:val="24"/>
          <w:highlight w:val="none"/>
          <w:lang w:val="zh-CN"/>
        </w:rPr>
      </w:pPr>
      <w:r>
        <w:rPr>
          <w:rFonts w:hint="eastAsia" w:ascii="宋体" w:hAnsi="宋体" w:cs="宋体"/>
          <w:sz w:val="24"/>
          <w:highlight w:val="none"/>
          <w:lang w:val="zh-CN" w:bidi="ar"/>
        </w:rPr>
        <w:t>11.1组成本合同的有关文件：</w:t>
      </w:r>
    </w:p>
    <w:p w14:paraId="52B77370">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sz w:val="24"/>
          <w:highlight w:val="none"/>
          <w:lang w:val="zh-CN"/>
        </w:rPr>
      </w:pPr>
      <w:r>
        <w:rPr>
          <w:rFonts w:hint="eastAsia" w:ascii="宋体" w:hAnsi="宋体" w:cs="宋体"/>
          <w:sz w:val="24"/>
          <w:highlight w:val="none"/>
          <w:lang w:val="zh-CN" w:bidi="ar"/>
        </w:rPr>
        <w:t>下列关于政府采购</w:t>
      </w:r>
      <w:r>
        <w:rPr>
          <w:rFonts w:hint="eastAsia" w:ascii="宋体" w:hAnsi="宋体" w:cs="宋体"/>
          <w:b/>
          <w:bCs/>
          <w:sz w:val="24"/>
          <w:highlight w:val="none"/>
          <w:u w:val="single"/>
          <w:lang w:bidi="ar"/>
        </w:rPr>
        <w:t xml:space="preserve">     </w:t>
      </w:r>
      <w:r>
        <w:rPr>
          <w:rFonts w:hint="eastAsia" w:ascii="宋体" w:hAnsi="宋体" w:cs="宋体"/>
          <w:b/>
          <w:bCs/>
          <w:sz w:val="24"/>
          <w:highlight w:val="none"/>
          <w:u w:val="single"/>
          <w:lang w:val="zh-CN" w:bidi="ar"/>
        </w:rPr>
        <w:t xml:space="preserve">  </w:t>
      </w:r>
      <w:r>
        <w:rPr>
          <w:rFonts w:hint="eastAsia" w:ascii="宋体" w:hAnsi="宋体" w:cs="宋体"/>
          <w:sz w:val="24"/>
          <w:highlight w:val="none"/>
          <w:lang w:val="zh-CN" w:bidi="ar"/>
        </w:rPr>
        <w:t>号的采购文件及有关附件是本合同不可分割的组成部分，与本合同具有同等法律效力，这些文件包括但不限于：（</w:t>
      </w:r>
      <w:r>
        <w:rPr>
          <w:rFonts w:hint="eastAsia" w:ascii="宋体" w:hAnsi="宋体" w:cs="宋体"/>
          <w:sz w:val="24"/>
          <w:highlight w:val="none"/>
          <w:lang w:val="zh-CN" w:eastAsia="zh-TW" w:bidi="ar"/>
        </w:rPr>
        <w:t>1</w:t>
      </w:r>
      <w:r>
        <w:rPr>
          <w:rFonts w:hint="eastAsia" w:ascii="宋体" w:hAnsi="宋体" w:cs="宋体"/>
          <w:sz w:val="24"/>
          <w:highlight w:val="none"/>
          <w:lang w:val="zh-CN" w:bidi="ar"/>
        </w:rPr>
        <w:t>）乙方提供的投标文件；（</w:t>
      </w:r>
      <w:r>
        <w:rPr>
          <w:rFonts w:hint="eastAsia" w:ascii="宋体" w:hAnsi="宋体" w:cs="宋体"/>
          <w:sz w:val="24"/>
          <w:highlight w:val="none"/>
          <w:lang w:val="zh-CN" w:eastAsia="zh-TW" w:bidi="ar"/>
        </w:rPr>
        <w:t>2</w:t>
      </w:r>
      <w:r>
        <w:rPr>
          <w:rFonts w:hint="eastAsia" w:ascii="宋体" w:hAnsi="宋体" w:cs="宋体"/>
          <w:sz w:val="24"/>
          <w:highlight w:val="none"/>
          <w:lang w:val="zh-CN" w:bidi="ar"/>
        </w:rPr>
        <w:t>）服务承诺；（</w:t>
      </w:r>
      <w:r>
        <w:rPr>
          <w:rFonts w:hint="eastAsia" w:ascii="宋体" w:hAnsi="宋体" w:cs="宋体"/>
          <w:sz w:val="24"/>
          <w:highlight w:val="none"/>
          <w:lang w:val="zh-CN" w:eastAsia="zh-TW" w:bidi="ar"/>
        </w:rPr>
        <w:t>3</w:t>
      </w:r>
      <w:r>
        <w:rPr>
          <w:rFonts w:hint="eastAsia" w:ascii="宋体" w:hAnsi="宋体" w:cs="宋体"/>
          <w:sz w:val="24"/>
          <w:highlight w:val="none"/>
          <w:lang w:val="zh-CN" w:bidi="ar"/>
        </w:rPr>
        <w:t>）甲乙双方商定的其它文件。</w:t>
      </w:r>
    </w:p>
    <w:p w14:paraId="1BA998C9">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sz w:val="24"/>
          <w:highlight w:val="none"/>
          <w:lang w:val="zh-CN"/>
        </w:rPr>
      </w:pPr>
      <w:r>
        <w:rPr>
          <w:rFonts w:hint="eastAsia" w:ascii="宋体" w:hAnsi="宋体" w:cs="宋体"/>
          <w:sz w:val="24"/>
          <w:highlight w:val="none"/>
          <w:lang w:val="zh-CN" w:bidi="ar"/>
        </w:rPr>
        <w:t>11.2本合同未尽事宜，按中华人民共和国现行有关法律法规执行。</w:t>
      </w:r>
    </w:p>
    <w:p w14:paraId="7B87A3C3">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sz w:val="24"/>
          <w:highlight w:val="none"/>
          <w:lang w:val="zh-CN"/>
        </w:rPr>
      </w:pPr>
      <w:r>
        <w:rPr>
          <w:rFonts w:hint="eastAsia" w:ascii="宋体" w:hAnsi="宋体" w:cs="宋体"/>
          <w:sz w:val="24"/>
          <w:highlight w:val="none"/>
          <w:lang w:val="zh-CN" w:bidi="ar"/>
        </w:rPr>
        <w:t>11.3本合同一式四份，甲方、乙方各执二份，并具有同等法律效力。</w:t>
      </w:r>
    </w:p>
    <w:p w14:paraId="73F33FED">
      <w:pPr>
        <w:autoSpaceDE w:val="0"/>
        <w:autoSpaceDN w:val="0"/>
        <w:spacing w:line="360" w:lineRule="auto"/>
        <w:rPr>
          <w:rFonts w:hint="eastAsia" w:ascii="宋体" w:hAnsi="宋体" w:cs="宋体"/>
          <w:sz w:val="24"/>
          <w:highlight w:val="none"/>
          <w:lang w:val="zh-CN"/>
        </w:rPr>
      </w:pPr>
    </w:p>
    <w:p w14:paraId="28499FE9">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bidi="ar"/>
        </w:rPr>
        <w:t>甲方：（盖章）                      乙方：（盖章）</w:t>
      </w:r>
    </w:p>
    <w:p w14:paraId="4AA8B308">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bidi="ar"/>
        </w:rPr>
        <w:t xml:space="preserve">法定（授权）代表人（签字）：        法定（授权）代表人（签字）：                </w:t>
      </w:r>
    </w:p>
    <w:p w14:paraId="02D3942C">
      <w:pPr>
        <w:pStyle w:val="59"/>
        <w:widowControl w:val="0"/>
        <w:snapToGrid w:val="0"/>
        <w:spacing w:before="0" w:beforeAutospacing="0" w:after="0" w:afterAutospacing="0" w:line="360" w:lineRule="auto"/>
        <w:ind w:firstLine="480"/>
        <w:jc w:val="both"/>
        <w:rPr>
          <w:rFonts w:hint="eastAsia" w:cs="宋体"/>
          <w:highlight w:val="none"/>
        </w:rPr>
      </w:pPr>
      <w:r>
        <w:rPr>
          <w:rFonts w:hint="eastAsia" w:cs="宋体"/>
          <w:kern w:val="2"/>
          <w:highlight w:val="none"/>
          <w:lang w:bidi="ar"/>
        </w:rPr>
        <w:t>地址：                             地址：</w:t>
      </w:r>
    </w:p>
    <w:p w14:paraId="0511107D">
      <w:pPr>
        <w:pStyle w:val="59"/>
        <w:widowControl w:val="0"/>
        <w:snapToGrid w:val="0"/>
        <w:spacing w:before="0" w:beforeAutospacing="0" w:after="0" w:afterAutospacing="0" w:line="360" w:lineRule="auto"/>
        <w:ind w:firstLine="480"/>
        <w:jc w:val="both"/>
        <w:rPr>
          <w:rFonts w:hint="eastAsia" w:cs="宋体"/>
          <w:highlight w:val="none"/>
        </w:rPr>
      </w:pPr>
      <w:r>
        <w:rPr>
          <w:rFonts w:hint="eastAsia" w:cs="宋体"/>
          <w:kern w:val="2"/>
          <w:highlight w:val="none"/>
          <w:lang w:bidi="ar"/>
        </w:rPr>
        <w:t>邮编：                             邮编：</w:t>
      </w:r>
    </w:p>
    <w:p w14:paraId="1054442D">
      <w:pPr>
        <w:pStyle w:val="59"/>
        <w:widowControl w:val="0"/>
        <w:snapToGrid w:val="0"/>
        <w:spacing w:before="0" w:beforeAutospacing="0" w:after="0" w:afterAutospacing="0" w:line="360" w:lineRule="auto"/>
        <w:ind w:firstLine="480"/>
        <w:jc w:val="both"/>
        <w:rPr>
          <w:rFonts w:hint="eastAsia" w:cs="宋体"/>
          <w:highlight w:val="none"/>
        </w:rPr>
      </w:pPr>
      <w:r>
        <w:rPr>
          <w:rFonts w:hint="eastAsia" w:cs="宋体"/>
          <w:kern w:val="2"/>
          <w:highlight w:val="none"/>
          <w:lang w:bidi="ar"/>
        </w:rPr>
        <w:t>电话：                             电话：</w:t>
      </w:r>
    </w:p>
    <w:p w14:paraId="6ABD00AE">
      <w:pPr>
        <w:pStyle w:val="59"/>
        <w:widowControl w:val="0"/>
        <w:snapToGrid w:val="0"/>
        <w:spacing w:before="0" w:beforeAutospacing="0" w:after="0" w:afterAutospacing="0" w:line="360" w:lineRule="auto"/>
        <w:ind w:firstLine="480"/>
        <w:jc w:val="both"/>
        <w:rPr>
          <w:rFonts w:hint="eastAsia" w:cs="宋体"/>
          <w:highlight w:val="none"/>
        </w:rPr>
      </w:pPr>
      <w:r>
        <w:rPr>
          <w:rFonts w:hint="eastAsia" w:cs="宋体"/>
          <w:kern w:val="2"/>
          <w:highlight w:val="none"/>
          <w:lang w:bidi="ar"/>
        </w:rPr>
        <w:t>传真：                             传真：</w:t>
      </w:r>
    </w:p>
    <w:p w14:paraId="0A370884">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bidi="ar"/>
        </w:rPr>
        <w:t>开户银行：                         开户银行：</w:t>
      </w:r>
    </w:p>
    <w:p w14:paraId="09844791">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bidi="ar"/>
        </w:rPr>
        <w:t>帐号：                             帐号：</w:t>
      </w:r>
    </w:p>
    <w:p w14:paraId="3C246EC2">
      <w:pPr>
        <w:spacing w:line="360" w:lineRule="auto"/>
        <w:jc w:val="left"/>
        <w:rPr>
          <w:rFonts w:hint="eastAsia" w:ascii="宋体" w:hAnsi="宋体" w:cs="宋体"/>
          <w:sz w:val="24"/>
          <w:highlight w:val="none"/>
        </w:rPr>
      </w:pPr>
      <w:r>
        <w:rPr>
          <w:rFonts w:hint="eastAsia" w:ascii="宋体" w:hAnsi="宋体" w:cs="宋体"/>
          <w:sz w:val="24"/>
          <w:highlight w:val="none"/>
          <w:lang w:bidi="ar"/>
        </w:rPr>
        <w:t xml:space="preserve">                                签约时间： </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年</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月</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 xml:space="preserve">日     </w:t>
      </w:r>
    </w:p>
    <w:p w14:paraId="1615162F">
      <w:pPr>
        <w:autoSpaceDE w:val="0"/>
        <w:autoSpaceDN w:val="0"/>
        <w:spacing w:line="360" w:lineRule="auto"/>
        <w:ind w:firstLine="3840" w:firstLineChars="1600"/>
        <w:rPr>
          <w:rFonts w:hint="eastAsia" w:ascii="宋体" w:hAnsi="宋体" w:cs="宋体"/>
          <w:sz w:val="24"/>
          <w:highlight w:val="none"/>
          <w:u w:val="single"/>
        </w:rPr>
      </w:pPr>
      <w:r>
        <w:rPr>
          <w:rFonts w:hint="eastAsia" w:ascii="宋体" w:hAnsi="宋体" w:cs="宋体"/>
          <w:sz w:val="24"/>
          <w:highlight w:val="none"/>
          <w:lang w:bidi="ar"/>
        </w:rPr>
        <w:t>签约地点：</w:t>
      </w:r>
      <w:r>
        <w:rPr>
          <w:rFonts w:hint="eastAsia" w:ascii="宋体" w:hAnsi="宋体" w:cs="宋体"/>
          <w:sz w:val="24"/>
          <w:highlight w:val="none"/>
          <w:u w:val="single"/>
          <w:lang w:bidi="ar"/>
        </w:rPr>
        <w:t xml:space="preserve">                  </w:t>
      </w:r>
    </w:p>
    <w:bookmarkEnd w:id="403"/>
    <w:bookmarkEnd w:id="404"/>
    <w:bookmarkEnd w:id="405"/>
    <w:bookmarkEnd w:id="406"/>
    <w:bookmarkEnd w:id="407"/>
    <w:p w14:paraId="11BC16F1">
      <w:pPr>
        <w:widowControl/>
        <w:adjustRightInd/>
        <w:jc w:val="center"/>
        <w:rPr>
          <w:rFonts w:cs="宋体" w:asciiTheme="majorEastAsia" w:hAnsiTheme="majorEastAsia" w:eastAsiaTheme="majorEastAsia"/>
          <w:b/>
          <w:sz w:val="36"/>
          <w:szCs w:val="20"/>
          <w:highlight w:val="none"/>
        </w:rPr>
      </w:pPr>
    </w:p>
    <w:p w14:paraId="31D5E830">
      <w:pPr>
        <w:widowControl/>
        <w:adjustRightInd/>
        <w:jc w:val="center"/>
        <w:rPr>
          <w:rFonts w:cs="宋体" w:asciiTheme="majorEastAsia" w:hAnsiTheme="majorEastAsia" w:eastAsiaTheme="majorEastAsia"/>
          <w:b/>
          <w:sz w:val="36"/>
          <w:szCs w:val="20"/>
          <w:highlight w:val="none"/>
        </w:rPr>
      </w:pPr>
    </w:p>
    <w:p w14:paraId="731E895C">
      <w:pPr>
        <w:widowControl/>
        <w:adjustRightInd/>
        <w:jc w:val="center"/>
        <w:rPr>
          <w:rFonts w:hint="eastAsia" w:cs="宋体" w:asciiTheme="majorEastAsia" w:hAnsiTheme="majorEastAsia" w:eastAsiaTheme="majorEastAsia"/>
          <w:b/>
          <w:sz w:val="36"/>
          <w:szCs w:val="20"/>
          <w:highlight w:val="none"/>
        </w:rPr>
      </w:pPr>
    </w:p>
    <w:p w14:paraId="05FF1F39">
      <w:pPr>
        <w:widowControl/>
        <w:adjustRightInd/>
        <w:jc w:val="center"/>
        <w:rPr>
          <w:rFonts w:hint="eastAsia" w:cs="宋体" w:asciiTheme="majorEastAsia" w:hAnsiTheme="majorEastAsia" w:eastAsiaTheme="majorEastAsia"/>
          <w:b/>
          <w:sz w:val="36"/>
          <w:szCs w:val="20"/>
          <w:highlight w:val="none"/>
        </w:rPr>
      </w:pPr>
    </w:p>
    <w:p w14:paraId="02CBB1C0">
      <w:pPr>
        <w:widowControl/>
        <w:adjustRightInd/>
        <w:jc w:val="center"/>
        <w:rPr>
          <w:rFonts w:hint="eastAsia" w:cs="宋体" w:asciiTheme="majorEastAsia" w:hAnsiTheme="majorEastAsia" w:eastAsiaTheme="majorEastAsia"/>
          <w:b/>
          <w:sz w:val="36"/>
          <w:szCs w:val="20"/>
          <w:highlight w:val="none"/>
        </w:rPr>
      </w:pPr>
    </w:p>
    <w:p w14:paraId="59115845">
      <w:pPr>
        <w:widowControl/>
        <w:adjustRightInd/>
        <w:jc w:val="center"/>
        <w:rPr>
          <w:rFonts w:hint="eastAsia" w:cs="宋体" w:asciiTheme="majorEastAsia" w:hAnsiTheme="majorEastAsia" w:eastAsiaTheme="majorEastAsia"/>
          <w:b/>
          <w:sz w:val="36"/>
          <w:szCs w:val="20"/>
          <w:highlight w:val="none"/>
        </w:rPr>
      </w:pPr>
    </w:p>
    <w:p w14:paraId="5BD3A590">
      <w:pPr>
        <w:widowControl/>
        <w:adjustRightInd/>
        <w:jc w:val="center"/>
        <w:rPr>
          <w:rFonts w:hint="eastAsia" w:cs="宋体" w:asciiTheme="majorEastAsia" w:hAnsiTheme="majorEastAsia" w:eastAsiaTheme="majorEastAsia"/>
          <w:b/>
          <w:sz w:val="36"/>
          <w:szCs w:val="20"/>
          <w:highlight w:val="none"/>
        </w:rPr>
      </w:pPr>
    </w:p>
    <w:p w14:paraId="1F6ED47B">
      <w:pPr>
        <w:widowControl/>
        <w:adjustRightInd/>
        <w:jc w:val="center"/>
        <w:rPr>
          <w:rFonts w:hint="eastAsia" w:cs="宋体" w:asciiTheme="majorEastAsia" w:hAnsiTheme="majorEastAsia" w:eastAsiaTheme="majorEastAsia"/>
          <w:b/>
          <w:sz w:val="36"/>
          <w:szCs w:val="20"/>
          <w:highlight w:val="none"/>
        </w:rPr>
      </w:pPr>
    </w:p>
    <w:p w14:paraId="09D2D79C">
      <w:pPr>
        <w:widowControl/>
        <w:adjustRightInd/>
        <w:jc w:val="center"/>
        <w:rPr>
          <w:rFonts w:hint="eastAsia" w:cs="宋体" w:asciiTheme="majorEastAsia" w:hAnsiTheme="majorEastAsia" w:eastAsiaTheme="majorEastAsia"/>
          <w:b/>
          <w:sz w:val="36"/>
          <w:szCs w:val="20"/>
          <w:highlight w:val="none"/>
        </w:rPr>
      </w:pPr>
    </w:p>
    <w:p w14:paraId="6A7DBBC9">
      <w:pPr>
        <w:widowControl/>
        <w:adjustRightInd/>
        <w:jc w:val="center"/>
        <w:rPr>
          <w:rFonts w:hint="eastAsia" w:cs="宋体" w:asciiTheme="majorEastAsia" w:hAnsiTheme="majorEastAsia" w:eastAsiaTheme="majorEastAsia"/>
          <w:b/>
          <w:sz w:val="36"/>
          <w:szCs w:val="20"/>
          <w:highlight w:val="none"/>
        </w:rPr>
      </w:pPr>
    </w:p>
    <w:p w14:paraId="4DF33668">
      <w:pPr>
        <w:widowControl/>
        <w:adjustRightInd/>
        <w:jc w:val="center"/>
        <w:rPr>
          <w:rFonts w:hint="eastAsia" w:cs="宋体" w:asciiTheme="majorEastAsia" w:hAnsiTheme="majorEastAsia" w:eastAsiaTheme="majorEastAsia"/>
          <w:b/>
          <w:sz w:val="36"/>
          <w:szCs w:val="20"/>
          <w:highlight w:val="none"/>
        </w:rPr>
      </w:pPr>
    </w:p>
    <w:p w14:paraId="3712D92D">
      <w:pPr>
        <w:widowControl/>
        <w:adjustRightInd/>
        <w:jc w:val="center"/>
        <w:rPr>
          <w:rFonts w:hint="eastAsia" w:cs="宋体" w:asciiTheme="majorEastAsia" w:hAnsiTheme="majorEastAsia" w:eastAsiaTheme="majorEastAsia"/>
          <w:b/>
          <w:sz w:val="36"/>
          <w:szCs w:val="20"/>
          <w:highlight w:val="none"/>
        </w:rPr>
      </w:pPr>
    </w:p>
    <w:p w14:paraId="7BA5F92C">
      <w:pPr>
        <w:widowControl/>
        <w:adjustRightInd/>
        <w:jc w:val="center"/>
        <w:rPr>
          <w:rFonts w:hint="eastAsia" w:cs="宋体" w:asciiTheme="majorEastAsia" w:hAnsiTheme="majorEastAsia" w:eastAsiaTheme="majorEastAsia"/>
          <w:b/>
          <w:sz w:val="36"/>
          <w:szCs w:val="20"/>
          <w:highlight w:val="none"/>
        </w:rPr>
      </w:pPr>
    </w:p>
    <w:p w14:paraId="24702661">
      <w:pPr>
        <w:widowControl/>
        <w:adjustRightInd/>
        <w:jc w:val="center"/>
        <w:rPr>
          <w:rFonts w:hint="eastAsia" w:cs="宋体" w:asciiTheme="majorEastAsia" w:hAnsiTheme="majorEastAsia" w:eastAsiaTheme="majorEastAsia"/>
          <w:b/>
          <w:sz w:val="36"/>
          <w:szCs w:val="20"/>
          <w:highlight w:val="none"/>
        </w:rPr>
      </w:pPr>
    </w:p>
    <w:p w14:paraId="15D9BCE8">
      <w:pPr>
        <w:widowControl/>
        <w:adjustRightInd/>
        <w:jc w:val="center"/>
        <w:rPr>
          <w:rFonts w:hint="eastAsia" w:cs="宋体" w:asciiTheme="majorEastAsia" w:hAnsiTheme="majorEastAsia" w:eastAsiaTheme="majorEastAsia"/>
          <w:b/>
          <w:sz w:val="36"/>
          <w:szCs w:val="20"/>
          <w:highlight w:val="none"/>
        </w:rPr>
      </w:pPr>
    </w:p>
    <w:p w14:paraId="509215DF">
      <w:pPr>
        <w:widowControl/>
        <w:adjustRightInd/>
        <w:jc w:val="center"/>
        <w:rPr>
          <w:rFonts w:hint="eastAsia" w:cs="宋体" w:asciiTheme="majorEastAsia" w:hAnsiTheme="majorEastAsia" w:eastAsiaTheme="majorEastAsia"/>
          <w:b/>
          <w:sz w:val="36"/>
          <w:szCs w:val="20"/>
          <w:highlight w:val="none"/>
        </w:rPr>
      </w:pPr>
    </w:p>
    <w:p w14:paraId="2F4E3AB9">
      <w:pPr>
        <w:widowControl/>
        <w:adjustRightInd/>
        <w:jc w:val="center"/>
        <w:rPr>
          <w:rFonts w:hint="eastAsia" w:cs="宋体" w:asciiTheme="majorEastAsia" w:hAnsiTheme="majorEastAsia" w:eastAsiaTheme="majorEastAsia"/>
          <w:b/>
          <w:sz w:val="36"/>
          <w:szCs w:val="20"/>
          <w:highlight w:val="none"/>
        </w:rPr>
      </w:pPr>
    </w:p>
    <w:p w14:paraId="0CE1783B">
      <w:pPr>
        <w:widowControl/>
        <w:adjustRightInd/>
        <w:jc w:val="center"/>
        <w:rPr>
          <w:rFonts w:hint="eastAsia" w:cs="宋体" w:asciiTheme="majorEastAsia" w:hAnsiTheme="majorEastAsia" w:eastAsiaTheme="majorEastAsia"/>
          <w:b/>
          <w:sz w:val="36"/>
          <w:szCs w:val="20"/>
          <w:highlight w:val="none"/>
        </w:rPr>
      </w:pPr>
    </w:p>
    <w:p w14:paraId="527D7198">
      <w:pPr>
        <w:widowControl/>
        <w:adjustRightInd/>
        <w:jc w:val="center"/>
        <w:rPr>
          <w:rFonts w:cs="宋体" w:asciiTheme="majorEastAsia" w:hAnsiTheme="majorEastAsia" w:eastAsiaTheme="majorEastAsia"/>
          <w:b/>
          <w:sz w:val="36"/>
          <w:szCs w:val="20"/>
          <w:highlight w:val="none"/>
        </w:rPr>
      </w:pPr>
      <w:r>
        <w:rPr>
          <w:rFonts w:hint="eastAsia" w:cs="宋体" w:asciiTheme="majorEastAsia" w:hAnsiTheme="majorEastAsia" w:eastAsiaTheme="majorEastAsia"/>
          <w:b/>
          <w:sz w:val="36"/>
          <w:szCs w:val="20"/>
          <w:highlight w:val="none"/>
        </w:rPr>
        <w:t>第六部分</w:t>
      </w:r>
      <w:bookmarkEnd w:id="401"/>
      <w:bookmarkEnd w:id="402"/>
      <w:r>
        <w:rPr>
          <w:rFonts w:hint="eastAsia" w:cs="宋体" w:asciiTheme="majorEastAsia" w:hAnsiTheme="majorEastAsia" w:eastAsiaTheme="majorEastAsia"/>
          <w:b/>
          <w:sz w:val="36"/>
          <w:szCs w:val="20"/>
          <w:highlight w:val="none"/>
        </w:rPr>
        <w:t>应提交的有关格式范例</w:t>
      </w:r>
    </w:p>
    <w:p w14:paraId="291AFAB2">
      <w:pPr>
        <w:spacing w:line="360" w:lineRule="auto"/>
        <w:jc w:val="center"/>
        <w:outlineLvl w:val="0"/>
        <w:rPr>
          <w:rFonts w:cs="宋体" w:asciiTheme="majorEastAsia" w:hAnsiTheme="majorEastAsia" w:eastAsiaTheme="majorEastAsia"/>
          <w:b/>
          <w:kern w:val="0"/>
          <w:sz w:val="36"/>
          <w:szCs w:val="36"/>
          <w:highlight w:val="none"/>
        </w:rPr>
      </w:pPr>
    </w:p>
    <w:p w14:paraId="2D51EB31">
      <w:pPr>
        <w:spacing w:line="360" w:lineRule="auto"/>
        <w:jc w:val="center"/>
        <w:outlineLvl w:val="0"/>
        <w:rPr>
          <w:rFonts w:cs="宋体" w:asciiTheme="majorEastAsia" w:hAnsiTheme="majorEastAsia" w:eastAsiaTheme="majorEastAsia"/>
          <w:b/>
          <w:kern w:val="0"/>
          <w:sz w:val="36"/>
          <w:szCs w:val="36"/>
          <w:highlight w:val="none"/>
        </w:rPr>
      </w:pPr>
      <w:r>
        <w:rPr>
          <w:rFonts w:hint="eastAsia" w:cs="宋体" w:asciiTheme="majorEastAsia" w:hAnsiTheme="majorEastAsia" w:eastAsiaTheme="majorEastAsia"/>
          <w:b/>
          <w:kern w:val="0"/>
          <w:sz w:val="36"/>
          <w:szCs w:val="36"/>
          <w:highlight w:val="none"/>
        </w:rPr>
        <w:t>资格文件部分</w:t>
      </w:r>
    </w:p>
    <w:p w14:paraId="613AC59C">
      <w:pPr>
        <w:spacing w:line="360" w:lineRule="auto"/>
        <w:jc w:val="center"/>
        <w:outlineLvl w:val="0"/>
        <w:rPr>
          <w:rFonts w:cs="宋体" w:asciiTheme="majorEastAsia" w:hAnsiTheme="majorEastAsia" w:eastAsiaTheme="majorEastAsia"/>
          <w:b/>
          <w:kern w:val="0"/>
          <w:sz w:val="36"/>
          <w:szCs w:val="36"/>
          <w:highlight w:val="none"/>
        </w:rPr>
      </w:pPr>
      <w:r>
        <w:rPr>
          <w:rFonts w:hint="eastAsia" w:cs="宋体" w:asciiTheme="majorEastAsia" w:hAnsiTheme="majorEastAsia" w:eastAsiaTheme="majorEastAsia"/>
          <w:b/>
          <w:kern w:val="0"/>
          <w:sz w:val="36"/>
          <w:szCs w:val="36"/>
          <w:highlight w:val="none"/>
        </w:rPr>
        <w:t>目录</w:t>
      </w:r>
    </w:p>
    <w:p w14:paraId="44E0A685">
      <w:pPr>
        <w:spacing w:line="360" w:lineRule="auto"/>
        <w:jc w:val="center"/>
        <w:outlineLvl w:val="0"/>
        <w:rPr>
          <w:rFonts w:cs="宋体" w:asciiTheme="majorEastAsia" w:hAnsiTheme="majorEastAsia" w:eastAsiaTheme="majorEastAsia"/>
          <w:b/>
          <w:kern w:val="0"/>
          <w:sz w:val="36"/>
          <w:szCs w:val="36"/>
          <w:highlight w:val="none"/>
        </w:rPr>
      </w:pPr>
    </w:p>
    <w:p w14:paraId="3010E46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B8748DF">
      <w:pPr>
        <w:snapToGrid w:val="0"/>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营业执照</w:t>
      </w:r>
      <w:r>
        <w:rPr>
          <w:rFonts w:hint="eastAsia" w:ascii="宋体" w:hAnsi="宋体" w:cs="宋体"/>
          <w:color w:val="auto"/>
          <w:sz w:val="24"/>
          <w:highlight w:val="none"/>
        </w:rPr>
        <w:t>………………………………………………………………（页码）</w:t>
      </w:r>
    </w:p>
    <w:p w14:paraId="33C6BB3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3</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联合协议</w:t>
      </w:r>
      <w:r>
        <w:rPr>
          <w:rFonts w:hint="eastAsia" w:ascii="宋体" w:hAnsi="宋体" w:cs="宋体"/>
          <w:color w:val="auto"/>
          <w:sz w:val="24"/>
          <w:highlight w:val="none"/>
        </w:rPr>
        <w:t>………………………………………………………………（页码）</w:t>
      </w:r>
    </w:p>
    <w:p w14:paraId="6AEBE6A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）落实政府采购政策需满足的资格要求………………………………（页码）</w:t>
      </w:r>
    </w:p>
    <w:p w14:paraId="10138C8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7BE5BB80">
      <w:pPr>
        <w:snapToGrid w:val="0"/>
        <w:spacing w:line="360" w:lineRule="auto"/>
        <w:ind w:firstLine="480" w:firstLineChars="200"/>
        <w:rPr>
          <w:rFonts w:cs="宋体" w:asciiTheme="majorEastAsia" w:hAnsiTheme="majorEastAsia" w:eastAsiaTheme="majorEastAsia"/>
          <w:sz w:val="24"/>
          <w:highlight w:val="none"/>
        </w:rPr>
      </w:pPr>
    </w:p>
    <w:p w14:paraId="7628B31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注：预留中小企业份额包的标项要求在资格文件中提供中小企业声明函；非预留中小企业份额包的标项要求在报价文件中提供中小企业声明函（如有）。</w:t>
      </w:r>
    </w:p>
    <w:p w14:paraId="51FEA1AD">
      <w:pPr>
        <w:spacing w:line="360" w:lineRule="auto"/>
        <w:ind w:firstLine="480" w:firstLineChars="200"/>
        <w:rPr>
          <w:rFonts w:cs="宋体" w:asciiTheme="majorEastAsia" w:hAnsiTheme="majorEastAsia" w:eastAsiaTheme="majorEastAsia"/>
          <w:sz w:val="24"/>
          <w:highlight w:val="none"/>
        </w:rPr>
      </w:pPr>
    </w:p>
    <w:p w14:paraId="5A4EC5D2">
      <w:pPr>
        <w:snapToGrid w:val="0"/>
        <w:spacing w:line="360" w:lineRule="auto"/>
        <w:ind w:right="480"/>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kern w:val="0"/>
          <w:sz w:val="24"/>
          <w:highlight w:val="none"/>
        </w:rPr>
        <w:br w:type="page"/>
      </w:r>
      <w:r>
        <w:rPr>
          <w:rFonts w:hint="eastAsia" w:cs="宋体" w:asciiTheme="majorEastAsia" w:hAnsiTheme="majorEastAsia" w:eastAsiaTheme="majorEastAsia"/>
          <w:b/>
          <w:kern w:val="0"/>
          <w:sz w:val="32"/>
          <w:szCs w:val="32"/>
          <w:highlight w:val="none"/>
        </w:rPr>
        <w:t xml:space="preserve">  一、符合参加政府采购活动应当具备的一般条件的承诺函</w:t>
      </w:r>
    </w:p>
    <w:p w14:paraId="481CA0E2">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1733EE0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我方参与（项目名称）【</w:t>
      </w:r>
      <w:r>
        <w:rPr>
          <w:rFonts w:hint="eastAsia" w:ascii="宋体" w:hAnsi="宋体" w:cs="宋体"/>
          <w:sz w:val="24"/>
          <w:highlight w:val="none"/>
          <w:lang w:eastAsia="zh-CN"/>
        </w:rPr>
        <w:t>项目编号</w:t>
      </w:r>
      <w:r>
        <w:rPr>
          <w:rFonts w:hint="eastAsia" w:ascii="宋体" w:hAnsi="宋体" w:cs="宋体"/>
          <w:sz w:val="24"/>
          <w:highlight w:val="none"/>
        </w:rPr>
        <w:t>：</w:t>
      </w:r>
      <w:r>
        <w:rPr>
          <w:rFonts w:hint="eastAsia" w:ascii="宋体" w:hAnsi="宋体" w:cs="宋体"/>
          <w:sz w:val="24"/>
          <w:highlight w:val="none"/>
          <w:lang w:val="en-US" w:eastAsia="zh-CN"/>
        </w:rPr>
        <w:t xml:space="preserve">     </w:t>
      </w:r>
      <w:r>
        <w:rPr>
          <w:rFonts w:hint="eastAsia" w:ascii="宋体" w:hAnsi="宋体" w:cs="宋体"/>
          <w:sz w:val="24"/>
          <w:highlight w:val="none"/>
        </w:rPr>
        <w:t>】政府采购活动，郑重承诺：</w:t>
      </w:r>
    </w:p>
    <w:p w14:paraId="4A5BD2A9">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46A31F6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7E55849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10A2B32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2CB0E65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775A5CD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4B4530A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1F87FD7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5E01BC1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7FDAC38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16DF52D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2B7FF687">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379A3A33">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18DF94D4">
      <w:pPr>
        <w:snapToGrid w:val="0"/>
        <w:spacing w:line="360" w:lineRule="auto"/>
        <w:ind w:right="480"/>
        <w:jc w:val="center"/>
        <w:rPr>
          <w:rFonts w:cs="宋体" w:asciiTheme="majorEastAsia" w:hAnsiTheme="majorEastAsia" w:eastAsiaTheme="majorEastAsia"/>
          <w:b/>
          <w:kern w:val="0"/>
          <w:sz w:val="32"/>
          <w:szCs w:val="32"/>
          <w:highlight w:val="none"/>
        </w:rPr>
      </w:pPr>
    </w:p>
    <w:p w14:paraId="186004F8">
      <w:pPr>
        <w:snapToGrid w:val="0"/>
        <w:spacing w:line="360" w:lineRule="auto"/>
        <w:ind w:right="480"/>
        <w:jc w:val="center"/>
        <w:rPr>
          <w:rFonts w:cs="宋体" w:asciiTheme="majorEastAsia" w:hAnsiTheme="majorEastAsia" w:eastAsiaTheme="majorEastAsia"/>
          <w:b/>
          <w:kern w:val="0"/>
          <w:sz w:val="32"/>
          <w:szCs w:val="32"/>
          <w:highlight w:val="none"/>
        </w:rPr>
      </w:pPr>
    </w:p>
    <w:p w14:paraId="093B3803">
      <w:pPr>
        <w:snapToGrid w:val="0"/>
        <w:spacing w:line="360" w:lineRule="auto"/>
        <w:ind w:right="480"/>
        <w:jc w:val="center"/>
        <w:rPr>
          <w:rFonts w:cs="宋体" w:asciiTheme="majorEastAsia" w:hAnsiTheme="majorEastAsia" w:eastAsiaTheme="majorEastAsia"/>
          <w:b/>
          <w:kern w:val="0"/>
          <w:sz w:val="32"/>
          <w:szCs w:val="32"/>
          <w:highlight w:val="none"/>
        </w:rPr>
      </w:pPr>
    </w:p>
    <w:p w14:paraId="62A0718D">
      <w:pPr>
        <w:widowControl/>
        <w:adjustRightInd/>
        <w:jc w:val="left"/>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br w:type="page"/>
      </w:r>
    </w:p>
    <w:p w14:paraId="32D30D7F">
      <w:pPr>
        <w:tabs>
          <w:tab w:val="left" w:pos="900"/>
        </w:tabs>
        <w:jc w:val="center"/>
        <w:outlineLvl w:val="9"/>
        <w:rPr>
          <w:rFonts w:hint="eastAsia" w:eastAsia="宋体"/>
          <w:b/>
          <w:bCs/>
          <w:sz w:val="32"/>
          <w:szCs w:val="32"/>
          <w:highlight w:val="none"/>
          <w:lang w:val="en-US" w:eastAsia="zh-CN"/>
        </w:rPr>
      </w:pPr>
      <w:r>
        <w:rPr>
          <w:rFonts w:hint="eastAsia"/>
          <w:b/>
          <w:bCs/>
          <w:sz w:val="32"/>
          <w:szCs w:val="32"/>
          <w:highlight w:val="none"/>
        </w:rPr>
        <w:t>二、</w:t>
      </w:r>
      <w:r>
        <w:rPr>
          <w:rFonts w:hint="eastAsia"/>
          <w:b/>
          <w:bCs/>
          <w:sz w:val="32"/>
          <w:szCs w:val="32"/>
          <w:highlight w:val="none"/>
          <w:lang w:val="en-US" w:eastAsia="zh-CN"/>
        </w:rPr>
        <w:t>营业执照</w:t>
      </w:r>
    </w:p>
    <w:p w14:paraId="5C0A89F0">
      <w:pPr>
        <w:tabs>
          <w:tab w:val="left" w:pos="900"/>
        </w:tabs>
        <w:jc w:val="center"/>
        <w:outlineLvl w:val="9"/>
        <w:rPr>
          <w:b/>
          <w:bCs/>
          <w:sz w:val="32"/>
          <w:szCs w:val="32"/>
          <w:highlight w:val="none"/>
        </w:rPr>
      </w:pPr>
      <w:r>
        <w:rPr>
          <w:rFonts w:hint="eastAsia"/>
          <w:b/>
          <w:bCs/>
          <w:sz w:val="32"/>
          <w:szCs w:val="32"/>
          <w:highlight w:val="none"/>
          <w:lang w:val="en-US" w:eastAsia="zh-CN"/>
        </w:rPr>
        <w:t>三、</w:t>
      </w:r>
      <w:r>
        <w:rPr>
          <w:rFonts w:hint="eastAsia"/>
          <w:b/>
          <w:bCs/>
          <w:sz w:val="32"/>
          <w:szCs w:val="32"/>
          <w:highlight w:val="none"/>
        </w:rPr>
        <w:t>联合协议（如果有）</w:t>
      </w:r>
    </w:p>
    <w:p w14:paraId="3755B8CF">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18F46375">
      <w:pPr>
        <w:snapToGrid w:val="0"/>
        <w:spacing w:line="360" w:lineRule="auto"/>
        <w:ind w:right="480"/>
        <w:jc w:val="center"/>
        <w:rPr>
          <w:rFonts w:ascii="宋体" w:hAnsi="宋体" w:cs="宋体"/>
          <w:b/>
          <w:kern w:val="0"/>
          <w:sz w:val="32"/>
          <w:szCs w:val="32"/>
          <w:highlight w:val="none"/>
        </w:rPr>
      </w:pPr>
    </w:p>
    <w:p w14:paraId="206257A0">
      <w:pPr>
        <w:snapToGrid w:val="0"/>
        <w:spacing w:line="360" w:lineRule="auto"/>
        <w:ind w:right="480"/>
        <w:jc w:val="center"/>
        <w:rPr>
          <w:rFonts w:ascii="宋体" w:hAnsi="宋体" w:cs="宋体"/>
          <w:b/>
          <w:kern w:val="0"/>
          <w:sz w:val="32"/>
          <w:szCs w:val="32"/>
          <w:highlight w:val="none"/>
        </w:rPr>
      </w:pPr>
    </w:p>
    <w:p w14:paraId="0BE82679">
      <w:pPr>
        <w:tabs>
          <w:tab w:val="left" w:pos="900"/>
        </w:tabs>
        <w:jc w:val="center"/>
        <w:outlineLvl w:val="9"/>
        <w:rPr>
          <w:b/>
          <w:bCs/>
          <w:sz w:val="32"/>
          <w:szCs w:val="40"/>
          <w:highlight w:val="none"/>
        </w:rPr>
      </w:pPr>
      <w:r>
        <w:rPr>
          <w:rFonts w:hint="eastAsia"/>
          <w:b/>
          <w:bCs/>
          <w:sz w:val="32"/>
          <w:szCs w:val="40"/>
          <w:highlight w:val="none"/>
          <w:lang w:val="en-US" w:eastAsia="zh-CN"/>
        </w:rPr>
        <w:t>四</w:t>
      </w:r>
      <w:r>
        <w:rPr>
          <w:rFonts w:hint="eastAsia"/>
          <w:b/>
          <w:bCs/>
          <w:sz w:val="32"/>
          <w:szCs w:val="40"/>
          <w:highlight w:val="none"/>
        </w:rPr>
        <w:t>、落实政府采购政策需满足的资格要求</w:t>
      </w:r>
    </w:p>
    <w:p w14:paraId="0044D5F7">
      <w:pPr>
        <w:kinsoku/>
        <w:wordWrap/>
        <w:overflowPunct/>
        <w:topLinePunct w:val="0"/>
        <w:bidi w:val="0"/>
        <w:spacing w:beforeAutospacing="0" w:afterAutospacing="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434A56D0">
      <w:pPr>
        <w:kinsoku/>
        <w:wordWrap/>
        <w:overflowPunct/>
        <w:topLinePunct w:val="0"/>
        <w:bidi w:val="0"/>
        <w:snapToGrid w:val="0"/>
        <w:spacing w:beforeAutospacing="0" w:afterAutospacing="0" w:line="360" w:lineRule="auto"/>
        <w:ind w:firstLine="472" w:firstLineChars="196"/>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42BCC292">
      <w:pPr>
        <w:widowControl/>
        <w:kinsoku/>
        <w:wordWrap/>
        <w:overflowPunct/>
        <w:topLinePunct w:val="0"/>
        <w:bidi w:val="0"/>
        <w:spacing w:beforeAutospacing="0" w:afterAutospacing="0" w:line="360" w:lineRule="auto"/>
        <w:ind w:firstLine="480"/>
        <w:jc w:val="left"/>
        <w:textAlignment w:val="auto"/>
        <w:rPr>
          <w:rFonts w:hint="eastAsia" w:ascii="宋体" w:hAnsi="宋体" w:eastAsia="宋体" w:cs="宋体"/>
          <w:color w:val="auto"/>
          <w:sz w:val="24"/>
          <w:highlight w:val="none"/>
        </w:rPr>
      </w:pPr>
    </w:p>
    <w:p w14:paraId="6570E972">
      <w:pPr>
        <w:widowControl/>
        <w:kinsoku/>
        <w:wordWrap/>
        <w:overflowPunct/>
        <w:topLinePunct w:val="0"/>
        <w:bidi w:val="0"/>
        <w:spacing w:beforeAutospacing="0" w:afterAutospacing="0" w:line="360" w:lineRule="auto"/>
        <w:ind w:firstLine="472" w:firstLineChars="196"/>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47E7F638">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34D47249">
      <w:pPr>
        <w:kinsoku/>
        <w:wordWrap/>
        <w:overflowPunct/>
        <w:topLinePunct w:val="0"/>
        <w:bidi w:val="0"/>
        <w:spacing w:beforeAutospacing="0" w:afterAutospacing="0"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1040666E">
      <w:pPr>
        <w:widowControl/>
        <w:spacing w:line="360" w:lineRule="auto"/>
        <w:ind w:left="150"/>
        <w:jc w:val="center"/>
        <w:rPr>
          <w:rFonts w:ascii="宋体" w:hAnsi="宋体" w:cs="宋体"/>
          <w:b/>
          <w:kern w:val="0"/>
          <w:sz w:val="32"/>
          <w:szCs w:val="32"/>
          <w:highlight w:val="none"/>
        </w:rPr>
      </w:pPr>
    </w:p>
    <w:p w14:paraId="36BF39C7">
      <w:pPr>
        <w:keepNext/>
        <w:keepLines/>
        <w:adjustRightInd/>
        <w:ind w:left="431" w:hanging="431"/>
        <w:rPr>
          <w:rFonts w:ascii="宋体" w:hAnsi="宋体" w:cs="宋体"/>
          <w:sz w:val="24"/>
          <w:highlight w:val="none"/>
        </w:rPr>
      </w:pPr>
    </w:p>
    <w:p w14:paraId="35935E95">
      <w:pPr>
        <w:rPr>
          <w:highlight w:val="none"/>
        </w:rPr>
      </w:pPr>
    </w:p>
    <w:p w14:paraId="3426C973">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、本项目的特定资格要求</w:t>
      </w:r>
    </w:p>
    <w:p w14:paraId="4FF6BFB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C92AA39">
      <w:pPr>
        <w:rPr>
          <w:rFonts w:ascii="宋体" w:hAnsi="宋体" w:cs="宋体"/>
          <w:sz w:val="24"/>
          <w:highlight w:val="none"/>
        </w:rPr>
      </w:pPr>
    </w:p>
    <w:p w14:paraId="28A8F9C1">
      <w:pPr>
        <w:rPr>
          <w:highlight w:val="none"/>
        </w:rPr>
      </w:pPr>
    </w:p>
    <w:p w14:paraId="5D8E208D">
      <w:pPr>
        <w:rPr>
          <w:rFonts w:ascii="宋体" w:hAnsi="宋体" w:cs="宋体"/>
          <w:sz w:val="24"/>
          <w:highlight w:val="none"/>
        </w:rPr>
      </w:pPr>
    </w:p>
    <w:p w14:paraId="60F5C1DD">
      <w:pPr>
        <w:widowControl/>
        <w:adjustRightInd/>
        <w:jc w:val="left"/>
        <w:rPr>
          <w:rFonts w:cs="宋体" w:asciiTheme="majorEastAsia" w:hAnsiTheme="majorEastAsia" w:eastAsiaTheme="majorEastAsia"/>
          <w:b/>
          <w:kern w:val="0"/>
          <w:sz w:val="36"/>
          <w:szCs w:val="36"/>
          <w:highlight w:val="none"/>
        </w:rPr>
      </w:pPr>
      <w:r>
        <w:rPr>
          <w:rFonts w:hint="eastAsia" w:cs="宋体" w:asciiTheme="majorEastAsia" w:hAnsiTheme="majorEastAsia" w:eastAsiaTheme="majorEastAsia"/>
          <w:b/>
          <w:kern w:val="0"/>
          <w:sz w:val="36"/>
          <w:szCs w:val="36"/>
          <w:highlight w:val="none"/>
        </w:rPr>
        <w:br w:type="page"/>
      </w:r>
    </w:p>
    <w:p w14:paraId="5CAD6C4E">
      <w:pPr>
        <w:spacing w:line="360" w:lineRule="auto"/>
        <w:ind w:right="420" w:firstLine="3614" w:firstLineChars="1000"/>
        <w:rPr>
          <w:rFonts w:cs="宋体" w:asciiTheme="majorEastAsia" w:hAnsiTheme="majorEastAsia" w:eastAsiaTheme="majorEastAsia"/>
          <w:b/>
          <w:kern w:val="0"/>
          <w:sz w:val="36"/>
          <w:szCs w:val="36"/>
          <w:highlight w:val="none"/>
        </w:rPr>
      </w:pPr>
      <w:r>
        <w:rPr>
          <w:rFonts w:hint="eastAsia" w:cs="宋体" w:asciiTheme="majorEastAsia" w:hAnsiTheme="majorEastAsia" w:eastAsiaTheme="majorEastAsia"/>
          <w:b/>
          <w:kern w:val="0"/>
          <w:sz w:val="36"/>
          <w:szCs w:val="36"/>
          <w:highlight w:val="none"/>
        </w:rPr>
        <w:t>商务技术文件部分</w:t>
      </w:r>
    </w:p>
    <w:p w14:paraId="6B84BD19">
      <w:pPr>
        <w:spacing w:line="360" w:lineRule="auto"/>
        <w:jc w:val="center"/>
        <w:outlineLvl w:val="0"/>
        <w:rPr>
          <w:rFonts w:cs="宋体" w:asciiTheme="majorEastAsia" w:hAnsiTheme="majorEastAsia" w:eastAsiaTheme="majorEastAsia"/>
          <w:b/>
          <w:kern w:val="0"/>
          <w:sz w:val="24"/>
          <w:highlight w:val="none"/>
        </w:rPr>
      </w:pPr>
    </w:p>
    <w:p w14:paraId="3CBC7AA1">
      <w:pPr>
        <w:spacing w:line="360" w:lineRule="auto"/>
        <w:jc w:val="center"/>
        <w:outlineLvl w:val="0"/>
        <w:rPr>
          <w:rFonts w:cs="宋体" w:asciiTheme="majorEastAsia" w:hAnsiTheme="majorEastAsia" w:eastAsiaTheme="majorEastAsia"/>
          <w:b/>
          <w:kern w:val="0"/>
          <w:sz w:val="28"/>
          <w:szCs w:val="28"/>
          <w:highlight w:val="none"/>
        </w:rPr>
      </w:pPr>
      <w:r>
        <w:rPr>
          <w:rFonts w:hint="eastAsia" w:cs="宋体" w:asciiTheme="majorEastAsia" w:hAnsiTheme="majorEastAsia" w:eastAsiaTheme="majorEastAsia"/>
          <w:b/>
          <w:kern w:val="0"/>
          <w:sz w:val="28"/>
          <w:szCs w:val="28"/>
          <w:highlight w:val="none"/>
        </w:rPr>
        <w:t>目录</w:t>
      </w:r>
    </w:p>
    <w:p w14:paraId="19490E71">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3A00C05C">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471BEF1E">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6AC28828">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0C73376D">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61A40E81">
      <w:pPr>
        <w:snapToGrid w:val="0"/>
        <w:spacing w:line="360" w:lineRule="auto"/>
        <w:jc w:val="center"/>
        <w:rPr>
          <w:rFonts w:cs="宋体" w:asciiTheme="majorEastAsia" w:hAnsiTheme="majorEastAsia" w:eastAsiaTheme="majorEastAsia"/>
          <w:b/>
          <w:kern w:val="0"/>
          <w:sz w:val="32"/>
          <w:szCs w:val="32"/>
          <w:highlight w:val="none"/>
          <w:lang w:val="zh-CN"/>
        </w:rPr>
      </w:pPr>
    </w:p>
    <w:p w14:paraId="4612C7DE">
      <w:pPr>
        <w:snapToGrid w:val="0"/>
        <w:spacing w:line="360" w:lineRule="auto"/>
        <w:jc w:val="center"/>
        <w:rPr>
          <w:rFonts w:cs="宋体" w:asciiTheme="majorEastAsia" w:hAnsiTheme="majorEastAsia" w:eastAsiaTheme="majorEastAsia"/>
          <w:b/>
          <w:kern w:val="0"/>
          <w:sz w:val="32"/>
          <w:szCs w:val="32"/>
          <w:highlight w:val="none"/>
          <w:lang w:val="zh-CN"/>
        </w:rPr>
      </w:pPr>
    </w:p>
    <w:p w14:paraId="3D554845">
      <w:pPr>
        <w:snapToGrid w:val="0"/>
        <w:spacing w:line="360" w:lineRule="auto"/>
        <w:jc w:val="center"/>
        <w:rPr>
          <w:rFonts w:cs="宋体" w:asciiTheme="majorEastAsia" w:hAnsiTheme="majorEastAsia" w:eastAsiaTheme="majorEastAsia"/>
          <w:b/>
          <w:kern w:val="0"/>
          <w:sz w:val="32"/>
          <w:szCs w:val="32"/>
          <w:highlight w:val="none"/>
          <w:lang w:val="zh-CN"/>
        </w:rPr>
      </w:pPr>
    </w:p>
    <w:p w14:paraId="6ED31D9B">
      <w:pPr>
        <w:snapToGrid w:val="0"/>
        <w:spacing w:line="360" w:lineRule="auto"/>
        <w:jc w:val="center"/>
        <w:rPr>
          <w:rFonts w:cs="宋体" w:asciiTheme="majorEastAsia" w:hAnsiTheme="majorEastAsia" w:eastAsiaTheme="majorEastAsia"/>
          <w:b/>
          <w:kern w:val="0"/>
          <w:sz w:val="32"/>
          <w:szCs w:val="32"/>
          <w:highlight w:val="none"/>
          <w:lang w:val="zh-CN"/>
        </w:rPr>
      </w:pPr>
    </w:p>
    <w:p w14:paraId="771A0F2E">
      <w:pPr>
        <w:snapToGrid w:val="0"/>
        <w:spacing w:line="360" w:lineRule="auto"/>
        <w:jc w:val="center"/>
        <w:rPr>
          <w:rFonts w:cs="宋体" w:asciiTheme="majorEastAsia" w:hAnsiTheme="majorEastAsia" w:eastAsiaTheme="majorEastAsia"/>
          <w:b/>
          <w:kern w:val="0"/>
          <w:sz w:val="32"/>
          <w:szCs w:val="32"/>
          <w:highlight w:val="none"/>
          <w:lang w:val="zh-CN"/>
        </w:rPr>
      </w:pPr>
    </w:p>
    <w:p w14:paraId="7E3787BB">
      <w:pPr>
        <w:snapToGrid w:val="0"/>
        <w:spacing w:line="360" w:lineRule="auto"/>
        <w:jc w:val="center"/>
        <w:rPr>
          <w:rFonts w:cs="宋体" w:asciiTheme="majorEastAsia" w:hAnsiTheme="majorEastAsia" w:eastAsiaTheme="majorEastAsia"/>
          <w:b/>
          <w:kern w:val="0"/>
          <w:sz w:val="32"/>
          <w:szCs w:val="32"/>
          <w:highlight w:val="none"/>
          <w:lang w:val="zh-CN"/>
        </w:rPr>
      </w:pPr>
    </w:p>
    <w:p w14:paraId="565BCA6A">
      <w:pPr>
        <w:snapToGrid w:val="0"/>
        <w:spacing w:line="360" w:lineRule="auto"/>
        <w:jc w:val="center"/>
        <w:rPr>
          <w:rFonts w:cs="宋体" w:asciiTheme="majorEastAsia" w:hAnsiTheme="majorEastAsia" w:eastAsiaTheme="majorEastAsia"/>
          <w:b/>
          <w:kern w:val="0"/>
          <w:sz w:val="32"/>
          <w:szCs w:val="32"/>
          <w:highlight w:val="none"/>
          <w:lang w:val="zh-CN"/>
        </w:rPr>
      </w:pPr>
    </w:p>
    <w:p w14:paraId="465127DD">
      <w:pPr>
        <w:snapToGrid w:val="0"/>
        <w:spacing w:line="360" w:lineRule="auto"/>
        <w:jc w:val="center"/>
        <w:rPr>
          <w:rFonts w:cs="宋体" w:asciiTheme="majorEastAsia" w:hAnsiTheme="majorEastAsia" w:eastAsiaTheme="majorEastAsia"/>
          <w:b/>
          <w:kern w:val="0"/>
          <w:sz w:val="32"/>
          <w:szCs w:val="32"/>
          <w:highlight w:val="none"/>
          <w:lang w:val="zh-CN"/>
        </w:rPr>
      </w:pPr>
    </w:p>
    <w:p w14:paraId="73E8CE5A">
      <w:pPr>
        <w:snapToGrid w:val="0"/>
        <w:spacing w:line="360" w:lineRule="auto"/>
        <w:jc w:val="center"/>
        <w:rPr>
          <w:rFonts w:cs="宋体" w:asciiTheme="majorEastAsia" w:hAnsiTheme="majorEastAsia" w:eastAsiaTheme="majorEastAsia"/>
          <w:b/>
          <w:kern w:val="0"/>
          <w:sz w:val="32"/>
          <w:szCs w:val="32"/>
          <w:highlight w:val="none"/>
          <w:lang w:val="zh-CN"/>
        </w:rPr>
      </w:pPr>
    </w:p>
    <w:p w14:paraId="78C72BB3">
      <w:pPr>
        <w:snapToGrid w:val="0"/>
        <w:spacing w:line="360" w:lineRule="auto"/>
        <w:jc w:val="center"/>
        <w:rPr>
          <w:rFonts w:cs="宋体" w:asciiTheme="majorEastAsia" w:hAnsiTheme="majorEastAsia" w:eastAsiaTheme="majorEastAsia"/>
          <w:b/>
          <w:kern w:val="0"/>
          <w:sz w:val="32"/>
          <w:szCs w:val="32"/>
          <w:highlight w:val="none"/>
          <w:lang w:val="zh-CN"/>
        </w:rPr>
      </w:pPr>
    </w:p>
    <w:p w14:paraId="55A8FB67">
      <w:pPr>
        <w:snapToGrid w:val="0"/>
        <w:spacing w:line="360" w:lineRule="auto"/>
        <w:jc w:val="center"/>
        <w:rPr>
          <w:rFonts w:cs="宋体" w:asciiTheme="majorEastAsia" w:hAnsiTheme="majorEastAsia" w:eastAsiaTheme="majorEastAsia"/>
          <w:b/>
          <w:kern w:val="0"/>
          <w:sz w:val="32"/>
          <w:szCs w:val="32"/>
          <w:highlight w:val="none"/>
          <w:lang w:val="zh-CN"/>
        </w:rPr>
      </w:pPr>
    </w:p>
    <w:p w14:paraId="69081880">
      <w:pPr>
        <w:snapToGrid w:val="0"/>
        <w:spacing w:line="360" w:lineRule="auto"/>
        <w:jc w:val="center"/>
        <w:rPr>
          <w:rFonts w:cs="宋体" w:asciiTheme="majorEastAsia" w:hAnsiTheme="majorEastAsia" w:eastAsiaTheme="majorEastAsia"/>
          <w:b/>
          <w:kern w:val="0"/>
          <w:sz w:val="32"/>
          <w:szCs w:val="32"/>
          <w:highlight w:val="none"/>
          <w:lang w:val="zh-CN"/>
        </w:rPr>
      </w:pPr>
    </w:p>
    <w:p w14:paraId="51FFAA0B">
      <w:pPr>
        <w:rPr>
          <w:rFonts w:cs="宋体" w:asciiTheme="majorEastAsia" w:hAnsiTheme="majorEastAsia" w:eastAsiaTheme="majorEastAsia"/>
          <w:b/>
          <w:kern w:val="0"/>
          <w:sz w:val="32"/>
          <w:szCs w:val="32"/>
          <w:highlight w:val="none"/>
          <w:lang w:val="zh-CN"/>
        </w:rPr>
      </w:pPr>
    </w:p>
    <w:p w14:paraId="72D15169">
      <w:pPr>
        <w:widowControl/>
        <w:adjustRightInd/>
        <w:jc w:val="center"/>
        <w:rPr>
          <w:rFonts w:cs="宋体" w:asciiTheme="majorEastAsia" w:hAnsiTheme="majorEastAsia" w:eastAsiaTheme="majorEastAsia"/>
          <w:b/>
          <w:sz w:val="32"/>
          <w:szCs w:val="32"/>
          <w:highlight w:val="none"/>
        </w:rPr>
      </w:pPr>
      <w:r>
        <w:rPr>
          <w:rFonts w:hint="eastAsia" w:cs="宋体" w:asciiTheme="majorEastAsia" w:hAnsiTheme="majorEastAsia" w:eastAsiaTheme="majorEastAsia"/>
          <w:b/>
          <w:kern w:val="0"/>
          <w:sz w:val="32"/>
          <w:szCs w:val="32"/>
          <w:highlight w:val="none"/>
        </w:rPr>
        <w:br w:type="page"/>
      </w:r>
      <w:r>
        <w:rPr>
          <w:rFonts w:hint="eastAsia" w:cs="宋体" w:asciiTheme="majorEastAsia" w:hAnsiTheme="majorEastAsia" w:eastAsiaTheme="majorEastAsia"/>
          <w:b/>
          <w:kern w:val="0"/>
          <w:sz w:val="32"/>
          <w:szCs w:val="32"/>
          <w:highlight w:val="none"/>
        </w:rPr>
        <w:t>一、投标</w:t>
      </w:r>
      <w:r>
        <w:rPr>
          <w:rFonts w:hint="eastAsia" w:cs="宋体" w:asciiTheme="majorEastAsia" w:hAnsiTheme="majorEastAsia" w:eastAsiaTheme="majorEastAsia"/>
          <w:b/>
          <w:sz w:val="32"/>
          <w:szCs w:val="32"/>
          <w:highlight w:val="none"/>
        </w:rPr>
        <w:t>函</w:t>
      </w:r>
    </w:p>
    <w:p w14:paraId="1508CD65">
      <w:pPr>
        <w:snapToGrid w:val="0"/>
        <w:spacing w:line="360" w:lineRule="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（采购人）、（采购代理机构）：</w:t>
      </w:r>
    </w:p>
    <w:p w14:paraId="6F124A6B">
      <w:pPr>
        <w:snapToGrid w:val="0"/>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color w:val="auto"/>
          <w:sz w:val="24"/>
          <w:highlight w:val="none"/>
        </w:rPr>
        <w:t>我方参加你方组织的（项目名称）【</w:t>
      </w:r>
      <w:r>
        <w:rPr>
          <w:rFonts w:hint="eastAsia" w:cs="宋体" w:asciiTheme="majorEastAsia" w:hAnsiTheme="majorEastAsia" w:eastAsiaTheme="majorEastAsia"/>
          <w:color w:val="auto"/>
          <w:sz w:val="24"/>
          <w:highlight w:val="none"/>
          <w:lang w:val="en-US" w:eastAsia="zh-CN"/>
        </w:rPr>
        <w:t>项目</w:t>
      </w:r>
      <w:r>
        <w:rPr>
          <w:rFonts w:hint="eastAsia" w:cs="宋体" w:asciiTheme="majorEastAsia" w:hAnsiTheme="majorEastAsia" w:eastAsiaTheme="majorEastAsia"/>
          <w:color w:val="auto"/>
          <w:sz w:val="24"/>
          <w:highlight w:val="none"/>
        </w:rPr>
        <w:t>编号：</w:t>
      </w:r>
      <w:r>
        <w:rPr>
          <w:rFonts w:hint="eastAsia" w:cs="宋体" w:asciiTheme="majorEastAsia" w:hAnsiTheme="majorEastAsia" w:eastAsiaTheme="majorEastAsia"/>
          <w:color w:val="auto"/>
          <w:sz w:val="24"/>
          <w:highlight w:val="none"/>
          <w:lang w:val="en-US" w:eastAsia="zh-CN"/>
        </w:rPr>
        <w:t xml:space="preserve">       </w:t>
      </w:r>
      <w:r>
        <w:rPr>
          <w:rFonts w:hint="eastAsia" w:cs="宋体" w:asciiTheme="majorEastAsia" w:hAnsiTheme="majorEastAsia" w:eastAsiaTheme="majorEastAsia"/>
          <w:color w:val="auto"/>
          <w:sz w:val="24"/>
          <w:highlight w:val="none"/>
        </w:rPr>
        <w:t>】招标的有关活动，并对此项目进行投标。为此</w:t>
      </w:r>
      <w:r>
        <w:rPr>
          <w:rFonts w:hint="eastAsia" w:cs="宋体" w:asciiTheme="majorEastAsia" w:hAnsiTheme="majorEastAsia" w:eastAsiaTheme="majorEastAsia"/>
          <w:sz w:val="24"/>
          <w:highlight w:val="none"/>
        </w:rPr>
        <w:t>：</w:t>
      </w:r>
    </w:p>
    <w:p w14:paraId="74B0E392">
      <w:pPr>
        <w:snapToGrid w:val="0"/>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1、我方承诺投标有效期从提交投标文件的截止之日起</w:t>
      </w:r>
      <w:r>
        <w:rPr>
          <w:rFonts w:hint="eastAsia" w:cs="宋体" w:asciiTheme="majorEastAsia" w:hAnsiTheme="majorEastAsia" w:eastAsiaTheme="majorEastAsia"/>
          <w:sz w:val="24"/>
          <w:highlight w:val="none"/>
          <w:u w:val="single"/>
          <w:lang w:val="en-US" w:eastAsia="zh-CN"/>
        </w:rPr>
        <w:t xml:space="preserve">    </w:t>
      </w:r>
      <w:r>
        <w:rPr>
          <w:rFonts w:hint="eastAsia" w:cs="宋体" w:asciiTheme="majorEastAsia" w:hAnsiTheme="majorEastAsia" w:eastAsiaTheme="majorEastAsia"/>
          <w:sz w:val="24"/>
          <w:highlight w:val="none"/>
        </w:rPr>
        <w:t>天（不少于90天）</w:t>
      </w:r>
      <w:r>
        <w:rPr>
          <w:rFonts w:hint="eastAsia" w:cs="宋体" w:asciiTheme="majorEastAsia" w:hAnsiTheme="majorEastAsia" w:eastAsiaTheme="majorEastAsia"/>
          <w:highlight w:val="none"/>
        </w:rPr>
        <w:t>，</w:t>
      </w:r>
      <w:r>
        <w:rPr>
          <w:rFonts w:hint="eastAsia" w:cs="宋体" w:asciiTheme="majorEastAsia" w:hAnsiTheme="majorEastAsia" w:eastAsiaTheme="majorEastAsia"/>
          <w:sz w:val="24"/>
          <w:highlight w:val="none"/>
        </w:rPr>
        <w:t>本投标文件在投标有效期满之前均具有约束力。</w:t>
      </w:r>
    </w:p>
    <w:p w14:paraId="51831718">
      <w:pPr>
        <w:snapToGrid w:val="0"/>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2、我方的投标文件包括以下内容：</w:t>
      </w:r>
    </w:p>
    <w:p w14:paraId="06366D77">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49CF667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2.1.1符合参加政府采购活动应当具备的一般条件的承诺函；</w:t>
      </w:r>
    </w:p>
    <w:p w14:paraId="5118BE5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408" w:name="_Hlk101257010"/>
      <w:r>
        <w:rPr>
          <w:rFonts w:hint="eastAsia" w:ascii="宋体" w:hAnsi="宋体" w:cs="宋体"/>
          <w:sz w:val="24"/>
          <w:highlight w:val="none"/>
        </w:rPr>
        <w:t>（如果有)</w:t>
      </w:r>
      <w:bookmarkEnd w:id="408"/>
      <w:r>
        <w:rPr>
          <w:rFonts w:hint="eastAsia" w:ascii="宋体" w:hAnsi="宋体" w:cs="宋体"/>
          <w:snapToGrid w:val="0"/>
          <w:kern w:val="28"/>
          <w:sz w:val="24"/>
          <w:szCs w:val="20"/>
          <w:highlight w:val="none"/>
        </w:rPr>
        <w:t>；</w:t>
      </w:r>
    </w:p>
    <w:p w14:paraId="268A97A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落实政府采购政策需满足的资格要求；▲中小企业声明函</w:t>
      </w:r>
    </w:p>
    <w:p w14:paraId="5283648E">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520BEED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6416BE9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33276D3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14:paraId="5A39C78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17BB3B2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38D13E0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3E552BD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06777817">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5B6643A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31E962E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7BB16CA1">
      <w:pPr>
        <w:snapToGrid w:val="0"/>
        <w:spacing w:line="360" w:lineRule="auto"/>
        <w:ind w:left="420" w:leftChars="200" w:firstLine="480" w:firstLineChars="200"/>
        <w:rPr>
          <w:highlight w:val="none"/>
        </w:rPr>
      </w:pPr>
      <w:r>
        <w:rPr>
          <w:rFonts w:hint="eastAsia" w:ascii="宋体" w:hAnsi="宋体" w:cs="宋体"/>
          <w:sz w:val="24"/>
          <w:highlight w:val="none"/>
        </w:rPr>
        <w:t>2.3.2报价明细</w:t>
      </w:r>
      <w:r>
        <w:rPr>
          <w:rFonts w:hint="eastAsia" w:ascii="宋体" w:hAnsi="宋体" w:cs="宋体"/>
          <w:sz w:val="24"/>
          <w:highlight w:val="none"/>
          <w:lang w:eastAsia="zh-CN"/>
        </w:rPr>
        <w:t>表</w:t>
      </w:r>
      <w:r>
        <w:rPr>
          <w:rFonts w:hint="eastAsia" w:ascii="宋体" w:hAnsi="宋体" w:cs="宋体"/>
          <w:sz w:val="24"/>
          <w:highlight w:val="none"/>
        </w:rPr>
        <w:t>；</w:t>
      </w:r>
    </w:p>
    <w:p w14:paraId="57D934B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778F783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4B19A89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0D31087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2115C89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20FED721">
      <w:pPr>
        <w:snapToGrid w:val="0"/>
        <w:spacing w:line="360" w:lineRule="auto"/>
        <w:ind w:left="210" w:leftChars="100" w:firstLine="480" w:firstLineChars="200"/>
        <w:rPr>
          <w:rFonts w:cs="宋体" w:asciiTheme="majorEastAsia" w:hAnsiTheme="majorEastAsia" w:eastAsiaTheme="majorEastAsia"/>
          <w:sz w:val="24"/>
          <w:highlight w:val="none"/>
        </w:rPr>
      </w:pPr>
      <w:r>
        <w:rPr>
          <w:rFonts w:hint="eastAsia" w:ascii="宋体" w:hAnsi="宋体" w:cs="宋体"/>
          <w:sz w:val="24"/>
          <w:highlight w:val="none"/>
        </w:rPr>
        <w:t xml:space="preserve">4.4在合同约定的期限内完成合同规定的全部义务。 </w:t>
      </w:r>
      <w:r>
        <w:rPr>
          <w:rFonts w:hint="eastAsia" w:cs="宋体" w:asciiTheme="majorEastAsia" w:hAnsiTheme="majorEastAsia" w:eastAsiaTheme="majorEastAsia"/>
          <w:sz w:val="24"/>
          <w:highlight w:val="none"/>
        </w:rPr>
        <w:t xml:space="preserve"> </w:t>
      </w:r>
    </w:p>
    <w:p w14:paraId="6E46335F">
      <w:pPr>
        <w:snapToGrid w:val="0"/>
        <w:spacing w:line="360" w:lineRule="auto"/>
        <w:ind w:left="210" w:leftChars="100"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5、其他补充说明:</w:t>
      </w:r>
      <w:r>
        <w:rPr>
          <w:rFonts w:hint="eastAsia" w:cs="宋体" w:asciiTheme="majorEastAsia" w:hAnsiTheme="majorEastAsia" w:eastAsiaTheme="majorEastAsia"/>
          <w:sz w:val="24"/>
          <w:highlight w:val="none"/>
          <w:u w:val="single"/>
          <w:lang w:val="en-US" w:eastAsia="zh-CN"/>
        </w:rPr>
        <w:t xml:space="preserve">                      </w:t>
      </w:r>
      <w:r>
        <w:rPr>
          <w:rFonts w:hint="eastAsia" w:cs="宋体" w:asciiTheme="majorEastAsia" w:hAnsiTheme="majorEastAsia" w:eastAsiaTheme="majorEastAsia"/>
          <w:sz w:val="24"/>
          <w:highlight w:val="none"/>
        </w:rPr>
        <w:t>。</w:t>
      </w:r>
    </w:p>
    <w:p w14:paraId="4F490E86">
      <w:pPr>
        <w:spacing w:line="360" w:lineRule="auto"/>
        <w:ind w:firstLine="3600" w:firstLineChars="15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 xml:space="preserve">投标人名称（电子签名）：                          </w:t>
      </w:r>
    </w:p>
    <w:p w14:paraId="5C9C2D97">
      <w:pPr>
        <w:spacing w:line="360" w:lineRule="auto"/>
        <w:jc w:val="center"/>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 xml:space="preserve">     日期：  年   月   日</w:t>
      </w:r>
    </w:p>
    <w:p w14:paraId="62FDC204">
      <w:pPr>
        <w:snapToGrid w:val="0"/>
        <w:spacing w:line="360" w:lineRule="auto"/>
        <w:ind w:left="420" w:leftChars="200" w:firstLine="4200" w:firstLineChars="1750"/>
        <w:rPr>
          <w:rFonts w:cs="宋体" w:asciiTheme="majorEastAsia" w:hAnsiTheme="majorEastAsia" w:eastAsiaTheme="majorEastAsia"/>
          <w:kern w:val="0"/>
          <w:sz w:val="24"/>
          <w:highlight w:val="none"/>
          <w:u w:val="single"/>
        </w:rPr>
      </w:pPr>
    </w:p>
    <w:p w14:paraId="1AE91C57">
      <w:pPr>
        <w:spacing w:line="360" w:lineRule="auto"/>
        <w:ind w:right="42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注：按本格式和要求提供。</w:t>
      </w:r>
    </w:p>
    <w:p w14:paraId="5AE7F273">
      <w:pPr>
        <w:snapToGrid w:val="0"/>
        <w:spacing w:line="360" w:lineRule="auto"/>
        <w:jc w:val="center"/>
        <w:rPr>
          <w:rFonts w:cs="宋体" w:asciiTheme="majorEastAsia" w:hAnsiTheme="majorEastAsia" w:eastAsiaTheme="majorEastAsia"/>
          <w:b/>
          <w:kern w:val="0"/>
          <w:sz w:val="32"/>
          <w:szCs w:val="32"/>
          <w:highlight w:val="none"/>
        </w:rPr>
      </w:pPr>
    </w:p>
    <w:p w14:paraId="2599AA61">
      <w:pPr>
        <w:snapToGrid w:val="0"/>
        <w:spacing w:line="360" w:lineRule="auto"/>
        <w:rPr>
          <w:rFonts w:cs="宋体" w:asciiTheme="majorEastAsia" w:hAnsiTheme="majorEastAsia" w:eastAsiaTheme="majorEastAsia"/>
          <w:sz w:val="24"/>
          <w:highlight w:val="none"/>
        </w:rPr>
      </w:pPr>
    </w:p>
    <w:p w14:paraId="41077D7C">
      <w:pPr>
        <w:jc w:val="center"/>
        <w:rPr>
          <w:rFonts w:cs="宋体" w:asciiTheme="majorEastAsia" w:hAnsiTheme="majorEastAsia" w:eastAsiaTheme="majorEastAsia"/>
          <w:b/>
          <w:kern w:val="0"/>
          <w:sz w:val="32"/>
          <w:szCs w:val="32"/>
          <w:highlight w:val="none"/>
        </w:rPr>
      </w:pPr>
    </w:p>
    <w:p w14:paraId="5EEEDE0D">
      <w:pPr>
        <w:jc w:val="center"/>
        <w:rPr>
          <w:rFonts w:cs="宋体" w:asciiTheme="majorEastAsia" w:hAnsiTheme="majorEastAsia" w:eastAsiaTheme="majorEastAsia"/>
          <w:b/>
          <w:kern w:val="0"/>
          <w:sz w:val="32"/>
          <w:szCs w:val="32"/>
          <w:highlight w:val="none"/>
        </w:rPr>
      </w:pPr>
    </w:p>
    <w:p w14:paraId="63894996">
      <w:pPr>
        <w:jc w:val="center"/>
        <w:rPr>
          <w:rFonts w:cs="宋体" w:asciiTheme="majorEastAsia" w:hAnsiTheme="majorEastAsia" w:eastAsiaTheme="majorEastAsia"/>
          <w:b/>
          <w:kern w:val="0"/>
          <w:sz w:val="32"/>
          <w:szCs w:val="32"/>
          <w:highlight w:val="none"/>
        </w:rPr>
      </w:pPr>
    </w:p>
    <w:p w14:paraId="3B062538">
      <w:pPr>
        <w:jc w:val="center"/>
        <w:rPr>
          <w:rFonts w:cs="宋体" w:asciiTheme="majorEastAsia" w:hAnsiTheme="majorEastAsia" w:eastAsiaTheme="majorEastAsia"/>
          <w:b/>
          <w:kern w:val="0"/>
          <w:sz w:val="32"/>
          <w:szCs w:val="32"/>
          <w:highlight w:val="none"/>
        </w:rPr>
      </w:pPr>
    </w:p>
    <w:p w14:paraId="3958CAF7">
      <w:pPr>
        <w:jc w:val="center"/>
        <w:rPr>
          <w:rFonts w:cs="宋体" w:asciiTheme="majorEastAsia" w:hAnsiTheme="majorEastAsia" w:eastAsiaTheme="majorEastAsia"/>
          <w:b/>
          <w:kern w:val="0"/>
          <w:sz w:val="32"/>
          <w:szCs w:val="32"/>
          <w:highlight w:val="none"/>
        </w:rPr>
      </w:pPr>
    </w:p>
    <w:p w14:paraId="42DDEF06">
      <w:pPr>
        <w:jc w:val="center"/>
        <w:rPr>
          <w:rFonts w:cs="宋体" w:asciiTheme="majorEastAsia" w:hAnsiTheme="majorEastAsia" w:eastAsiaTheme="majorEastAsia"/>
          <w:b/>
          <w:kern w:val="0"/>
          <w:sz w:val="32"/>
          <w:szCs w:val="32"/>
          <w:highlight w:val="none"/>
        </w:rPr>
      </w:pPr>
    </w:p>
    <w:p w14:paraId="3C2CACA1">
      <w:pPr>
        <w:jc w:val="center"/>
        <w:rPr>
          <w:rFonts w:cs="宋体" w:asciiTheme="majorEastAsia" w:hAnsiTheme="majorEastAsia" w:eastAsiaTheme="majorEastAsia"/>
          <w:b/>
          <w:kern w:val="0"/>
          <w:sz w:val="32"/>
          <w:szCs w:val="32"/>
          <w:highlight w:val="none"/>
        </w:rPr>
      </w:pPr>
    </w:p>
    <w:p w14:paraId="212B2E28">
      <w:pPr>
        <w:jc w:val="center"/>
        <w:rPr>
          <w:rFonts w:cs="宋体" w:asciiTheme="majorEastAsia" w:hAnsiTheme="majorEastAsia" w:eastAsiaTheme="majorEastAsia"/>
          <w:b/>
          <w:kern w:val="0"/>
          <w:sz w:val="32"/>
          <w:szCs w:val="32"/>
          <w:highlight w:val="none"/>
        </w:rPr>
      </w:pPr>
    </w:p>
    <w:p w14:paraId="304049C5">
      <w:pPr>
        <w:jc w:val="center"/>
        <w:rPr>
          <w:rFonts w:cs="宋体" w:asciiTheme="majorEastAsia" w:hAnsiTheme="majorEastAsia" w:eastAsiaTheme="majorEastAsia"/>
          <w:b/>
          <w:kern w:val="0"/>
          <w:sz w:val="32"/>
          <w:szCs w:val="32"/>
          <w:highlight w:val="none"/>
        </w:rPr>
      </w:pPr>
    </w:p>
    <w:p w14:paraId="4731B53C">
      <w:pPr>
        <w:jc w:val="center"/>
        <w:rPr>
          <w:rFonts w:cs="宋体" w:asciiTheme="majorEastAsia" w:hAnsiTheme="majorEastAsia" w:eastAsiaTheme="majorEastAsia"/>
          <w:b/>
          <w:kern w:val="0"/>
          <w:sz w:val="32"/>
          <w:szCs w:val="32"/>
          <w:highlight w:val="none"/>
        </w:rPr>
      </w:pPr>
    </w:p>
    <w:p w14:paraId="0B09A50B">
      <w:pPr>
        <w:jc w:val="center"/>
        <w:rPr>
          <w:rFonts w:cs="宋体" w:asciiTheme="majorEastAsia" w:hAnsiTheme="majorEastAsia" w:eastAsiaTheme="majorEastAsia"/>
          <w:b/>
          <w:kern w:val="0"/>
          <w:sz w:val="32"/>
          <w:szCs w:val="32"/>
          <w:highlight w:val="none"/>
        </w:rPr>
      </w:pPr>
    </w:p>
    <w:p w14:paraId="422571CD">
      <w:pPr>
        <w:jc w:val="center"/>
        <w:rPr>
          <w:rFonts w:cs="宋体" w:asciiTheme="majorEastAsia" w:hAnsiTheme="majorEastAsia" w:eastAsiaTheme="majorEastAsia"/>
          <w:b/>
          <w:kern w:val="0"/>
          <w:sz w:val="32"/>
          <w:szCs w:val="32"/>
          <w:highlight w:val="none"/>
        </w:rPr>
      </w:pPr>
    </w:p>
    <w:p w14:paraId="18F39082">
      <w:pPr>
        <w:jc w:val="center"/>
        <w:rPr>
          <w:rFonts w:cs="宋体" w:asciiTheme="majorEastAsia" w:hAnsiTheme="majorEastAsia" w:eastAsiaTheme="majorEastAsia"/>
          <w:b/>
          <w:kern w:val="0"/>
          <w:sz w:val="32"/>
          <w:szCs w:val="32"/>
          <w:highlight w:val="none"/>
        </w:rPr>
      </w:pPr>
    </w:p>
    <w:p w14:paraId="79858E71">
      <w:pPr>
        <w:jc w:val="center"/>
        <w:rPr>
          <w:rFonts w:cs="宋体" w:asciiTheme="majorEastAsia" w:hAnsiTheme="majorEastAsia" w:eastAsiaTheme="majorEastAsia"/>
          <w:b/>
          <w:kern w:val="0"/>
          <w:sz w:val="32"/>
          <w:szCs w:val="32"/>
          <w:highlight w:val="none"/>
        </w:rPr>
      </w:pPr>
    </w:p>
    <w:p w14:paraId="71E5F409">
      <w:pPr>
        <w:jc w:val="center"/>
        <w:rPr>
          <w:rFonts w:cs="宋体" w:asciiTheme="majorEastAsia" w:hAnsiTheme="majorEastAsia" w:eastAsiaTheme="majorEastAsia"/>
          <w:b/>
          <w:kern w:val="0"/>
          <w:sz w:val="32"/>
          <w:szCs w:val="32"/>
          <w:highlight w:val="none"/>
        </w:rPr>
      </w:pPr>
    </w:p>
    <w:p w14:paraId="0E124D78">
      <w:pPr>
        <w:jc w:val="center"/>
        <w:rPr>
          <w:rFonts w:cs="宋体" w:asciiTheme="majorEastAsia" w:hAnsiTheme="majorEastAsia" w:eastAsiaTheme="majorEastAsia"/>
          <w:b/>
          <w:kern w:val="0"/>
          <w:sz w:val="32"/>
          <w:szCs w:val="32"/>
          <w:highlight w:val="none"/>
        </w:rPr>
      </w:pPr>
    </w:p>
    <w:p w14:paraId="45A8D3B5">
      <w:pPr>
        <w:jc w:val="center"/>
        <w:rPr>
          <w:rFonts w:cs="宋体" w:asciiTheme="majorEastAsia" w:hAnsiTheme="majorEastAsia" w:eastAsiaTheme="majorEastAsia"/>
          <w:b/>
          <w:kern w:val="0"/>
          <w:sz w:val="32"/>
          <w:szCs w:val="32"/>
          <w:highlight w:val="none"/>
        </w:rPr>
      </w:pPr>
    </w:p>
    <w:p w14:paraId="34DEFEC5">
      <w:pPr>
        <w:jc w:val="center"/>
        <w:rPr>
          <w:rFonts w:cs="宋体" w:asciiTheme="majorEastAsia" w:hAnsiTheme="majorEastAsia" w:eastAsiaTheme="majorEastAsia"/>
          <w:b/>
          <w:kern w:val="0"/>
          <w:sz w:val="32"/>
          <w:szCs w:val="32"/>
          <w:highlight w:val="none"/>
        </w:rPr>
      </w:pPr>
    </w:p>
    <w:p w14:paraId="4339CD2C">
      <w:pPr>
        <w:jc w:val="center"/>
        <w:rPr>
          <w:rFonts w:cs="宋体" w:asciiTheme="majorEastAsia" w:hAnsiTheme="majorEastAsia" w:eastAsiaTheme="majorEastAsia"/>
          <w:b/>
          <w:kern w:val="0"/>
          <w:sz w:val="32"/>
          <w:szCs w:val="32"/>
          <w:highlight w:val="none"/>
        </w:rPr>
      </w:pPr>
    </w:p>
    <w:p w14:paraId="77A81D44">
      <w:pPr>
        <w:jc w:val="center"/>
        <w:rPr>
          <w:rFonts w:cs="宋体" w:asciiTheme="majorEastAsia" w:hAnsiTheme="majorEastAsia" w:eastAsiaTheme="majorEastAsia"/>
          <w:b/>
          <w:kern w:val="0"/>
          <w:sz w:val="32"/>
          <w:szCs w:val="32"/>
          <w:highlight w:val="none"/>
        </w:rPr>
      </w:pPr>
    </w:p>
    <w:p w14:paraId="4E58443E">
      <w:pPr>
        <w:jc w:val="center"/>
        <w:rPr>
          <w:rFonts w:cs="宋体" w:asciiTheme="majorEastAsia" w:hAnsiTheme="majorEastAsia" w:eastAsiaTheme="majorEastAsia"/>
          <w:b/>
          <w:kern w:val="0"/>
          <w:sz w:val="32"/>
          <w:szCs w:val="32"/>
          <w:highlight w:val="none"/>
        </w:rPr>
      </w:pPr>
    </w:p>
    <w:p w14:paraId="0FA70A32">
      <w:pPr>
        <w:jc w:val="center"/>
        <w:rPr>
          <w:rFonts w:cs="宋体" w:asciiTheme="majorEastAsia" w:hAnsiTheme="majorEastAsia" w:eastAsiaTheme="majorEastAsia"/>
          <w:b/>
          <w:kern w:val="0"/>
          <w:sz w:val="32"/>
          <w:szCs w:val="32"/>
          <w:highlight w:val="none"/>
        </w:rPr>
      </w:pPr>
    </w:p>
    <w:p w14:paraId="3E200B82">
      <w:pPr>
        <w:jc w:val="center"/>
        <w:rPr>
          <w:rFonts w:cs="宋体" w:asciiTheme="majorEastAsia" w:hAnsiTheme="majorEastAsia" w:eastAsiaTheme="majorEastAsia"/>
          <w:b/>
          <w:kern w:val="0"/>
          <w:sz w:val="32"/>
          <w:szCs w:val="32"/>
          <w:highlight w:val="none"/>
        </w:rPr>
      </w:pPr>
    </w:p>
    <w:p w14:paraId="13E56A72">
      <w:pPr>
        <w:jc w:val="center"/>
        <w:rPr>
          <w:rFonts w:cs="宋体" w:asciiTheme="majorEastAsia" w:hAnsiTheme="majorEastAsia" w:eastAsiaTheme="majorEastAsia"/>
          <w:b/>
          <w:kern w:val="0"/>
          <w:sz w:val="32"/>
          <w:szCs w:val="32"/>
          <w:highlight w:val="none"/>
        </w:rPr>
      </w:pPr>
    </w:p>
    <w:p w14:paraId="5AD4072E">
      <w:pPr>
        <w:jc w:val="center"/>
        <w:rPr>
          <w:rFonts w:cs="宋体" w:asciiTheme="majorEastAsia" w:hAnsiTheme="majorEastAsia" w:eastAsiaTheme="majorEastAsia"/>
          <w:b/>
          <w:kern w:val="0"/>
          <w:sz w:val="32"/>
          <w:szCs w:val="32"/>
          <w:highlight w:val="none"/>
        </w:rPr>
      </w:pPr>
    </w:p>
    <w:p w14:paraId="32E4CDA6">
      <w:pPr>
        <w:jc w:val="center"/>
        <w:rPr>
          <w:rFonts w:cs="宋体" w:asciiTheme="majorEastAsia" w:hAnsiTheme="majorEastAsia" w:eastAsiaTheme="majorEastAsia"/>
          <w:b/>
          <w:kern w:val="0"/>
          <w:sz w:val="32"/>
          <w:szCs w:val="32"/>
          <w:highlight w:val="none"/>
        </w:rPr>
      </w:pPr>
    </w:p>
    <w:p w14:paraId="5703B1F7">
      <w:pPr>
        <w:jc w:val="center"/>
        <w:rPr>
          <w:rFonts w:cs="宋体" w:asciiTheme="majorEastAsia" w:hAnsiTheme="majorEastAsia" w:eastAsiaTheme="majorEastAsia"/>
          <w:b/>
          <w:kern w:val="0"/>
          <w:sz w:val="32"/>
          <w:szCs w:val="32"/>
          <w:highlight w:val="none"/>
          <w:lang w:val="zh-CN"/>
        </w:rPr>
      </w:pPr>
      <w:r>
        <w:rPr>
          <w:rFonts w:hint="eastAsia" w:cs="宋体" w:asciiTheme="majorEastAsia" w:hAnsiTheme="majorEastAsia" w:eastAsiaTheme="majorEastAsia"/>
          <w:b/>
          <w:kern w:val="0"/>
          <w:sz w:val="32"/>
          <w:szCs w:val="32"/>
          <w:highlight w:val="none"/>
          <w:lang w:val="zh-CN"/>
        </w:rPr>
        <w:t>二、授权委托书或法定代表人（单位负责人、自然人本人）身份证明</w:t>
      </w:r>
    </w:p>
    <w:p w14:paraId="54DE7036">
      <w:pPr>
        <w:snapToGrid w:val="0"/>
        <w:spacing w:line="360" w:lineRule="auto"/>
        <w:ind w:firstLine="2872" w:firstLineChars="894"/>
        <w:rPr>
          <w:rFonts w:hint="eastAsia" w:ascii="宋体" w:hAnsi="宋体" w:cs="宋体"/>
          <w:b/>
          <w:kern w:val="0"/>
          <w:sz w:val="32"/>
          <w:szCs w:val="32"/>
          <w:highlight w:val="none"/>
          <w:lang w:val="zh-CN"/>
        </w:rPr>
      </w:pPr>
    </w:p>
    <w:p w14:paraId="089D3136">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79A0F87C">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6E105D6E">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w:t>
      </w:r>
      <w:r>
        <w:rPr>
          <w:rFonts w:hint="eastAsia" w:ascii="宋体" w:hAnsi="宋体" w:cs="宋体"/>
          <w:sz w:val="24"/>
          <w:highlight w:val="none"/>
          <w:lang w:eastAsia="zh-CN"/>
        </w:rPr>
        <w:t>项目编号</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7A9323DE">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70845F6C">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4B76721A">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74B9C06A">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01A8AD2B">
      <w:pPr>
        <w:autoSpaceDE w:val="0"/>
        <w:autoSpaceDN w:val="0"/>
        <w:spacing w:line="360" w:lineRule="auto"/>
        <w:jc w:val="center"/>
        <w:rPr>
          <w:rFonts w:cs="宋体" w:asciiTheme="majorEastAsia" w:hAnsiTheme="majorEastAsia" w:eastAsiaTheme="majorEastAsia"/>
          <w:b/>
          <w:kern w:val="0"/>
          <w:sz w:val="32"/>
          <w:szCs w:val="32"/>
          <w:highlight w:val="none"/>
          <w:lang w:val="zh-CN"/>
        </w:rPr>
      </w:pPr>
    </w:p>
    <w:p w14:paraId="55A75620">
      <w:pPr>
        <w:pStyle w:val="81"/>
        <w:rPr>
          <w:rFonts w:cs="宋体" w:asciiTheme="majorEastAsia" w:hAnsiTheme="majorEastAsia" w:eastAsiaTheme="majorEastAsia"/>
          <w:b/>
          <w:kern w:val="0"/>
          <w:sz w:val="32"/>
          <w:szCs w:val="32"/>
          <w:highlight w:val="none"/>
          <w:lang w:val="zh-CN"/>
        </w:rPr>
      </w:pPr>
    </w:p>
    <w:p w14:paraId="01A6CF6E">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0FFB1987">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3D0C4EA4">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w:t>
      </w:r>
      <w:r>
        <w:rPr>
          <w:rFonts w:hint="eastAsia" w:ascii="宋体" w:hAnsi="宋体" w:cs="宋体"/>
          <w:sz w:val="24"/>
          <w:highlight w:val="none"/>
          <w:lang w:eastAsia="zh-CN"/>
        </w:rPr>
        <w:t>项目编号</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78BF5930">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013185D4">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09C9F01E">
      <w:pPr>
        <w:jc w:val="center"/>
        <w:rPr>
          <w:rFonts w:ascii="宋体" w:hAnsi="宋体" w:cs="宋体"/>
          <w:b/>
          <w:kern w:val="0"/>
          <w:sz w:val="32"/>
          <w:szCs w:val="32"/>
          <w:highlight w:val="none"/>
        </w:rPr>
      </w:pPr>
    </w:p>
    <w:p w14:paraId="57C05294">
      <w:pPr>
        <w:rPr>
          <w:rFonts w:ascii="宋体" w:hAnsi="宋体" w:cs="宋体"/>
          <w:highlight w:val="none"/>
        </w:rPr>
      </w:pPr>
    </w:p>
    <w:p w14:paraId="7D6E98F3">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67A48F1">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45A4EAF">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76D13F7C">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CADBB8A">
      <w:pPr>
        <w:pStyle w:val="81"/>
        <w:rPr>
          <w:rFonts w:cs="宋体" w:asciiTheme="majorEastAsia" w:hAnsiTheme="majorEastAsia" w:eastAsiaTheme="majorEastAsia"/>
          <w:b/>
          <w:kern w:val="0"/>
          <w:sz w:val="32"/>
          <w:szCs w:val="32"/>
          <w:highlight w:val="none"/>
          <w:lang w:val="zh-CN"/>
        </w:rPr>
      </w:pPr>
    </w:p>
    <w:p w14:paraId="5211DBB1">
      <w:pPr>
        <w:pStyle w:val="81"/>
        <w:rPr>
          <w:rFonts w:cs="宋体" w:asciiTheme="majorEastAsia" w:hAnsiTheme="majorEastAsia" w:eastAsiaTheme="majorEastAsia"/>
          <w:b/>
          <w:kern w:val="0"/>
          <w:sz w:val="32"/>
          <w:szCs w:val="32"/>
          <w:highlight w:val="none"/>
          <w:lang w:val="zh-CN"/>
        </w:rPr>
      </w:pPr>
    </w:p>
    <w:p w14:paraId="7E0B818E">
      <w:pPr>
        <w:autoSpaceDE w:val="0"/>
        <w:autoSpaceDN w:val="0"/>
        <w:spacing w:line="360" w:lineRule="auto"/>
        <w:jc w:val="center"/>
        <w:rPr>
          <w:rFonts w:hint="eastAsia" w:cs="宋体" w:asciiTheme="majorEastAsia" w:hAnsiTheme="majorEastAsia" w:eastAsiaTheme="majorEastAsia"/>
          <w:b/>
          <w:kern w:val="0"/>
          <w:sz w:val="32"/>
          <w:szCs w:val="32"/>
          <w:highlight w:val="none"/>
          <w:lang w:val="zh-CN"/>
        </w:rPr>
      </w:pPr>
    </w:p>
    <w:p w14:paraId="14AE1A1A">
      <w:pPr>
        <w:autoSpaceDE w:val="0"/>
        <w:autoSpaceDN w:val="0"/>
        <w:spacing w:line="360" w:lineRule="auto"/>
        <w:jc w:val="center"/>
        <w:rPr>
          <w:rFonts w:cs="宋体" w:asciiTheme="majorEastAsia" w:hAnsiTheme="majorEastAsia" w:eastAsiaTheme="majorEastAsia"/>
          <w:b/>
          <w:sz w:val="24"/>
          <w:highlight w:val="none"/>
        </w:rPr>
      </w:pPr>
      <w:r>
        <w:rPr>
          <w:rFonts w:hint="eastAsia" w:cs="宋体" w:asciiTheme="majorEastAsia" w:hAnsiTheme="majorEastAsia" w:eastAsiaTheme="majorEastAsia"/>
          <w:b/>
          <w:kern w:val="0"/>
          <w:sz w:val="32"/>
          <w:szCs w:val="32"/>
          <w:highlight w:val="none"/>
          <w:lang w:val="zh-CN"/>
        </w:rPr>
        <w:t>法定代表人、单位负责人或自然人本人</w:t>
      </w:r>
      <w:r>
        <w:rPr>
          <w:rFonts w:hint="eastAsia" w:cs="宋体" w:asciiTheme="majorEastAsia" w:hAnsiTheme="majorEastAsia" w:eastAsiaTheme="majorEastAsia"/>
          <w:b/>
          <w:sz w:val="30"/>
          <w:szCs w:val="30"/>
          <w:highlight w:val="none"/>
        </w:rPr>
        <w:t>的身份证明（适用于法定代表人、单位负责人或者自然人本人代表投标人参加投标）</w:t>
      </w:r>
    </w:p>
    <w:p w14:paraId="6E55A717">
      <w:pPr>
        <w:pStyle w:val="151"/>
        <w:spacing w:line="360" w:lineRule="auto"/>
        <w:rPr>
          <w:rFonts w:cs="宋体" w:asciiTheme="majorEastAsia" w:hAnsiTheme="majorEastAsia" w:eastAsiaTheme="majorEastAsia"/>
          <w:bCs/>
          <w:sz w:val="24"/>
          <w:highlight w:val="none"/>
        </w:rPr>
      </w:pPr>
      <w:r>
        <w:rPr>
          <w:rFonts w:hint="eastAsia" w:cs="宋体" w:asciiTheme="majorEastAsia" w:hAnsiTheme="majorEastAsia" w:eastAsiaTheme="majorEastAsia"/>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2A3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2" w:hRule="atLeast"/>
          <w:jc w:val="center"/>
        </w:trPr>
        <w:tc>
          <w:tcPr>
            <w:tcW w:w="9207" w:type="dxa"/>
          </w:tcPr>
          <w:p w14:paraId="651CB62D">
            <w:pPr>
              <w:pStyle w:val="151"/>
              <w:adjustRightInd w:val="0"/>
              <w:spacing w:line="360" w:lineRule="auto"/>
              <w:rPr>
                <w:rFonts w:cs="宋体" w:asciiTheme="majorEastAsia" w:hAnsiTheme="majorEastAsia" w:eastAsiaTheme="majorEastAsia"/>
                <w:bCs/>
                <w:sz w:val="24"/>
                <w:highlight w:val="none"/>
              </w:rPr>
            </w:pPr>
            <w:r>
              <w:rPr>
                <w:rFonts w:hint="eastAsia" w:cs="宋体" w:asciiTheme="majorEastAsia" w:hAnsiTheme="majorEastAsia" w:eastAsiaTheme="majorEastAsia"/>
                <w:bCs/>
                <w:sz w:val="24"/>
                <w:highlight w:val="none"/>
              </w:rPr>
              <w:t>正面：                                 反面：</w:t>
            </w:r>
          </w:p>
          <w:p w14:paraId="5552E882">
            <w:pPr>
              <w:pStyle w:val="151"/>
              <w:adjustRightInd w:val="0"/>
              <w:spacing w:line="360" w:lineRule="auto"/>
              <w:rPr>
                <w:rFonts w:cs="宋体" w:asciiTheme="majorEastAsia" w:hAnsiTheme="majorEastAsia" w:eastAsiaTheme="majorEastAsia"/>
                <w:bCs/>
                <w:sz w:val="24"/>
                <w:highlight w:val="none"/>
              </w:rPr>
            </w:pPr>
          </w:p>
        </w:tc>
      </w:tr>
    </w:tbl>
    <w:p w14:paraId="36E933CD">
      <w:pPr>
        <w:snapToGrid w:val="0"/>
        <w:spacing w:line="360" w:lineRule="auto"/>
        <w:ind w:firstLine="576"/>
        <w:jc w:val="center"/>
        <w:rPr>
          <w:rFonts w:cs="宋体" w:asciiTheme="majorEastAsia" w:hAnsiTheme="majorEastAsia" w:eastAsiaTheme="majorEastAsia"/>
          <w:kern w:val="0"/>
          <w:sz w:val="24"/>
          <w:highlight w:val="none"/>
          <w:lang w:val="zh-CN"/>
        </w:rPr>
      </w:pPr>
      <w:r>
        <w:rPr>
          <w:rFonts w:hint="eastAsia" w:cs="宋体" w:asciiTheme="majorEastAsia" w:hAnsiTheme="majorEastAsia" w:eastAsiaTheme="majorEastAsia"/>
          <w:kern w:val="0"/>
          <w:sz w:val="24"/>
          <w:highlight w:val="none"/>
          <w:lang w:val="zh-CN"/>
        </w:rPr>
        <w:t xml:space="preserve">                  投标人名称(电子签名)：                              </w:t>
      </w:r>
    </w:p>
    <w:p w14:paraId="5B4B0E08">
      <w:pPr>
        <w:spacing w:line="360" w:lineRule="auto"/>
        <w:jc w:val="center"/>
        <w:rPr>
          <w:rFonts w:cs="宋体" w:asciiTheme="majorEastAsia" w:hAnsiTheme="majorEastAsia" w:eastAsiaTheme="majorEastAsia"/>
          <w:kern w:val="0"/>
          <w:sz w:val="24"/>
          <w:highlight w:val="none"/>
          <w:lang w:val="zh-CN"/>
        </w:rPr>
      </w:pPr>
      <w:r>
        <w:rPr>
          <w:rFonts w:hint="eastAsia" w:cs="宋体" w:asciiTheme="majorEastAsia" w:hAnsiTheme="majorEastAsia" w:eastAsiaTheme="majorEastAsia"/>
          <w:kern w:val="0"/>
          <w:sz w:val="24"/>
          <w:highlight w:val="none"/>
          <w:lang w:val="zh-CN"/>
        </w:rPr>
        <w:t xml:space="preserve">                   日期：  年  月  日</w:t>
      </w:r>
    </w:p>
    <w:p w14:paraId="05AE3C4F">
      <w:pPr>
        <w:jc w:val="center"/>
        <w:rPr>
          <w:rFonts w:hint="eastAsia" w:cs="宋体" w:asciiTheme="majorEastAsia" w:hAnsiTheme="majorEastAsia" w:eastAsiaTheme="majorEastAsia"/>
          <w:b/>
          <w:kern w:val="0"/>
          <w:sz w:val="32"/>
          <w:szCs w:val="32"/>
          <w:highlight w:val="none"/>
          <w:lang w:eastAsia="zh-CN"/>
        </w:rPr>
      </w:pPr>
    </w:p>
    <w:p w14:paraId="54B7F826">
      <w:pPr>
        <w:jc w:val="center"/>
        <w:rPr>
          <w:rFonts w:hint="eastAsia" w:cs="宋体" w:asciiTheme="majorEastAsia" w:hAnsiTheme="majorEastAsia" w:eastAsiaTheme="majorEastAsia"/>
          <w:b/>
          <w:kern w:val="0"/>
          <w:sz w:val="32"/>
          <w:szCs w:val="32"/>
          <w:highlight w:val="none"/>
          <w:lang w:eastAsia="zh-CN"/>
        </w:rPr>
      </w:pPr>
    </w:p>
    <w:p w14:paraId="7373FE6C">
      <w:pPr>
        <w:rPr>
          <w:rFonts w:hint="eastAsia"/>
          <w:b/>
          <w:bCs/>
          <w:sz w:val="28"/>
          <w:szCs w:val="36"/>
          <w:highlight w:val="none"/>
        </w:rPr>
      </w:pPr>
      <w:r>
        <w:rPr>
          <w:rFonts w:hint="eastAsia"/>
          <w:b/>
          <w:bCs/>
          <w:sz w:val="28"/>
          <w:szCs w:val="36"/>
          <w:highlight w:val="none"/>
        </w:rPr>
        <w:br w:type="page"/>
      </w:r>
    </w:p>
    <w:p w14:paraId="21D4C318">
      <w:pPr>
        <w:tabs>
          <w:tab w:val="left" w:pos="900"/>
        </w:tabs>
        <w:jc w:val="center"/>
        <w:outlineLvl w:val="9"/>
        <w:rPr>
          <w:highlight w:val="none"/>
        </w:rPr>
      </w:pPr>
      <w:r>
        <w:rPr>
          <w:rFonts w:hint="eastAsia"/>
          <w:b/>
          <w:bCs/>
          <w:sz w:val="28"/>
          <w:szCs w:val="36"/>
          <w:highlight w:val="none"/>
        </w:rPr>
        <w:t>三、分包意向协议（如果有）</w:t>
      </w:r>
    </w:p>
    <w:p w14:paraId="679C2C90">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74225BBF">
      <w:pPr>
        <w:snapToGrid w:val="0"/>
        <w:spacing w:line="360" w:lineRule="auto"/>
        <w:rPr>
          <w:rFonts w:ascii="宋体" w:hAnsi="宋体" w:cs="宋体"/>
          <w:kern w:val="0"/>
          <w:sz w:val="24"/>
          <w:highlight w:val="none"/>
        </w:rPr>
      </w:pPr>
    </w:p>
    <w:p w14:paraId="2A0C206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AFEFC35">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45C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5274D6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8300AA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24E7BE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E158E2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6947FA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8E3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00674C">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481F0FC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B1133A0">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34D10D15">
            <w:pPr>
              <w:jc w:val="center"/>
              <w:rPr>
                <w:rFonts w:ascii="宋体" w:hAnsi="宋体" w:cs="宋体"/>
                <w:color w:val="auto"/>
                <w:sz w:val="24"/>
                <w:highlight w:val="none"/>
              </w:rPr>
            </w:pPr>
          </w:p>
          <w:p w14:paraId="28CE3C4E">
            <w:pPr>
              <w:jc w:val="center"/>
              <w:rPr>
                <w:rFonts w:ascii="宋体" w:hAnsi="宋体" w:cs="宋体"/>
                <w:color w:val="auto"/>
                <w:sz w:val="24"/>
                <w:highlight w:val="none"/>
              </w:rPr>
            </w:pPr>
            <w:r>
              <w:rPr>
                <w:rFonts w:hint="eastAsia" w:ascii="宋体" w:hAnsi="宋体" w:cs="宋体"/>
                <w:color w:val="auto"/>
                <w:sz w:val="24"/>
                <w:highlight w:val="none"/>
              </w:rPr>
              <w:t>见投标文件</w:t>
            </w:r>
          </w:p>
          <w:p w14:paraId="08C0D6CE">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EB8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33E47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081DBBE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8EC7323">
            <w:pPr>
              <w:jc w:val="cente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7C16D0EF">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C25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95511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p>
        </w:tc>
        <w:tc>
          <w:tcPr>
            <w:tcW w:w="4991" w:type="dxa"/>
            <w:vAlign w:val="center"/>
          </w:tcPr>
          <w:p w14:paraId="6F6720D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投标文件满足招标文件其他实质性要求</w:t>
            </w:r>
          </w:p>
        </w:tc>
        <w:tc>
          <w:tcPr>
            <w:tcW w:w="2551" w:type="dxa"/>
            <w:vAlign w:val="center"/>
          </w:tcPr>
          <w:p w14:paraId="1D20F83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招标文件其它实质性要求相应的材料（“▲” 系指实质性要求条款，招标文件无其它实质性要求的，无需提供）</w:t>
            </w:r>
          </w:p>
        </w:tc>
        <w:tc>
          <w:tcPr>
            <w:tcW w:w="1418" w:type="dxa"/>
            <w:vAlign w:val="center"/>
          </w:tcPr>
          <w:p w14:paraId="450BC1D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见投标文件第  页</w:t>
            </w:r>
          </w:p>
          <w:p w14:paraId="5E42AC13">
            <w:pPr>
              <w:jc w:val="center"/>
              <w:rPr>
                <w:rFonts w:hint="eastAsia" w:ascii="宋体" w:hAnsi="宋体" w:eastAsia="宋体" w:cs="宋体"/>
                <w:color w:val="auto"/>
                <w:sz w:val="24"/>
                <w:highlight w:val="none"/>
                <w:lang w:val="en-US" w:eastAsia="zh-CN"/>
              </w:rPr>
            </w:pPr>
          </w:p>
        </w:tc>
      </w:tr>
    </w:tbl>
    <w:p w14:paraId="4D7CD1E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0CB88E3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6136EACE">
      <w:pPr>
        <w:jc w:val="center"/>
        <w:rPr>
          <w:rFonts w:cs="宋体" w:asciiTheme="majorEastAsia" w:hAnsiTheme="majorEastAsia" w:eastAsiaTheme="majorEastAsia"/>
          <w:b/>
          <w:kern w:val="0"/>
          <w:sz w:val="32"/>
          <w:szCs w:val="32"/>
          <w:highlight w:val="none"/>
        </w:rPr>
      </w:pPr>
    </w:p>
    <w:p w14:paraId="2A6D0CC2">
      <w:pPr>
        <w:jc w:val="center"/>
        <w:rPr>
          <w:rFonts w:cs="宋体" w:asciiTheme="majorEastAsia" w:hAnsiTheme="majorEastAsia" w:eastAsiaTheme="majorEastAsia"/>
          <w:b/>
          <w:kern w:val="0"/>
          <w:sz w:val="32"/>
          <w:szCs w:val="32"/>
          <w:highlight w:val="none"/>
        </w:rPr>
      </w:pPr>
    </w:p>
    <w:p w14:paraId="12320EF4">
      <w:pPr>
        <w:jc w:val="center"/>
        <w:rPr>
          <w:rFonts w:cs="宋体" w:asciiTheme="majorEastAsia" w:hAnsiTheme="majorEastAsia" w:eastAsiaTheme="majorEastAsia"/>
          <w:b/>
          <w:kern w:val="0"/>
          <w:sz w:val="32"/>
          <w:szCs w:val="32"/>
          <w:highlight w:val="none"/>
        </w:rPr>
      </w:pPr>
    </w:p>
    <w:p w14:paraId="1883284E">
      <w:pPr>
        <w:jc w:val="center"/>
        <w:rPr>
          <w:rFonts w:cs="宋体" w:asciiTheme="majorEastAsia" w:hAnsiTheme="majorEastAsia" w:eastAsiaTheme="majorEastAsia"/>
          <w:b/>
          <w:kern w:val="0"/>
          <w:sz w:val="32"/>
          <w:szCs w:val="32"/>
          <w:highlight w:val="none"/>
        </w:rPr>
      </w:pPr>
    </w:p>
    <w:p w14:paraId="5DCD41B6">
      <w:pPr>
        <w:jc w:val="center"/>
        <w:rPr>
          <w:rFonts w:cs="宋体" w:asciiTheme="majorEastAsia" w:hAnsiTheme="majorEastAsia" w:eastAsiaTheme="majorEastAsia"/>
          <w:b/>
          <w:kern w:val="0"/>
          <w:sz w:val="32"/>
          <w:szCs w:val="32"/>
          <w:highlight w:val="none"/>
        </w:rPr>
      </w:pPr>
    </w:p>
    <w:p w14:paraId="60BB6307">
      <w:pPr>
        <w:jc w:val="center"/>
        <w:rPr>
          <w:rFonts w:cs="宋体" w:asciiTheme="majorEastAsia" w:hAnsiTheme="majorEastAsia" w:eastAsiaTheme="majorEastAsia"/>
          <w:b/>
          <w:kern w:val="0"/>
          <w:sz w:val="32"/>
          <w:szCs w:val="32"/>
          <w:highlight w:val="none"/>
        </w:rPr>
      </w:pPr>
    </w:p>
    <w:p w14:paraId="72E0DF55">
      <w:pPr>
        <w:jc w:val="center"/>
        <w:rPr>
          <w:rFonts w:cs="宋体" w:asciiTheme="majorEastAsia" w:hAnsiTheme="majorEastAsia" w:eastAsiaTheme="majorEastAsia"/>
          <w:b/>
          <w:kern w:val="0"/>
          <w:sz w:val="32"/>
          <w:szCs w:val="32"/>
          <w:highlight w:val="none"/>
        </w:rPr>
      </w:pPr>
    </w:p>
    <w:p w14:paraId="7BE0665F">
      <w:pPr>
        <w:jc w:val="center"/>
        <w:rPr>
          <w:rFonts w:cs="宋体" w:asciiTheme="majorEastAsia" w:hAnsiTheme="majorEastAsia" w:eastAsiaTheme="majorEastAsia"/>
          <w:b/>
          <w:kern w:val="0"/>
          <w:sz w:val="32"/>
          <w:szCs w:val="32"/>
          <w:highlight w:val="none"/>
        </w:rPr>
      </w:pPr>
    </w:p>
    <w:p w14:paraId="5A18B34B">
      <w:pPr>
        <w:jc w:val="center"/>
        <w:rPr>
          <w:rFonts w:cs="宋体" w:asciiTheme="majorEastAsia" w:hAnsiTheme="majorEastAsia" w:eastAsiaTheme="majorEastAsia"/>
          <w:b/>
          <w:kern w:val="0"/>
          <w:sz w:val="32"/>
          <w:szCs w:val="32"/>
          <w:highlight w:val="none"/>
        </w:rPr>
      </w:pPr>
    </w:p>
    <w:p w14:paraId="034E8B9A">
      <w:pPr>
        <w:jc w:val="center"/>
        <w:rPr>
          <w:rFonts w:cs="宋体" w:asciiTheme="majorEastAsia" w:hAnsiTheme="majorEastAsia" w:eastAsiaTheme="majorEastAsia"/>
          <w:b/>
          <w:kern w:val="0"/>
          <w:sz w:val="32"/>
          <w:szCs w:val="32"/>
          <w:highlight w:val="none"/>
        </w:rPr>
      </w:pPr>
    </w:p>
    <w:p w14:paraId="5412762D">
      <w:pPr>
        <w:jc w:val="center"/>
        <w:rPr>
          <w:rFonts w:cs="宋体" w:asciiTheme="majorEastAsia" w:hAnsiTheme="majorEastAsia" w:eastAsiaTheme="majorEastAsia"/>
          <w:b/>
          <w:kern w:val="0"/>
          <w:sz w:val="32"/>
          <w:szCs w:val="32"/>
          <w:highlight w:val="none"/>
        </w:rPr>
      </w:pPr>
    </w:p>
    <w:p w14:paraId="13A00AB4">
      <w:pPr>
        <w:jc w:val="center"/>
        <w:rPr>
          <w:rFonts w:cs="宋体" w:asciiTheme="majorEastAsia" w:hAnsiTheme="majorEastAsia" w:eastAsiaTheme="majorEastAsia"/>
          <w:b/>
          <w:kern w:val="0"/>
          <w:sz w:val="32"/>
          <w:szCs w:val="32"/>
          <w:highlight w:val="none"/>
        </w:rPr>
      </w:pPr>
    </w:p>
    <w:p w14:paraId="04D53859">
      <w:pPr>
        <w:jc w:val="center"/>
        <w:rPr>
          <w:rFonts w:cs="宋体" w:asciiTheme="majorEastAsia" w:hAnsiTheme="majorEastAsia" w:eastAsiaTheme="majorEastAsia"/>
          <w:b/>
          <w:kern w:val="0"/>
          <w:sz w:val="32"/>
          <w:szCs w:val="32"/>
          <w:highlight w:val="none"/>
        </w:rPr>
      </w:pPr>
    </w:p>
    <w:p w14:paraId="30A6B1A0">
      <w:pPr>
        <w:jc w:val="center"/>
        <w:rPr>
          <w:rFonts w:cs="宋体" w:asciiTheme="majorEastAsia" w:hAnsiTheme="majorEastAsia" w:eastAsiaTheme="majorEastAsia"/>
          <w:b/>
          <w:kern w:val="0"/>
          <w:sz w:val="32"/>
          <w:szCs w:val="32"/>
          <w:highlight w:val="none"/>
        </w:rPr>
      </w:pPr>
    </w:p>
    <w:p w14:paraId="2CD8C87A">
      <w:pPr>
        <w:jc w:val="center"/>
        <w:rPr>
          <w:rFonts w:cs="宋体" w:asciiTheme="majorEastAsia" w:hAnsiTheme="majorEastAsia" w:eastAsiaTheme="majorEastAsia"/>
          <w:highlight w:val="none"/>
        </w:rPr>
      </w:pPr>
      <w:r>
        <w:rPr>
          <w:rFonts w:hint="eastAsia" w:cs="宋体" w:asciiTheme="majorEastAsia" w:hAnsiTheme="majorEastAsia" w:eastAsiaTheme="majorEastAsia"/>
          <w:b/>
          <w:kern w:val="0"/>
          <w:sz w:val="32"/>
          <w:szCs w:val="32"/>
          <w:highlight w:val="none"/>
          <w:lang w:val="en-US" w:eastAsia="zh-CN"/>
        </w:rPr>
        <w:t>五</w:t>
      </w:r>
      <w:r>
        <w:rPr>
          <w:rFonts w:hint="eastAsia" w:cs="宋体" w:asciiTheme="majorEastAsia" w:hAnsiTheme="majorEastAsia" w:eastAsiaTheme="majorEastAsia"/>
          <w:b/>
          <w:kern w:val="0"/>
          <w:sz w:val="32"/>
          <w:szCs w:val="32"/>
          <w:highlight w:val="none"/>
        </w:rPr>
        <w:t>、评标标准相应的商务技术资料</w:t>
      </w:r>
    </w:p>
    <w:p w14:paraId="02DC65FF">
      <w:pPr>
        <w:snapToGrid w:val="0"/>
        <w:spacing w:line="360" w:lineRule="auto"/>
        <w:jc w:val="left"/>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601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F7F157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465" w:type="dxa"/>
          </w:tcPr>
          <w:p w14:paraId="6CDCDDE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投标文件中评标标准相应的商务技术资料目录*</w:t>
            </w:r>
          </w:p>
        </w:tc>
        <w:tc>
          <w:tcPr>
            <w:tcW w:w="3046" w:type="dxa"/>
          </w:tcPr>
          <w:p w14:paraId="7A87053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投标文件中的页码位置</w:t>
            </w:r>
          </w:p>
        </w:tc>
      </w:tr>
      <w:tr w14:paraId="0E41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179178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465" w:type="dxa"/>
          </w:tcPr>
          <w:p w14:paraId="621AFEE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XXX（预先填写）</w:t>
            </w:r>
          </w:p>
        </w:tc>
        <w:tc>
          <w:tcPr>
            <w:tcW w:w="3046" w:type="dxa"/>
          </w:tcPr>
          <w:p w14:paraId="0B52F0B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见投标文件第页</w:t>
            </w:r>
          </w:p>
        </w:tc>
      </w:tr>
      <w:tr w14:paraId="095A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877573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465" w:type="dxa"/>
          </w:tcPr>
          <w:p w14:paraId="653AE40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XXX</w:t>
            </w:r>
          </w:p>
        </w:tc>
        <w:tc>
          <w:tcPr>
            <w:tcW w:w="3046" w:type="dxa"/>
          </w:tcPr>
          <w:p w14:paraId="3FEE848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见投标文件第页</w:t>
            </w:r>
          </w:p>
        </w:tc>
      </w:tr>
      <w:tr w14:paraId="04C8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AD61CF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5465" w:type="dxa"/>
          </w:tcPr>
          <w:p w14:paraId="177EF1EC">
            <w:pPr>
              <w:jc w:val="center"/>
              <w:rPr>
                <w:rFonts w:hint="eastAsia" w:ascii="宋体" w:hAnsi="宋体" w:eastAsia="宋体" w:cs="宋体"/>
                <w:color w:val="auto"/>
                <w:sz w:val="24"/>
                <w:highlight w:val="none"/>
              </w:rPr>
            </w:pPr>
          </w:p>
        </w:tc>
        <w:tc>
          <w:tcPr>
            <w:tcW w:w="3046" w:type="dxa"/>
          </w:tcPr>
          <w:p w14:paraId="02D6D67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见投标文件第页</w:t>
            </w:r>
          </w:p>
        </w:tc>
      </w:tr>
    </w:tbl>
    <w:p w14:paraId="1C5F1AE0">
      <w:pPr>
        <w:jc w:val="center"/>
        <w:rPr>
          <w:rFonts w:cs="宋体" w:asciiTheme="majorEastAsia" w:hAnsiTheme="majorEastAsia" w:eastAsiaTheme="majorEastAsia"/>
          <w:b/>
          <w:kern w:val="0"/>
          <w:sz w:val="32"/>
          <w:szCs w:val="32"/>
          <w:highlight w:val="none"/>
        </w:rPr>
      </w:pPr>
    </w:p>
    <w:p w14:paraId="0DC5493B">
      <w:pPr>
        <w:jc w:val="center"/>
        <w:rPr>
          <w:rFonts w:cs="宋体" w:asciiTheme="majorEastAsia" w:hAnsiTheme="majorEastAsia" w:eastAsiaTheme="majorEastAsia"/>
          <w:b/>
          <w:kern w:val="0"/>
          <w:sz w:val="32"/>
          <w:szCs w:val="32"/>
          <w:highlight w:val="none"/>
        </w:rPr>
      </w:pPr>
    </w:p>
    <w:p w14:paraId="6D074AA1">
      <w:pPr>
        <w:jc w:val="center"/>
        <w:rPr>
          <w:rFonts w:cs="宋体" w:asciiTheme="majorEastAsia" w:hAnsiTheme="majorEastAsia" w:eastAsiaTheme="majorEastAsia"/>
          <w:b/>
          <w:kern w:val="0"/>
          <w:sz w:val="32"/>
          <w:szCs w:val="32"/>
          <w:highlight w:val="none"/>
        </w:rPr>
      </w:pPr>
    </w:p>
    <w:p w14:paraId="63399225">
      <w:pPr>
        <w:ind w:firstLine="2891" w:firstLineChars="900"/>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lang w:val="en-US" w:eastAsia="zh-CN"/>
        </w:rPr>
        <w:t>六</w:t>
      </w:r>
      <w:r>
        <w:rPr>
          <w:rFonts w:hint="eastAsia" w:cs="宋体" w:asciiTheme="majorEastAsia" w:hAnsiTheme="majorEastAsia" w:eastAsiaTheme="majorEastAsia"/>
          <w:b/>
          <w:kern w:val="0"/>
          <w:sz w:val="32"/>
          <w:szCs w:val="32"/>
          <w:highlight w:val="none"/>
        </w:rPr>
        <w:t>、投标标的清单</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310"/>
        <w:gridCol w:w="1065"/>
        <w:gridCol w:w="1204"/>
        <w:gridCol w:w="2653"/>
        <w:gridCol w:w="888"/>
        <w:gridCol w:w="1458"/>
      </w:tblGrid>
      <w:tr w14:paraId="0832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065BF472">
            <w:pPr>
              <w:spacing w:line="360" w:lineRule="auto"/>
              <w:jc w:val="center"/>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rPr>
              <w:t>序号</w:t>
            </w:r>
          </w:p>
        </w:tc>
        <w:tc>
          <w:tcPr>
            <w:tcW w:w="705" w:type="pct"/>
            <w:tcBorders>
              <w:top w:val="single" w:color="auto" w:sz="4" w:space="0"/>
              <w:left w:val="single" w:color="auto" w:sz="4" w:space="0"/>
              <w:bottom w:val="single" w:color="auto" w:sz="4" w:space="0"/>
              <w:right w:val="single" w:color="auto" w:sz="4" w:space="0"/>
            </w:tcBorders>
            <w:vAlign w:val="center"/>
          </w:tcPr>
          <w:p w14:paraId="59099CEC">
            <w:pPr>
              <w:spacing w:line="360" w:lineRule="auto"/>
              <w:jc w:val="center"/>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rPr>
              <w:t>名称</w:t>
            </w:r>
          </w:p>
        </w:tc>
        <w:tc>
          <w:tcPr>
            <w:tcW w:w="573" w:type="pct"/>
            <w:tcBorders>
              <w:top w:val="single" w:color="auto" w:sz="4" w:space="0"/>
              <w:left w:val="single" w:color="auto" w:sz="4" w:space="0"/>
              <w:bottom w:val="single" w:color="auto" w:sz="4" w:space="0"/>
              <w:right w:val="single" w:color="auto" w:sz="4" w:space="0"/>
            </w:tcBorders>
          </w:tcPr>
          <w:p w14:paraId="7D8A75AA">
            <w:pPr>
              <w:spacing w:line="360" w:lineRule="auto"/>
              <w:jc w:val="center"/>
              <w:rPr>
                <w:rFonts w:cs="宋体" w:asciiTheme="majorEastAsia" w:hAnsiTheme="majorEastAsia" w:eastAsiaTheme="majorEastAsia"/>
                <w:b/>
                <w:sz w:val="24"/>
                <w:highlight w:val="none"/>
              </w:rPr>
            </w:pPr>
          </w:p>
          <w:p w14:paraId="5208BFF8">
            <w:pPr>
              <w:spacing w:line="360" w:lineRule="auto"/>
              <w:jc w:val="center"/>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rPr>
              <w:t>服务范围</w:t>
            </w:r>
          </w:p>
        </w:tc>
        <w:tc>
          <w:tcPr>
            <w:tcW w:w="648" w:type="pct"/>
            <w:tcBorders>
              <w:top w:val="single" w:color="auto" w:sz="4" w:space="0"/>
              <w:left w:val="single" w:color="auto" w:sz="4" w:space="0"/>
              <w:bottom w:val="single" w:color="auto" w:sz="4" w:space="0"/>
              <w:right w:val="single" w:color="auto" w:sz="4" w:space="0"/>
            </w:tcBorders>
            <w:vAlign w:val="center"/>
          </w:tcPr>
          <w:p w14:paraId="4089D6C7">
            <w:pPr>
              <w:spacing w:line="360" w:lineRule="auto"/>
              <w:jc w:val="center"/>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rPr>
              <w:t>服务要求</w:t>
            </w:r>
          </w:p>
        </w:tc>
        <w:tc>
          <w:tcPr>
            <w:tcW w:w="1428" w:type="pct"/>
            <w:tcBorders>
              <w:top w:val="single" w:color="auto" w:sz="4" w:space="0"/>
              <w:left w:val="single" w:color="auto" w:sz="4" w:space="0"/>
              <w:bottom w:val="single" w:color="auto" w:sz="4" w:space="0"/>
              <w:right w:val="single" w:color="auto" w:sz="4" w:space="0"/>
            </w:tcBorders>
            <w:vAlign w:val="center"/>
          </w:tcPr>
          <w:p w14:paraId="2AD686CE">
            <w:pPr>
              <w:spacing w:line="360" w:lineRule="auto"/>
              <w:jc w:val="center"/>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rPr>
              <w:t>服务时间</w:t>
            </w:r>
          </w:p>
        </w:tc>
        <w:tc>
          <w:tcPr>
            <w:tcW w:w="478" w:type="pct"/>
            <w:tcBorders>
              <w:top w:val="single" w:color="auto" w:sz="4" w:space="0"/>
              <w:left w:val="single" w:color="auto" w:sz="4" w:space="0"/>
              <w:bottom w:val="single" w:color="auto" w:sz="4" w:space="0"/>
              <w:right w:val="single" w:color="auto" w:sz="4" w:space="0"/>
            </w:tcBorders>
            <w:vAlign w:val="center"/>
          </w:tcPr>
          <w:p w14:paraId="04FED248">
            <w:pPr>
              <w:spacing w:line="360" w:lineRule="auto"/>
              <w:jc w:val="center"/>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rPr>
              <w:t>服务标准</w:t>
            </w:r>
          </w:p>
        </w:tc>
        <w:tc>
          <w:tcPr>
            <w:tcW w:w="785" w:type="pct"/>
            <w:tcBorders>
              <w:top w:val="single" w:color="auto" w:sz="4" w:space="0"/>
              <w:left w:val="single" w:color="auto" w:sz="4" w:space="0"/>
              <w:bottom w:val="single" w:color="auto" w:sz="4" w:space="0"/>
              <w:right w:val="single" w:color="auto" w:sz="4" w:space="0"/>
            </w:tcBorders>
            <w:vAlign w:val="center"/>
          </w:tcPr>
          <w:p w14:paraId="6699F0E4">
            <w:pPr>
              <w:spacing w:line="360" w:lineRule="auto"/>
              <w:jc w:val="center"/>
              <w:rPr>
                <w:rFonts w:cs="宋体" w:asciiTheme="majorEastAsia" w:hAnsiTheme="majorEastAsia" w:eastAsiaTheme="majorEastAsia"/>
                <w:b/>
                <w:sz w:val="24"/>
                <w:highlight w:val="none"/>
              </w:rPr>
            </w:pPr>
          </w:p>
          <w:p w14:paraId="3803D614">
            <w:pPr>
              <w:spacing w:line="360" w:lineRule="auto"/>
              <w:jc w:val="center"/>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rPr>
              <w:t>备注（如果有）</w:t>
            </w:r>
          </w:p>
          <w:p w14:paraId="59278CFB">
            <w:pPr>
              <w:spacing w:line="360" w:lineRule="auto"/>
              <w:jc w:val="center"/>
              <w:rPr>
                <w:rFonts w:cs="宋体" w:asciiTheme="majorEastAsia" w:hAnsiTheme="majorEastAsia" w:eastAsiaTheme="majorEastAsia"/>
                <w:b/>
                <w:sz w:val="24"/>
                <w:highlight w:val="none"/>
              </w:rPr>
            </w:pPr>
          </w:p>
        </w:tc>
      </w:tr>
      <w:tr w14:paraId="6225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28578A25">
            <w:pPr>
              <w:spacing w:line="360" w:lineRule="auto"/>
              <w:jc w:val="center"/>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1</w:t>
            </w:r>
          </w:p>
        </w:tc>
        <w:tc>
          <w:tcPr>
            <w:tcW w:w="705" w:type="pct"/>
            <w:tcBorders>
              <w:top w:val="single" w:color="auto" w:sz="4" w:space="0"/>
              <w:left w:val="single" w:color="auto" w:sz="4" w:space="0"/>
              <w:bottom w:val="single" w:color="auto" w:sz="4" w:space="0"/>
              <w:right w:val="single" w:color="auto" w:sz="4" w:space="0"/>
            </w:tcBorders>
            <w:vAlign w:val="center"/>
          </w:tcPr>
          <w:p w14:paraId="54B985CF">
            <w:pPr>
              <w:snapToGrid w:val="0"/>
              <w:spacing w:line="360" w:lineRule="auto"/>
              <w:jc w:val="center"/>
              <w:rPr>
                <w:rFonts w:cs="宋体" w:asciiTheme="majorEastAsia" w:hAnsiTheme="majorEastAsia" w:eastAsiaTheme="majorEastAsia"/>
                <w:sz w:val="24"/>
                <w:highlight w:val="none"/>
              </w:rPr>
            </w:pPr>
          </w:p>
        </w:tc>
        <w:tc>
          <w:tcPr>
            <w:tcW w:w="573" w:type="pct"/>
            <w:tcBorders>
              <w:top w:val="single" w:color="auto" w:sz="4" w:space="0"/>
              <w:left w:val="single" w:color="auto" w:sz="4" w:space="0"/>
              <w:bottom w:val="single" w:color="auto" w:sz="4" w:space="0"/>
              <w:right w:val="single" w:color="auto" w:sz="4" w:space="0"/>
            </w:tcBorders>
            <w:vAlign w:val="center"/>
          </w:tcPr>
          <w:p w14:paraId="54736613">
            <w:pPr>
              <w:snapToGrid w:val="0"/>
              <w:spacing w:line="360" w:lineRule="auto"/>
              <w:jc w:val="center"/>
              <w:rPr>
                <w:rFonts w:cs="宋体" w:asciiTheme="majorEastAsia" w:hAnsiTheme="majorEastAsia" w:eastAsiaTheme="majorEastAsia"/>
                <w:sz w:val="24"/>
                <w:highlight w:val="none"/>
              </w:rPr>
            </w:pPr>
          </w:p>
        </w:tc>
        <w:tc>
          <w:tcPr>
            <w:tcW w:w="648" w:type="pct"/>
            <w:tcBorders>
              <w:top w:val="single" w:color="auto" w:sz="4" w:space="0"/>
              <w:left w:val="single" w:color="auto" w:sz="4" w:space="0"/>
              <w:bottom w:val="single" w:color="auto" w:sz="4" w:space="0"/>
              <w:right w:val="single" w:color="auto" w:sz="4" w:space="0"/>
            </w:tcBorders>
            <w:vAlign w:val="center"/>
          </w:tcPr>
          <w:p w14:paraId="536A2942">
            <w:pPr>
              <w:snapToGrid w:val="0"/>
              <w:spacing w:line="360" w:lineRule="auto"/>
              <w:jc w:val="center"/>
              <w:rPr>
                <w:rFonts w:cs="宋体" w:asciiTheme="majorEastAsia" w:hAnsiTheme="majorEastAsia" w:eastAsiaTheme="majorEastAsia"/>
                <w:sz w:val="24"/>
                <w:highlight w:val="none"/>
              </w:rPr>
            </w:pPr>
          </w:p>
        </w:tc>
        <w:tc>
          <w:tcPr>
            <w:tcW w:w="1428" w:type="pct"/>
            <w:tcBorders>
              <w:top w:val="single" w:color="auto" w:sz="4" w:space="0"/>
              <w:left w:val="single" w:color="auto" w:sz="4" w:space="0"/>
              <w:bottom w:val="single" w:color="auto" w:sz="4" w:space="0"/>
              <w:right w:val="single" w:color="auto" w:sz="4" w:space="0"/>
            </w:tcBorders>
            <w:vAlign w:val="center"/>
          </w:tcPr>
          <w:p w14:paraId="51452C2E">
            <w:pPr>
              <w:spacing w:line="360" w:lineRule="auto"/>
              <w:jc w:val="center"/>
              <w:rPr>
                <w:rFonts w:cs="宋体" w:asciiTheme="majorEastAsia" w:hAnsiTheme="majorEastAsia" w:eastAsiaTheme="majorEastAsia"/>
                <w:sz w:val="24"/>
                <w:highlight w:val="none"/>
              </w:rPr>
            </w:pPr>
          </w:p>
        </w:tc>
        <w:tc>
          <w:tcPr>
            <w:tcW w:w="478" w:type="pct"/>
            <w:tcBorders>
              <w:top w:val="single" w:color="auto" w:sz="4" w:space="0"/>
              <w:left w:val="single" w:color="auto" w:sz="4" w:space="0"/>
              <w:bottom w:val="single" w:color="auto" w:sz="4" w:space="0"/>
              <w:right w:val="single" w:color="auto" w:sz="4" w:space="0"/>
            </w:tcBorders>
            <w:vAlign w:val="center"/>
          </w:tcPr>
          <w:p w14:paraId="0EE31694">
            <w:pPr>
              <w:spacing w:line="360" w:lineRule="auto"/>
              <w:jc w:val="center"/>
              <w:rPr>
                <w:rFonts w:cs="宋体" w:asciiTheme="majorEastAsia" w:hAnsiTheme="majorEastAsia" w:eastAsiaTheme="majorEastAsia"/>
                <w:sz w:val="24"/>
                <w:highlight w:val="none"/>
              </w:rPr>
            </w:pPr>
          </w:p>
        </w:tc>
        <w:tc>
          <w:tcPr>
            <w:tcW w:w="785" w:type="pct"/>
            <w:tcBorders>
              <w:top w:val="single" w:color="auto" w:sz="4" w:space="0"/>
              <w:left w:val="single" w:color="auto" w:sz="4" w:space="0"/>
              <w:bottom w:val="single" w:color="auto" w:sz="4" w:space="0"/>
              <w:right w:val="single" w:color="auto" w:sz="4" w:space="0"/>
            </w:tcBorders>
            <w:vAlign w:val="center"/>
          </w:tcPr>
          <w:p w14:paraId="4E6C8171">
            <w:pPr>
              <w:spacing w:line="360" w:lineRule="auto"/>
              <w:jc w:val="center"/>
              <w:rPr>
                <w:rFonts w:cs="宋体" w:asciiTheme="majorEastAsia" w:hAnsiTheme="majorEastAsia" w:eastAsiaTheme="majorEastAsia"/>
                <w:sz w:val="24"/>
                <w:highlight w:val="none"/>
              </w:rPr>
            </w:pPr>
          </w:p>
        </w:tc>
      </w:tr>
      <w:tr w14:paraId="0414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28299D28">
            <w:pPr>
              <w:spacing w:line="360" w:lineRule="auto"/>
              <w:jc w:val="center"/>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2</w:t>
            </w:r>
          </w:p>
        </w:tc>
        <w:tc>
          <w:tcPr>
            <w:tcW w:w="705" w:type="pct"/>
            <w:tcBorders>
              <w:top w:val="single" w:color="auto" w:sz="4" w:space="0"/>
              <w:left w:val="single" w:color="auto" w:sz="4" w:space="0"/>
              <w:bottom w:val="single" w:color="auto" w:sz="4" w:space="0"/>
              <w:right w:val="single" w:color="auto" w:sz="4" w:space="0"/>
            </w:tcBorders>
            <w:vAlign w:val="center"/>
          </w:tcPr>
          <w:p w14:paraId="12ADD7AF">
            <w:pPr>
              <w:snapToGrid w:val="0"/>
              <w:spacing w:line="360" w:lineRule="auto"/>
              <w:jc w:val="center"/>
              <w:rPr>
                <w:rFonts w:cs="宋体" w:asciiTheme="majorEastAsia" w:hAnsiTheme="majorEastAsia" w:eastAsiaTheme="majorEastAsia"/>
                <w:sz w:val="24"/>
                <w:highlight w:val="none"/>
              </w:rPr>
            </w:pPr>
          </w:p>
        </w:tc>
        <w:tc>
          <w:tcPr>
            <w:tcW w:w="573" w:type="pct"/>
            <w:tcBorders>
              <w:top w:val="single" w:color="auto" w:sz="4" w:space="0"/>
              <w:left w:val="single" w:color="auto" w:sz="4" w:space="0"/>
              <w:bottom w:val="single" w:color="auto" w:sz="4" w:space="0"/>
              <w:right w:val="single" w:color="auto" w:sz="4" w:space="0"/>
            </w:tcBorders>
            <w:vAlign w:val="center"/>
          </w:tcPr>
          <w:p w14:paraId="19533768">
            <w:pPr>
              <w:snapToGrid w:val="0"/>
              <w:spacing w:line="360" w:lineRule="auto"/>
              <w:jc w:val="center"/>
              <w:rPr>
                <w:rFonts w:cs="宋体" w:asciiTheme="majorEastAsia" w:hAnsiTheme="majorEastAsia" w:eastAsiaTheme="majorEastAsia"/>
                <w:sz w:val="24"/>
                <w:highlight w:val="none"/>
              </w:rPr>
            </w:pPr>
          </w:p>
        </w:tc>
        <w:tc>
          <w:tcPr>
            <w:tcW w:w="648" w:type="pct"/>
            <w:tcBorders>
              <w:top w:val="single" w:color="auto" w:sz="4" w:space="0"/>
              <w:left w:val="single" w:color="auto" w:sz="4" w:space="0"/>
              <w:bottom w:val="single" w:color="auto" w:sz="4" w:space="0"/>
              <w:right w:val="single" w:color="auto" w:sz="4" w:space="0"/>
            </w:tcBorders>
            <w:vAlign w:val="center"/>
          </w:tcPr>
          <w:p w14:paraId="59A96757">
            <w:pPr>
              <w:snapToGrid w:val="0"/>
              <w:spacing w:line="360" w:lineRule="auto"/>
              <w:jc w:val="center"/>
              <w:rPr>
                <w:rFonts w:cs="宋体" w:asciiTheme="majorEastAsia" w:hAnsiTheme="majorEastAsia" w:eastAsiaTheme="majorEastAsia"/>
                <w:sz w:val="24"/>
                <w:highlight w:val="none"/>
              </w:rPr>
            </w:pPr>
          </w:p>
        </w:tc>
        <w:tc>
          <w:tcPr>
            <w:tcW w:w="1428" w:type="pct"/>
            <w:tcBorders>
              <w:top w:val="single" w:color="auto" w:sz="4" w:space="0"/>
              <w:left w:val="single" w:color="auto" w:sz="4" w:space="0"/>
              <w:bottom w:val="single" w:color="auto" w:sz="4" w:space="0"/>
              <w:right w:val="single" w:color="auto" w:sz="4" w:space="0"/>
            </w:tcBorders>
            <w:vAlign w:val="center"/>
          </w:tcPr>
          <w:p w14:paraId="4B8143BB">
            <w:pPr>
              <w:spacing w:line="360" w:lineRule="auto"/>
              <w:jc w:val="center"/>
              <w:rPr>
                <w:rFonts w:cs="宋体" w:asciiTheme="majorEastAsia" w:hAnsiTheme="majorEastAsia" w:eastAsiaTheme="majorEastAsia"/>
                <w:sz w:val="24"/>
                <w:highlight w:val="none"/>
              </w:rPr>
            </w:pPr>
          </w:p>
        </w:tc>
        <w:tc>
          <w:tcPr>
            <w:tcW w:w="478" w:type="pct"/>
            <w:tcBorders>
              <w:top w:val="single" w:color="auto" w:sz="4" w:space="0"/>
              <w:left w:val="single" w:color="auto" w:sz="4" w:space="0"/>
              <w:bottom w:val="single" w:color="auto" w:sz="4" w:space="0"/>
              <w:right w:val="single" w:color="auto" w:sz="4" w:space="0"/>
            </w:tcBorders>
            <w:vAlign w:val="center"/>
          </w:tcPr>
          <w:p w14:paraId="4922DF0A">
            <w:pPr>
              <w:spacing w:line="360" w:lineRule="auto"/>
              <w:jc w:val="center"/>
              <w:rPr>
                <w:rFonts w:cs="宋体" w:asciiTheme="majorEastAsia" w:hAnsiTheme="majorEastAsia" w:eastAsiaTheme="majorEastAsia"/>
                <w:sz w:val="24"/>
                <w:highlight w:val="none"/>
              </w:rPr>
            </w:pPr>
          </w:p>
        </w:tc>
        <w:tc>
          <w:tcPr>
            <w:tcW w:w="785" w:type="pct"/>
            <w:tcBorders>
              <w:top w:val="single" w:color="auto" w:sz="4" w:space="0"/>
              <w:left w:val="single" w:color="auto" w:sz="4" w:space="0"/>
              <w:bottom w:val="single" w:color="auto" w:sz="4" w:space="0"/>
              <w:right w:val="single" w:color="auto" w:sz="4" w:space="0"/>
            </w:tcBorders>
            <w:vAlign w:val="center"/>
          </w:tcPr>
          <w:p w14:paraId="1B53DE10">
            <w:pPr>
              <w:spacing w:line="360" w:lineRule="auto"/>
              <w:jc w:val="center"/>
              <w:rPr>
                <w:rFonts w:cs="宋体" w:asciiTheme="majorEastAsia" w:hAnsiTheme="majorEastAsia" w:eastAsiaTheme="majorEastAsia"/>
                <w:sz w:val="24"/>
                <w:highlight w:val="none"/>
              </w:rPr>
            </w:pPr>
          </w:p>
        </w:tc>
      </w:tr>
      <w:tr w14:paraId="1098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01D79615">
            <w:pPr>
              <w:spacing w:line="360" w:lineRule="auto"/>
              <w:jc w:val="center"/>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w:t>
            </w:r>
          </w:p>
        </w:tc>
        <w:tc>
          <w:tcPr>
            <w:tcW w:w="705" w:type="pct"/>
            <w:tcBorders>
              <w:top w:val="single" w:color="auto" w:sz="4" w:space="0"/>
              <w:left w:val="single" w:color="auto" w:sz="4" w:space="0"/>
              <w:bottom w:val="single" w:color="auto" w:sz="4" w:space="0"/>
              <w:right w:val="single" w:color="auto" w:sz="4" w:space="0"/>
            </w:tcBorders>
            <w:vAlign w:val="center"/>
          </w:tcPr>
          <w:p w14:paraId="21FFC37C">
            <w:pPr>
              <w:snapToGrid w:val="0"/>
              <w:spacing w:line="360" w:lineRule="auto"/>
              <w:jc w:val="center"/>
              <w:rPr>
                <w:rFonts w:cs="宋体" w:asciiTheme="majorEastAsia" w:hAnsiTheme="majorEastAsia" w:eastAsiaTheme="majorEastAsia"/>
                <w:sz w:val="24"/>
                <w:highlight w:val="none"/>
              </w:rPr>
            </w:pPr>
          </w:p>
        </w:tc>
        <w:tc>
          <w:tcPr>
            <w:tcW w:w="573" w:type="pct"/>
            <w:tcBorders>
              <w:top w:val="single" w:color="auto" w:sz="4" w:space="0"/>
              <w:left w:val="single" w:color="auto" w:sz="4" w:space="0"/>
              <w:bottom w:val="single" w:color="auto" w:sz="4" w:space="0"/>
              <w:right w:val="single" w:color="auto" w:sz="4" w:space="0"/>
            </w:tcBorders>
            <w:vAlign w:val="center"/>
          </w:tcPr>
          <w:p w14:paraId="456100B0">
            <w:pPr>
              <w:snapToGrid w:val="0"/>
              <w:spacing w:line="360" w:lineRule="auto"/>
              <w:jc w:val="center"/>
              <w:rPr>
                <w:rFonts w:cs="宋体" w:asciiTheme="majorEastAsia" w:hAnsiTheme="majorEastAsia" w:eastAsiaTheme="majorEastAsia"/>
                <w:sz w:val="24"/>
                <w:highlight w:val="none"/>
              </w:rPr>
            </w:pPr>
          </w:p>
        </w:tc>
        <w:tc>
          <w:tcPr>
            <w:tcW w:w="648" w:type="pct"/>
            <w:tcBorders>
              <w:top w:val="single" w:color="auto" w:sz="4" w:space="0"/>
              <w:left w:val="single" w:color="auto" w:sz="4" w:space="0"/>
              <w:bottom w:val="single" w:color="auto" w:sz="4" w:space="0"/>
              <w:right w:val="single" w:color="auto" w:sz="4" w:space="0"/>
            </w:tcBorders>
            <w:vAlign w:val="center"/>
          </w:tcPr>
          <w:p w14:paraId="7FEB7CE2">
            <w:pPr>
              <w:snapToGrid w:val="0"/>
              <w:spacing w:line="360" w:lineRule="auto"/>
              <w:jc w:val="center"/>
              <w:rPr>
                <w:rFonts w:cs="宋体" w:asciiTheme="majorEastAsia" w:hAnsiTheme="majorEastAsia" w:eastAsiaTheme="majorEastAsia"/>
                <w:sz w:val="24"/>
                <w:highlight w:val="none"/>
              </w:rPr>
            </w:pPr>
          </w:p>
        </w:tc>
        <w:tc>
          <w:tcPr>
            <w:tcW w:w="1428" w:type="pct"/>
            <w:tcBorders>
              <w:top w:val="single" w:color="auto" w:sz="4" w:space="0"/>
              <w:left w:val="single" w:color="auto" w:sz="4" w:space="0"/>
              <w:bottom w:val="single" w:color="auto" w:sz="4" w:space="0"/>
              <w:right w:val="single" w:color="auto" w:sz="4" w:space="0"/>
            </w:tcBorders>
            <w:vAlign w:val="center"/>
          </w:tcPr>
          <w:p w14:paraId="4CDEB03F">
            <w:pPr>
              <w:spacing w:line="360" w:lineRule="auto"/>
              <w:jc w:val="center"/>
              <w:rPr>
                <w:rFonts w:cs="宋体" w:asciiTheme="majorEastAsia" w:hAnsiTheme="majorEastAsia" w:eastAsiaTheme="majorEastAsia"/>
                <w:sz w:val="24"/>
                <w:highlight w:val="none"/>
              </w:rPr>
            </w:pPr>
          </w:p>
        </w:tc>
        <w:tc>
          <w:tcPr>
            <w:tcW w:w="478" w:type="pct"/>
            <w:tcBorders>
              <w:top w:val="single" w:color="auto" w:sz="4" w:space="0"/>
              <w:left w:val="single" w:color="auto" w:sz="4" w:space="0"/>
              <w:bottom w:val="single" w:color="auto" w:sz="4" w:space="0"/>
              <w:right w:val="single" w:color="auto" w:sz="4" w:space="0"/>
            </w:tcBorders>
            <w:vAlign w:val="center"/>
          </w:tcPr>
          <w:p w14:paraId="089589A2">
            <w:pPr>
              <w:spacing w:line="360" w:lineRule="auto"/>
              <w:jc w:val="center"/>
              <w:rPr>
                <w:rFonts w:cs="宋体" w:asciiTheme="majorEastAsia" w:hAnsiTheme="majorEastAsia" w:eastAsiaTheme="majorEastAsia"/>
                <w:sz w:val="24"/>
                <w:highlight w:val="none"/>
              </w:rPr>
            </w:pPr>
          </w:p>
        </w:tc>
        <w:tc>
          <w:tcPr>
            <w:tcW w:w="785" w:type="pct"/>
            <w:tcBorders>
              <w:top w:val="single" w:color="auto" w:sz="4" w:space="0"/>
              <w:left w:val="single" w:color="auto" w:sz="4" w:space="0"/>
              <w:bottom w:val="single" w:color="auto" w:sz="4" w:space="0"/>
              <w:right w:val="single" w:color="auto" w:sz="4" w:space="0"/>
            </w:tcBorders>
            <w:vAlign w:val="center"/>
          </w:tcPr>
          <w:p w14:paraId="6E7C0BB8">
            <w:pPr>
              <w:spacing w:line="360" w:lineRule="auto"/>
              <w:jc w:val="center"/>
              <w:rPr>
                <w:rFonts w:cs="宋体" w:asciiTheme="majorEastAsia" w:hAnsiTheme="majorEastAsia" w:eastAsiaTheme="majorEastAsia"/>
                <w:sz w:val="24"/>
                <w:highlight w:val="none"/>
              </w:rPr>
            </w:pPr>
          </w:p>
        </w:tc>
      </w:tr>
    </w:tbl>
    <w:p w14:paraId="23D14BCA">
      <w:pPr>
        <w:spacing w:line="360" w:lineRule="auto"/>
        <w:ind w:right="42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注：按本格式和要求提供。</w:t>
      </w:r>
    </w:p>
    <w:p w14:paraId="095FB629">
      <w:pPr>
        <w:jc w:val="center"/>
        <w:rPr>
          <w:rFonts w:cs="宋体" w:asciiTheme="majorEastAsia" w:hAnsiTheme="majorEastAsia" w:eastAsiaTheme="majorEastAsia"/>
          <w:b/>
          <w:kern w:val="0"/>
          <w:sz w:val="32"/>
          <w:szCs w:val="32"/>
          <w:highlight w:val="none"/>
        </w:rPr>
      </w:pPr>
    </w:p>
    <w:p w14:paraId="7E6C0C29">
      <w:pPr>
        <w:jc w:val="center"/>
        <w:rPr>
          <w:rFonts w:cs="宋体" w:asciiTheme="majorEastAsia" w:hAnsiTheme="majorEastAsia" w:eastAsiaTheme="majorEastAsia"/>
          <w:b/>
          <w:kern w:val="0"/>
          <w:sz w:val="32"/>
          <w:szCs w:val="32"/>
          <w:highlight w:val="none"/>
        </w:rPr>
      </w:pPr>
    </w:p>
    <w:p w14:paraId="7F9824FD">
      <w:pPr>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lang w:val="en-US" w:eastAsia="zh-CN"/>
        </w:rPr>
        <w:t>七</w:t>
      </w:r>
      <w:r>
        <w:rPr>
          <w:rFonts w:hint="eastAsia" w:cs="宋体" w:asciiTheme="majorEastAsia" w:hAnsiTheme="majorEastAsia" w:eastAsiaTheme="majorEastAsia"/>
          <w:b/>
          <w:kern w:val="0"/>
          <w:sz w:val="32"/>
          <w:szCs w:val="32"/>
          <w:highlight w:val="none"/>
        </w:rPr>
        <w:t>、商务技术偏离表</w:t>
      </w:r>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612"/>
        <w:gridCol w:w="3479"/>
        <w:gridCol w:w="1252"/>
      </w:tblGrid>
      <w:tr w14:paraId="35EB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140EAE47">
            <w:pPr>
              <w:jc w:val="center"/>
              <w:rPr>
                <w:rFonts w:cs="宋体" w:asciiTheme="majorEastAsia" w:hAnsiTheme="majorEastAsia" w:eastAsiaTheme="majorEastAsia"/>
                <w:b/>
                <w:bCs/>
                <w:sz w:val="24"/>
                <w:highlight w:val="none"/>
              </w:rPr>
            </w:pPr>
            <w:r>
              <w:rPr>
                <w:rFonts w:hint="eastAsia" w:cs="宋体" w:asciiTheme="majorEastAsia" w:hAnsiTheme="majorEastAsia" w:eastAsiaTheme="majorEastAsia"/>
                <w:b/>
                <w:bCs/>
                <w:sz w:val="24"/>
                <w:highlight w:val="none"/>
              </w:rPr>
              <w:t>序号</w:t>
            </w:r>
          </w:p>
        </w:tc>
        <w:tc>
          <w:tcPr>
            <w:tcW w:w="1945" w:type="pct"/>
          </w:tcPr>
          <w:p w14:paraId="4BF2FB4F">
            <w:pPr>
              <w:jc w:val="center"/>
              <w:rPr>
                <w:rFonts w:cs="宋体" w:asciiTheme="majorEastAsia" w:hAnsiTheme="majorEastAsia" w:eastAsiaTheme="majorEastAsia"/>
                <w:b/>
                <w:bCs/>
                <w:sz w:val="24"/>
                <w:highlight w:val="none"/>
              </w:rPr>
            </w:pPr>
            <w:r>
              <w:rPr>
                <w:rFonts w:hint="eastAsia" w:cs="宋体" w:asciiTheme="majorEastAsia" w:hAnsiTheme="majorEastAsia" w:eastAsiaTheme="majorEastAsia"/>
                <w:b/>
                <w:bCs/>
                <w:sz w:val="24"/>
                <w:highlight w:val="none"/>
              </w:rPr>
              <w:t>招标文件章节及具体内容</w:t>
            </w:r>
          </w:p>
        </w:tc>
        <w:tc>
          <w:tcPr>
            <w:tcW w:w="1873" w:type="pct"/>
          </w:tcPr>
          <w:p w14:paraId="16BDE4C6">
            <w:pPr>
              <w:jc w:val="center"/>
              <w:rPr>
                <w:rFonts w:cs="宋体" w:asciiTheme="majorEastAsia" w:hAnsiTheme="majorEastAsia" w:eastAsiaTheme="majorEastAsia"/>
                <w:b/>
                <w:bCs/>
                <w:sz w:val="24"/>
                <w:highlight w:val="none"/>
              </w:rPr>
            </w:pPr>
            <w:r>
              <w:rPr>
                <w:rFonts w:hint="eastAsia" w:cs="宋体" w:asciiTheme="majorEastAsia" w:hAnsiTheme="majorEastAsia" w:eastAsiaTheme="majorEastAsia"/>
                <w:b/>
                <w:bCs/>
                <w:sz w:val="24"/>
                <w:highlight w:val="none"/>
              </w:rPr>
              <w:t>投标文件章节及具体内容</w:t>
            </w:r>
          </w:p>
        </w:tc>
        <w:tc>
          <w:tcPr>
            <w:tcW w:w="674" w:type="pct"/>
          </w:tcPr>
          <w:p w14:paraId="7462267A">
            <w:pPr>
              <w:jc w:val="center"/>
              <w:rPr>
                <w:rFonts w:cs="宋体" w:asciiTheme="majorEastAsia" w:hAnsiTheme="majorEastAsia" w:eastAsiaTheme="majorEastAsia"/>
                <w:b/>
                <w:bCs/>
                <w:sz w:val="24"/>
                <w:highlight w:val="none"/>
              </w:rPr>
            </w:pPr>
            <w:r>
              <w:rPr>
                <w:rFonts w:hint="eastAsia" w:cs="宋体" w:asciiTheme="majorEastAsia" w:hAnsiTheme="majorEastAsia" w:eastAsiaTheme="majorEastAsia"/>
                <w:b/>
                <w:bCs/>
                <w:sz w:val="24"/>
                <w:highlight w:val="none"/>
              </w:rPr>
              <w:t>偏离说明</w:t>
            </w:r>
          </w:p>
        </w:tc>
      </w:tr>
      <w:tr w14:paraId="6BCB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7DA403D4">
            <w:pPr>
              <w:jc w:val="center"/>
              <w:rPr>
                <w:rFonts w:cs="宋体" w:asciiTheme="majorEastAsia" w:hAnsiTheme="majorEastAsia" w:eastAsiaTheme="majorEastAsia"/>
                <w:kern w:val="0"/>
                <w:sz w:val="24"/>
                <w:highlight w:val="none"/>
              </w:rPr>
            </w:pPr>
            <w:r>
              <w:rPr>
                <w:rFonts w:hint="eastAsia" w:cs="宋体" w:asciiTheme="majorEastAsia" w:hAnsiTheme="majorEastAsia" w:eastAsiaTheme="majorEastAsia"/>
                <w:kern w:val="0"/>
                <w:sz w:val="24"/>
                <w:highlight w:val="none"/>
              </w:rPr>
              <w:t>1</w:t>
            </w:r>
          </w:p>
        </w:tc>
        <w:tc>
          <w:tcPr>
            <w:tcW w:w="1945" w:type="pct"/>
          </w:tcPr>
          <w:p w14:paraId="5F339197">
            <w:pPr>
              <w:jc w:val="center"/>
              <w:rPr>
                <w:rFonts w:cs="宋体" w:asciiTheme="majorEastAsia" w:hAnsiTheme="majorEastAsia" w:eastAsiaTheme="majorEastAsia"/>
                <w:b/>
                <w:kern w:val="0"/>
                <w:sz w:val="32"/>
                <w:szCs w:val="32"/>
                <w:highlight w:val="none"/>
              </w:rPr>
            </w:pPr>
          </w:p>
        </w:tc>
        <w:tc>
          <w:tcPr>
            <w:tcW w:w="1873" w:type="pct"/>
          </w:tcPr>
          <w:p w14:paraId="10457415">
            <w:pPr>
              <w:jc w:val="center"/>
              <w:rPr>
                <w:rFonts w:cs="宋体" w:asciiTheme="majorEastAsia" w:hAnsiTheme="majorEastAsia" w:eastAsiaTheme="majorEastAsia"/>
                <w:b/>
                <w:kern w:val="0"/>
                <w:sz w:val="32"/>
                <w:szCs w:val="32"/>
                <w:highlight w:val="none"/>
              </w:rPr>
            </w:pPr>
          </w:p>
        </w:tc>
        <w:tc>
          <w:tcPr>
            <w:tcW w:w="674" w:type="pct"/>
          </w:tcPr>
          <w:p w14:paraId="54E41840">
            <w:pPr>
              <w:jc w:val="center"/>
              <w:rPr>
                <w:rFonts w:cs="宋体" w:asciiTheme="majorEastAsia" w:hAnsiTheme="majorEastAsia" w:eastAsiaTheme="majorEastAsia"/>
                <w:b/>
                <w:kern w:val="0"/>
                <w:sz w:val="32"/>
                <w:szCs w:val="32"/>
                <w:highlight w:val="none"/>
              </w:rPr>
            </w:pPr>
          </w:p>
        </w:tc>
      </w:tr>
      <w:tr w14:paraId="26F8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12F02CA9">
            <w:pPr>
              <w:jc w:val="center"/>
              <w:rPr>
                <w:rFonts w:cs="宋体" w:asciiTheme="majorEastAsia" w:hAnsiTheme="majorEastAsia" w:eastAsiaTheme="majorEastAsia"/>
                <w:kern w:val="0"/>
                <w:sz w:val="24"/>
                <w:highlight w:val="none"/>
              </w:rPr>
            </w:pPr>
            <w:r>
              <w:rPr>
                <w:rFonts w:hint="eastAsia" w:cs="宋体" w:asciiTheme="majorEastAsia" w:hAnsiTheme="majorEastAsia" w:eastAsiaTheme="majorEastAsia"/>
                <w:kern w:val="0"/>
                <w:sz w:val="24"/>
                <w:highlight w:val="none"/>
              </w:rPr>
              <w:t>2</w:t>
            </w:r>
          </w:p>
        </w:tc>
        <w:tc>
          <w:tcPr>
            <w:tcW w:w="1945" w:type="pct"/>
          </w:tcPr>
          <w:p w14:paraId="2EDD14C4">
            <w:pPr>
              <w:jc w:val="center"/>
              <w:rPr>
                <w:rFonts w:cs="宋体" w:asciiTheme="majorEastAsia" w:hAnsiTheme="majorEastAsia" w:eastAsiaTheme="majorEastAsia"/>
                <w:b/>
                <w:kern w:val="0"/>
                <w:sz w:val="32"/>
                <w:szCs w:val="32"/>
                <w:highlight w:val="none"/>
              </w:rPr>
            </w:pPr>
          </w:p>
        </w:tc>
        <w:tc>
          <w:tcPr>
            <w:tcW w:w="1873" w:type="pct"/>
          </w:tcPr>
          <w:p w14:paraId="76EF1124">
            <w:pPr>
              <w:jc w:val="center"/>
              <w:rPr>
                <w:rFonts w:cs="宋体" w:asciiTheme="majorEastAsia" w:hAnsiTheme="majorEastAsia" w:eastAsiaTheme="majorEastAsia"/>
                <w:b/>
                <w:kern w:val="0"/>
                <w:sz w:val="32"/>
                <w:szCs w:val="32"/>
                <w:highlight w:val="none"/>
              </w:rPr>
            </w:pPr>
          </w:p>
        </w:tc>
        <w:tc>
          <w:tcPr>
            <w:tcW w:w="674" w:type="pct"/>
          </w:tcPr>
          <w:p w14:paraId="31C43A4F">
            <w:pPr>
              <w:jc w:val="center"/>
              <w:rPr>
                <w:rFonts w:cs="宋体" w:asciiTheme="majorEastAsia" w:hAnsiTheme="majorEastAsia" w:eastAsiaTheme="majorEastAsia"/>
                <w:b/>
                <w:kern w:val="0"/>
                <w:sz w:val="32"/>
                <w:szCs w:val="32"/>
                <w:highlight w:val="none"/>
              </w:rPr>
            </w:pPr>
          </w:p>
        </w:tc>
      </w:tr>
      <w:tr w14:paraId="4982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300027BB">
            <w:pPr>
              <w:jc w:val="center"/>
              <w:rPr>
                <w:rFonts w:cs="宋体" w:asciiTheme="majorEastAsia" w:hAnsiTheme="majorEastAsia" w:eastAsiaTheme="majorEastAsia"/>
                <w:kern w:val="0"/>
                <w:sz w:val="24"/>
                <w:highlight w:val="none"/>
              </w:rPr>
            </w:pPr>
            <w:r>
              <w:rPr>
                <w:rFonts w:hint="eastAsia" w:cs="宋体" w:asciiTheme="majorEastAsia" w:hAnsiTheme="majorEastAsia" w:eastAsiaTheme="majorEastAsia"/>
                <w:kern w:val="0"/>
                <w:sz w:val="24"/>
                <w:highlight w:val="none"/>
              </w:rPr>
              <w:t>……</w:t>
            </w:r>
          </w:p>
        </w:tc>
        <w:tc>
          <w:tcPr>
            <w:tcW w:w="1945" w:type="pct"/>
          </w:tcPr>
          <w:p w14:paraId="36751EC0">
            <w:pPr>
              <w:jc w:val="center"/>
              <w:rPr>
                <w:rFonts w:cs="宋体" w:asciiTheme="majorEastAsia" w:hAnsiTheme="majorEastAsia" w:eastAsiaTheme="majorEastAsia"/>
                <w:b/>
                <w:kern w:val="0"/>
                <w:sz w:val="32"/>
                <w:szCs w:val="32"/>
                <w:highlight w:val="none"/>
              </w:rPr>
            </w:pPr>
          </w:p>
        </w:tc>
        <w:tc>
          <w:tcPr>
            <w:tcW w:w="1873" w:type="pct"/>
          </w:tcPr>
          <w:p w14:paraId="377EB003">
            <w:pPr>
              <w:jc w:val="center"/>
              <w:rPr>
                <w:rFonts w:cs="宋体" w:asciiTheme="majorEastAsia" w:hAnsiTheme="majorEastAsia" w:eastAsiaTheme="majorEastAsia"/>
                <w:b/>
                <w:kern w:val="0"/>
                <w:sz w:val="32"/>
                <w:szCs w:val="32"/>
                <w:highlight w:val="none"/>
              </w:rPr>
            </w:pPr>
          </w:p>
        </w:tc>
        <w:tc>
          <w:tcPr>
            <w:tcW w:w="674" w:type="pct"/>
          </w:tcPr>
          <w:p w14:paraId="3667BC3A">
            <w:pPr>
              <w:jc w:val="center"/>
              <w:rPr>
                <w:rFonts w:cs="宋体" w:asciiTheme="majorEastAsia" w:hAnsiTheme="majorEastAsia" w:eastAsiaTheme="majorEastAsia"/>
                <w:b/>
                <w:kern w:val="0"/>
                <w:sz w:val="32"/>
                <w:szCs w:val="32"/>
                <w:highlight w:val="none"/>
              </w:rPr>
            </w:pPr>
          </w:p>
        </w:tc>
      </w:tr>
    </w:tbl>
    <w:p w14:paraId="29C7EFAB">
      <w:pPr>
        <w:jc w:val="left"/>
        <w:rPr>
          <w:rFonts w:cs="宋体" w:asciiTheme="majorEastAsia" w:hAnsiTheme="majorEastAsia" w:eastAsiaTheme="majorEastAsia"/>
          <w:kern w:val="0"/>
          <w:sz w:val="24"/>
          <w:highlight w:val="none"/>
        </w:rPr>
      </w:pPr>
      <w:r>
        <w:rPr>
          <w:rFonts w:hint="eastAsia" w:cs="宋体" w:asciiTheme="majorEastAsia" w:hAnsiTheme="majorEastAsia" w:eastAsiaTheme="majorEastAsia"/>
          <w:kern w:val="0"/>
          <w:sz w:val="24"/>
          <w:highlight w:val="none"/>
        </w:rPr>
        <w:t>投标人保证：除商务技术偏离表列出的偏离外，投标人响应招标文件的全部要求</w:t>
      </w:r>
    </w:p>
    <w:p w14:paraId="6385B256">
      <w:pPr>
        <w:jc w:val="center"/>
        <w:rPr>
          <w:rFonts w:cs="宋体" w:asciiTheme="majorEastAsia" w:hAnsiTheme="majorEastAsia" w:eastAsiaTheme="majorEastAsia"/>
          <w:b/>
          <w:kern w:val="0"/>
          <w:sz w:val="32"/>
          <w:szCs w:val="32"/>
          <w:highlight w:val="none"/>
        </w:rPr>
      </w:pPr>
    </w:p>
    <w:p w14:paraId="1B0971D2">
      <w:pPr>
        <w:spacing w:line="360" w:lineRule="auto"/>
        <w:ind w:right="42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注：按本格式和要求提供。</w:t>
      </w:r>
    </w:p>
    <w:p w14:paraId="52A53D8C">
      <w:pPr>
        <w:ind w:firstLine="1911" w:firstLineChars="595"/>
        <w:rPr>
          <w:rFonts w:cs="宋体" w:asciiTheme="majorEastAsia" w:hAnsiTheme="majorEastAsia" w:eastAsiaTheme="majorEastAsia"/>
          <w:b/>
          <w:bCs/>
          <w:sz w:val="32"/>
          <w:szCs w:val="32"/>
          <w:highlight w:val="none"/>
        </w:rPr>
      </w:pPr>
    </w:p>
    <w:p w14:paraId="03D67729">
      <w:pPr>
        <w:ind w:firstLine="1911" w:firstLineChars="595"/>
        <w:rPr>
          <w:rFonts w:cs="宋体" w:asciiTheme="majorEastAsia" w:hAnsiTheme="majorEastAsia" w:eastAsiaTheme="majorEastAsia"/>
          <w:b/>
          <w:bCs/>
          <w:sz w:val="32"/>
          <w:szCs w:val="32"/>
          <w:highlight w:val="none"/>
        </w:rPr>
      </w:pPr>
    </w:p>
    <w:p w14:paraId="42F9CF91">
      <w:pPr>
        <w:ind w:firstLine="1911" w:firstLineChars="595"/>
        <w:rPr>
          <w:rFonts w:cs="宋体" w:asciiTheme="majorEastAsia" w:hAnsiTheme="majorEastAsia" w:eastAsiaTheme="majorEastAsia"/>
          <w:b/>
          <w:bCs/>
          <w:sz w:val="32"/>
          <w:szCs w:val="32"/>
          <w:highlight w:val="none"/>
        </w:rPr>
      </w:pPr>
    </w:p>
    <w:p w14:paraId="2CF14CBB">
      <w:pPr>
        <w:widowControl/>
        <w:adjustRightInd/>
        <w:jc w:val="left"/>
        <w:rPr>
          <w:rFonts w:cs="宋体" w:asciiTheme="majorEastAsia" w:hAnsiTheme="majorEastAsia" w:eastAsiaTheme="majorEastAsia"/>
          <w:b/>
          <w:bCs/>
          <w:sz w:val="32"/>
          <w:szCs w:val="32"/>
          <w:highlight w:val="none"/>
        </w:rPr>
      </w:pPr>
      <w:r>
        <w:rPr>
          <w:rFonts w:hint="eastAsia" w:cs="宋体" w:asciiTheme="majorEastAsia" w:hAnsiTheme="majorEastAsia" w:eastAsiaTheme="majorEastAsia"/>
          <w:b/>
          <w:bCs/>
          <w:sz w:val="32"/>
          <w:szCs w:val="32"/>
          <w:highlight w:val="none"/>
        </w:rPr>
        <w:br w:type="page"/>
      </w:r>
    </w:p>
    <w:p w14:paraId="2BC131B2">
      <w:pPr>
        <w:ind w:firstLine="1911" w:firstLineChars="595"/>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lang w:val="en-US" w:eastAsia="zh-CN"/>
        </w:rPr>
        <w:t>八</w:t>
      </w:r>
      <w:r>
        <w:rPr>
          <w:rFonts w:hint="eastAsia" w:cs="宋体" w:asciiTheme="majorEastAsia" w:hAnsiTheme="majorEastAsia" w:eastAsiaTheme="majorEastAsia"/>
          <w:b/>
          <w:kern w:val="0"/>
          <w:sz w:val="32"/>
          <w:szCs w:val="32"/>
          <w:highlight w:val="none"/>
        </w:rPr>
        <w:t>、</w:t>
      </w:r>
      <w:r>
        <w:rPr>
          <w:rFonts w:hint="eastAsia" w:cs="宋体" w:asciiTheme="majorEastAsia" w:hAnsiTheme="majorEastAsia" w:eastAsiaTheme="majorEastAsia"/>
          <w:b/>
          <w:kern w:val="0"/>
          <w:sz w:val="32"/>
          <w:szCs w:val="32"/>
          <w:highlight w:val="none"/>
          <w:lang w:val="zh-CN"/>
        </w:rPr>
        <w:t>政府采购供应商廉洁自律承诺书</w:t>
      </w:r>
    </w:p>
    <w:p w14:paraId="628BBDD7">
      <w:pPr>
        <w:snapToGrid w:val="0"/>
        <w:spacing w:line="360" w:lineRule="auto"/>
        <w:rPr>
          <w:rFonts w:cs="宋体" w:asciiTheme="majorEastAsia" w:hAnsiTheme="majorEastAsia" w:eastAsiaTheme="majorEastAsia"/>
          <w:sz w:val="24"/>
          <w:highlight w:val="none"/>
        </w:rPr>
      </w:pPr>
    </w:p>
    <w:p w14:paraId="14C38188">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1D1B1B6E">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7B7C85F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49A3CD8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33B97B1B">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6F313E34">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2901BD54">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7CC4C5AF">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63BF5D87">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704F6915">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69098AED">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270FD756">
      <w:pPr>
        <w:autoSpaceDE w:val="0"/>
        <w:autoSpaceDN w:val="0"/>
        <w:spacing w:line="360" w:lineRule="auto"/>
        <w:ind w:left="2"/>
        <w:jc w:val="left"/>
        <w:rPr>
          <w:rFonts w:ascii="宋体" w:hAnsi="宋体" w:cs="宋体"/>
          <w:kern w:val="0"/>
          <w:sz w:val="24"/>
          <w:highlight w:val="none"/>
          <w:lang w:val="zh-CN"/>
        </w:rPr>
      </w:pPr>
    </w:p>
    <w:p w14:paraId="5D314B62">
      <w:pPr>
        <w:autoSpaceDE w:val="0"/>
        <w:autoSpaceDN w:val="0"/>
        <w:spacing w:line="360" w:lineRule="auto"/>
        <w:ind w:left="2"/>
        <w:jc w:val="left"/>
        <w:rPr>
          <w:rFonts w:ascii="宋体" w:hAnsi="宋体" w:cs="宋体"/>
          <w:kern w:val="0"/>
          <w:sz w:val="24"/>
          <w:highlight w:val="none"/>
          <w:lang w:val="zh-CN"/>
        </w:rPr>
      </w:pPr>
    </w:p>
    <w:p w14:paraId="6D020ACA">
      <w:pPr>
        <w:autoSpaceDE w:val="0"/>
        <w:autoSpaceDN w:val="0"/>
        <w:spacing w:line="360" w:lineRule="auto"/>
        <w:ind w:left="2"/>
        <w:jc w:val="left"/>
        <w:rPr>
          <w:rFonts w:ascii="宋体" w:hAnsi="宋体" w:cs="宋体"/>
          <w:kern w:val="0"/>
          <w:sz w:val="24"/>
          <w:highlight w:val="none"/>
          <w:lang w:val="zh-CN"/>
        </w:rPr>
      </w:pPr>
    </w:p>
    <w:p w14:paraId="4FB19F8C">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34B45BDA">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4A046137">
      <w:pPr>
        <w:spacing w:line="360" w:lineRule="auto"/>
        <w:jc w:val="both"/>
        <w:rPr>
          <w:rFonts w:cs="宋体" w:asciiTheme="majorEastAsia" w:hAnsiTheme="majorEastAsia" w:eastAsiaTheme="majorEastAsia"/>
          <w:b/>
          <w:bCs/>
          <w:sz w:val="24"/>
          <w:highlight w:val="none"/>
        </w:rPr>
      </w:pPr>
    </w:p>
    <w:p w14:paraId="3CBC15DB">
      <w:pPr>
        <w:spacing w:line="360" w:lineRule="auto"/>
        <w:ind w:right="42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注：按本格式和要求提供。</w:t>
      </w:r>
    </w:p>
    <w:p w14:paraId="3B363589">
      <w:pPr>
        <w:spacing w:line="360" w:lineRule="auto"/>
        <w:jc w:val="center"/>
        <w:rPr>
          <w:rFonts w:cs="宋体" w:asciiTheme="majorEastAsia" w:hAnsiTheme="majorEastAsia" w:eastAsiaTheme="majorEastAsia"/>
          <w:b/>
          <w:bCs/>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79324CA">
      <w:pPr>
        <w:spacing w:line="360" w:lineRule="auto"/>
        <w:jc w:val="center"/>
        <w:outlineLvl w:val="0"/>
        <w:rPr>
          <w:rFonts w:cs="宋体" w:asciiTheme="majorEastAsia" w:hAnsiTheme="majorEastAsia" w:eastAsiaTheme="majorEastAsia"/>
          <w:b/>
          <w:kern w:val="0"/>
          <w:sz w:val="36"/>
          <w:szCs w:val="36"/>
          <w:highlight w:val="none"/>
        </w:rPr>
      </w:pPr>
      <w:r>
        <w:rPr>
          <w:rFonts w:hint="eastAsia" w:cs="宋体" w:asciiTheme="majorEastAsia" w:hAnsiTheme="majorEastAsia" w:eastAsiaTheme="majorEastAsia"/>
          <w:b/>
          <w:kern w:val="0"/>
          <w:sz w:val="36"/>
          <w:szCs w:val="36"/>
          <w:highlight w:val="none"/>
        </w:rPr>
        <w:t>报价文件部分</w:t>
      </w:r>
    </w:p>
    <w:p w14:paraId="3E753A05">
      <w:pPr>
        <w:spacing w:line="360" w:lineRule="auto"/>
        <w:jc w:val="center"/>
        <w:outlineLvl w:val="0"/>
        <w:rPr>
          <w:rFonts w:cs="宋体" w:asciiTheme="majorEastAsia" w:hAnsiTheme="majorEastAsia" w:eastAsiaTheme="majorEastAsia"/>
          <w:b/>
          <w:kern w:val="0"/>
          <w:sz w:val="36"/>
          <w:szCs w:val="36"/>
          <w:highlight w:val="none"/>
        </w:rPr>
      </w:pPr>
      <w:r>
        <w:rPr>
          <w:rFonts w:hint="eastAsia" w:cs="宋体" w:asciiTheme="majorEastAsia" w:hAnsiTheme="majorEastAsia" w:eastAsiaTheme="majorEastAsia"/>
          <w:b/>
          <w:kern w:val="0"/>
          <w:sz w:val="36"/>
          <w:szCs w:val="36"/>
          <w:highlight w:val="none"/>
        </w:rPr>
        <w:t>目录</w:t>
      </w:r>
    </w:p>
    <w:p w14:paraId="0FEC30BF">
      <w:pPr>
        <w:spacing w:line="360" w:lineRule="auto"/>
        <w:jc w:val="center"/>
        <w:outlineLvl w:val="0"/>
        <w:rPr>
          <w:rFonts w:cs="宋体" w:asciiTheme="majorEastAsia" w:hAnsiTheme="majorEastAsia" w:eastAsiaTheme="majorEastAsia"/>
          <w:b/>
          <w:kern w:val="0"/>
          <w:sz w:val="36"/>
          <w:szCs w:val="36"/>
          <w:highlight w:val="none"/>
        </w:rPr>
      </w:pPr>
    </w:p>
    <w:p w14:paraId="2E08DF4A">
      <w:pPr>
        <w:numPr>
          <w:ilvl w:val="0"/>
          <w:numId w:val="3"/>
        </w:numPr>
        <w:snapToGrid w:val="0"/>
        <w:spacing w:line="360" w:lineRule="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开标一览表（报价表）………………………………………………………（页码）</w:t>
      </w:r>
    </w:p>
    <w:p w14:paraId="5C839CB8">
      <w:pPr>
        <w:snapToGrid w:val="0"/>
        <w:spacing w:line="360" w:lineRule="auto"/>
        <w:rPr>
          <w:rFonts w:ascii="宋体" w:hAnsi="宋体" w:cs="宋体"/>
          <w:b/>
          <w:kern w:val="0"/>
          <w:sz w:val="24"/>
          <w:highlight w:val="none"/>
        </w:rPr>
      </w:pPr>
      <w:r>
        <w:rPr>
          <w:rFonts w:hint="eastAsia" w:ascii="宋体" w:hAnsi="宋体" w:cs="宋体"/>
          <w:sz w:val="24"/>
          <w:highlight w:val="none"/>
        </w:rPr>
        <w:t>（2）报价明细………………………………………………………………………（页码）</w:t>
      </w:r>
    </w:p>
    <w:p w14:paraId="500483CB">
      <w:pPr>
        <w:pStyle w:val="82"/>
        <w:rPr>
          <w:rFonts w:cs="宋体" w:asciiTheme="majorEastAsia" w:hAnsiTheme="majorEastAsia" w:eastAsiaTheme="majorEastAsia"/>
          <w:highlight w:val="none"/>
        </w:rPr>
      </w:pPr>
    </w:p>
    <w:p w14:paraId="62122169">
      <w:pPr>
        <w:pStyle w:val="82"/>
        <w:rPr>
          <w:rFonts w:cs="宋体" w:asciiTheme="majorEastAsia" w:hAnsiTheme="majorEastAsia" w:eastAsiaTheme="majorEastAsia"/>
          <w:highlight w:val="none"/>
        </w:rPr>
      </w:pPr>
    </w:p>
    <w:p w14:paraId="00B0782E">
      <w:pPr>
        <w:snapToGrid w:val="0"/>
        <w:spacing w:line="360" w:lineRule="auto"/>
        <w:ind w:right="480"/>
        <w:jc w:val="center"/>
        <w:rPr>
          <w:rFonts w:cs="宋体" w:asciiTheme="majorEastAsia" w:hAnsiTheme="majorEastAsia" w:eastAsiaTheme="majorEastAsia"/>
          <w:b/>
          <w:kern w:val="0"/>
          <w:sz w:val="32"/>
          <w:szCs w:val="32"/>
          <w:highlight w:val="none"/>
        </w:rPr>
      </w:pPr>
    </w:p>
    <w:p w14:paraId="75A398E1">
      <w:pPr>
        <w:snapToGrid w:val="0"/>
        <w:spacing w:line="360" w:lineRule="auto"/>
        <w:ind w:right="480"/>
        <w:jc w:val="center"/>
        <w:rPr>
          <w:rFonts w:cs="宋体" w:asciiTheme="majorEastAsia" w:hAnsiTheme="majorEastAsia" w:eastAsiaTheme="majorEastAsia"/>
          <w:b/>
          <w:kern w:val="0"/>
          <w:sz w:val="32"/>
          <w:szCs w:val="32"/>
          <w:highlight w:val="none"/>
        </w:rPr>
      </w:pPr>
    </w:p>
    <w:p w14:paraId="4F677ECA">
      <w:pPr>
        <w:snapToGrid w:val="0"/>
        <w:spacing w:line="360" w:lineRule="auto"/>
        <w:ind w:right="480"/>
        <w:jc w:val="center"/>
        <w:rPr>
          <w:rFonts w:cs="宋体" w:asciiTheme="majorEastAsia" w:hAnsiTheme="majorEastAsia" w:eastAsiaTheme="majorEastAsia"/>
          <w:b/>
          <w:kern w:val="0"/>
          <w:sz w:val="32"/>
          <w:szCs w:val="32"/>
          <w:highlight w:val="none"/>
        </w:rPr>
      </w:pPr>
    </w:p>
    <w:p w14:paraId="6666E8E7">
      <w:pPr>
        <w:snapToGrid w:val="0"/>
        <w:spacing w:line="360" w:lineRule="auto"/>
        <w:ind w:right="480"/>
        <w:jc w:val="center"/>
        <w:rPr>
          <w:rFonts w:cs="宋体" w:asciiTheme="majorEastAsia" w:hAnsiTheme="majorEastAsia" w:eastAsiaTheme="majorEastAsia"/>
          <w:b/>
          <w:kern w:val="0"/>
          <w:sz w:val="32"/>
          <w:szCs w:val="32"/>
          <w:highlight w:val="none"/>
        </w:rPr>
      </w:pPr>
    </w:p>
    <w:p w14:paraId="5D01D147">
      <w:pPr>
        <w:snapToGrid w:val="0"/>
        <w:spacing w:line="360" w:lineRule="auto"/>
        <w:ind w:right="480"/>
        <w:jc w:val="center"/>
        <w:rPr>
          <w:rFonts w:cs="宋体" w:asciiTheme="majorEastAsia" w:hAnsiTheme="majorEastAsia" w:eastAsiaTheme="majorEastAsia"/>
          <w:b/>
          <w:kern w:val="0"/>
          <w:sz w:val="32"/>
          <w:szCs w:val="32"/>
          <w:highlight w:val="none"/>
        </w:rPr>
      </w:pPr>
    </w:p>
    <w:p w14:paraId="3736DB52">
      <w:pPr>
        <w:snapToGrid w:val="0"/>
        <w:spacing w:line="360" w:lineRule="auto"/>
        <w:ind w:right="480"/>
        <w:jc w:val="center"/>
        <w:rPr>
          <w:rFonts w:cs="宋体" w:asciiTheme="majorEastAsia" w:hAnsiTheme="majorEastAsia" w:eastAsiaTheme="majorEastAsia"/>
          <w:b/>
          <w:kern w:val="0"/>
          <w:sz w:val="32"/>
          <w:szCs w:val="32"/>
          <w:highlight w:val="none"/>
        </w:rPr>
      </w:pPr>
    </w:p>
    <w:p w14:paraId="3B1814F9">
      <w:pPr>
        <w:snapToGrid w:val="0"/>
        <w:spacing w:line="360" w:lineRule="auto"/>
        <w:ind w:right="480"/>
        <w:jc w:val="center"/>
        <w:rPr>
          <w:rFonts w:cs="宋体" w:asciiTheme="majorEastAsia" w:hAnsiTheme="majorEastAsia" w:eastAsiaTheme="majorEastAsia"/>
          <w:b/>
          <w:kern w:val="0"/>
          <w:sz w:val="32"/>
          <w:szCs w:val="32"/>
          <w:highlight w:val="none"/>
        </w:rPr>
      </w:pPr>
    </w:p>
    <w:p w14:paraId="2F3564E8">
      <w:pPr>
        <w:snapToGrid w:val="0"/>
        <w:spacing w:line="360" w:lineRule="auto"/>
        <w:ind w:right="480"/>
        <w:jc w:val="center"/>
        <w:rPr>
          <w:rFonts w:cs="宋体" w:asciiTheme="majorEastAsia" w:hAnsiTheme="majorEastAsia" w:eastAsiaTheme="majorEastAsia"/>
          <w:b/>
          <w:kern w:val="0"/>
          <w:sz w:val="32"/>
          <w:szCs w:val="32"/>
          <w:highlight w:val="none"/>
        </w:rPr>
      </w:pPr>
    </w:p>
    <w:p w14:paraId="5858E5C5">
      <w:pPr>
        <w:snapToGrid w:val="0"/>
        <w:spacing w:line="360" w:lineRule="auto"/>
        <w:ind w:right="480"/>
        <w:jc w:val="center"/>
        <w:rPr>
          <w:rFonts w:cs="宋体" w:asciiTheme="majorEastAsia" w:hAnsiTheme="majorEastAsia" w:eastAsiaTheme="majorEastAsia"/>
          <w:b/>
          <w:kern w:val="0"/>
          <w:sz w:val="32"/>
          <w:szCs w:val="32"/>
          <w:highlight w:val="none"/>
        </w:rPr>
      </w:pPr>
    </w:p>
    <w:p w14:paraId="60C2E5A7">
      <w:pPr>
        <w:snapToGrid w:val="0"/>
        <w:spacing w:line="360" w:lineRule="auto"/>
        <w:ind w:right="480"/>
        <w:jc w:val="center"/>
        <w:rPr>
          <w:rFonts w:cs="宋体" w:asciiTheme="majorEastAsia" w:hAnsiTheme="majorEastAsia" w:eastAsiaTheme="majorEastAsia"/>
          <w:b/>
          <w:kern w:val="0"/>
          <w:sz w:val="32"/>
          <w:szCs w:val="32"/>
          <w:highlight w:val="none"/>
        </w:rPr>
      </w:pPr>
    </w:p>
    <w:p w14:paraId="592B5AD8">
      <w:pPr>
        <w:snapToGrid w:val="0"/>
        <w:spacing w:line="360" w:lineRule="auto"/>
        <w:ind w:right="480"/>
        <w:jc w:val="center"/>
        <w:rPr>
          <w:rFonts w:cs="宋体" w:asciiTheme="majorEastAsia" w:hAnsiTheme="majorEastAsia" w:eastAsiaTheme="majorEastAsia"/>
          <w:b/>
          <w:kern w:val="0"/>
          <w:sz w:val="32"/>
          <w:szCs w:val="32"/>
          <w:highlight w:val="none"/>
        </w:rPr>
      </w:pPr>
    </w:p>
    <w:p w14:paraId="17188097">
      <w:pPr>
        <w:snapToGrid w:val="0"/>
        <w:spacing w:line="360" w:lineRule="auto"/>
        <w:ind w:right="480"/>
        <w:jc w:val="center"/>
        <w:rPr>
          <w:rFonts w:cs="宋体" w:asciiTheme="majorEastAsia" w:hAnsiTheme="majorEastAsia" w:eastAsiaTheme="majorEastAsia"/>
          <w:b/>
          <w:kern w:val="0"/>
          <w:sz w:val="32"/>
          <w:szCs w:val="32"/>
          <w:highlight w:val="none"/>
        </w:rPr>
      </w:pPr>
    </w:p>
    <w:p w14:paraId="0919317D">
      <w:pPr>
        <w:snapToGrid w:val="0"/>
        <w:spacing w:line="360" w:lineRule="auto"/>
        <w:ind w:right="480"/>
        <w:jc w:val="center"/>
        <w:rPr>
          <w:rFonts w:cs="宋体" w:asciiTheme="majorEastAsia" w:hAnsiTheme="majorEastAsia" w:eastAsiaTheme="majorEastAsia"/>
          <w:b/>
          <w:kern w:val="0"/>
          <w:sz w:val="32"/>
          <w:szCs w:val="32"/>
          <w:highlight w:val="none"/>
        </w:rPr>
      </w:pPr>
    </w:p>
    <w:p w14:paraId="6CDEF4FB">
      <w:pPr>
        <w:snapToGrid w:val="0"/>
        <w:spacing w:line="360" w:lineRule="auto"/>
        <w:ind w:right="480"/>
        <w:jc w:val="center"/>
        <w:rPr>
          <w:rFonts w:cs="宋体" w:asciiTheme="majorEastAsia" w:hAnsiTheme="majorEastAsia" w:eastAsiaTheme="majorEastAsia"/>
          <w:b/>
          <w:kern w:val="0"/>
          <w:sz w:val="32"/>
          <w:szCs w:val="32"/>
          <w:highlight w:val="none"/>
        </w:rPr>
      </w:pPr>
    </w:p>
    <w:p w14:paraId="3B4CAEA1">
      <w:pPr>
        <w:snapToGrid w:val="0"/>
        <w:spacing w:line="360" w:lineRule="auto"/>
        <w:ind w:right="480"/>
        <w:jc w:val="center"/>
        <w:rPr>
          <w:rFonts w:cs="宋体" w:asciiTheme="majorEastAsia" w:hAnsiTheme="majorEastAsia" w:eastAsiaTheme="majorEastAsia"/>
          <w:b/>
          <w:kern w:val="0"/>
          <w:sz w:val="32"/>
          <w:szCs w:val="32"/>
          <w:highlight w:val="none"/>
        </w:rPr>
      </w:pPr>
    </w:p>
    <w:p w14:paraId="4AFFF126">
      <w:pPr>
        <w:pStyle w:val="696"/>
        <w:keepNext w:val="0"/>
        <w:pageBreakBefore w:val="0"/>
        <w:tabs>
          <w:tab w:val="clear" w:pos="720"/>
        </w:tabs>
        <w:snapToGrid w:val="0"/>
        <w:spacing w:before="120" w:after="120"/>
        <w:ind w:firstLine="643"/>
        <w:outlineLvl w:val="9"/>
        <w:rPr>
          <w:rFonts w:cs="宋体" w:asciiTheme="majorEastAsia" w:hAnsiTheme="majorEastAsia" w:eastAsiaTheme="majorEastAsia"/>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2B42DD4">
      <w:pPr>
        <w:pStyle w:val="696"/>
        <w:keepNext w:val="0"/>
        <w:pageBreakBefore w:val="0"/>
        <w:tabs>
          <w:tab w:val="clear" w:pos="720"/>
        </w:tabs>
        <w:snapToGrid w:val="0"/>
        <w:spacing w:before="120" w:after="120"/>
        <w:ind w:firstLine="643"/>
        <w:outlineLvl w:val="9"/>
        <w:rPr>
          <w:rFonts w:cs="宋体" w:asciiTheme="majorEastAsia" w:hAnsiTheme="majorEastAsia" w:eastAsiaTheme="majorEastAsia"/>
          <w:kern w:val="2"/>
          <w:sz w:val="32"/>
          <w:szCs w:val="32"/>
          <w:highlight w:val="none"/>
        </w:rPr>
      </w:pPr>
      <w:r>
        <w:rPr>
          <w:rFonts w:hint="eastAsia" w:cs="宋体" w:asciiTheme="majorEastAsia" w:hAnsiTheme="majorEastAsia" w:eastAsiaTheme="majorEastAsia"/>
          <w:kern w:val="2"/>
          <w:sz w:val="32"/>
          <w:szCs w:val="32"/>
          <w:highlight w:val="none"/>
        </w:rPr>
        <w:t>一、开标一览表（报价表）</w:t>
      </w:r>
    </w:p>
    <w:p w14:paraId="36503C94">
      <w:pPr>
        <w:snapToGrid w:val="0"/>
        <w:spacing w:line="360" w:lineRule="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sz w:val="24"/>
          <w:highlight w:val="none"/>
        </w:rPr>
        <w:t>（采购人）、（采购代理机构）</w:t>
      </w:r>
      <w:r>
        <w:rPr>
          <w:rFonts w:hint="eastAsia" w:cs="宋体" w:asciiTheme="majorEastAsia" w:hAnsiTheme="majorEastAsia" w:eastAsiaTheme="majorEastAsia"/>
          <w:color w:val="auto"/>
          <w:kern w:val="0"/>
          <w:sz w:val="24"/>
          <w:highlight w:val="none"/>
          <w:lang w:val="zh-CN"/>
        </w:rPr>
        <w:t>：</w:t>
      </w:r>
    </w:p>
    <w:p w14:paraId="16D9D00C">
      <w:pPr>
        <w:snapToGrid w:val="0"/>
        <w:spacing w:line="360" w:lineRule="auto"/>
        <w:ind w:firstLine="482"/>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宋体" w:asciiTheme="majorEastAsia" w:hAnsiTheme="majorEastAsia" w:eastAsiaTheme="majorEastAsia"/>
          <w:color w:val="auto"/>
          <w:sz w:val="24"/>
          <w:highlight w:val="none"/>
        </w:rPr>
        <w:t>（项目名称）</w:t>
      </w:r>
      <w:r>
        <w:rPr>
          <w:rFonts w:hint="eastAsia" w:cs="宋体" w:asciiTheme="majorEastAsia" w:hAnsiTheme="majorEastAsia" w:eastAsiaTheme="majorEastAsia"/>
          <w:color w:val="auto"/>
          <w:kern w:val="0"/>
          <w:sz w:val="24"/>
          <w:highlight w:val="none"/>
          <w:lang w:val="zh-CN"/>
        </w:rPr>
        <w:t>【项目编号：</w:t>
      </w:r>
      <w:r>
        <w:rPr>
          <w:rFonts w:hint="eastAsia" w:cs="宋体" w:asciiTheme="majorEastAsia" w:hAnsiTheme="majorEastAsia" w:eastAsiaTheme="majorEastAsia"/>
          <w:color w:val="auto"/>
          <w:kern w:val="0"/>
          <w:sz w:val="24"/>
          <w:highlight w:val="none"/>
          <w:lang w:val="en-US" w:eastAsia="zh-CN"/>
        </w:rPr>
        <w:t xml:space="preserve">  </w:t>
      </w:r>
      <w:r>
        <w:rPr>
          <w:rFonts w:hint="eastAsia" w:cs="宋体" w:asciiTheme="majorEastAsia" w:hAnsiTheme="majorEastAsia" w:eastAsiaTheme="majorEastAsia"/>
          <w:color w:val="auto"/>
          <w:sz w:val="24"/>
          <w:highlight w:val="none"/>
        </w:rPr>
        <w:t>】的实施</w:t>
      </w:r>
      <w:r>
        <w:rPr>
          <w:rFonts w:hint="eastAsia" w:cs="宋体" w:asciiTheme="majorEastAsia" w:hAnsiTheme="majorEastAsia" w:eastAsiaTheme="majorEastAsia"/>
          <w:color w:val="auto"/>
          <w:kern w:val="0"/>
          <w:sz w:val="24"/>
          <w:highlight w:val="none"/>
          <w:lang w:val="zh-CN"/>
        </w:rPr>
        <w:t>。</w:t>
      </w:r>
    </w:p>
    <w:p w14:paraId="2E36EA1A">
      <w:pPr>
        <w:spacing w:line="360" w:lineRule="auto"/>
        <w:jc w:val="center"/>
        <w:rPr>
          <w:rFonts w:cs="宋体" w:asciiTheme="majorEastAsia" w:hAnsiTheme="majorEastAsia" w:eastAsiaTheme="majorEastAsia"/>
          <w:b/>
          <w:color w:val="auto"/>
          <w:kern w:val="0"/>
          <w:sz w:val="24"/>
          <w:highlight w:val="none"/>
          <w:lang w:val="zh-CN"/>
        </w:rPr>
      </w:pPr>
      <w:r>
        <w:rPr>
          <w:rFonts w:hint="eastAsia" w:cs="宋体" w:asciiTheme="majorEastAsia" w:hAnsiTheme="majorEastAsia" w:eastAsiaTheme="majorEastAsia"/>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34"/>
        <w:gridCol w:w="1965"/>
        <w:gridCol w:w="1955"/>
        <w:gridCol w:w="16"/>
        <w:gridCol w:w="2268"/>
        <w:gridCol w:w="2126"/>
        <w:gridCol w:w="2127"/>
        <w:gridCol w:w="2126"/>
      </w:tblGrid>
      <w:tr w14:paraId="3E47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noWrap w:val="0"/>
            <w:vAlign w:val="center"/>
          </w:tcPr>
          <w:p w14:paraId="05B20E8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734" w:type="dxa"/>
            <w:noWrap w:val="0"/>
            <w:vAlign w:val="center"/>
          </w:tcPr>
          <w:p w14:paraId="3DEB494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965" w:type="dxa"/>
            <w:noWrap w:val="0"/>
            <w:vAlign w:val="top"/>
          </w:tcPr>
          <w:p w14:paraId="630922AD">
            <w:pPr>
              <w:spacing w:line="360" w:lineRule="auto"/>
              <w:jc w:val="center"/>
              <w:rPr>
                <w:rFonts w:hint="eastAsia" w:ascii="宋体" w:hAnsi="宋体" w:cs="宋体"/>
                <w:b/>
                <w:color w:val="auto"/>
                <w:sz w:val="24"/>
                <w:highlight w:val="none"/>
              </w:rPr>
            </w:pPr>
          </w:p>
          <w:p w14:paraId="3564C26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1971" w:type="dxa"/>
            <w:gridSpan w:val="2"/>
            <w:noWrap w:val="0"/>
            <w:vAlign w:val="center"/>
          </w:tcPr>
          <w:p w14:paraId="27D4CFB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268" w:type="dxa"/>
            <w:noWrap w:val="0"/>
            <w:vAlign w:val="center"/>
          </w:tcPr>
          <w:p w14:paraId="5A5EE22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2126" w:type="dxa"/>
            <w:noWrap w:val="0"/>
            <w:vAlign w:val="center"/>
          </w:tcPr>
          <w:p w14:paraId="1E2FE93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2127" w:type="dxa"/>
            <w:noWrap w:val="0"/>
            <w:vAlign w:val="top"/>
          </w:tcPr>
          <w:p w14:paraId="4C1C1AF3">
            <w:pPr>
              <w:spacing w:line="360" w:lineRule="auto"/>
              <w:jc w:val="center"/>
              <w:rPr>
                <w:rFonts w:hint="eastAsia" w:ascii="宋体" w:hAnsi="宋体" w:cs="宋体"/>
                <w:b/>
                <w:color w:val="auto"/>
                <w:sz w:val="24"/>
                <w:highlight w:val="none"/>
              </w:rPr>
            </w:pPr>
          </w:p>
          <w:p w14:paraId="42C0899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服务人数</w:t>
            </w:r>
          </w:p>
        </w:tc>
        <w:tc>
          <w:tcPr>
            <w:tcW w:w="2126" w:type="dxa"/>
            <w:noWrap w:val="0"/>
            <w:vAlign w:val="center"/>
          </w:tcPr>
          <w:p w14:paraId="1CBA5462">
            <w:pPr>
              <w:spacing w:line="360" w:lineRule="auto"/>
              <w:jc w:val="center"/>
              <w:rPr>
                <w:rFonts w:hint="eastAsia" w:ascii="宋体" w:hAnsi="宋体" w:cs="宋体"/>
                <w:b/>
                <w:color w:val="auto"/>
                <w:sz w:val="24"/>
                <w:highlight w:val="none"/>
              </w:rPr>
            </w:pPr>
          </w:p>
          <w:p w14:paraId="4B23469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4C97DB87">
            <w:pPr>
              <w:spacing w:line="360" w:lineRule="auto"/>
              <w:jc w:val="center"/>
              <w:rPr>
                <w:rFonts w:hint="eastAsia" w:ascii="宋体" w:hAnsi="宋体" w:cs="宋体"/>
                <w:b/>
                <w:color w:val="auto"/>
                <w:sz w:val="24"/>
                <w:highlight w:val="none"/>
              </w:rPr>
            </w:pPr>
          </w:p>
        </w:tc>
      </w:tr>
      <w:tr w14:paraId="44B0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noWrap w:val="0"/>
            <w:vAlign w:val="center"/>
          </w:tcPr>
          <w:p w14:paraId="7E7F973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734" w:type="dxa"/>
            <w:noWrap w:val="0"/>
            <w:vAlign w:val="center"/>
          </w:tcPr>
          <w:p w14:paraId="4941FAB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2025年度茅乡景区及仁寿山园林绿化养护</w:t>
            </w:r>
          </w:p>
          <w:p w14:paraId="7B2507E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服务项目</w:t>
            </w:r>
          </w:p>
        </w:tc>
        <w:tc>
          <w:tcPr>
            <w:tcW w:w="1965" w:type="dxa"/>
            <w:noWrap w:val="0"/>
            <w:vAlign w:val="center"/>
          </w:tcPr>
          <w:p w14:paraId="745BF15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采购人指定范围</w:t>
            </w:r>
          </w:p>
        </w:tc>
        <w:tc>
          <w:tcPr>
            <w:tcW w:w="1971" w:type="dxa"/>
            <w:gridSpan w:val="2"/>
            <w:noWrap w:val="0"/>
            <w:vAlign w:val="center"/>
          </w:tcPr>
          <w:p w14:paraId="7906DAA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响应文件要求</w:t>
            </w:r>
          </w:p>
        </w:tc>
        <w:tc>
          <w:tcPr>
            <w:tcW w:w="2268" w:type="dxa"/>
            <w:noWrap w:val="0"/>
            <w:vAlign w:val="center"/>
          </w:tcPr>
          <w:p w14:paraId="1018ECF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1年（具体以合同约定时间为准）</w:t>
            </w:r>
          </w:p>
        </w:tc>
        <w:tc>
          <w:tcPr>
            <w:tcW w:w="2126" w:type="dxa"/>
            <w:noWrap w:val="0"/>
            <w:vAlign w:val="center"/>
          </w:tcPr>
          <w:p w14:paraId="3978A0F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响应文件要求</w:t>
            </w:r>
          </w:p>
        </w:tc>
        <w:tc>
          <w:tcPr>
            <w:tcW w:w="2127" w:type="dxa"/>
            <w:noWrap w:val="0"/>
            <w:vAlign w:val="top"/>
          </w:tcPr>
          <w:p w14:paraId="12C07975">
            <w:pPr>
              <w:spacing w:line="360" w:lineRule="auto"/>
              <w:jc w:val="center"/>
              <w:rPr>
                <w:rFonts w:hint="eastAsia" w:ascii="宋体" w:hAnsi="宋体" w:cs="宋体"/>
                <w:color w:val="auto"/>
                <w:highlight w:val="none"/>
              </w:rPr>
            </w:pPr>
          </w:p>
          <w:p w14:paraId="3E9BA8B1">
            <w:pPr>
              <w:spacing w:line="360" w:lineRule="auto"/>
              <w:rPr>
                <w:rFonts w:hint="eastAsia" w:ascii="宋体" w:hAnsi="宋体" w:cs="宋体"/>
                <w:color w:val="auto"/>
                <w:highlight w:val="none"/>
              </w:rPr>
            </w:pPr>
          </w:p>
          <w:p w14:paraId="132F47D2">
            <w:pPr>
              <w:pStyle w:val="2"/>
              <w:ind w:firstLine="240" w:firstLineChars="100"/>
              <w:rPr>
                <w:rFonts w:hint="eastAsia" w:hAnsi="宋体" w:cs="宋体"/>
                <w:color w:val="auto"/>
                <w:highlight w:val="none"/>
              </w:rPr>
            </w:pPr>
          </w:p>
        </w:tc>
        <w:tc>
          <w:tcPr>
            <w:tcW w:w="2126" w:type="dxa"/>
            <w:noWrap w:val="0"/>
            <w:vAlign w:val="center"/>
          </w:tcPr>
          <w:p w14:paraId="6719931C">
            <w:pPr>
              <w:spacing w:line="360" w:lineRule="auto"/>
              <w:jc w:val="center"/>
              <w:rPr>
                <w:rFonts w:hint="eastAsia" w:ascii="宋体" w:hAnsi="宋体" w:cs="宋体"/>
                <w:color w:val="auto"/>
                <w:sz w:val="24"/>
                <w:highlight w:val="none"/>
              </w:rPr>
            </w:pPr>
          </w:p>
        </w:tc>
      </w:tr>
      <w:tr w14:paraId="47DF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45061A3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734" w:type="dxa"/>
            <w:noWrap w:val="0"/>
            <w:vAlign w:val="center"/>
          </w:tcPr>
          <w:p w14:paraId="4DD7BA7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p>
        </w:tc>
        <w:tc>
          <w:tcPr>
            <w:tcW w:w="1965" w:type="dxa"/>
            <w:noWrap w:val="0"/>
            <w:vAlign w:val="center"/>
          </w:tcPr>
          <w:p w14:paraId="3EAB197A">
            <w:pPr>
              <w:snapToGrid w:val="0"/>
              <w:spacing w:line="360" w:lineRule="auto"/>
              <w:jc w:val="center"/>
              <w:rPr>
                <w:rFonts w:hint="eastAsia" w:ascii="宋体" w:hAnsi="宋体" w:cs="宋体"/>
                <w:color w:val="auto"/>
                <w:sz w:val="24"/>
                <w:highlight w:val="none"/>
              </w:rPr>
            </w:pPr>
          </w:p>
        </w:tc>
        <w:tc>
          <w:tcPr>
            <w:tcW w:w="1971" w:type="dxa"/>
            <w:gridSpan w:val="2"/>
            <w:noWrap w:val="0"/>
            <w:vAlign w:val="center"/>
          </w:tcPr>
          <w:p w14:paraId="5C52ABED">
            <w:pPr>
              <w:snapToGrid w:val="0"/>
              <w:spacing w:line="360" w:lineRule="auto"/>
              <w:jc w:val="center"/>
              <w:rPr>
                <w:rFonts w:hint="eastAsia" w:ascii="宋体" w:hAnsi="宋体" w:cs="宋体"/>
                <w:color w:val="auto"/>
                <w:sz w:val="24"/>
                <w:highlight w:val="none"/>
              </w:rPr>
            </w:pPr>
          </w:p>
        </w:tc>
        <w:tc>
          <w:tcPr>
            <w:tcW w:w="2268" w:type="dxa"/>
            <w:noWrap w:val="0"/>
            <w:vAlign w:val="center"/>
          </w:tcPr>
          <w:p w14:paraId="6B84660D">
            <w:pPr>
              <w:snapToGrid w:val="0"/>
              <w:spacing w:line="360" w:lineRule="auto"/>
              <w:jc w:val="center"/>
              <w:rPr>
                <w:rFonts w:hint="eastAsia" w:ascii="宋体" w:hAnsi="宋体" w:cs="宋体"/>
                <w:color w:val="auto"/>
                <w:sz w:val="24"/>
                <w:highlight w:val="none"/>
              </w:rPr>
            </w:pPr>
          </w:p>
        </w:tc>
        <w:tc>
          <w:tcPr>
            <w:tcW w:w="2126" w:type="dxa"/>
            <w:noWrap w:val="0"/>
            <w:vAlign w:val="center"/>
          </w:tcPr>
          <w:p w14:paraId="6254C552">
            <w:pPr>
              <w:spacing w:line="360" w:lineRule="auto"/>
              <w:jc w:val="center"/>
              <w:rPr>
                <w:rFonts w:hint="eastAsia" w:ascii="宋体" w:hAnsi="宋体" w:cs="宋体"/>
                <w:color w:val="auto"/>
                <w:sz w:val="24"/>
                <w:highlight w:val="none"/>
              </w:rPr>
            </w:pPr>
          </w:p>
        </w:tc>
        <w:tc>
          <w:tcPr>
            <w:tcW w:w="2127" w:type="dxa"/>
            <w:noWrap w:val="0"/>
            <w:vAlign w:val="top"/>
          </w:tcPr>
          <w:p w14:paraId="74D20418">
            <w:pPr>
              <w:spacing w:line="360" w:lineRule="auto"/>
              <w:jc w:val="center"/>
              <w:rPr>
                <w:rFonts w:hint="eastAsia" w:ascii="宋体" w:hAnsi="宋体" w:cs="宋体"/>
                <w:color w:val="auto"/>
                <w:sz w:val="24"/>
                <w:highlight w:val="none"/>
              </w:rPr>
            </w:pPr>
          </w:p>
        </w:tc>
        <w:tc>
          <w:tcPr>
            <w:tcW w:w="2126" w:type="dxa"/>
            <w:noWrap w:val="0"/>
            <w:vAlign w:val="center"/>
          </w:tcPr>
          <w:p w14:paraId="165FD80B">
            <w:pPr>
              <w:spacing w:line="360" w:lineRule="auto"/>
              <w:jc w:val="center"/>
              <w:rPr>
                <w:rFonts w:hint="eastAsia" w:ascii="宋体" w:hAnsi="宋体" w:cs="宋体"/>
                <w:color w:val="auto"/>
                <w:sz w:val="24"/>
                <w:highlight w:val="none"/>
              </w:rPr>
            </w:pPr>
          </w:p>
        </w:tc>
      </w:tr>
      <w:tr w14:paraId="59C7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25A7B89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734" w:type="dxa"/>
            <w:noWrap w:val="0"/>
            <w:vAlign w:val="center"/>
          </w:tcPr>
          <w:p w14:paraId="5165633E">
            <w:pPr>
              <w:snapToGrid w:val="0"/>
              <w:spacing w:line="360" w:lineRule="auto"/>
              <w:jc w:val="center"/>
              <w:rPr>
                <w:rFonts w:hint="eastAsia" w:ascii="宋体" w:hAnsi="宋体" w:cs="宋体"/>
                <w:color w:val="auto"/>
                <w:sz w:val="24"/>
                <w:highlight w:val="none"/>
              </w:rPr>
            </w:pPr>
          </w:p>
        </w:tc>
        <w:tc>
          <w:tcPr>
            <w:tcW w:w="1965" w:type="dxa"/>
            <w:noWrap w:val="0"/>
            <w:vAlign w:val="center"/>
          </w:tcPr>
          <w:p w14:paraId="39E32BF4">
            <w:pPr>
              <w:snapToGrid w:val="0"/>
              <w:spacing w:line="360" w:lineRule="auto"/>
              <w:jc w:val="center"/>
              <w:rPr>
                <w:rFonts w:hint="eastAsia" w:ascii="宋体" w:hAnsi="宋体" w:cs="宋体"/>
                <w:color w:val="auto"/>
                <w:sz w:val="24"/>
                <w:highlight w:val="none"/>
              </w:rPr>
            </w:pPr>
          </w:p>
        </w:tc>
        <w:tc>
          <w:tcPr>
            <w:tcW w:w="1971" w:type="dxa"/>
            <w:gridSpan w:val="2"/>
            <w:noWrap w:val="0"/>
            <w:vAlign w:val="center"/>
          </w:tcPr>
          <w:p w14:paraId="1DA7B415">
            <w:pPr>
              <w:snapToGrid w:val="0"/>
              <w:spacing w:line="360" w:lineRule="auto"/>
              <w:jc w:val="center"/>
              <w:rPr>
                <w:rFonts w:hint="eastAsia" w:ascii="宋体" w:hAnsi="宋体" w:cs="宋体"/>
                <w:color w:val="auto"/>
                <w:sz w:val="24"/>
                <w:highlight w:val="none"/>
              </w:rPr>
            </w:pPr>
          </w:p>
        </w:tc>
        <w:tc>
          <w:tcPr>
            <w:tcW w:w="2268" w:type="dxa"/>
            <w:noWrap w:val="0"/>
            <w:vAlign w:val="center"/>
          </w:tcPr>
          <w:p w14:paraId="7A5EC7D7">
            <w:pPr>
              <w:snapToGrid w:val="0"/>
              <w:spacing w:line="360" w:lineRule="auto"/>
              <w:jc w:val="center"/>
              <w:rPr>
                <w:rFonts w:hint="eastAsia" w:ascii="宋体" w:hAnsi="宋体" w:cs="宋体"/>
                <w:color w:val="auto"/>
                <w:sz w:val="24"/>
                <w:highlight w:val="none"/>
              </w:rPr>
            </w:pPr>
          </w:p>
        </w:tc>
        <w:tc>
          <w:tcPr>
            <w:tcW w:w="2126" w:type="dxa"/>
            <w:noWrap w:val="0"/>
            <w:vAlign w:val="center"/>
          </w:tcPr>
          <w:p w14:paraId="0F51E784">
            <w:pPr>
              <w:spacing w:line="360" w:lineRule="auto"/>
              <w:jc w:val="center"/>
              <w:rPr>
                <w:rFonts w:hint="eastAsia" w:ascii="宋体" w:hAnsi="宋体" w:cs="宋体"/>
                <w:color w:val="auto"/>
                <w:sz w:val="24"/>
                <w:highlight w:val="none"/>
              </w:rPr>
            </w:pPr>
          </w:p>
        </w:tc>
        <w:tc>
          <w:tcPr>
            <w:tcW w:w="2127" w:type="dxa"/>
            <w:noWrap w:val="0"/>
            <w:vAlign w:val="top"/>
          </w:tcPr>
          <w:p w14:paraId="6AF03FF4">
            <w:pPr>
              <w:spacing w:line="360" w:lineRule="auto"/>
              <w:jc w:val="center"/>
              <w:rPr>
                <w:rFonts w:hint="eastAsia" w:ascii="宋体" w:hAnsi="宋体" w:cs="宋体"/>
                <w:color w:val="auto"/>
                <w:sz w:val="24"/>
                <w:highlight w:val="none"/>
              </w:rPr>
            </w:pPr>
          </w:p>
        </w:tc>
        <w:tc>
          <w:tcPr>
            <w:tcW w:w="2126" w:type="dxa"/>
            <w:noWrap w:val="0"/>
            <w:vAlign w:val="center"/>
          </w:tcPr>
          <w:p w14:paraId="23A04264">
            <w:pPr>
              <w:spacing w:line="360" w:lineRule="auto"/>
              <w:jc w:val="center"/>
              <w:rPr>
                <w:rFonts w:hint="eastAsia" w:ascii="宋体" w:hAnsi="宋体" w:cs="宋体"/>
                <w:color w:val="auto"/>
                <w:sz w:val="24"/>
                <w:highlight w:val="none"/>
              </w:rPr>
            </w:pPr>
          </w:p>
        </w:tc>
      </w:tr>
      <w:tr w14:paraId="7E0B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471" w:type="dxa"/>
            <w:gridSpan w:val="4"/>
            <w:noWrap w:val="0"/>
            <w:vAlign w:val="center"/>
          </w:tcPr>
          <w:p w14:paraId="3EE16FFA">
            <w:pPr>
              <w:spacing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投标报价（小写）</w:t>
            </w:r>
          </w:p>
        </w:tc>
        <w:tc>
          <w:tcPr>
            <w:tcW w:w="8663" w:type="dxa"/>
            <w:gridSpan w:val="5"/>
            <w:noWrap w:val="0"/>
            <w:vAlign w:val="center"/>
          </w:tcPr>
          <w:p w14:paraId="58814E1A">
            <w:pPr>
              <w:spacing w:line="360" w:lineRule="auto"/>
              <w:jc w:val="center"/>
              <w:rPr>
                <w:rFonts w:hint="eastAsia" w:ascii="宋体" w:hAnsi="宋体" w:cs="宋体"/>
                <w:color w:val="auto"/>
                <w:sz w:val="24"/>
                <w:highlight w:val="none"/>
              </w:rPr>
            </w:pPr>
          </w:p>
        </w:tc>
      </w:tr>
      <w:tr w14:paraId="23F0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471" w:type="dxa"/>
            <w:gridSpan w:val="4"/>
            <w:noWrap w:val="0"/>
            <w:vAlign w:val="center"/>
          </w:tcPr>
          <w:p w14:paraId="3930C352">
            <w:pPr>
              <w:spacing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投标报价（大写）</w:t>
            </w:r>
          </w:p>
        </w:tc>
        <w:tc>
          <w:tcPr>
            <w:tcW w:w="8663" w:type="dxa"/>
            <w:gridSpan w:val="5"/>
            <w:noWrap w:val="0"/>
            <w:vAlign w:val="center"/>
          </w:tcPr>
          <w:p w14:paraId="3CD44A35">
            <w:pPr>
              <w:spacing w:line="360" w:lineRule="auto"/>
              <w:jc w:val="center"/>
              <w:rPr>
                <w:rFonts w:hint="eastAsia" w:ascii="宋体" w:hAnsi="宋体" w:cs="宋体"/>
                <w:color w:val="auto"/>
                <w:sz w:val="24"/>
                <w:highlight w:val="none"/>
              </w:rPr>
            </w:pPr>
          </w:p>
        </w:tc>
      </w:tr>
    </w:tbl>
    <w:p w14:paraId="149CD420">
      <w:pPr>
        <w:snapToGrid w:val="0"/>
        <w:spacing w:line="360" w:lineRule="auto"/>
        <w:ind w:left="480"/>
        <w:rPr>
          <w:rFonts w:cs="宋体" w:asciiTheme="majorEastAsia" w:hAnsiTheme="majorEastAsia" w:eastAsiaTheme="majorEastAsia"/>
          <w:b/>
          <w:kern w:val="0"/>
          <w:sz w:val="24"/>
          <w:highlight w:val="none"/>
          <w:lang w:val="zh-CN"/>
        </w:rPr>
      </w:pPr>
      <w:r>
        <w:rPr>
          <w:rFonts w:hint="eastAsia" w:cs="宋体" w:asciiTheme="majorEastAsia" w:hAnsiTheme="majorEastAsia" w:eastAsiaTheme="majorEastAsia"/>
          <w:b/>
          <w:kern w:val="0"/>
          <w:sz w:val="24"/>
          <w:highlight w:val="none"/>
          <w:lang w:val="zh-CN"/>
        </w:rPr>
        <w:t>注：</w:t>
      </w:r>
    </w:p>
    <w:p w14:paraId="061294E1">
      <w:pPr>
        <w:spacing w:line="360" w:lineRule="auto"/>
        <w:ind w:left="-2" w:leftChars="-1" w:firstLine="480" w:firstLineChars="200"/>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cs="宋体"/>
          <w:b/>
          <w:color w:val="auto"/>
          <w:sz w:val="24"/>
          <w:highlight w:val="none"/>
          <w:lang w:eastAsia="zh-CN"/>
        </w:rPr>
        <w:t>。</w:t>
      </w:r>
    </w:p>
    <w:p w14:paraId="45DDE3F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439204EA">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C1A123F">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7D738B3">
      <w:pPr>
        <w:snapToGrid w:val="0"/>
        <w:spacing w:line="360" w:lineRule="auto"/>
        <w:ind w:firstLine="482" w:firstLineChars="200"/>
        <w:jc w:val="left"/>
        <w:rPr>
          <w:rFonts w:hint="default" w:cs="宋体" w:asciiTheme="majorEastAsia" w:hAnsiTheme="majorEastAsia" w:eastAsiaTheme="majorEastAsia"/>
          <w:b/>
          <w:bCs/>
          <w:color w:val="FF0000"/>
          <w:kern w:val="0"/>
          <w:sz w:val="24"/>
          <w:highlight w:val="none"/>
          <w:lang w:val="en-US" w:eastAsia="zh-CN"/>
        </w:rPr>
      </w:pPr>
    </w:p>
    <w:p w14:paraId="76FCB268">
      <w:pPr>
        <w:spacing w:line="360" w:lineRule="auto"/>
        <w:ind w:firstLine="482" w:firstLineChars="200"/>
        <w:rPr>
          <w:rFonts w:cs="宋体" w:asciiTheme="majorEastAsia" w:hAnsiTheme="majorEastAsia" w:eastAsiaTheme="majorEastAsia"/>
          <w:b/>
          <w:kern w:val="0"/>
          <w:sz w:val="24"/>
          <w:highlight w:val="none"/>
        </w:rPr>
      </w:pPr>
    </w:p>
    <w:p w14:paraId="339BE882">
      <w:pPr>
        <w:pStyle w:val="696"/>
        <w:keepNext w:val="0"/>
        <w:pageBreakBefore w:val="0"/>
        <w:tabs>
          <w:tab w:val="clear" w:pos="720"/>
        </w:tabs>
        <w:snapToGrid w:val="0"/>
        <w:spacing w:before="120" w:after="120"/>
        <w:ind w:firstLine="643"/>
        <w:outlineLvl w:val="9"/>
        <w:rPr>
          <w:rFonts w:cs="宋体" w:asciiTheme="majorEastAsia" w:hAnsiTheme="majorEastAsia" w:eastAsiaTheme="majorEastAsia"/>
          <w:kern w:val="2"/>
          <w:sz w:val="32"/>
          <w:szCs w:val="32"/>
          <w:highlight w:val="none"/>
        </w:rPr>
      </w:pPr>
    </w:p>
    <w:p w14:paraId="0CAE803F">
      <w:pPr>
        <w:pStyle w:val="696"/>
        <w:keepNext w:val="0"/>
        <w:pageBreakBefore w:val="0"/>
        <w:tabs>
          <w:tab w:val="clear" w:pos="720"/>
        </w:tabs>
        <w:snapToGrid w:val="0"/>
        <w:spacing w:before="120" w:after="120"/>
        <w:ind w:firstLine="643"/>
        <w:outlineLvl w:val="9"/>
        <w:rPr>
          <w:rFonts w:cs="宋体" w:asciiTheme="majorEastAsia" w:hAnsiTheme="majorEastAsia" w:eastAsiaTheme="majorEastAsia"/>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8F72BAE">
      <w:pPr>
        <w:pStyle w:val="696"/>
        <w:keepNext w:val="0"/>
        <w:pageBreakBefore w:val="0"/>
        <w:numPr>
          <w:ilvl w:val="0"/>
          <w:numId w:val="4"/>
        </w:numPr>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报价明细表（自拟</w:t>
      </w:r>
      <w:r>
        <w:rPr>
          <w:rFonts w:hint="eastAsia" w:ascii="宋体" w:hAnsi="宋体" w:eastAsia="宋体" w:cs="宋体"/>
          <w:color w:val="auto"/>
          <w:kern w:val="2"/>
          <w:sz w:val="32"/>
          <w:szCs w:val="32"/>
          <w:highlight w:val="none"/>
          <w:lang w:eastAsia="zh-CN"/>
        </w:rPr>
        <w:t>，仅供参考</w:t>
      </w:r>
      <w:r>
        <w:rPr>
          <w:rFonts w:hint="eastAsia" w:ascii="宋体" w:hAnsi="宋体" w:eastAsia="宋体" w:cs="宋体"/>
          <w:color w:val="auto"/>
          <w:kern w:val="2"/>
          <w:sz w:val="32"/>
          <w:szCs w:val="32"/>
          <w:highlight w:val="none"/>
        </w:rPr>
        <w:t>）</w:t>
      </w:r>
    </w:p>
    <w:p w14:paraId="18544E6B">
      <w:pPr>
        <w:snapToGrid w:val="0"/>
        <w:spacing w:line="300" w:lineRule="auto"/>
        <w:rPr>
          <w:rFonts w:hint="eastAsia" w:ascii="宋体" w:hAnsi="宋体" w:cs="宋体"/>
          <w:color w:val="auto"/>
          <w:sz w:val="24"/>
          <w:highlight w:val="none"/>
        </w:rPr>
      </w:pPr>
      <w:r>
        <w:rPr>
          <w:rFonts w:hint="eastAsia" w:ascii="宋体" w:hAnsi="宋体" w:cs="宋体"/>
          <w:color w:val="auto"/>
          <w:sz w:val="24"/>
          <w:highlight w:val="none"/>
        </w:rPr>
        <w:t>项目名称：</w:t>
      </w:r>
    </w:p>
    <w:p w14:paraId="3999343C">
      <w:pPr>
        <w:snapToGrid w:val="0"/>
        <w:spacing w:line="300" w:lineRule="auto"/>
        <w:rPr>
          <w:rFonts w:hint="eastAsia" w:ascii="宋体" w:hAnsi="宋体" w:cs="宋体"/>
          <w:color w:val="auto"/>
          <w:sz w:val="24"/>
          <w:highlight w:val="none"/>
        </w:rPr>
      </w:pPr>
      <w:r>
        <w:rPr>
          <w:rFonts w:hint="eastAsia" w:ascii="宋体" w:hAnsi="宋体" w:cs="宋体"/>
          <w:color w:val="auto"/>
          <w:sz w:val="24"/>
          <w:highlight w:val="none"/>
        </w:rPr>
        <w:t>项目编号：</w:t>
      </w:r>
    </w:p>
    <w:p w14:paraId="16024980">
      <w:pPr>
        <w:snapToGrid w:val="0"/>
        <w:spacing w:line="44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金额单位：（元）</w:t>
      </w:r>
    </w:p>
    <w:tbl>
      <w:tblPr>
        <w:tblStyle w:val="63"/>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02"/>
        <w:gridCol w:w="1087"/>
        <w:gridCol w:w="893"/>
        <w:gridCol w:w="1080"/>
        <w:gridCol w:w="900"/>
        <w:gridCol w:w="1051"/>
        <w:gridCol w:w="1050"/>
        <w:gridCol w:w="959"/>
        <w:gridCol w:w="808"/>
        <w:gridCol w:w="720"/>
      </w:tblGrid>
      <w:tr w14:paraId="63A8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06" w:type="dxa"/>
            <w:vMerge w:val="restart"/>
            <w:vAlign w:val="center"/>
          </w:tcPr>
          <w:p w14:paraId="45F60BD8">
            <w:pPr>
              <w:pStyle w:val="35"/>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02" w:type="dxa"/>
            <w:vMerge w:val="restart"/>
            <w:vAlign w:val="center"/>
          </w:tcPr>
          <w:p w14:paraId="4CC7FA85">
            <w:pPr>
              <w:pStyle w:val="35"/>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内容名称</w:t>
            </w:r>
          </w:p>
        </w:tc>
        <w:tc>
          <w:tcPr>
            <w:tcW w:w="1087" w:type="dxa"/>
            <w:vMerge w:val="restart"/>
            <w:vAlign w:val="center"/>
          </w:tcPr>
          <w:p w14:paraId="0FBC1E46">
            <w:pPr>
              <w:pStyle w:val="35"/>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p w14:paraId="280999F0">
            <w:pPr>
              <w:pStyle w:val="35"/>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w:t>
            </w:r>
          </w:p>
        </w:tc>
        <w:tc>
          <w:tcPr>
            <w:tcW w:w="893" w:type="dxa"/>
            <w:vMerge w:val="restart"/>
            <w:vAlign w:val="center"/>
          </w:tcPr>
          <w:p w14:paraId="11A9D50A">
            <w:pPr>
              <w:pStyle w:val="35"/>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080" w:type="dxa"/>
            <w:vMerge w:val="restart"/>
            <w:vAlign w:val="center"/>
          </w:tcPr>
          <w:p w14:paraId="184E2D54">
            <w:pPr>
              <w:pStyle w:val="35"/>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p w14:paraId="287B0C65">
            <w:pPr>
              <w:pStyle w:val="35"/>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5488" w:type="dxa"/>
            <w:gridSpan w:val="6"/>
            <w:vAlign w:val="center"/>
          </w:tcPr>
          <w:p w14:paraId="70A5A34B">
            <w:pPr>
              <w:pStyle w:val="35"/>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投标单价的组成（价格单位：元/人民币）</w:t>
            </w:r>
          </w:p>
        </w:tc>
      </w:tr>
      <w:tr w14:paraId="2E45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06" w:type="dxa"/>
            <w:vMerge w:val="continue"/>
            <w:vAlign w:val="center"/>
          </w:tcPr>
          <w:p w14:paraId="762A5CAE">
            <w:pPr>
              <w:pStyle w:val="35"/>
              <w:adjustRightInd w:val="0"/>
              <w:snapToGrid w:val="0"/>
              <w:spacing w:line="400" w:lineRule="exact"/>
              <w:jc w:val="center"/>
              <w:rPr>
                <w:rFonts w:hint="eastAsia" w:ascii="宋体" w:hAnsi="宋体" w:eastAsia="宋体" w:cs="宋体"/>
                <w:color w:val="auto"/>
                <w:sz w:val="24"/>
                <w:szCs w:val="24"/>
                <w:highlight w:val="none"/>
              </w:rPr>
            </w:pPr>
          </w:p>
        </w:tc>
        <w:tc>
          <w:tcPr>
            <w:tcW w:w="1202" w:type="dxa"/>
            <w:vMerge w:val="continue"/>
            <w:vAlign w:val="center"/>
          </w:tcPr>
          <w:p w14:paraId="74E3D667">
            <w:pPr>
              <w:pStyle w:val="35"/>
              <w:adjustRightInd w:val="0"/>
              <w:snapToGrid w:val="0"/>
              <w:spacing w:line="400" w:lineRule="exact"/>
              <w:jc w:val="center"/>
              <w:rPr>
                <w:rFonts w:hint="eastAsia" w:ascii="宋体" w:hAnsi="宋体" w:eastAsia="宋体" w:cs="宋体"/>
                <w:color w:val="auto"/>
                <w:sz w:val="24"/>
                <w:szCs w:val="24"/>
                <w:highlight w:val="none"/>
              </w:rPr>
            </w:pPr>
          </w:p>
        </w:tc>
        <w:tc>
          <w:tcPr>
            <w:tcW w:w="1087" w:type="dxa"/>
            <w:vMerge w:val="continue"/>
            <w:vAlign w:val="center"/>
          </w:tcPr>
          <w:p w14:paraId="1F8B5D63">
            <w:pPr>
              <w:pStyle w:val="35"/>
              <w:adjustRightInd w:val="0"/>
              <w:snapToGrid w:val="0"/>
              <w:spacing w:line="400" w:lineRule="exact"/>
              <w:jc w:val="center"/>
              <w:rPr>
                <w:rFonts w:hint="eastAsia" w:ascii="宋体" w:hAnsi="宋体" w:eastAsia="宋体" w:cs="宋体"/>
                <w:color w:val="auto"/>
                <w:sz w:val="24"/>
                <w:szCs w:val="24"/>
                <w:highlight w:val="none"/>
              </w:rPr>
            </w:pPr>
          </w:p>
        </w:tc>
        <w:tc>
          <w:tcPr>
            <w:tcW w:w="893" w:type="dxa"/>
            <w:vMerge w:val="continue"/>
            <w:vAlign w:val="center"/>
          </w:tcPr>
          <w:p w14:paraId="4A99AD0C">
            <w:pPr>
              <w:pStyle w:val="35"/>
              <w:adjustRightInd w:val="0"/>
              <w:snapToGrid w:val="0"/>
              <w:spacing w:line="400" w:lineRule="exact"/>
              <w:jc w:val="center"/>
              <w:rPr>
                <w:rFonts w:hint="eastAsia" w:ascii="宋体" w:hAnsi="宋体" w:eastAsia="宋体" w:cs="宋体"/>
                <w:color w:val="auto"/>
                <w:sz w:val="24"/>
                <w:szCs w:val="24"/>
                <w:highlight w:val="none"/>
              </w:rPr>
            </w:pPr>
          </w:p>
        </w:tc>
        <w:tc>
          <w:tcPr>
            <w:tcW w:w="1080" w:type="dxa"/>
            <w:vMerge w:val="continue"/>
            <w:vAlign w:val="center"/>
          </w:tcPr>
          <w:p w14:paraId="58597F6A">
            <w:pPr>
              <w:pStyle w:val="35"/>
              <w:adjustRightInd w:val="0"/>
              <w:snapToGrid w:val="0"/>
              <w:spacing w:line="400" w:lineRule="exact"/>
              <w:jc w:val="center"/>
              <w:rPr>
                <w:rFonts w:hint="eastAsia" w:ascii="宋体" w:hAnsi="宋体" w:eastAsia="宋体" w:cs="宋体"/>
                <w:color w:val="auto"/>
                <w:sz w:val="24"/>
                <w:szCs w:val="24"/>
                <w:highlight w:val="none"/>
              </w:rPr>
            </w:pPr>
          </w:p>
        </w:tc>
        <w:tc>
          <w:tcPr>
            <w:tcW w:w="900" w:type="dxa"/>
            <w:vAlign w:val="center"/>
          </w:tcPr>
          <w:p w14:paraId="000802A1">
            <w:pPr>
              <w:pStyle w:val="35"/>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051" w:type="dxa"/>
            <w:vAlign w:val="center"/>
          </w:tcPr>
          <w:p w14:paraId="4520EC8A">
            <w:pPr>
              <w:pStyle w:val="35"/>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服装费</w:t>
            </w:r>
          </w:p>
        </w:tc>
        <w:tc>
          <w:tcPr>
            <w:tcW w:w="1050" w:type="dxa"/>
            <w:vAlign w:val="center"/>
          </w:tcPr>
          <w:p w14:paraId="6244A959">
            <w:pPr>
              <w:pStyle w:val="35"/>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农民工工伤保险费</w:t>
            </w:r>
          </w:p>
        </w:tc>
        <w:tc>
          <w:tcPr>
            <w:tcW w:w="959" w:type="dxa"/>
            <w:vAlign w:val="center"/>
          </w:tcPr>
          <w:p w14:paraId="2B94380F">
            <w:pPr>
              <w:pStyle w:val="35"/>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管理费等其他费</w:t>
            </w:r>
          </w:p>
        </w:tc>
        <w:tc>
          <w:tcPr>
            <w:tcW w:w="808" w:type="dxa"/>
            <w:vAlign w:val="center"/>
          </w:tcPr>
          <w:p w14:paraId="2FF43189">
            <w:pPr>
              <w:pStyle w:val="35"/>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税金</w:t>
            </w:r>
          </w:p>
        </w:tc>
        <w:tc>
          <w:tcPr>
            <w:tcW w:w="720" w:type="dxa"/>
            <w:vAlign w:val="center"/>
          </w:tcPr>
          <w:p w14:paraId="2D8AF8B0">
            <w:pPr>
              <w:pStyle w:val="35"/>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r>
      <w:tr w14:paraId="52311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06" w:type="dxa"/>
            <w:vAlign w:val="center"/>
          </w:tcPr>
          <w:p w14:paraId="4ED0509A">
            <w:pPr>
              <w:pStyle w:val="35"/>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p>
        </w:tc>
        <w:tc>
          <w:tcPr>
            <w:tcW w:w="1202" w:type="dxa"/>
            <w:vAlign w:val="center"/>
          </w:tcPr>
          <w:p w14:paraId="0390BFB8">
            <w:pPr>
              <w:pStyle w:val="35"/>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p>
        </w:tc>
        <w:tc>
          <w:tcPr>
            <w:tcW w:w="1087" w:type="dxa"/>
            <w:vAlign w:val="center"/>
          </w:tcPr>
          <w:p w14:paraId="72BFF02A">
            <w:pPr>
              <w:pStyle w:val="35"/>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w:t>
            </w:r>
          </w:p>
        </w:tc>
        <w:tc>
          <w:tcPr>
            <w:tcW w:w="893" w:type="dxa"/>
            <w:vAlign w:val="center"/>
          </w:tcPr>
          <w:p w14:paraId="3161DDE8">
            <w:pPr>
              <w:pStyle w:val="35"/>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w:t>
            </w:r>
          </w:p>
        </w:tc>
        <w:tc>
          <w:tcPr>
            <w:tcW w:w="1080" w:type="dxa"/>
            <w:vAlign w:val="center"/>
          </w:tcPr>
          <w:p w14:paraId="6811E7A7">
            <w:pPr>
              <w:pStyle w:val="35"/>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w:t>
            </w:r>
          </w:p>
        </w:tc>
        <w:tc>
          <w:tcPr>
            <w:tcW w:w="900" w:type="dxa"/>
            <w:vAlign w:val="center"/>
          </w:tcPr>
          <w:p w14:paraId="68577A37">
            <w:pPr>
              <w:pStyle w:val="35"/>
              <w:adjustRightInd w:val="0"/>
              <w:snapToGrid w:val="0"/>
              <w:spacing w:line="400" w:lineRule="exact"/>
              <w:jc w:val="center"/>
              <w:rPr>
                <w:rFonts w:hint="eastAsia" w:ascii="宋体" w:hAnsi="宋体" w:eastAsia="宋体" w:cs="宋体"/>
                <w:color w:val="auto"/>
                <w:sz w:val="24"/>
                <w:szCs w:val="24"/>
                <w:highlight w:val="none"/>
              </w:rPr>
            </w:pPr>
          </w:p>
        </w:tc>
        <w:tc>
          <w:tcPr>
            <w:tcW w:w="1051" w:type="dxa"/>
            <w:vAlign w:val="center"/>
          </w:tcPr>
          <w:p w14:paraId="09AF0DFB">
            <w:pPr>
              <w:pStyle w:val="35"/>
              <w:adjustRightInd w:val="0"/>
              <w:snapToGrid w:val="0"/>
              <w:spacing w:line="400" w:lineRule="exact"/>
              <w:jc w:val="center"/>
              <w:rPr>
                <w:rFonts w:hint="eastAsia" w:ascii="宋体" w:hAnsi="宋体" w:eastAsia="宋体" w:cs="宋体"/>
                <w:color w:val="auto"/>
                <w:sz w:val="24"/>
                <w:szCs w:val="24"/>
                <w:highlight w:val="none"/>
              </w:rPr>
            </w:pPr>
          </w:p>
        </w:tc>
        <w:tc>
          <w:tcPr>
            <w:tcW w:w="1050" w:type="dxa"/>
            <w:vAlign w:val="center"/>
          </w:tcPr>
          <w:p w14:paraId="5EA4A383">
            <w:pPr>
              <w:pStyle w:val="35"/>
              <w:adjustRightInd w:val="0"/>
              <w:snapToGrid w:val="0"/>
              <w:spacing w:line="400" w:lineRule="exact"/>
              <w:jc w:val="center"/>
              <w:rPr>
                <w:rFonts w:hint="eastAsia" w:ascii="宋体" w:hAnsi="宋体" w:eastAsia="宋体" w:cs="宋体"/>
                <w:color w:val="auto"/>
                <w:sz w:val="24"/>
                <w:szCs w:val="24"/>
                <w:highlight w:val="none"/>
              </w:rPr>
            </w:pPr>
          </w:p>
        </w:tc>
        <w:tc>
          <w:tcPr>
            <w:tcW w:w="959" w:type="dxa"/>
            <w:vAlign w:val="center"/>
          </w:tcPr>
          <w:p w14:paraId="110CE3F0">
            <w:pPr>
              <w:pStyle w:val="35"/>
              <w:adjustRightInd w:val="0"/>
              <w:snapToGrid w:val="0"/>
              <w:spacing w:line="400" w:lineRule="exact"/>
              <w:jc w:val="center"/>
              <w:rPr>
                <w:rFonts w:hint="eastAsia" w:ascii="宋体" w:hAnsi="宋体" w:eastAsia="宋体" w:cs="宋体"/>
                <w:color w:val="auto"/>
                <w:sz w:val="24"/>
                <w:szCs w:val="24"/>
                <w:highlight w:val="none"/>
              </w:rPr>
            </w:pPr>
          </w:p>
        </w:tc>
        <w:tc>
          <w:tcPr>
            <w:tcW w:w="808" w:type="dxa"/>
            <w:vAlign w:val="center"/>
          </w:tcPr>
          <w:p w14:paraId="71C3CDC0">
            <w:pPr>
              <w:pStyle w:val="35"/>
              <w:adjustRightInd w:val="0"/>
              <w:snapToGrid w:val="0"/>
              <w:spacing w:line="400" w:lineRule="exact"/>
              <w:jc w:val="center"/>
              <w:rPr>
                <w:rFonts w:hint="eastAsia" w:ascii="宋体" w:hAnsi="宋体" w:eastAsia="宋体" w:cs="宋体"/>
                <w:color w:val="auto"/>
                <w:sz w:val="24"/>
                <w:szCs w:val="24"/>
                <w:highlight w:val="none"/>
              </w:rPr>
            </w:pPr>
          </w:p>
        </w:tc>
        <w:tc>
          <w:tcPr>
            <w:tcW w:w="720" w:type="dxa"/>
            <w:vAlign w:val="center"/>
          </w:tcPr>
          <w:p w14:paraId="25142AA1">
            <w:pPr>
              <w:pStyle w:val="35"/>
              <w:adjustRightInd w:val="0"/>
              <w:snapToGrid w:val="0"/>
              <w:spacing w:line="400" w:lineRule="exact"/>
              <w:jc w:val="center"/>
              <w:rPr>
                <w:rFonts w:hint="eastAsia" w:ascii="宋体" w:hAnsi="宋体" w:eastAsia="宋体" w:cs="宋体"/>
                <w:color w:val="auto"/>
                <w:sz w:val="24"/>
                <w:szCs w:val="24"/>
                <w:highlight w:val="none"/>
              </w:rPr>
            </w:pPr>
          </w:p>
        </w:tc>
      </w:tr>
      <w:tr w14:paraId="7A0F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06" w:type="dxa"/>
            <w:vAlign w:val="top"/>
          </w:tcPr>
          <w:p w14:paraId="3F8BDE0C">
            <w:pPr>
              <w:pStyle w:val="35"/>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p>
        </w:tc>
        <w:tc>
          <w:tcPr>
            <w:tcW w:w="1202" w:type="dxa"/>
            <w:vAlign w:val="top"/>
          </w:tcPr>
          <w:p w14:paraId="2895838D">
            <w:pPr>
              <w:pStyle w:val="35"/>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日常养护</w:t>
            </w:r>
            <w:r>
              <w:rPr>
                <w:rFonts w:hint="eastAsia" w:ascii="宋体" w:hAnsi="宋体" w:cs="宋体"/>
                <w:color w:val="auto"/>
                <w:sz w:val="24"/>
                <w:highlight w:val="none"/>
                <w:lang w:val="en-US" w:eastAsia="zh-CN"/>
              </w:rPr>
              <w:t>服务工数</w:t>
            </w:r>
          </w:p>
        </w:tc>
        <w:tc>
          <w:tcPr>
            <w:tcW w:w="1087" w:type="dxa"/>
            <w:vAlign w:val="top"/>
          </w:tcPr>
          <w:p w14:paraId="19AB6AD2">
            <w:pPr>
              <w:pStyle w:val="35"/>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893" w:type="dxa"/>
            <w:vAlign w:val="top"/>
          </w:tcPr>
          <w:p w14:paraId="1314748F">
            <w:pPr>
              <w:pStyle w:val="35"/>
              <w:adjustRightInd w:val="0"/>
              <w:snapToGrid w:val="0"/>
              <w:spacing w:line="400" w:lineRule="exact"/>
              <w:rPr>
                <w:rFonts w:hint="eastAsia" w:ascii="宋体" w:hAnsi="宋体" w:eastAsia="宋体" w:cs="宋体"/>
                <w:color w:val="auto"/>
                <w:sz w:val="24"/>
                <w:szCs w:val="24"/>
                <w:highlight w:val="none"/>
              </w:rPr>
            </w:pPr>
          </w:p>
        </w:tc>
        <w:tc>
          <w:tcPr>
            <w:tcW w:w="1080" w:type="dxa"/>
            <w:vAlign w:val="top"/>
          </w:tcPr>
          <w:p w14:paraId="2EAB8568">
            <w:pPr>
              <w:pStyle w:val="35"/>
              <w:adjustRightInd w:val="0"/>
              <w:snapToGrid w:val="0"/>
              <w:spacing w:line="400" w:lineRule="exact"/>
              <w:rPr>
                <w:rFonts w:hint="eastAsia" w:ascii="宋体" w:hAnsi="宋体" w:eastAsia="宋体" w:cs="宋体"/>
                <w:color w:val="auto"/>
                <w:sz w:val="24"/>
                <w:szCs w:val="24"/>
                <w:highlight w:val="none"/>
              </w:rPr>
            </w:pPr>
          </w:p>
        </w:tc>
        <w:tc>
          <w:tcPr>
            <w:tcW w:w="900" w:type="dxa"/>
            <w:vAlign w:val="top"/>
          </w:tcPr>
          <w:p w14:paraId="4F7B39E9">
            <w:pPr>
              <w:pStyle w:val="35"/>
              <w:adjustRightInd w:val="0"/>
              <w:snapToGrid w:val="0"/>
              <w:spacing w:line="400" w:lineRule="exact"/>
              <w:rPr>
                <w:rFonts w:hint="eastAsia" w:ascii="宋体" w:hAnsi="宋体" w:eastAsia="宋体" w:cs="宋体"/>
                <w:color w:val="auto"/>
                <w:sz w:val="24"/>
                <w:szCs w:val="24"/>
                <w:highlight w:val="none"/>
              </w:rPr>
            </w:pPr>
          </w:p>
        </w:tc>
        <w:tc>
          <w:tcPr>
            <w:tcW w:w="1051" w:type="dxa"/>
            <w:vAlign w:val="top"/>
          </w:tcPr>
          <w:p w14:paraId="51967F5A">
            <w:pPr>
              <w:pStyle w:val="35"/>
              <w:adjustRightInd w:val="0"/>
              <w:snapToGrid w:val="0"/>
              <w:spacing w:line="400" w:lineRule="exact"/>
              <w:rPr>
                <w:rFonts w:hint="eastAsia" w:ascii="宋体" w:hAnsi="宋体" w:eastAsia="宋体" w:cs="宋体"/>
                <w:color w:val="auto"/>
                <w:sz w:val="24"/>
                <w:szCs w:val="24"/>
                <w:highlight w:val="none"/>
              </w:rPr>
            </w:pPr>
          </w:p>
        </w:tc>
        <w:tc>
          <w:tcPr>
            <w:tcW w:w="1050" w:type="dxa"/>
            <w:vAlign w:val="top"/>
          </w:tcPr>
          <w:p w14:paraId="407EBE13">
            <w:pPr>
              <w:pStyle w:val="35"/>
              <w:adjustRightInd w:val="0"/>
              <w:snapToGrid w:val="0"/>
              <w:spacing w:line="400" w:lineRule="exact"/>
              <w:rPr>
                <w:rFonts w:hint="eastAsia" w:ascii="宋体" w:hAnsi="宋体" w:eastAsia="宋体" w:cs="宋体"/>
                <w:color w:val="auto"/>
                <w:sz w:val="24"/>
                <w:szCs w:val="24"/>
                <w:highlight w:val="none"/>
              </w:rPr>
            </w:pPr>
          </w:p>
        </w:tc>
        <w:tc>
          <w:tcPr>
            <w:tcW w:w="959" w:type="dxa"/>
            <w:vAlign w:val="top"/>
          </w:tcPr>
          <w:p w14:paraId="45B59926">
            <w:pPr>
              <w:pStyle w:val="35"/>
              <w:adjustRightInd w:val="0"/>
              <w:snapToGrid w:val="0"/>
              <w:spacing w:line="400" w:lineRule="exact"/>
              <w:rPr>
                <w:rFonts w:hint="eastAsia" w:ascii="宋体" w:hAnsi="宋体" w:eastAsia="宋体" w:cs="宋体"/>
                <w:color w:val="auto"/>
                <w:sz w:val="24"/>
                <w:szCs w:val="24"/>
                <w:highlight w:val="none"/>
              </w:rPr>
            </w:pPr>
          </w:p>
        </w:tc>
        <w:tc>
          <w:tcPr>
            <w:tcW w:w="808" w:type="dxa"/>
            <w:vAlign w:val="top"/>
          </w:tcPr>
          <w:p w14:paraId="22425B52">
            <w:pPr>
              <w:pStyle w:val="35"/>
              <w:adjustRightInd w:val="0"/>
              <w:snapToGrid w:val="0"/>
              <w:spacing w:line="400" w:lineRule="exact"/>
              <w:rPr>
                <w:rFonts w:hint="eastAsia" w:ascii="宋体" w:hAnsi="宋体" w:eastAsia="宋体" w:cs="宋体"/>
                <w:color w:val="auto"/>
                <w:sz w:val="24"/>
                <w:szCs w:val="24"/>
                <w:highlight w:val="none"/>
              </w:rPr>
            </w:pPr>
          </w:p>
        </w:tc>
        <w:tc>
          <w:tcPr>
            <w:tcW w:w="720" w:type="dxa"/>
            <w:vAlign w:val="top"/>
          </w:tcPr>
          <w:p w14:paraId="4D7BA75C">
            <w:pPr>
              <w:pStyle w:val="35"/>
              <w:adjustRightInd w:val="0"/>
              <w:snapToGrid w:val="0"/>
              <w:spacing w:line="400" w:lineRule="exact"/>
              <w:rPr>
                <w:rFonts w:hint="eastAsia" w:ascii="宋体" w:hAnsi="宋体" w:eastAsia="宋体" w:cs="宋体"/>
                <w:color w:val="auto"/>
                <w:sz w:val="24"/>
                <w:szCs w:val="24"/>
                <w:highlight w:val="none"/>
              </w:rPr>
            </w:pPr>
          </w:p>
        </w:tc>
      </w:tr>
      <w:tr w14:paraId="0114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06" w:type="dxa"/>
            <w:vAlign w:val="top"/>
          </w:tcPr>
          <w:p w14:paraId="7D578AAD">
            <w:pPr>
              <w:pStyle w:val="35"/>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w:t>
            </w:r>
          </w:p>
        </w:tc>
        <w:tc>
          <w:tcPr>
            <w:tcW w:w="1202" w:type="dxa"/>
            <w:vAlign w:val="top"/>
          </w:tcPr>
          <w:p w14:paraId="1C222FC6">
            <w:pPr>
              <w:pStyle w:val="35"/>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园林景观提升</w:t>
            </w:r>
            <w:r>
              <w:rPr>
                <w:rFonts w:hint="eastAsia" w:ascii="宋体" w:hAnsi="宋体" w:cs="宋体"/>
                <w:color w:val="auto"/>
                <w:sz w:val="24"/>
                <w:highlight w:val="none"/>
                <w:lang w:val="en-US" w:eastAsia="zh-CN"/>
              </w:rPr>
              <w:t>服务工数</w:t>
            </w:r>
          </w:p>
        </w:tc>
        <w:tc>
          <w:tcPr>
            <w:tcW w:w="1087" w:type="dxa"/>
            <w:vAlign w:val="top"/>
          </w:tcPr>
          <w:p w14:paraId="68AD1B18">
            <w:pPr>
              <w:pStyle w:val="35"/>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893" w:type="dxa"/>
            <w:vAlign w:val="top"/>
          </w:tcPr>
          <w:p w14:paraId="2F5D6C3B">
            <w:pPr>
              <w:pStyle w:val="35"/>
              <w:adjustRightInd w:val="0"/>
              <w:snapToGrid w:val="0"/>
              <w:spacing w:line="400" w:lineRule="exact"/>
              <w:rPr>
                <w:rFonts w:hint="eastAsia" w:ascii="宋体" w:hAnsi="宋体" w:eastAsia="宋体" w:cs="宋体"/>
                <w:color w:val="auto"/>
                <w:sz w:val="24"/>
                <w:szCs w:val="24"/>
                <w:highlight w:val="none"/>
              </w:rPr>
            </w:pPr>
          </w:p>
        </w:tc>
        <w:tc>
          <w:tcPr>
            <w:tcW w:w="1080" w:type="dxa"/>
            <w:vAlign w:val="top"/>
          </w:tcPr>
          <w:p w14:paraId="4956F5A0">
            <w:pPr>
              <w:pStyle w:val="35"/>
              <w:adjustRightInd w:val="0"/>
              <w:snapToGrid w:val="0"/>
              <w:spacing w:line="400" w:lineRule="exact"/>
              <w:rPr>
                <w:rFonts w:hint="eastAsia" w:ascii="宋体" w:hAnsi="宋体" w:eastAsia="宋体" w:cs="宋体"/>
                <w:color w:val="auto"/>
                <w:sz w:val="24"/>
                <w:szCs w:val="24"/>
                <w:highlight w:val="none"/>
              </w:rPr>
            </w:pPr>
          </w:p>
        </w:tc>
        <w:tc>
          <w:tcPr>
            <w:tcW w:w="900" w:type="dxa"/>
            <w:vAlign w:val="top"/>
          </w:tcPr>
          <w:p w14:paraId="69FA9365">
            <w:pPr>
              <w:pStyle w:val="35"/>
              <w:adjustRightInd w:val="0"/>
              <w:snapToGrid w:val="0"/>
              <w:spacing w:line="400" w:lineRule="exact"/>
              <w:rPr>
                <w:rFonts w:hint="eastAsia" w:ascii="宋体" w:hAnsi="宋体" w:eastAsia="宋体" w:cs="宋体"/>
                <w:color w:val="auto"/>
                <w:sz w:val="24"/>
                <w:szCs w:val="24"/>
                <w:highlight w:val="none"/>
              </w:rPr>
            </w:pPr>
          </w:p>
        </w:tc>
        <w:tc>
          <w:tcPr>
            <w:tcW w:w="1051" w:type="dxa"/>
            <w:vAlign w:val="top"/>
          </w:tcPr>
          <w:p w14:paraId="6CA12C24">
            <w:pPr>
              <w:pStyle w:val="35"/>
              <w:adjustRightInd w:val="0"/>
              <w:snapToGrid w:val="0"/>
              <w:spacing w:line="400" w:lineRule="exact"/>
              <w:rPr>
                <w:rFonts w:hint="eastAsia" w:ascii="宋体" w:hAnsi="宋体" w:eastAsia="宋体" w:cs="宋体"/>
                <w:color w:val="auto"/>
                <w:sz w:val="24"/>
                <w:szCs w:val="24"/>
                <w:highlight w:val="none"/>
              </w:rPr>
            </w:pPr>
          </w:p>
        </w:tc>
        <w:tc>
          <w:tcPr>
            <w:tcW w:w="1050" w:type="dxa"/>
            <w:vAlign w:val="top"/>
          </w:tcPr>
          <w:p w14:paraId="1DFE8483">
            <w:pPr>
              <w:pStyle w:val="35"/>
              <w:adjustRightInd w:val="0"/>
              <w:snapToGrid w:val="0"/>
              <w:spacing w:line="400" w:lineRule="exact"/>
              <w:rPr>
                <w:rFonts w:hint="eastAsia" w:ascii="宋体" w:hAnsi="宋体" w:eastAsia="宋体" w:cs="宋体"/>
                <w:color w:val="auto"/>
                <w:sz w:val="24"/>
                <w:szCs w:val="24"/>
                <w:highlight w:val="none"/>
              </w:rPr>
            </w:pPr>
          </w:p>
        </w:tc>
        <w:tc>
          <w:tcPr>
            <w:tcW w:w="959" w:type="dxa"/>
            <w:vAlign w:val="top"/>
          </w:tcPr>
          <w:p w14:paraId="3C321638">
            <w:pPr>
              <w:pStyle w:val="35"/>
              <w:adjustRightInd w:val="0"/>
              <w:snapToGrid w:val="0"/>
              <w:spacing w:line="400" w:lineRule="exact"/>
              <w:rPr>
                <w:rFonts w:hint="eastAsia" w:ascii="宋体" w:hAnsi="宋体" w:eastAsia="宋体" w:cs="宋体"/>
                <w:color w:val="auto"/>
                <w:sz w:val="24"/>
                <w:szCs w:val="24"/>
                <w:highlight w:val="none"/>
              </w:rPr>
            </w:pPr>
          </w:p>
        </w:tc>
        <w:tc>
          <w:tcPr>
            <w:tcW w:w="808" w:type="dxa"/>
            <w:vAlign w:val="top"/>
          </w:tcPr>
          <w:p w14:paraId="61F9A122">
            <w:pPr>
              <w:pStyle w:val="35"/>
              <w:adjustRightInd w:val="0"/>
              <w:snapToGrid w:val="0"/>
              <w:spacing w:line="400" w:lineRule="exact"/>
              <w:rPr>
                <w:rFonts w:hint="eastAsia" w:ascii="宋体" w:hAnsi="宋体" w:eastAsia="宋体" w:cs="宋体"/>
                <w:color w:val="auto"/>
                <w:sz w:val="24"/>
                <w:szCs w:val="24"/>
                <w:highlight w:val="none"/>
              </w:rPr>
            </w:pPr>
          </w:p>
        </w:tc>
        <w:tc>
          <w:tcPr>
            <w:tcW w:w="720" w:type="dxa"/>
            <w:vAlign w:val="top"/>
          </w:tcPr>
          <w:p w14:paraId="422735F7">
            <w:pPr>
              <w:pStyle w:val="35"/>
              <w:adjustRightInd w:val="0"/>
              <w:snapToGrid w:val="0"/>
              <w:spacing w:line="400" w:lineRule="exact"/>
              <w:rPr>
                <w:rFonts w:hint="eastAsia" w:ascii="宋体" w:hAnsi="宋体" w:eastAsia="宋体" w:cs="宋体"/>
                <w:color w:val="auto"/>
                <w:sz w:val="24"/>
                <w:szCs w:val="24"/>
                <w:highlight w:val="none"/>
              </w:rPr>
            </w:pPr>
          </w:p>
        </w:tc>
      </w:tr>
      <w:tr w14:paraId="4A9E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06" w:type="dxa"/>
            <w:vAlign w:val="top"/>
          </w:tcPr>
          <w:p w14:paraId="7DAA40ED">
            <w:pPr>
              <w:pStyle w:val="35"/>
              <w:adjustRightInd w:val="0"/>
              <w:snapToGrid w:val="0"/>
              <w:spacing w:line="400" w:lineRule="exact"/>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w:t>
            </w:r>
          </w:p>
        </w:tc>
        <w:tc>
          <w:tcPr>
            <w:tcW w:w="1202" w:type="dxa"/>
            <w:vAlign w:val="top"/>
          </w:tcPr>
          <w:p w14:paraId="0EB6D21B">
            <w:pPr>
              <w:pStyle w:val="35"/>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机动应急保障</w:t>
            </w:r>
            <w:r>
              <w:rPr>
                <w:rFonts w:hint="eastAsia" w:ascii="宋体" w:hAnsi="宋体" w:cs="宋体"/>
                <w:color w:val="auto"/>
                <w:sz w:val="24"/>
                <w:highlight w:val="none"/>
                <w:lang w:val="en-US" w:eastAsia="zh-CN"/>
              </w:rPr>
              <w:t>服务工数</w:t>
            </w:r>
          </w:p>
        </w:tc>
        <w:tc>
          <w:tcPr>
            <w:tcW w:w="1087" w:type="dxa"/>
            <w:vAlign w:val="top"/>
          </w:tcPr>
          <w:p w14:paraId="6C243AB3">
            <w:pPr>
              <w:pStyle w:val="35"/>
              <w:adjustRightInd w:val="0"/>
              <w:snapToGrid w:val="0"/>
              <w:spacing w:line="400" w:lineRule="exact"/>
              <w:rPr>
                <w:rFonts w:hint="eastAsia" w:ascii="宋体" w:hAnsi="宋体" w:eastAsia="宋体" w:cs="宋体"/>
                <w:color w:val="auto"/>
                <w:sz w:val="24"/>
                <w:szCs w:val="24"/>
                <w:highlight w:val="none"/>
              </w:rPr>
            </w:pPr>
          </w:p>
        </w:tc>
        <w:tc>
          <w:tcPr>
            <w:tcW w:w="893" w:type="dxa"/>
            <w:vAlign w:val="top"/>
          </w:tcPr>
          <w:p w14:paraId="6377D4BC">
            <w:pPr>
              <w:pStyle w:val="35"/>
              <w:adjustRightInd w:val="0"/>
              <w:snapToGrid w:val="0"/>
              <w:spacing w:line="400" w:lineRule="exact"/>
              <w:rPr>
                <w:rFonts w:hint="eastAsia" w:ascii="宋体" w:hAnsi="宋体" w:eastAsia="宋体" w:cs="宋体"/>
                <w:color w:val="auto"/>
                <w:sz w:val="24"/>
                <w:szCs w:val="24"/>
                <w:highlight w:val="none"/>
              </w:rPr>
            </w:pPr>
          </w:p>
        </w:tc>
        <w:tc>
          <w:tcPr>
            <w:tcW w:w="1080" w:type="dxa"/>
            <w:vAlign w:val="top"/>
          </w:tcPr>
          <w:p w14:paraId="3C6644C6">
            <w:pPr>
              <w:pStyle w:val="35"/>
              <w:adjustRightInd w:val="0"/>
              <w:snapToGrid w:val="0"/>
              <w:spacing w:line="400" w:lineRule="exact"/>
              <w:rPr>
                <w:rFonts w:hint="eastAsia" w:ascii="宋体" w:hAnsi="宋体" w:eastAsia="宋体" w:cs="宋体"/>
                <w:color w:val="auto"/>
                <w:sz w:val="24"/>
                <w:szCs w:val="24"/>
                <w:highlight w:val="none"/>
              </w:rPr>
            </w:pPr>
          </w:p>
        </w:tc>
        <w:tc>
          <w:tcPr>
            <w:tcW w:w="900" w:type="dxa"/>
            <w:vAlign w:val="top"/>
          </w:tcPr>
          <w:p w14:paraId="6C6A5074">
            <w:pPr>
              <w:pStyle w:val="35"/>
              <w:adjustRightInd w:val="0"/>
              <w:snapToGrid w:val="0"/>
              <w:spacing w:line="400" w:lineRule="exact"/>
              <w:rPr>
                <w:rFonts w:hint="eastAsia" w:ascii="宋体" w:hAnsi="宋体" w:eastAsia="宋体" w:cs="宋体"/>
                <w:color w:val="auto"/>
                <w:sz w:val="24"/>
                <w:szCs w:val="24"/>
                <w:highlight w:val="none"/>
              </w:rPr>
            </w:pPr>
          </w:p>
        </w:tc>
        <w:tc>
          <w:tcPr>
            <w:tcW w:w="1051" w:type="dxa"/>
            <w:vAlign w:val="top"/>
          </w:tcPr>
          <w:p w14:paraId="1F147240">
            <w:pPr>
              <w:pStyle w:val="35"/>
              <w:adjustRightInd w:val="0"/>
              <w:snapToGrid w:val="0"/>
              <w:spacing w:line="400" w:lineRule="exact"/>
              <w:rPr>
                <w:rFonts w:hint="eastAsia" w:ascii="宋体" w:hAnsi="宋体" w:eastAsia="宋体" w:cs="宋体"/>
                <w:color w:val="auto"/>
                <w:sz w:val="24"/>
                <w:szCs w:val="24"/>
                <w:highlight w:val="none"/>
              </w:rPr>
            </w:pPr>
          </w:p>
        </w:tc>
        <w:tc>
          <w:tcPr>
            <w:tcW w:w="1050" w:type="dxa"/>
            <w:vAlign w:val="top"/>
          </w:tcPr>
          <w:p w14:paraId="6D114C91">
            <w:pPr>
              <w:pStyle w:val="35"/>
              <w:adjustRightInd w:val="0"/>
              <w:snapToGrid w:val="0"/>
              <w:spacing w:line="400" w:lineRule="exact"/>
              <w:rPr>
                <w:rFonts w:hint="eastAsia" w:ascii="宋体" w:hAnsi="宋体" w:eastAsia="宋体" w:cs="宋体"/>
                <w:color w:val="auto"/>
                <w:sz w:val="24"/>
                <w:szCs w:val="24"/>
                <w:highlight w:val="none"/>
              </w:rPr>
            </w:pPr>
          </w:p>
        </w:tc>
        <w:tc>
          <w:tcPr>
            <w:tcW w:w="959" w:type="dxa"/>
            <w:vAlign w:val="top"/>
          </w:tcPr>
          <w:p w14:paraId="38DA01FD">
            <w:pPr>
              <w:pStyle w:val="35"/>
              <w:adjustRightInd w:val="0"/>
              <w:snapToGrid w:val="0"/>
              <w:spacing w:line="400" w:lineRule="exact"/>
              <w:rPr>
                <w:rFonts w:hint="eastAsia" w:ascii="宋体" w:hAnsi="宋体" w:eastAsia="宋体" w:cs="宋体"/>
                <w:color w:val="auto"/>
                <w:sz w:val="24"/>
                <w:szCs w:val="24"/>
                <w:highlight w:val="none"/>
              </w:rPr>
            </w:pPr>
          </w:p>
        </w:tc>
        <w:tc>
          <w:tcPr>
            <w:tcW w:w="808" w:type="dxa"/>
            <w:vAlign w:val="top"/>
          </w:tcPr>
          <w:p w14:paraId="02DB8546">
            <w:pPr>
              <w:pStyle w:val="35"/>
              <w:adjustRightInd w:val="0"/>
              <w:snapToGrid w:val="0"/>
              <w:spacing w:line="400" w:lineRule="exact"/>
              <w:rPr>
                <w:rFonts w:hint="eastAsia" w:ascii="宋体" w:hAnsi="宋体" w:eastAsia="宋体" w:cs="宋体"/>
                <w:color w:val="auto"/>
                <w:sz w:val="24"/>
                <w:szCs w:val="24"/>
                <w:highlight w:val="none"/>
              </w:rPr>
            </w:pPr>
          </w:p>
        </w:tc>
        <w:tc>
          <w:tcPr>
            <w:tcW w:w="720" w:type="dxa"/>
            <w:vAlign w:val="top"/>
          </w:tcPr>
          <w:p w14:paraId="7C5A2BBA">
            <w:pPr>
              <w:pStyle w:val="35"/>
              <w:adjustRightInd w:val="0"/>
              <w:snapToGrid w:val="0"/>
              <w:spacing w:line="400" w:lineRule="exact"/>
              <w:rPr>
                <w:rFonts w:hint="eastAsia" w:ascii="宋体" w:hAnsi="宋体" w:eastAsia="宋体" w:cs="宋体"/>
                <w:color w:val="auto"/>
                <w:sz w:val="24"/>
                <w:szCs w:val="24"/>
                <w:highlight w:val="none"/>
              </w:rPr>
            </w:pPr>
          </w:p>
        </w:tc>
      </w:tr>
      <w:tr w14:paraId="6212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06" w:type="dxa"/>
            <w:vAlign w:val="top"/>
          </w:tcPr>
          <w:p w14:paraId="5A0EC70B">
            <w:pPr>
              <w:pStyle w:val="35"/>
              <w:adjustRightInd w:val="0"/>
              <w:snapToGrid w:val="0"/>
              <w:spacing w:line="400" w:lineRule="exact"/>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w:t>
            </w:r>
          </w:p>
        </w:tc>
        <w:tc>
          <w:tcPr>
            <w:tcW w:w="1202" w:type="dxa"/>
            <w:vAlign w:val="top"/>
          </w:tcPr>
          <w:p w14:paraId="2A46F353">
            <w:pPr>
              <w:pStyle w:val="35"/>
              <w:adjustRightInd w:val="0"/>
              <w:snapToGrid w:val="0"/>
              <w:spacing w:line="400" w:lineRule="exact"/>
              <w:ind w:firstLine="120" w:firstLineChars="50"/>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w:t>
            </w:r>
          </w:p>
        </w:tc>
        <w:tc>
          <w:tcPr>
            <w:tcW w:w="1087" w:type="dxa"/>
            <w:vAlign w:val="top"/>
          </w:tcPr>
          <w:p w14:paraId="3DF61FC1">
            <w:pPr>
              <w:pStyle w:val="35"/>
              <w:adjustRightInd w:val="0"/>
              <w:snapToGrid w:val="0"/>
              <w:spacing w:line="400" w:lineRule="exact"/>
              <w:rPr>
                <w:rFonts w:hint="eastAsia" w:ascii="宋体" w:hAnsi="宋体" w:eastAsia="宋体" w:cs="宋体"/>
                <w:color w:val="auto"/>
                <w:sz w:val="24"/>
                <w:szCs w:val="24"/>
                <w:highlight w:val="none"/>
              </w:rPr>
            </w:pPr>
          </w:p>
        </w:tc>
        <w:tc>
          <w:tcPr>
            <w:tcW w:w="893" w:type="dxa"/>
            <w:vAlign w:val="top"/>
          </w:tcPr>
          <w:p w14:paraId="1F58BF18">
            <w:pPr>
              <w:pStyle w:val="35"/>
              <w:adjustRightInd w:val="0"/>
              <w:snapToGrid w:val="0"/>
              <w:spacing w:line="400" w:lineRule="exact"/>
              <w:rPr>
                <w:rFonts w:hint="eastAsia" w:ascii="宋体" w:hAnsi="宋体" w:eastAsia="宋体" w:cs="宋体"/>
                <w:color w:val="auto"/>
                <w:sz w:val="24"/>
                <w:szCs w:val="24"/>
                <w:highlight w:val="none"/>
              </w:rPr>
            </w:pPr>
          </w:p>
        </w:tc>
        <w:tc>
          <w:tcPr>
            <w:tcW w:w="1080" w:type="dxa"/>
            <w:vAlign w:val="top"/>
          </w:tcPr>
          <w:p w14:paraId="7A007380">
            <w:pPr>
              <w:pStyle w:val="35"/>
              <w:adjustRightInd w:val="0"/>
              <w:snapToGrid w:val="0"/>
              <w:spacing w:line="400" w:lineRule="exact"/>
              <w:rPr>
                <w:rFonts w:hint="eastAsia" w:ascii="宋体" w:hAnsi="宋体" w:eastAsia="宋体" w:cs="宋体"/>
                <w:color w:val="auto"/>
                <w:sz w:val="24"/>
                <w:szCs w:val="24"/>
                <w:highlight w:val="none"/>
              </w:rPr>
            </w:pPr>
          </w:p>
        </w:tc>
        <w:tc>
          <w:tcPr>
            <w:tcW w:w="900" w:type="dxa"/>
            <w:vAlign w:val="top"/>
          </w:tcPr>
          <w:p w14:paraId="4B43BA56">
            <w:pPr>
              <w:pStyle w:val="35"/>
              <w:adjustRightInd w:val="0"/>
              <w:snapToGrid w:val="0"/>
              <w:spacing w:line="400" w:lineRule="exact"/>
              <w:rPr>
                <w:rFonts w:hint="eastAsia" w:ascii="宋体" w:hAnsi="宋体" w:eastAsia="宋体" w:cs="宋体"/>
                <w:color w:val="auto"/>
                <w:sz w:val="24"/>
                <w:szCs w:val="24"/>
                <w:highlight w:val="none"/>
              </w:rPr>
            </w:pPr>
          </w:p>
        </w:tc>
        <w:tc>
          <w:tcPr>
            <w:tcW w:w="1051" w:type="dxa"/>
            <w:vAlign w:val="top"/>
          </w:tcPr>
          <w:p w14:paraId="24AE275B">
            <w:pPr>
              <w:pStyle w:val="35"/>
              <w:adjustRightInd w:val="0"/>
              <w:snapToGrid w:val="0"/>
              <w:spacing w:line="400" w:lineRule="exact"/>
              <w:rPr>
                <w:rFonts w:hint="eastAsia" w:ascii="宋体" w:hAnsi="宋体" w:eastAsia="宋体" w:cs="宋体"/>
                <w:color w:val="auto"/>
                <w:sz w:val="24"/>
                <w:szCs w:val="24"/>
                <w:highlight w:val="none"/>
              </w:rPr>
            </w:pPr>
          </w:p>
        </w:tc>
        <w:tc>
          <w:tcPr>
            <w:tcW w:w="1050" w:type="dxa"/>
            <w:vAlign w:val="top"/>
          </w:tcPr>
          <w:p w14:paraId="7B0B7A6C">
            <w:pPr>
              <w:pStyle w:val="35"/>
              <w:adjustRightInd w:val="0"/>
              <w:snapToGrid w:val="0"/>
              <w:spacing w:line="400" w:lineRule="exact"/>
              <w:rPr>
                <w:rFonts w:hint="eastAsia" w:ascii="宋体" w:hAnsi="宋体" w:eastAsia="宋体" w:cs="宋体"/>
                <w:color w:val="auto"/>
                <w:sz w:val="24"/>
                <w:szCs w:val="24"/>
                <w:highlight w:val="none"/>
              </w:rPr>
            </w:pPr>
          </w:p>
        </w:tc>
        <w:tc>
          <w:tcPr>
            <w:tcW w:w="959" w:type="dxa"/>
            <w:vAlign w:val="top"/>
          </w:tcPr>
          <w:p w14:paraId="1D75C773">
            <w:pPr>
              <w:pStyle w:val="35"/>
              <w:adjustRightInd w:val="0"/>
              <w:snapToGrid w:val="0"/>
              <w:spacing w:line="400" w:lineRule="exact"/>
              <w:rPr>
                <w:rFonts w:hint="eastAsia" w:ascii="宋体" w:hAnsi="宋体" w:eastAsia="宋体" w:cs="宋体"/>
                <w:color w:val="auto"/>
                <w:sz w:val="24"/>
                <w:szCs w:val="24"/>
                <w:highlight w:val="none"/>
              </w:rPr>
            </w:pPr>
          </w:p>
        </w:tc>
        <w:tc>
          <w:tcPr>
            <w:tcW w:w="808" w:type="dxa"/>
            <w:vAlign w:val="top"/>
          </w:tcPr>
          <w:p w14:paraId="653BF828">
            <w:pPr>
              <w:pStyle w:val="35"/>
              <w:adjustRightInd w:val="0"/>
              <w:snapToGrid w:val="0"/>
              <w:spacing w:line="400" w:lineRule="exact"/>
              <w:rPr>
                <w:rFonts w:hint="eastAsia" w:ascii="宋体" w:hAnsi="宋体" w:eastAsia="宋体" w:cs="宋体"/>
                <w:color w:val="auto"/>
                <w:sz w:val="24"/>
                <w:szCs w:val="24"/>
                <w:highlight w:val="none"/>
              </w:rPr>
            </w:pPr>
          </w:p>
        </w:tc>
        <w:tc>
          <w:tcPr>
            <w:tcW w:w="720" w:type="dxa"/>
            <w:vAlign w:val="top"/>
          </w:tcPr>
          <w:p w14:paraId="7F218FC1">
            <w:pPr>
              <w:pStyle w:val="35"/>
              <w:adjustRightInd w:val="0"/>
              <w:snapToGrid w:val="0"/>
              <w:spacing w:line="400" w:lineRule="exact"/>
              <w:rPr>
                <w:rFonts w:hint="eastAsia" w:ascii="宋体" w:hAnsi="宋体" w:eastAsia="宋体" w:cs="宋体"/>
                <w:color w:val="auto"/>
                <w:sz w:val="24"/>
                <w:szCs w:val="24"/>
                <w:highlight w:val="none"/>
              </w:rPr>
            </w:pPr>
          </w:p>
        </w:tc>
      </w:tr>
      <w:tr w14:paraId="21CD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06" w:type="dxa"/>
            <w:vAlign w:val="top"/>
          </w:tcPr>
          <w:p w14:paraId="2DF54B93">
            <w:pPr>
              <w:pStyle w:val="35"/>
              <w:adjustRightInd w:val="0"/>
              <w:snapToGrid w:val="0"/>
              <w:spacing w:line="400" w:lineRule="exact"/>
              <w:rPr>
                <w:rFonts w:hint="eastAsia" w:ascii="宋体" w:hAnsi="宋体" w:eastAsia="宋体" w:cs="宋体"/>
                <w:color w:val="auto"/>
                <w:sz w:val="24"/>
                <w:szCs w:val="24"/>
                <w:highlight w:val="none"/>
              </w:rPr>
            </w:pPr>
          </w:p>
        </w:tc>
        <w:tc>
          <w:tcPr>
            <w:tcW w:w="1202" w:type="dxa"/>
            <w:vAlign w:val="top"/>
          </w:tcPr>
          <w:p w14:paraId="6BDCD56B">
            <w:pPr>
              <w:pStyle w:val="35"/>
              <w:adjustRightInd w:val="0"/>
              <w:snapToGrid w:val="0"/>
              <w:spacing w:line="400" w:lineRule="exact"/>
              <w:rPr>
                <w:rFonts w:hint="eastAsia" w:ascii="宋体" w:hAnsi="宋体" w:eastAsia="宋体" w:cs="宋体"/>
                <w:color w:val="auto"/>
                <w:sz w:val="24"/>
                <w:szCs w:val="24"/>
                <w:highlight w:val="none"/>
              </w:rPr>
            </w:pPr>
          </w:p>
        </w:tc>
        <w:tc>
          <w:tcPr>
            <w:tcW w:w="1980" w:type="dxa"/>
            <w:gridSpan w:val="2"/>
            <w:vAlign w:val="top"/>
          </w:tcPr>
          <w:p w14:paraId="7D15D753">
            <w:pPr>
              <w:pStyle w:val="35"/>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合计（元）</w:t>
            </w:r>
          </w:p>
        </w:tc>
        <w:tc>
          <w:tcPr>
            <w:tcW w:w="1080" w:type="dxa"/>
            <w:vAlign w:val="top"/>
          </w:tcPr>
          <w:p w14:paraId="14009C61">
            <w:pPr>
              <w:pStyle w:val="35"/>
              <w:adjustRightInd w:val="0"/>
              <w:snapToGrid w:val="0"/>
              <w:spacing w:line="400" w:lineRule="exact"/>
              <w:rPr>
                <w:rFonts w:hint="eastAsia" w:ascii="宋体" w:hAnsi="宋体" w:eastAsia="宋体" w:cs="宋体"/>
                <w:color w:val="auto"/>
                <w:sz w:val="24"/>
                <w:szCs w:val="24"/>
                <w:highlight w:val="none"/>
              </w:rPr>
            </w:pPr>
          </w:p>
        </w:tc>
        <w:tc>
          <w:tcPr>
            <w:tcW w:w="900" w:type="dxa"/>
            <w:vAlign w:val="top"/>
          </w:tcPr>
          <w:p w14:paraId="78185984">
            <w:pPr>
              <w:pStyle w:val="35"/>
              <w:adjustRightInd w:val="0"/>
              <w:snapToGrid w:val="0"/>
              <w:spacing w:line="400" w:lineRule="exact"/>
              <w:rPr>
                <w:rFonts w:hint="eastAsia" w:ascii="宋体" w:hAnsi="宋体" w:eastAsia="宋体" w:cs="宋体"/>
                <w:color w:val="auto"/>
                <w:sz w:val="24"/>
                <w:szCs w:val="24"/>
                <w:highlight w:val="none"/>
              </w:rPr>
            </w:pPr>
          </w:p>
        </w:tc>
        <w:tc>
          <w:tcPr>
            <w:tcW w:w="1051" w:type="dxa"/>
            <w:vAlign w:val="top"/>
          </w:tcPr>
          <w:p w14:paraId="580629C6">
            <w:pPr>
              <w:pStyle w:val="35"/>
              <w:adjustRightInd w:val="0"/>
              <w:snapToGrid w:val="0"/>
              <w:spacing w:line="400" w:lineRule="exact"/>
              <w:rPr>
                <w:rFonts w:hint="eastAsia" w:ascii="宋体" w:hAnsi="宋体" w:eastAsia="宋体" w:cs="宋体"/>
                <w:color w:val="auto"/>
                <w:sz w:val="24"/>
                <w:szCs w:val="24"/>
                <w:highlight w:val="none"/>
              </w:rPr>
            </w:pPr>
          </w:p>
        </w:tc>
        <w:tc>
          <w:tcPr>
            <w:tcW w:w="1050" w:type="dxa"/>
            <w:vAlign w:val="top"/>
          </w:tcPr>
          <w:p w14:paraId="55A84319">
            <w:pPr>
              <w:pStyle w:val="35"/>
              <w:adjustRightInd w:val="0"/>
              <w:snapToGrid w:val="0"/>
              <w:spacing w:line="400" w:lineRule="exact"/>
              <w:rPr>
                <w:rFonts w:hint="eastAsia" w:ascii="宋体" w:hAnsi="宋体" w:eastAsia="宋体" w:cs="宋体"/>
                <w:color w:val="auto"/>
                <w:sz w:val="24"/>
                <w:szCs w:val="24"/>
                <w:highlight w:val="none"/>
              </w:rPr>
            </w:pPr>
          </w:p>
        </w:tc>
        <w:tc>
          <w:tcPr>
            <w:tcW w:w="959" w:type="dxa"/>
            <w:vAlign w:val="top"/>
          </w:tcPr>
          <w:p w14:paraId="41BAFC2A">
            <w:pPr>
              <w:pStyle w:val="35"/>
              <w:adjustRightInd w:val="0"/>
              <w:snapToGrid w:val="0"/>
              <w:spacing w:line="400" w:lineRule="exact"/>
              <w:rPr>
                <w:rFonts w:hint="eastAsia" w:ascii="宋体" w:hAnsi="宋体" w:eastAsia="宋体" w:cs="宋体"/>
                <w:color w:val="auto"/>
                <w:sz w:val="24"/>
                <w:szCs w:val="24"/>
                <w:highlight w:val="none"/>
              </w:rPr>
            </w:pPr>
          </w:p>
        </w:tc>
        <w:tc>
          <w:tcPr>
            <w:tcW w:w="808" w:type="dxa"/>
            <w:vAlign w:val="top"/>
          </w:tcPr>
          <w:p w14:paraId="50A86DB1">
            <w:pPr>
              <w:pStyle w:val="35"/>
              <w:adjustRightInd w:val="0"/>
              <w:snapToGrid w:val="0"/>
              <w:spacing w:line="400" w:lineRule="exact"/>
              <w:rPr>
                <w:rFonts w:hint="eastAsia" w:ascii="宋体" w:hAnsi="宋体" w:eastAsia="宋体" w:cs="宋体"/>
                <w:color w:val="auto"/>
                <w:sz w:val="24"/>
                <w:szCs w:val="24"/>
                <w:highlight w:val="none"/>
              </w:rPr>
            </w:pPr>
          </w:p>
        </w:tc>
        <w:tc>
          <w:tcPr>
            <w:tcW w:w="720" w:type="dxa"/>
            <w:vAlign w:val="top"/>
          </w:tcPr>
          <w:p w14:paraId="134782C3">
            <w:pPr>
              <w:pStyle w:val="35"/>
              <w:adjustRightInd w:val="0"/>
              <w:snapToGrid w:val="0"/>
              <w:spacing w:line="400" w:lineRule="exact"/>
              <w:rPr>
                <w:rFonts w:hint="eastAsia" w:ascii="宋体" w:hAnsi="宋体" w:eastAsia="宋体" w:cs="宋体"/>
                <w:color w:val="auto"/>
                <w:sz w:val="24"/>
                <w:szCs w:val="24"/>
                <w:highlight w:val="none"/>
              </w:rPr>
            </w:pPr>
          </w:p>
        </w:tc>
      </w:tr>
    </w:tbl>
    <w:p w14:paraId="5636B211">
      <w:pPr>
        <w:autoSpaceDE w:val="0"/>
        <w:autoSpaceDN w:val="0"/>
        <w:spacing w:line="360" w:lineRule="auto"/>
        <w:ind w:right="112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报价说明：</w:t>
      </w:r>
    </w:p>
    <w:p w14:paraId="2AE61C2F">
      <w:pPr>
        <w:numPr>
          <w:ilvl w:val="0"/>
          <w:numId w:val="5"/>
        </w:numPr>
        <w:spacing w:line="380" w:lineRule="exac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除采购人提供招标文件约定的内容外，其他均由投标人完成。</w:t>
      </w:r>
    </w:p>
    <w:p w14:paraId="57935381">
      <w:pPr>
        <w:numPr>
          <w:ilvl w:val="0"/>
          <w:numId w:val="5"/>
        </w:numPr>
        <w:spacing w:line="380" w:lineRule="exac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合计费用结转至开标一览表。表中不得有给予采购人的赠品、回扣或者与本项目采购无关的其他商品、服务。</w:t>
      </w:r>
    </w:p>
    <w:p w14:paraId="32E7892A">
      <w:pPr>
        <w:numPr>
          <w:ilvl w:val="0"/>
          <w:numId w:val="5"/>
        </w:numPr>
        <w:spacing w:line="380" w:lineRule="exac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各分项报价应合理，且不得低于成本。</w:t>
      </w:r>
    </w:p>
    <w:p w14:paraId="43499D33">
      <w:pPr>
        <w:numPr>
          <w:ilvl w:val="0"/>
          <w:numId w:val="5"/>
        </w:numPr>
        <w:spacing w:line="380" w:lineRule="exac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投标价格组成明细表是报价的唯一载体。</w:t>
      </w:r>
    </w:p>
    <w:p w14:paraId="7C10D51B">
      <w:pPr>
        <w:numPr>
          <w:ilvl w:val="0"/>
          <w:numId w:val="5"/>
        </w:numPr>
        <w:spacing w:line="380" w:lineRule="exac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我公司报价时已充分考虑最低工资调整因素。</w:t>
      </w:r>
    </w:p>
    <w:p w14:paraId="7EDB03A6">
      <w:pPr>
        <w:pStyle w:val="35"/>
        <w:snapToGrid w:val="0"/>
        <w:spacing w:line="300" w:lineRule="auto"/>
        <w:ind w:firstLine="480"/>
        <w:rPr>
          <w:rFonts w:hint="eastAsia" w:hAnsi="宋体" w:cs="宋体"/>
          <w:color w:val="auto"/>
          <w:sz w:val="24"/>
          <w:szCs w:val="24"/>
          <w:highlight w:val="none"/>
        </w:rPr>
      </w:pPr>
    </w:p>
    <w:p w14:paraId="3C603191">
      <w:pPr>
        <w:rPr>
          <w:rFonts w:hint="eastAsia" w:ascii="宋体" w:hAnsi="宋体" w:cs="宋体"/>
          <w:color w:val="auto"/>
          <w:sz w:val="24"/>
          <w:highlight w:val="none"/>
        </w:rPr>
      </w:pPr>
    </w:p>
    <w:p w14:paraId="3F71DD41">
      <w:pPr>
        <w:autoSpaceDE w:val="0"/>
        <w:autoSpaceDN w:val="0"/>
        <w:spacing w:line="360" w:lineRule="auto"/>
        <w:ind w:right="112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14:paraId="2CDE666F">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4C26B3F">
      <w:pPr>
        <w:pStyle w:val="6"/>
        <w:keepNext w:val="0"/>
        <w:numPr>
          <w:ilvl w:val="255"/>
          <w:numId w:val="0"/>
        </w:numPr>
        <w:snapToGrid w:val="0"/>
        <w:spacing w:before="120" w:after="120"/>
        <w:rPr>
          <w:rFonts w:cs="宋体" w:asciiTheme="majorEastAsia" w:hAnsiTheme="majorEastAsia" w:eastAsiaTheme="majorEastAsia"/>
          <w:color w:val="auto"/>
          <w:highlight w:val="none"/>
          <w:lang w:val="en-US"/>
        </w:rPr>
      </w:pPr>
    </w:p>
    <w:p w14:paraId="22CBC6B8">
      <w:pPr>
        <w:pStyle w:val="696"/>
        <w:keepNext w:val="0"/>
        <w:pageBreakBefore w:val="0"/>
        <w:tabs>
          <w:tab w:val="clear" w:pos="720"/>
        </w:tabs>
        <w:snapToGrid w:val="0"/>
        <w:spacing w:before="120" w:after="120"/>
        <w:ind w:firstLine="643"/>
        <w:outlineLvl w:val="9"/>
        <w:rPr>
          <w:rFonts w:cs="宋体" w:asciiTheme="majorEastAsia" w:hAnsiTheme="majorEastAsia" w:eastAsiaTheme="majorEastAsia"/>
          <w:color w:val="auto"/>
          <w:kern w:val="2"/>
          <w:sz w:val="32"/>
          <w:szCs w:val="32"/>
          <w:highlight w:val="none"/>
        </w:rPr>
      </w:pPr>
    </w:p>
    <w:p w14:paraId="7D0C1FFE">
      <w:pPr>
        <w:pStyle w:val="5"/>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r>
        <w:rPr>
          <w:rFonts w:hint="eastAsia" w:ascii="宋体" w:hAnsi="宋体" w:cs="宋体"/>
          <w:highlight w:val="none"/>
        </w:rPr>
        <w:t>附件</w:t>
      </w:r>
    </w:p>
    <w:p w14:paraId="0518E1EC">
      <w:pPr>
        <w:tabs>
          <w:tab w:val="left" w:pos="900"/>
        </w:tabs>
        <w:outlineLvl w:val="9"/>
        <w:rPr>
          <w:rFonts w:asciiTheme="majorEastAsia" w:hAnsiTheme="majorEastAsia" w:eastAsiaTheme="majorEastAsia" w:cstheme="majorEastAsia"/>
          <w:b/>
          <w:bCs/>
          <w:sz w:val="32"/>
          <w:szCs w:val="40"/>
          <w:highlight w:val="none"/>
        </w:rPr>
      </w:pPr>
      <w:r>
        <w:rPr>
          <w:rFonts w:hint="eastAsia" w:asciiTheme="majorEastAsia" w:hAnsiTheme="majorEastAsia" w:eastAsiaTheme="majorEastAsia" w:cstheme="majorEastAsia"/>
          <w:b/>
          <w:bCs/>
          <w:sz w:val="32"/>
          <w:szCs w:val="40"/>
          <w:highlight w:val="none"/>
        </w:rPr>
        <w:t>附件1：</w:t>
      </w:r>
      <w:bookmarkStart w:id="409" w:name="OLE_LINK14"/>
      <w:bookmarkStart w:id="410" w:name="OLE_LINK13"/>
      <w:r>
        <w:rPr>
          <w:rFonts w:hint="eastAsia" w:asciiTheme="majorEastAsia" w:hAnsiTheme="majorEastAsia" w:eastAsiaTheme="majorEastAsia" w:cstheme="majorEastAsia"/>
          <w:b/>
          <w:bCs/>
          <w:sz w:val="32"/>
          <w:szCs w:val="40"/>
          <w:highlight w:val="none"/>
        </w:rPr>
        <w:t>残疾人福利性单位声明函</w:t>
      </w:r>
    </w:p>
    <w:bookmarkEnd w:id="409"/>
    <w:bookmarkEnd w:id="410"/>
    <w:p w14:paraId="76AD6EE9">
      <w:pPr>
        <w:spacing w:line="360" w:lineRule="auto"/>
        <w:rPr>
          <w:rFonts w:ascii="宋体" w:hAnsi="宋体" w:cs="宋体"/>
          <w:b/>
          <w:spacing w:val="6"/>
          <w:sz w:val="30"/>
          <w:szCs w:val="30"/>
          <w:highlight w:val="none"/>
        </w:rPr>
      </w:pPr>
    </w:p>
    <w:p w14:paraId="70C0C3A9">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_单位的_</w:t>
      </w:r>
      <w:r>
        <w:rPr>
          <w:rFonts w:hint="eastAsia" w:ascii="宋体" w:hAnsi="宋体" w:cs="宋体"/>
          <w:sz w:val="24"/>
          <w:highlight w:val="none"/>
          <w:u w:val="single"/>
        </w:rPr>
        <w:t>（项目名称）</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098D76D3">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1AF971E0">
      <w:pPr>
        <w:spacing w:line="360" w:lineRule="auto"/>
        <w:ind w:firstLine="480" w:firstLineChars="200"/>
        <w:rPr>
          <w:rFonts w:ascii="宋体" w:hAnsi="宋体" w:cs="宋体"/>
          <w:sz w:val="24"/>
          <w:highlight w:val="none"/>
        </w:rPr>
      </w:pPr>
    </w:p>
    <w:p w14:paraId="086330AB">
      <w:pPr>
        <w:spacing w:line="360" w:lineRule="auto"/>
        <w:ind w:firstLine="480" w:firstLineChars="200"/>
        <w:rPr>
          <w:rFonts w:ascii="宋体" w:hAnsi="宋体" w:cs="宋体"/>
          <w:sz w:val="24"/>
          <w:highlight w:val="none"/>
        </w:rPr>
      </w:pPr>
    </w:p>
    <w:p w14:paraId="7AB5E292">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57622FF1">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4890028C">
      <w:pPr>
        <w:spacing w:line="360" w:lineRule="auto"/>
        <w:ind w:firstLine="480" w:firstLineChars="200"/>
        <w:rPr>
          <w:rFonts w:ascii="宋体" w:hAnsi="宋体" w:cs="宋体"/>
          <w:sz w:val="24"/>
          <w:highlight w:val="none"/>
        </w:rPr>
      </w:pPr>
    </w:p>
    <w:p w14:paraId="540FB26B">
      <w:pPr>
        <w:spacing w:line="360" w:lineRule="auto"/>
        <w:ind w:firstLine="420" w:firstLineChars="200"/>
        <w:rPr>
          <w:rFonts w:ascii="宋体" w:hAnsi="宋体" w:cs="宋体"/>
          <w:highlight w:val="none"/>
        </w:rPr>
      </w:pPr>
    </w:p>
    <w:p w14:paraId="2DC0BF47">
      <w:pPr>
        <w:spacing w:line="360" w:lineRule="auto"/>
        <w:ind w:firstLine="420" w:firstLineChars="200"/>
        <w:rPr>
          <w:rFonts w:ascii="宋体" w:hAnsi="宋体" w:cs="宋体"/>
          <w:highlight w:val="none"/>
        </w:rPr>
      </w:pPr>
    </w:p>
    <w:p w14:paraId="434E1457">
      <w:pPr>
        <w:spacing w:line="360" w:lineRule="auto"/>
        <w:ind w:firstLine="420" w:firstLineChars="200"/>
        <w:rPr>
          <w:rFonts w:ascii="宋体" w:hAnsi="宋体" w:cs="宋体"/>
          <w:highlight w:val="none"/>
        </w:rPr>
      </w:pPr>
    </w:p>
    <w:p w14:paraId="2F30C6C8">
      <w:pPr>
        <w:spacing w:line="360" w:lineRule="auto"/>
        <w:ind w:firstLine="420" w:firstLineChars="200"/>
        <w:rPr>
          <w:rFonts w:ascii="宋体" w:hAnsi="宋体" w:cs="宋体"/>
          <w:highlight w:val="none"/>
        </w:rPr>
      </w:pPr>
    </w:p>
    <w:p w14:paraId="0CC9B2EF">
      <w:pPr>
        <w:spacing w:line="360" w:lineRule="auto"/>
        <w:rPr>
          <w:rFonts w:ascii="宋体" w:hAnsi="宋体" w:cs="宋体"/>
          <w:b/>
          <w:sz w:val="24"/>
          <w:highlight w:val="none"/>
        </w:rPr>
      </w:pPr>
    </w:p>
    <w:p w14:paraId="6AB480B4">
      <w:pPr>
        <w:spacing w:line="360" w:lineRule="auto"/>
        <w:rPr>
          <w:rFonts w:ascii="宋体" w:hAnsi="宋体" w:cs="宋体"/>
          <w:b/>
          <w:sz w:val="24"/>
          <w:highlight w:val="none"/>
        </w:rPr>
      </w:pPr>
    </w:p>
    <w:p w14:paraId="28B86AAB">
      <w:pPr>
        <w:spacing w:line="360" w:lineRule="auto"/>
        <w:rPr>
          <w:rFonts w:ascii="宋体" w:hAnsi="宋体" w:cs="宋体"/>
          <w:b/>
          <w:sz w:val="24"/>
          <w:highlight w:val="none"/>
        </w:rPr>
      </w:pPr>
    </w:p>
    <w:p w14:paraId="7EC7E81E">
      <w:pPr>
        <w:spacing w:line="360" w:lineRule="auto"/>
        <w:rPr>
          <w:rFonts w:ascii="宋体" w:hAnsi="宋体" w:cs="宋体"/>
          <w:b/>
          <w:sz w:val="24"/>
          <w:highlight w:val="none"/>
        </w:rPr>
      </w:pPr>
    </w:p>
    <w:p w14:paraId="4F7EFC71">
      <w:pPr>
        <w:spacing w:line="360" w:lineRule="auto"/>
        <w:rPr>
          <w:rFonts w:ascii="宋体" w:hAnsi="宋体" w:cs="宋体"/>
          <w:b/>
          <w:sz w:val="24"/>
          <w:highlight w:val="none"/>
        </w:rPr>
      </w:pPr>
    </w:p>
    <w:p w14:paraId="62DCE0A6">
      <w:pPr>
        <w:spacing w:line="360" w:lineRule="auto"/>
        <w:rPr>
          <w:rFonts w:ascii="宋体" w:hAnsi="宋体" w:cs="宋体"/>
          <w:b/>
          <w:sz w:val="24"/>
          <w:highlight w:val="none"/>
        </w:rPr>
      </w:pPr>
    </w:p>
    <w:p w14:paraId="48C3BC8D">
      <w:pPr>
        <w:spacing w:line="360" w:lineRule="auto"/>
        <w:rPr>
          <w:rFonts w:ascii="宋体" w:hAnsi="宋体" w:cs="宋体"/>
          <w:b/>
          <w:sz w:val="24"/>
          <w:highlight w:val="none"/>
        </w:rPr>
      </w:pPr>
    </w:p>
    <w:p w14:paraId="678BE6CD">
      <w:pPr>
        <w:spacing w:line="360" w:lineRule="auto"/>
        <w:rPr>
          <w:rFonts w:ascii="宋体" w:hAnsi="宋体" w:cs="宋体"/>
          <w:b/>
          <w:sz w:val="24"/>
          <w:highlight w:val="none"/>
        </w:rPr>
      </w:pPr>
    </w:p>
    <w:p w14:paraId="61A33666">
      <w:pPr>
        <w:spacing w:line="360" w:lineRule="auto"/>
        <w:rPr>
          <w:rFonts w:ascii="宋体" w:hAnsi="宋体" w:cs="宋体"/>
          <w:b/>
          <w:sz w:val="24"/>
          <w:highlight w:val="none"/>
        </w:rPr>
      </w:pPr>
    </w:p>
    <w:p w14:paraId="53264BB8">
      <w:pPr>
        <w:tabs>
          <w:tab w:val="left" w:pos="900"/>
        </w:tabs>
        <w:outlineLvl w:val="9"/>
        <w:rPr>
          <w:rFonts w:hint="eastAsia" w:asciiTheme="majorEastAsia" w:hAnsiTheme="majorEastAsia" w:eastAsiaTheme="majorEastAsia" w:cstheme="majorEastAsia"/>
          <w:highlight w:val="none"/>
        </w:rPr>
      </w:pPr>
    </w:p>
    <w:p w14:paraId="4A5340C7">
      <w:pPr>
        <w:tabs>
          <w:tab w:val="left" w:pos="900"/>
        </w:tabs>
        <w:outlineLvl w:val="9"/>
        <w:rPr>
          <w:rFonts w:hint="eastAsia" w:asciiTheme="majorEastAsia" w:hAnsiTheme="majorEastAsia" w:eastAsiaTheme="majorEastAsia" w:cstheme="majorEastAsia"/>
          <w:highlight w:val="none"/>
        </w:rPr>
      </w:pPr>
    </w:p>
    <w:p w14:paraId="411F1EA0">
      <w:pPr>
        <w:tabs>
          <w:tab w:val="left" w:pos="900"/>
        </w:tabs>
        <w:outlineLvl w:val="9"/>
        <w:rPr>
          <w:rFonts w:hint="eastAsia" w:asciiTheme="majorEastAsia" w:hAnsiTheme="majorEastAsia" w:eastAsiaTheme="majorEastAsia" w:cstheme="majorEastAsia"/>
          <w:highlight w:val="none"/>
        </w:rPr>
      </w:pPr>
    </w:p>
    <w:p w14:paraId="0A80D02B">
      <w:pPr>
        <w:tabs>
          <w:tab w:val="left" w:pos="900"/>
        </w:tabs>
        <w:outlineLvl w:val="9"/>
        <w:rPr>
          <w:rFonts w:asciiTheme="majorEastAsia" w:hAnsiTheme="majorEastAsia" w:eastAsiaTheme="majorEastAsia" w:cstheme="majorEastAsia"/>
          <w:b/>
          <w:bCs/>
          <w:sz w:val="28"/>
          <w:szCs w:val="36"/>
          <w:highlight w:val="none"/>
        </w:rPr>
      </w:pPr>
      <w:r>
        <w:rPr>
          <w:rFonts w:hint="eastAsia" w:asciiTheme="majorEastAsia" w:hAnsiTheme="majorEastAsia" w:eastAsiaTheme="majorEastAsia" w:cstheme="majorEastAsia"/>
          <w:b/>
          <w:bCs/>
          <w:sz w:val="28"/>
          <w:szCs w:val="36"/>
          <w:highlight w:val="none"/>
        </w:rPr>
        <w:t>附件2：质疑函范本及制作说明</w:t>
      </w:r>
    </w:p>
    <w:p w14:paraId="168F4766">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1DEE3B15">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03E4DC20">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1FDB5079">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42F37023">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7302F15A">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3890E72F">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C15C599">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6B64A1F0">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265B8455">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3661B3AA">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6F520E23">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7CAD9ED3">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43E3CEF1">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78580433">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7002D7DA">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221C68F0">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1DAE53FB">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2BD416A9">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014F99C3">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5E22B19F">
      <w:pPr>
        <w:snapToGrid w:val="0"/>
        <w:spacing w:line="360" w:lineRule="auto"/>
        <w:rPr>
          <w:rFonts w:ascii="宋体" w:hAnsi="宋体" w:cs="宋体"/>
          <w:sz w:val="24"/>
          <w:highlight w:val="none"/>
        </w:rPr>
      </w:pPr>
      <w:r>
        <w:rPr>
          <w:rFonts w:hint="eastAsia" w:ascii="宋体" w:hAnsi="宋体" w:cs="宋体"/>
          <w:sz w:val="24"/>
          <w:highlight w:val="none"/>
        </w:rPr>
        <w:t>……</w:t>
      </w:r>
    </w:p>
    <w:p w14:paraId="0C3F7D85">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17502821">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42D543D8">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3F742498">
      <w:pPr>
        <w:spacing w:line="360" w:lineRule="auto"/>
        <w:rPr>
          <w:rFonts w:ascii="宋体" w:hAnsi="宋体" w:cs="宋体"/>
          <w:sz w:val="24"/>
          <w:highlight w:val="none"/>
        </w:rPr>
      </w:pPr>
      <w:r>
        <w:rPr>
          <w:rFonts w:hint="eastAsia" w:ascii="宋体" w:hAnsi="宋体" w:cs="宋体"/>
          <w:sz w:val="24"/>
          <w:highlight w:val="none"/>
        </w:rPr>
        <w:t xml:space="preserve">日期：    </w:t>
      </w:r>
    </w:p>
    <w:p w14:paraId="60366CC9">
      <w:pPr>
        <w:spacing w:line="360" w:lineRule="auto"/>
        <w:jc w:val="center"/>
        <w:rPr>
          <w:rFonts w:ascii="宋体" w:hAnsi="宋体" w:cs="宋体"/>
          <w:b/>
          <w:bCs/>
          <w:sz w:val="24"/>
          <w:highlight w:val="none"/>
        </w:rPr>
      </w:pPr>
    </w:p>
    <w:p w14:paraId="03A870E8">
      <w:pPr>
        <w:spacing w:line="360" w:lineRule="auto"/>
        <w:rPr>
          <w:rFonts w:ascii="宋体" w:hAnsi="宋体" w:cs="宋体"/>
          <w:b/>
          <w:sz w:val="24"/>
          <w:highlight w:val="none"/>
        </w:rPr>
      </w:pPr>
    </w:p>
    <w:p w14:paraId="453B7A47">
      <w:pPr>
        <w:spacing w:line="360" w:lineRule="auto"/>
        <w:rPr>
          <w:rFonts w:ascii="宋体" w:hAnsi="宋体" w:cs="宋体"/>
          <w:b/>
          <w:sz w:val="24"/>
          <w:highlight w:val="none"/>
        </w:rPr>
      </w:pPr>
    </w:p>
    <w:p w14:paraId="0F0672EE">
      <w:pPr>
        <w:spacing w:line="360" w:lineRule="auto"/>
        <w:rPr>
          <w:rFonts w:ascii="宋体" w:hAnsi="宋体" w:cs="宋体"/>
          <w:b/>
          <w:sz w:val="24"/>
          <w:highlight w:val="none"/>
        </w:rPr>
      </w:pPr>
    </w:p>
    <w:p w14:paraId="5FF3FA4F">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08EB7B7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366966B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4F33A84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561434A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65D73FA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51FD8AA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4F73B13F">
      <w:pPr>
        <w:widowControl/>
        <w:spacing w:line="360" w:lineRule="auto"/>
        <w:ind w:firstLine="600" w:firstLineChars="200"/>
        <w:jc w:val="left"/>
        <w:rPr>
          <w:rFonts w:ascii="宋体" w:hAnsi="宋体" w:cs="宋体"/>
          <w:sz w:val="30"/>
          <w:szCs w:val="30"/>
          <w:highlight w:val="none"/>
        </w:rPr>
      </w:pPr>
    </w:p>
    <w:p w14:paraId="7B03369E">
      <w:pPr>
        <w:spacing w:line="360" w:lineRule="auto"/>
        <w:jc w:val="center"/>
        <w:rPr>
          <w:rFonts w:ascii="宋体" w:hAnsi="宋体" w:cs="宋体"/>
          <w:b/>
          <w:spacing w:val="6"/>
          <w:sz w:val="32"/>
          <w:szCs w:val="32"/>
          <w:highlight w:val="none"/>
        </w:rPr>
      </w:pPr>
    </w:p>
    <w:p w14:paraId="5342A926">
      <w:pPr>
        <w:spacing w:line="360" w:lineRule="auto"/>
        <w:jc w:val="center"/>
        <w:rPr>
          <w:rFonts w:ascii="宋体" w:hAnsi="宋体" w:cs="宋体"/>
          <w:b/>
          <w:spacing w:val="6"/>
          <w:sz w:val="32"/>
          <w:szCs w:val="32"/>
          <w:highlight w:val="none"/>
        </w:rPr>
      </w:pPr>
    </w:p>
    <w:p w14:paraId="2EC59507">
      <w:pPr>
        <w:spacing w:line="360" w:lineRule="auto"/>
        <w:jc w:val="center"/>
        <w:rPr>
          <w:rFonts w:ascii="宋体" w:hAnsi="宋体" w:cs="宋体"/>
          <w:b/>
          <w:spacing w:val="6"/>
          <w:sz w:val="32"/>
          <w:szCs w:val="32"/>
          <w:highlight w:val="none"/>
        </w:rPr>
      </w:pPr>
    </w:p>
    <w:p w14:paraId="6B636BB1">
      <w:pPr>
        <w:spacing w:line="360" w:lineRule="auto"/>
        <w:jc w:val="center"/>
        <w:rPr>
          <w:rFonts w:ascii="宋体" w:hAnsi="宋体" w:cs="宋体"/>
          <w:b/>
          <w:spacing w:val="6"/>
          <w:sz w:val="32"/>
          <w:szCs w:val="32"/>
          <w:highlight w:val="none"/>
        </w:rPr>
      </w:pPr>
    </w:p>
    <w:p w14:paraId="3340575E">
      <w:pPr>
        <w:spacing w:line="360" w:lineRule="auto"/>
        <w:jc w:val="center"/>
        <w:rPr>
          <w:rFonts w:ascii="宋体" w:hAnsi="宋体" w:cs="宋体"/>
          <w:b/>
          <w:spacing w:val="6"/>
          <w:sz w:val="32"/>
          <w:szCs w:val="32"/>
          <w:highlight w:val="none"/>
        </w:rPr>
      </w:pPr>
    </w:p>
    <w:p w14:paraId="6FFE1D90">
      <w:pPr>
        <w:spacing w:line="360" w:lineRule="auto"/>
        <w:jc w:val="center"/>
        <w:rPr>
          <w:rFonts w:ascii="宋体" w:hAnsi="宋体" w:cs="宋体"/>
          <w:b/>
          <w:spacing w:val="6"/>
          <w:sz w:val="32"/>
          <w:szCs w:val="32"/>
          <w:highlight w:val="none"/>
        </w:rPr>
      </w:pPr>
    </w:p>
    <w:p w14:paraId="3FC750D5">
      <w:pPr>
        <w:spacing w:line="360" w:lineRule="auto"/>
        <w:jc w:val="center"/>
        <w:rPr>
          <w:rFonts w:ascii="宋体" w:hAnsi="宋体" w:cs="宋体"/>
          <w:b/>
          <w:spacing w:val="6"/>
          <w:sz w:val="32"/>
          <w:szCs w:val="32"/>
          <w:highlight w:val="none"/>
        </w:rPr>
      </w:pPr>
    </w:p>
    <w:p w14:paraId="044F3ECB">
      <w:pPr>
        <w:spacing w:line="360" w:lineRule="auto"/>
        <w:jc w:val="center"/>
        <w:rPr>
          <w:rFonts w:ascii="宋体" w:hAnsi="宋体" w:cs="宋体"/>
          <w:b/>
          <w:spacing w:val="6"/>
          <w:sz w:val="32"/>
          <w:szCs w:val="32"/>
          <w:highlight w:val="none"/>
        </w:rPr>
      </w:pPr>
    </w:p>
    <w:p w14:paraId="700325DA">
      <w:pPr>
        <w:spacing w:line="360" w:lineRule="auto"/>
        <w:jc w:val="center"/>
        <w:rPr>
          <w:rFonts w:ascii="宋体" w:hAnsi="宋体" w:cs="宋体"/>
          <w:b/>
          <w:spacing w:val="6"/>
          <w:sz w:val="32"/>
          <w:szCs w:val="32"/>
          <w:highlight w:val="none"/>
        </w:rPr>
      </w:pPr>
    </w:p>
    <w:p w14:paraId="65613FBF">
      <w:pPr>
        <w:spacing w:line="360" w:lineRule="auto"/>
        <w:jc w:val="center"/>
        <w:rPr>
          <w:rFonts w:ascii="宋体" w:hAnsi="宋体" w:cs="宋体"/>
          <w:b/>
          <w:spacing w:val="6"/>
          <w:sz w:val="32"/>
          <w:szCs w:val="32"/>
          <w:highlight w:val="none"/>
        </w:rPr>
      </w:pPr>
    </w:p>
    <w:p w14:paraId="59867705">
      <w:pPr>
        <w:spacing w:line="360" w:lineRule="auto"/>
        <w:jc w:val="center"/>
        <w:rPr>
          <w:rFonts w:ascii="宋体" w:hAnsi="宋体" w:cs="宋体"/>
          <w:b/>
          <w:spacing w:val="6"/>
          <w:sz w:val="32"/>
          <w:szCs w:val="32"/>
          <w:highlight w:val="none"/>
        </w:rPr>
      </w:pPr>
    </w:p>
    <w:p w14:paraId="7C53DFE8">
      <w:pPr>
        <w:spacing w:line="360" w:lineRule="auto"/>
        <w:jc w:val="center"/>
        <w:rPr>
          <w:rFonts w:ascii="宋体" w:hAnsi="宋体" w:cs="宋体"/>
          <w:b/>
          <w:spacing w:val="6"/>
          <w:sz w:val="32"/>
          <w:szCs w:val="32"/>
          <w:highlight w:val="none"/>
        </w:rPr>
      </w:pPr>
    </w:p>
    <w:p w14:paraId="598B31F8">
      <w:pPr>
        <w:spacing w:line="360" w:lineRule="auto"/>
        <w:jc w:val="left"/>
        <w:rPr>
          <w:rFonts w:ascii="宋体" w:hAnsi="宋体" w:cs="宋体"/>
          <w:b/>
          <w:spacing w:val="6"/>
          <w:sz w:val="32"/>
          <w:szCs w:val="32"/>
          <w:highlight w:val="none"/>
        </w:rPr>
      </w:pPr>
    </w:p>
    <w:p w14:paraId="0EA8FEEB">
      <w:pPr>
        <w:spacing w:line="360" w:lineRule="auto"/>
        <w:jc w:val="left"/>
        <w:rPr>
          <w:rFonts w:ascii="宋体" w:hAnsi="宋体" w:cs="宋体"/>
          <w:b/>
          <w:spacing w:val="6"/>
          <w:sz w:val="32"/>
          <w:szCs w:val="32"/>
          <w:highlight w:val="none"/>
        </w:rPr>
      </w:pPr>
    </w:p>
    <w:p w14:paraId="4EF72BA6">
      <w:pPr>
        <w:tabs>
          <w:tab w:val="left" w:pos="900"/>
        </w:tabs>
        <w:outlineLvl w:val="9"/>
        <w:rPr>
          <w:rFonts w:asciiTheme="majorEastAsia" w:hAnsiTheme="majorEastAsia" w:eastAsiaTheme="majorEastAsia" w:cstheme="majorEastAsia"/>
          <w:highlight w:val="none"/>
        </w:rPr>
      </w:pPr>
      <w:r>
        <w:rPr>
          <w:rFonts w:hint="eastAsia" w:asciiTheme="majorEastAsia" w:hAnsiTheme="majorEastAsia" w:eastAsiaTheme="majorEastAsia" w:cstheme="majorEastAsia"/>
          <w:b/>
          <w:bCs/>
          <w:sz w:val="28"/>
          <w:szCs w:val="36"/>
          <w:highlight w:val="none"/>
        </w:rPr>
        <w:t>附件3：投诉书范本及制作说明</w:t>
      </w:r>
    </w:p>
    <w:p w14:paraId="7EB3E93B">
      <w:pPr>
        <w:spacing w:line="360" w:lineRule="auto"/>
        <w:jc w:val="center"/>
        <w:rPr>
          <w:rFonts w:ascii="宋体" w:hAnsi="宋体" w:cs="宋体"/>
          <w:b/>
          <w:sz w:val="24"/>
          <w:highlight w:val="none"/>
        </w:rPr>
      </w:pPr>
    </w:p>
    <w:p w14:paraId="08C8427C">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4D88EDE2">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570EC7C6">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33C4215C">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A9D0970">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1AC1A5C1">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3C2B81D">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44DC8B3">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551FA19C">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46EA3E3">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B6B0D07">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D703640">
      <w:pPr>
        <w:spacing w:line="360" w:lineRule="auto"/>
        <w:rPr>
          <w:rFonts w:ascii="宋体" w:hAnsi="宋体" w:cs="宋体"/>
          <w:sz w:val="24"/>
          <w:highlight w:val="none"/>
        </w:rPr>
      </w:pPr>
      <w:r>
        <w:rPr>
          <w:rFonts w:hint="eastAsia" w:ascii="宋体" w:hAnsi="宋体" w:cs="宋体"/>
          <w:sz w:val="24"/>
          <w:highlight w:val="none"/>
        </w:rPr>
        <w:t>被投诉人2</w:t>
      </w:r>
    </w:p>
    <w:p w14:paraId="3C3A4E3D">
      <w:pPr>
        <w:spacing w:line="360" w:lineRule="auto"/>
        <w:rPr>
          <w:rFonts w:ascii="宋体" w:hAnsi="宋体" w:cs="宋体"/>
          <w:sz w:val="24"/>
          <w:highlight w:val="none"/>
          <w:u w:val="dotted"/>
        </w:rPr>
      </w:pPr>
      <w:r>
        <w:rPr>
          <w:rFonts w:hint="eastAsia" w:ascii="宋体" w:hAnsi="宋体" w:cs="宋体"/>
          <w:sz w:val="24"/>
          <w:highlight w:val="none"/>
        </w:rPr>
        <w:t>……</w:t>
      </w:r>
    </w:p>
    <w:p w14:paraId="4B11214A">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71C444B">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B1A1B68">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D7673E9">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205BE0E3">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6E3EA1B4">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18798155">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DCB8902">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65AD9739">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07DD8F86">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31EAB4C6">
      <w:pPr>
        <w:spacing w:line="360" w:lineRule="auto"/>
        <w:rPr>
          <w:rFonts w:ascii="宋体" w:hAnsi="宋体" w:cs="宋体"/>
          <w:sz w:val="24"/>
          <w:highlight w:val="none"/>
        </w:rPr>
      </w:pPr>
      <w:r>
        <w:rPr>
          <w:rFonts w:hint="eastAsia" w:ascii="宋体" w:hAnsi="宋体" w:cs="宋体"/>
          <w:sz w:val="24"/>
          <w:highlight w:val="none"/>
        </w:rPr>
        <w:t>三、质疑基本情况</w:t>
      </w:r>
    </w:p>
    <w:p w14:paraId="2D610DDC">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0383F753">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D0C5616">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50DE861C">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37B72B86">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1FDCADBC">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0D2C3E5E">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717C5ECB">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50F67257">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1986A4C6">
      <w:pPr>
        <w:spacing w:line="360" w:lineRule="auto"/>
        <w:rPr>
          <w:rFonts w:ascii="宋体" w:hAnsi="宋体" w:cs="宋体"/>
          <w:sz w:val="24"/>
          <w:highlight w:val="none"/>
        </w:rPr>
      </w:pPr>
      <w:r>
        <w:rPr>
          <w:rFonts w:hint="eastAsia" w:ascii="宋体" w:hAnsi="宋体" w:cs="宋体"/>
          <w:sz w:val="24"/>
          <w:highlight w:val="none"/>
        </w:rPr>
        <w:t>投诉事项2</w:t>
      </w:r>
    </w:p>
    <w:p w14:paraId="19F5D054">
      <w:pPr>
        <w:spacing w:line="360" w:lineRule="auto"/>
        <w:rPr>
          <w:rFonts w:ascii="宋体" w:hAnsi="宋体" w:cs="宋体"/>
          <w:sz w:val="24"/>
          <w:highlight w:val="none"/>
          <w:u w:val="dotted"/>
        </w:rPr>
      </w:pPr>
      <w:r>
        <w:rPr>
          <w:rFonts w:hint="eastAsia" w:ascii="宋体" w:hAnsi="宋体" w:cs="宋体"/>
          <w:sz w:val="24"/>
          <w:highlight w:val="none"/>
        </w:rPr>
        <w:t>……</w:t>
      </w:r>
    </w:p>
    <w:p w14:paraId="1E4A6189">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2039B7F3">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E6839C8">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6105B495">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694C1D81">
      <w:pPr>
        <w:spacing w:line="360" w:lineRule="auto"/>
        <w:rPr>
          <w:rFonts w:ascii="宋体" w:hAnsi="宋体" w:cs="宋体"/>
          <w:sz w:val="24"/>
          <w:highlight w:val="none"/>
        </w:rPr>
      </w:pPr>
      <w:r>
        <w:rPr>
          <w:rFonts w:hint="eastAsia" w:ascii="宋体" w:hAnsi="宋体" w:cs="宋体"/>
          <w:sz w:val="24"/>
          <w:highlight w:val="none"/>
        </w:rPr>
        <w:t xml:space="preserve">日期：    </w:t>
      </w:r>
    </w:p>
    <w:p w14:paraId="4D0E0BE2">
      <w:pPr>
        <w:spacing w:line="360" w:lineRule="auto"/>
        <w:rPr>
          <w:rFonts w:ascii="宋体" w:hAnsi="宋体" w:cs="宋体"/>
          <w:b/>
          <w:sz w:val="24"/>
          <w:highlight w:val="none"/>
        </w:rPr>
      </w:pPr>
    </w:p>
    <w:p w14:paraId="0B61CC45">
      <w:pPr>
        <w:spacing w:line="360" w:lineRule="auto"/>
        <w:rPr>
          <w:rFonts w:ascii="宋体" w:hAnsi="宋体" w:cs="宋体"/>
          <w:b/>
          <w:sz w:val="24"/>
          <w:highlight w:val="none"/>
        </w:rPr>
      </w:pPr>
    </w:p>
    <w:p w14:paraId="47B245FE">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64651E57">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0FFC66D4">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38255EC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3AC2E6B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526B88F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3452E30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10CB762D">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0FCD3598">
      <w:pPr>
        <w:spacing w:line="360" w:lineRule="auto"/>
        <w:rPr>
          <w:rFonts w:ascii="宋体" w:hAnsi="宋体" w:cs="宋体"/>
          <w:b/>
          <w:sz w:val="24"/>
          <w:highlight w:val="none"/>
        </w:rPr>
      </w:pPr>
    </w:p>
    <w:p w14:paraId="78785083">
      <w:pPr>
        <w:autoSpaceDE w:val="0"/>
        <w:autoSpaceDN w:val="0"/>
        <w:rPr>
          <w:rFonts w:ascii="宋体" w:hAnsi="宋体" w:cs="宋体"/>
          <w:b/>
          <w:spacing w:val="6"/>
          <w:sz w:val="32"/>
          <w:szCs w:val="32"/>
          <w:highlight w:val="none"/>
        </w:rPr>
      </w:pPr>
    </w:p>
    <w:p w14:paraId="2203A226">
      <w:pPr>
        <w:tabs>
          <w:tab w:val="left" w:pos="900"/>
        </w:tabs>
        <w:outlineLvl w:val="9"/>
        <w:rPr>
          <w:rFonts w:hint="eastAsia" w:asciiTheme="majorEastAsia" w:hAnsiTheme="majorEastAsia" w:eastAsiaTheme="majorEastAsia" w:cstheme="majorEastAsia"/>
          <w:b/>
          <w:bCs/>
          <w:sz w:val="28"/>
          <w:szCs w:val="36"/>
          <w:highlight w:val="none"/>
        </w:rPr>
      </w:pPr>
    </w:p>
    <w:p w14:paraId="534B6833">
      <w:pPr>
        <w:tabs>
          <w:tab w:val="left" w:pos="900"/>
        </w:tabs>
        <w:outlineLvl w:val="9"/>
        <w:rPr>
          <w:rFonts w:hint="eastAsia" w:asciiTheme="majorEastAsia" w:hAnsiTheme="majorEastAsia" w:eastAsiaTheme="majorEastAsia" w:cstheme="majorEastAsia"/>
          <w:b/>
          <w:bCs/>
          <w:sz w:val="28"/>
          <w:szCs w:val="36"/>
          <w:highlight w:val="none"/>
        </w:rPr>
      </w:pPr>
    </w:p>
    <w:p w14:paraId="003AA094">
      <w:pPr>
        <w:tabs>
          <w:tab w:val="left" w:pos="900"/>
        </w:tabs>
        <w:outlineLvl w:val="9"/>
        <w:rPr>
          <w:rFonts w:asciiTheme="majorEastAsia" w:hAnsiTheme="majorEastAsia" w:eastAsiaTheme="majorEastAsia" w:cstheme="majorEastAsia"/>
          <w:highlight w:val="none"/>
        </w:rPr>
      </w:pPr>
      <w:r>
        <w:rPr>
          <w:rFonts w:hint="eastAsia" w:asciiTheme="majorEastAsia" w:hAnsiTheme="majorEastAsia" w:eastAsiaTheme="majorEastAsia" w:cstheme="majorEastAsia"/>
          <w:b/>
          <w:bCs/>
          <w:sz w:val="28"/>
          <w:szCs w:val="36"/>
          <w:highlight w:val="none"/>
        </w:rPr>
        <w:t>附件4：业务专用章使用说明函</w:t>
      </w:r>
    </w:p>
    <w:p w14:paraId="0BE2E613">
      <w:pPr>
        <w:spacing w:line="360" w:lineRule="auto"/>
        <w:rPr>
          <w:rFonts w:ascii="宋体" w:hAnsi="宋体" w:cs="宋体"/>
          <w:sz w:val="24"/>
          <w:highlight w:val="none"/>
          <w:u w:val="single"/>
        </w:rPr>
      </w:pPr>
    </w:p>
    <w:p w14:paraId="74B005CC">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14:paraId="45CEE401">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你方组织的（项目名称）【</w:t>
      </w:r>
      <w:r>
        <w:rPr>
          <w:rFonts w:hint="eastAsia" w:ascii="宋体" w:hAnsi="宋体" w:cs="宋体"/>
          <w:sz w:val="24"/>
          <w:highlight w:val="none"/>
          <w:lang w:eastAsia="zh-CN"/>
        </w:rPr>
        <w:t>项目编号</w:t>
      </w:r>
      <w:r>
        <w:rPr>
          <w:rFonts w:hint="eastAsia" w:ascii="宋体" w:hAnsi="宋体" w:cs="宋体"/>
          <w:sz w:val="24"/>
          <w:highlight w:val="none"/>
        </w:rPr>
        <w:t>：</w:t>
      </w:r>
      <w:r>
        <w:rPr>
          <w:rFonts w:hint="eastAsia" w:ascii="宋体" w:hAnsi="宋体" w:cs="宋体"/>
          <w:sz w:val="24"/>
          <w:highlight w:val="none"/>
          <w:lang w:val="en-US" w:eastAsia="zh-CN"/>
        </w:rPr>
        <w:t xml:space="preserve">   </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3B880C0D">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1E57839A">
      <w:pPr>
        <w:spacing w:line="360" w:lineRule="auto"/>
        <w:ind w:firstLine="494"/>
        <w:rPr>
          <w:rFonts w:ascii="宋体" w:hAnsi="宋体" w:cs="宋体"/>
          <w:sz w:val="24"/>
          <w:highlight w:val="none"/>
        </w:rPr>
      </w:pPr>
    </w:p>
    <w:p w14:paraId="301AB713">
      <w:pPr>
        <w:spacing w:line="360" w:lineRule="auto"/>
        <w:ind w:firstLine="494"/>
        <w:rPr>
          <w:rFonts w:ascii="宋体" w:hAnsi="宋体" w:cs="宋体"/>
          <w:sz w:val="24"/>
          <w:highlight w:val="none"/>
        </w:rPr>
      </w:pPr>
    </w:p>
    <w:p w14:paraId="3401E165">
      <w:pPr>
        <w:spacing w:line="360" w:lineRule="auto"/>
        <w:ind w:firstLine="494"/>
        <w:rPr>
          <w:rFonts w:ascii="宋体" w:hAnsi="宋体" w:cs="宋体"/>
          <w:sz w:val="24"/>
          <w:highlight w:val="none"/>
        </w:rPr>
      </w:pPr>
    </w:p>
    <w:p w14:paraId="4BDC850E">
      <w:pPr>
        <w:spacing w:line="360" w:lineRule="auto"/>
        <w:ind w:firstLine="494"/>
        <w:rPr>
          <w:rFonts w:ascii="宋体" w:hAnsi="宋体" w:cs="宋体"/>
          <w:sz w:val="24"/>
          <w:highlight w:val="none"/>
        </w:rPr>
      </w:pPr>
    </w:p>
    <w:p w14:paraId="1897BE14">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6DB698C5">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20774BF2">
      <w:pPr>
        <w:rPr>
          <w:rFonts w:ascii="宋体" w:hAnsi="宋体" w:cs="宋体"/>
          <w:sz w:val="24"/>
          <w:highlight w:val="none"/>
        </w:rPr>
      </w:pPr>
      <w:r>
        <w:rPr>
          <w:rFonts w:hint="eastAsia" w:ascii="宋体" w:hAnsi="宋体" w:cs="宋体"/>
          <w:b/>
          <w:bCs/>
          <w:sz w:val="24"/>
          <w:highlight w:val="none"/>
        </w:rPr>
        <w:t>附：</w:t>
      </w:r>
    </w:p>
    <w:p w14:paraId="4E8FA459">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31252105">
      <w:pPr>
        <w:autoSpaceDE w:val="0"/>
        <w:autoSpaceDN w:val="0"/>
        <w:jc w:val="center"/>
        <w:rPr>
          <w:rFonts w:ascii="宋体" w:hAnsi="宋体" w:cs="宋体"/>
          <w:b/>
          <w:spacing w:val="6"/>
          <w:sz w:val="32"/>
          <w:szCs w:val="32"/>
          <w:highlight w:val="none"/>
        </w:rPr>
      </w:pPr>
    </w:p>
    <w:p w14:paraId="3767C553">
      <w:pPr>
        <w:autoSpaceDE w:val="0"/>
        <w:autoSpaceDN w:val="0"/>
        <w:jc w:val="center"/>
        <w:rPr>
          <w:rFonts w:ascii="宋体" w:hAnsi="宋体" w:cs="宋体"/>
          <w:b/>
          <w:spacing w:val="6"/>
          <w:sz w:val="32"/>
          <w:szCs w:val="32"/>
          <w:highlight w:val="none"/>
        </w:rPr>
      </w:pPr>
    </w:p>
    <w:p w14:paraId="5B41AC5B">
      <w:pPr>
        <w:autoSpaceDE w:val="0"/>
        <w:autoSpaceDN w:val="0"/>
        <w:jc w:val="center"/>
        <w:rPr>
          <w:rFonts w:ascii="宋体" w:hAnsi="宋体" w:cs="宋体"/>
          <w:b/>
          <w:spacing w:val="6"/>
          <w:sz w:val="32"/>
          <w:szCs w:val="32"/>
          <w:highlight w:val="none"/>
        </w:rPr>
      </w:pPr>
    </w:p>
    <w:p w14:paraId="7E94F0C8">
      <w:pPr>
        <w:autoSpaceDE w:val="0"/>
        <w:autoSpaceDN w:val="0"/>
        <w:jc w:val="center"/>
        <w:rPr>
          <w:rFonts w:ascii="宋体" w:hAnsi="宋体" w:cs="宋体"/>
          <w:b/>
          <w:spacing w:val="6"/>
          <w:sz w:val="32"/>
          <w:szCs w:val="32"/>
          <w:highlight w:val="none"/>
        </w:rPr>
      </w:pPr>
    </w:p>
    <w:p w14:paraId="5FCCA961">
      <w:pPr>
        <w:autoSpaceDE w:val="0"/>
        <w:autoSpaceDN w:val="0"/>
        <w:jc w:val="center"/>
        <w:rPr>
          <w:rFonts w:ascii="宋体" w:hAnsi="宋体" w:cs="宋体"/>
          <w:b/>
          <w:spacing w:val="6"/>
          <w:sz w:val="32"/>
          <w:szCs w:val="32"/>
          <w:highlight w:val="none"/>
        </w:rPr>
      </w:pPr>
    </w:p>
    <w:p w14:paraId="50A727CD">
      <w:pPr>
        <w:autoSpaceDE w:val="0"/>
        <w:autoSpaceDN w:val="0"/>
        <w:jc w:val="center"/>
        <w:rPr>
          <w:rFonts w:ascii="宋体" w:hAnsi="宋体" w:cs="宋体"/>
          <w:b/>
          <w:spacing w:val="6"/>
          <w:sz w:val="32"/>
          <w:szCs w:val="32"/>
          <w:highlight w:val="none"/>
        </w:rPr>
      </w:pPr>
    </w:p>
    <w:p w14:paraId="6EC3F5E5">
      <w:pPr>
        <w:autoSpaceDE w:val="0"/>
        <w:autoSpaceDN w:val="0"/>
        <w:jc w:val="center"/>
        <w:rPr>
          <w:rFonts w:ascii="宋体" w:hAnsi="宋体" w:cs="宋体"/>
          <w:b/>
          <w:spacing w:val="6"/>
          <w:sz w:val="32"/>
          <w:szCs w:val="32"/>
          <w:highlight w:val="none"/>
        </w:rPr>
      </w:pPr>
    </w:p>
    <w:p w14:paraId="2D1074A3">
      <w:pPr>
        <w:autoSpaceDE w:val="0"/>
        <w:autoSpaceDN w:val="0"/>
        <w:jc w:val="center"/>
        <w:rPr>
          <w:rFonts w:ascii="宋体" w:hAnsi="宋体" w:cs="宋体"/>
          <w:b/>
          <w:spacing w:val="6"/>
          <w:sz w:val="32"/>
          <w:szCs w:val="32"/>
          <w:highlight w:val="none"/>
        </w:rPr>
      </w:pPr>
    </w:p>
    <w:p w14:paraId="3AF02E47">
      <w:pPr>
        <w:autoSpaceDE w:val="0"/>
        <w:autoSpaceDN w:val="0"/>
        <w:jc w:val="center"/>
        <w:rPr>
          <w:rFonts w:ascii="宋体" w:hAnsi="宋体" w:cs="宋体"/>
          <w:b/>
          <w:spacing w:val="6"/>
          <w:sz w:val="32"/>
          <w:szCs w:val="32"/>
          <w:highlight w:val="none"/>
        </w:rPr>
      </w:pPr>
    </w:p>
    <w:p w14:paraId="33C2CB9E">
      <w:pPr>
        <w:autoSpaceDE w:val="0"/>
        <w:autoSpaceDN w:val="0"/>
        <w:jc w:val="center"/>
        <w:rPr>
          <w:rFonts w:ascii="宋体" w:hAnsi="宋体" w:cs="宋体"/>
          <w:b/>
          <w:spacing w:val="6"/>
          <w:sz w:val="32"/>
          <w:szCs w:val="32"/>
          <w:highlight w:val="none"/>
        </w:rPr>
      </w:pPr>
    </w:p>
    <w:p w14:paraId="5168E407">
      <w:pPr>
        <w:autoSpaceDE w:val="0"/>
        <w:autoSpaceDN w:val="0"/>
        <w:jc w:val="center"/>
        <w:rPr>
          <w:rFonts w:ascii="宋体" w:hAnsi="宋体" w:cs="宋体"/>
          <w:b/>
          <w:spacing w:val="6"/>
          <w:sz w:val="32"/>
          <w:szCs w:val="32"/>
          <w:highlight w:val="none"/>
        </w:rPr>
      </w:pPr>
    </w:p>
    <w:p w14:paraId="3FD0C756">
      <w:pPr>
        <w:autoSpaceDE w:val="0"/>
        <w:autoSpaceDN w:val="0"/>
        <w:jc w:val="center"/>
        <w:rPr>
          <w:rFonts w:ascii="宋体" w:hAnsi="宋体" w:cs="宋体"/>
          <w:b/>
          <w:spacing w:val="6"/>
          <w:sz w:val="32"/>
          <w:szCs w:val="32"/>
          <w:highlight w:val="none"/>
        </w:rPr>
      </w:pPr>
    </w:p>
    <w:p w14:paraId="44C8023C">
      <w:pPr>
        <w:autoSpaceDE w:val="0"/>
        <w:autoSpaceDN w:val="0"/>
        <w:jc w:val="center"/>
        <w:rPr>
          <w:rFonts w:ascii="宋体" w:hAnsi="宋体" w:cs="宋体"/>
          <w:b/>
          <w:spacing w:val="6"/>
          <w:sz w:val="32"/>
          <w:szCs w:val="32"/>
          <w:highlight w:val="none"/>
        </w:rPr>
      </w:pPr>
    </w:p>
    <w:p w14:paraId="1EDB0AD1">
      <w:pPr>
        <w:autoSpaceDE w:val="0"/>
        <w:autoSpaceDN w:val="0"/>
        <w:jc w:val="center"/>
        <w:rPr>
          <w:rFonts w:ascii="宋体" w:hAnsi="宋体" w:cs="宋体"/>
          <w:b/>
          <w:spacing w:val="6"/>
          <w:sz w:val="32"/>
          <w:szCs w:val="32"/>
          <w:highlight w:val="none"/>
        </w:rPr>
      </w:pPr>
    </w:p>
    <w:p w14:paraId="48D661E5">
      <w:pPr>
        <w:autoSpaceDE w:val="0"/>
        <w:autoSpaceDN w:val="0"/>
        <w:jc w:val="center"/>
        <w:rPr>
          <w:rFonts w:ascii="宋体" w:hAnsi="宋体" w:cs="宋体"/>
          <w:b/>
          <w:spacing w:val="6"/>
          <w:sz w:val="32"/>
          <w:szCs w:val="32"/>
          <w:highlight w:val="none"/>
        </w:rPr>
      </w:pPr>
    </w:p>
    <w:p w14:paraId="1B4E4ED6">
      <w:pPr>
        <w:autoSpaceDE w:val="0"/>
        <w:autoSpaceDN w:val="0"/>
        <w:rPr>
          <w:rFonts w:ascii="宋体" w:hAnsi="宋体" w:cs="宋体"/>
          <w:b/>
          <w:spacing w:val="6"/>
          <w:sz w:val="32"/>
          <w:szCs w:val="32"/>
          <w:highlight w:val="none"/>
        </w:rPr>
      </w:pPr>
    </w:p>
    <w:p w14:paraId="7ACF8A54">
      <w:pPr>
        <w:tabs>
          <w:tab w:val="left" w:pos="900"/>
        </w:tabs>
        <w:outlineLvl w:val="9"/>
        <w:rPr>
          <w:rFonts w:hint="eastAsia" w:asciiTheme="majorEastAsia" w:hAnsiTheme="majorEastAsia" w:eastAsiaTheme="majorEastAsia" w:cstheme="majorEastAsia"/>
          <w:b/>
          <w:bCs/>
          <w:sz w:val="28"/>
          <w:szCs w:val="36"/>
          <w:highlight w:val="none"/>
        </w:rPr>
      </w:pPr>
    </w:p>
    <w:p w14:paraId="246DAAE2">
      <w:pPr>
        <w:tabs>
          <w:tab w:val="left" w:pos="900"/>
        </w:tabs>
        <w:outlineLvl w:val="9"/>
        <w:rPr>
          <w:rFonts w:asciiTheme="majorEastAsia" w:hAnsiTheme="majorEastAsia" w:eastAsiaTheme="majorEastAsia" w:cstheme="majorEastAsia"/>
          <w:highlight w:val="none"/>
          <w:lang w:val="zh-CN"/>
        </w:rPr>
      </w:pPr>
      <w:r>
        <w:rPr>
          <w:rFonts w:hint="eastAsia" w:asciiTheme="majorEastAsia" w:hAnsiTheme="majorEastAsia" w:eastAsiaTheme="majorEastAsia" w:cstheme="majorEastAsia"/>
          <w:b/>
          <w:bCs/>
          <w:sz w:val="28"/>
          <w:szCs w:val="36"/>
          <w:highlight w:val="none"/>
        </w:rPr>
        <w:t>附件5：</w:t>
      </w:r>
      <w:r>
        <w:rPr>
          <w:rFonts w:hint="eastAsia" w:asciiTheme="majorEastAsia" w:hAnsiTheme="majorEastAsia" w:eastAsiaTheme="majorEastAsia" w:cstheme="majorEastAsia"/>
          <w:b/>
          <w:bCs/>
          <w:sz w:val="28"/>
          <w:szCs w:val="36"/>
          <w:highlight w:val="none"/>
          <w:lang w:val="zh-CN"/>
        </w:rPr>
        <w:t>联合协议</w:t>
      </w:r>
    </w:p>
    <w:p w14:paraId="1E35A405">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475A709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（项目名称）【</w:t>
      </w:r>
      <w:r>
        <w:rPr>
          <w:rFonts w:hint="eastAsia" w:ascii="宋体" w:hAnsi="宋体" w:cs="宋体"/>
          <w:sz w:val="24"/>
          <w:highlight w:val="none"/>
          <w:lang w:eastAsia="zh-CN"/>
        </w:rPr>
        <w:t>项目编号</w:t>
      </w:r>
      <w:r>
        <w:rPr>
          <w:rFonts w:hint="eastAsia" w:ascii="宋体" w:hAnsi="宋体" w:cs="宋体"/>
          <w:sz w:val="24"/>
          <w:highlight w:val="none"/>
        </w:rPr>
        <w:t>：</w:t>
      </w:r>
      <w:r>
        <w:rPr>
          <w:rFonts w:hint="eastAsia" w:ascii="宋体" w:hAnsi="宋体" w:cs="宋体"/>
          <w:sz w:val="24"/>
          <w:highlight w:val="none"/>
          <w:lang w:val="en-US" w:eastAsia="zh-CN"/>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14:paraId="5385500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7B06B80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4E45C22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1411662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184AEED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4D9B786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6C871DB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2E850551">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411"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411"/>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12"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412"/>
      <w:r>
        <w:rPr>
          <w:rFonts w:hint="eastAsia" w:ascii="宋体" w:hAnsi="宋体" w:cs="宋体"/>
          <w:b/>
          <w:kern w:val="0"/>
          <w:sz w:val="24"/>
          <w:highlight w:val="none"/>
          <w:lang w:val="zh-CN"/>
        </w:rPr>
        <w:t>）</w:t>
      </w:r>
    </w:p>
    <w:p w14:paraId="67340EEA">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13"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13"/>
    </w:p>
    <w:p w14:paraId="5878558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2D3720C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2305C5F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0C2185A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5CB39D6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0273C205">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96D1168">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8501525">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73491740">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2EBA6DCB">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4B01E07">
      <w:pPr>
        <w:autoSpaceDE w:val="0"/>
        <w:autoSpaceDN w:val="0"/>
        <w:jc w:val="center"/>
        <w:rPr>
          <w:rFonts w:ascii="宋体" w:hAnsi="宋体" w:cs="宋体"/>
          <w:b/>
          <w:spacing w:val="6"/>
          <w:sz w:val="32"/>
          <w:szCs w:val="32"/>
          <w:highlight w:val="none"/>
        </w:rPr>
      </w:pPr>
    </w:p>
    <w:p w14:paraId="484BAE53">
      <w:pPr>
        <w:autoSpaceDE w:val="0"/>
        <w:autoSpaceDN w:val="0"/>
        <w:jc w:val="center"/>
        <w:rPr>
          <w:rFonts w:ascii="宋体" w:hAnsi="宋体" w:cs="宋体"/>
          <w:b/>
          <w:spacing w:val="6"/>
          <w:sz w:val="32"/>
          <w:szCs w:val="32"/>
          <w:highlight w:val="none"/>
        </w:rPr>
      </w:pPr>
    </w:p>
    <w:p w14:paraId="0BBE1B38">
      <w:pPr>
        <w:autoSpaceDE w:val="0"/>
        <w:autoSpaceDN w:val="0"/>
        <w:jc w:val="center"/>
        <w:rPr>
          <w:rFonts w:ascii="宋体" w:hAnsi="宋体" w:cs="宋体"/>
          <w:b/>
          <w:spacing w:val="6"/>
          <w:sz w:val="32"/>
          <w:szCs w:val="32"/>
          <w:highlight w:val="none"/>
        </w:rPr>
      </w:pPr>
    </w:p>
    <w:p w14:paraId="48E5ADE1">
      <w:pPr>
        <w:autoSpaceDE w:val="0"/>
        <w:autoSpaceDN w:val="0"/>
        <w:jc w:val="center"/>
        <w:rPr>
          <w:rFonts w:ascii="宋体" w:hAnsi="宋体" w:cs="宋体"/>
          <w:b/>
          <w:spacing w:val="6"/>
          <w:sz w:val="32"/>
          <w:szCs w:val="32"/>
          <w:highlight w:val="none"/>
        </w:rPr>
      </w:pPr>
    </w:p>
    <w:p w14:paraId="4E8C5A1F">
      <w:pPr>
        <w:autoSpaceDE w:val="0"/>
        <w:autoSpaceDN w:val="0"/>
        <w:jc w:val="center"/>
        <w:rPr>
          <w:rFonts w:ascii="宋体" w:hAnsi="宋体" w:cs="宋体"/>
          <w:b/>
          <w:spacing w:val="6"/>
          <w:sz w:val="32"/>
          <w:szCs w:val="32"/>
          <w:highlight w:val="none"/>
        </w:rPr>
      </w:pPr>
    </w:p>
    <w:p w14:paraId="7E58E83B">
      <w:pPr>
        <w:autoSpaceDE w:val="0"/>
        <w:autoSpaceDN w:val="0"/>
        <w:jc w:val="center"/>
        <w:rPr>
          <w:rFonts w:ascii="宋体" w:hAnsi="宋体" w:cs="宋体"/>
          <w:b/>
          <w:spacing w:val="6"/>
          <w:sz w:val="32"/>
          <w:szCs w:val="32"/>
          <w:highlight w:val="none"/>
        </w:rPr>
      </w:pPr>
    </w:p>
    <w:p w14:paraId="24CC3B06">
      <w:pPr>
        <w:autoSpaceDE w:val="0"/>
        <w:autoSpaceDN w:val="0"/>
        <w:jc w:val="center"/>
        <w:rPr>
          <w:rFonts w:ascii="宋体" w:hAnsi="宋体" w:cs="宋体"/>
          <w:b/>
          <w:spacing w:val="6"/>
          <w:sz w:val="32"/>
          <w:szCs w:val="32"/>
          <w:highlight w:val="none"/>
        </w:rPr>
      </w:pPr>
    </w:p>
    <w:p w14:paraId="31F46882">
      <w:pPr>
        <w:autoSpaceDE w:val="0"/>
        <w:autoSpaceDN w:val="0"/>
        <w:jc w:val="center"/>
        <w:rPr>
          <w:rFonts w:ascii="宋体" w:hAnsi="宋体" w:cs="宋体"/>
          <w:b/>
          <w:spacing w:val="6"/>
          <w:sz w:val="32"/>
          <w:szCs w:val="32"/>
          <w:highlight w:val="none"/>
        </w:rPr>
      </w:pPr>
    </w:p>
    <w:p w14:paraId="5F4F91C6">
      <w:pPr>
        <w:autoSpaceDE w:val="0"/>
        <w:autoSpaceDN w:val="0"/>
        <w:jc w:val="center"/>
        <w:rPr>
          <w:rFonts w:ascii="宋体" w:hAnsi="宋体" w:cs="宋体"/>
          <w:b/>
          <w:spacing w:val="6"/>
          <w:sz w:val="32"/>
          <w:szCs w:val="32"/>
          <w:highlight w:val="none"/>
        </w:rPr>
      </w:pPr>
    </w:p>
    <w:p w14:paraId="485EFA34">
      <w:pPr>
        <w:autoSpaceDE w:val="0"/>
        <w:autoSpaceDN w:val="0"/>
        <w:jc w:val="center"/>
        <w:rPr>
          <w:rFonts w:ascii="宋体" w:hAnsi="宋体" w:cs="宋体"/>
          <w:b/>
          <w:spacing w:val="6"/>
          <w:sz w:val="32"/>
          <w:szCs w:val="32"/>
          <w:highlight w:val="none"/>
        </w:rPr>
      </w:pPr>
    </w:p>
    <w:p w14:paraId="3B7F7214">
      <w:pPr>
        <w:autoSpaceDE w:val="0"/>
        <w:autoSpaceDN w:val="0"/>
        <w:jc w:val="center"/>
        <w:rPr>
          <w:rFonts w:ascii="宋体" w:hAnsi="宋体" w:cs="宋体"/>
          <w:b/>
          <w:spacing w:val="6"/>
          <w:sz w:val="32"/>
          <w:szCs w:val="32"/>
          <w:highlight w:val="none"/>
        </w:rPr>
      </w:pPr>
    </w:p>
    <w:p w14:paraId="5AFE43B6">
      <w:pPr>
        <w:autoSpaceDE w:val="0"/>
        <w:autoSpaceDN w:val="0"/>
        <w:jc w:val="center"/>
        <w:rPr>
          <w:rFonts w:ascii="宋体" w:hAnsi="宋体" w:cs="宋体"/>
          <w:b/>
          <w:spacing w:val="6"/>
          <w:sz w:val="32"/>
          <w:szCs w:val="32"/>
          <w:highlight w:val="none"/>
        </w:rPr>
      </w:pPr>
    </w:p>
    <w:p w14:paraId="29F97F3B">
      <w:pPr>
        <w:autoSpaceDE w:val="0"/>
        <w:autoSpaceDN w:val="0"/>
        <w:jc w:val="center"/>
        <w:rPr>
          <w:rFonts w:ascii="宋体" w:hAnsi="宋体" w:cs="宋体"/>
          <w:b/>
          <w:spacing w:val="6"/>
          <w:sz w:val="32"/>
          <w:szCs w:val="32"/>
          <w:highlight w:val="none"/>
        </w:rPr>
      </w:pPr>
    </w:p>
    <w:p w14:paraId="6F5B2FA6">
      <w:pPr>
        <w:autoSpaceDE w:val="0"/>
        <w:autoSpaceDN w:val="0"/>
        <w:jc w:val="center"/>
        <w:rPr>
          <w:rFonts w:ascii="宋体" w:hAnsi="宋体" w:cs="宋体"/>
          <w:b/>
          <w:spacing w:val="6"/>
          <w:sz w:val="32"/>
          <w:szCs w:val="32"/>
          <w:highlight w:val="none"/>
        </w:rPr>
      </w:pPr>
    </w:p>
    <w:p w14:paraId="4897D55A">
      <w:pPr>
        <w:autoSpaceDE w:val="0"/>
        <w:autoSpaceDN w:val="0"/>
        <w:jc w:val="center"/>
        <w:rPr>
          <w:rFonts w:ascii="宋体" w:hAnsi="宋体" w:cs="宋体"/>
          <w:b/>
          <w:spacing w:val="6"/>
          <w:sz w:val="32"/>
          <w:szCs w:val="32"/>
          <w:highlight w:val="none"/>
        </w:rPr>
      </w:pPr>
    </w:p>
    <w:p w14:paraId="4E2F3ACB">
      <w:pPr>
        <w:autoSpaceDE w:val="0"/>
        <w:autoSpaceDN w:val="0"/>
        <w:jc w:val="center"/>
        <w:rPr>
          <w:rFonts w:ascii="宋体" w:hAnsi="宋体" w:cs="宋体"/>
          <w:b/>
          <w:spacing w:val="6"/>
          <w:sz w:val="32"/>
          <w:szCs w:val="32"/>
          <w:highlight w:val="none"/>
        </w:rPr>
      </w:pPr>
    </w:p>
    <w:p w14:paraId="5BD1F1B4">
      <w:pPr>
        <w:autoSpaceDE w:val="0"/>
        <w:autoSpaceDN w:val="0"/>
        <w:jc w:val="center"/>
        <w:rPr>
          <w:rFonts w:ascii="宋体" w:hAnsi="宋体" w:cs="宋体"/>
          <w:b/>
          <w:spacing w:val="6"/>
          <w:sz w:val="32"/>
          <w:szCs w:val="32"/>
          <w:highlight w:val="none"/>
        </w:rPr>
      </w:pPr>
    </w:p>
    <w:p w14:paraId="0F66A38E">
      <w:pPr>
        <w:autoSpaceDE w:val="0"/>
        <w:autoSpaceDN w:val="0"/>
        <w:jc w:val="center"/>
        <w:rPr>
          <w:rFonts w:ascii="宋体" w:hAnsi="宋体" w:cs="宋体"/>
          <w:b/>
          <w:spacing w:val="6"/>
          <w:sz w:val="32"/>
          <w:szCs w:val="32"/>
          <w:highlight w:val="none"/>
        </w:rPr>
      </w:pPr>
    </w:p>
    <w:p w14:paraId="1BE14013">
      <w:pPr>
        <w:autoSpaceDE w:val="0"/>
        <w:autoSpaceDN w:val="0"/>
        <w:jc w:val="center"/>
        <w:rPr>
          <w:rFonts w:ascii="宋体" w:hAnsi="宋体" w:cs="宋体"/>
          <w:b/>
          <w:spacing w:val="6"/>
          <w:sz w:val="32"/>
          <w:szCs w:val="32"/>
          <w:highlight w:val="none"/>
        </w:rPr>
      </w:pPr>
    </w:p>
    <w:p w14:paraId="4FFD4279">
      <w:pPr>
        <w:autoSpaceDE w:val="0"/>
        <w:autoSpaceDN w:val="0"/>
        <w:jc w:val="center"/>
        <w:rPr>
          <w:rFonts w:ascii="宋体" w:hAnsi="宋体" w:cs="宋体"/>
          <w:b/>
          <w:spacing w:val="6"/>
          <w:sz w:val="32"/>
          <w:szCs w:val="32"/>
          <w:highlight w:val="none"/>
        </w:rPr>
      </w:pPr>
    </w:p>
    <w:p w14:paraId="06B1C28C">
      <w:pPr>
        <w:autoSpaceDE w:val="0"/>
        <w:autoSpaceDN w:val="0"/>
        <w:jc w:val="center"/>
        <w:rPr>
          <w:rFonts w:ascii="宋体" w:hAnsi="宋体" w:cs="宋体"/>
          <w:b/>
          <w:spacing w:val="6"/>
          <w:sz w:val="32"/>
          <w:szCs w:val="32"/>
          <w:highlight w:val="none"/>
        </w:rPr>
      </w:pPr>
    </w:p>
    <w:p w14:paraId="44123A53">
      <w:pPr>
        <w:autoSpaceDE w:val="0"/>
        <w:autoSpaceDN w:val="0"/>
        <w:jc w:val="center"/>
        <w:rPr>
          <w:rFonts w:ascii="宋体" w:hAnsi="宋体" w:cs="宋体"/>
          <w:b/>
          <w:spacing w:val="6"/>
          <w:sz w:val="32"/>
          <w:szCs w:val="32"/>
          <w:highlight w:val="none"/>
        </w:rPr>
      </w:pPr>
    </w:p>
    <w:p w14:paraId="69F97E67">
      <w:pPr>
        <w:autoSpaceDE w:val="0"/>
        <w:autoSpaceDN w:val="0"/>
        <w:jc w:val="center"/>
        <w:rPr>
          <w:rFonts w:ascii="宋体" w:hAnsi="宋体" w:cs="宋体"/>
          <w:b/>
          <w:spacing w:val="6"/>
          <w:sz w:val="32"/>
          <w:szCs w:val="32"/>
          <w:highlight w:val="none"/>
        </w:rPr>
      </w:pPr>
    </w:p>
    <w:p w14:paraId="7AC4C62C">
      <w:pPr>
        <w:snapToGrid w:val="0"/>
        <w:spacing w:line="360" w:lineRule="auto"/>
        <w:ind w:firstLine="3666" w:firstLineChars="1100"/>
        <w:rPr>
          <w:rFonts w:ascii="宋体" w:hAnsi="宋体" w:cs="宋体"/>
          <w:b/>
          <w:spacing w:val="6"/>
          <w:sz w:val="32"/>
          <w:szCs w:val="32"/>
          <w:highlight w:val="none"/>
        </w:rPr>
      </w:pPr>
    </w:p>
    <w:p w14:paraId="2702178D">
      <w:pPr>
        <w:widowControl/>
        <w:adjustRightInd/>
        <w:jc w:val="left"/>
        <w:rPr>
          <w:rFonts w:ascii="宋体" w:hAnsi="宋体" w:cs="宋体"/>
          <w:b/>
          <w:spacing w:val="6"/>
          <w:sz w:val="32"/>
          <w:szCs w:val="32"/>
          <w:highlight w:val="none"/>
        </w:rPr>
      </w:pPr>
      <w:r>
        <w:rPr>
          <w:rFonts w:ascii="宋体" w:hAnsi="宋体" w:cs="宋体"/>
          <w:b/>
          <w:spacing w:val="6"/>
          <w:sz w:val="32"/>
          <w:szCs w:val="32"/>
          <w:highlight w:val="none"/>
        </w:rPr>
        <w:br w:type="page"/>
      </w:r>
    </w:p>
    <w:p w14:paraId="02D3C3DD">
      <w:pPr>
        <w:tabs>
          <w:tab w:val="left" w:pos="900"/>
        </w:tabs>
        <w:outlineLvl w:val="9"/>
        <w:rPr>
          <w:rFonts w:asciiTheme="majorEastAsia" w:hAnsiTheme="majorEastAsia" w:eastAsiaTheme="majorEastAsia" w:cstheme="majorEastAsia"/>
          <w:highlight w:val="none"/>
        </w:rPr>
      </w:pPr>
      <w:r>
        <w:rPr>
          <w:rFonts w:hint="eastAsia" w:asciiTheme="majorEastAsia" w:hAnsiTheme="majorEastAsia" w:eastAsiaTheme="majorEastAsia" w:cstheme="majorEastAsia"/>
          <w:b/>
          <w:bCs/>
          <w:sz w:val="28"/>
          <w:szCs w:val="36"/>
          <w:highlight w:val="none"/>
        </w:rPr>
        <w:t>附件6：分包意向协议</w:t>
      </w:r>
    </w:p>
    <w:p w14:paraId="25DB8951">
      <w:pPr>
        <w:widowControl/>
        <w:spacing w:line="360" w:lineRule="auto"/>
        <w:ind w:firstLine="120" w:firstLineChars="50"/>
        <w:jc w:val="left"/>
        <w:rPr>
          <w:rFonts w:hint="eastAsia" w:ascii="宋体" w:hAnsi="宋体" w:cs="宋体"/>
          <w:sz w:val="24"/>
          <w:highlight w:val="none"/>
        </w:rPr>
      </w:pPr>
    </w:p>
    <w:p w14:paraId="6060FD3B">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3EF405B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rPr>
        <w:t>（项目名称）【</w:t>
      </w:r>
      <w:r>
        <w:rPr>
          <w:rFonts w:hint="eastAsia" w:ascii="宋体" w:hAnsi="宋体" w:cs="宋体"/>
          <w:sz w:val="24"/>
          <w:highlight w:val="none"/>
          <w:lang w:eastAsia="zh-CN"/>
        </w:rPr>
        <w:t>项目编号</w:t>
      </w:r>
      <w:r>
        <w:rPr>
          <w:rFonts w:hint="eastAsia" w:ascii="宋体" w:hAnsi="宋体" w:cs="宋体"/>
          <w:sz w:val="24"/>
          <w:highlight w:val="none"/>
        </w:rPr>
        <w:t>：</w:t>
      </w:r>
      <w:r>
        <w:rPr>
          <w:rFonts w:hint="eastAsia" w:ascii="宋体" w:hAnsi="宋体" w:cs="宋体"/>
          <w:sz w:val="24"/>
          <w:highlight w:val="none"/>
          <w:lang w:val="en-US" w:eastAsia="zh-CN"/>
        </w:rPr>
        <w:t xml:space="preserve">  </w:t>
      </w:r>
      <w:bookmarkStart w:id="418" w:name="_GoBack"/>
      <w:bookmarkEnd w:id="418"/>
      <w:r>
        <w:rPr>
          <w:rFonts w:hint="eastAsia" w:ascii="宋体" w:hAnsi="宋体" w:cs="宋体"/>
          <w:sz w:val="24"/>
          <w:highlight w:val="none"/>
        </w:rPr>
        <w:t>】</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7F617C1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0DA7141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339F3080">
      <w:pPr>
        <w:ind w:firstLine="630" w:firstLineChars="300"/>
        <w:rPr>
          <w:highlight w:val="none"/>
        </w:rPr>
      </w:pPr>
      <w:r>
        <w:rPr>
          <w:rFonts w:hint="eastAsia"/>
          <w:highlight w:val="none"/>
        </w:rPr>
        <w:t>……</w:t>
      </w:r>
    </w:p>
    <w:p w14:paraId="0F9EEAC9">
      <w:pPr>
        <w:rPr>
          <w:highlight w:val="none"/>
        </w:rPr>
      </w:pPr>
      <w:r>
        <w:rPr>
          <w:rFonts w:hint="eastAsia"/>
          <w:highlight w:val="none"/>
          <w:lang w:val="zh-CN"/>
        </w:rPr>
        <w:t xml:space="preserve"> </w:t>
      </w:r>
    </w:p>
    <w:p w14:paraId="5644562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2024C54E">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6CFAD6C7">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29A6590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54D461F9">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79D9FD1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1ECA1C93">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1A59DE5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516857A1">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3EEBA5EF">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45493B6A">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65C0E22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2D666735">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7AC2D44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0F318C12">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14:paraId="01B1AEF3">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369C8AF2">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2759A73D">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D0EB1B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36D088A">
      <w:pPr>
        <w:autoSpaceDE w:val="0"/>
        <w:autoSpaceDN w:val="0"/>
        <w:jc w:val="center"/>
        <w:rPr>
          <w:rFonts w:ascii="宋体" w:hAnsi="宋体" w:cs="宋体"/>
          <w:b/>
          <w:spacing w:val="6"/>
          <w:sz w:val="32"/>
          <w:szCs w:val="32"/>
          <w:highlight w:val="none"/>
        </w:rPr>
      </w:pPr>
    </w:p>
    <w:p w14:paraId="06EFF662">
      <w:pPr>
        <w:autoSpaceDE w:val="0"/>
        <w:autoSpaceDN w:val="0"/>
        <w:jc w:val="center"/>
        <w:rPr>
          <w:rFonts w:ascii="宋体" w:hAnsi="宋体" w:cs="宋体"/>
          <w:b/>
          <w:spacing w:val="6"/>
          <w:sz w:val="32"/>
          <w:szCs w:val="32"/>
          <w:highlight w:val="none"/>
        </w:rPr>
      </w:pPr>
    </w:p>
    <w:p w14:paraId="3382D75D">
      <w:pPr>
        <w:autoSpaceDE w:val="0"/>
        <w:autoSpaceDN w:val="0"/>
        <w:jc w:val="center"/>
        <w:rPr>
          <w:rFonts w:ascii="宋体" w:hAnsi="宋体" w:cs="宋体"/>
          <w:b/>
          <w:spacing w:val="6"/>
          <w:sz w:val="32"/>
          <w:szCs w:val="32"/>
          <w:highlight w:val="none"/>
        </w:rPr>
      </w:pPr>
    </w:p>
    <w:p w14:paraId="2BD0F765">
      <w:pPr>
        <w:autoSpaceDE w:val="0"/>
        <w:autoSpaceDN w:val="0"/>
        <w:jc w:val="center"/>
        <w:rPr>
          <w:rFonts w:ascii="宋体" w:hAnsi="宋体" w:cs="宋体"/>
          <w:b/>
          <w:spacing w:val="6"/>
          <w:sz w:val="32"/>
          <w:szCs w:val="32"/>
          <w:highlight w:val="none"/>
        </w:rPr>
      </w:pPr>
    </w:p>
    <w:p w14:paraId="6E2544E2">
      <w:pPr>
        <w:autoSpaceDE w:val="0"/>
        <w:autoSpaceDN w:val="0"/>
        <w:jc w:val="center"/>
        <w:rPr>
          <w:rFonts w:ascii="宋体" w:hAnsi="宋体" w:cs="宋体"/>
          <w:b/>
          <w:spacing w:val="6"/>
          <w:sz w:val="32"/>
          <w:szCs w:val="32"/>
          <w:highlight w:val="none"/>
        </w:rPr>
      </w:pPr>
    </w:p>
    <w:p w14:paraId="3B75A81D">
      <w:pPr>
        <w:autoSpaceDE w:val="0"/>
        <w:autoSpaceDN w:val="0"/>
        <w:jc w:val="center"/>
        <w:rPr>
          <w:rFonts w:ascii="宋体" w:hAnsi="宋体" w:cs="宋体"/>
          <w:b/>
          <w:spacing w:val="6"/>
          <w:sz w:val="32"/>
          <w:szCs w:val="32"/>
          <w:highlight w:val="none"/>
        </w:rPr>
      </w:pPr>
    </w:p>
    <w:p w14:paraId="3A693425">
      <w:pPr>
        <w:autoSpaceDE w:val="0"/>
        <w:autoSpaceDN w:val="0"/>
        <w:jc w:val="center"/>
        <w:rPr>
          <w:rFonts w:ascii="宋体" w:hAnsi="宋体" w:cs="宋体"/>
          <w:b/>
          <w:spacing w:val="6"/>
          <w:sz w:val="32"/>
          <w:szCs w:val="32"/>
          <w:highlight w:val="none"/>
        </w:rPr>
      </w:pPr>
    </w:p>
    <w:p w14:paraId="649860A5">
      <w:pPr>
        <w:autoSpaceDE w:val="0"/>
        <w:autoSpaceDN w:val="0"/>
        <w:jc w:val="center"/>
        <w:rPr>
          <w:rFonts w:ascii="宋体" w:hAnsi="宋体" w:cs="宋体"/>
          <w:b/>
          <w:spacing w:val="6"/>
          <w:sz w:val="32"/>
          <w:szCs w:val="32"/>
          <w:highlight w:val="none"/>
        </w:rPr>
      </w:pPr>
    </w:p>
    <w:p w14:paraId="006824E0">
      <w:pPr>
        <w:autoSpaceDE w:val="0"/>
        <w:autoSpaceDN w:val="0"/>
        <w:jc w:val="center"/>
        <w:rPr>
          <w:rFonts w:ascii="宋体" w:hAnsi="宋体" w:cs="宋体"/>
          <w:b/>
          <w:spacing w:val="6"/>
          <w:sz w:val="32"/>
          <w:szCs w:val="32"/>
          <w:highlight w:val="none"/>
        </w:rPr>
      </w:pPr>
    </w:p>
    <w:p w14:paraId="42E1BC83">
      <w:pPr>
        <w:autoSpaceDE w:val="0"/>
        <w:autoSpaceDN w:val="0"/>
        <w:jc w:val="center"/>
        <w:rPr>
          <w:rFonts w:ascii="宋体" w:hAnsi="宋体" w:cs="宋体"/>
          <w:b/>
          <w:spacing w:val="6"/>
          <w:sz w:val="32"/>
          <w:szCs w:val="32"/>
          <w:highlight w:val="none"/>
        </w:rPr>
      </w:pPr>
    </w:p>
    <w:p w14:paraId="6FADF99D">
      <w:pPr>
        <w:autoSpaceDE w:val="0"/>
        <w:autoSpaceDN w:val="0"/>
        <w:jc w:val="center"/>
        <w:rPr>
          <w:rFonts w:ascii="宋体" w:hAnsi="宋体" w:cs="宋体"/>
          <w:b/>
          <w:spacing w:val="6"/>
          <w:sz w:val="32"/>
          <w:szCs w:val="32"/>
          <w:highlight w:val="none"/>
        </w:rPr>
      </w:pPr>
    </w:p>
    <w:p w14:paraId="34541BD5">
      <w:pPr>
        <w:autoSpaceDE w:val="0"/>
        <w:autoSpaceDN w:val="0"/>
        <w:jc w:val="center"/>
        <w:rPr>
          <w:rFonts w:ascii="宋体" w:hAnsi="宋体" w:cs="宋体"/>
          <w:b/>
          <w:spacing w:val="6"/>
          <w:sz w:val="32"/>
          <w:szCs w:val="32"/>
          <w:highlight w:val="none"/>
        </w:rPr>
      </w:pPr>
    </w:p>
    <w:p w14:paraId="716E6992">
      <w:pPr>
        <w:autoSpaceDE w:val="0"/>
        <w:autoSpaceDN w:val="0"/>
        <w:jc w:val="center"/>
        <w:rPr>
          <w:rFonts w:ascii="宋体" w:hAnsi="宋体" w:cs="宋体"/>
          <w:b/>
          <w:spacing w:val="6"/>
          <w:sz w:val="32"/>
          <w:szCs w:val="32"/>
          <w:highlight w:val="none"/>
        </w:rPr>
      </w:pPr>
    </w:p>
    <w:p w14:paraId="02833DE5">
      <w:pPr>
        <w:autoSpaceDE w:val="0"/>
        <w:autoSpaceDN w:val="0"/>
        <w:jc w:val="center"/>
        <w:rPr>
          <w:rFonts w:ascii="宋体" w:hAnsi="宋体" w:cs="宋体"/>
          <w:b/>
          <w:spacing w:val="6"/>
          <w:sz w:val="32"/>
          <w:szCs w:val="32"/>
          <w:highlight w:val="none"/>
        </w:rPr>
      </w:pPr>
    </w:p>
    <w:p w14:paraId="5DF8D161">
      <w:pPr>
        <w:autoSpaceDE w:val="0"/>
        <w:autoSpaceDN w:val="0"/>
        <w:jc w:val="center"/>
        <w:rPr>
          <w:rFonts w:ascii="宋体" w:hAnsi="宋体" w:cs="宋体"/>
          <w:b/>
          <w:spacing w:val="6"/>
          <w:sz w:val="32"/>
          <w:szCs w:val="32"/>
          <w:highlight w:val="none"/>
        </w:rPr>
      </w:pPr>
    </w:p>
    <w:p w14:paraId="2063E2B3">
      <w:pPr>
        <w:autoSpaceDE w:val="0"/>
        <w:autoSpaceDN w:val="0"/>
        <w:jc w:val="center"/>
        <w:rPr>
          <w:rFonts w:ascii="宋体" w:hAnsi="宋体" w:cs="宋体"/>
          <w:b/>
          <w:spacing w:val="6"/>
          <w:sz w:val="32"/>
          <w:szCs w:val="32"/>
          <w:highlight w:val="none"/>
        </w:rPr>
      </w:pPr>
    </w:p>
    <w:p w14:paraId="21B6ED53">
      <w:pPr>
        <w:autoSpaceDE w:val="0"/>
        <w:autoSpaceDN w:val="0"/>
        <w:jc w:val="center"/>
        <w:rPr>
          <w:rFonts w:ascii="宋体" w:hAnsi="宋体" w:cs="宋体"/>
          <w:b/>
          <w:spacing w:val="6"/>
          <w:sz w:val="32"/>
          <w:szCs w:val="32"/>
          <w:highlight w:val="none"/>
        </w:rPr>
      </w:pPr>
    </w:p>
    <w:p w14:paraId="23B8419A">
      <w:pPr>
        <w:autoSpaceDE w:val="0"/>
        <w:autoSpaceDN w:val="0"/>
        <w:jc w:val="center"/>
        <w:rPr>
          <w:rFonts w:ascii="宋体" w:hAnsi="宋体" w:cs="宋体"/>
          <w:b/>
          <w:spacing w:val="6"/>
          <w:sz w:val="32"/>
          <w:szCs w:val="32"/>
          <w:highlight w:val="none"/>
        </w:rPr>
      </w:pPr>
    </w:p>
    <w:p w14:paraId="20A4D5F2">
      <w:pPr>
        <w:autoSpaceDE w:val="0"/>
        <w:autoSpaceDN w:val="0"/>
        <w:jc w:val="center"/>
        <w:rPr>
          <w:rFonts w:ascii="宋体" w:hAnsi="宋体" w:cs="宋体"/>
          <w:b/>
          <w:spacing w:val="6"/>
          <w:sz w:val="32"/>
          <w:szCs w:val="32"/>
          <w:highlight w:val="none"/>
        </w:rPr>
      </w:pPr>
    </w:p>
    <w:p w14:paraId="6FDC25C0">
      <w:pPr>
        <w:autoSpaceDE w:val="0"/>
        <w:autoSpaceDN w:val="0"/>
        <w:jc w:val="center"/>
        <w:rPr>
          <w:rFonts w:ascii="宋体" w:hAnsi="宋体" w:cs="宋体"/>
          <w:b/>
          <w:spacing w:val="6"/>
          <w:sz w:val="32"/>
          <w:szCs w:val="32"/>
          <w:highlight w:val="none"/>
        </w:rPr>
      </w:pPr>
    </w:p>
    <w:p w14:paraId="63B994DD">
      <w:pPr>
        <w:autoSpaceDE w:val="0"/>
        <w:autoSpaceDN w:val="0"/>
        <w:jc w:val="center"/>
        <w:rPr>
          <w:rFonts w:ascii="宋体" w:hAnsi="宋体" w:cs="宋体"/>
          <w:b/>
          <w:spacing w:val="6"/>
          <w:sz w:val="32"/>
          <w:szCs w:val="32"/>
          <w:highlight w:val="none"/>
        </w:rPr>
      </w:pPr>
    </w:p>
    <w:p w14:paraId="235DB278">
      <w:pPr>
        <w:autoSpaceDE w:val="0"/>
        <w:autoSpaceDN w:val="0"/>
        <w:jc w:val="center"/>
        <w:rPr>
          <w:rFonts w:ascii="宋体" w:hAnsi="宋体" w:cs="宋体"/>
          <w:b/>
          <w:spacing w:val="6"/>
          <w:sz w:val="32"/>
          <w:szCs w:val="32"/>
          <w:highlight w:val="none"/>
        </w:rPr>
      </w:pPr>
    </w:p>
    <w:p w14:paraId="1537F73E">
      <w:pPr>
        <w:autoSpaceDE w:val="0"/>
        <w:autoSpaceDN w:val="0"/>
        <w:jc w:val="center"/>
        <w:rPr>
          <w:rFonts w:ascii="宋体" w:hAnsi="宋体" w:cs="宋体"/>
          <w:b/>
          <w:spacing w:val="6"/>
          <w:sz w:val="32"/>
          <w:szCs w:val="32"/>
          <w:highlight w:val="none"/>
        </w:rPr>
      </w:pPr>
    </w:p>
    <w:p w14:paraId="67F19B5F">
      <w:pPr>
        <w:autoSpaceDE w:val="0"/>
        <w:autoSpaceDN w:val="0"/>
        <w:jc w:val="center"/>
        <w:rPr>
          <w:rFonts w:ascii="宋体" w:hAnsi="宋体" w:cs="宋体"/>
          <w:b/>
          <w:spacing w:val="6"/>
          <w:sz w:val="32"/>
          <w:szCs w:val="32"/>
          <w:highlight w:val="none"/>
        </w:rPr>
      </w:pPr>
    </w:p>
    <w:p w14:paraId="24D26578">
      <w:pPr>
        <w:autoSpaceDE w:val="0"/>
        <w:autoSpaceDN w:val="0"/>
        <w:jc w:val="center"/>
        <w:rPr>
          <w:rFonts w:ascii="宋体" w:hAnsi="宋体" w:cs="宋体"/>
          <w:b/>
          <w:spacing w:val="6"/>
          <w:sz w:val="32"/>
          <w:szCs w:val="32"/>
          <w:highlight w:val="none"/>
        </w:rPr>
      </w:pPr>
    </w:p>
    <w:p w14:paraId="50E58FA2">
      <w:pPr>
        <w:autoSpaceDE w:val="0"/>
        <w:autoSpaceDN w:val="0"/>
        <w:rPr>
          <w:rFonts w:ascii="宋体" w:hAnsi="宋体" w:cs="宋体"/>
          <w:b/>
          <w:spacing w:val="6"/>
          <w:sz w:val="32"/>
          <w:szCs w:val="32"/>
          <w:highlight w:val="none"/>
        </w:rPr>
      </w:pPr>
    </w:p>
    <w:p w14:paraId="6D861B18">
      <w:pPr>
        <w:tabs>
          <w:tab w:val="left" w:pos="900"/>
        </w:tabs>
        <w:outlineLvl w:val="9"/>
        <w:rPr>
          <w:rFonts w:hint="eastAsia" w:asciiTheme="majorEastAsia" w:hAnsiTheme="majorEastAsia" w:eastAsiaTheme="majorEastAsia" w:cstheme="majorEastAsia"/>
          <w:b/>
          <w:bCs/>
          <w:sz w:val="28"/>
          <w:szCs w:val="36"/>
          <w:highlight w:val="none"/>
        </w:rPr>
      </w:pPr>
    </w:p>
    <w:p w14:paraId="0894DD76">
      <w:pPr>
        <w:tabs>
          <w:tab w:val="left" w:pos="900"/>
        </w:tabs>
        <w:outlineLvl w:val="9"/>
        <w:rPr>
          <w:rFonts w:asciiTheme="majorEastAsia" w:hAnsiTheme="majorEastAsia" w:eastAsiaTheme="majorEastAsia" w:cstheme="majorEastAsia"/>
          <w:b/>
          <w:bCs/>
          <w:sz w:val="28"/>
          <w:szCs w:val="36"/>
          <w:highlight w:val="none"/>
        </w:rPr>
      </w:pPr>
      <w:r>
        <w:rPr>
          <w:rFonts w:hint="eastAsia" w:asciiTheme="majorEastAsia" w:hAnsiTheme="majorEastAsia" w:eastAsiaTheme="majorEastAsia" w:cstheme="majorEastAsia"/>
          <w:b/>
          <w:bCs/>
          <w:sz w:val="28"/>
          <w:szCs w:val="36"/>
          <w:highlight w:val="none"/>
        </w:rPr>
        <w:t>附件7：中小企业声明函</w:t>
      </w:r>
    </w:p>
    <w:p w14:paraId="56DFFCEE">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14:paraId="65F7A485">
      <w:pPr>
        <w:spacing w:line="360" w:lineRule="auto"/>
        <w:ind w:firstLine="480" w:firstLineChars="200"/>
        <w:jc w:val="left"/>
        <w:rPr>
          <w:rFonts w:ascii="宋体" w:hAnsi="宋体" w:cs="宋体"/>
          <w:color w:val="auto"/>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w:t>
      </w:r>
      <w:r>
        <w:rPr>
          <w:rFonts w:hint="eastAsia" w:ascii="宋体" w:hAnsi="宋体" w:cs="宋体"/>
          <w:color w:val="auto"/>
          <w:sz w:val="24"/>
          <w:highlight w:val="none"/>
          <w:lang w:val="en-US" w:eastAsia="zh-CN"/>
        </w:rPr>
        <w:t>小微</w:t>
      </w:r>
      <w:r>
        <w:rPr>
          <w:rFonts w:hint="eastAsia" w:ascii="宋体" w:hAnsi="宋体" w:cs="宋体"/>
          <w:color w:val="auto"/>
          <w:sz w:val="24"/>
          <w:highlight w:val="none"/>
        </w:rPr>
        <w:t>企业承接。相关企业（含联合体中的中小企业、签订分包意向协议的中小企业）的具体情况如下：</w:t>
      </w:r>
    </w:p>
    <w:p w14:paraId="2B03119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（小型企业、微型企业） </w:t>
      </w:r>
      <w:r>
        <w:rPr>
          <w:rFonts w:hint="eastAsia" w:ascii="宋体" w:hAnsi="宋体" w:cs="宋体"/>
          <w:color w:val="auto"/>
          <w:sz w:val="24"/>
          <w:highlight w:val="none"/>
        </w:rPr>
        <w:t>；</w:t>
      </w:r>
    </w:p>
    <w:p w14:paraId="3F69935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（小型企业、微型企业） </w:t>
      </w:r>
      <w:r>
        <w:rPr>
          <w:rFonts w:hint="eastAsia" w:ascii="宋体" w:hAnsi="宋体" w:cs="宋体"/>
          <w:color w:val="auto"/>
          <w:sz w:val="24"/>
          <w:highlight w:val="none"/>
        </w:rPr>
        <w:t>；</w:t>
      </w:r>
    </w:p>
    <w:p w14:paraId="4632214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E29B7E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80D44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21A1A4A">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73EC9F4">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339E9F5D">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77ADCDA7">
      <w:pPr>
        <w:spacing w:line="360" w:lineRule="auto"/>
        <w:ind w:right="420"/>
        <w:rPr>
          <w:rFonts w:ascii="宋体" w:hAnsi="宋体" w:cs="宋体"/>
          <w:color w:val="auto"/>
          <w:sz w:val="24"/>
          <w:highlight w:val="none"/>
        </w:rPr>
      </w:pPr>
    </w:p>
    <w:p w14:paraId="773A762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w:t>
      </w:r>
    </w:p>
    <w:p w14:paraId="5C2E8EA4">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50DEE224">
      <w:pPr>
        <w:rPr>
          <w:rFonts w:ascii="宋体" w:hAnsi="宋体" w:cs="宋体"/>
          <w:highlight w:val="none"/>
        </w:rPr>
      </w:pPr>
      <w:r>
        <w:rPr>
          <w:rFonts w:ascii="宋体" w:hAnsi="宋体" w:eastAsia="宋体" w:cs="宋体"/>
          <w:highlight w:val="none"/>
          <w:lang w:val="en-US"/>
        </w:rPr>
        <w:br w:type="page"/>
      </w:r>
    </w:p>
    <w:p w14:paraId="686BD43E">
      <w:pPr>
        <w:pStyle w:val="322"/>
        <w:snapToGrid w:val="0"/>
        <w:spacing w:line="500" w:lineRule="exact"/>
        <w:ind w:firstLine="562"/>
        <w:jc w:val="cente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bCs/>
          <w:sz w:val="28"/>
          <w:szCs w:val="28"/>
          <w:highlight w:val="none"/>
        </w:rPr>
        <w:t>政府采购活动现场确认声明书-（投标文件解密时提供）</w:t>
      </w:r>
    </w:p>
    <w:p w14:paraId="469DA313">
      <w:pPr>
        <w:pStyle w:val="322"/>
        <w:snapToGrid w:val="0"/>
        <w:spacing w:line="500" w:lineRule="exact"/>
        <w:ind w:left="0" w:leftChars="0" w:firstLine="0" w:firstLineChars="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u w:val="single"/>
        </w:rPr>
        <w:t>东方经纬项目管理有限公司</w:t>
      </w:r>
      <w:r>
        <w:rPr>
          <w:rFonts w:hint="eastAsia" w:asciiTheme="minorEastAsia" w:hAnsiTheme="minorEastAsia" w:eastAsiaTheme="minorEastAsia" w:cstheme="minorEastAsia"/>
          <w:sz w:val="24"/>
          <w:szCs w:val="24"/>
          <w:highlight w:val="none"/>
        </w:rPr>
        <w:t>：</w:t>
      </w:r>
    </w:p>
    <w:p w14:paraId="58EBB3FB">
      <w:pPr>
        <w:pStyle w:val="323"/>
        <w:widowControl/>
        <w:snapToGrid w:val="0"/>
        <w:spacing w:line="500" w:lineRule="exact"/>
        <w:ind w:firstLine="504"/>
        <w:rPr>
          <w:rFonts w:asciiTheme="minorEastAsia" w:hAnsiTheme="minorEastAsia" w:eastAsiaTheme="minorEastAsia" w:cstheme="minorEastAsia"/>
          <w:spacing w:val="6"/>
          <w:highlight w:val="none"/>
        </w:rPr>
      </w:pPr>
      <w:r>
        <w:rPr>
          <w:rFonts w:hint="eastAsia" w:asciiTheme="minorEastAsia" w:hAnsiTheme="minorEastAsia" w:eastAsiaTheme="minorEastAsia" w:cstheme="minorEastAsia"/>
          <w:spacing w:val="6"/>
          <w:highlight w:val="none"/>
        </w:rPr>
        <w:t xml:space="preserve">    一、本人</w:t>
      </w:r>
      <w:r>
        <w:rPr>
          <w:rFonts w:hint="eastAsia" w:asciiTheme="minorEastAsia" w:hAnsiTheme="minorEastAsia" w:eastAsiaTheme="minorEastAsia" w:cstheme="minorEastAsia"/>
          <w:kern w:val="0"/>
          <w:highlight w:val="none"/>
        </w:rPr>
        <w:t>经由</w:t>
      </w:r>
      <w:r>
        <w:rPr>
          <w:rFonts w:hint="eastAsia" w:asciiTheme="minorEastAsia" w:hAnsiTheme="minorEastAsia" w:eastAsiaTheme="minorEastAsia" w:cstheme="minorEastAsia"/>
          <w:spacing w:val="6"/>
          <w:highlight w:val="none"/>
          <w:u w:val="single"/>
        </w:rPr>
        <w:t xml:space="preserve">                      （单位）</w:t>
      </w:r>
      <w:r>
        <w:rPr>
          <w:rFonts w:hint="eastAsia" w:asciiTheme="minorEastAsia" w:hAnsiTheme="minorEastAsia" w:eastAsiaTheme="minorEastAsia" w:cstheme="minorEastAsia"/>
          <w:spacing w:val="6"/>
          <w:highlight w:val="none"/>
        </w:rPr>
        <w:t>负责人</w:t>
      </w:r>
      <w:r>
        <w:rPr>
          <w:rFonts w:hint="eastAsia" w:asciiTheme="minorEastAsia" w:hAnsiTheme="minorEastAsia" w:eastAsiaTheme="minorEastAsia" w:cstheme="minorEastAsia"/>
          <w:spacing w:val="6"/>
          <w:highlight w:val="none"/>
          <w:u w:val="single"/>
        </w:rPr>
        <w:t xml:space="preserve">        （姓名）</w:t>
      </w:r>
      <w:r>
        <w:rPr>
          <w:rFonts w:hint="eastAsia" w:asciiTheme="minorEastAsia" w:hAnsiTheme="minorEastAsia" w:eastAsiaTheme="minorEastAsia" w:cstheme="minorEastAsia"/>
          <w:spacing w:val="6"/>
          <w:highlight w:val="none"/>
        </w:rPr>
        <w:t>合法授权</w:t>
      </w:r>
      <w:r>
        <w:rPr>
          <w:rFonts w:hint="eastAsia" w:asciiTheme="minorEastAsia" w:hAnsiTheme="minorEastAsia" w:eastAsiaTheme="minorEastAsia" w:cstheme="minorEastAsia"/>
          <w:spacing w:val="6"/>
          <w:highlight w:val="none"/>
          <w:u w:val="single"/>
        </w:rPr>
        <w:t xml:space="preserve">      （姓名）</w:t>
      </w:r>
      <w:r>
        <w:rPr>
          <w:rFonts w:hint="eastAsia" w:asciiTheme="minorEastAsia" w:hAnsiTheme="minorEastAsia" w:eastAsiaTheme="minorEastAsia" w:cstheme="minorEastAsia"/>
          <w:spacing w:val="6"/>
          <w:highlight w:val="none"/>
        </w:rPr>
        <w:t>参加</w:t>
      </w:r>
      <w:r>
        <w:rPr>
          <w:rFonts w:hint="eastAsia" w:asciiTheme="minorEastAsia" w:hAnsiTheme="minorEastAsia" w:eastAsiaTheme="minorEastAsia" w:cstheme="minorEastAsia"/>
          <w:spacing w:val="6"/>
          <w:highlight w:val="none"/>
          <w:u w:val="single"/>
        </w:rPr>
        <w:t xml:space="preserve">         项目（编号：       ）</w:t>
      </w:r>
      <w:r>
        <w:rPr>
          <w:rFonts w:hint="eastAsia" w:asciiTheme="minorEastAsia" w:hAnsiTheme="minorEastAsia" w:eastAsiaTheme="minorEastAsia" w:cstheme="minorEastAsia"/>
          <w:spacing w:val="6"/>
          <w:highlight w:val="none"/>
        </w:rPr>
        <w:t xml:space="preserve">政府采购活动，经与本单位法人代表（负责人）联系确认，现就有关公平竞争事项郑重声明如下： </w:t>
      </w:r>
    </w:p>
    <w:p w14:paraId="61E30F26">
      <w:pPr>
        <w:pStyle w:val="323"/>
        <w:widowControl/>
        <w:snapToGrid w:val="0"/>
        <w:spacing w:line="500" w:lineRule="exac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    二、本单位与采购人之间 □不存在利害关系 □存在下列利害关系</w:t>
      </w:r>
      <w:r>
        <w:rPr>
          <w:rFonts w:hint="eastAsia" w:asciiTheme="minorEastAsia" w:hAnsiTheme="minorEastAsia" w:eastAsiaTheme="minorEastAsia" w:cstheme="minorEastAsia"/>
          <w:kern w:val="0"/>
          <w:highlight w:val="none"/>
          <w:u w:val="single"/>
        </w:rPr>
        <w:t xml:space="preserve">           </w:t>
      </w:r>
      <w:r>
        <w:rPr>
          <w:rFonts w:hint="eastAsia" w:asciiTheme="minorEastAsia" w:hAnsiTheme="minorEastAsia" w:eastAsiaTheme="minorEastAsia" w:cstheme="minorEastAsia"/>
          <w:kern w:val="0"/>
          <w:highlight w:val="none"/>
        </w:rPr>
        <w:t>： A.投资关系    B.行政隶属关系    C.业务指导关系</w:t>
      </w:r>
    </w:p>
    <w:p w14:paraId="401E1ED1">
      <w:pPr>
        <w:pStyle w:val="323"/>
        <w:widowControl/>
        <w:snapToGrid w:val="0"/>
        <w:spacing w:line="500" w:lineRule="exac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  D.其他可能</w:t>
      </w:r>
      <w:r>
        <w:rPr>
          <w:rFonts w:hint="eastAsia" w:asciiTheme="minorEastAsia" w:hAnsiTheme="minorEastAsia" w:eastAsiaTheme="minorEastAsia" w:cstheme="minorEastAsia"/>
          <w:highlight w:val="none"/>
        </w:rPr>
        <w:t>影响采购公正的</w:t>
      </w:r>
      <w:r>
        <w:rPr>
          <w:rFonts w:hint="eastAsia" w:asciiTheme="minorEastAsia" w:hAnsiTheme="minorEastAsia" w:eastAsiaTheme="minorEastAsia" w:cstheme="minorEastAsia"/>
          <w:kern w:val="0"/>
          <w:highlight w:val="none"/>
        </w:rPr>
        <w:t>利害关系</w:t>
      </w:r>
      <w:r>
        <w:rPr>
          <w:rFonts w:hint="eastAsia" w:asciiTheme="minorEastAsia" w:hAnsiTheme="minorEastAsia" w:eastAsiaTheme="minorEastAsia" w:cstheme="minorEastAsia"/>
          <w:kern w:val="0"/>
          <w:highlight w:val="none"/>
          <w:u w:val="single"/>
        </w:rPr>
        <w:t xml:space="preserve">（如有，请如实说明）                 </w:t>
      </w:r>
      <w:r>
        <w:rPr>
          <w:rFonts w:hint="eastAsia" w:asciiTheme="minorEastAsia" w:hAnsiTheme="minorEastAsia" w:eastAsiaTheme="minorEastAsia" w:cstheme="minorEastAsia"/>
          <w:kern w:val="0"/>
          <w:highlight w:val="none"/>
        </w:rPr>
        <w:t>。</w:t>
      </w:r>
    </w:p>
    <w:p w14:paraId="02B0081A">
      <w:pPr>
        <w:pStyle w:val="323"/>
        <w:widowControl/>
        <w:snapToGrid w:val="0"/>
        <w:spacing w:line="500" w:lineRule="exact"/>
        <w:ind w:firstLine="504"/>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spacing w:val="6"/>
          <w:highlight w:val="none"/>
        </w:rPr>
        <w:t xml:space="preserve">    三、</w:t>
      </w:r>
      <w:r>
        <w:rPr>
          <w:rFonts w:hint="eastAsia" w:asciiTheme="minorEastAsia" w:hAnsiTheme="minorEastAsia" w:eastAsiaTheme="minorEastAsia" w:cstheme="minorEastAsia"/>
          <w:kern w:val="0"/>
          <w:highlight w:val="none"/>
        </w:rPr>
        <w:t>现已清楚知道参加本项目采购活动的其他所有供应商名称，本单位 □与其他所有供应商之间均不存在利害关系 □与</w:t>
      </w:r>
      <w:r>
        <w:rPr>
          <w:rFonts w:hint="eastAsia" w:asciiTheme="minorEastAsia" w:hAnsiTheme="minorEastAsia" w:eastAsiaTheme="minorEastAsia" w:cstheme="minorEastAsia"/>
          <w:kern w:val="0"/>
          <w:highlight w:val="none"/>
          <w:u w:val="single"/>
        </w:rPr>
        <w:t xml:space="preserve">           （供应商名称）</w:t>
      </w:r>
      <w:r>
        <w:rPr>
          <w:rFonts w:hint="eastAsia" w:asciiTheme="minorEastAsia" w:hAnsiTheme="minorEastAsia" w:eastAsiaTheme="minorEastAsia" w:cstheme="minorEastAsia"/>
          <w:kern w:val="0"/>
          <w:highlight w:val="none"/>
        </w:rPr>
        <w:t>之间存在下列利害关系</w:t>
      </w:r>
      <w:r>
        <w:rPr>
          <w:rFonts w:hint="eastAsia" w:asciiTheme="minorEastAsia" w:hAnsiTheme="minorEastAsia" w:eastAsiaTheme="minorEastAsia" w:cstheme="minorEastAsia"/>
          <w:kern w:val="0"/>
          <w:highlight w:val="none"/>
          <w:u w:val="single"/>
        </w:rPr>
        <w:t xml:space="preserve">          </w:t>
      </w:r>
      <w:r>
        <w:rPr>
          <w:rFonts w:hint="eastAsia" w:asciiTheme="minorEastAsia" w:hAnsiTheme="minorEastAsia" w:eastAsiaTheme="minorEastAsia" w:cstheme="minorEastAsia"/>
          <w:kern w:val="0"/>
          <w:highlight w:val="none"/>
        </w:rPr>
        <w:t>：</w:t>
      </w:r>
    </w:p>
    <w:p w14:paraId="2EFE9F13">
      <w:pPr>
        <w:pStyle w:val="322"/>
        <w:snapToGrid w:val="0"/>
        <w:spacing w:line="50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A.法定代表人或负责人或实际控制人是同一人</w:t>
      </w:r>
    </w:p>
    <w:p w14:paraId="06644BBC">
      <w:pPr>
        <w:pStyle w:val="322"/>
        <w:snapToGrid w:val="0"/>
        <w:spacing w:line="500" w:lineRule="exact"/>
        <w:rPr>
          <w:rFonts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z w:val="24"/>
          <w:szCs w:val="24"/>
          <w:highlight w:val="none"/>
        </w:rPr>
        <w:t xml:space="preserve">  B.法定代表人或负责人或实际控制人是夫妻关系</w:t>
      </w:r>
    </w:p>
    <w:p w14:paraId="5C9E416C">
      <w:pPr>
        <w:pStyle w:val="322"/>
        <w:snapToGrid w:val="0"/>
        <w:spacing w:line="500" w:lineRule="exact"/>
        <w:rPr>
          <w:rFonts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z w:val="24"/>
          <w:szCs w:val="24"/>
          <w:highlight w:val="none"/>
        </w:rPr>
        <w:t xml:space="preserve">  C.法定代表人或负责人或实际控制人是直系血亲关系</w:t>
      </w:r>
    </w:p>
    <w:p w14:paraId="0A69E7CF">
      <w:pPr>
        <w:pStyle w:val="322"/>
        <w:snapToGrid w:val="0"/>
        <w:spacing w:line="500" w:lineRule="exact"/>
        <w:rPr>
          <w:rFonts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z w:val="24"/>
          <w:szCs w:val="24"/>
          <w:highlight w:val="none"/>
        </w:rPr>
        <w:t xml:space="preserve">  D.法定代表人或负责人或实际控制人存在三代以内旁系血亲关系</w:t>
      </w:r>
    </w:p>
    <w:p w14:paraId="6EDF4D1B">
      <w:pPr>
        <w:pStyle w:val="322"/>
        <w:snapToGrid w:val="0"/>
        <w:spacing w:line="50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E.法定代表人或负责人或实际控制人存在近姻亲关系</w:t>
      </w:r>
    </w:p>
    <w:p w14:paraId="5CC24999">
      <w:pPr>
        <w:pStyle w:val="322"/>
        <w:snapToGrid w:val="0"/>
        <w:spacing w:line="50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F.法定代表人或负责人或实际控制人存在股份控制或实际控制关系</w:t>
      </w:r>
    </w:p>
    <w:p w14:paraId="257B8CCA">
      <w:pPr>
        <w:pStyle w:val="322"/>
        <w:snapToGrid w:val="0"/>
        <w:spacing w:line="50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G.存在共同直接或间接投资设立子公司、联营企业和合营企业情况</w:t>
      </w:r>
    </w:p>
    <w:p w14:paraId="5CAD4B64">
      <w:pPr>
        <w:pStyle w:val="322"/>
        <w:snapToGrid w:val="0"/>
        <w:spacing w:line="50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H.存在分级代理或代销关系、同一生产制造商关系、管理关系、重要业务（占主营业务收入50%以上）或重要财务往来关系（如融资）等其他实质性控制关系</w:t>
      </w:r>
    </w:p>
    <w:p w14:paraId="7C7DADA1">
      <w:pPr>
        <w:pStyle w:val="322"/>
        <w:snapToGrid w:val="0"/>
        <w:spacing w:line="500" w:lineRule="exact"/>
        <w:rPr>
          <w:rFonts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z w:val="24"/>
          <w:szCs w:val="24"/>
          <w:highlight w:val="none"/>
        </w:rPr>
        <w:t xml:space="preserve">  I.其他利害关系情况</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14:paraId="77EDD66A">
      <w:pPr>
        <w:pStyle w:val="323"/>
        <w:widowControl/>
        <w:snapToGrid w:val="0"/>
        <w:spacing w:line="500" w:lineRule="exac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highlight w:val="none"/>
        </w:rPr>
        <w:t xml:space="preserve">    四、现已清楚知道并</w:t>
      </w:r>
      <w:r>
        <w:rPr>
          <w:rFonts w:hint="eastAsia" w:asciiTheme="minorEastAsia" w:hAnsiTheme="minorEastAsia" w:eastAsiaTheme="minorEastAsia" w:cstheme="minorEastAsia"/>
          <w:kern w:val="0"/>
          <w:highlight w:val="none"/>
        </w:rPr>
        <w:t>严格遵守政府采购法律法规和现场纪律。</w:t>
      </w:r>
    </w:p>
    <w:p w14:paraId="0EBF896E">
      <w:pPr>
        <w:pStyle w:val="323"/>
        <w:widowControl/>
        <w:snapToGrid w:val="0"/>
        <w:spacing w:line="5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rPr>
        <w:t xml:space="preserve">    五、我发现</w:t>
      </w:r>
      <w:r>
        <w:rPr>
          <w:rFonts w:hint="eastAsia" w:asciiTheme="minorEastAsia" w:hAnsiTheme="minorEastAsia" w:eastAsiaTheme="minorEastAsia" w:cstheme="minorEastAsia"/>
          <w:kern w:val="0"/>
          <w:highlight w:val="none"/>
          <w:u w:val="single"/>
        </w:rPr>
        <w:t xml:space="preserve">                     </w:t>
      </w:r>
      <w:r>
        <w:rPr>
          <w:rFonts w:hint="eastAsia" w:asciiTheme="minorEastAsia" w:hAnsiTheme="minorEastAsia" w:eastAsiaTheme="minorEastAsia" w:cstheme="minorEastAsia"/>
          <w:kern w:val="0"/>
          <w:highlight w:val="none"/>
        </w:rPr>
        <w:t>供应商之间存在或可能存在上述第二条第</w:t>
      </w:r>
      <w:r>
        <w:rPr>
          <w:rFonts w:hint="eastAsia" w:asciiTheme="minorEastAsia" w:hAnsiTheme="minorEastAsia" w:eastAsiaTheme="minorEastAsia" w:cstheme="minorEastAsia"/>
          <w:kern w:val="0"/>
          <w:highlight w:val="none"/>
          <w:u w:val="single"/>
        </w:rPr>
        <w:t xml:space="preserve">        </w:t>
      </w:r>
      <w:r>
        <w:rPr>
          <w:rFonts w:hint="eastAsia" w:asciiTheme="minorEastAsia" w:hAnsiTheme="minorEastAsia" w:eastAsiaTheme="minorEastAsia" w:cstheme="minorEastAsia"/>
          <w:kern w:val="0"/>
          <w:highlight w:val="none"/>
        </w:rPr>
        <w:t>项利害关系。</w:t>
      </w:r>
    </w:p>
    <w:p w14:paraId="53DA993F">
      <w:pPr>
        <w:pStyle w:val="322"/>
        <w:snapToGrid w:val="0"/>
        <w:spacing w:line="50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（供应商代表签名）</w:t>
      </w:r>
    </w:p>
    <w:p w14:paraId="23CD768A">
      <w:pPr>
        <w:pStyle w:val="322"/>
        <w:snapToGrid w:val="0"/>
        <w:spacing w:line="500" w:lineRule="exact"/>
        <w:jc w:val="righ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年   月   日</w:t>
      </w:r>
    </w:p>
    <w:p w14:paraId="482D1A7B">
      <w:pPr>
        <w:rPr>
          <w:rFonts w:asciiTheme="minorEastAsia" w:hAnsiTheme="minorEastAsia" w:eastAsiaTheme="minorEastAsia" w:cstheme="minorEastAsia"/>
          <w:sz w:val="24"/>
          <w:highlight w:val="none"/>
        </w:rPr>
      </w:pPr>
    </w:p>
    <w:p w14:paraId="00CB6423">
      <w:pPr>
        <w:pStyle w:val="2"/>
        <w:rPr>
          <w:rFonts w:asciiTheme="minorEastAsia" w:hAnsiTheme="minorEastAsia" w:eastAsiaTheme="minorEastAsia" w:cstheme="minorEastAsia"/>
          <w:szCs w:val="24"/>
          <w:highlight w:val="none"/>
        </w:rPr>
      </w:pPr>
    </w:p>
    <w:p w14:paraId="0028A894">
      <w:pPr>
        <w:pStyle w:val="4"/>
        <w:rPr>
          <w:rFonts w:asciiTheme="minorEastAsia" w:hAnsiTheme="minorEastAsia" w:eastAsiaTheme="minorEastAsia" w:cstheme="minorEastAsia"/>
          <w:sz w:val="24"/>
          <w:highlight w:val="none"/>
        </w:rPr>
      </w:pPr>
    </w:p>
    <w:p w14:paraId="76EE32BD">
      <w:pPr>
        <w:rPr>
          <w:rFonts w:asciiTheme="minorEastAsia" w:hAnsiTheme="minorEastAsia" w:eastAsiaTheme="minorEastAsia" w:cstheme="minorEastAsia"/>
          <w:sz w:val="24"/>
          <w:highlight w:val="none"/>
        </w:rPr>
      </w:pPr>
    </w:p>
    <w:p w14:paraId="6A5C56A9">
      <w:pPr>
        <w:pStyle w:val="2"/>
        <w:rPr>
          <w:rFonts w:asciiTheme="minorEastAsia" w:hAnsiTheme="minorEastAsia" w:eastAsiaTheme="minorEastAsia" w:cstheme="minorEastAsia"/>
          <w:szCs w:val="24"/>
          <w:highlight w:val="none"/>
        </w:rPr>
      </w:pPr>
    </w:p>
    <w:p w14:paraId="6492DE6C">
      <w:pPr>
        <w:pStyle w:val="322"/>
        <w:snapToGrid w:val="0"/>
        <w:spacing w:line="50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备注：（1）投标人解密投标文件及获知其他投标人信息进行如实声明并盖章，30分钟内以扫描件形式提交给采购代理机构，邮箱：</w:t>
      </w:r>
      <w:r>
        <w:rPr>
          <w:rFonts w:hint="eastAsia" w:asciiTheme="minorEastAsia" w:hAnsiTheme="minorEastAsia" w:eastAsiaTheme="minorEastAsia" w:cstheme="minorEastAsia"/>
          <w:sz w:val="24"/>
          <w:szCs w:val="24"/>
          <w:highlight w:val="none"/>
          <w:lang w:val="en-US" w:eastAsia="zh-CN"/>
        </w:rPr>
        <w:t>2518505590</w:t>
      </w:r>
      <w:r>
        <w:rPr>
          <w:rFonts w:hint="eastAsia" w:asciiTheme="minorEastAsia" w:hAnsiTheme="minorEastAsia" w:eastAsiaTheme="minorEastAsia" w:cstheme="minorEastAsia"/>
          <w:sz w:val="24"/>
          <w:szCs w:val="24"/>
          <w:highlight w:val="none"/>
        </w:rPr>
        <w:t>@qq.com。如未在规定时间内提供此函，则视为默认不存在情况，后续不得以此进行质疑投诉。</w:t>
      </w:r>
    </w:p>
    <w:p w14:paraId="6516DA96">
      <w:pPr>
        <w:pStyle w:val="323"/>
        <w:widowControl/>
        <w:snapToGrid w:val="0"/>
        <w:spacing w:line="5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（2）此声明函不用编入投标文件，单独发送至采购代理机构邮箱。</w:t>
      </w:r>
    </w:p>
    <w:p w14:paraId="038E0C23">
      <w:pPr>
        <w:pStyle w:val="39"/>
        <w:rPr>
          <w:rFonts w:asciiTheme="minorEastAsia" w:hAnsiTheme="minorEastAsia" w:eastAsiaTheme="minorEastAsia" w:cstheme="minorEastAsia"/>
          <w:sz w:val="24"/>
          <w:szCs w:val="24"/>
          <w:highlight w:val="none"/>
        </w:rPr>
      </w:pPr>
    </w:p>
    <w:p w14:paraId="4FAB31C7">
      <w:pPr>
        <w:rPr>
          <w:highlight w:val="none"/>
        </w:rPr>
      </w:pPr>
    </w:p>
    <w:p w14:paraId="246246B2">
      <w:pPr>
        <w:rPr>
          <w:highlight w:val="none"/>
        </w:rPr>
      </w:pPr>
    </w:p>
    <w:p w14:paraId="59E9F16D">
      <w:pPr>
        <w:rPr>
          <w:highlight w:val="none"/>
        </w:rPr>
      </w:pPr>
    </w:p>
    <w:p w14:paraId="50AF858E">
      <w:pPr>
        <w:rPr>
          <w:highlight w:val="none"/>
        </w:rPr>
      </w:pPr>
    </w:p>
    <w:p w14:paraId="04E4F68C">
      <w:pPr>
        <w:spacing w:line="360" w:lineRule="auto"/>
        <w:rPr>
          <w:rFonts w:cs="宋体" w:asciiTheme="majorEastAsia" w:hAnsiTheme="majorEastAsia" w:eastAsiaTheme="majorEastAsia"/>
          <w:bCs/>
          <w:sz w:val="24"/>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0" w:usb3="00000000" w:csb0="00000093" w:csb1="00000000"/>
  </w:font>
  <w:font w:name="Calibri Light">
    <w:panose1 w:val="020F03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B497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874EE">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bookmarkStart w:id="414" w:name="_Toc36110187"/>
    <w:bookmarkStart w:id="415" w:name="_Toc131845147"/>
    <w:bookmarkStart w:id="416" w:name="_Toc164085800"/>
    <w:bookmarkStart w:id="417" w:name="_Toc91899912"/>
    <w:r>
      <w:rPr>
        <w:rFonts w:hint="eastAsia" w:ascii="仿宋_GB2312" w:eastAsia="仿宋_GB2312"/>
        <w:kern w:val="0"/>
        <w:szCs w:val="21"/>
      </w:rPr>
      <w:t xml:space="preserve"> 页</w:t>
    </w:r>
    <w:bookmarkEnd w:id="414"/>
    <w:bookmarkEnd w:id="415"/>
    <w:bookmarkEnd w:id="416"/>
    <w:bookmarkEnd w:id="4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4164B">
    <w:pPr>
      <w:pStyle w:val="42"/>
      <w:framePr w:wrap="around" w:vAnchor="text" w:hAnchor="margin" w:xAlign="right" w:y="1"/>
      <w:rPr>
        <w:rStyle w:val="73"/>
      </w:rPr>
    </w:pPr>
    <w:r>
      <w:fldChar w:fldCharType="begin"/>
    </w:r>
    <w:r>
      <w:rPr>
        <w:rStyle w:val="73"/>
      </w:rPr>
      <w:instrText xml:space="preserve">PAGE  </w:instrText>
    </w:r>
    <w:r>
      <w:fldChar w:fldCharType="end"/>
    </w:r>
  </w:p>
  <w:p w14:paraId="6430E9B0">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083C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311E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 页</w:t>
    </w:r>
  </w:p>
  <w:p w14:paraId="5E02C0E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862B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 页</w:t>
    </w:r>
  </w:p>
  <w:p w14:paraId="4763BE0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3E62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 页</w:t>
    </w:r>
  </w:p>
  <w:p w14:paraId="108DE6C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5B12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 页</w:t>
    </w:r>
  </w:p>
  <w:p w14:paraId="0E0CFDC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0E51D">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93576">
    <w:pPr>
      <w:pStyle w:val="42"/>
      <w:framePr w:wrap="around" w:vAnchor="text" w:hAnchor="margin" w:xAlign="right" w:y="1"/>
      <w:rPr>
        <w:rStyle w:val="73"/>
      </w:rPr>
    </w:pPr>
    <w:r>
      <w:fldChar w:fldCharType="begin"/>
    </w:r>
    <w:r>
      <w:rPr>
        <w:rStyle w:val="73"/>
      </w:rPr>
      <w:instrText xml:space="preserve">PAGE  </w:instrText>
    </w:r>
    <w:r>
      <w:fldChar w:fldCharType="end"/>
    </w:r>
  </w:p>
  <w:p w14:paraId="2C311BD9">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C9625">
    <w:pPr>
      <w:pStyle w:val="43"/>
    </w:pPr>
    <w:r>
      <w:t>杭州市政府采购公开招标文件</w:t>
    </w:r>
  </w:p>
  <w:p w14:paraId="00354965">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CE238">
    <w:pPr>
      <w:pStyle w:val="43"/>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F933E">
    <w:pPr>
      <w:pStyle w:val="43"/>
      <w:rPr>
        <w:rFonts w:ascii="仿宋_GB2312" w:eastAsia="仿宋_GB2312"/>
        <w:b/>
        <w:i/>
        <w:u w:val="single"/>
      </w:rPr>
    </w:pPr>
    <w:r>
      <w:t>杭州市政府采购公开招标文件</w:t>
    </w:r>
  </w:p>
  <w:p w14:paraId="58DB0D3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63D80">
    <w:pPr>
      <w:pStyle w:val="43"/>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5AAC3">
    <w:pPr>
      <w:pStyle w:val="43"/>
      <w:rPr>
        <w:rFonts w:ascii="仿宋_GB2312" w:eastAsia="仿宋_GB2312"/>
        <w:b/>
        <w:i/>
        <w:u w:val="single"/>
      </w:rPr>
    </w:pPr>
    <w:r>
      <w:t>杭州市政府采购公开招标文件</w:t>
    </w:r>
  </w:p>
  <w:p w14:paraId="5BCF47A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FE814">
    <w:pPr>
      <w:pStyle w:val="43"/>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3CE13">
    <w:pPr>
      <w:pStyle w:val="43"/>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72C9E">
    <w:pPr>
      <w:pStyle w:val="43"/>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284C1"/>
    <w:multiLevelType w:val="singleLevel"/>
    <w:tmpl w:val="BE7284C1"/>
    <w:lvl w:ilvl="0" w:tentative="0">
      <w:start w:val="2"/>
      <w:numFmt w:val="chineseCounting"/>
      <w:suff w:val="nothing"/>
      <w:lvlText w:val="%1、"/>
      <w:lvlJc w:val="left"/>
      <w:rPr>
        <w:rFonts w:hint="eastAsia"/>
      </w:rPr>
    </w:lvl>
  </w:abstractNum>
  <w:abstractNum w:abstractNumId="1">
    <w:nsid w:val="C56B8888"/>
    <w:multiLevelType w:val="singleLevel"/>
    <w:tmpl w:val="C56B8888"/>
    <w:lvl w:ilvl="0" w:tentative="0">
      <w:start w:val="1"/>
      <w:numFmt w:val="decimal"/>
      <w:lvlText w:val="%1."/>
      <w:lvlJc w:val="left"/>
      <w:pPr>
        <w:ind w:left="425" w:hanging="425"/>
      </w:pPr>
      <w:rPr>
        <w:rFonts w:hint="default"/>
      </w:rPr>
    </w:lvl>
  </w:abstractNum>
  <w:abstractNum w:abstractNumId="2">
    <w:nsid w:val="D6AD14EF"/>
    <w:multiLevelType w:val="singleLevel"/>
    <w:tmpl w:val="D6AD14EF"/>
    <w:lvl w:ilvl="0" w:tentative="0">
      <w:start w:val="1"/>
      <w:numFmt w:val="decimal"/>
      <w:suff w:val="nothing"/>
      <w:lvlText w:val="%1、"/>
      <w:lvlJc w:val="left"/>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64396399"/>
    <w:multiLevelType w:val="multilevel"/>
    <w:tmpl w:val="64396399"/>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NGQ1NDVlZjM5YmY0NmVmMjEzYTc4YWVkYTQ0MG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A9F"/>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47D9B"/>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7B7"/>
    <w:rsid w:val="00056868"/>
    <w:rsid w:val="00056876"/>
    <w:rsid w:val="000568DF"/>
    <w:rsid w:val="000578A3"/>
    <w:rsid w:val="00057D4C"/>
    <w:rsid w:val="00060C48"/>
    <w:rsid w:val="00061A3C"/>
    <w:rsid w:val="00061C48"/>
    <w:rsid w:val="00064278"/>
    <w:rsid w:val="000646CA"/>
    <w:rsid w:val="000647CC"/>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71"/>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776"/>
    <w:rsid w:val="00092FE9"/>
    <w:rsid w:val="000936BF"/>
    <w:rsid w:val="0009382F"/>
    <w:rsid w:val="00093A30"/>
    <w:rsid w:val="00094342"/>
    <w:rsid w:val="000945BA"/>
    <w:rsid w:val="00095954"/>
    <w:rsid w:val="000960BA"/>
    <w:rsid w:val="0009662A"/>
    <w:rsid w:val="0009690D"/>
    <w:rsid w:val="00096DFF"/>
    <w:rsid w:val="00097CDB"/>
    <w:rsid w:val="000A0078"/>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6CF1"/>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C8"/>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91"/>
    <w:rsid w:val="001224FE"/>
    <w:rsid w:val="001231D3"/>
    <w:rsid w:val="001232A7"/>
    <w:rsid w:val="00123F7C"/>
    <w:rsid w:val="0012419E"/>
    <w:rsid w:val="001248EF"/>
    <w:rsid w:val="00124AC0"/>
    <w:rsid w:val="00124FC4"/>
    <w:rsid w:val="001253AB"/>
    <w:rsid w:val="0012574C"/>
    <w:rsid w:val="001259B8"/>
    <w:rsid w:val="001264B9"/>
    <w:rsid w:val="0012690C"/>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77AE8"/>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3A6"/>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144"/>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023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30"/>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4178"/>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52"/>
    <w:rsid w:val="002D74A4"/>
    <w:rsid w:val="002D7DB2"/>
    <w:rsid w:val="002D7DBD"/>
    <w:rsid w:val="002D7EA8"/>
    <w:rsid w:val="002E00E1"/>
    <w:rsid w:val="002E0102"/>
    <w:rsid w:val="002E03AE"/>
    <w:rsid w:val="002E0542"/>
    <w:rsid w:val="002E05F2"/>
    <w:rsid w:val="002E0E87"/>
    <w:rsid w:val="002E12FA"/>
    <w:rsid w:val="002E13CF"/>
    <w:rsid w:val="002E201C"/>
    <w:rsid w:val="002E218A"/>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97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0D0E"/>
    <w:rsid w:val="00321DB7"/>
    <w:rsid w:val="00321E7A"/>
    <w:rsid w:val="0032226D"/>
    <w:rsid w:val="00322771"/>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3EBB"/>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61A"/>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24C"/>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97E"/>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03B"/>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08"/>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5703"/>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5B2E"/>
    <w:rsid w:val="005060AE"/>
    <w:rsid w:val="0050790B"/>
    <w:rsid w:val="00507FDF"/>
    <w:rsid w:val="0051037C"/>
    <w:rsid w:val="0051050F"/>
    <w:rsid w:val="0051058B"/>
    <w:rsid w:val="00510DDC"/>
    <w:rsid w:val="00511166"/>
    <w:rsid w:val="00512217"/>
    <w:rsid w:val="00512459"/>
    <w:rsid w:val="005131A2"/>
    <w:rsid w:val="005137E4"/>
    <w:rsid w:val="00513BB9"/>
    <w:rsid w:val="00514193"/>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EDA"/>
    <w:rsid w:val="00574E7B"/>
    <w:rsid w:val="00574F36"/>
    <w:rsid w:val="0057645C"/>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97CD5"/>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743"/>
    <w:rsid w:val="005D79F2"/>
    <w:rsid w:val="005D7CB1"/>
    <w:rsid w:val="005D7D69"/>
    <w:rsid w:val="005D7F57"/>
    <w:rsid w:val="005E0067"/>
    <w:rsid w:val="005E0141"/>
    <w:rsid w:val="005E09CA"/>
    <w:rsid w:val="005E1AB4"/>
    <w:rsid w:val="005E255B"/>
    <w:rsid w:val="005E2CF7"/>
    <w:rsid w:val="005E37FD"/>
    <w:rsid w:val="005E4097"/>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0C6"/>
    <w:rsid w:val="00600DE1"/>
    <w:rsid w:val="00601506"/>
    <w:rsid w:val="00601596"/>
    <w:rsid w:val="00601C92"/>
    <w:rsid w:val="00601F66"/>
    <w:rsid w:val="0060200D"/>
    <w:rsid w:val="00602764"/>
    <w:rsid w:val="00602B29"/>
    <w:rsid w:val="00602DAD"/>
    <w:rsid w:val="00603373"/>
    <w:rsid w:val="006036D0"/>
    <w:rsid w:val="00603B1C"/>
    <w:rsid w:val="00603CD2"/>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F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91E"/>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D32"/>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4D2C"/>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6E55"/>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96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54C"/>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599"/>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3AE"/>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6AE"/>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0DE9"/>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4D5"/>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C7"/>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913"/>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8B7"/>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8D3"/>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D85"/>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27A"/>
    <w:rsid w:val="00927330"/>
    <w:rsid w:val="00927710"/>
    <w:rsid w:val="009279AB"/>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025"/>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5AD"/>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5B1A"/>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1DA"/>
    <w:rsid w:val="00A772F2"/>
    <w:rsid w:val="00A77828"/>
    <w:rsid w:val="00A77BAA"/>
    <w:rsid w:val="00A800F9"/>
    <w:rsid w:val="00A803A6"/>
    <w:rsid w:val="00A8073D"/>
    <w:rsid w:val="00A80D02"/>
    <w:rsid w:val="00A815FB"/>
    <w:rsid w:val="00A81AEB"/>
    <w:rsid w:val="00A828F4"/>
    <w:rsid w:val="00A82D32"/>
    <w:rsid w:val="00A82EAE"/>
    <w:rsid w:val="00A82FC7"/>
    <w:rsid w:val="00A83AD0"/>
    <w:rsid w:val="00A847F9"/>
    <w:rsid w:val="00A84F27"/>
    <w:rsid w:val="00A8519C"/>
    <w:rsid w:val="00A855EE"/>
    <w:rsid w:val="00A8597A"/>
    <w:rsid w:val="00A85B87"/>
    <w:rsid w:val="00A85F83"/>
    <w:rsid w:val="00A86019"/>
    <w:rsid w:val="00A86DE5"/>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12A"/>
    <w:rsid w:val="00AA634D"/>
    <w:rsid w:val="00AA6F6C"/>
    <w:rsid w:val="00AA721D"/>
    <w:rsid w:val="00AA7519"/>
    <w:rsid w:val="00AA790A"/>
    <w:rsid w:val="00AA7F76"/>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C49"/>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0646"/>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DC4"/>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7B7"/>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9E5"/>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EC1"/>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22"/>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A93"/>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A5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BD"/>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3F86"/>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338"/>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3EA4"/>
    <w:rsid w:val="00D9413E"/>
    <w:rsid w:val="00D94C8D"/>
    <w:rsid w:val="00D95F88"/>
    <w:rsid w:val="00D96034"/>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6CEB"/>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A3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9F3"/>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AB6"/>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6E2"/>
    <w:rsid w:val="00EE1E71"/>
    <w:rsid w:val="00EE2087"/>
    <w:rsid w:val="00EE20C2"/>
    <w:rsid w:val="00EE2A9D"/>
    <w:rsid w:val="00EE3384"/>
    <w:rsid w:val="00EE499F"/>
    <w:rsid w:val="00EE56E2"/>
    <w:rsid w:val="00EE5FCD"/>
    <w:rsid w:val="00EE6134"/>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AFC"/>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2CB"/>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5F7"/>
    <w:rsid w:val="00F50A9F"/>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37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A29"/>
    <w:rsid w:val="00FC6C35"/>
    <w:rsid w:val="00FC6D59"/>
    <w:rsid w:val="00FC7561"/>
    <w:rsid w:val="00FC78F5"/>
    <w:rsid w:val="00FC7ACA"/>
    <w:rsid w:val="00FC7AD2"/>
    <w:rsid w:val="00FD0A2E"/>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253"/>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4EBF"/>
    <w:rsid w:val="00FF5C6A"/>
    <w:rsid w:val="00FF651D"/>
    <w:rsid w:val="00FF6843"/>
    <w:rsid w:val="00FF6C25"/>
    <w:rsid w:val="010651D9"/>
    <w:rsid w:val="010749CE"/>
    <w:rsid w:val="011F6449"/>
    <w:rsid w:val="01236AFB"/>
    <w:rsid w:val="019F7441"/>
    <w:rsid w:val="01B37585"/>
    <w:rsid w:val="01D55165"/>
    <w:rsid w:val="01DF6BF8"/>
    <w:rsid w:val="01EC2C57"/>
    <w:rsid w:val="020359F8"/>
    <w:rsid w:val="020E6CC5"/>
    <w:rsid w:val="02173E55"/>
    <w:rsid w:val="025F0711"/>
    <w:rsid w:val="026B2E25"/>
    <w:rsid w:val="02824D4D"/>
    <w:rsid w:val="02C31095"/>
    <w:rsid w:val="02DC4B10"/>
    <w:rsid w:val="02DD76CE"/>
    <w:rsid w:val="02F36323"/>
    <w:rsid w:val="02F5619C"/>
    <w:rsid w:val="03215050"/>
    <w:rsid w:val="0326446A"/>
    <w:rsid w:val="032D5555"/>
    <w:rsid w:val="033A2950"/>
    <w:rsid w:val="034445B5"/>
    <w:rsid w:val="036634D2"/>
    <w:rsid w:val="038D715B"/>
    <w:rsid w:val="03DD35E4"/>
    <w:rsid w:val="04076900"/>
    <w:rsid w:val="041A5A3B"/>
    <w:rsid w:val="042311BA"/>
    <w:rsid w:val="042B157A"/>
    <w:rsid w:val="04423B04"/>
    <w:rsid w:val="046248DD"/>
    <w:rsid w:val="048F763B"/>
    <w:rsid w:val="049A781C"/>
    <w:rsid w:val="049F330E"/>
    <w:rsid w:val="04AA775C"/>
    <w:rsid w:val="04AF1889"/>
    <w:rsid w:val="04F66F48"/>
    <w:rsid w:val="05251E14"/>
    <w:rsid w:val="05A16594"/>
    <w:rsid w:val="05A7762D"/>
    <w:rsid w:val="060E5941"/>
    <w:rsid w:val="06110FAF"/>
    <w:rsid w:val="06493CA7"/>
    <w:rsid w:val="065A6178"/>
    <w:rsid w:val="066F1CF3"/>
    <w:rsid w:val="06930BB8"/>
    <w:rsid w:val="071C691E"/>
    <w:rsid w:val="07245D42"/>
    <w:rsid w:val="07264C62"/>
    <w:rsid w:val="072D1D54"/>
    <w:rsid w:val="073C7668"/>
    <w:rsid w:val="07637229"/>
    <w:rsid w:val="076C4259"/>
    <w:rsid w:val="0779354C"/>
    <w:rsid w:val="07F94C6F"/>
    <w:rsid w:val="08061376"/>
    <w:rsid w:val="08452D77"/>
    <w:rsid w:val="08514A4D"/>
    <w:rsid w:val="086401F8"/>
    <w:rsid w:val="08733D48"/>
    <w:rsid w:val="08751CAA"/>
    <w:rsid w:val="087E4C40"/>
    <w:rsid w:val="08874912"/>
    <w:rsid w:val="08A871D0"/>
    <w:rsid w:val="08D66AD6"/>
    <w:rsid w:val="08DA33A3"/>
    <w:rsid w:val="08E80F13"/>
    <w:rsid w:val="09335624"/>
    <w:rsid w:val="0944690F"/>
    <w:rsid w:val="09523172"/>
    <w:rsid w:val="09535675"/>
    <w:rsid w:val="095F057D"/>
    <w:rsid w:val="09642282"/>
    <w:rsid w:val="09733572"/>
    <w:rsid w:val="09772C16"/>
    <w:rsid w:val="098353B5"/>
    <w:rsid w:val="09A92330"/>
    <w:rsid w:val="09B06B87"/>
    <w:rsid w:val="09C13146"/>
    <w:rsid w:val="09E04166"/>
    <w:rsid w:val="0A1C0718"/>
    <w:rsid w:val="0A2C39C3"/>
    <w:rsid w:val="0A3E7710"/>
    <w:rsid w:val="0A4E70E3"/>
    <w:rsid w:val="0A5B7E63"/>
    <w:rsid w:val="0AA374A5"/>
    <w:rsid w:val="0AAB7649"/>
    <w:rsid w:val="0ABC5606"/>
    <w:rsid w:val="0B02541A"/>
    <w:rsid w:val="0B1C10B6"/>
    <w:rsid w:val="0B30404E"/>
    <w:rsid w:val="0B4C6C14"/>
    <w:rsid w:val="0B547599"/>
    <w:rsid w:val="0B631A88"/>
    <w:rsid w:val="0B683D45"/>
    <w:rsid w:val="0B6E6A96"/>
    <w:rsid w:val="0B7F3F11"/>
    <w:rsid w:val="0B884417"/>
    <w:rsid w:val="0BAF665A"/>
    <w:rsid w:val="0BE12DB6"/>
    <w:rsid w:val="0BEB655E"/>
    <w:rsid w:val="0BF6188C"/>
    <w:rsid w:val="0BF73C91"/>
    <w:rsid w:val="0C170175"/>
    <w:rsid w:val="0C1C35C4"/>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65686"/>
    <w:rsid w:val="0D827401"/>
    <w:rsid w:val="0D84094E"/>
    <w:rsid w:val="0D8A00E9"/>
    <w:rsid w:val="0D8D589E"/>
    <w:rsid w:val="0DA01C73"/>
    <w:rsid w:val="0DD63300"/>
    <w:rsid w:val="0DF50604"/>
    <w:rsid w:val="0DF702FE"/>
    <w:rsid w:val="0E060E51"/>
    <w:rsid w:val="0E1C3D4F"/>
    <w:rsid w:val="0E1C5AFD"/>
    <w:rsid w:val="0E5604B2"/>
    <w:rsid w:val="0E6D5D79"/>
    <w:rsid w:val="0E9B2EC6"/>
    <w:rsid w:val="0E9D0089"/>
    <w:rsid w:val="0EB43F87"/>
    <w:rsid w:val="0EB803EE"/>
    <w:rsid w:val="0EE42A50"/>
    <w:rsid w:val="0EF94D4B"/>
    <w:rsid w:val="0F3D5D2B"/>
    <w:rsid w:val="0F4958DC"/>
    <w:rsid w:val="0F515DF7"/>
    <w:rsid w:val="0F596BA8"/>
    <w:rsid w:val="0F6248D2"/>
    <w:rsid w:val="0F693536"/>
    <w:rsid w:val="0F694D72"/>
    <w:rsid w:val="0F7B0511"/>
    <w:rsid w:val="0F7B76D9"/>
    <w:rsid w:val="0F816ACD"/>
    <w:rsid w:val="0F9832DB"/>
    <w:rsid w:val="0FBF3FD2"/>
    <w:rsid w:val="0FBF7FF3"/>
    <w:rsid w:val="0FD87A06"/>
    <w:rsid w:val="0FEF09E7"/>
    <w:rsid w:val="10523A58"/>
    <w:rsid w:val="10646583"/>
    <w:rsid w:val="107D4B15"/>
    <w:rsid w:val="108A3C80"/>
    <w:rsid w:val="10C26171"/>
    <w:rsid w:val="10E727FD"/>
    <w:rsid w:val="10F33360"/>
    <w:rsid w:val="10FC16EA"/>
    <w:rsid w:val="110F1D40"/>
    <w:rsid w:val="11266F33"/>
    <w:rsid w:val="11526A9C"/>
    <w:rsid w:val="118963A1"/>
    <w:rsid w:val="11C12C43"/>
    <w:rsid w:val="11C6522A"/>
    <w:rsid w:val="11E104CC"/>
    <w:rsid w:val="11E20309"/>
    <w:rsid w:val="120166B0"/>
    <w:rsid w:val="1209104C"/>
    <w:rsid w:val="12255233"/>
    <w:rsid w:val="12530213"/>
    <w:rsid w:val="127723A9"/>
    <w:rsid w:val="12862074"/>
    <w:rsid w:val="12883966"/>
    <w:rsid w:val="129E45B4"/>
    <w:rsid w:val="12BA0729"/>
    <w:rsid w:val="12D81596"/>
    <w:rsid w:val="12EA7F78"/>
    <w:rsid w:val="13072A44"/>
    <w:rsid w:val="135F4BE2"/>
    <w:rsid w:val="139B1A0A"/>
    <w:rsid w:val="139D25C7"/>
    <w:rsid w:val="13B25A59"/>
    <w:rsid w:val="13BF3CE4"/>
    <w:rsid w:val="141008D8"/>
    <w:rsid w:val="14125FE6"/>
    <w:rsid w:val="146D271E"/>
    <w:rsid w:val="148803F2"/>
    <w:rsid w:val="14982588"/>
    <w:rsid w:val="149A5AD9"/>
    <w:rsid w:val="149F5C62"/>
    <w:rsid w:val="14A7619D"/>
    <w:rsid w:val="14C01BD1"/>
    <w:rsid w:val="14EB51BD"/>
    <w:rsid w:val="150536C3"/>
    <w:rsid w:val="150C1963"/>
    <w:rsid w:val="151447A0"/>
    <w:rsid w:val="153A2FB5"/>
    <w:rsid w:val="15415EB5"/>
    <w:rsid w:val="154A6454"/>
    <w:rsid w:val="15762120"/>
    <w:rsid w:val="168A4BB2"/>
    <w:rsid w:val="16A8729C"/>
    <w:rsid w:val="16B33777"/>
    <w:rsid w:val="16BC70A7"/>
    <w:rsid w:val="16C6339E"/>
    <w:rsid w:val="1712246D"/>
    <w:rsid w:val="172F2D79"/>
    <w:rsid w:val="17465999"/>
    <w:rsid w:val="17557BEF"/>
    <w:rsid w:val="17642378"/>
    <w:rsid w:val="17922A5F"/>
    <w:rsid w:val="17D349C1"/>
    <w:rsid w:val="182269B6"/>
    <w:rsid w:val="1830729E"/>
    <w:rsid w:val="1870062C"/>
    <w:rsid w:val="18817102"/>
    <w:rsid w:val="18830A15"/>
    <w:rsid w:val="18852B28"/>
    <w:rsid w:val="188B3C43"/>
    <w:rsid w:val="188B5321"/>
    <w:rsid w:val="18A84B5D"/>
    <w:rsid w:val="18BA49DA"/>
    <w:rsid w:val="18F51424"/>
    <w:rsid w:val="191502AE"/>
    <w:rsid w:val="19655830"/>
    <w:rsid w:val="19932372"/>
    <w:rsid w:val="19A20DD5"/>
    <w:rsid w:val="19AE03F1"/>
    <w:rsid w:val="19B94B48"/>
    <w:rsid w:val="1A071A03"/>
    <w:rsid w:val="1A1F16AE"/>
    <w:rsid w:val="1A3B5C77"/>
    <w:rsid w:val="1A984BAD"/>
    <w:rsid w:val="1AB8220E"/>
    <w:rsid w:val="1AE16104"/>
    <w:rsid w:val="1AE4166C"/>
    <w:rsid w:val="1AF06CFB"/>
    <w:rsid w:val="1AF11B8D"/>
    <w:rsid w:val="1B045679"/>
    <w:rsid w:val="1B11359C"/>
    <w:rsid w:val="1B2A271F"/>
    <w:rsid w:val="1B530544"/>
    <w:rsid w:val="1B713184"/>
    <w:rsid w:val="1B7E7E17"/>
    <w:rsid w:val="1BA14364"/>
    <w:rsid w:val="1BA209CF"/>
    <w:rsid w:val="1BB4777D"/>
    <w:rsid w:val="1BCD2105"/>
    <w:rsid w:val="1BD75AB8"/>
    <w:rsid w:val="1C0459C2"/>
    <w:rsid w:val="1C1B3B4A"/>
    <w:rsid w:val="1C88086E"/>
    <w:rsid w:val="1CBC0BDB"/>
    <w:rsid w:val="1D266CE1"/>
    <w:rsid w:val="1D3963AF"/>
    <w:rsid w:val="1D65301C"/>
    <w:rsid w:val="1D6A673C"/>
    <w:rsid w:val="1D9247AE"/>
    <w:rsid w:val="1DB567EC"/>
    <w:rsid w:val="1DC6292F"/>
    <w:rsid w:val="1DDB37DB"/>
    <w:rsid w:val="1DF51A98"/>
    <w:rsid w:val="1E3D060F"/>
    <w:rsid w:val="1E3F7D2E"/>
    <w:rsid w:val="1E4134E4"/>
    <w:rsid w:val="1E5062B3"/>
    <w:rsid w:val="1E523514"/>
    <w:rsid w:val="1E5A02FF"/>
    <w:rsid w:val="1E5B32E0"/>
    <w:rsid w:val="1E714A66"/>
    <w:rsid w:val="1E802593"/>
    <w:rsid w:val="1E8B6156"/>
    <w:rsid w:val="1E9B51CA"/>
    <w:rsid w:val="1EA703CC"/>
    <w:rsid w:val="1EB7330C"/>
    <w:rsid w:val="1EEB3A4D"/>
    <w:rsid w:val="1F0A0FF3"/>
    <w:rsid w:val="1F2A7F23"/>
    <w:rsid w:val="1F3154F1"/>
    <w:rsid w:val="1F5771FF"/>
    <w:rsid w:val="1FB326DA"/>
    <w:rsid w:val="1FC33C1D"/>
    <w:rsid w:val="1FD52DD5"/>
    <w:rsid w:val="1FE868A9"/>
    <w:rsid w:val="20034907"/>
    <w:rsid w:val="20173E4B"/>
    <w:rsid w:val="204E48BC"/>
    <w:rsid w:val="208921B3"/>
    <w:rsid w:val="20973DEB"/>
    <w:rsid w:val="20A420AE"/>
    <w:rsid w:val="20B26522"/>
    <w:rsid w:val="20B44310"/>
    <w:rsid w:val="20D364EF"/>
    <w:rsid w:val="211116EB"/>
    <w:rsid w:val="21380A48"/>
    <w:rsid w:val="216133FC"/>
    <w:rsid w:val="216C5FBF"/>
    <w:rsid w:val="21D56769"/>
    <w:rsid w:val="21E52EF3"/>
    <w:rsid w:val="21FB5D7B"/>
    <w:rsid w:val="22015E94"/>
    <w:rsid w:val="220B1C3D"/>
    <w:rsid w:val="221D1D20"/>
    <w:rsid w:val="222B1D82"/>
    <w:rsid w:val="22334A87"/>
    <w:rsid w:val="226D06CE"/>
    <w:rsid w:val="22BE6801"/>
    <w:rsid w:val="22EB45C8"/>
    <w:rsid w:val="233500BF"/>
    <w:rsid w:val="23377FF7"/>
    <w:rsid w:val="236B425F"/>
    <w:rsid w:val="23731D93"/>
    <w:rsid w:val="23836192"/>
    <w:rsid w:val="23901F29"/>
    <w:rsid w:val="239C0061"/>
    <w:rsid w:val="239F6B5C"/>
    <w:rsid w:val="23B908A4"/>
    <w:rsid w:val="23DD406E"/>
    <w:rsid w:val="23E72E1A"/>
    <w:rsid w:val="23E95BEF"/>
    <w:rsid w:val="23FD0064"/>
    <w:rsid w:val="241443C1"/>
    <w:rsid w:val="245375B0"/>
    <w:rsid w:val="24642C0A"/>
    <w:rsid w:val="248F3A0E"/>
    <w:rsid w:val="24A75125"/>
    <w:rsid w:val="24B22173"/>
    <w:rsid w:val="24B95AD9"/>
    <w:rsid w:val="24BE24DA"/>
    <w:rsid w:val="24CF5825"/>
    <w:rsid w:val="24D663E6"/>
    <w:rsid w:val="24D77F2B"/>
    <w:rsid w:val="25147C8B"/>
    <w:rsid w:val="258B00E2"/>
    <w:rsid w:val="25A917A6"/>
    <w:rsid w:val="25BC1C48"/>
    <w:rsid w:val="25BE27CC"/>
    <w:rsid w:val="25E570CF"/>
    <w:rsid w:val="25F74A5C"/>
    <w:rsid w:val="26062EC3"/>
    <w:rsid w:val="2628662C"/>
    <w:rsid w:val="262D45DE"/>
    <w:rsid w:val="26871DC8"/>
    <w:rsid w:val="26A53EF9"/>
    <w:rsid w:val="26A94201"/>
    <w:rsid w:val="26AC274F"/>
    <w:rsid w:val="26CA0394"/>
    <w:rsid w:val="26E1123A"/>
    <w:rsid w:val="27044A29"/>
    <w:rsid w:val="271D34C8"/>
    <w:rsid w:val="27313A17"/>
    <w:rsid w:val="276142BF"/>
    <w:rsid w:val="27783712"/>
    <w:rsid w:val="27907362"/>
    <w:rsid w:val="27FC27CF"/>
    <w:rsid w:val="28333E1D"/>
    <w:rsid w:val="28454BD6"/>
    <w:rsid w:val="28455253"/>
    <w:rsid w:val="28551971"/>
    <w:rsid w:val="285B1C53"/>
    <w:rsid w:val="28616AD6"/>
    <w:rsid w:val="289F7086"/>
    <w:rsid w:val="28C32028"/>
    <w:rsid w:val="28CC490F"/>
    <w:rsid w:val="28DE40AA"/>
    <w:rsid w:val="29345E77"/>
    <w:rsid w:val="294C65AD"/>
    <w:rsid w:val="29806583"/>
    <w:rsid w:val="298B3C4C"/>
    <w:rsid w:val="299B6018"/>
    <w:rsid w:val="29F26D24"/>
    <w:rsid w:val="2A15033F"/>
    <w:rsid w:val="2A1662C1"/>
    <w:rsid w:val="2A1C7367"/>
    <w:rsid w:val="2A2815FA"/>
    <w:rsid w:val="2A6347BE"/>
    <w:rsid w:val="2A6D6092"/>
    <w:rsid w:val="2A7D76B4"/>
    <w:rsid w:val="2A826B2E"/>
    <w:rsid w:val="2AA016B4"/>
    <w:rsid w:val="2B1719E6"/>
    <w:rsid w:val="2B437463"/>
    <w:rsid w:val="2B7807EE"/>
    <w:rsid w:val="2BA50BF7"/>
    <w:rsid w:val="2BBF00EC"/>
    <w:rsid w:val="2BC37CFD"/>
    <w:rsid w:val="2BD10ED6"/>
    <w:rsid w:val="2BD5237F"/>
    <w:rsid w:val="2BE536CE"/>
    <w:rsid w:val="2BE758D9"/>
    <w:rsid w:val="2BFB2210"/>
    <w:rsid w:val="2C017C90"/>
    <w:rsid w:val="2C09049E"/>
    <w:rsid w:val="2C0A653C"/>
    <w:rsid w:val="2C0C0B07"/>
    <w:rsid w:val="2C131E96"/>
    <w:rsid w:val="2C191F85"/>
    <w:rsid w:val="2CE82D6F"/>
    <w:rsid w:val="2D343236"/>
    <w:rsid w:val="2DAF3277"/>
    <w:rsid w:val="2DD15014"/>
    <w:rsid w:val="2DF72DE4"/>
    <w:rsid w:val="2E0220AF"/>
    <w:rsid w:val="2E4149DB"/>
    <w:rsid w:val="2E4B082A"/>
    <w:rsid w:val="2E5D4E86"/>
    <w:rsid w:val="2E5D790B"/>
    <w:rsid w:val="2E740382"/>
    <w:rsid w:val="2E9A3C18"/>
    <w:rsid w:val="2EBB0FEE"/>
    <w:rsid w:val="2EC63002"/>
    <w:rsid w:val="2F0A6B38"/>
    <w:rsid w:val="2F673C82"/>
    <w:rsid w:val="2F6F373D"/>
    <w:rsid w:val="2F946CCB"/>
    <w:rsid w:val="2FD25781"/>
    <w:rsid w:val="2FDC745C"/>
    <w:rsid w:val="2FFD7934"/>
    <w:rsid w:val="30200C5B"/>
    <w:rsid w:val="30316EF1"/>
    <w:rsid w:val="30733ACD"/>
    <w:rsid w:val="308C3862"/>
    <w:rsid w:val="309379D8"/>
    <w:rsid w:val="30A270F7"/>
    <w:rsid w:val="30C8181E"/>
    <w:rsid w:val="30DF1478"/>
    <w:rsid w:val="30EC586F"/>
    <w:rsid w:val="310402C4"/>
    <w:rsid w:val="311D2B65"/>
    <w:rsid w:val="314550B7"/>
    <w:rsid w:val="316F1B70"/>
    <w:rsid w:val="319C6071"/>
    <w:rsid w:val="31AC537E"/>
    <w:rsid w:val="31E3679B"/>
    <w:rsid w:val="31E732FD"/>
    <w:rsid w:val="32517576"/>
    <w:rsid w:val="3258119C"/>
    <w:rsid w:val="3271791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381A62"/>
    <w:rsid w:val="354D7158"/>
    <w:rsid w:val="358D5588"/>
    <w:rsid w:val="363A3B40"/>
    <w:rsid w:val="365302AE"/>
    <w:rsid w:val="36607A0A"/>
    <w:rsid w:val="366E227C"/>
    <w:rsid w:val="366F2E0D"/>
    <w:rsid w:val="367B6A5C"/>
    <w:rsid w:val="36A74ADA"/>
    <w:rsid w:val="36AD60D5"/>
    <w:rsid w:val="36B224F9"/>
    <w:rsid w:val="36DA1F2E"/>
    <w:rsid w:val="36EC0CC9"/>
    <w:rsid w:val="373F410B"/>
    <w:rsid w:val="37450207"/>
    <w:rsid w:val="37CE2CE6"/>
    <w:rsid w:val="37EE7094"/>
    <w:rsid w:val="381B125C"/>
    <w:rsid w:val="38296C89"/>
    <w:rsid w:val="383002EB"/>
    <w:rsid w:val="383C4522"/>
    <w:rsid w:val="38586797"/>
    <w:rsid w:val="38855EC9"/>
    <w:rsid w:val="3888233F"/>
    <w:rsid w:val="38BC0149"/>
    <w:rsid w:val="38D87D1C"/>
    <w:rsid w:val="39242EFE"/>
    <w:rsid w:val="39636459"/>
    <w:rsid w:val="396B7F6C"/>
    <w:rsid w:val="397A17A6"/>
    <w:rsid w:val="39857A0F"/>
    <w:rsid w:val="39B417A9"/>
    <w:rsid w:val="39FC5695"/>
    <w:rsid w:val="3A006D8E"/>
    <w:rsid w:val="3A3651E5"/>
    <w:rsid w:val="3A704163"/>
    <w:rsid w:val="3A744481"/>
    <w:rsid w:val="3A8C7BEF"/>
    <w:rsid w:val="3A906246"/>
    <w:rsid w:val="3A922B1F"/>
    <w:rsid w:val="3ABE23E9"/>
    <w:rsid w:val="3ABE3914"/>
    <w:rsid w:val="3B2349B7"/>
    <w:rsid w:val="3B615BF5"/>
    <w:rsid w:val="3B616CFF"/>
    <w:rsid w:val="3B6259F6"/>
    <w:rsid w:val="3B816D28"/>
    <w:rsid w:val="3B873426"/>
    <w:rsid w:val="3B976654"/>
    <w:rsid w:val="3BC01EFC"/>
    <w:rsid w:val="3BCA786A"/>
    <w:rsid w:val="3BD31E2F"/>
    <w:rsid w:val="3BF15831"/>
    <w:rsid w:val="3BF910A8"/>
    <w:rsid w:val="3C105946"/>
    <w:rsid w:val="3C221C81"/>
    <w:rsid w:val="3C471448"/>
    <w:rsid w:val="3C5F759A"/>
    <w:rsid w:val="3C6C525A"/>
    <w:rsid w:val="3CBE160C"/>
    <w:rsid w:val="3CCE23CB"/>
    <w:rsid w:val="3CD17D17"/>
    <w:rsid w:val="3CFF0193"/>
    <w:rsid w:val="3D2A703F"/>
    <w:rsid w:val="3D3C7F39"/>
    <w:rsid w:val="3D440F09"/>
    <w:rsid w:val="3D4504A0"/>
    <w:rsid w:val="3D502B88"/>
    <w:rsid w:val="3D8734BB"/>
    <w:rsid w:val="3D9A11D4"/>
    <w:rsid w:val="3DA16D89"/>
    <w:rsid w:val="3DA364BE"/>
    <w:rsid w:val="3DCC0998"/>
    <w:rsid w:val="3DCF0EBB"/>
    <w:rsid w:val="3DE041CB"/>
    <w:rsid w:val="3E0D48F6"/>
    <w:rsid w:val="3E1868B4"/>
    <w:rsid w:val="3E377251"/>
    <w:rsid w:val="3E42664B"/>
    <w:rsid w:val="3E5A7334"/>
    <w:rsid w:val="3E7B5D6B"/>
    <w:rsid w:val="3E843E66"/>
    <w:rsid w:val="3E894239"/>
    <w:rsid w:val="3E8F51FE"/>
    <w:rsid w:val="3E926F87"/>
    <w:rsid w:val="3E9A59DE"/>
    <w:rsid w:val="3EAF4836"/>
    <w:rsid w:val="3EC33DFA"/>
    <w:rsid w:val="3F060E16"/>
    <w:rsid w:val="3F1D1096"/>
    <w:rsid w:val="3F2F0234"/>
    <w:rsid w:val="3F6363FE"/>
    <w:rsid w:val="3F756B8F"/>
    <w:rsid w:val="3F95482B"/>
    <w:rsid w:val="3FBC2F4A"/>
    <w:rsid w:val="4019356B"/>
    <w:rsid w:val="401E67F8"/>
    <w:rsid w:val="405368AD"/>
    <w:rsid w:val="40592157"/>
    <w:rsid w:val="406E1CAE"/>
    <w:rsid w:val="408C33BF"/>
    <w:rsid w:val="40A0133A"/>
    <w:rsid w:val="40C003E6"/>
    <w:rsid w:val="40C31A53"/>
    <w:rsid w:val="40CD74F9"/>
    <w:rsid w:val="40FF545D"/>
    <w:rsid w:val="410067C8"/>
    <w:rsid w:val="410E46E1"/>
    <w:rsid w:val="418F0D2A"/>
    <w:rsid w:val="41D01505"/>
    <w:rsid w:val="42474939"/>
    <w:rsid w:val="424C3C57"/>
    <w:rsid w:val="42613FF3"/>
    <w:rsid w:val="42660D96"/>
    <w:rsid w:val="427375DA"/>
    <w:rsid w:val="428667D2"/>
    <w:rsid w:val="42AC7633"/>
    <w:rsid w:val="42CD1CE0"/>
    <w:rsid w:val="42E1381E"/>
    <w:rsid w:val="42ED6459"/>
    <w:rsid w:val="42FE58DD"/>
    <w:rsid w:val="43174B3D"/>
    <w:rsid w:val="434B790E"/>
    <w:rsid w:val="4360274F"/>
    <w:rsid w:val="43977AB6"/>
    <w:rsid w:val="43A3342B"/>
    <w:rsid w:val="43C77C27"/>
    <w:rsid w:val="43DE09EE"/>
    <w:rsid w:val="43EB1B46"/>
    <w:rsid w:val="44002FAD"/>
    <w:rsid w:val="447D214A"/>
    <w:rsid w:val="449101DD"/>
    <w:rsid w:val="44DE1391"/>
    <w:rsid w:val="44FE051B"/>
    <w:rsid w:val="450B1E4C"/>
    <w:rsid w:val="451B225C"/>
    <w:rsid w:val="452410C9"/>
    <w:rsid w:val="45317DFB"/>
    <w:rsid w:val="456D3CE4"/>
    <w:rsid w:val="4579042C"/>
    <w:rsid w:val="457F0571"/>
    <w:rsid w:val="45851176"/>
    <w:rsid w:val="45A87B17"/>
    <w:rsid w:val="45C63B94"/>
    <w:rsid w:val="460E7DA5"/>
    <w:rsid w:val="46422483"/>
    <w:rsid w:val="4659254A"/>
    <w:rsid w:val="465B0637"/>
    <w:rsid w:val="465E3F0D"/>
    <w:rsid w:val="466A16E6"/>
    <w:rsid w:val="46893F2B"/>
    <w:rsid w:val="46C4686E"/>
    <w:rsid w:val="46D945A9"/>
    <w:rsid w:val="46E03D69"/>
    <w:rsid w:val="477B778F"/>
    <w:rsid w:val="478203EC"/>
    <w:rsid w:val="47975C19"/>
    <w:rsid w:val="47B025FA"/>
    <w:rsid w:val="47E66258"/>
    <w:rsid w:val="4809698F"/>
    <w:rsid w:val="4811697D"/>
    <w:rsid w:val="483D62E5"/>
    <w:rsid w:val="48770C66"/>
    <w:rsid w:val="487A3E25"/>
    <w:rsid w:val="488B5503"/>
    <w:rsid w:val="48901983"/>
    <w:rsid w:val="48937E21"/>
    <w:rsid w:val="489A0361"/>
    <w:rsid w:val="48B94FF3"/>
    <w:rsid w:val="48E37AAB"/>
    <w:rsid w:val="48FD4B4C"/>
    <w:rsid w:val="490A68E0"/>
    <w:rsid w:val="491055FE"/>
    <w:rsid w:val="492E081F"/>
    <w:rsid w:val="495F5B3E"/>
    <w:rsid w:val="496F77D7"/>
    <w:rsid w:val="497654FD"/>
    <w:rsid w:val="49831FB1"/>
    <w:rsid w:val="498B1AD3"/>
    <w:rsid w:val="49B64211"/>
    <w:rsid w:val="49D55CE0"/>
    <w:rsid w:val="49E56AF9"/>
    <w:rsid w:val="49E90EA5"/>
    <w:rsid w:val="49F6167F"/>
    <w:rsid w:val="4A02335D"/>
    <w:rsid w:val="4A064FA0"/>
    <w:rsid w:val="4A0B0D31"/>
    <w:rsid w:val="4A16615C"/>
    <w:rsid w:val="4A4424D7"/>
    <w:rsid w:val="4A89713F"/>
    <w:rsid w:val="4AB82D0F"/>
    <w:rsid w:val="4AC46B69"/>
    <w:rsid w:val="4AE82D91"/>
    <w:rsid w:val="4AEB7664"/>
    <w:rsid w:val="4AFD7C19"/>
    <w:rsid w:val="4B0567D1"/>
    <w:rsid w:val="4B2257F9"/>
    <w:rsid w:val="4B236AAE"/>
    <w:rsid w:val="4B65492A"/>
    <w:rsid w:val="4B707271"/>
    <w:rsid w:val="4B94223B"/>
    <w:rsid w:val="4B9739F7"/>
    <w:rsid w:val="4B997D17"/>
    <w:rsid w:val="4BBA33C6"/>
    <w:rsid w:val="4BC12737"/>
    <w:rsid w:val="4BEE2503"/>
    <w:rsid w:val="4C245A30"/>
    <w:rsid w:val="4C307289"/>
    <w:rsid w:val="4CB6685F"/>
    <w:rsid w:val="4CC367FE"/>
    <w:rsid w:val="4D077F3C"/>
    <w:rsid w:val="4D123355"/>
    <w:rsid w:val="4D2A3B31"/>
    <w:rsid w:val="4D312C52"/>
    <w:rsid w:val="4D7F0CE1"/>
    <w:rsid w:val="4D905305"/>
    <w:rsid w:val="4D964A72"/>
    <w:rsid w:val="4D9C1254"/>
    <w:rsid w:val="4DB72B71"/>
    <w:rsid w:val="4E087DE7"/>
    <w:rsid w:val="4E1F651F"/>
    <w:rsid w:val="4E793892"/>
    <w:rsid w:val="4E800872"/>
    <w:rsid w:val="4EC569ED"/>
    <w:rsid w:val="4ED50EA1"/>
    <w:rsid w:val="4EEC050C"/>
    <w:rsid w:val="4F104EC3"/>
    <w:rsid w:val="4F47354A"/>
    <w:rsid w:val="4F6D4A83"/>
    <w:rsid w:val="4F911C54"/>
    <w:rsid w:val="4FBD79EC"/>
    <w:rsid w:val="4FE625E0"/>
    <w:rsid w:val="50063DD3"/>
    <w:rsid w:val="5021480F"/>
    <w:rsid w:val="50236A4D"/>
    <w:rsid w:val="503913C6"/>
    <w:rsid w:val="503D03B4"/>
    <w:rsid w:val="506257DA"/>
    <w:rsid w:val="50962ECB"/>
    <w:rsid w:val="50A42E38"/>
    <w:rsid w:val="50A4577F"/>
    <w:rsid w:val="50A462DD"/>
    <w:rsid w:val="50B73D1F"/>
    <w:rsid w:val="50BD5BC9"/>
    <w:rsid w:val="50C11EEE"/>
    <w:rsid w:val="50E97CFC"/>
    <w:rsid w:val="50FA4028"/>
    <w:rsid w:val="510D65B7"/>
    <w:rsid w:val="511157AB"/>
    <w:rsid w:val="5142540C"/>
    <w:rsid w:val="517D392F"/>
    <w:rsid w:val="518832C8"/>
    <w:rsid w:val="519D3C50"/>
    <w:rsid w:val="51A0432A"/>
    <w:rsid w:val="51A86090"/>
    <w:rsid w:val="51B7396D"/>
    <w:rsid w:val="51C567BD"/>
    <w:rsid w:val="521F0CE5"/>
    <w:rsid w:val="522633D6"/>
    <w:rsid w:val="522921CD"/>
    <w:rsid w:val="522E4CC3"/>
    <w:rsid w:val="5244713B"/>
    <w:rsid w:val="52505342"/>
    <w:rsid w:val="52615633"/>
    <w:rsid w:val="526F4DE4"/>
    <w:rsid w:val="52977FD4"/>
    <w:rsid w:val="52A25790"/>
    <w:rsid w:val="52A96B6F"/>
    <w:rsid w:val="52B45975"/>
    <w:rsid w:val="52D94AA4"/>
    <w:rsid w:val="52EA3A62"/>
    <w:rsid w:val="52F50BB8"/>
    <w:rsid w:val="52FF3E7A"/>
    <w:rsid w:val="53057EDB"/>
    <w:rsid w:val="53097272"/>
    <w:rsid w:val="53336DA2"/>
    <w:rsid w:val="53544462"/>
    <w:rsid w:val="5397158E"/>
    <w:rsid w:val="53EE096F"/>
    <w:rsid w:val="54013861"/>
    <w:rsid w:val="54031263"/>
    <w:rsid w:val="54487265"/>
    <w:rsid w:val="544D6070"/>
    <w:rsid w:val="54605E1E"/>
    <w:rsid w:val="54B3506A"/>
    <w:rsid w:val="54CA0D16"/>
    <w:rsid w:val="54DD4057"/>
    <w:rsid w:val="54E7490F"/>
    <w:rsid w:val="550764A4"/>
    <w:rsid w:val="550B2BF6"/>
    <w:rsid w:val="55214EB5"/>
    <w:rsid w:val="55364EFD"/>
    <w:rsid w:val="555D4828"/>
    <w:rsid w:val="557A4C8B"/>
    <w:rsid w:val="557B554D"/>
    <w:rsid w:val="558931E1"/>
    <w:rsid w:val="55923347"/>
    <w:rsid w:val="55925180"/>
    <w:rsid w:val="55983B1B"/>
    <w:rsid w:val="55A8376B"/>
    <w:rsid w:val="55DC29B6"/>
    <w:rsid w:val="55DD4241"/>
    <w:rsid w:val="566B6D1E"/>
    <w:rsid w:val="567E79D1"/>
    <w:rsid w:val="56CD6F61"/>
    <w:rsid w:val="57032A2C"/>
    <w:rsid w:val="570F5219"/>
    <w:rsid w:val="575D12B5"/>
    <w:rsid w:val="57610A87"/>
    <w:rsid w:val="577B1140"/>
    <w:rsid w:val="577B7F21"/>
    <w:rsid w:val="577F181B"/>
    <w:rsid w:val="57921984"/>
    <w:rsid w:val="579737F0"/>
    <w:rsid w:val="57AB7B30"/>
    <w:rsid w:val="57AF5251"/>
    <w:rsid w:val="57B26373"/>
    <w:rsid w:val="57B63F04"/>
    <w:rsid w:val="57BF0FCB"/>
    <w:rsid w:val="57CD20C2"/>
    <w:rsid w:val="57D675AB"/>
    <w:rsid w:val="57D95FDD"/>
    <w:rsid w:val="58917D2F"/>
    <w:rsid w:val="5894085C"/>
    <w:rsid w:val="58AE4F0C"/>
    <w:rsid w:val="58B85899"/>
    <w:rsid w:val="58C726DF"/>
    <w:rsid w:val="58CB38C0"/>
    <w:rsid w:val="58D95574"/>
    <w:rsid w:val="58E363A9"/>
    <w:rsid w:val="5919648E"/>
    <w:rsid w:val="594A678D"/>
    <w:rsid w:val="595E1678"/>
    <w:rsid w:val="596D5BD4"/>
    <w:rsid w:val="597E3DD8"/>
    <w:rsid w:val="59A61B2E"/>
    <w:rsid w:val="59F80043"/>
    <w:rsid w:val="5A09252F"/>
    <w:rsid w:val="5A0B2778"/>
    <w:rsid w:val="5A275A65"/>
    <w:rsid w:val="5A2A7C7B"/>
    <w:rsid w:val="5A3E2560"/>
    <w:rsid w:val="5A5D3B6E"/>
    <w:rsid w:val="5A637A76"/>
    <w:rsid w:val="5A6D33BA"/>
    <w:rsid w:val="5A792B1F"/>
    <w:rsid w:val="5A874767"/>
    <w:rsid w:val="5AA85BE2"/>
    <w:rsid w:val="5AAD6F28"/>
    <w:rsid w:val="5AD63A24"/>
    <w:rsid w:val="5B2E1A1D"/>
    <w:rsid w:val="5B7C7358"/>
    <w:rsid w:val="5B843A1C"/>
    <w:rsid w:val="5B873E3F"/>
    <w:rsid w:val="5C02690E"/>
    <w:rsid w:val="5C196DA7"/>
    <w:rsid w:val="5C2A048C"/>
    <w:rsid w:val="5C80234E"/>
    <w:rsid w:val="5C8A680C"/>
    <w:rsid w:val="5D0C4701"/>
    <w:rsid w:val="5D0F0395"/>
    <w:rsid w:val="5D221076"/>
    <w:rsid w:val="5D397964"/>
    <w:rsid w:val="5D443618"/>
    <w:rsid w:val="5D5A391C"/>
    <w:rsid w:val="5D5F10C0"/>
    <w:rsid w:val="5D891B7B"/>
    <w:rsid w:val="5DAD38EE"/>
    <w:rsid w:val="5DBD6B5F"/>
    <w:rsid w:val="5E006862"/>
    <w:rsid w:val="5E0207B9"/>
    <w:rsid w:val="5E1834A1"/>
    <w:rsid w:val="5E261785"/>
    <w:rsid w:val="5E4A7017"/>
    <w:rsid w:val="5E552BBA"/>
    <w:rsid w:val="5E611C10"/>
    <w:rsid w:val="5E7963F7"/>
    <w:rsid w:val="5E7A0F3F"/>
    <w:rsid w:val="5EFC7377"/>
    <w:rsid w:val="5F06174D"/>
    <w:rsid w:val="5F3A3602"/>
    <w:rsid w:val="5F430CA6"/>
    <w:rsid w:val="5F45733B"/>
    <w:rsid w:val="5F6277C6"/>
    <w:rsid w:val="5F6D0B1D"/>
    <w:rsid w:val="5F8D0B82"/>
    <w:rsid w:val="5FAB1E0A"/>
    <w:rsid w:val="5FCC5339"/>
    <w:rsid w:val="5FE34A5B"/>
    <w:rsid w:val="5FFE1E36"/>
    <w:rsid w:val="601620D0"/>
    <w:rsid w:val="60232584"/>
    <w:rsid w:val="607330CE"/>
    <w:rsid w:val="60825176"/>
    <w:rsid w:val="609F2AC4"/>
    <w:rsid w:val="60FA27EA"/>
    <w:rsid w:val="60FA2EE8"/>
    <w:rsid w:val="60FC0DF8"/>
    <w:rsid w:val="61054A27"/>
    <w:rsid w:val="610A52BC"/>
    <w:rsid w:val="611D2366"/>
    <w:rsid w:val="61421856"/>
    <w:rsid w:val="615227C4"/>
    <w:rsid w:val="61536800"/>
    <w:rsid w:val="61654E3F"/>
    <w:rsid w:val="61817F46"/>
    <w:rsid w:val="6182292A"/>
    <w:rsid w:val="619F7F92"/>
    <w:rsid w:val="61F94C26"/>
    <w:rsid w:val="62000E56"/>
    <w:rsid w:val="624F3E49"/>
    <w:rsid w:val="62632286"/>
    <w:rsid w:val="62885958"/>
    <w:rsid w:val="62F40B65"/>
    <w:rsid w:val="62FC2CFE"/>
    <w:rsid w:val="63024505"/>
    <w:rsid w:val="633F2F95"/>
    <w:rsid w:val="635600A5"/>
    <w:rsid w:val="635B1DB5"/>
    <w:rsid w:val="63711FED"/>
    <w:rsid w:val="63880DDC"/>
    <w:rsid w:val="638D750D"/>
    <w:rsid w:val="6395768A"/>
    <w:rsid w:val="63AC6CC0"/>
    <w:rsid w:val="64047F59"/>
    <w:rsid w:val="64055776"/>
    <w:rsid w:val="64240056"/>
    <w:rsid w:val="643E143A"/>
    <w:rsid w:val="64414AEB"/>
    <w:rsid w:val="64491666"/>
    <w:rsid w:val="648B6EEF"/>
    <w:rsid w:val="64C158BF"/>
    <w:rsid w:val="64CE2EAA"/>
    <w:rsid w:val="64D836A1"/>
    <w:rsid w:val="653C3090"/>
    <w:rsid w:val="654E3963"/>
    <w:rsid w:val="65854376"/>
    <w:rsid w:val="658767BE"/>
    <w:rsid w:val="65892531"/>
    <w:rsid w:val="65982E30"/>
    <w:rsid w:val="659B3F27"/>
    <w:rsid w:val="65A67FE9"/>
    <w:rsid w:val="66195831"/>
    <w:rsid w:val="662E75B1"/>
    <w:rsid w:val="66342C2E"/>
    <w:rsid w:val="663E784C"/>
    <w:rsid w:val="668B6A45"/>
    <w:rsid w:val="66B23A7E"/>
    <w:rsid w:val="67011F07"/>
    <w:rsid w:val="671E7365"/>
    <w:rsid w:val="672F3F24"/>
    <w:rsid w:val="673E055F"/>
    <w:rsid w:val="67551CE3"/>
    <w:rsid w:val="67926E78"/>
    <w:rsid w:val="67A22552"/>
    <w:rsid w:val="67B22DCC"/>
    <w:rsid w:val="67B650F1"/>
    <w:rsid w:val="67BE71AA"/>
    <w:rsid w:val="67D90273"/>
    <w:rsid w:val="67DE5875"/>
    <w:rsid w:val="67E55852"/>
    <w:rsid w:val="67EB1AB4"/>
    <w:rsid w:val="67FA1285"/>
    <w:rsid w:val="68551F4F"/>
    <w:rsid w:val="68752FB5"/>
    <w:rsid w:val="687C10C9"/>
    <w:rsid w:val="68840C16"/>
    <w:rsid w:val="68872541"/>
    <w:rsid w:val="68876EFB"/>
    <w:rsid w:val="68884654"/>
    <w:rsid w:val="688C2914"/>
    <w:rsid w:val="689F444F"/>
    <w:rsid w:val="68B96DBB"/>
    <w:rsid w:val="68CA2805"/>
    <w:rsid w:val="68CF4DBB"/>
    <w:rsid w:val="68E937A3"/>
    <w:rsid w:val="691101DE"/>
    <w:rsid w:val="691664E5"/>
    <w:rsid w:val="692A0A4E"/>
    <w:rsid w:val="693B7D5A"/>
    <w:rsid w:val="693E15D3"/>
    <w:rsid w:val="69450BD9"/>
    <w:rsid w:val="69513A22"/>
    <w:rsid w:val="69627681"/>
    <w:rsid w:val="6977531D"/>
    <w:rsid w:val="698D79E2"/>
    <w:rsid w:val="69CC2BFF"/>
    <w:rsid w:val="69FD55B8"/>
    <w:rsid w:val="6A097E59"/>
    <w:rsid w:val="6A0B1C62"/>
    <w:rsid w:val="6A2406C8"/>
    <w:rsid w:val="6A7F636D"/>
    <w:rsid w:val="6A890F99"/>
    <w:rsid w:val="6A8B6C55"/>
    <w:rsid w:val="6ADE0BD1"/>
    <w:rsid w:val="6AE96859"/>
    <w:rsid w:val="6B147746"/>
    <w:rsid w:val="6B24787C"/>
    <w:rsid w:val="6B573233"/>
    <w:rsid w:val="6B5B6274"/>
    <w:rsid w:val="6B926B5B"/>
    <w:rsid w:val="6B935D53"/>
    <w:rsid w:val="6C196F71"/>
    <w:rsid w:val="6C226FCB"/>
    <w:rsid w:val="6C31226F"/>
    <w:rsid w:val="6C552F0B"/>
    <w:rsid w:val="6C8C67B7"/>
    <w:rsid w:val="6C9D744C"/>
    <w:rsid w:val="6CB00DC2"/>
    <w:rsid w:val="6CBF5AA8"/>
    <w:rsid w:val="6D145958"/>
    <w:rsid w:val="6D167928"/>
    <w:rsid w:val="6D26299B"/>
    <w:rsid w:val="6D4772EC"/>
    <w:rsid w:val="6D9078AF"/>
    <w:rsid w:val="6D91004C"/>
    <w:rsid w:val="6DAA3FEF"/>
    <w:rsid w:val="6DC0172B"/>
    <w:rsid w:val="6DCB690C"/>
    <w:rsid w:val="6DCF3167"/>
    <w:rsid w:val="6DD41A5B"/>
    <w:rsid w:val="6DF43C2E"/>
    <w:rsid w:val="6DF51CA3"/>
    <w:rsid w:val="6E2B5848"/>
    <w:rsid w:val="6E8335BD"/>
    <w:rsid w:val="6E8E12EF"/>
    <w:rsid w:val="6E95615F"/>
    <w:rsid w:val="6E972936"/>
    <w:rsid w:val="6ED446C5"/>
    <w:rsid w:val="6F2A7D94"/>
    <w:rsid w:val="6F8331F1"/>
    <w:rsid w:val="6FAE1A09"/>
    <w:rsid w:val="6FD75BF8"/>
    <w:rsid w:val="701B6B78"/>
    <w:rsid w:val="704B4683"/>
    <w:rsid w:val="707723D0"/>
    <w:rsid w:val="70F5661B"/>
    <w:rsid w:val="71360107"/>
    <w:rsid w:val="713B688E"/>
    <w:rsid w:val="71915812"/>
    <w:rsid w:val="71D43752"/>
    <w:rsid w:val="71F1796A"/>
    <w:rsid w:val="72154626"/>
    <w:rsid w:val="72262B5D"/>
    <w:rsid w:val="72283FF7"/>
    <w:rsid w:val="722E7212"/>
    <w:rsid w:val="723A0474"/>
    <w:rsid w:val="725923E4"/>
    <w:rsid w:val="72864BF7"/>
    <w:rsid w:val="729023FC"/>
    <w:rsid w:val="72AE77EF"/>
    <w:rsid w:val="73577E87"/>
    <w:rsid w:val="7388341F"/>
    <w:rsid w:val="73C0646E"/>
    <w:rsid w:val="742222F5"/>
    <w:rsid w:val="74476126"/>
    <w:rsid w:val="74706664"/>
    <w:rsid w:val="747F3682"/>
    <w:rsid w:val="749C4185"/>
    <w:rsid w:val="74CB720C"/>
    <w:rsid w:val="74E561B2"/>
    <w:rsid w:val="74FD12B9"/>
    <w:rsid w:val="75067759"/>
    <w:rsid w:val="752E6DCD"/>
    <w:rsid w:val="7551380D"/>
    <w:rsid w:val="75600BE5"/>
    <w:rsid w:val="7564475C"/>
    <w:rsid w:val="7583797F"/>
    <w:rsid w:val="75D02172"/>
    <w:rsid w:val="75D20F1D"/>
    <w:rsid w:val="75DA2C18"/>
    <w:rsid w:val="75E3358F"/>
    <w:rsid w:val="75F54412"/>
    <w:rsid w:val="761D08E0"/>
    <w:rsid w:val="765D347C"/>
    <w:rsid w:val="76826699"/>
    <w:rsid w:val="7687035C"/>
    <w:rsid w:val="76AE6140"/>
    <w:rsid w:val="76C87133"/>
    <w:rsid w:val="76CD08D5"/>
    <w:rsid w:val="76DB4B92"/>
    <w:rsid w:val="76FD013A"/>
    <w:rsid w:val="77052AA4"/>
    <w:rsid w:val="77136511"/>
    <w:rsid w:val="77340A39"/>
    <w:rsid w:val="77351FD0"/>
    <w:rsid w:val="77472422"/>
    <w:rsid w:val="775546DD"/>
    <w:rsid w:val="777F31F2"/>
    <w:rsid w:val="77D1700D"/>
    <w:rsid w:val="77EC04CC"/>
    <w:rsid w:val="78531F73"/>
    <w:rsid w:val="78567810"/>
    <w:rsid w:val="78570929"/>
    <w:rsid w:val="78775729"/>
    <w:rsid w:val="78911745"/>
    <w:rsid w:val="78A42DB0"/>
    <w:rsid w:val="78A656AB"/>
    <w:rsid w:val="78B2245C"/>
    <w:rsid w:val="78E172CC"/>
    <w:rsid w:val="78EA1D1F"/>
    <w:rsid w:val="78EC2E1F"/>
    <w:rsid w:val="7904172F"/>
    <w:rsid w:val="790F7E27"/>
    <w:rsid w:val="792A231A"/>
    <w:rsid w:val="79316829"/>
    <w:rsid w:val="797E66A9"/>
    <w:rsid w:val="798518A4"/>
    <w:rsid w:val="799C7DDE"/>
    <w:rsid w:val="79A97383"/>
    <w:rsid w:val="79C97604"/>
    <w:rsid w:val="79E24222"/>
    <w:rsid w:val="79E27E8B"/>
    <w:rsid w:val="79F850CE"/>
    <w:rsid w:val="79FD443C"/>
    <w:rsid w:val="7A1D1975"/>
    <w:rsid w:val="7A2D430B"/>
    <w:rsid w:val="7A370149"/>
    <w:rsid w:val="7A3E5150"/>
    <w:rsid w:val="7A4670D6"/>
    <w:rsid w:val="7A534B63"/>
    <w:rsid w:val="7A615382"/>
    <w:rsid w:val="7A67303B"/>
    <w:rsid w:val="7AAB1D04"/>
    <w:rsid w:val="7AB67B89"/>
    <w:rsid w:val="7ABA4368"/>
    <w:rsid w:val="7AD05746"/>
    <w:rsid w:val="7B070360"/>
    <w:rsid w:val="7B257FFD"/>
    <w:rsid w:val="7B273D20"/>
    <w:rsid w:val="7B343476"/>
    <w:rsid w:val="7B5A2978"/>
    <w:rsid w:val="7B5A7E4C"/>
    <w:rsid w:val="7B667AF9"/>
    <w:rsid w:val="7B7468F8"/>
    <w:rsid w:val="7B8A4643"/>
    <w:rsid w:val="7BA9702E"/>
    <w:rsid w:val="7BEE0103"/>
    <w:rsid w:val="7C0A0FE4"/>
    <w:rsid w:val="7C254906"/>
    <w:rsid w:val="7C590818"/>
    <w:rsid w:val="7C645E65"/>
    <w:rsid w:val="7C7C10F6"/>
    <w:rsid w:val="7C853BEA"/>
    <w:rsid w:val="7C881368"/>
    <w:rsid w:val="7CA75C43"/>
    <w:rsid w:val="7CE27788"/>
    <w:rsid w:val="7D0C32F1"/>
    <w:rsid w:val="7D0F408D"/>
    <w:rsid w:val="7D491C6C"/>
    <w:rsid w:val="7D5429C0"/>
    <w:rsid w:val="7D6E6D43"/>
    <w:rsid w:val="7DB57A34"/>
    <w:rsid w:val="7DBF4FA6"/>
    <w:rsid w:val="7DE60973"/>
    <w:rsid w:val="7DEF0916"/>
    <w:rsid w:val="7E1E5218"/>
    <w:rsid w:val="7E6E5232"/>
    <w:rsid w:val="7E9A4E1F"/>
    <w:rsid w:val="7EA7723A"/>
    <w:rsid w:val="7EDE320A"/>
    <w:rsid w:val="7EF56FBB"/>
    <w:rsid w:val="7F0768EB"/>
    <w:rsid w:val="7F143BEC"/>
    <w:rsid w:val="7F450E63"/>
    <w:rsid w:val="7F555C52"/>
    <w:rsid w:val="7F715AF2"/>
    <w:rsid w:val="7F78569B"/>
    <w:rsid w:val="7F886E69"/>
    <w:rsid w:val="7FC248DA"/>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4"/>
    <w:qFormat/>
    <w:uiPriority w:val="0"/>
    <w:pPr>
      <w:ind w:firstLine="420"/>
    </w:pPr>
    <w:rPr>
      <w:rFonts w:hAnsi="Calibri" w:cs="Times New Roman"/>
      <w:snapToGrid/>
      <w:szCs w:val="20"/>
    </w:rPr>
  </w:style>
  <w:style w:type="paragraph" w:styleId="3">
    <w:name w:val="Body Text"/>
    <w:basedOn w:val="1"/>
    <w:next w:val="1"/>
    <w:link w:val="433"/>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4"/>
    <w:qFormat/>
    <w:uiPriority w:val="0"/>
    <w:pPr>
      <w:shd w:val="clear" w:color="auto" w:fill="000080"/>
    </w:pPr>
  </w:style>
  <w:style w:type="paragraph" w:styleId="22">
    <w:name w:val="annotation text"/>
    <w:basedOn w:val="1"/>
    <w:link w:val="347"/>
    <w:qFormat/>
    <w:uiPriority w:val="99"/>
    <w:pPr>
      <w:jc w:val="left"/>
    </w:pPr>
  </w:style>
  <w:style w:type="paragraph" w:styleId="23">
    <w:name w:val="Salutation"/>
    <w:basedOn w:val="1"/>
    <w:next w:val="1"/>
    <w:link w:val="300"/>
    <w:qFormat/>
    <w:uiPriority w:val="0"/>
    <w:rPr>
      <w:rFonts w:ascii="仿宋_GB2312" w:eastAsia="仿宋_GB2312"/>
      <w:sz w:val="28"/>
      <w:szCs w:val="20"/>
    </w:rPr>
  </w:style>
  <w:style w:type="paragraph" w:styleId="24">
    <w:name w:val="Body Text 3"/>
    <w:basedOn w:val="1"/>
    <w:link w:val="333"/>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267"/>
    <w:qFormat/>
    <w:uiPriority w:val="0"/>
    <w:pPr>
      <w:spacing w:line="480" w:lineRule="exact"/>
      <w:ind w:firstLine="480" w:firstLineChars="200"/>
    </w:pPr>
    <w:rPr>
      <w:rFonts w:ascii="宋体" w:hAnsi="宋体"/>
      <w:sz w:val="24"/>
    </w:rPr>
  </w:style>
  <w:style w:type="paragraph" w:styleId="27">
    <w:name w:val="envelope return"/>
    <w:basedOn w:val="1"/>
    <w:qFormat/>
    <w:uiPriority w:val="99"/>
    <w:pPr>
      <w:snapToGrid w:val="0"/>
    </w:pPr>
    <w:rPr>
      <w:rFonts w:ascii="Arial" w:hAnsi="Arial" w:cs="Arial"/>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 w:val="24"/>
      <w:szCs w:val="21"/>
      <w:lang w:val="zh-CN"/>
    </w:rPr>
  </w:style>
  <w:style w:type="paragraph" w:styleId="39">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0">
    <w:name w:val="endnote text"/>
    <w:basedOn w:val="1"/>
    <w:link w:val="934"/>
    <w:qFormat/>
    <w:uiPriority w:val="0"/>
    <w:rPr>
      <w:lang w:val="zh-CN"/>
    </w:rPr>
  </w:style>
  <w:style w:type="paragraph" w:styleId="41">
    <w:name w:val="Balloon Text"/>
    <w:basedOn w:val="1"/>
    <w:link w:val="190"/>
    <w:qFormat/>
    <w:uiPriority w:val="0"/>
    <w:rPr>
      <w:sz w:val="18"/>
      <w:szCs w:val="18"/>
    </w:rPr>
  </w:style>
  <w:style w:type="paragraph" w:styleId="42">
    <w:name w:val="footer"/>
    <w:basedOn w:val="1"/>
    <w:link w:val="386"/>
    <w:qFormat/>
    <w:uiPriority w:val="99"/>
    <w:pPr>
      <w:tabs>
        <w:tab w:val="center" w:pos="4153"/>
        <w:tab w:val="right" w:pos="8306"/>
      </w:tabs>
      <w:snapToGrid w:val="0"/>
      <w:jc w:val="left"/>
    </w:pPr>
    <w:rPr>
      <w:sz w:val="18"/>
      <w:szCs w:val="18"/>
    </w:rPr>
  </w:style>
  <w:style w:type="paragraph" w:styleId="43">
    <w:name w:val="header"/>
    <w:basedOn w:val="1"/>
    <w:link w:val="395"/>
    <w:qFormat/>
    <w:uiPriority w:val="99"/>
    <w:pPr>
      <w:pBdr>
        <w:bottom w:val="single" w:color="auto" w:sz="6" w:space="1"/>
      </w:pBdr>
      <w:tabs>
        <w:tab w:val="center" w:pos="4153"/>
        <w:tab w:val="right" w:pos="8306"/>
      </w:tabs>
      <w:snapToGrid w:val="0"/>
      <w:jc w:val="right"/>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8"/>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8"/>
    <w:qFormat/>
    <w:uiPriority w:val="0"/>
    <w:rPr>
      <w:b/>
      <w:bCs/>
    </w:rPr>
  </w:style>
  <w:style w:type="paragraph" w:styleId="62">
    <w:name w:val="Body Text First Indent 2"/>
    <w:basedOn w:val="26"/>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10"/>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6"/>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8"/>
    <w:qFormat/>
    <w:uiPriority w:val="0"/>
    <w:rPr>
      <w:rFonts w:ascii="宋体"/>
      <w:kern w:val="2"/>
      <w:sz w:val="24"/>
      <w:szCs w:val="21"/>
      <w:lang w:val="zh-CN"/>
    </w:rPr>
  </w:style>
  <w:style w:type="character" w:customStyle="1" w:styleId="184">
    <w:name w:val="标题 9 Char"/>
    <w:link w:val="13"/>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1"/>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8"/>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1"/>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2"/>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8"/>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9"/>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5"/>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9"/>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3"/>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8"/>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1"/>
    <w:qFormat/>
    <w:uiPriority w:val="0"/>
    <w:rPr>
      <w:b/>
      <w:bCs/>
      <w:kern w:val="2"/>
      <w:sz w:val="24"/>
      <w:szCs w:val="24"/>
    </w:rPr>
  </w:style>
  <w:style w:type="character" w:customStyle="1" w:styleId="310">
    <w:name w:val="正文文本缩进 2 Char"/>
    <w:link w:val="39"/>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323"/>
    <w:next w:val="1"/>
    <w:link w:val="321"/>
    <w:qFormat/>
    <w:uiPriority w:val="0"/>
    <w:pPr>
      <w:tabs>
        <w:tab w:val="right" w:leader="dot" w:pos="8268"/>
      </w:tabs>
      <w:adjustRightInd/>
    </w:pPr>
    <w:rPr>
      <w:rFonts w:ascii="宋体" w:hAnsi="Courier New"/>
      <w:kern w:val="0"/>
      <w:sz w:val="20"/>
      <w:szCs w:val="20"/>
    </w:rPr>
  </w:style>
  <w:style w:type="paragraph" w:customStyle="1" w:styleId="323">
    <w:name w:val="正文1"/>
    <w:basedOn w:val="34"/>
    <w:qFormat/>
    <w:uiPriority w:val="0"/>
    <w:pPr>
      <w:ind w:left="0" w:leftChars="0" w:firstLine="480" w:firstLineChars="200"/>
    </w:pPr>
    <w:rPr>
      <w:rFonts w:ascii="仿宋_GB2312" w:hAnsi="Courier New" w:eastAsia="仿宋_GB2312"/>
      <w:kern w:val="28"/>
      <w:sz w:val="24"/>
    </w:rPr>
  </w:style>
  <w:style w:type="character" w:customStyle="1" w:styleId="324">
    <w:name w:val="正文首行缩进 Char"/>
    <w:link w:val="2"/>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8"/>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4"/>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2"/>
    <w:qFormat/>
    <w:uiPriority w:val="99"/>
    <w:rPr>
      <w:kern w:val="2"/>
      <w:sz w:val="21"/>
      <w:szCs w:val="24"/>
    </w:rPr>
  </w:style>
  <w:style w:type="character" w:customStyle="1" w:styleId="348">
    <w:name w:val="签名 Char"/>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2"/>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2"/>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8"/>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6"/>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7"/>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9"/>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7"/>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8"/>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7"/>
    <w:next w:val="237"/>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7"/>
    <w:next w:val="237"/>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next w:val="3"/>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5"/>
    <w:qFormat/>
    <w:uiPriority w:val="0"/>
    <w:pPr>
      <w:tabs>
        <w:tab w:val="left" w:pos="840"/>
      </w:tabs>
      <w:adjustRightInd/>
      <w:ind w:left="840" w:hanging="420"/>
    </w:pPr>
  </w:style>
  <w:style w:type="paragraph" w:customStyle="1" w:styleId="629">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Lines="0" w:afterLines="0"/>
      <w:ind w:left="1680"/>
      <w:outlineLvl w:val="2"/>
    </w:pPr>
  </w:style>
  <w:style w:type="paragraph" w:customStyle="1" w:styleId="661">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8"/>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Lines="50"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9"/>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7"/>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1"/>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1"/>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9"/>
    <w:next w:val="1"/>
    <w:qFormat/>
    <w:uiPriority w:val="0"/>
    <w:pPr>
      <w:tabs>
        <w:tab w:val="left" w:pos="1080"/>
      </w:tabs>
      <w:ind w:left="1080" w:hanging="1080"/>
    </w:pPr>
  </w:style>
  <w:style w:type="paragraph" w:customStyle="1" w:styleId="899">
    <w:name w:val="数字标题1"/>
    <w:basedOn w:val="5"/>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40"/>
    <w:qFormat/>
    <w:uiPriority w:val="0"/>
    <w:rPr>
      <w:kern w:val="2"/>
      <w:sz w:val="21"/>
      <w:szCs w:val="24"/>
      <w:lang w:val="zh-CN"/>
    </w:rPr>
  </w:style>
  <w:style w:type="character" w:customStyle="1" w:styleId="935">
    <w:name w:val="无间隔 Char"/>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正文_0_0_0_0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68">
    <w:name w:val="正文7"/>
    <w:basedOn w:val="1"/>
    <w:next w:val="969"/>
    <w:qFormat/>
    <w:uiPriority w:val="0"/>
    <w:pPr>
      <w:widowControl/>
      <w:kinsoku w:val="0"/>
      <w:autoSpaceDE w:val="0"/>
      <w:autoSpaceDN w:val="0"/>
      <w:snapToGrid w:val="0"/>
      <w:jc w:val="left"/>
      <w:textAlignment w:val="baseline"/>
    </w:pPr>
    <w:rPr>
      <w:rFonts w:ascii="Arial" w:hAnsi="Arial"/>
      <w:color w:val="000000"/>
      <w:kern w:val="0"/>
      <w:sz w:val="23"/>
      <w:szCs w:val="23"/>
    </w:rPr>
  </w:style>
  <w:style w:type="paragraph" w:customStyle="1" w:styleId="969">
    <w:name w:val="标题 11"/>
    <w:basedOn w:val="968"/>
    <w:next w:val="968"/>
    <w:qFormat/>
    <w:uiPriority w:val="9"/>
    <w:pPr>
      <w:keepNext/>
      <w:spacing w:beforeLines="150"/>
      <w:jc w:val="center"/>
      <w:outlineLvl w:val="0"/>
    </w:pPr>
    <w:rPr>
      <w:rFonts w:ascii="Times New Roman" w:hAnsi="Times New Roman"/>
      <w:b/>
      <w:bCs/>
      <w:kern w:val="44"/>
      <w:sz w:val="44"/>
      <w:szCs w:val="44"/>
    </w:rPr>
  </w:style>
  <w:style w:type="paragraph" w:customStyle="1" w:styleId="970">
    <w:name w:val="专用标题2"/>
    <w:basedOn w:val="971"/>
    <w:next w:val="967"/>
    <w:qFormat/>
    <w:uiPriority w:val="99"/>
    <w:pPr>
      <w:keepNext w:val="0"/>
      <w:keepLines w:val="0"/>
      <w:widowControl/>
      <w:tabs>
        <w:tab w:val="left" w:pos="993"/>
      </w:tabs>
      <w:adjustRightInd w:val="0"/>
      <w:snapToGrid w:val="0"/>
      <w:spacing w:before="0" w:afterLines="50" w:line="360" w:lineRule="auto"/>
    </w:pPr>
    <w:rPr>
      <w:rFonts w:ascii="宋体" w:hAnsi="宋体" w:cs="Times"/>
      <w:bCs w:val="0"/>
      <w:sz w:val="28"/>
      <w:szCs w:val="20"/>
    </w:rPr>
  </w:style>
  <w:style w:type="paragraph" w:customStyle="1" w:styleId="971">
    <w:name w:val="标题 2_1"/>
    <w:basedOn w:val="972"/>
    <w:next w:val="967"/>
    <w:qFormat/>
    <w:uiPriority w:val="9"/>
    <w:pPr>
      <w:keepNext/>
      <w:keepLines/>
      <w:spacing w:before="260" w:after="260" w:line="416" w:lineRule="auto"/>
      <w:outlineLvl w:val="1"/>
    </w:pPr>
    <w:rPr>
      <w:rFonts w:ascii="Calibri Light" w:hAnsi="Calibri Light"/>
      <w:b/>
      <w:bCs/>
      <w:kern w:val="0"/>
      <w:sz w:val="32"/>
      <w:szCs w:val="32"/>
    </w:rPr>
  </w:style>
  <w:style w:type="paragraph" w:customStyle="1" w:styleId="972">
    <w:name w:val="正文_0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3">
    <w:name w:val="正文_0_0_0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74">
    <w:name w:val="正文_0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5">
    <w:name w:val="正文_0_0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76">
    <w:name w:val="正文_0_0_0_0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77">
    <w:name w:val="正文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8">
    <w:name w:val="正文11"/>
    <w:basedOn w:val="34"/>
    <w:qFormat/>
    <w:uiPriority w:val="0"/>
    <w:pPr>
      <w:ind w:left="0" w:leftChars="0" w:firstLine="480" w:firstLineChars="200"/>
    </w:pPr>
    <w:rPr>
      <w:rFonts w:ascii="仿宋_GB2312" w:hAnsi="Courier New" w:eastAsia="仿宋_GB2312"/>
      <w:kern w:val="28"/>
      <w:sz w:val="24"/>
    </w:rPr>
  </w:style>
  <w:style w:type="paragraph" w:customStyle="1" w:styleId="979">
    <w:name w:val="正文_1"/>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0">
    <w:name w:val="正文111"/>
    <w:basedOn w:val="34"/>
    <w:next w:val="1"/>
    <w:qFormat/>
    <w:uiPriority w:val="0"/>
    <w:pPr>
      <w:ind w:left="0" w:leftChars="0" w:firstLine="480" w:firstLineChars="200"/>
    </w:pPr>
    <w:rPr>
      <w:rFonts w:ascii="仿宋_GB2312" w:hAnsi="Courier New" w:eastAsia="仿宋_GB2312"/>
      <w:kern w:val="28"/>
      <w:sz w:val="24"/>
    </w:rPr>
  </w:style>
  <w:style w:type="paragraph" w:customStyle="1" w:styleId="981">
    <w:name w:val="[Normal]"/>
    <w:qFormat/>
    <w:uiPriority w:val="0"/>
    <w:rPr>
      <w:rFonts w:ascii="宋体" w:hAnsi="宋体" w:eastAsia="宋体" w:cs="Times New Roman"/>
      <w:sz w:val="24"/>
      <w:szCs w:val="22"/>
      <w:lang w:val="zh-CN" w:eastAsia="zh-CN" w:bidi="ar-SA"/>
    </w:rPr>
  </w:style>
  <w:style w:type="paragraph" w:customStyle="1" w:styleId="982">
    <w:name w:val="条2"/>
    <w:basedOn w:val="1"/>
    <w:next w:val="643"/>
    <w:qFormat/>
    <w:uiPriority w:val="0"/>
    <w:pPr>
      <w:adjustRightInd/>
      <w:outlineLvl w:val="1"/>
    </w:pPr>
    <w:rPr>
      <w:rFonts w:ascii="黑体" w:eastAsia="黑体"/>
      <w:kern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3516</Words>
  <Characters>3948</Characters>
  <Lines>509</Lines>
  <Paragraphs>143</Paragraphs>
  <TotalTime>17</TotalTime>
  <ScaleCrop>false</ScaleCrop>
  <LinksUpToDate>false</LinksUpToDate>
  <CharactersWithSpaces>4144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2023-12-26T14:22:00Z</dcterms:created>
  <dc:creator>玥</dc:creator>
  <cp:lastModifiedBy>记忆犹新</cp:lastModifiedBy>
  <cp:lastPrinted>2021-12-27T19:06:00Z</cp:lastPrinted>
  <dcterms:modified xsi:type="dcterms:W3CDTF">2025-06-25T07:59:47Z</dcterms:modified>
  <dc:title>杭州市市民卡扩大发卡工程</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7911C14FF6A544268EFC2A9E83B47F45_13</vt:lpwstr>
  </property>
  <property fmtid="{D5CDD505-2E9C-101B-9397-08002B2CF9AE}" pid="5" name="KSOTemplateDocerSaveRecord">
    <vt:lpwstr>eyJoZGlkIjoiYmJjMDM0OTRkNjFlYzM4NTZkZDc3YTkxZTRmMDVjNjMiLCJ1c2VySWQiOiI3NDQ4MzgwODEifQ==</vt:lpwstr>
  </property>
</Properties>
</file>