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7E3993E5">
      <w:pPr>
        <w:adjustRightInd/>
        <w:spacing w:line="360" w:lineRule="auto"/>
        <w:jc w:val="center"/>
        <w:rPr>
          <w:rFonts w:ascii="宋体" w:hAnsi="宋体" w:cs="宋体"/>
          <w:b/>
          <w:color w:val="auto"/>
          <w:sz w:val="48"/>
          <w:szCs w:val="48"/>
          <w:highlight w:val="none"/>
        </w:rPr>
      </w:pPr>
    </w:p>
    <w:p w14:paraId="0A8E4905">
      <w:pPr>
        <w:adjustRightInd/>
        <w:spacing w:line="360" w:lineRule="auto"/>
        <w:jc w:val="center"/>
        <w:rPr>
          <w:rFonts w:hint="eastAsia" w:ascii="宋体" w:hAnsi="宋体" w:cs="宋体"/>
          <w:color w:val="auto"/>
          <w:sz w:val="44"/>
          <w:szCs w:val="44"/>
          <w:highlight w:val="none"/>
          <w:lang w:eastAsia="zh-CN"/>
        </w:rPr>
      </w:pPr>
      <w:r>
        <w:rPr>
          <w:rFonts w:hint="eastAsia" w:ascii="宋体" w:hAnsi="宋体" w:cs="宋体"/>
          <w:color w:val="auto"/>
          <w:sz w:val="44"/>
          <w:szCs w:val="44"/>
          <w:highlight w:val="none"/>
          <w:lang w:eastAsia="zh-CN"/>
        </w:rPr>
        <w:t>2025年桐庐县市场监督管理局电动汽车充电桩和多参数监护仪强制检定服务采购项目</w:t>
      </w:r>
    </w:p>
    <w:p w14:paraId="509CBA8F">
      <w:pPr>
        <w:pStyle w:val="4"/>
        <w:rPr>
          <w:rFonts w:hint="eastAsia"/>
          <w:lang w:eastAsia="zh-CN"/>
        </w:rPr>
      </w:pP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LYZXTLCG-2025-07</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D7A4E04">
      <w:pPr>
        <w:spacing w:line="360" w:lineRule="auto"/>
        <w:jc w:val="cente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桐庐县市场监督管理局</w:t>
      </w:r>
    </w:p>
    <w:p w14:paraId="289DCB78">
      <w:pPr>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eastAsia="zh-CN"/>
        </w:rPr>
        <w:t>留印工程咨询（浙江）有限公司</w:t>
      </w:r>
    </w:p>
    <w:p w14:paraId="0F1737DB">
      <w:pPr>
        <w:pStyle w:val="4"/>
        <w:spacing w:line="240" w:lineRule="auto"/>
        <w:ind w:left="0" w:firstLine="0"/>
        <w:rPr>
          <w:rFonts w:hint="eastAsia"/>
          <w:lang w:eastAsia="zh-CN"/>
        </w:rPr>
      </w:pP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二</w:t>
      </w:r>
      <w:r>
        <w:rPr>
          <w:rFonts w:hint="eastAsia" w:ascii="宋体" w:hAnsi="宋体" w:cs="宋体"/>
          <w:bCs/>
          <w:color w:val="auto"/>
          <w:sz w:val="32"/>
          <w:szCs w:val="32"/>
          <w:highlight w:val="none"/>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8647"/>
      <w:bookmarkEnd w:id="4"/>
      <w:bookmarkStart w:id="5" w:name="_Hlt74707423"/>
      <w:bookmarkEnd w:id="5"/>
      <w:bookmarkStart w:id="6" w:name="_Hlt74649545"/>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2025年桐庐县市场监督管理局电动汽车充电桩和多参数监护仪强制检定服务采购项目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7</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23</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9</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15</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LYZXTLCG-2025-07</w:t>
      </w:r>
    </w:p>
    <w:p w14:paraId="12342B5A">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2025年桐庐县市场监督管理局电动汽车充电桩和多参数监护仪强制检定服务采购项目</w:t>
      </w: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w:t>
      </w:r>
    </w:p>
    <w:p w14:paraId="1C6D4CAA">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200000,500000</w:t>
      </w:r>
      <w:r>
        <w:rPr>
          <w:rFonts w:ascii="宋体" w:hAnsi="宋体" w:cs="宋体"/>
          <w:color w:val="auto"/>
          <w:sz w:val="24"/>
          <w:highlight w:val="none"/>
        </w:rPr>
        <w:t xml:space="preserve"> </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200000,500000</w:t>
      </w:r>
      <w:r>
        <w:rPr>
          <w:rFonts w:ascii="宋体" w:hAnsi="宋体" w:cs="宋体"/>
          <w:color w:val="auto"/>
          <w:sz w:val="24"/>
          <w:highlight w:val="none"/>
        </w:rPr>
        <w:t xml:space="preserve"> </w:t>
      </w:r>
    </w:p>
    <w:p w14:paraId="39002849">
      <w:pPr>
        <w:pStyle w:val="6"/>
        <w:spacing w:line="360" w:lineRule="auto"/>
        <w:ind w:firstLine="480"/>
        <w:rPr>
          <w:rFonts w:hint="eastAsia"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2025年桐庐县市场监督管理局电动汽车充电桩和多参数监护仪强制检定服务采购项目</w:t>
      </w:r>
      <w:r>
        <w:rPr>
          <w:rFonts w:hint="eastAsia" w:hAnsi="宋体" w:cs="宋体"/>
          <w:bCs/>
          <w:snapToGrid/>
          <w:color w:val="auto"/>
          <w:kern w:val="2"/>
          <w:sz w:val="24"/>
          <w:szCs w:val="24"/>
          <w:highlight w:val="none"/>
        </w:rPr>
        <w:t>主要内容：</w:t>
      </w:r>
    </w:p>
    <w:tbl>
      <w:tblPr>
        <w:tblStyle w:val="62"/>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480"/>
        <w:gridCol w:w="3175"/>
        <w:gridCol w:w="2737"/>
      </w:tblGrid>
      <w:tr w14:paraId="1C90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center"/>
          </w:tcPr>
          <w:p w14:paraId="69BF6B7E">
            <w:pPr>
              <w:widowControl/>
              <w:jc w:val="center"/>
              <w:rPr>
                <w:rFonts w:hint="eastAsia" w:eastAsia="宋体" w:cs="宋体"/>
                <w:kern w:val="0"/>
                <w:lang w:val="en-US" w:eastAsia="zh-CN"/>
              </w:rPr>
            </w:pPr>
            <w:r>
              <w:rPr>
                <w:rFonts w:hint="eastAsia" w:cs="宋体"/>
                <w:kern w:val="0"/>
                <w:lang w:val="en-US" w:eastAsia="zh-CN"/>
              </w:rPr>
              <w:t>标段</w:t>
            </w:r>
          </w:p>
        </w:tc>
        <w:tc>
          <w:tcPr>
            <w:tcW w:w="2480" w:type="dxa"/>
            <w:tcBorders>
              <w:top w:val="single" w:color="auto" w:sz="4" w:space="0"/>
              <w:left w:val="single" w:color="auto" w:sz="4" w:space="0"/>
              <w:bottom w:val="single" w:color="auto" w:sz="4" w:space="0"/>
              <w:right w:val="single" w:color="auto" w:sz="4" w:space="0"/>
            </w:tcBorders>
            <w:noWrap w:val="0"/>
            <w:vAlign w:val="center"/>
          </w:tcPr>
          <w:p w14:paraId="4A4E0BDB">
            <w:pPr>
              <w:widowControl/>
              <w:jc w:val="center"/>
              <w:rPr>
                <w:rFonts w:hint="default" w:cs="宋体"/>
                <w:lang w:val="en-US"/>
              </w:rPr>
            </w:pPr>
            <w:r>
              <w:rPr>
                <w:rFonts w:hint="eastAsia" w:cs="宋体"/>
                <w:kern w:val="0"/>
                <w:lang w:val="en-US" w:eastAsia="zh-CN"/>
              </w:rPr>
              <w:t>名称</w:t>
            </w:r>
          </w:p>
        </w:tc>
        <w:tc>
          <w:tcPr>
            <w:tcW w:w="31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138ED5">
            <w:pPr>
              <w:widowControl/>
              <w:jc w:val="center"/>
              <w:rPr>
                <w:rFonts w:hint="eastAsia" w:ascii="Times New Roman" w:hAnsi="Times New Roman" w:eastAsia="宋体" w:cs="宋体"/>
                <w:kern w:val="0"/>
                <w:sz w:val="21"/>
                <w:szCs w:val="24"/>
                <w:lang w:val="en-US" w:eastAsia="zh-CN" w:bidi="ar-SA"/>
              </w:rPr>
            </w:pPr>
            <w:r>
              <w:rPr>
                <w:rFonts w:hint="eastAsia" w:cs="宋体"/>
                <w:kern w:val="0"/>
              </w:rPr>
              <w:t>最高限价（单价最高限价）</w:t>
            </w:r>
          </w:p>
        </w:tc>
        <w:tc>
          <w:tcPr>
            <w:tcW w:w="2737" w:type="dxa"/>
            <w:tcBorders>
              <w:top w:val="single" w:color="auto" w:sz="4" w:space="0"/>
              <w:left w:val="single" w:color="auto" w:sz="4" w:space="0"/>
              <w:bottom w:val="single" w:color="auto" w:sz="4" w:space="0"/>
              <w:right w:val="single" w:color="auto" w:sz="4" w:space="0"/>
            </w:tcBorders>
            <w:noWrap w:val="0"/>
            <w:vAlign w:val="center"/>
          </w:tcPr>
          <w:p w14:paraId="30EFDB49">
            <w:pPr>
              <w:widowControl/>
              <w:jc w:val="center"/>
              <w:rPr>
                <w:rFonts w:cs="宋体"/>
                <w:kern w:val="0"/>
              </w:rPr>
            </w:pPr>
            <w:r>
              <w:rPr>
                <w:rFonts w:hint="eastAsia" w:cs="宋体"/>
                <w:kern w:val="0"/>
              </w:rPr>
              <w:t>最高限价（</w:t>
            </w:r>
            <w:r>
              <w:rPr>
                <w:rFonts w:hint="eastAsia" w:cs="宋体"/>
                <w:kern w:val="0"/>
                <w:lang w:val="en-US" w:eastAsia="zh-CN"/>
              </w:rPr>
              <w:t>总价</w:t>
            </w:r>
            <w:r>
              <w:rPr>
                <w:rFonts w:hint="eastAsia" w:cs="宋体"/>
                <w:kern w:val="0"/>
              </w:rPr>
              <w:t>最高限价）</w:t>
            </w:r>
          </w:p>
        </w:tc>
      </w:tr>
      <w:tr w14:paraId="21F1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center"/>
          </w:tcPr>
          <w:p w14:paraId="27048ED9">
            <w:pPr>
              <w:widowControl/>
              <w:jc w:val="center"/>
              <w:rPr>
                <w:rFonts w:hint="eastAsia" w:eastAsia="宋体"/>
                <w:lang w:val="en-US" w:eastAsia="zh-CN"/>
              </w:rPr>
            </w:pPr>
            <w:r>
              <w:rPr>
                <w:rFonts w:hint="eastAsia"/>
                <w:lang w:val="en-US" w:eastAsia="zh-CN"/>
              </w:rPr>
              <w:t>1</w:t>
            </w:r>
          </w:p>
        </w:tc>
        <w:tc>
          <w:tcPr>
            <w:tcW w:w="2480" w:type="dxa"/>
            <w:tcBorders>
              <w:top w:val="single" w:color="auto" w:sz="4" w:space="0"/>
              <w:left w:val="single" w:color="auto" w:sz="4" w:space="0"/>
              <w:bottom w:val="single" w:color="auto" w:sz="4" w:space="0"/>
              <w:right w:val="single" w:color="auto" w:sz="4" w:space="0"/>
            </w:tcBorders>
            <w:noWrap w:val="0"/>
            <w:vAlign w:val="center"/>
          </w:tcPr>
          <w:p w14:paraId="55F75499">
            <w:pPr>
              <w:widowControl/>
              <w:jc w:val="center"/>
              <w:rPr>
                <w:rFonts w:hint="eastAsia"/>
              </w:rPr>
            </w:pPr>
            <w:r>
              <w:rPr>
                <w:rFonts w:hint="eastAsia"/>
              </w:rPr>
              <w:t>电动汽车充电桩检定</w:t>
            </w:r>
          </w:p>
        </w:tc>
        <w:tc>
          <w:tcPr>
            <w:tcW w:w="31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FD0523">
            <w:pPr>
              <w:widowControl/>
              <w:jc w:val="center"/>
              <w:rPr>
                <w:rFonts w:hint="eastAsia" w:ascii="宋体" w:hAnsi="宋体" w:eastAsia="宋体" w:cs="宋体"/>
                <w:kern w:val="0"/>
                <w:sz w:val="21"/>
                <w:szCs w:val="24"/>
                <w:lang w:val="en-US" w:eastAsia="zh-CN" w:bidi="ar-SA"/>
              </w:rPr>
            </w:pPr>
            <w:r>
              <w:rPr>
                <w:rFonts w:hint="eastAsia"/>
              </w:rPr>
              <w:t>单枪最高限价为</w:t>
            </w:r>
            <w:r>
              <w:rPr>
                <w:rFonts w:hint="eastAsia"/>
                <w:lang w:val="en-US" w:eastAsia="zh-CN"/>
              </w:rPr>
              <w:t>500</w:t>
            </w:r>
            <w:r>
              <w:rPr>
                <w:rFonts w:hint="eastAsia"/>
              </w:rPr>
              <w:t>元/枪</w:t>
            </w:r>
          </w:p>
        </w:tc>
        <w:tc>
          <w:tcPr>
            <w:tcW w:w="2737" w:type="dxa"/>
            <w:tcBorders>
              <w:top w:val="single" w:color="auto" w:sz="4" w:space="0"/>
              <w:left w:val="single" w:color="auto" w:sz="4" w:space="0"/>
              <w:bottom w:val="single" w:color="auto" w:sz="4" w:space="0"/>
              <w:right w:val="single" w:color="auto" w:sz="4" w:space="0"/>
            </w:tcBorders>
            <w:noWrap w:val="0"/>
            <w:vAlign w:val="center"/>
          </w:tcPr>
          <w:p w14:paraId="5112FB29">
            <w:pPr>
              <w:widowControl/>
              <w:jc w:val="center"/>
              <w:rPr>
                <w:rFonts w:hint="default" w:ascii="宋体" w:hAnsi="宋体" w:eastAsia="宋体" w:cs="宋体"/>
                <w:kern w:val="0"/>
                <w:lang w:val="en-US" w:eastAsia="zh-CN"/>
              </w:rPr>
            </w:pPr>
            <w:r>
              <w:rPr>
                <w:rFonts w:hint="eastAsia"/>
                <w:lang w:val="en-US" w:eastAsia="zh-CN"/>
              </w:rPr>
              <w:t>20万</w:t>
            </w:r>
          </w:p>
        </w:tc>
      </w:tr>
      <w:tr w14:paraId="5AA6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006" w:type="dxa"/>
            <w:tcBorders>
              <w:top w:val="single" w:color="auto" w:sz="4" w:space="0"/>
              <w:left w:val="single" w:color="auto" w:sz="4" w:space="0"/>
              <w:bottom w:val="single" w:color="auto" w:sz="4" w:space="0"/>
              <w:right w:val="single" w:color="auto" w:sz="4" w:space="0"/>
            </w:tcBorders>
            <w:noWrap w:val="0"/>
            <w:vAlign w:val="center"/>
          </w:tcPr>
          <w:p w14:paraId="17753491">
            <w:pPr>
              <w:widowControl/>
              <w:jc w:val="center"/>
              <w:rPr>
                <w:rFonts w:hint="eastAsia" w:eastAsia="宋体"/>
                <w:lang w:val="en-US" w:eastAsia="zh-CN"/>
              </w:rPr>
            </w:pPr>
            <w:r>
              <w:rPr>
                <w:rFonts w:hint="eastAsia"/>
                <w:lang w:val="en-US" w:eastAsia="zh-CN"/>
              </w:rPr>
              <w:t>2</w:t>
            </w:r>
          </w:p>
        </w:tc>
        <w:tc>
          <w:tcPr>
            <w:tcW w:w="2480" w:type="dxa"/>
            <w:tcBorders>
              <w:top w:val="single" w:color="auto" w:sz="4" w:space="0"/>
              <w:left w:val="single" w:color="auto" w:sz="4" w:space="0"/>
              <w:bottom w:val="single" w:color="auto" w:sz="4" w:space="0"/>
              <w:right w:val="single" w:color="auto" w:sz="4" w:space="0"/>
            </w:tcBorders>
            <w:noWrap w:val="0"/>
            <w:vAlign w:val="center"/>
          </w:tcPr>
          <w:p w14:paraId="2A1CBDE2">
            <w:pPr>
              <w:widowControl/>
              <w:jc w:val="center"/>
              <w:rPr>
                <w:rFonts w:hint="eastAsia"/>
              </w:rPr>
            </w:pPr>
            <w:r>
              <w:rPr>
                <w:rFonts w:hint="eastAsia"/>
              </w:rPr>
              <w:t>多参数监护仪检定</w:t>
            </w:r>
          </w:p>
        </w:tc>
        <w:tc>
          <w:tcPr>
            <w:tcW w:w="31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76C445">
            <w:pPr>
              <w:widowControl/>
              <w:jc w:val="center"/>
              <w:rPr>
                <w:rFonts w:hint="eastAsia" w:ascii="宋体" w:hAnsi="宋体" w:eastAsia="宋体" w:cs="宋体"/>
                <w:kern w:val="0"/>
                <w:sz w:val="21"/>
                <w:szCs w:val="24"/>
                <w:lang w:val="en-US" w:eastAsia="zh-CN" w:bidi="ar-SA"/>
              </w:rPr>
            </w:pPr>
            <w:r>
              <w:rPr>
                <w:rFonts w:hint="eastAsia"/>
              </w:rPr>
              <w:t>单件最高限价为</w:t>
            </w:r>
            <w:r>
              <w:rPr>
                <w:rFonts w:hint="eastAsia"/>
                <w:lang w:val="en-US" w:eastAsia="zh-CN"/>
              </w:rPr>
              <w:t>680</w:t>
            </w:r>
            <w:r>
              <w:rPr>
                <w:rFonts w:hint="eastAsia"/>
              </w:rPr>
              <w:t>元/台</w:t>
            </w:r>
          </w:p>
        </w:tc>
        <w:tc>
          <w:tcPr>
            <w:tcW w:w="2737" w:type="dxa"/>
            <w:tcBorders>
              <w:top w:val="single" w:color="auto" w:sz="4" w:space="0"/>
              <w:left w:val="single" w:color="auto" w:sz="4" w:space="0"/>
              <w:bottom w:val="single" w:color="auto" w:sz="4" w:space="0"/>
              <w:right w:val="single" w:color="auto" w:sz="4" w:space="0"/>
            </w:tcBorders>
            <w:noWrap w:val="0"/>
            <w:vAlign w:val="center"/>
          </w:tcPr>
          <w:p w14:paraId="7D521AC7">
            <w:pPr>
              <w:widowControl/>
              <w:jc w:val="center"/>
              <w:rPr>
                <w:rFonts w:hint="default" w:ascii="宋体" w:hAnsi="宋体" w:eastAsia="宋体" w:cs="宋体"/>
                <w:kern w:val="0"/>
                <w:lang w:val="en-US" w:eastAsia="zh-CN"/>
              </w:rPr>
            </w:pPr>
            <w:r>
              <w:rPr>
                <w:rFonts w:hint="eastAsia"/>
                <w:lang w:val="en-US" w:eastAsia="zh-CN"/>
              </w:rPr>
              <w:t>50万</w:t>
            </w:r>
          </w:p>
        </w:tc>
      </w:tr>
    </w:tbl>
    <w:p w14:paraId="6EC5DB8E">
      <w:pPr>
        <w:pStyle w:val="6"/>
        <w:spacing w:line="360" w:lineRule="auto"/>
        <w:ind w:firstLine="480"/>
        <w:rPr>
          <w:rFonts w:hAnsi="宋体" w:cs="宋体"/>
          <w:bCs/>
          <w:snapToGrid/>
          <w:color w:val="auto"/>
          <w:kern w:val="2"/>
          <w:sz w:val="24"/>
          <w:szCs w:val="24"/>
          <w:highlight w:val="none"/>
        </w:rPr>
      </w:pPr>
      <w:r>
        <w:rPr>
          <w:rFonts w:hint="eastAsia" w:asciiTheme="minorEastAsia" w:hAnsiTheme="minorEastAsia" w:eastAsiaTheme="minorEastAsia"/>
          <w:snapToGrid/>
          <w:color w:val="auto"/>
          <w:kern w:val="2"/>
          <w:sz w:val="24"/>
          <w:szCs w:val="24"/>
          <w:highlight w:val="none"/>
        </w:rPr>
        <w:t>具体以招标文件第三部分采购需求为准，供应商可点击本公告下方“浏览采购文件”查看采购需求。</w:t>
      </w:r>
    </w:p>
    <w:p w14:paraId="0CF83623">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color w:val="auto"/>
          <w:highlight w:val="none"/>
        </w:rPr>
        <w:t>合同签订之日起至202</w:t>
      </w:r>
      <w:r>
        <w:rPr>
          <w:rFonts w:hint="eastAsia"/>
          <w:color w:val="auto"/>
          <w:highlight w:val="none"/>
          <w:lang w:val="en-US" w:eastAsia="zh-CN"/>
        </w:rPr>
        <w:t>5</w:t>
      </w:r>
      <w:r>
        <w:rPr>
          <w:rFonts w:hint="eastAsia"/>
          <w:color w:val="auto"/>
          <w:highlight w:val="none"/>
        </w:rPr>
        <w:t>年12月</w:t>
      </w:r>
      <w:r>
        <w:rPr>
          <w:rFonts w:hint="eastAsia"/>
          <w:color w:val="auto"/>
          <w:highlight w:val="none"/>
          <w:lang w:val="en-US" w:eastAsia="zh-CN"/>
        </w:rPr>
        <w:t>20</w:t>
      </w:r>
      <w:r>
        <w:rPr>
          <w:rFonts w:hint="eastAsia"/>
          <w:color w:val="auto"/>
          <w:highlight w:val="none"/>
        </w:rPr>
        <w:t>日</w:t>
      </w:r>
      <w:r>
        <w:rPr>
          <w:rFonts w:hint="eastAsia"/>
          <w:color w:val="auto"/>
          <w:highlight w:val="none"/>
          <w:lang w:eastAsia="zh-CN"/>
        </w:rPr>
        <w:t>。</w:t>
      </w:r>
      <w:r>
        <w:rPr>
          <w:rFonts w:ascii="宋体" w:hAnsi="宋体" w:cs="宋体"/>
          <w:color w:val="auto"/>
          <w:highlight w:val="none"/>
        </w:rPr>
        <w:t xml:space="preserve"> </w:t>
      </w:r>
    </w:p>
    <w:p w14:paraId="07281B02">
      <w:pPr>
        <w:pStyle w:val="6"/>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eastAsia="宋体" w:cs="Segoe UI Symbol"/>
              <w:snapToGrid w:val="0"/>
              <w:color w:val="auto"/>
              <w:kern w:val="0"/>
              <w:sz w:val="24"/>
              <w:szCs w:val="20"/>
              <w:highlight w:val="none"/>
              <w:lang w:val="en-US" w:eastAsia="zh-CN" w:bidi="ar-SA"/>
            </w:rPr>
            <w:t>þ</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Style w:val="76"/>
          <w:rFonts w:hint="eastAsia" w:ascii="宋体" w:hAnsi="宋体" w:eastAsia="宋体" w:cs="宋体"/>
          <w:snapToGrid/>
          <w:color w:val="auto"/>
          <w:kern w:val="2"/>
          <w:sz w:val="24"/>
          <w:szCs w:val="24"/>
          <w:highlight w:val="none"/>
          <w:u w:val="single"/>
        </w:rPr>
        <w:t>202</w:t>
      </w:r>
      <w:r>
        <w:rPr>
          <w:rStyle w:val="76"/>
          <w:rFonts w:hint="eastAsia" w:ascii="宋体" w:hAnsi="宋体" w:cs="宋体"/>
          <w:snapToGrid/>
          <w:color w:val="auto"/>
          <w:kern w:val="2"/>
          <w:sz w:val="24"/>
          <w:szCs w:val="24"/>
          <w:highlight w:val="none"/>
          <w:u w:val="single"/>
          <w:lang w:val="en-US" w:eastAsia="zh-CN"/>
        </w:rPr>
        <w:t>5</w:t>
      </w:r>
      <w:r>
        <w:rPr>
          <w:rStyle w:val="76"/>
          <w:rFonts w:hint="eastAsia" w:ascii="宋体" w:hAnsi="宋体" w:eastAsia="宋体" w:cs="宋体"/>
          <w:snapToGrid/>
          <w:color w:val="auto"/>
          <w:kern w:val="2"/>
          <w:sz w:val="24"/>
          <w:szCs w:val="24"/>
          <w:highlight w:val="none"/>
          <w:u w:val="single"/>
        </w:rPr>
        <w:t>年</w:t>
      </w:r>
      <w:r>
        <w:rPr>
          <w:rStyle w:val="76"/>
          <w:rFonts w:hint="eastAsia" w:ascii="宋体" w:hAnsi="宋体" w:cs="宋体"/>
          <w:snapToGrid/>
          <w:color w:val="auto"/>
          <w:kern w:val="2"/>
          <w:sz w:val="24"/>
          <w:szCs w:val="24"/>
          <w:highlight w:val="none"/>
          <w:u w:val="single"/>
          <w:lang w:val="en-US" w:eastAsia="zh-CN"/>
        </w:rPr>
        <w:t>7</w:t>
      </w:r>
      <w:r>
        <w:rPr>
          <w:rStyle w:val="76"/>
          <w:rFonts w:hint="eastAsia" w:ascii="宋体" w:hAnsi="宋体" w:eastAsia="宋体" w:cs="宋体"/>
          <w:snapToGrid/>
          <w:color w:val="auto"/>
          <w:kern w:val="2"/>
          <w:sz w:val="24"/>
          <w:szCs w:val="24"/>
          <w:highlight w:val="none"/>
          <w:u w:val="single"/>
        </w:rPr>
        <w:t>月</w:t>
      </w:r>
      <w:r>
        <w:rPr>
          <w:rStyle w:val="76"/>
          <w:rFonts w:hint="eastAsia" w:ascii="宋体" w:hAnsi="宋体" w:cs="宋体"/>
          <w:snapToGrid/>
          <w:color w:val="auto"/>
          <w:kern w:val="2"/>
          <w:sz w:val="24"/>
          <w:szCs w:val="24"/>
          <w:highlight w:val="none"/>
          <w:u w:val="single"/>
          <w:lang w:val="en-US" w:eastAsia="zh-CN"/>
        </w:rPr>
        <w:t>23</w:t>
      </w:r>
      <w:r>
        <w:rPr>
          <w:rStyle w:val="76"/>
          <w:rFonts w:hint="eastAsia" w:ascii="宋体" w:hAnsi="宋体" w:eastAsia="宋体" w:cs="宋体"/>
          <w:snapToGrid/>
          <w:color w:val="auto"/>
          <w:kern w:val="2"/>
          <w:sz w:val="24"/>
          <w:szCs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w:t>
      </w:r>
      <w:r>
        <w:rPr>
          <w:rStyle w:val="76"/>
          <w:rFonts w:hint="eastAsia" w:ascii="宋体" w:hAnsi="宋体" w:eastAsia="宋体" w:cs="宋体"/>
          <w:snapToGrid/>
          <w:color w:val="auto"/>
          <w:kern w:val="2"/>
          <w:sz w:val="24"/>
          <w:szCs w:val="24"/>
          <w:highlight w:val="none"/>
          <w:u w:val="single"/>
        </w:rPr>
        <w:t>202</w:t>
      </w:r>
      <w:r>
        <w:rPr>
          <w:rStyle w:val="76"/>
          <w:rFonts w:hint="eastAsia" w:ascii="宋体" w:hAnsi="宋体" w:cs="宋体"/>
          <w:snapToGrid/>
          <w:color w:val="auto"/>
          <w:kern w:val="2"/>
          <w:sz w:val="24"/>
          <w:szCs w:val="24"/>
          <w:highlight w:val="none"/>
          <w:u w:val="single"/>
          <w:lang w:val="en-US" w:eastAsia="zh-CN"/>
        </w:rPr>
        <w:t>5</w:t>
      </w:r>
      <w:r>
        <w:rPr>
          <w:rStyle w:val="76"/>
          <w:rFonts w:hint="eastAsia" w:ascii="宋体" w:hAnsi="宋体" w:eastAsia="宋体" w:cs="宋体"/>
          <w:snapToGrid/>
          <w:color w:val="auto"/>
          <w:kern w:val="2"/>
          <w:sz w:val="24"/>
          <w:szCs w:val="24"/>
          <w:highlight w:val="none"/>
          <w:u w:val="single"/>
        </w:rPr>
        <w:t>年</w:t>
      </w:r>
      <w:r>
        <w:rPr>
          <w:rStyle w:val="76"/>
          <w:rFonts w:hint="eastAsia" w:ascii="宋体" w:hAnsi="宋体" w:cs="宋体"/>
          <w:snapToGrid/>
          <w:color w:val="auto"/>
          <w:kern w:val="2"/>
          <w:sz w:val="24"/>
          <w:szCs w:val="24"/>
          <w:highlight w:val="none"/>
          <w:u w:val="single"/>
          <w:lang w:val="en-US" w:eastAsia="zh-CN"/>
        </w:rPr>
        <w:t>7</w:t>
      </w:r>
      <w:r>
        <w:rPr>
          <w:rStyle w:val="76"/>
          <w:rFonts w:hint="eastAsia" w:ascii="宋体" w:hAnsi="宋体" w:eastAsia="宋体" w:cs="宋体"/>
          <w:snapToGrid/>
          <w:color w:val="auto"/>
          <w:kern w:val="2"/>
          <w:sz w:val="24"/>
          <w:szCs w:val="24"/>
          <w:highlight w:val="none"/>
          <w:u w:val="single"/>
        </w:rPr>
        <w:t>月</w:t>
      </w:r>
      <w:r>
        <w:rPr>
          <w:rStyle w:val="76"/>
          <w:rFonts w:hint="eastAsia" w:ascii="宋体" w:hAnsi="宋体" w:cs="宋体"/>
          <w:snapToGrid/>
          <w:color w:val="auto"/>
          <w:kern w:val="2"/>
          <w:sz w:val="24"/>
          <w:szCs w:val="24"/>
          <w:highlight w:val="none"/>
          <w:u w:val="single"/>
          <w:lang w:val="en-US" w:eastAsia="zh-CN"/>
        </w:rPr>
        <w:t>23</w:t>
      </w:r>
      <w:r>
        <w:rPr>
          <w:rStyle w:val="76"/>
          <w:rFonts w:hint="eastAsia" w:ascii="宋体" w:hAnsi="宋体" w:eastAsia="宋体" w:cs="宋体"/>
          <w:snapToGrid/>
          <w:color w:val="auto"/>
          <w:kern w:val="2"/>
          <w:sz w:val="24"/>
          <w:szCs w:val="24"/>
          <w:highlight w:val="none"/>
          <w:u w:val="single"/>
        </w:rPr>
        <w:t>日</w:t>
      </w:r>
      <w:r>
        <w:rPr>
          <w:rStyle w:val="76"/>
          <w:rFonts w:hint="eastAsia" w:ascii="宋体" w:hAnsi="宋体" w:cs="宋体"/>
          <w:snapToGrid/>
          <w:color w:val="auto"/>
          <w:kern w:val="2"/>
          <w:sz w:val="24"/>
          <w:szCs w:val="24"/>
          <w:highlight w:val="none"/>
          <w:u w:val="single"/>
          <w:lang w:val="en-US" w:eastAsia="zh-CN"/>
        </w:rPr>
        <w:t>9</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cs="宋体"/>
          <w:snapToGrid/>
          <w:color w:val="auto"/>
          <w:kern w:val="2"/>
          <w:sz w:val="24"/>
          <w:szCs w:val="24"/>
          <w:highlight w:val="none"/>
          <w:u w:val="single"/>
          <w:lang w:val="en-US" w:eastAsia="zh-CN"/>
        </w:rPr>
        <w:t>15</w:t>
      </w:r>
      <w:r>
        <w:rPr>
          <w:rStyle w:val="76"/>
          <w:rFonts w:hint="eastAsia" w:ascii="宋体" w:hAnsi="宋体" w:eastAsia="宋体" w:cs="宋体"/>
          <w:snapToGrid/>
          <w:color w:val="auto"/>
          <w:kern w:val="2"/>
          <w:sz w:val="24"/>
          <w:szCs w:val="24"/>
          <w:highlight w:val="none"/>
          <w:u w:val="single"/>
        </w:rPr>
        <w:t>分</w:t>
      </w:r>
      <w:r>
        <w:rPr>
          <w:rStyle w:val="76"/>
          <w:rFonts w:hint="eastAsia" w:ascii="宋体" w:hAnsi="宋体" w:eastAsia="宋体" w:cs="宋体"/>
          <w:bCs/>
          <w:snapToGrid/>
          <w:color w:val="auto"/>
          <w:kern w:val="2"/>
          <w:sz w:val="24"/>
          <w:szCs w:val="24"/>
          <w:highlight w:val="none"/>
          <w:u w:val="single"/>
        </w:rPr>
        <w:t>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 xml:space="preserve"> </w:t>
      </w:r>
      <w:r>
        <w:rPr>
          <w:rStyle w:val="76"/>
          <w:rFonts w:hint="eastAsia" w:ascii="宋体" w:hAnsi="宋体" w:eastAsia="宋体" w:cs="宋体"/>
          <w:snapToGrid/>
          <w:color w:val="auto"/>
          <w:kern w:val="2"/>
          <w:sz w:val="24"/>
          <w:szCs w:val="24"/>
          <w:highlight w:val="none"/>
          <w:u w:val="single"/>
        </w:rPr>
        <w:t>202</w:t>
      </w:r>
      <w:r>
        <w:rPr>
          <w:rStyle w:val="76"/>
          <w:rFonts w:hint="eastAsia" w:ascii="宋体" w:hAnsi="宋体" w:cs="宋体"/>
          <w:snapToGrid/>
          <w:color w:val="auto"/>
          <w:kern w:val="2"/>
          <w:sz w:val="24"/>
          <w:szCs w:val="24"/>
          <w:highlight w:val="none"/>
          <w:u w:val="single"/>
          <w:lang w:val="en-US" w:eastAsia="zh-CN"/>
        </w:rPr>
        <w:t>5</w:t>
      </w:r>
      <w:r>
        <w:rPr>
          <w:rStyle w:val="76"/>
          <w:rFonts w:hint="eastAsia" w:ascii="宋体" w:hAnsi="宋体" w:eastAsia="宋体" w:cs="宋体"/>
          <w:snapToGrid/>
          <w:color w:val="auto"/>
          <w:kern w:val="2"/>
          <w:sz w:val="24"/>
          <w:szCs w:val="24"/>
          <w:highlight w:val="none"/>
          <w:u w:val="single"/>
        </w:rPr>
        <w:t>年</w:t>
      </w:r>
      <w:r>
        <w:rPr>
          <w:rStyle w:val="76"/>
          <w:rFonts w:hint="eastAsia" w:ascii="宋体" w:hAnsi="宋体" w:cs="宋体"/>
          <w:snapToGrid/>
          <w:color w:val="auto"/>
          <w:kern w:val="2"/>
          <w:sz w:val="24"/>
          <w:szCs w:val="24"/>
          <w:highlight w:val="none"/>
          <w:u w:val="single"/>
          <w:lang w:val="en-US" w:eastAsia="zh-CN"/>
        </w:rPr>
        <w:t>7</w:t>
      </w:r>
      <w:r>
        <w:rPr>
          <w:rStyle w:val="76"/>
          <w:rFonts w:hint="eastAsia" w:ascii="宋体" w:hAnsi="宋体" w:eastAsia="宋体" w:cs="宋体"/>
          <w:snapToGrid/>
          <w:color w:val="auto"/>
          <w:kern w:val="2"/>
          <w:sz w:val="24"/>
          <w:szCs w:val="24"/>
          <w:highlight w:val="none"/>
          <w:u w:val="single"/>
        </w:rPr>
        <w:t>月</w:t>
      </w:r>
      <w:r>
        <w:rPr>
          <w:rStyle w:val="76"/>
          <w:rFonts w:hint="eastAsia" w:ascii="宋体" w:hAnsi="宋体" w:cs="宋体"/>
          <w:snapToGrid/>
          <w:color w:val="auto"/>
          <w:kern w:val="2"/>
          <w:sz w:val="24"/>
          <w:szCs w:val="24"/>
          <w:highlight w:val="none"/>
          <w:u w:val="single"/>
          <w:lang w:val="en-US" w:eastAsia="zh-CN"/>
        </w:rPr>
        <w:t>23</w:t>
      </w:r>
      <w:r>
        <w:rPr>
          <w:rStyle w:val="76"/>
          <w:rFonts w:hint="eastAsia" w:ascii="宋体" w:hAnsi="宋体" w:eastAsia="宋体" w:cs="宋体"/>
          <w:snapToGrid/>
          <w:color w:val="auto"/>
          <w:kern w:val="2"/>
          <w:sz w:val="24"/>
          <w:szCs w:val="24"/>
          <w:highlight w:val="none"/>
          <w:u w:val="single"/>
        </w:rPr>
        <w:t>日</w:t>
      </w:r>
      <w:r>
        <w:rPr>
          <w:rStyle w:val="76"/>
          <w:rFonts w:hint="eastAsia" w:ascii="宋体" w:hAnsi="宋体" w:cs="宋体"/>
          <w:snapToGrid/>
          <w:color w:val="auto"/>
          <w:kern w:val="2"/>
          <w:sz w:val="24"/>
          <w:szCs w:val="24"/>
          <w:highlight w:val="none"/>
          <w:u w:val="single"/>
          <w:lang w:val="en-US" w:eastAsia="zh-CN"/>
        </w:rPr>
        <w:t>9</w:t>
      </w:r>
      <w:r>
        <w:rPr>
          <w:rStyle w:val="76"/>
          <w:rFonts w:hint="eastAsia" w:ascii="宋体" w:hAnsi="宋体" w:eastAsia="宋体" w:cs="宋体"/>
          <w:snapToGrid/>
          <w:color w:val="auto"/>
          <w:kern w:val="2"/>
          <w:sz w:val="24"/>
          <w:szCs w:val="24"/>
          <w:highlight w:val="none"/>
          <w:u w:val="single"/>
        </w:rPr>
        <w:t>点</w:t>
      </w:r>
      <w:r>
        <w:rPr>
          <w:rStyle w:val="76"/>
          <w:rFonts w:hint="eastAsia" w:ascii="宋体" w:hAnsi="宋体" w:cs="宋体"/>
          <w:snapToGrid/>
          <w:color w:val="auto"/>
          <w:kern w:val="2"/>
          <w:sz w:val="24"/>
          <w:szCs w:val="24"/>
          <w:highlight w:val="none"/>
          <w:u w:val="single"/>
          <w:lang w:val="en-US" w:eastAsia="zh-CN"/>
        </w:rPr>
        <w:t>15</w:t>
      </w:r>
      <w:r>
        <w:rPr>
          <w:rStyle w:val="76"/>
          <w:rFonts w:hint="eastAsia" w:ascii="宋体" w:hAnsi="宋体" w:eastAsia="宋体" w:cs="宋体"/>
          <w:snapToGrid/>
          <w:color w:val="auto"/>
          <w:kern w:val="2"/>
          <w:sz w:val="24"/>
          <w:szCs w:val="24"/>
          <w:highlight w:val="none"/>
          <w:u w:val="single"/>
        </w:rPr>
        <w:t>分</w:t>
      </w:r>
      <w:r>
        <w:rPr>
          <w:rStyle w:val="76"/>
          <w:rFonts w:hint="eastAsia" w:ascii="宋体" w:hAnsi="宋体" w:eastAsia="宋体" w:cs="宋体"/>
          <w:bCs/>
          <w:snapToGrid/>
          <w:color w:val="auto"/>
          <w:kern w:val="2"/>
          <w:sz w:val="24"/>
          <w:szCs w:val="24"/>
          <w:highlight w:val="none"/>
          <w:u w:val="single"/>
        </w:rPr>
        <w:t>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桐庐县市场监督管理局</w:t>
      </w:r>
      <w:r>
        <w:rPr>
          <w:rFonts w:hint="eastAsia" w:ascii="宋体" w:hAnsi="宋体" w:cs="宋体"/>
          <w:color w:val="auto"/>
          <w:sz w:val="24"/>
          <w:highlight w:val="none"/>
        </w:rPr>
        <w:t xml:space="preserve">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color w:val="auto"/>
          <w:sz w:val="24"/>
          <w:highlight w:val="none"/>
          <w:lang w:eastAsia="zh-CN"/>
        </w:rPr>
        <w:t xml:space="preserve">杭州市桐庐县城南街道中杭路388号 </w:t>
      </w:r>
      <w:r>
        <w:rPr>
          <w:rFonts w:hint="eastAsia" w:ascii="宋体" w:hAnsi="宋体" w:cs="宋体"/>
          <w:color w:val="auto"/>
          <w:sz w:val="24"/>
          <w:highlight w:val="none"/>
        </w:rPr>
        <w:t xml:space="preserve">      </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446E2F18">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eastAsia="zh-CN"/>
        </w:rPr>
        <w:t>皇甫良峰</w:t>
      </w:r>
      <w:r>
        <w:rPr>
          <w:rFonts w:hint="eastAsia" w:ascii="宋体" w:hAnsi="宋体" w:eastAsia="宋体" w:cs="宋体"/>
          <w:color w:val="auto"/>
          <w:sz w:val="24"/>
          <w:highlight w:val="none"/>
        </w:rPr>
        <w:t xml:space="preserve">  </w:t>
      </w:r>
    </w:p>
    <w:p w14:paraId="6B86858A">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项目联系方式（询问）：0571-64220266 </w:t>
      </w:r>
    </w:p>
    <w:p w14:paraId="2ADE592A">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eastAsia="zh-CN"/>
        </w:rPr>
        <w:t>杨兴彪</w:t>
      </w:r>
    </w:p>
    <w:p w14:paraId="6722B274">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质疑联系方式：0571-64220140  </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0014EB69">
      <w:pPr>
        <w:spacing w:line="360" w:lineRule="auto"/>
        <w:ind w:firstLine="48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留印工程咨询（浙江）有限公司</w:t>
      </w:r>
    </w:p>
    <w:p w14:paraId="3D97CD59">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eastAsia="宋体" w:cs="宋体"/>
          <w:color w:val="000000"/>
          <w:sz w:val="24"/>
          <w:lang w:eastAsia="zh-CN"/>
        </w:rPr>
        <w:t>浙江省杭州市桐庐县中艺大厦13A楼1403室</w:t>
      </w:r>
    </w:p>
    <w:p w14:paraId="03AD9DA3">
      <w:pPr>
        <w:spacing w:line="360" w:lineRule="auto"/>
        <w:rPr>
          <w:rFonts w:hint="eastAsia" w:ascii="宋体" w:hAnsi="宋体" w:eastAsia="宋体" w:cs="宋体"/>
          <w:sz w:val="24"/>
          <w:lang w:val="en-US" w:eastAsia="zh-CN"/>
        </w:rPr>
      </w:pPr>
      <w:r>
        <w:rPr>
          <w:rFonts w:hint="eastAsia" w:ascii="宋体" w:hAnsi="宋体" w:cs="宋体"/>
          <w:sz w:val="24"/>
        </w:rPr>
        <w:t xml:space="preserve">    传    真： </w:t>
      </w:r>
      <w:r>
        <w:rPr>
          <w:rFonts w:hint="eastAsia" w:ascii="宋体" w:hAnsi="宋体" w:cs="宋体"/>
          <w:sz w:val="24"/>
          <w:lang w:val="en-US" w:eastAsia="zh-CN"/>
        </w:rPr>
        <w:t>/</w:t>
      </w:r>
    </w:p>
    <w:p w14:paraId="36853036">
      <w:pPr>
        <w:spacing w:line="360" w:lineRule="auto"/>
        <w:rPr>
          <w:rFonts w:ascii="宋体" w:hAnsi="宋体" w:cs="宋体"/>
          <w:sz w:val="24"/>
        </w:rPr>
      </w:pPr>
      <w:r>
        <w:rPr>
          <w:rFonts w:hint="eastAsia" w:ascii="宋体" w:hAnsi="宋体" w:cs="宋体"/>
          <w:sz w:val="24"/>
        </w:rPr>
        <w:t xml:space="preserve">    项目联系人（询问）：</w:t>
      </w:r>
      <w:r>
        <w:rPr>
          <w:rFonts w:hint="eastAsia" w:ascii="宋体" w:hAnsi="宋体" w:cs="宋体"/>
          <w:sz w:val="24"/>
          <w:lang w:val="en-US" w:eastAsia="zh-CN"/>
        </w:rPr>
        <w:t>黄念惜</w:t>
      </w:r>
      <w:r>
        <w:rPr>
          <w:rFonts w:hint="eastAsia" w:ascii="宋体" w:hAnsi="宋体" w:cs="宋体"/>
          <w:sz w:val="24"/>
        </w:rPr>
        <w:t xml:space="preserve"> </w:t>
      </w:r>
    </w:p>
    <w:p w14:paraId="2E9751B9">
      <w:pPr>
        <w:spacing w:line="360" w:lineRule="auto"/>
        <w:rPr>
          <w:rFonts w:hint="default" w:ascii="宋体" w:hAnsi="宋体" w:eastAsia="宋体" w:cs="宋体"/>
          <w:sz w:val="24"/>
          <w:lang w:val="en-US" w:eastAsia="zh-CN"/>
        </w:rPr>
      </w:pPr>
      <w:r>
        <w:rPr>
          <w:rFonts w:hint="eastAsia" w:ascii="宋体" w:hAnsi="宋体" w:cs="宋体"/>
          <w:sz w:val="24"/>
        </w:rPr>
        <w:t xml:space="preserve">    项目联系方式（询问）：</w:t>
      </w:r>
      <w:r>
        <w:rPr>
          <w:rFonts w:hint="eastAsia" w:ascii="宋体" w:hAnsi="宋体" w:cs="宋体"/>
          <w:sz w:val="24"/>
          <w:lang w:val="en-US" w:eastAsia="zh-CN"/>
        </w:rPr>
        <w:t>15869021054</w:t>
      </w:r>
    </w:p>
    <w:p w14:paraId="7E26F255">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徐锦霞</w:t>
      </w:r>
      <w:r>
        <w:rPr>
          <w:rFonts w:hint="eastAsia" w:ascii="宋体" w:hAnsi="宋体" w:cs="宋体"/>
          <w:sz w:val="24"/>
        </w:rPr>
        <w:t xml:space="preserve"> </w:t>
      </w:r>
    </w:p>
    <w:p w14:paraId="23E21F3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13777585004</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0000FF"/>
          <w:sz w:val="24"/>
          <w:highlight w:val="none"/>
        </w:rPr>
        <w:t xml:space="preserve"> </w:t>
      </w:r>
      <w:r>
        <w:rPr>
          <w:rFonts w:hint="eastAsia" w:ascii="宋体" w:hAnsi="宋体" w:cs="宋体"/>
          <w:color w:val="0000FF"/>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eastAsia="宋体" w:cs="宋体"/>
          <w:color w:val="auto"/>
          <w:sz w:val="24"/>
          <w:lang w:eastAsia="zh-CN"/>
        </w:rPr>
        <w:t>桐庐县</w:t>
      </w:r>
      <w:r>
        <w:rPr>
          <w:rFonts w:hint="eastAsia" w:ascii="宋体" w:hAnsi="宋体" w:cs="宋体"/>
          <w:color w:val="auto"/>
          <w:sz w:val="24"/>
          <w:highlight w:val="none"/>
        </w:rPr>
        <w:t>财政局政府采购监管处 /浙江省政府采购行政裁决服务中心（杭州）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59E28E10">
      <w:pPr>
        <w:spacing w:line="360" w:lineRule="auto"/>
        <w:ind w:firstLine="480"/>
        <w:rPr>
          <w:rFonts w:hint="eastAsia" w:ascii="宋体" w:hAnsi="宋体" w:eastAsia="宋体" w:cs="宋体"/>
          <w:i w:val="0"/>
          <w:caps w:val="0"/>
          <w:color w:val="auto"/>
          <w:spacing w:val="0"/>
          <w:sz w:val="24"/>
          <w:szCs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both"/>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3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rPr>
              <w:t>标的：</w:t>
            </w:r>
            <w:r>
              <w:rPr>
                <w:rFonts w:hint="eastAsia" w:ascii="宋体" w:hAnsi="宋体" w:eastAsia="宋体" w:cs="宋体"/>
                <w:color w:val="auto"/>
                <w:kern w:val="0"/>
                <w:sz w:val="24"/>
                <w:u w:val="single"/>
              </w:rPr>
              <w:t xml:space="preserve"> </w:t>
            </w:r>
            <w:r>
              <w:rPr>
                <w:rFonts w:hint="eastAsia" w:ascii="宋体" w:hAnsi="宋体" w:cs="宋体"/>
                <w:color w:val="auto"/>
                <w:kern w:val="0"/>
                <w:sz w:val="24"/>
                <w:u w:val="single"/>
                <w:lang w:eastAsia="zh-CN"/>
              </w:rPr>
              <w:t xml:space="preserve">电动汽车充电桩和多参数监护仪强制检定服务采购项目 </w:t>
            </w:r>
            <w:r>
              <w:rPr>
                <w:rFonts w:hint="eastAsia" w:ascii="宋体" w:hAnsi="宋体" w:eastAsia="宋体" w:cs="宋体"/>
                <w:color w:val="auto"/>
                <w:kern w:val="0"/>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eastAsia="zh-CN"/>
              </w:rPr>
              <w:t xml:space="preserve">其他未列明   </w:t>
            </w:r>
            <w:r>
              <w:rPr>
                <w:rFonts w:hint="eastAsia" w:ascii="宋体" w:hAnsi="宋体" w:cs="宋体"/>
                <w:color w:val="auto"/>
                <w:kern w:val="0"/>
                <w:sz w:val="24"/>
              </w:rPr>
              <w:t>行业；</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cs="宋体"/>
                <w:color w:val="auto"/>
                <w:kern w:val="0"/>
                <w:sz w:val="24"/>
                <w:u w:val="none"/>
                <w:lang w:eastAsia="zh-CN"/>
              </w:rPr>
              <w:t>其他未列明行业</w:t>
            </w:r>
            <w:r>
              <w:rPr>
                <w:rFonts w:hint="eastAsia" w:ascii="宋体" w:hAnsi="宋体" w:eastAsia="宋体" w:cs="宋体"/>
                <w:b w:val="0"/>
                <w:bCs w:val="0"/>
                <w:color w:val="auto"/>
                <w:kern w:val="0"/>
                <w:sz w:val="24"/>
                <w:szCs w:val="24"/>
                <w:highlight w:val="none"/>
                <w:lang w:val="en-US" w:eastAsia="zh-CN" w:bidi="ar-SA"/>
              </w:rPr>
              <w:t>。从业人员</w:t>
            </w:r>
            <w:r>
              <w:rPr>
                <w:rFonts w:hint="eastAsia" w:ascii="宋体" w:hAnsi="宋体" w:cs="宋体"/>
                <w:b w:val="0"/>
                <w:bCs w:val="0"/>
                <w:color w:val="auto"/>
                <w:kern w:val="0"/>
                <w:sz w:val="24"/>
                <w:szCs w:val="24"/>
                <w:highlight w:val="none"/>
                <w:lang w:val="en-US" w:eastAsia="zh-CN" w:bidi="ar-SA"/>
              </w:rPr>
              <w:t>300</w:t>
            </w:r>
            <w:r>
              <w:rPr>
                <w:rFonts w:hint="eastAsia" w:ascii="宋体" w:hAnsi="宋体" w:eastAsia="宋体" w:cs="宋体"/>
                <w:b w:val="0"/>
                <w:bCs w:val="0"/>
                <w:color w:val="auto"/>
                <w:kern w:val="0"/>
                <w:sz w:val="24"/>
                <w:szCs w:val="24"/>
                <w:highlight w:val="none"/>
                <w:lang w:val="en-US" w:eastAsia="zh-CN" w:bidi="ar-SA"/>
              </w:rPr>
              <w:t>人以下的为中小微型企业。其中，从业人员</w:t>
            </w:r>
            <w:r>
              <w:rPr>
                <w:rFonts w:hint="eastAsia" w:ascii="宋体" w:hAnsi="宋体" w:cs="宋体"/>
                <w:b w:val="0"/>
                <w:bCs w:val="0"/>
                <w:color w:val="auto"/>
                <w:kern w:val="0"/>
                <w:sz w:val="24"/>
                <w:szCs w:val="24"/>
                <w:highlight w:val="none"/>
                <w:lang w:val="en-US" w:eastAsia="zh-CN" w:bidi="ar-SA"/>
              </w:rPr>
              <w:t>100</w:t>
            </w:r>
            <w:r>
              <w:rPr>
                <w:rFonts w:hint="eastAsia" w:ascii="宋体" w:hAnsi="宋体" w:eastAsia="宋体" w:cs="宋体"/>
                <w:b w:val="0"/>
                <w:bCs w:val="0"/>
                <w:color w:val="auto"/>
                <w:kern w:val="0"/>
                <w:sz w:val="24"/>
                <w:szCs w:val="24"/>
                <w:highlight w:val="none"/>
                <w:lang w:val="en-US" w:eastAsia="zh-CN" w:bidi="ar-SA"/>
              </w:rPr>
              <w:t>人及以上的为中型企业；从业人员</w:t>
            </w:r>
            <w:r>
              <w:rPr>
                <w:rFonts w:hint="eastAsia" w:ascii="宋体" w:hAnsi="宋体" w:cs="宋体"/>
                <w:b w:val="0"/>
                <w:bCs w:val="0"/>
                <w:color w:val="auto"/>
                <w:kern w:val="0"/>
                <w:sz w:val="24"/>
                <w:szCs w:val="24"/>
                <w:highlight w:val="none"/>
                <w:lang w:val="en-US" w:eastAsia="zh-CN" w:bidi="ar-SA"/>
              </w:rPr>
              <w:t>10</w:t>
            </w:r>
            <w:r>
              <w:rPr>
                <w:rFonts w:hint="eastAsia" w:ascii="宋体" w:hAnsi="宋体" w:eastAsia="宋体" w:cs="宋体"/>
                <w:b w:val="0"/>
                <w:bCs w:val="0"/>
                <w:color w:val="auto"/>
                <w:kern w:val="0"/>
                <w:sz w:val="24"/>
                <w:szCs w:val="24"/>
                <w:highlight w:val="none"/>
                <w:lang w:val="en-US" w:eastAsia="zh-CN" w:bidi="ar-SA"/>
              </w:rPr>
              <w:t>人及以上，的为小型企业；从业人员</w:t>
            </w:r>
            <w:r>
              <w:rPr>
                <w:rFonts w:hint="eastAsia" w:ascii="宋体" w:hAnsi="宋体" w:cs="宋体"/>
                <w:b w:val="0"/>
                <w:bCs w:val="0"/>
                <w:color w:val="auto"/>
                <w:kern w:val="0"/>
                <w:sz w:val="24"/>
                <w:szCs w:val="24"/>
                <w:highlight w:val="none"/>
                <w:lang w:val="en-US" w:eastAsia="zh-CN" w:bidi="ar-SA"/>
              </w:rPr>
              <w:t>10</w:t>
            </w:r>
            <w:r>
              <w:rPr>
                <w:rFonts w:hint="eastAsia" w:ascii="宋体" w:hAnsi="宋体" w:eastAsia="宋体" w:cs="宋体"/>
                <w:b w:val="0"/>
                <w:bCs w:val="0"/>
                <w:color w:val="auto"/>
                <w:kern w:val="0"/>
                <w:sz w:val="24"/>
                <w:szCs w:val="24"/>
                <w:highlight w:val="none"/>
                <w:lang w:val="en-US" w:eastAsia="zh-CN" w:bidi="ar-SA"/>
              </w:rPr>
              <w:t>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5"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FE069B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465412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75748277">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2F8702D">
            <w:pPr>
              <w:snapToGrid w:val="0"/>
              <w:spacing w:line="360" w:lineRule="auto"/>
              <w:jc w:val="center"/>
              <w:rPr>
                <w:rFonts w:ascii="宋体" w:hAnsi="宋体" w:cs="宋体"/>
                <w:color w:val="auto"/>
                <w:sz w:val="24"/>
                <w:highlight w:val="none"/>
              </w:rPr>
            </w:pPr>
          </w:p>
          <w:p w14:paraId="5A407A49">
            <w:pPr>
              <w:snapToGrid w:val="0"/>
              <w:spacing w:line="360" w:lineRule="auto"/>
              <w:jc w:val="center"/>
              <w:rPr>
                <w:rFonts w:ascii="宋体" w:hAnsi="宋体" w:cs="宋体"/>
                <w:color w:val="auto"/>
                <w:sz w:val="24"/>
                <w:highlight w:val="none"/>
              </w:rPr>
            </w:pPr>
          </w:p>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478D25F3">
            <w:pPr>
              <w:pStyle w:val="79"/>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418E5266">
            <w:pPr>
              <w:pStyle w:val="79"/>
              <w:ind w:firstLine="0" w:firstLineChars="0"/>
              <w:rPr>
                <w:color w:val="auto"/>
                <w:highlight w:val="none"/>
              </w:rPr>
            </w:pP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8" w:hRule="atLeast"/>
          <w:tblHeader/>
        </w:trPr>
        <w:tc>
          <w:tcPr>
            <w:tcW w:w="629" w:type="dxa"/>
            <w:tcBorders>
              <w:top w:val="single" w:color="auto" w:sz="4" w:space="0"/>
              <w:left w:val="single" w:color="auto" w:sz="4" w:space="0"/>
              <w:bottom w:val="single" w:color="auto" w:sz="4" w:space="0"/>
              <w:right w:val="single" w:color="auto" w:sz="4" w:space="0"/>
            </w:tcBorders>
          </w:tcPr>
          <w:p w14:paraId="12D2F995">
            <w:pPr>
              <w:snapToGrid w:val="0"/>
              <w:spacing w:line="360" w:lineRule="auto"/>
              <w:jc w:val="both"/>
              <w:rPr>
                <w:rFonts w:ascii="宋体" w:hAnsi="宋体" w:cs="宋体"/>
                <w:color w:val="auto"/>
                <w:sz w:val="24"/>
                <w:highlight w:val="none"/>
              </w:rPr>
            </w:pPr>
          </w:p>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8AD61E6">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blHeader/>
        </w:trPr>
        <w:tc>
          <w:tcPr>
            <w:tcW w:w="629" w:type="dxa"/>
            <w:tcBorders>
              <w:top w:val="single" w:color="auto" w:sz="4" w:space="0"/>
              <w:left w:val="single" w:color="auto" w:sz="4" w:space="0"/>
              <w:bottom w:val="single" w:color="auto" w:sz="4" w:space="0"/>
              <w:right w:val="single" w:color="auto" w:sz="4" w:space="0"/>
            </w:tcBorders>
          </w:tcPr>
          <w:p w14:paraId="32D3B44A">
            <w:pPr>
              <w:snapToGrid w:val="0"/>
              <w:spacing w:line="360" w:lineRule="auto"/>
              <w:jc w:val="both"/>
              <w:rPr>
                <w:rFonts w:ascii="宋体" w:hAnsi="宋体" w:cs="宋体"/>
                <w:color w:val="auto"/>
                <w:sz w:val="24"/>
                <w:highlight w:val="none"/>
              </w:rPr>
            </w:pPr>
          </w:p>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52D1C2A">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6"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84C4EC5">
            <w:pPr>
              <w:snapToGrid w:val="0"/>
              <w:spacing w:line="360" w:lineRule="auto"/>
              <w:jc w:val="center"/>
              <w:rPr>
                <w:rFonts w:ascii="宋体" w:hAnsi="宋体" w:cs="宋体"/>
                <w:color w:val="auto"/>
                <w:sz w:val="24"/>
                <w:highlight w:val="none"/>
              </w:rPr>
            </w:pPr>
          </w:p>
          <w:p w14:paraId="38589266">
            <w:pPr>
              <w:snapToGrid w:val="0"/>
              <w:spacing w:line="360" w:lineRule="auto"/>
              <w:jc w:val="center"/>
              <w:rPr>
                <w:rFonts w:ascii="宋体" w:hAnsi="宋体" w:cs="宋体"/>
                <w:color w:val="auto"/>
                <w:sz w:val="24"/>
                <w:highlight w:val="none"/>
              </w:rPr>
            </w:pPr>
          </w:p>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45" w:hRule="atLeast"/>
          <w:tblHeader/>
        </w:trPr>
        <w:tc>
          <w:tcPr>
            <w:tcW w:w="629" w:type="dxa"/>
            <w:tcBorders>
              <w:top w:val="single" w:color="auto" w:sz="4" w:space="0"/>
              <w:left w:val="single" w:color="000000" w:sz="8" w:space="0"/>
              <w:bottom w:val="single" w:color="auto" w:sz="4" w:space="0"/>
              <w:right w:val="single" w:color="000000" w:sz="2" w:space="0"/>
            </w:tcBorders>
          </w:tcPr>
          <w:p w14:paraId="3DD6CE36">
            <w:pPr>
              <w:snapToGrid w:val="0"/>
              <w:spacing w:line="360" w:lineRule="auto"/>
              <w:jc w:val="center"/>
              <w:rPr>
                <w:rFonts w:ascii="宋体" w:hAnsi="宋体" w:cs="宋体"/>
                <w:color w:val="auto"/>
                <w:sz w:val="24"/>
                <w:highlight w:val="none"/>
              </w:rPr>
            </w:pPr>
          </w:p>
          <w:p w14:paraId="26731BE1">
            <w:pPr>
              <w:snapToGrid w:val="0"/>
              <w:spacing w:line="360" w:lineRule="auto"/>
              <w:jc w:val="center"/>
              <w:rPr>
                <w:rFonts w:ascii="宋体" w:hAnsi="宋体" w:cs="宋体"/>
                <w:color w:val="auto"/>
                <w:sz w:val="24"/>
                <w:highlight w:val="none"/>
              </w:rPr>
            </w:pPr>
          </w:p>
          <w:p w14:paraId="79F3F4C6">
            <w:pPr>
              <w:snapToGrid w:val="0"/>
              <w:spacing w:line="360" w:lineRule="auto"/>
              <w:jc w:val="center"/>
              <w:rPr>
                <w:rFonts w:ascii="宋体" w:hAnsi="宋体" w:cs="宋体"/>
                <w:color w:val="auto"/>
                <w:sz w:val="24"/>
                <w:highlight w:val="none"/>
              </w:rPr>
            </w:pPr>
          </w:p>
          <w:p w14:paraId="0CC08E98">
            <w:pPr>
              <w:snapToGrid w:val="0"/>
              <w:spacing w:line="360" w:lineRule="auto"/>
              <w:jc w:val="center"/>
              <w:rPr>
                <w:rFonts w:ascii="宋体" w:hAnsi="宋体" w:cs="宋体"/>
                <w:color w:val="auto"/>
                <w:sz w:val="24"/>
                <w:highlight w:val="none"/>
              </w:rPr>
            </w:pPr>
          </w:p>
          <w:p w14:paraId="35826F79">
            <w:pPr>
              <w:snapToGrid w:val="0"/>
              <w:spacing w:line="360" w:lineRule="auto"/>
              <w:jc w:val="center"/>
              <w:rPr>
                <w:rFonts w:ascii="宋体" w:hAnsi="宋体" w:cs="宋体"/>
                <w:color w:val="auto"/>
                <w:sz w:val="24"/>
                <w:highlight w:val="none"/>
              </w:rPr>
            </w:pPr>
          </w:p>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98" w:hRule="atLeast"/>
          <w:tblHeader/>
        </w:trPr>
        <w:tc>
          <w:tcPr>
            <w:tcW w:w="629" w:type="dxa"/>
            <w:tcBorders>
              <w:top w:val="single" w:color="auto" w:sz="4" w:space="0"/>
              <w:left w:val="single" w:color="000000" w:sz="8" w:space="0"/>
              <w:right w:val="single" w:color="000000" w:sz="2" w:space="0"/>
            </w:tcBorders>
          </w:tcPr>
          <w:p w14:paraId="1128B2D4">
            <w:pPr>
              <w:snapToGrid w:val="0"/>
              <w:spacing w:line="360" w:lineRule="auto"/>
              <w:jc w:val="center"/>
              <w:rPr>
                <w:rFonts w:ascii="宋体" w:hAnsi="宋体" w:cs="宋体"/>
                <w:color w:val="auto"/>
                <w:sz w:val="24"/>
                <w:highlight w:val="none"/>
              </w:rPr>
            </w:pPr>
          </w:p>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4"/>
              <w:spacing w:line="360" w:lineRule="auto"/>
              <w:rPr>
                <w:rFonts w:hAnsi="宋体" w:cs="宋体"/>
                <w:color w:val="auto"/>
                <w:kern w:val="28"/>
                <w:sz w:val="24"/>
                <w:highlight w:val="none"/>
              </w:rPr>
            </w:pPr>
            <w:r>
              <w:rPr>
                <w:rFonts w:hint="eastAsia" w:hAnsi="宋体" w:cs="宋体"/>
                <w:kern w:val="28"/>
                <w:sz w:val="24"/>
                <w:szCs w:val="24"/>
              </w:rPr>
              <w:t>备份投标文件送达地点：</w:t>
            </w:r>
            <w:r>
              <w:rPr>
                <w:rFonts w:hint="eastAsia" w:ascii="宋体" w:hAnsi="宋体" w:eastAsia="宋体" w:cs="宋体"/>
                <w:sz w:val="24"/>
                <w:u w:val="single"/>
                <w:lang w:val="en-US" w:eastAsia="zh-CN"/>
              </w:rPr>
              <w:t xml:space="preserve"> 浙江省杭州市桐庐县中艺大厦13A楼1403室  </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hAnsi="宋体" w:cs="宋体"/>
                <w:color w:val="auto"/>
                <w:sz w:val="24"/>
                <w:u w:val="single"/>
                <w:lang w:val="en-US" w:eastAsia="zh-CN"/>
              </w:rPr>
              <w:t>黄女士15869021054</w:t>
            </w:r>
            <w:r>
              <w:rPr>
                <w:rFonts w:hint="eastAsia" w:hAnsi="宋体" w:cs="宋体"/>
                <w:color w:val="auto"/>
                <w:sz w:val="24"/>
                <w:u w:val="single"/>
              </w:rPr>
              <w:t xml:space="preserve">   </w:t>
            </w:r>
            <w:r>
              <w:rPr>
                <w:rFonts w:hint="eastAsia" w:hAnsi="宋体" w:cs="宋体"/>
                <w:color w:val="auto"/>
                <w:sz w:val="24"/>
                <w:szCs w:val="24"/>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1个</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6129343D">
            <w:pPr>
              <w:spacing w:line="360" w:lineRule="auto"/>
              <w:rPr>
                <w:rFonts w:hint="default" w:ascii="宋体" w:hAnsi="宋体" w:eastAsia="宋体" w:cs="宋体"/>
                <w:color w:val="auto"/>
                <w:kern w:val="0"/>
                <w:sz w:val="24"/>
                <w:highlight w:val="none"/>
                <w:lang w:val="en-US" w:eastAsia="zh-CN"/>
              </w:rPr>
            </w:pPr>
            <w:r>
              <w:rPr>
                <w:rFonts w:hint="eastAsia" w:ascii="宋体" w:hAnsi="宋体" w:cs="宋体"/>
                <w:kern w:val="0"/>
                <w:sz w:val="24"/>
                <w:u w:val="none"/>
              </w:rPr>
              <w:t>本项目的采购代理服务费计费标准按</w:t>
            </w:r>
            <w:r>
              <w:rPr>
                <w:rFonts w:hint="eastAsia" w:ascii="宋体" w:hAnsi="宋体" w:cs="宋体"/>
                <w:kern w:val="0"/>
                <w:sz w:val="24"/>
                <w:u w:val="none"/>
                <w:lang w:val="en-US" w:eastAsia="zh-CN"/>
              </w:rPr>
              <w:t>桐庐县政务中介服务平台中选价格10000元人民币收取。</w:t>
            </w:r>
          </w:p>
        </w:tc>
      </w:tr>
    </w:tbl>
    <w:p w14:paraId="1969C93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89"/>
        <w:shd w:val="clear" w:color="auto" w:fill="FFFFFF"/>
        <w:snapToGrid w:val="0"/>
        <w:spacing w:after="240" w:afterAutospacing="0" w:line="360" w:lineRule="auto"/>
        <w:ind w:firstLine="400"/>
        <w:contextualSpacing/>
        <w:rPr>
          <w:rFonts w:hint="eastAsia"/>
          <w:color w:val="auto"/>
          <w:highlight w:val="none"/>
        </w:rPr>
      </w:pP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0"/>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4"/>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74729768"/>
      <w:bookmarkEnd w:id="16"/>
      <w:bookmarkStart w:id="17" w:name="_Hlt74714665"/>
      <w:bookmarkEnd w:id="17"/>
      <w:bookmarkStart w:id="18" w:name="_Hlt75236290"/>
      <w:bookmarkEnd w:id="18"/>
      <w:bookmarkStart w:id="19" w:name="_Hlt75236011"/>
      <w:bookmarkEnd w:id="19"/>
      <w:bookmarkStart w:id="20" w:name="_Hlt68403820"/>
      <w:bookmarkEnd w:id="20"/>
      <w:bookmarkStart w:id="21" w:name="_Hlt68072998"/>
      <w:bookmarkEnd w:id="21"/>
      <w:bookmarkStart w:id="22" w:name="_Hlt68073093"/>
      <w:bookmarkEnd w:id="22"/>
      <w:bookmarkStart w:id="23" w:name="_Hlt74730295"/>
      <w:bookmarkEnd w:id="23"/>
      <w:bookmarkStart w:id="24" w:name="_Hlt68072990"/>
      <w:bookmarkEnd w:id="24"/>
      <w:bookmarkStart w:id="25" w:name="_Hlt75236101"/>
      <w:bookmarkEnd w:id="25"/>
      <w:bookmarkStart w:id="26" w:name="_Hlt68057669"/>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1739CC3D">
      <w:pPr>
        <w:keepNext/>
        <w:keepLines/>
        <w:spacing w:before="260" w:after="260" w:line="416" w:lineRule="auto"/>
        <w:jc w:val="center"/>
        <w:outlineLvl w:val="1"/>
        <w:rPr>
          <w:rFonts w:ascii="Cambria" w:hAnsi="Cambria" w:cs="黑体"/>
          <w:b/>
          <w:bCs/>
          <w:sz w:val="30"/>
          <w:szCs w:val="32"/>
        </w:rPr>
      </w:pPr>
      <w:r>
        <w:rPr>
          <w:rFonts w:hint="eastAsia" w:ascii="Cambria" w:hAnsi="Cambria" w:cs="黑体"/>
          <w:b/>
          <w:bCs/>
          <w:sz w:val="30"/>
          <w:szCs w:val="32"/>
        </w:rPr>
        <w:t>（一）、招标一览表</w:t>
      </w:r>
    </w:p>
    <w:tbl>
      <w:tblPr>
        <w:tblStyle w:val="62"/>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2290"/>
        <w:gridCol w:w="3169"/>
        <w:gridCol w:w="2933"/>
      </w:tblGrid>
      <w:tr w14:paraId="2A7B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062" w:type="dxa"/>
            <w:tcBorders>
              <w:top w:val="single" w:color="auto" w:sz="4" w:space="0"/>
              <w:left w:val="single" w:color="auto" w:sz="4" w:space="0"/>
              <w:bottom w:val="single" w:color="auto" w:sz="4" w:space="0"/>
              <w:right w:val="single" w:color="auto" w:sz="4" w:space="0"/>
            </w:tcBorders>
            <w:noWrap w:val="0"/>
            <w:vAlign w:val="center"/>
          </w:tcPr>
          <w:p w14:paraId="3545733D">
            <w:pPr>
              <w:widowControl/>
              <w:jc w:val="center"/>
              <w:rPr>
                <w:rFonts w:hint="default" w:eastAsia="宋体" w:cs="宋体"/>
                <w:kern w:val="0"/>
                <w:sz w:val="24"/>
                <w:szCs w:val="24"/>
                <w:lang w:val="en-US" w:eastAsia="zh-CN"/>
              </w:rPr>
            </w:pPr>
            <w:r>
              <w:rPr>
                <w:rFonts w:hint="eastAsia" w:cs="宋体"/>
                <w:kern w:val="0"/>
                <w:sz w:val="24"/>
                <w:szCs w:val="24"/>
                <w:lang w:val="en-US" w:eastAsia="zh-CN"/>
              </w:rPr>
              <w:t>标项</w:t>
            </w:r>
          </w:p>
        </w:tc>
        <w:tc>
          <w:tcPr>
            <w:tcW w:w="2290" w:type="dxa"/>
            <w:tcBorders>
              <w:top w:val="single" w:color="auto" w:sz="4" w:space="0"/>
              <w:left w:val="single" w:color="auto" w:sz="4" w:space="0"/>
              <w:bottom w:val="single" w:color="auto" w:sz="4" w:space="0"/>
              <w:right w:val="single" w:color="auto" w:sz="4" w:space="0"/>
            </w:tcBorders>
            <w:noWrap w:val="0"/>
            <w:vAlign w:val="center"/>
          </w:tcPr>
          <w:p w14:paraId="65C59446">
            <w:pPr>
              <w:widowControl/>
              <w:jc w:val="center"/>
              <w:rPr>
                <w:rFonts w:hint="eastAsia" w:eastAsia="宋体" w:cs="宋体"/>
                <w:sz w:val="24"/>
                <w:szCs w:val="24"/>
                <w:lang w:eastAsia="zh-CN"/>
              </w:rPr>
            </w:pPr>
            <w:r>
              <w:rPr>
                <w:rFonts w:hint="eastAsia" w:cs="宋体"/>
                <w:kern w:val="0"/>
                <w:sz w:val="24"/>
                <w:szCs w:val="24"/>
                <w:lang w:val="en-US" w:eastAsia="zh-CN"/>
              </w:rPr>
              <w:t>名称</w:t>
            </w:r>
          </w:p>
        </w:tc>
        <w:tc>
          <w:tcPr>
            <w:tcW w:w="31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1882D3">
            <w:pPr>
              <w:widowControl/>
              <w:jc w:val="center"/>
              <w:rPr>
                <w:rFonts w:hint="eastAsia" w:ascii="Times New Roman" w:hAnsi="Times New Roman" w:eastAsia="宋体" w:cs="宋体"/>
                <w:kern w:val="0"/>
                <w:sz w:val="24"/>
                <w:szCs w:val="24"/>
                <w:lang w:val="en-US" w:eastAsia="zh-CN" w:bidi="ar-SA"/>
              </w:rPr>
            </w:pPr>
            <w:r>
              <w:rPr>
                <w:rFonts w:hint="eastAsia" w:cs="宋体"/>
                <w:kern w:val="0"/>
                <w:sz w:val="24"/>
                <w:szCs w:val="24"/>
              </w:rPr>
              <w:t>最高限价（单价最高限价）</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7675F293">
            <w:pPr>
              <w:widowControl/>
              <w:jc w:val="center"/>
              <w:rPr>
                <w:rFonts w:cs="宋体"/>
                <w:kern w:val="0"/>
                <w:sz w:val="24"/>
                <w:szCs w:val="24"/>
              </w:rPr>
            </w:pPr>
            <w:r>
              <w:rPr>
                <w:rFonts w:hint="eastAsia" w:cs="宋体"/>
                <w:kern w:val="0"/>
                <w:sz w:val="24"/>
                <w:szCs w:val="24"/>
              </w:rPr>
              <w:t>最高限价（</w:t>
            </w:r>
            <w:r>
              <w:rPr>
                <w:rFonts w:hint="eastAsia" w:cs="宋体"/>
                <w:kern w:val="0"/>
                <w:sz w:val="24"/>
                <w:szCs w:val="24"/>
                <w:lang w:val="en-US" w:eastAsia="zh-CN"/>
              </w:rPr>
              <w:t>总价</w:t>
            </w:r>
            <w:r>
              <w:rPr>
                <w:rFonts w:hint="eastAsia" w:cs="宋体"/>
                <w:kern w:val="0"/>
                <w:sz w:val="24"/>
                <w:szCs w:val="24"/>
              </w:rPr>
              <w:t>最高限价）</w:t>
            </w:r>
          </w:p>
        </w:tc>
      </w:tr>
      <w:tr w14:paraId="1BB1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062" w:type="dxa"/>
            <w:tcBorders>
              <w:top w:val="single" w:color="auto" w:sz="4" w:space="0"/>
              <w:left w:val="single" w:color="auto" w:sz="4" w:space="0"/>
              <w:bottom w:val="single" w:color="auto" w:sz="4" w:space="0"/>
              <w:right w:val="single" w:color="auto" w:sz="4" w:space="0"/>
            </w:tcBorders>
            <w:noWrap w:val="0"/>
            <w:vAlign w:val="center"/>
          </w:tcPr>
          <w:p w14:paraId="46260705">
            <w:pPr>
              <w:widowControl/>
              <w:jc w:val="center"/>
              <w:rPr>
                <w:rFonts w:hint="eastAsia" w:eastAsia="宋体"/>
                <w:sz w:val="24"/>
                <w:szCs w:val="24"/>
                <w:lang w:val="en-US" w:eastAsia="zh-CN"/>
              </w:rPr>
            </w:pPr>
            <w:r>
              <w:rPr>
                <w:rFonts w:hint="eastAsia"/>
                <w:sz w:val="24"/>
                <w:szCs w:val="24"/>
                <w:lang w:val="en-US" w:eastAsia="zh-CN"/>
              </w:rPr>
              <w:t>1</w:t>
            </w:r>
          </w:p>
        </w:tc>
        <w:tc>
          <w:tcPr>
            <w:tcW w:w="2290" w:type="dxa"/>
            <w:tcBorders>
              <w:top w:val="single" w:color="auto" w:sz="4" w:space="0"/>
              <w:left w:val="single" w:color="auto" w:sz="4" w:space="0"/>
              <w:bottom w:val="single" w:color="auto" w:sz="4" w:space="0"/>
              <w:right w:val="single" w:color="auto" w:sz="4" w:space="0"/>
            </w:tcBorders>
            <w:noWrap w:val="0"/>
            <w:vAlign w:val="center"/>
          </w:tcPr>
          <w:p w14:paraId="461118CA">
            <w:pPr>
              <w:widowControl/>
              <w:jc w:val="center"/>
              <w:rPr>
                <w:rFonts w:hint="eastAsia"/>
                <w:sz w:val="24"/>
                <w:szCs w:val="24"/>
              </w:rPr>
            </w:pPr>
            <w:r>
              <w:rPr>
                <w:rFonts w:hint="eastAsia"/>
                <w:sz w:val="24"/>
                <w:szCs w:val="24"/>
              </w:rPr>
              <w:t>电动汽车充电桩检定</w:t>
            </w:r>
          </w:p>
        </w:tc>
        <w:tc>
          <w:tcPr>
            <w:tcW w:w="31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D13324">
            <w:pPr>
              <w:widowControl/>
              <w:jc w:val="center"/>
              <w:rPr>
                <w:rFonts w:hint="eastAsia" w:ascii="宋体" w:hAnsi="宋体" w:eastAsia="宋体" w:cs="宋体"/>
                <w:kern w:val="0"/>
                <w:sz w:val="24"/>
                <w:szCs w:val="24"/>
                <w:lang w:val="en-US" w:eastAsia="zh-CN" w:bidi="ar-SA"/>
              </w:rPr>
            </w:pPr>
            <w:r>
              <w:rPr>
                <w:rFonts w:hint="eastAsia"/>
                <w:sz w:val="24"/>
                <w:szCs w:val="24"/>
              </w:rPr>
              <w:t>单枪最高限价为</w:t>
            </w:r>
            <w:r>
              <w:rPr>
                <w:rFonts w:hint="eastAsia"/>
                <w:sz w:val="24"/>
                <w:szCs w:val="24"/>
                <w:lang w:val="en-US" w:eastAsia="zh-CN"/>
              </w:rPr>
              <w:t>500</w:t>
            </w:r>
            <w:r>
              <w:rPr>
                <w:rFonts w:hint="eastAsia"/>
                <w:sz w:val="24"/>
                <w:szCs w:val="24"/>
              </w:rPr>
              <w:t>元/枪</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308E5096">
            <w:pPr>
              <w:widowControl/>
              <w:jc w:val="center"/>
              <w:rPr>
                <w:rFonts w:hint="default" w:ascii="宋体" w:hAnsi="宋体" w:eastAsia="宋体" w:cs="宋体"/>
                <w:kern w:val="0"/>
                <w:sz w:val="24"/>
                <w:szCs w:val="24"/>
                <w:lang w:val="en-US" w:eastAsia="zh-CN"/>
              </w:rPr>
            </w:pPr>
            <w:r>
              <w:rPr>
                <w:rFonts w:hint="eastAsia"/>
                <w:sz w:val="24"/>
                <w:szCs w:val="24"/>
                <w:lang w:val="en-US" w:eastAsia="zh-CN"/>
              </w:rPr>
              <w:t>20万</w:t>
            </w:r>
          </w:p>
        </w:tc>
      </w:tr>
      <w:tr w14:paraId="7E3B6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062" w:type="dxa"/>
            <w:tcBorders>
              <w:top w:val="single" w:color="auto" w:sz="4" w:space="0"/>
              <w:left w:val="single" w:color="auto" w:sz="4" w:space="0"/>
              <w:bottom w:val="single" w:color="auto" w:sz="4" w:space="0"/>
              <w:right w:val="single" w:color="auto" w:sz="4" w:space="0"/>
            </w:tcBorders>
            <w:noWrap w:val="0"/>
            <w:vAlign w:val="center"/>
          </w:tcPr>
          <w:p w14:paraId="1CCF1204">
            <w:pPr>
              <w:widowControl/>
              <w:jc w:val="center"/>
              <w:rPr>
                <w:rFonts w:hint="eastAsia" w:eastAsia="宋体"/>
                <w:sz w:val="24"/>
                <w:szCs w:val="24"/>
                <w:lang w:val="en-US" w:eastAsia="zh-CN"/>
              </w:rPr>
            </w:pPr>
            <w:r>
              <w:rPr>
                <w:rFonts w:hint="eastAsia"/>
                <w:sz w:val="24"/>
                <w:szCs w:val="24"/>
                <w:lang w:val="en-US" w:eastAsia="zh-CN"/>
              </w:rPr>
              <w:t>2</w:t>
            </w:r>
          </w:p>
        </w:tc>
        <w:tc>
          <w:tcPr>
            <w:tcW w:w="2290" w:type="dxa"/>
            <w:tcBorders>
              <w:top w:val="single" w:color="auto" w:sz="4" w:space="0"/>
              <w:left w:val="single" w:color="auto" w:sz="4" w:space="0"/>
              <w:bottom w:val="single" w:color="auto" w:sz="4" w:space="0"/>
              <w:right w:val="single" w:color="auto" w:sz="4" w:space="0"/>
            </w:tcBorders>
            <w:noWrap w:val="0"/>
            <w:vAlign w:val="center"/>
          </w:tcPr>
          <w:p w14:paraId="4ED715C9">
            <w:pPr>
              <w:widowControl/>
              <w:jc w:val="center"/>
              <w:rPr>
                <w:rFonts w:hint="eastAsia"/>
                <w:sz w:val="24"/>
                <w:szCs w:val="24"/>
              </w:rPr>
            </w:pPr>
            <w:r>
              <w:rPr>
                <w:rFonts w:hint="eastAsia"/>
                <w:sz w:val="24"/>
                <w:szCs w:val="24"/>
              </w:rPr>
              <w:t>多参数监护仪检定</w:t>
            </w:r>
          </w:p>
        </w:tc>
        <w:tc>
          <w:tcPr>
            <w:tcW w:w="31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253947">
            <w:pPr>
              <w:widowControl/>
              <w:jc w:val="center"/>
              <w:rPr>
                <w:rFonts w:hint="eastAsia" w:ascii="宋体" w:hAnsi="宋体" w:eastAsia="宋体" w:cs="宋体"/>
                <w:kern w:val="0"/>
                <w:sz w:val="24"/>
                <w:szCs w:val="24"/>
                <w:lang w:val="en-US" w:eastAsia="zh-CN" w:bidi="ar-SA"/>
              </w:rPr>
            </w:pPr>
            <w:r>
              <w:rPr>
                <w:rFonts w:hint="eastAsia"/>
                <w:sz w:val="24"/>
                <w:szCs w:val="24"/>
              </w:rPr>
              <w:t>单件最高限价为</w:t>
            </w:r>
            <w:r>
              <w:rPr>
                <w:rFonts w:hint="eastAsia"/>
                <w:sz w:val="24"/>
                <w:szCs w:val="24"/>
                <w:lang w:val="en-US" w:eastAsia="zh-CN"/>
              </w:rPr>
              <w:t>680</w:t>
            </w:r>
            <w:r>
              <w:rPr>
                <w:rFonts w:hint="eastAsia"/>
                <w:sz w:val="24"/>
                <w:szCs w:val="24"/>
              </w:rPr>
              <w:t>元/台</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0C11F1FB">
            <w:pPr>
              <w:widowControl/>
              <w:jc w:val="center"/>
              <w:rPr>
                <w:rFonts w:hint="default" w:ascii="宋体" w:hAnsi="宋体" w:eastAsia="宋体" w:cs="宋体"/>
                <w:kern w:val="0"/>
                <w:sz w:val="24"/>
                <w:szCs w:val="24"/>
                <w:lang w:val="en-US" w:eastAsia="zh-CN"/>
              </w:rPr>
            </w:pPr>
            <w:r>
              <w:rPr>
                <w:rFonts w:hint="eastAsia"/>
                <w:sz w:val="24"/>
                <w:szCs w:val="24"/>
                <w:lang w:val="en-US" w:eastAsia="zh-CN"/>
              </w:rPr>
              <w:t>50万</w:t>
            </w:r>
          </w:p>
        </w:tc>
      </w:tr>
    </w:tbl>
    <w:p w14:paraId="62769A3E">
      <w:pPr>
        <w:autoSpaceDE w:val="0"/>
        <w:autoSpaceDN w:val="0"/>
        <w:rPr>
          <w:rFonts w:hint="eastAsia" w:ascii="Cambria" w:hAnsi="Cambria" w:cs="黑体"/>
          <w:b/>
          <w:bCs/>
        </w:rPr>
      </w:pPr>
    </w:p>
    <w:p w14:paraId="00E5F440">
      <w:pPr>
        <w:autoSpaceDE w:val="0"/>
        <w:autoSpaceDN w:val="0"/>
        <w:rPr>
          <w:rFonts w:hint="default" w:eastAsia="宋体"/>
          <w:b/>
          <w:color w:val="000000"/>
          <w:sz w:val="24"/>
          <w:szCs w:val="24"/>
          <w:lang w:val="en-US" w:eastAsia="zh-CN"/>
        </w:rPr>
      </w:pPr>
      <w:r>
        <w:rPr>
          <w:rFonts w:hint="eastAsia" w:ascii="Cambria" w:hAnsi="Cambria" w:cs="黑体"/>
          <w:b/>
          <w:bCs/>
          <w:sz w:val="24"/>
          <w:szCs w:val="24"/>
        </w:rPr>
        <w:t>注：</w:t>
      </w:r>
      <w:r>
        <w:rPr>
          <w:rFonts w:hint="eastAsia"/>
          <w:b/>
          <w:color w:val="000000"/>
          <w:sz w:val="24"/>
          <w:szCs w:val="24"/>
          <w:lang w:val="zh-CN"/>
        </w:rPr>
        <w:t>按实际检定数量发生的检定</w:t>
      </w:r>
      <w:r>
        <w:rPr>
          <w:rFonts w:hint="eastAsia"/>
          <w:b/>
          <w:color w:val="000000"/>
          <w:sz w:val="24"/>
          <w:szCs w:val="24"/>
          <w:lang w:val="en-US" w:eastAsia="zh-CN"/>
        </w:rPr>
        <w:t>费用</w:t>
      </w:r>
      <w:r>
        <w:rPr>
          <w:rFonts w:hint="eastAsia"/>
          <w:b/>
          <w:color w:val="000000"/>
          <w:sz w:val="24"/>
          <w:szCs w:val="24"/>
          <w:lang w:val="zh-CN"/>
        </w:rPr>
        <w:t>进行核算、支付，累计一年支付金额不超过</w:t>
      </w:r>
      <w:r>
        <w:rPr>
          <w:rFonts w:hint="eastAsia"/>
          <w:b/>
          <w:color w:val="000000"/>
          <w:sz w:val="24"/>
          <w:szCs w:val="24"/>
          <w:lang w:val="en-US" w:eastAsia="zh-CN"/>
        </w:rPr>
        <w:t>总价</w:t>
      </w:r>
      <w:bookmarkStart w:id="514" w:name="_GoBack"/>
      <w:bookmarkEnd w:id="514"/>
      <w:r>
        <w:rPr>
          <w:rFonts w:hint="eastAsia"/>
          <w:b/>
          <w:color w:val="000000"/>
          <w:sz w:val="24"/>
          <w:szCs w:val="24"/>
          <w:lang w:val="en-US" w:eastAsia="zh-CN"/>
        </w:rPr>
        <w:t>最高限价</w:t>
      </w:r>
      <w:r>
        <w:rPr>
          <w:rFonts w:hint="eastAsia"/>
          <w:b/>
          <w:color w:val="000000"/>
          <w:sz w:val="24"/>
          <w:szCs w:val="24"/>
          <w:lang w:val="zh-CN"/>
        </w:rPr>
        <w:t>。</w:t>
      </w:r>
      <w:r>
        <w:rPr>
          <w:rFonts w:hint="eastAsia"/>
          <w:b/>
          <w:color w:val="000000"/>
          <w:sz w:val="24"/>
          <w:szCs w:val="24"/>
          <w:lang w:val="en-US" w:eastAsia="zh-CN"/>
        </w:rPr>
        <w:t>本项目两标段可重复中标。</w:t>
      </w:r>
    </w:p>
    <w:p w14:paraId="62977FF6">
      <w:pPr>
        <w:keepNext/>
        <w:keepLines/>
        <w:spacing w:before="260" w:after="260" w:line="416" w:lineRule="auto"/>
        <w:jc w:val="center"/>
        <w:outlineLvl w:val="1"/>
        <w:rPr>
          <w:rFonts w:ascii="Cambria" w:hAnsi="Cambria" w:cs="黑体"/>
          <w:b/>
          <w:bCs/>
          <w:sz w:val="24"/>
          <w:szCs w:val="24"/>
        </w:rPr>
      </w:pPr>
      <w:r>
        <w:rPr>
          <w:rFonts w:hint="eastAsia" w:ascii="Cambria" w:hAnsi="Cambria" w:cs="黑体"/>
          <w:b/>
          <w:bCs/>
          <w:sz w:val="24"/>
          <w:szCs w:val="24"/>
        </w:rPr>
        <w:t>（二）招标需求</w:t>
      </w:r>
    </w:p>
    <w:p w14:paraId="4AEDA97D">
      <w:pPr>
        <w:widowControl/>
        <w:wordWrap w:val="0"/>
        <w:topLinePunct/>
        <w:adjustRightInd w:val="0"/>
        <w:spacing w:line="440" w:lineRule="exact"/>
        <w:ind w:firstLine="482" w:firstLineChars="200"/>
        <w:textAlignment w:val="baseline"/>
        <w:rPr>
          <w:rFonts w:hint="eastAsia" w:eastAsia="宋体"/>
          <w:b/>
          <w:color w:val="auto"/>
          <w:sz w:val="24"/>
          <w:szCs w:val="24"/>
          <w:highlight w:val="none"/>
        </w:rPr>
      </w:pPr>
      <w:r>
        <w:rPr>
          <w:rFonts w:hint="eastAsia" w:eastAsia="宋体"/>
          <w:b/>
          <w:color w:val="auto"/>
          <w:sz w:val="24"/>
          <w:szCs w:val="24"/>
          <w:highlight w:val="none"/>
        </w:rPr>
        <w:t>一、项目基本情况：</w:t>
      </w:r>
    </w:p>
    <w:p w14:paraId="7B8EE801">
      <w:pPr>
        <w:widowControl/>
        <w:wordWrap w:val="0"/>
        <w:topLinePunct/>
        <w:adjustRightInd w:val="0"/>
        <w:spacing w:line="440" w:lineRule="exact"/>
        <w:ind w:firstLine="480" w:firstLineChars="200"/>
        <w:textAlignment w:val="baseline"/>
        <w:rPr>
          <w:rFonts w:hint="eastAsia"/>
          <w:color w:val="auto"/>
          <w:sz w:val="24"/>
          <w:szCs w:val="24"/>
          <w:highlight w:val="none"/>
        </w:rPr>
      </w:pPr>
      <w:r>
        <w:rPr>
          <w:rFonts w:hint="eastAsia"/>
          <w:color w:val="000000"/>
          <w:sz w:val="24"/>
          <w:szCs w:val="24"/>
          <w:lang w:val="zh-CN"/>
        </w:rPr>
        <w:t>为进一步加强和规范我县</w:t>
      </w:r>
      <w:r>
        <w:rPr>
          <w:rFonts w:hint="eastAsia"/>
          <w:sz w:val="24"/>
          <w:szCs w:val="24"/>
        </w:rPr>
        <w:t>电动汽车充电桩和多参数监护仪</w:t>
      </w:r>
      <w:r>
        <w:rPr>
          <w:rFonts w:hint="eastAsia"/>
          <w:color w:val="auto"/>
          <w:sz w:val="24"/>
          <w:szCs w:val="24"/>
          <w:highlight w:val="none"/>
        </w:rPr>
        <w:t>强制检定服务采购项目</w:t>
      </w:r>
      <w:r>
        <w:rPr>
          <w:rFonts w:hint="eastAsia"/>
          <w:color w:val="auto"/>
          <w:sz w:val="24"/>
          <w:szCs w:val="24"/>
          <w:highlight w:val="none"/>
          <w:lang w:val="zh-CN"/>
        </w:rPr>
        <w:t>，提高检定的有效性和专业性，本项目</w:t>
      </w:r>
      <w:r>
        <w:rPr>
          <w:rFonts w:hint="eastAsia"/>
          <w:color w:val="auto"/>
          <w:sz w:val="24"/>
          <w:szCs w:val="24"/>
          <w:highlight w:val="none"/>
          <w:lang w:val="en-US" w:eastAsia="zh-CN"/>
        </w:rPr>
        <w:t>分为两个标项</w:t>
      </w:r>
      <w:r>
        <w:rPr>
          <w:rFonts w:hint="eastAsia"/>
          <w:color w:val="auto"/>
          <w:sz w:val="24"/>
          <w:szCs w:val="24"/>
          <w:highlight w:val="none"/>
          <w:lang w:val="zh-CN"/>
        </w:rPr>
        <w:t>进行公开招标。为全县的电动汽车充电桩和多参数监护仪提供检定服务，范围为整个桐庐县。截止至</w:t>
      </w:r>
      <w:r>
        <w:rPr>
          <w:rFonts w:hint="eastAsia"/>
          <w:color w:val="auto"/>
          <w:sz w:val="24"/>
          <w:szCs w:val="24"/>
          <w:highlight w:val="none"/>
          <w:lang w:eastAsia="zh-CN"/>
        </w:rPr>
        <w:t xml:space="preserve">2025 </w:t>
      </w:r>
      <w:r>
        <w:rPr>
          <w:rFonts w:hint="eastAsia"/>
          <w:color w:val="auto"/>
          <w:sz w:val="24"/>
          <w:szCs w:val="24"/>
          <w:highlight w:val="none"/>
        </w:rPr>
        <w:t>年4月底</w:t>
      </w:r>
      <w:r>
        <w:rPr>
          <w:rFonts w:hint="eastAsia"/>
          <w:color w:val="auto"/>
          <w:sz w:val="24"/>
          <w:szCs w:val="24"/>
          <w:highlight w:val="none"/>
          <w:lang w:eastAsia="zh-CN"/>
        </w:rPr>
        <w:t>，</w:t>
      </w:r>
      <w:r>
        <w:rPr>
          <w:rFonts w:hint="eastAsia"/>
          <w:color w:val="auto"/>
          <w:sz w:val="24"/>
          <w:szCs w:val="24"/>
          <w:highlight w:val="none"/>
          <w:lang w:val="en-US" w:eastAsia="zh-CN"/>
        </w:rPr>
        <w:t>预计</w:t>
      </w:r>
      <w:r>
        <w:rPr>
          <w:rFonts w:hint="eastAsia"/>
          <w:color w:val="auto"/>
          <w:sz w:val="24"/>
          <w:szCs w:val="24"/>
          <w:highlight w:val="none"/>
          <w:lang w:val="zh-CN"/>
        </w:rPr>
        <w:t>全县</w:t>
      </w:r>
      <w:r>
        <w:rPr>
          <w:rFonts w:hint="eastAsia"/>
          <w:color w:val="auto"/>
          <w:sz w:val="24"/>
          <w:szCs w:val="24"/>
          <w:highlight w:val="none"/>
          <w:lang w:val="en-US" w:eastAsia="zh-CN"/>
        </w:rPr>
        <w:t>新增</w:t>
      </w:r>
      <w:r>
        <w:rPr>
          <w:rFonts w:hint="eastAsia"/>
          <w:color w:val="auto"/>
          <w:sz w:val="24"/>
          <w:szCs w:val="24"/>
          <w:highlight w:val="none"/>
          <w:lang w:val="zh-CN"/>
        </w:rPr>
        <w:t>电动汽车充电</w:t>
      </w:r>
      <w:r>
        <w:rPr>
          <w:rFonts w:hint="eastAsia"/>
          <w:color w:val="auto"/>
          <w:sz w:val="24"/>
          <w:szCs w:val="24"/>
          <w:highlight w:val="none"/>
          <w:shd w:val="clear" w:color="auto" w:fill="auto"/>
          <w:lang w:val="en-US" w:eastAsia="zh-CN"/>
        </w:rPr>
        <w:t>约500</w:t>
      </w:r>
      <w:r>
        <w:rPr>
          <w:rFonts w:hint="eastAsia"/>
          <w:color w:val="auto"/>
          <w:sz w:val="24"/>
          <w:szCs w:val="24"/>
          <w:highlight w:val="none"/>
          <w:shd w:val="clear" w:color="auto" w:fill="auto"/>
          <w:lang w:val="zh-CN"/>
        </w:rPr>
        <w:t xml:space="preserve"> 枪、多参数监护仪</w:t>
      </w:r>
      <w:r>
        <w:rPr>
          <w:rFonts w:hint="eastAsia"/>
          <w:color w:val="auto"/>
          <w:sz w:val="24"/>
          <w:szCs w:val="24"/>
          <w:highlight w:val="none"/>
          <w:shd w:val="clear" w:color="auto" w:fill="auto"/>
          <w:lang w:val="en-US" w:eastAsia="zh-CN"/>
        </w:rPr>
        <w:t>约816</w:t>
      </w:r>
      <w:r>
        <w:rPr>
          <w:rFonts w:hint="eastAsia"/>
          <w:color w:val="auto"/>
          <w:sz w:val="24"/>
          <w:szCs w:val="24"/>
          <w:highlight w:val="none"/>
          <w:shd w:val="clear" w:color="auto" w:fill="auto"/>
          <w:lang w:val="zh-CN"/>
        </w:rPr>
        <w:t>台</w:t>
      </w:r>
      <w:r>
        <w:rPr>
          <w:rFonts w:hint="eastAsia"/>
          <w:color w:val="auto"/>
          <w:sz w:val="24"/>
          <w:szCs w:val="24"/>
          <w:highlight w:val="none"/>
          <w:shd w:val="clear" w:color="auto" w:fill="auto"/>
        </w:rPr>
        <w:t>（为预估数量）预算70万元，各投标单位需按实际检定数量结算。</w:t>
      </w:r>
    </w:p>
    <w:p w14:paraId="55A70B92">
      <w:pPr>
        <w:widowControl/>
        <w:wordWrap w:val="0"/>
        <w:topLinePunct/>
        <w:adjustRightInd w:val="0"/>
        <w:spacing w:line="440" w:lineRule="exact"/>
        <w:ind w:firstLine="482" w:firstLineChars="200"/>
        <w:textAlignment w:val="baseline"/>
        <w:rPr>
          <w:b/>
          <w:color w:val="auto"/>
          <w:sz w:val="24"/>
          <w:szCs w:val="24"/>
          <w:highlight w:val="none"/>
        </w:rPr>
      </w:pPr>
      <w:r>
        <w:rPr>
          <w:rFonts w:hint="eastAsia"/>
          <w:b/>
          <w:color w:val="auto"/>
          <w:sz w:val="24"/>
          <w:szCs w:val="24"/>
          <w:highlight w:val="none"/>
        </w:rPr>
        <w:t>二、项目要求</w:t>
      </w:r>
    </w:p>
    <w:p w14:paraId="7C8A2E94">
      <w:pPr>
        <w:autoSpaceDE w:val="0"/>
        <w:autoSpaceDN w:val="0"/>
        <w:spacing w:line="360" w:lineRule="auto"/>
        <w:ind w:firstLine="480" w:firstLineChars="200"/>
        <w:rPr>
          <w:rFonts w:hint="eastAsia"/>
          <w:color w:val="FF0000"/>
          <w:sz w:val="24"/>
          <w:szCs w:val="24"/>
          <w:highlight w:val="none"/>
          <w:shd w:val="clear" w:color="FFFFFF" w:fill="D9D9D9"/>
          <w:lang w:val="en-US" w:eastAsia="zh-CN"/>
        </w:rPr>
      </w:pPr>
      <w:r>
        <w:rPr>
          <w:rFonts w:hint="eastAsia"/>
          <w:color w:val="auto"/>
          <w:sz w:val="24"/>
          <w:szCs w:val="24"/>
          <w:highlight w:val="none"/>
          <w:lang w:val="zh-CN"/>
        </w:rPr>
        <w:t>单位须</w:t>
      </w:r>
      <w:r>
        <w:rPr>
          <w:rFonts w:hint="eastAsia"/>
          <w:color w:val="auto"/>
          <w:sz w:val="24"/>
          <w:szCs w:val="24"/>
          <w:highlight w:val="none"/>
        </w:rPr>
        <w:t>是法定计量检定机构或经市场监督管理部门授权的承担法定计量检定任务的第三方计量机构</w:t>
      </w:r>
      <w:r>
        <w:rPr>
          <w:rFonts w:hint="eastAsia"/>
          <w:color w:val="auto"/>
          <w:sz w:val="24"/>
          <w:szCs w:val="24"/>
          <w:highlight w:val="none"/>
          <w:lang w:val="zh-CN"/>
        </w:rPr>
        <w:t>。</w:t>
      </w:r>
      <w:r>
        <w:rPr>
          <w:rFonts w:hint="eastAsia" w:ascii="宋体" w:hAnsi="宋体" w:cs="宋体"/>
          <w:bCs/>
          <w:color w:val="auto"/>
          <w:sz w:val="24"/>
          <w:highlight w:val="none"/>
        </w:rPr>
        <w:t>根据《中华人民共和国计量法》第十条：计量检定必须执行计量检定规程。</w:t>
      </w:r>
      <w:r>
        <w:rPr>
          <w:rFonts w:hint="eastAsia"/>
          <w:color w:val="auto"/>
          <w:sz w:val="24"/>
          <w:szCs w:val="24"/>
          <w:highlight w:val="none"/>
          <w:lang w:val="zh-CN"/>
        </w:rPr>
        <w:t>严格依据法律、法规、规章和技术规范开展强制检定工作。严格按照检定规程开展检定工作，保留原始记录不少于两个检定周期，且采取措施确保修改留痕，并对强检合格的出具检定合格证书，对检定不合格的出具检定结果通知书。对于申请强制检定的须在规定时间内完成现场检定，并建立详细的强制检定台账备查。</w:t>
      </w:r>
      <w:r>
        <w:rPr>
          <w:rFonts w:hint="eastAsia"/>
          <w:color w:val="FF0000"/>
          <w:sz w:val="24"/>
          <w:szCs w:val="24"/>
          <w:highlight w:val="none"/>
          <w:shd w:val="clear" w:color="FFFFFF" w:fill="D9D9D9"/>
          <w:lang w:val="en-US" w:eastAsia="zh-CN"/>
        </w:rPr>
        <w:t>相关</w:t>
      </w:r>
      <w:r>
        <w:rPr>
          <w:rFonts w:hint="eastAsia"/>
          <w:color w:val="FF0000"/>
          <w:sz w:val="24"/>
          <w:szCs w:val="24"/>
          <w:highlight w:val="none"/>
          <w:shd w:val="clear" w:color="FFFFFF" w:fill="D9D9D9"/>
          <w:lang w:val="zh-CN"/>
        </w:rPr>
        <w:t>原始记录</w:t>
      </w:r>
      <w:r>
        <w:rPr>
          <w:rFonts w:hint="eastAsia"/>
          <w:color w:val="FF0000"/>
          <w:sz w:val="24"/>
          <w:szCs w:val="24"/>
          <w:highlight w:val="none"/>
          <w:shd w:val="clear" w:color="FFFFFF" w:fill="D9D9D9"/>
          <w:lang w:val="en-US" w:eastAsia="zh-CN"/>
        </w:rPr>
        <w:t>及其他凭证需形成书面服务报告，按月提交给业主单位留档保存。</w:t>
      </w:r>
    </w:p>
    <w:p w14:paraId="2BB57AC8">
      <w:pPr>
        <w:widowControl/>
        <w:numPr>
          <w:ilvl w:val="0"/>
          <w:numId w:val="1"/>
        </w:numPr>
        <w:wordWrap w:val="0"/>
        <w:topLinePunct/>
        <w:adjustRightInd w:val="0"/>
        <w:spacing w:line="400" w:lineRule="exact"/>
        <w:ind w:firstLine="482" w:firstLineChars="200"/>
        <w:textAlignment w:val="baseline"/>
        <w:rPr>
          <w:rFonts w:hint="eastAsia"/>
          <w:b/>
          <w:color w:val="auto"/>
          <w:sz w:val="24"/>
          <w:szCs w:val="24"/>
          <w:highlight w:val="none"/>
        </w:rPr>
      </w:pPr>
      <w:r>
        <w:rPr>
          <w:rFonts w:hint="eastAsia"/>
          <w:b/>
          <w:color w:val="auto"/>
          <w:sz w:val="24"/>
          <w:szCs w:val="24"/>
          <w:highlight w:val="none"/>
        </w:rPr>
        <w:t>项目周期</w:t>
      </w:r>
    </w:p>
    <w:p w14:paraId="0CE0B143">
      <w:pPr>
        <w:widowControl/>
        <w:spacing w:line="400" w:lineRule="exact"/>
        <w:ind w:firstLine="480" w:firstLineChars="200"/>
        <w:rPr>
          <w:color w:val="auto"/>
          <w:sz w:val="24"/>
          <w:szCs w:val="24"/>
          <w:highlight w:val="none"/>
        </w:rPr>
      </w:pPr>
      <w:r>
        <w:rPr>
          <w:rFonts w:hint="eastAsia"/>
          <w:color w:val="auto"/>
          <w:sz w:val="24"/>
          <w:szCs w:val="24"/>
          <w:highlight w:val="none"/>
        </w:rPr>
        <w:t>（1）</w:t>
      </w:r>
      <w:r>
        <w:rPr>
          <w:rFonts w:hint="eastAsia"/>
          <w:bCs/>
          <w:color w:val="auto"/>
          <w:sz w:val="24"/>
          <w:szCs w:val="24"/>
          <w:highlight w:val="none"/>
        </w:rPr>
        <w:t>本项目服务期限为合同签订之日起至</w:t>
      </w:r>
      <w:r>
        <w:rPr>
          <w:rFonts w:hint="eastAsia"/>
          <w:bCs/>
          <w:color w:val="auto"/>
          <w:sz w:val="24"/>
          <w:szCs w:val="24"/>
          <w:highlight w:val="none"/>
          <w:lang w:eastAsia="zh-CN"/>
        </w:rPr>
        <w:t xml:space="preserve">2025 </w:t>
      </w:r>
      <w:r>
        <w:rPr>
          <w:rFonts w:hint="eastAsia"/>
          <w:bCs/>
          <w:color w:val="auto"/>
          <w:sz w:val="24"/>
          <w:szCs w:val="24"/>
          <w:highlight w:val="none"/>
        </w:rPr>
        <w:t>年12月</w:t>
      </w:r>
      <w:r>
        <w:rPr>
          <w:rFonts w:hint="eastAsia"/>
          <w:bCs/>
          <w:color w:val="auto"/>
          <w:sz w:val="24"/>
          <w:szCs w:val="24"/>
          <w:highlight w:val="none"/>
          <w:lang w:val="en-US" w:eastAsia="zh-CN"/>
        </w:rPr>
        <w:t>20</w:t>
      </w:r>
      <w:r>
        <w:rPr>
          <w:rFonts w:hint="eastAsia"/>
          <w:bCs/>
          <w:color w:val="auto"/>
          <w:sz w:val="24"/>
          <w:szCs w:val="24"/>
          <w:highlight w:val="none"/>
        </w:rPr>
        <w:t>日。</w:t>
      </w:r>
    </w:p>
    <w:p w14:paraId="22D7C169">
      <w:pPr>
        <w:spacing w:line="400" w:lineRule="exact"/>
        <w:ind w:firstLine="480" w:firstLineChars="200"/>
        <w:rPr>
          <w:color w:val="auto"/>
          <w:sz w:val="24"/>
          <w:szCs w:val="24"/>
          <w:highlight w:val="none"/>
        </w:rPr>
      </w:pPr>
      <w:r>
        <w:rPr>
          <w:rFonts w:hint="eastAsia"/>
          <w:color w:val="auto"/>
          <w:sz w:val="24"/>
          <w:szCs w:val="24"/>
          <w:highlight w:val="none"/>
        </w:rPr>
        <w:t>（2）如中标人在服务期内违反合同约定，采购单位有权提前终止合同。</w:t>
      </w:r>
    </w:p>
    <w:p w14:paraId="478B892E">
      <w:pPr>
        <w:spacing w:line="400" w:lineRule="exact"/>
        <w:rPr>
          <w:b/>
          <w:bCs/>
          <w:color w:val="auto"/>
          <w:sz w:val="24"/>
          <w:szCs w:val="24"/>
          <w:highlight w:val="none"/>
        </w:rPr>
      </w:pPr>
      <w:r>
        <w:rPr>
          <w:rFonts w:hint="eastAsia" w:cs="楷体"/>
          <w:b/>
          <w:bCs/>
          <w:color w:val="auto"/>
          <w:sz w:val="24"/>
          <w:szCs w:val="24"/>
          <w:highlight w:val="none"/>
        </w:rPr>
        <w:t xml:space="preserve">  </w:t>
      </w:r>
      <w:r>
        <w:rPr>
          <w:rFonts w:hint="eastAsia" w:cs="楷体"/>
          <w:b/>
          <w:bCs/>
          <w:color w:val="auto"/>
          <w:sz w:val="24"/>
          <w:szCs w:val="24"/>
          <w:highlight w:val="none"/>
          <w:lang w:val="en-US" w:eastAsia="zh-CN"/>
        </w:rPr>
        <w:t xml:space="preserve"> </w:t>
      </w:r>
      <w:r>
        <w:rPr>
          <w:rFonts w:hint="eastAsia" w:cs="楷体"/>
          <w:b/>
          <w:bCs/>
          <w:color w:val="auto"/>
          <w:sz w:val="24"/>
          <w:szCs w:val="24"/>
          <w:highlight w:val="none"/>
        </w:rPr>
        <w:t>四、</w:t>
      </w:r>
      <w:r>
        <w:rPr>
          <w:rFonts w:hint="eastAsia"/>
          <w:b/>
          <w:bCs/>
          <w:color w:val="auto"/>
          <w:sz w:val="24"/>
          <w:szCs w:val="24"/>
          <w:highlight w:val="none"/>
        </w:rPr>
        <w:t>对服务团队人员要求：</w:t>
      </w:r>
    </w:p>
    <w:p w14:paraId="58D5CAF8">
      <w:pPr>
        <w:spacing w:line="400" w:lineRule="exact"/>
        <w:ind w:firstLine="480" w:firstLineChars="200"/>
        <w:rPr>
          <w:bCs/>
          <w:color w:val="auto"/>
          <w:sz w:val="24"/>
          <w:szCs w:val="24"/>
          <w:highlight w:val="none"/>
        </w:rPr>
      </w:pPr>
      <w:r>
        <w:rPr>
          <w:rFonts w:hint="eastAsia"/>
          <w:bCs/>
          <w:color w:val="auto"/>
          <w:sz w:val="24"/>
          <w:szCs w:val="24"/>
          <w:highlight w:val="none"/>
          <w:lang w:val="en-US" w:eastAsia="zh-CN"/>
        </w:rPr>
        <w:t>每个标项均</w:t>
      </w:r>
      <w:r>
        <w:rPr>
          <w:rFonts w:hint="eastAsia"/>
          <w:bCs/>
          <w:color w:val="auto"/>
          <w:sz w:val="24"/>
          <w:szCs w:val="24"/>
          <w:highlight w:val="none"/>
        </w:rPr>
        <w:t>需配备2名及以上计量检定人员，人员经验丰富、执行力强、岗位职责清晰。</w:t>
      </w:r>
    </w:p>
    <w:p w14:paraId="1DF684AC">
      <w:pPr>
        <w:numPr>
          <w:ilvl w:val="0"/>
          <w:numId w:val="2"/>
        </w:numPr>
        <w:spacing w:line="400" w:lineRule="exact"/>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rPr>
        <w:t>管理要求：</w:t>
      </w:r>
    </w:p>
    <w:p w14:paraId="56C5EBB9">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中标人应接受桐庐县市场监督管理局的各项规定，切实享受各项权利，严格履行承诺的义务，为</w:t>
      </w:r>
      <w:r>
        <w:rPr>
          <w:rFonts w:hint="eastAsia" w:ascii="宋体" w:hAnsi="宋体" w:cs="Arial"/>
          <w:bCs/>
          <w:color w:val="auto"/>
          <w:sz w:val="24"/>
          <w:szCs w:val="24"/>
          <w:highlight w:val="none"/>
        </w:rPr>
        <w:t>桐庐县电动汽车充电桩和多参数监护仪项目</w:t>
      </w:r>
      <w:r>
        <w:rPr>
          <w:rFonts w:hint="eastAsia" w:ascii="宋体" w:hAnsi="宋体"/>
          <w:color w:val="auto"/>
          <w:sz w:val="24"/>
          <w:szCs w:val="24"/>
          <w:highlight w:val="none"/>
        </w:rPr>
        <w:t>做好服务，并接受以下各项管理要求：</w:t>
      </w:r>
    </w:p>
    <w:p w14:paraId="42363C10">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（1）中标单位确定后，由采购人与中标人就</w:t>
      </w:r>
      <w:r>
        <w:rPr>
          <w:rFonts w:hint="eastAsia" w:ascii="宋体" w:hAnsi="宋体" w:cs="Arial"/>
          <w:bCs/>
          <w:color w:val="auto"/>
          <w:sz w:val="24"/>
          <w:szCs w:val="24"/>
          <w:highlight w:val="none"/>
        </w:rPr>
        <w:t>桐庐县市场监督管理局电动汽车充电桩</w:t>
      </w:r>
      <w:r>
        <w:rPr>
          <w:rFonts w:hint="eastAsia" w:ascii="宋体" w:hAnsi="宋体" w:cs="Arial"/>
          <w:bCs/>
          <w:color w:val="auto"/>
          <w:sz w:val="24"/>
          <w:szCs w:val="24"/>
          <w:highlight w:val="none"/>
          <w:lang w:val="en-US" w:eastAsia="zh-CN"/>
        </w:rPr>
        <w:t>或</w:t>
      </w:r>
      <w:r>
        <w:rPr>
          <w:rFonts w:hint="eastAsia" w:ascii="宋体" w:hAnsi="宋体" w:cs="Arial"/>
          <w:bCs/>
          <w:color w:val="auto"/>
          <w:sz w:val="24"/>
          <w:szCs w:val="24"/>
          <w:highlight w:val="none"/>
        </w:rPr>
        <w:t>多参数监护仪强制检定服务采购项目</w:t>
      </w:r>
      <w:r>
        <w:rPr>
          <w:rFonts w:hint="eastAsia" w:ascii="宋体" w:hAnsi="宋体"/>
          <w:color w:val="auto"/>
          <w:sz w:val="24"/>
          <w:szCs w:val="24"/>
          <w:highlight w:val="none"/>
        </w:rPr>
        <w:t>签订</w:t>
      </w:r>
      <w:r>
        <w:rPr>
          <w:rFonts w:hint="eastAsia" w:ascii="宋体" w:hAnsi="宋体"/>
          <w:color w:val="auto"/>
          <w:sz w:val="24"/>
          <w:szCs w:val="24"/>
          <w:highlight w:val="none"/>
          <w:lang w:val="en-US" w:eastAsia="zh-CN"/>
        </w:rPr>
        <w:t>合同</w:t>
      </w:r>
      <w:r>
        <w:rPr>
          <w:rFonts w:hint="eastAsia" w:ascii="宋体" w:hAnsi="宋体"/>
          <w:color w:val="auto"/>
          <w:sz w:val="24"/>
          <w:szCs w:val="24"/>
          <w:highlight w:val="none"/>
        </w:rPr>
        <w:t>（详见后附）。</w:t>
      </w:r>
    </w:p>
    <w:p w14:paraId="56294EF1">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（2）中标人在遵守统一服务承诺，做好各项服务工作，认真履行义务。</w:t>
      </w:r>
    </w:p>
    <w:p w14:paraId="2D34A71B">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（3）在服务期内，中标人必须接受桐庐县市场监督管理局、监管部门及相关部门的管理。 </w:t>
      </w:r>
    </w:p>
    <w:p w14:paraId="096E7B55">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（4）业务建档制度：中标人须针对</w:t>
      </w:r>
      <w:r>
        <w:rPr>
          <w:rFonts w:hint="eastAsia" w:ascii="宋体" w:hAnsi="宋体" w:cs="Arial"/>
          <w:bCs/>
          <w:color w:val="auto"/>
          <w:sz w:val="24"/>
          <w:szCs w:val="24"/>
          <w:highlight w:val="none"/>
        </w:rPr>
        <w:t>桐庐县市场监督管理局电动汽车充电桩</w:t>
      </w:r>
      <w:r>
        <w:rPr>
          <w:rFonts w:hint="eastAsia" w:ascii="宋体" w:hAnsi="宋体" w:cs="Arial"/>
          <w:bCs/>
          <w:color w:val="auto"/>
          <w:sz w:val="24"/>
          <w:szCs w:val="24"/>
          <w:highlight w:val="none"/>
          <w:lang w:val="en-US" w:eastAsia="zh-CN"/>
        </w:rPr>
        <w:t>或</w:t>
      </w:r>
      <w:r>
        <w:rPr>
          <w:rFonts w:hint="eastAsia" w:ascii="宋体" w:hAnsi="宋体" w:cs="Arial"/>
          <w:bCs/>
          <w:color w:val="auto"/>
          <w:sz w:val="24"/>
          <w:szCs w:val="24"/>
          <w:highlight w:val="none"/>
        </w:rPr>
        <w:t>多参数监护仪强制检定服务采购项目</w:t>
      </w:r>
      <w:r>
        <w:rPr>
          <w:rFonts w:hint="eastAsia" w:ascii="宋体" w:hAnsi="宋体"/>
          <w:color w:val="auto"/>
          <w:sz w:val="24"/>
          <w:szCs w:val="24"/>
          <w:highlight w:val="none"/>
        </w:rPr>
        <w:t>建立单独的业务档案资料，并按规定进行备案。</w:t>
      </w:r>
    </w:p>
    <w:p w14:paraId="171E2E3A">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（5）投诉制度：桐庐县市场监督管理局及监管部门有权对检测机构监督投诉。</w:t>
      </w:r>
    </w:p>
    <w:p w14:paraId="4639A3C1">
      <w:pPr>
        <w:spacing w:line="400" w:lineRule="exact"/>
        <w:ind w:firstLine="480" w:firstLineChars="200"/>
        <w:rPr>
          <w:rFonts w:ascii="宋体" w:hAnsi="宋体"/>
          <w:b/>
          <w:color w:val="auto"/>
          <w:sz w:val="24"/>
          <w:szCs w:val="24"/>
          <w:highlight w:val="none"/>
          <w:shd w:val="clear" w:color="FFFFFF" w:fill="D9D9D9"/>
        </w:rPr>
      </w:pPr>
      <w:r>
        <w:rPr>
          <w:rFonts w:hint="eastAsia" w:ascii="宋体" w:hAnsi="宋体"/>
          <w:color w:val="auto"/>
          <w:sz w:val="24"/>
          <w:szCs w:val="24"/>
          <w:highlight w:val="none"/>
        </w:rPr>
        <w:t>（6）违规处理：招标人可在中标人接收委托期间对检测机构是否规范操作进行监督检查，如发现违规事件，第一次口头警告；第二次书面警告；第三次取消资格。</w:t>
      </w:r>
    </w:p>
    <w:p w14:paraId="50BA2648">
      <w:pPr>
        <w:widowControl/>
        <w:wordWrap w:val="0"/>
        <w:topLinePunct/>
        <w:adjustRightInd w:val="0"/>
        <w:spacing w:line="400" w:lineRule="exact"/>
        <w:ind w:firstLine="482" w:firstLineChars="200"/>
        <w:textAlignment w:val="baseline"/>
        <w:rPr>
          <w:b/>
          <w:color w:val="auto"/>
          <w:sz w:val="24"/>
          <w:szCs w:val="24"/>
          <w:highlight w:val="none"/>
        </w:rPr>
      </w:pPr>
      <w:r>
        <w:rPr>
          <w:rFonts w:hint="eastAsia"/>
          <w:b/>
          <w:color w:val="auto"/>
          <w:sz w:val="24"/>
          <w:szCs w:val="24"/>
          <w:highlight w:val="none"/>
        </w:rPr>
        <w:t>六、服务期限</w:t>
      </w:r>
    </w:p>
    <w:p w14:paraId="5738E68E">
      <w:pPr>
        <w:widowControl/>
        <w:wordWrap w:val="0"/>
        <w:topLinePunct/>
        <w:adjustRightInd w:val="0"/>
        <w:spacing w:line="360" w:lineRule="auto"/>
        <w:ind w:firstLine="480" w:firstLineChars="200"/>
        <w:textAlignment w:val="baseline"/>
        <w:rPr>
          <w:bCs/>
          <w:color w:val="auto"/>
          <w:sz w:val="24"/>
          <w:szCs w:val="24"/>
          <w:highlight w:val="none"/>
        </w:rPr>
      </w:pPr>
      <w:r>
        <w:rPr>
          <w:bCs/>
          <w:color w:val="auto"/>
          <w:sz w:val="24"/>
          <w:szCs w:val="24"/>
          <w:highlight w:val="none"/>
        </w:rPr>
        <w:t>1.</w:t>
      </w:r>
      <w:r>
        <w:rPr>
          <w:rFonts w:hint="eastAsia"/>
          <w:bCs/>
          <w:color w:val="auto"/>
          <w:sz w:val="24"/>
          <w:szCs w:val="24"/>
          <w:highlight w:val="none"/>
        </w:rPr>
        <w:t>本项目服务期限为合同签订之日起至</w:t>
      </w:r>
      <w:r>
        <w:rPr>
          <w:rFonts w:hint="eastAsia"/>
          <w:bCs/>
          <w:color w:val="auto"/>
          <w:sz w:val="24"/>
          <w:szCs w:val="24"/>
          <w:highlight w:val="none"/>
          <w:lang w:eastAsia="zh-CN"/>
        </w:rPr>
        <w:t xml:space="preserve">2025 </w:t>
      </w:r>
      <w:r>
        <w:rPr>
          <w:rFonts w:hint="eastAsia"/>
          <w:bCs/>
          <w:color w:val="auto"/>
          <w:sz w:val="24"/>
          <w:szCs w:val="24"/>
          <w:highlight w:val="none"/>
        </w:rPr>
        <w:t>年12月10日。</w:t>
      </w:r>
    </w:p>
    <w:p w14:paraId="3BD9662A">
      <w:pPr>
        <w:widowControl/>
        <w:wordWrap w:val="0"/>
        <w:topLinePunct/>
        <w:adjustRightInd w:val="0"/>
        <w:spacing w:line="360" w:lineRule="auto"/>
        <w:ind w:firstLine="480" w:firstLineChars="200"/>
        <w:textAlignment w:val="baseline"/>
        <w:rPr>
          <w:bCs/>
          <w:color w:val="auto"/>
          <w:spacing w:val="-5"/>
          <w:sz w:val="24"/>
          <w:szCs w:val="24"/>
          <w:highlight w:val="none"/>
        </w:rPr>
      </w:pPr>
      <w:r>
        <w:rPr>
          <w:bCs/>
          <w:color w:val="auto"/>
          <w:sz w:val="24"/>
          <w:szCs w:val="24"/>
          <w:highlight w:val="none"/>
        </w:rPr>
        <w:t>2.</w:t>
      </w:r>
      <w:r>
        <w:rPr>
          <w:bCs/>
          <w:color w:val="auto"/>
          <w:spacing w:val="-5"/>
          <w:sz w:val="24"/>
          <w:szCs w:val="24"/>
          <w:highlight w:val="none"/>
        </w:rPr>
        <w:t>如中标人在服务期内违反合同约定，经考核不合格，采购单位有权提前终止合同。</w:t>
      </w:r>
    </w:p>
    <w:p w14:paraId="3116E7F3">
      <w:pPr>
        <w:widowControl/>
        <w:wordWrap w:val="0"/>
        <w:topLinePunct/>
        <w:adjustRightInd w:val="0"/>
        <w:spacing w:line="400" w:lineRule="exact"/>
        <w:ind w:firstLine="482" w:firstLineChars="200"/>
        <w:textAlignment w:val="baseline"/>
        <w:rPr>
          <w:b/>
          <w:color w:val="auto"/>
          <w:sz w:val="24"/>
          <w:szCs w:val="24"/>
          <w:highlight w:val="none"/>
        </w:rPr>
      </w:pPr>
      <w:r>
        <w:rPr>
          <w:rFonts w:hint="eastAsia"/>
          <w:b/>
          <w:color w:val="auto"/>
          <w:sz w:val="24"/>
          <w:szCs w:val="24"/>
          <w:highlight w:val="none"/>
        </w:rPr>
        <w:t>七、付款方式</w:t>
      </w:r>
    </w:p>
    <w:p w14:paraId="314D35BD">
      <w:pPr>
        <w:widowControl/>
        <w:wordWrap w:val="0"/>
        <w:topLinePunct/>
        <w:adjustRightInd w:val="0"/>
        <w:spacing w:line="400" w:lineRule="exact"/>
        <w:ind w:firstLine="480" w:firstLineChars="200"/>
        <w:textAlignment w:val="baseline"/>
        <w:rPr>
          <w:rFonts w:hint="eastAsia"/>
          <w:color w:val="auto"/>
          <w:sz w:val="24"/>
          <w:szCs w:val="24"/>
        </w:rPr>
      </w:pPr>
      <w:r>
        <w:rPr>
          <w:rFonts w:hint="eastAsia" w:ascii="宋体" w:hAnsi="宋体"/>
          <w:color w:val="auto"/>
          <w:sz w:val="24"/>
          <w:szCs w:val="24"/>
          <w:highlight w:val="none"/>
        </w:rPr>
        <w:t>合同签订之日起7个工作日内，采购人向中标人支付合同金额的60%作为预付款，</w:t>
      </w:r>
      <w:r>
        <w:rPr>
          <w:rFonts w:hint="eastAsia" w:ascii="宋体" w:hAnsi="宋体"/>
          <w:color w:val="auto"/>
          <w:sz w:val="24"/>
          <w:szCs w:val="24"/>
          <w:highlight w:val="none"/>
          <w:lang w:val="en-US" w:eastAsia="zh-CN"/>
        </w:rPr>
        <w:t>中标人按期全面履行合同义务，验收符合合同约定的，经结算后十日内付清，</w:t>
      </w:r>
      <w:r>
        <w:rPr>
          <w:rFonts w:hint="eastAsia" w:ascii="宋体" w:hAnsi="宋体"/>
          <w:color w:val="auto"/>
          <w:sz w:val="24"/>
          <w:szCs w:val="24"/>
          <w:highlight w:val="none"/>
        </w:rPr>
        <w:t>合同到期前按实际发生的检测数量和价格进行核算、支付。注：在签订合同时，供应商明确表示无需预付款或者主动要求降低预付款比例的，采购单位可不适用前述规定。</w:t>
      </w:r>
    </w:p>
    <w:p w14:paraId="31C6009B">
      <w:pPr>
        <w:widowControl/>
        <w:wordWrap w:val="0"/>
        <w:topLinePunct/>
        <w:adjustRightInd w:val="0"/>
        <w:spacing w:line="400" w:lineRule="exact"/>
        <w:ind w:firstLine="482" w:firstLineChars="200"/>
        <w:textAlignment w:val="baseline"/>
        <w:rPr>
          <w:b/>
          <w:color w:val="auto"/>
          <w:sz w:val="24"/>
          <w:szCs w:val="24"/>
          <w:highlight w:val="none"/>
        </w:rPr>
      </w:pPr>
      <w:r>
        <w:rPr>
          <w:rFonts w:hint="eastAsia"/>
          <w:b/>
          <w:color w:val="auto"/>
          <w:sz w:val="24"/>
          <w:szCs w:val="24"/>
          <w:highlight w:val="none"/>
        </w:rPr>
        <w:t>八、履约保证金</w:t>
      </w:r>
    </w:p>
    <w:p w14:paraId="27300209">
      <w:pPr>
        <w:widowControl/>
        <w:wordWrap w:val="0"/>
        <w:topLinePunct/>
        <w:adjustRightInd w:val="0"/>
        <w:spacing w:line="400" w:lineRule="exact"/>
        <w:ind w:firstLine="480" w:firstLineChars="200"/>
        <w:jc w:val="left"/>
        <w:textAlignment w:val="baseline"/>
        <w:rPr>
          <w:sz w:val="24"/>
          <w:szCs w:val="24"/>
        </w:rPr>
      </w:pPr>
      <w:r>
        <w:rPr>
          <w:rFonts w:hint="eastAsia"/>
          <w:sz w:val="24"/>
          <w:szCs w:val="24"/>
        </w:rPr>
        <w:t>本项目无需缴纳履约保证金。</w:t>
      </w:r>
    </w:p>
    <w:p w14:paraId="71262C89">
      <w:pPr>
        <w:widowControl/>
        <w:wordWrap w:val="0"/>
        <w:topLinePunct/>
        <w:adjustRightInd w:val="0"/>
        <w:spacing w:line="400" w:lineRule="exact"/>
        <w:ind w:firstLine="482" w:firstLineChars="200"/>
        <w:textAlignment w:val="baseline"/>
        <w:rPr>
          <w:b/>
          <w:sz w:val="24"/>
          <w:szCs w:val="24"/>
        </w:rPr>
      </w:pPr>
      <w:r>
        <w:rPr>
          <w:rFonts w:hint="eastAsia"/>
          <w:b/>
          <w:sz w:val="24"/>
          <w:szCs w:val="24"/>
        </w:rPr>
        <w:t>九、考核办法</w:t>
      </w:r>
    </w:p>
    <w:p w14:paraId="1F0E6AFA">
      <w:pPr>
        <w:widowControl/>
        <w:wordWrap w:val="0"/>
        <w:topLinePunct/>
        <w:adjustRightInd w:val="0"/>
        <w:spacing w:line="400" w:lineRule="exact"/>
        <w:ind w:firstLine="480" w:firstLineChars="200"/>
        <w:textAlignment w:val="baseline"/>
        <w:rPr>
          <w:b/>
          <w:sz w:val="24"/>
          <w:szCs w:val="24"/>
        </w:rPr>
      </w:pPr>
      <w:r>
        <w:rPr>
          <w:rFonts w:hint="eastAsia" w:ascii="宋体" w:hAnsi="宋体"/>
          <w:sz w:val="24"/>
          <w:szCs w:val="24"/>
        </w:rPr>
        <w:t>具体考核办法以合同为准。</w:t>
      </w:r>
    </w:p>
    <w:p w14:paraId="3311F5D0">
      <w:pPr>
        <w:widowControl/>
        <w:wordWrap w:val="0"/>
        <w:topLinePunct/>
        <w:adjustRightInd w:val="0"/>
        <w:spacing w:line="400" w:lineRule="exact"/>
        <w:ind w:firstLine="482" w:firstLineChars="200"/>
        <w:textAlignment w:val="baseline"/>
        <w:rPr>
          <w:b/>
          <w:sz w:val="24"/>
          <w:szCs w:val="24"/>
        </w:rPr>
      </w:pPr>
      <w:r>
        <w:rPr>
          <w:rFonts w:hint="eastAsia"/>
          <w:b/>
          <w:sz w:val="24"/>
          <w:szCs w:val="24"/>
        </w:rPr>
        <w:t>十、转让和分包</w:t>
      </w:r>
    </w:p>
    <w:p w14:paraId="7C266A8C">
      <w:pPr>
        <w:widowControl/>
        <w:wordWrap w:val="0"/>
        <w:topLinePunct/>
        <w:adjustRightInd w:val="0"/>
        <w:spacing w:line="400" w:lineRule="exact"/>
        <w:ind w:firstLine="480" w:firstLineChars="200"/>
        <w:jc w:val="left"/>
        <w:textAlignment w:val="baseline"/>
        <w:rPr>
          <w:rFonts w:hint="eastAsia"/>
          <w:sz w:val="24"/>
          <w:szCs w:val="24"/>
        </w:rPr>
      </w:pPr>
      <w:r>
        <w:rPr>
          <w:rFonts w:hint="eastAsia"/>
          <w:sz w:val="24"/>
          <w:szCs w:val="24"/>
        </w:rPr>
        <w:t>本项目不得以任何形式进行转包及分包。</w:t>
      </w:r>
    </w:p>
    <w:p w14:paraId="239E76FE">
      <w:pPr>
        <w:widowControl/>
        <w:wordWrap w:val="0"/>
        <w:topLinePunct/>
        <w:adjustRightInd w:val="0"/>
        <w:spacing w:line="400" w:lineRule="exact"/>
        <w:ind w:firstLine="482" w:firstLineChars="200"/>
        <w:textAlignment w:val="baseline"/>
        <w:rPr>
          <w:rFonts w:hint="eastAsia" w:eastAsia="宋体"/>
          <w:b/>
          <w:sz w:val="24"/>
          <w:szCs w:val="24"/>
        </w:rPr>
      </w:pPr>
      <w:r>
        <w:rPr>
          <w:rFonts w:hint="eastAsia" w:eastAsia="宋体"/>
          <w:b/>
          <w:sz w:val="24"/>
          <w:szCs w:val="24"/>
          <w:lang w:val="en-US" w:eastAsia="zh-CN"/>
        </w:rPr>
        <w:t xml:space="preserve">十一、 </w:t>
      </w:r>
      <w:r>
        <w:rPr>
          <w:rFonts w:hint="eastAsia" w:eastAsia="宋体"/>
          <w:b/>
          <w:sz w:val="24"/>
          <w:szCs w:val="24"/>
          <w:lang w:eastAsia="zh-CN"/>
        </w:rPr>
        <w:t>验收</w:t>
      </w:r>
      <w:r>
        <w:rPr>
          <w:rFonts w:hint="eastAsia"/>
          <w:b/>
          <w:sz w:val="24"/>
          <w:szCs w:val="24"/>
          <w:lang w:val="en-US" w:eastAsia="zh-CN"/>
        </w:rPr>
        <w:t>标准和验收程序</w:t>
      </w:r>
    </w:p>
    <w:p w14:paraId="24984527">
      <w:pPr>
        <w:widowControl/>
        <w:wordWrap w:val="0"/>
        <w:topLinePunct/>
        <w:adjustRightInd w:val="0"/>
        <w:spacing w:line="400" w:lineRule="exact"/>
        <w:ind w:firstLine="480" w:firstLineChars="200"/>
        <w:jc w:val="left"/>
        <w:textAlignment w:val="baseline"/>
        <w:rPr>
          <w:rFonts w:hint="eastAsia"/>
          <w:color w:val="auto"/>
          <w:sz w:val="24"/>
          <w:szCs w:val="24"/>
          <w:shd w:val="clear" w:color="auto" w:fill="auto"/>
          <w:lang w:val="en-US" w:eastAsia="zh-CN"/>
        </w:rPr>
      </w:pPr>
      <w:r>
        <w:rPr>
          <w:rFonts w:hint="eastAsia" w:eastAsia="宋体"/>
          <w:color w:val="auto"/>
          <w:sz w:val="24"/>
          <w:szCs w:val="24"/>
          <w:shd w:val="clear" w:color="auto" w:fill="auto"/>
          <w:lang w:val="en-US" w:eastAsia="zh-CN"/>
        </w:rPr>
        <w:t>1、采购人按照采购合同规定的相关条款</w:t>
      </w:r>
      <w:r>
        <w:rPr>
          <w:rFonts w:hint="eastAsia"/>
          <w:color w:val="auto"/>
          <w:sz w:val="24"/>
          <w:szCs w:val="24"/>
          <w:shd w:val="clear" w:color="auto" w:fill="auto"/>
          <w:lang w:val="en-US" w:eastAsia="zh-CN"/>
        </w:rPr>
        <w:t>、招投标文件，</w:t>
      </w:r>
      <w:r>
        <w:rPr>
          <w:rFonts w:hint="eastAsia" w:eastAsia="宋体"/>
          <w:color w:val="auto"/>
          <w:sz w:val="24"/>
          <w:szCs w:val="24"/>
          <w:shd w:val="clear" w:color="auto" w:fill="auto"/>
          <w:lang w:val="en-US" w:eastAsia="zh-CN"/>
        </w:rPr>
        <w:t>以及成交供应商的响应文件</w:t>
      </w:r>
      <w:r>
        <w:rPr>
          <w:rFonts w:hint="eastAsia"/>
          <w:color w:val="auto"/>
          <w:sz w:val="24"/>
          <w:szCs w:val="24"/>
          <w:shd w:val="clear" w:color="auto" w:fill="auto"/>
          <w:lang w:val="en-US" w:eastAsia="zh-CN"/>
        </w:rPr>
        <w:t>，</w:t>
      </w:r>
      <w:r>
        <w:rPr>
          <w:rFonts w:hint="eastAsia" w:eastAsia="宋体"/>
          <w:color w:val="auto"/>
          <w:sz w:val="24"/>
          <w:szCs w:val="24"/>
          <w:shd w:val="clear" w:color="auto" w:fill="auto"/>
          <w:lang w:val="en-US" w:eastAsia="zh-CN"/>
        </w:rPr>
        <w:t>对供应商</w:t>
      </w:r>
      <w:r>
        <w:rPr>
          <w:rFonts w:hint="eastAsia"/>
          <w:color w:val="auto"/>
          <w:sz w:val="24"/>
          <w:szCs w:val="24"/>
          <w:shd w:val="clear" w:color="auto" w:fill="auto"/>
          <w:lang w:val="en-US" w:eastAsia="zh-CN"/>
        </w:rPr>
        <w:t>全面履行合同</w:t>
      </w:r>
      <w:r>
        <w:rPr>
          <w:rFonts w:hint="eastAsia" w:eastAsia="宋体"/>
          <w:color w:val="auto"/>
          <w:sz w:val="24"/>
          <w:szCs w:val="24"/>
          <w:shd w:val="clear" w:color="auto" w:fill="auto"/>
          <w:lang w:val="en-US" w:eastAsia="zh-CN"/>
        </w:rPr>
        <w:t>情况进行验收</w:t>
      </w:r>
      <w:r>
        <w:rPr>
          <w:rFonts w:hint="eastAsia"/>
          <w:color w:val="auto"/>
          <w:sz w:val="24"/>
          <w:szCs w:val="24"/>
          <w:shd w:val="clear" w:color="auto" w:fill="auto"/>
          <w:lang w:val="en-US" w:eastAsia="zh-CN"/>
        </w:rPr>
        <w:t>。</w:t>
      </w:r>
    </w:p>
    <w:p w14:paraId="3BF4F19A">
      <w:pPr>
        <w:widowControl/>
        <w:wordWrap w:val="0"/>
        <w:topLinePunct/>
        <w:adjustRightInd w:val="0"/>
        <w:spacing w:line="400" w:lineRule="exact"/>
        <w:ind w:firstLine="480" w:firstLineChars="200"/>
        <w:jc w:val="left"/>
        <w:textAlignment w:val="baseline"/>
        <w:rPr>
          <w:rFonts w:hint="eastAsia" w:eastAsia="宋体"/>
          <w:color w:val="auto"/>
          <w:sz w:val="24"/>
          <w:szCs w:val="24"/>
          <w:shd w:val="clear" w:color="auto" w:fill="auto"/>
        </w:rPr>
      </w:pPr>
      <w:r>
        <w:rPr>
          <w:rFonts w:hint="eastAsia" w:eastAsia="宋体"/>
          <w:color w:val="auto"/>
          <w:sz w:val="24"/>
          <w:szCs w:val="24"/>
          <w:shd w:val="clear" w:color="auto" w:fill="auto"/>
          <w:lang w:val="en-US" w:eastAsia="zh-CN"/>
        </w:rPr>
        <w:t>2、验收流程：项目结束后，提交完整的</w:t>
      </w:r>
      <w:r>
        <w:rPr>
          <w:rFonts w:hint="eastAsia"/>
          <w:color w:val="auto"/>
          <w:sz w:val="24"/>
          <w:szCs w:val="24"/>
          <w:shd w:val="clear" w:color="auto" w:fill="auto"/>
          <w:lang w:val="en-US" w:eastAsia="zh-CN"/>
        </w:rPr>
        <w:t>书面检定</w:t>
      </w:r>
      <w:r>
        <w:rPr>
          <w:rFonts w:hint="eastAsia" w:eastAsia="宋体"/>
          <w:color w:val="auto"/>
          <w:sz w:val="24"/>
          <w:szCs w:val="24"/>
          <w:shd w:val="clear" w:color="auto" w:fill="auto"/>
          <w:lang w:val="en-US" w:eastAsia="zh-CN"/>
        </w:rPr>
        <w:t>报告</w:t>
      </w:r>
      <w:r>
        <w:rPr>
          <w:rFonts w:hint="eastAsia"/>
          <w:color w:val="auto"/>
          <w:sz w:val="24"/>
          <w:szCs w:val="24"/>
          <w:shd w:val="clear" w:color="auto" w:fill="auto"/>
          <w:lang w:val="en-US" w:eastAsia="zh-CN"/>
        </w:rPr>
        <w:t>和申请验收通知</w:t>
      </w:r>
      <w:r>
        <w:rPr>
          <w:rFonts w:hint="eastAsia" w:eastAsia="宋体"/>
          <w:color w:val="auto"/>
          <w:sz w:val="24"/>
          <w:szCs w:val="24"/>
          <w:shd w:val="clear" w:color="auto" w:fill="auto"/>
          <w:lang w:val="en-US" w:eastAsia="zh-CN"/>
        </w:rPr>
        <w:t>，由采购人组织</w:t>
      </w:r>
      <w:r>
        <w:rPr>
          <w:rFonts w:hint="eastAsia"/>
          <w:color w:val="auto"/>
          <w:sz w:val="24"/>
          <w:szCs w:val="24"/>
          <w:shd w:val="clear" w:color="auto" w:fill="auto"/>
          <w:lang w:val="en-US" w:eastAsia="zh-CN"/>
        </w:rPr>
        <w:t>在合理时间内进行</w:t>
      </w:r>
      <w:r>
        <w:rPr>
          <w:rFonts w:hint="eastAsia" w:eastAsia="宋体"/>
          <w:color w:val="auto"/>
          <w:sz w:val="24"/>
          <w:szCs w:val="24"/>
          <w:shd w:val="clear" w:color="auto" w:fill="auto"/>
          <w:lang w:val="en-US" w:eastAsia="zh-CN"/>
        </w:rPr>
        <w:t>验收。</w:t>
      </w:r>
    </w:p>
    <w:p w14:paraId="561E8D0D">
      <w:pPr>
        <w:bidi w:val="0"/>
      </w:pPr>
    </w:p>
    <w:p w14:paraId="013E302F">
      <w:pPr>
        <w:spacing w:line="360" w:lineRule="auto"/>
        <w:ind w:firstLine="181" w:firstLineChars="50"/>
        <w:rPr>
          <w:rFonts w:ascii="宋体" w:hAnsi="宋体" w:cs="宋体"/>
          <w:b/>
          <w:color w:val="auto"/>
          <w:sz w:val="36"/>
          <w:szCs w:val="36"/>
          <w:highlight w:val="none"/>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300"/>
      <w:bookmarkEnd w:id="28"/>
      <w:bookmarkStart w:id="29" w:name="_Toc184312123"/>
      <w:bookmarkEnd w:id="29"/>
      <w:bookmarkStart w:id="30" w:name="_Toc184313308"/>
      <w:bookmarkEnd w:id="30"/>
      <w:bookmarkStart w:id="31" w:name="_Toc184313266"/>
      <w:bookmarkEnd w:id="31"/>
      <w:bookmarkStart w:id="32" w:name="_Toc184308086"/>
      <w:bookmarkEnd w:id="32"/>
      <w:bookmarkStart w:id="33" w:name="_Toc184312086"/>
      <w:bookmarkEnd w:id="33"/>
      <w:bookmarkStart w:id="34" w:name="_Toc184308074"/>
      <w:bookmarkEnd w:id="34"/>
      <w:bookmarkStart w:id="35" w:name="_Toc184312067"/>
      <w:bookmarkEnd w:id="35"/>
      <w:bookmarkStart w:id="36" w:name="_Toc184313268"/>
      <w:bookmarkEnd w:id="36"/>
      <w:bookmarkStart w:id="37" w:name="_Toc184310302"/>
      <w:bookmarkEnd w:id="37"/>
      <w:bookmarkStart w:id="38" w:name="_Toc184314476"/>
      <w:bookmarkEnd w:id="38"/>
      <w:bookmarkStart w:id="39" w:name="_Toc184310309"/>
      <w:bookmarkEnd w:id="39"/>
      <w:bookmarkStart w:id="40" w:name="_Toc184308097"/>
      <w:bookmarkEnd w:id="40"/>
      <w:bookmarkStart w:id="41" w:name="_Toc184312102"/>
      <w:bookmarkEnd w:id="41"/>
      <w:bookmarkStart w:id="42" w:name="_Toc184314422"/>
      <w:bookmarkEnd w:id="42"/>
      <w:bookmarkStart w:id="43" w:name="_Toc184308103"/>
      <w:bookmarkEnd w:id="43"/>
      <w:bookmarkStart w:id="44" w:name="_Toc184313297"/>
      <w:bookmarkEnd w:id="44"/>
      <w:bookmarkStart w:id="45" w:name="_Toc184310276"/>
      <w:bookmarkEnd w:id="45"/>
      <w:bookmarkStart w:id="46" w:name="_Toc184312129"/>
      <w:bookmarkEnd w:id="46"/>
      <w:bookmarkStart w:id="47" w:name="_Toc184310288"/>
      <w:bookmarkEnd w:id="47"/>
      <w:bookmarkStart w:id="48" w:name="_Toc184314457"/>
      <w:bookmarkEnd w:id="48"/>
      <w:bookmarkStart w:id="49" w:name="_Toc184308059"/>
      <w:bookmarkEnd w:id="49"/>
      <w:bookmarkStart w:id="50" w:name="_Toc184308095"/>
      <w:bookmarkEnd w:id="50"/>
      <w:bookmarkStart w:id="51" w:name="_Toc184313248"/>
      <w:bookmarkEnd w:id="51"/>
      <w:bookmarkStart w:id="52" w:name="_Toc184312104"/>
      <w:bookmarkEnd w:id="52"/>
      <w:bookmarkStart w:id="53" w:name="_Toc184312070"/>
      <w:bookmarkEnd w:id="53"/>
      <w:bookmarkStart w:id="54" w:name="_Toc184313291"/>
      <w:bookmarkEnd w:id="54"/>
      <w:bookmarkStart w:id="55" w:name="_Toc184310293"/>
      <w:bookmarkEnd w:id="55"/>
      <w:bookmarkStart w:id="56" w:name="_Toc184308064"/>
      <w:bookmarkEnd w:id="56"/>
      <w:bookmarkStart w:id="57" w:name="_Toc184308092"/>
      <w:bookmarkEnd w:id="57"/>
      <w:bookmarkStart w:id="58" w:name="_Toc184314410"/>
      <w:bookmarkEnd w:id="58"/>
      <w:bookmarkStart w:id="59" w:name="_Toc184312090"/>
      <w:bookmarkEnd w:id="59"/>
      <w:bookmarkStart w:id="60" w:name="_Toc184314415"/>
      <w:bookmarkEnd w:id="60"/>
      <w:bookmarkStart w:id="61" w:name="_Toc184310344"/>
      <w:bookmarkEnd w:id="61"/>
      <w:bookmarkStart w:id="62" w:name="_Toc184308098"/>
      <w:bookmarkEnd w:id="62"/>
      <w:bookmarkStart w:id="63" w:name="_Toc184310304"/>
      <w:bookmarkEnd w:id="63"/>
      <w:bookmarkStart w:id="64" w:name="_Toc184313309"/>
      <w:bookmarkEnd w:id="64"/>
      <w:bookmarkStart w:id="65" w:name="_Toc184308106"/>
      <w:bookmarkEnd w:id="65"/>
      <w:bookmarkStart w:id="66" w:name="_Toc184308073"/>
      <w:bookmarkEnd w:id="66"/>
      <w:bookmarkStart w:id="67" w:name="_Toc184314444"/>
      <w:bookmarkEnd w:id="67"/>
      <w:bookmarkStart w:id="68" w:name="_Toc184308067"/>
      <w:bookmarkEnd w:id="68"/>
      <w:bookmarkStart w:id="69" w:name="_Toc184314428"/>
      <w:bookmarkEnd w:id="69"/>
      <w:bookmarkStart w:id="70" w:name="_Toc184313306"/>
      <w:bookmarkEnd w:id="70"/>
      <w:bookmarkStart w:id="71" w:name="_Toc184313296"/>
      <w:bookmarkEnd w:id="71"/>
      <w:bookmarkStart w:id="72" w:name="_Toc184314459"/>
      <w:bookmarkEnd w:id="72"/>
      <w:bookmarkStart w:id="73" w:name="_Toc184312099"/>
      <w:bookmarkEnd w:id="73"/>
      <w:bookmarkStart w:id="74" w:name="_Toc184314456"/>
      <w:bookmarkEnd w:id="74"/>
      <w:bookmarkStart w:id="75" w:name="_Toc184312096"/>
      <w:bookmarkEnd w:id="75"/>
      <w:bookmarkStart w:id="76" w:name="_Toc184314455"/>
      <w:bookmarkEnd w:id="76"/>
      <w:bookmarkStart w:id="77" w:name="_Toc184313257"/>
      <w:bookmarkEnd w:id="77"/>
      <w:bookmarkStart w:id="78" w:name="_Toc184312121"/>
      <w:bookmarkEnd w:id="78"/>
      <w:bookmarkStart w:id="79" w:name="_Toc184310284"/>
      <w:bookmarkEnd w:id="79"/>
      <w:bookmarkStart w:id="80" w:name="_Toc184312098"/>
      <w:bookmarkEnd w:id="80"/>
      <w:bookmarkStart w:id="81" w:name="_Toc184312122"/>
      <w:bookmarkEnd w:id="81"/>
      <w:bookmarkStart w:id="82" w:name="_Toc184312088"/>
      <w:bookmarkEnd w:id="82"/>
      <w:bookmarkStart w:id="83" w:name="_Toc184314468"/>
      <w:bookmarkEnd w:id="83"/>
      <w:bookmarkStart w:id="84" w:name="_Toc184308071"/>
      <w:bookmarkEnd w:id="84"/>
      <w:bookmarkStart w:id="85" w:name="_Toc184313270"/>
      <w:bookmarkEnd w:id="85"/>
      <w:bookmarkStart w:id="86" w:name="_Toc184313279"/>
      <w:bookmarkEnd w:id="86"/>
      <w:bookmarkStart w:id="87" w:name="_Toc184308099"/>
      <w:bookmarkEnd w:id="87"/>
      <w:bookmarkStart w:id="88" w:name="_Toc184313290"/>
      <w:bookmarkEnd w:id="88"/>
      <w:bookmarkStart w:id="89" w:name="_Toc184308057"/>
      <w:bookmarkEnd w:id="89"/>
      <w:bookmarkStart w:id="90" w:name="_Toc184313267"/>
      <w:bookmarkEnd w:id="90"/>
      <w:bookmarkStart w:id="91" w:name="_Toc184314439"/>
      <w:bookmarkEnd w:id="91"/>
      <w:bookmarkStart w:id="92" w:name="_Toc184310275"/>
      <w:bookmarkEnd w:id="92"/>
      <w:bookmarkStart w:id="93" w:name="_Toc184312079"/>
      <w:bookmarkEnd w:id="93"/>
      <w:bookmarkStart w:id="94" w:name="_Toc184310307"/>
      <w:bookmarkEnd w:id="94"/>
      <w:bookmarkStart w:id="95" w:name="_Toc184313247"/>
      <w:bookmarkEnd w:id="95"/>
      <w:bookmarkStart w:id="96" w:name="_Toc184310315"/>
      <w:bookmarkEnd w:id="96"/>
      <w:bookmarkStart w:id="97" w:name="_Toc184310283"/>
      <w:bookmarkEnd w:id="97"/>
      <w:bookmarkStart w:id="98" w:name="_Toc184312087"/>
      <w:bookmarkEnd w:id="98"/>
      <w:bookmarkStart w:id="99" w:name="_Toc184310289"/>
      <w:bookmarkEnd w:id="99"/>
      <w:bookmarkStart w:id="100" w:name="_Toc184308108"/>
      <w:bookmarkEnd w:id="100"/>
      <w:bookmarkStart w:id="101" w:name="_Toc184310337"/>
      <w:bookmarkEnd w:id="101"/>
      <w:bookmarkStart w:id="102" w:name="_Toc184314437"/>
      <w:bookmarkEnd w:id="102"/>
      <w:bookmarkStart w:id="103" w:name="_Toc184313245"/>
      <w:bookmarkEnd w:id="103"/>
      <w:bookmarkStart w:id="104" w:name="_Toc184312069"/>
      <w:bookmarkEnd w:id="104"/>
      <w:bookmarkStart w:id="105" w:name="_Toc184314419"/>
      <w:bookmarkEnd w:id="105"/>
      <w:bookmarkStart w:id="106" w:name="_Toc184314433"/>
      <w:bookmarkEnd w:id="106"/>
      <w:bookmarkStart w:id="107" w:name="_Toc184308058"/>
      <w:bookmarkEnd w:id="107"/>
      <w:bookmarkStart w:id="108" w:name="_Toc184312083"/>
      <w:bookmarkEnd w:id="108"/>
      <w:bookmarkStart w:id="109" w:name="_Toc184314462"/>
      <w:bookmarkEnd w:id="109"/>
      <w:bookmarkStart w:id="110" w:name="_Toc184312103"/>
      <w:bookmarkEnd w:id="110"/>
      <w:bookmarkStart w:id="111" w:name="_Toc184310287"/>
      <w:bookmarkEnd w:id="111"/>
      <w:bookmarkStart w:id="112" w:name="_Toc184314478"/>
      <w:bookmarkEnd w:id="112"/>
      <w:bookmarkStart w:id="113" w:name="_Toc184312125"/>
      <w:bookmarkEnd w:id="113"/>
      <w:bookmarkStart w:id="114" w:name="_Toc184314463"/>
      <w:bookmarkEnd w:id="114"/>
      <w:bookmarkStart w:id="115" w:name="_Toc184314477"/>
      <w:bookmarkEnd w:id="115"/>
      <w:bookmarkStart w:id="116" w:name="_Toc184314473"/>
      <w:bookmarkEnd w:id="116"/>
      <w:bookmarkStart w:id="117" w:name="_Toc184308065"/>
      <w:bookmarkEnd w:id="117"/>
      <w:bookmarkStart w:id="118" w:name="_Toc184314453"/>
      <w:bookmarkEnd w:id="118"/>
      <w:bookmarkStart w:id="119" w:name="_Toc184310272"/>
      <w:bookmarkEnd w:id="119"/>
      <w:bookmarkStart w:id="120" w:name="_Toc184310296"/>
      <w:bookmarkEnd w:id="120"/>
      <w:bookmarkStart w:id="121" w:name="_Toc184313250"/>
      <w:bookmarkEnd w:id="121"/>
      <w:bookmarkStart w:id="122" w:name="_Toc184308094"/>
      <w:bookmarkEnd w:id="122"/>
      <w:bookmarkStart w:id="123" w:name="_Toc184314434"/>
      <w:bookmarkEnd w:id="123"/>
      <w:bookmarkStart w:id="124" w:name="_Toc184314443"/>
      <w:bookmarkEnd w:id="124"/>
      <w:bookmarkStart w:id="125" w:name="_Toc184313287"/>
      <w:bookmarkEnd w:id="125"/>
      <w:bookmarkStart w:id="126" w:name="_Toc184313256"/>
      <w:bookmarkEnd w:id="126"/>
      <w:bookmarkStart w:id="127" w:name="_Toc184314436"/>
      <w:bookmarkEnd w:id="127"/>
      <w:bookmarkStart w:id="128" w:name="_Toc184308042"/>
      <w:bookmarkEnd w:id="128"/>
      <w:bookmarkStart w:id="129" w:name="_Toc184310317"/>
      <w:bookmarkEnd w:id="129"/>
      <w:bookmarkStart w:id="130" w:name="_Toc184310282"/>
      <w:bookmarkEnd w:id="130"/>
      <w:bookmarkStart w:id="131" w:name="_Toc184310338"/>
      <w:bookmarkEnd w:id="131"/>
      <w:bookmarkStart w:id="132" w:name="_Toc184312134"/>
      <w:bookmarkEnd w:id="132"/>
      <w:bookmarkStart w:id="133" w:name="_Toc184308076"/>
      <w:bookmarkEnd w:id="133"/>
      <w:bookmarkStart w:id="134" w:name="_Toc184310280"/>
      <w:bookmarkEnd w:id="134"/>
      <w:bookmarkStart w:id="135" w:name="_Toc184310341"/>
      <w:bookmarkEnd w:id="135"/>
      <w:bookmarkStart w:id="136" w:name="_Toc184314427"/>
      <w:bookmarkEnd w:id="136"/>
      <w:bookmarkStart w:id="137" w:name="_Toc184313255"/>
      <w:bookmarkEnd w:id="137"/>
      <w:bookmarkStart w:id="138" w:name="_Toc184313271"/>
      <w:bookmarkEnd w:id="138"/>
      <w:bookmarkStart w:id="139" w:name="_Toc184308045"/>
      <w:bookmarkEnd w:id="139"/>
      <w:bookmarkStart w:id="140" w:name="_Toc184310281"/>
      <w:bookmarkEnd w:id="140"/>
      <w:bookmarkStart w:id="141" w:name="_Toc184310314"/>
      <w:bookmarkEnd w:id="141"/>
      <w:bookmarkStart w:id="142" w:name="_Toc184312128"/>
      <w:bookmarkEnd w:id="142"/>
      <w:bookmarkStart w:id="143" w:name="_Toc184312116"/>
      <w:bookmarkEnd w:id="143"/>
      <w:bookmarkStart w:id="144" w:name="_Toc184314446"/>
      <w:bookmarkEnd w:id="144"/>
      <w:bookmarkStart w:id="145" w:name="_Toc184312119"/>
      <w:bookmarkEnd w:id="145"/>
      <w:bookmarkStart w:id="146" w:name="_Toc184310326"/>
      <w:bookmarkEnd w:id="146"/>
      <w:bookmarkStart w:id="147" w:name="_Toc184312127"/>
      <w:bookmarkEnd w:id="147"/>
      <w:bookmarkStart w:id="148" w:name="_Toc184312109"/>
      <w:bookmarkEnd w:id="148"/>
      <w:bookmarkStart w:id="149" w:name="_Toc184313278"/>
      <w:bookmarkEnd w:id="149"/>
      <w:bookmarkStart w:id="150" w:name="_Toc184308093"/>
      <w:bookmarkEnd w:id="150"/>
      <w:bookmarkStart w:id="151" w:name="_Toc184310291"/>
      <w:bookmarkEnd w:id="151"/>
      <w:bookmarkStart w:id="152" w:name="_Toc184308104"/>
      <w:bookmarkEnd w:id="152"/>
      <w:bookmarkStart w:id="153" w:name="_Toc184314432"/>
      <w:bookmarkEnd w:id="153"/>
      <w:bookmarkStart w:id="154" w:name="_Toc184308048"/>
      <w:bookmarkEnd w:id="154"/>
      <w:bookmarkStart w:id="155" w:name="_Toc184314447"/>
      <w:bookmarkEnd w:id="155"/>
      <w:bookmarkStart w:id="156" w:name="_Toc184310299"/>
      <w:bookmarkEnd w:id="156"/>
      <w:bookmarkStart w:id="157" w:name="_Toc184314431"/>
      <w:bookmarkEnd w:id="157"/>
      <w:bookmarkStart w:id="158" w:name="_Toc184312077"/>
      <w:bookmarkEnd w:id="158"/>
      <w:bookmarkStart w:id="159" w:name="_Toc184313284"/>
      <w:bookmarkEnd w:id="159"/>
      <w:bookmarkStart w:id="160" w:name="_Toc184314441"/>
      <w:bookmarkEnd w:id="160"/>
      <w:bookmarkStart w:id="161" w:name="_Toc184312115"/>
      <w:bookmarkEnd w:id="161"/>
      <w:bookmarkStart w:id="162" w:name="_Toc184308060"/>
      <w:bookmarkEnd w:id="162"/>
      <w:bookmarkStart w:id="163" w:name="_Toc184314430"/>
      <w:bookmarkEnd w:id="163"/>
      <w:bookmarkStart w:id="164" w:name="_Toc184308053"/>
      <w:bookmarkEnd w:id="164"/>
      <w:bookmarkStart w:id="165" w:name="_Toc184314471"/>
      <w:bookmarkEnd w:id="165"/>
      <w:bookmarkStart w:id="166" w:name="_Toc184313249"/>
      <w:bookmarkEnd w:id="166"/>
      <w:bookmarkStart w:id="167" w:name="_Toc184313269"/>
      <w:bookmarkEnd w:id="167"/>
      <w:bookmarkStart w:id="168" w:name="_Toc184313240"/>
      <w:bookmarkEnd w:id="168"/>
      <w:bookmarkStart w:id="169" w:name="_Toc184314458"/>
      <w:bookmarkEnd w:id="169"/>
      <w:bookmarkStart w:id="170" w:name="_Toc184313262"/>
      <w:bookmarkEnd w:id="170"/>
      <w:bookmarkStart w:id="171" w:name="_Toc184310313"/>
      <w:bookmarkEnd w:id="171"/>
      <w:bookmarkStart w:id="172" w:name="_Toc184310298"/>
      <w:bookmarkEnd w:id="172"/>
      <w:bookmarkStart w:id="173" w:name="_Toc184314475"/>
      <w:bookmarkEnd w:id="173"/>
      <w:bookmarkStart w:id="174" w:name="_Toc184310274"/>
      <w:bookmarkEnd w:id="174"/>
      <w:bookmarkStart w:id="175" w:name="_Toc184313265"/>
      <w:bookmarkEnd w:id="175"/>
      <w:bookmarkStart w:id="176" w:name="_Toc184310295"/>
      <w:bookmarkEnd w:id="176"/>
      <w:bookmarkStart w:id="177" w:name="_Toc184312080"/>
      <w:bookmarkEnd w:id="177"/>
      <w:bookmarkStart w:id="178" w:name="_Toc184313292"/>
      <w:bookmarkEnd w:id="178"/>
      <w:bookmarkStart w:id="179" w:name="_Toc184312126"/>
      <w:bookmarkEnd w:id="179"/>
      <w:bookmarkStart w:id="180" w:name="_Toc184314451"/>
      <w:bookmarkEnd w:id="180"/>
      <w:bookmarkStart w:id="181" w:name="_Toc184308107"/>
      <w:bookmarkEnd w:id="181"/>
      <w:bookmarkStart w:id="182" w:name="_Toc184314420"/>
      <w:bookmarkEnd w:id="182"/>
      <w:bookmarkStart w:id="183" w:name="_Toc184314472"/>
      <w:bookmarkEnd w:id="183"/>
      <w:bookmarkStart w:id="184" w:name="_Toc184308084"/>
      <w:bookmarkEnd w:id="184"/>
      <w:bookmarkStart w:id="185" w:name="_Toc184314442"/>
      <w:bookmarkEnd w:id="185"/>
      <w:bookmarkStart w:id="186" w:name="_Toc184308069"/>
      <w:bookmarkEnd w:id="186"/>
      <w:bookmarkStart w:id="187" w:name="_Toc184310333"/>
      <w:bookmarkEnd w:id="187"/>
      <w:bookmarkStart w:id="188" w:name="_Toc184310303"/>
      <w:bookmarkEnd w:id="188"/>
      <w:bookmarkStart w:id="189" w:name="_Toc184314429"/>
      <w:bookmarkEnd w:id="189"/>
      <w:bookmarkStart w:id="190" w:name="_Toc184313285"/>
      <w:bookmarkEnd w:id="190"/>
      <w:bookmarkStart w:id="191" w:name="_Toc184312105"/>
      <w:bookmarkEnd w:id="191"/>
      <w:bookmarkStart w:id="192" w:name="_Toc184308082"/>
      <w:bookmarkEnd w:id="192"/>
      <w:bookmarkStart w:id="193" w:name="_Toc184312091"/>
      <w:bookmarkEnd w:id="193"/>
      <w:bookmarkStart w:id="194" w:name="_Toc184314426"/>
      <w:bookmarkEnd w:id="194"/>
      <w:bookmarkStart w:id="195" w:name="_Toc184310330"/>
      <w:bookmarkEnd w:id="195"/>
      <w:bookmarkStart w:id="196" w:name="_Toc184314425"/>
      <w:bookmarkEnd w:id="196"/>
      <w:bookmarkStart w:id="197" w:name="_Toc184312100"/>
      <w:bookmarkEnd w:id="197"/>
      <w:bookmarkStart w:id="198" w:name="_Toc184313244"/>
      <w:bookmarkEnd w:id="198"/>
      <w:bookmarkStart w:id="199" w:name="_Toc184308096"/>
      <w:bookmarkEnd w:id="199"/>
      <w:bookmarkStart w:id="200" w:name="_Toc184313307"/>
      <w:bookmarkEnd w:id="200"/>
      <w:bookmarkStart w:id="201" w:name="_Toc184312094"/>
      <w:bookmarkEnd w:id="201"/>
      <w:bookmarkStart w:id="202" w:name="_Toc184312131"/>
      <w:bookmarkEnd w:id="202"/>
      <w:bookmarkStart w:id="203" w:name="_Toc184310332"/>
      <w:bookmarkEnd w:id="203"/>
      <w:bookmarkStart w:id="204" w:name="_Toc184310327"/>
      <w:bookmarkEnd w:id="204"/>
      <w:bookmarkStart w:id="205" w:name="_Toc184313260"/>
      <w:bookmarkEnd w:id="205"/>
      <w:bookmarkStart w:id="206" w:name="_Toc184313264"/>
      <w:bookmarkEnd w:id="206"/>
      <w:bookmarkStart w:id="207" w:name="_Toc184314460"/>
      <w:bookmarkEnd w:id="207"/>
      <w:bookmarkStart w:id="208" w:name="_Toc184310319"/>
      <w:bookmarkEnd w:id="208"/>
      <w:bookmarkStart w:id="209" w:name="_Toc184310301"/>
      <w:bookmarkEnd w:id="209"/>
      <w:bookmarkStart w:id="210" w:name="_Toc184308077"/>
      <w:bookmarkEnd w:id="210"/>
      <w:bookmarkStart w:id="211" w:name="_Toc184312071"/>
      <w:bookmarkEnd w:id="211"/>
      <w:bookmarkStart w:id="212" w:name="_Toc184314467"/>
      <w:bookmarkEnd w:id="212"/>
      <w:bookmarkStart w:id="213" w:name="_Toc184310328"/>
      <w:bookmarkEnd w:id="213"/>
      <w:bookmarkStart w:id="214" w:name="_Toc184312106"/>
      <w:bookmarkEnd w:id="214"/>
      <w:bookmarkStart w:id="215" w:name="_Toc184310297"/>
      <w:bookmarkEnd w:id="215"/>
      <w:bookmarkStart w:id="216" w:name="_Toc184310285"/>
      <w:bookmarkEnd w:id="216"/>
      <w:bookmarkStart w:id="217" w:name="_Toc184308056"/>
      <w:bookmarkEnd w:id="217"/>
      <w:bookmarkStart w:id="218" w:name="_Toc184310321"/>
      <w:bookmarkEnd w:id="218"/>
      <w:bookmarkStart w:id="219" w:name="_Toc184314417"/>
      <w:bookmarkEnd w:id="219"/>
      <w:bookmarkStart w:id="220" w:name="_Toc184312120"/>
      <w:bookmarkEnd w:id="220"/>
      <w:bookmarkStart w:id="221" w:name="_Toc184313246"/>
      <w:bookmarkEnd w:id="221"/>
      <w:bookmarkStart w:id="222" w:name="_Toc184312111"/>
      <w:bookmarkEnd w:id="222"/>
      <w:bookmarkStart w:id="223" w:name="_Toc184312137"/>
      <w:bookmarkEnd w:id="223"/>
      <w:bookmarkStart w:id="224" w:name="_Toc184313305"/>
      <w:bookmarkEnd w:id="224"/>
      <w:bookmarkStart w:id="225" w:name="_Toc184314416"/>
      <w:bookmarkEnd w:id="225"/>
      <w:bookmarkStart w:id="226" w:name="_Toc184308070"/>
      <w:bookmarkEnd w:id="226"/>
      <w:bookmarkStart w:id="227" w:name="_Toc184308085"/>
      <w:bookmarkEnd w:id="227"/>
      <w:bookmarkStart w:id="228" w:name="_Toc184308040"/>
      <w:bookmarkEnd w:id="228"/>
      <w:bookmarkStart w:id="229" w:name="_Toc184308055"/>
      <w:bookmarkEnd w:id="229"/>
      <w:bookmarkStart w:id="230" w:name="_Toc184310308"/>
      <w:bookmarkEnd w:id="230"/>
      <w:bookmarkStart w:id="231" w:name="_Toc184310343"/>
      <w:bookmarkEnd w:id="231"/>
      <w:bookmarkStart w:id="232" w:name="_Toc184314448"/>
      <w:bookmarkEnd w:id="232"/>
      <w:bookmarkStart w:id="233" w:name="_Toc184313259"/>
      <w:bookmarkEnd w:id="233"/>
      <w:bookmarkStart w:id="234" w:name="_Toc184312076"/>
      <w:bookmarkEnd w:id="234"/>
      <w:bookmarkStart w:id="235" w:name="_Toc184313261"/>
      <w:bookmarkEnd w:id="235"/>
      <w:bookmarkStart w:id="236" w:name="_Toc184310322"/>
      <w:bookmarkEnd w:id="236"/>
      <w:bookmarkStart w:id="237" w:name="_Toc184312084"/>
      <w:bookmarkEnd w:id="237"/>
      <w:bookmarkStart w:id="238" w:name="_Toc184308052"/>
      <w:bookmarkEnd w:id="238"/>
      <w:bookmarkStart w:id="239" w:name="_Toc184310279"/>
      <w:bookmarkEnd w:id="239"/>
      <w:bookmarkStart w:id="240" w:name="_Toc184313302"/>
      <w:bookmarkEnd w:id="240"/>
      <w:bookmarkStart w:id="241" w:name="_Toc184314454"/>
      <w:bookmarkEnd w:id="241"/>
      <w:bookmarkStart w:id="242" w:name="_Toc184314466"/>
      <w:bookmarkEnd w:id="242"/>
      <w:bookmarkStart w:id="243" w:name="_Toc184313301"/>
      <w:bookmarkEnd w:id="243"/>
      <w:bookmarkStart w:id="244" w:name="_Toc184312101"/>
      <w:bookmarkEnd w:id="244"/>
      <w:bookmarkStart w:id="245" w:name="_Toc184314480"/>
      <w:bookmarkEnd w:id="245"/>
      <w:bookmarkStart w:id="246" w:name="_Toc184308044"/>
      <w:bookmarkEnd w:id="246"/>
      <w:bookmarkStart w:id="247" w:name="_Toc184314421"/>
      <w:bookmarkEnd w:id="247"/>
      <w:bookmarkStart w:id="248" w:name="_Toc184314423"/>
      <w:bookmarkEnd w:id="248"/>
      <w:bookmarkStart w:id="249" w:name="_Toc184314474"/>
      <w:bookmarkEnd w:id="249"/>
      <w:bookmarkStart w:id="250" w:name="_Toc184314469"/>
      <w:bookmarkEnd w:id="250"/>
      <w:bookmarkStart w:id="251" w:name="_Toc184313275"/>
      <w:bookmarkEnd w:id="251"/>
      <w:bookmarkStart w:id="252" w:name="_Toc184308075"/>
      <w:bookmarkEnd w:id="252"/>
      <w:bookmarkStart w:id="253" w:name="_Toc184308090"/>
      <w:bookmarkEnd w:id="253"/>
      <w:bookmarkStart w:id="254" w:name="_Toc184313295"/>
      <w:bookmarkEnd w:id="254"/>
      <w:bookmarkStart w:id="255" w:name="_Toc184312078"/>
      <w:bookmarkEnd w:id="255"/>
      <w:bookmarkStart w:id="256" w:name="_Toc184310335"/>
      <w:bookmarkEnd w:id="256"/>
      <w:bookmarkStart w:id="257" w:name="_Toc184308078"/>
      <w:bookmarkEnd w:id="257"/>
      <w:bookmarkStart w:id="258" w:name="_Toc184313286"/>
      <w:bookmarkEnd w:id="258"/>
      <w:bookmarkStart w:id="259" w:name="_Toc184310305"/>
      <w:bookmarkEnd w:id="259"/>
      <w:bookmarkStart w:id="260" w:name="_Toc184308081"/>
      <w:bookmarkEnd w:id="260"/>
      <w:bookmarkStart w:id="261" w:name="_Toc184312130"/>
      <w:bookmarkEnd w:id="261"/>
      <w:bookmarkStart w:id="262" w:name="_Toc184312117"/>
      <w:bookmarkEnd w:id="262"/>
      <w:bookmarkStart w:id="263" w:name="_Toc184313282"/>
      <w:bookmarkEnd w:id="263"/>
      <w:bookmarkStart w:id="264" w:name="_Toc184310290"/>
      <w:bookmarkEnd w:id="264"/>
      <w:bookmarkStart w:id="265" w:name="_Toc184308079"/>
      <w:bookmarkEnd w:id="265"/>
      <w:bookmarkStart w:id="266" w:name="_Toc184312092"/>
      <w:bookmarkEnd w:id="266"/>
      <w:bookmarkStart w:id="267" w:name="_Toc184314445"/>
      <w:bookmarkEnd w:id="267"/>
      <w:bookmarkStart w:id="268" w:name="_Toc184313258"/>
      <w:bookmarkEnd w:id="268"/>
      <w:bookmarkStart w:id="269" w:name="_Toc184310312"/>
      <w:bookmarkEnd w:id="269"/>
      <w:bookmarkStart w:id="270" w:name="_Toc184310277"/>
      <w:bookmarkEnd w:id="270"/>
      <w:bookmarkStart w:id="271" w:name="_Toc184310286"/>
      <w:bookmarkEnd w:id="271"/>
      <w:bookmarkStart w:id="272" w:name="_Toc184313273"/>
      <w:bookmarkEnd w:id="272"/>
      <w:bookmarkStart w:id="273" w:name="_Toc184312081"/>
      <w:bookmarkEnd w:id="273"/>
      <w:bookmarkStart w:id="274" w:name="_Toc184312107"/>
      <w:bookmarkEnd w:id="274"/>
      <w:bookmarkStart w:id="275" w:name="_Toc184310325"/>
      <w:bookmarkEnd w:id="275"/>
      <w:bookmarkStart w:id="276" w:name="_Toc184308062"/>
      <w:bookmarkEnd w:id="276"/>
      <w:bookmarkStart w:id="277" w:name="_Toc184308041"/>
      <w:bookmarkEnd w:id="277"/>
      <w:bookmarkStart w:id="278" w:name="_Toc184308088"/>
      <w:bookmarkEnd w:id="278"/>
      <w:bookmarkStart w:id="279" w:name="_Toc184312108"/>
      <w:bookmarkEnd w:id="279"/>
      <w:bookmarkStart w:id="280" w:name="_Toc184312112"/>
      <w:bookmarkEnd w:id="280"/>
      <w:bookmarkStart w:id="281" w:name="_Toc184313251"/>
      <w:bookmarkEnd w:id="281"/>
      <w:bookmarkStart w:id="282" w:name="_Toc184312075"/>
      <w:bookmarkEnd w:id="282"/>
      <w:bookmarkStart w:id="283" w:name="_Toc184313242"/>
      <w:bookmarkEnd w:id="283"/>
      <w:bookmarkStart w:id="284" w:name="_Toc184310300"/>
      <w:bookmarkEnd w:id="284"/>
      <w:bookmarkStart w:id="285" w:name="_Toc184308036"/>
      <w:bookmarkEnd w:id="285"/>
      <w:bookmarkStart w:id="286" w:name="_Toc184312089"/>
      <w:bookmarkEnd w:id="286"/>
      <w:bookmarkStart w:id="287" w:name="_Toc184310336"/>
      <w:bookmarkEnd w:id="287"/>
      <w:bookmarkStart w:id="288" w:name="_Toc184313289"/>
      <w:bookmarkEnd w:id="288"/>
      <w:bookmarkStart w:id="289" w:name="_Toc184310273"/>
      <w:bookmarkEnd w:id="289"/>
      <w:bookmarkStart w:id="290" w:name="_Toc184310310"/>
      <w:bookmarkEnd w:id="290"/>
      <w:bookmarkStart w:id="291" w:name="_Toc184308091"/>
      <w:bookmarkEnd w:id="291"/>
      <w:bookmarkStart w:id="292" w:name="_Toc184312118"/>
      <w:bookmarkEnd w:id="292"/>
      <w:bookmarkStart w:id="293" w:name="_Toc184313288"/>
      <w:bookmarkEnd w:id="293"/>
      <w:bookmarkStart w:id="294" w:name="_Toc184312082"/>
      <w:bookmarkEnd w:id="294"/>
      <w:bookmarkStart w:id="295" w:name="_Toc184313263"/>
      <w:bookmarkEnd w:id="295"/>
      <w:bookmarkStart w:id="296" w:name="_Toc184308105"/>
      <w:bookmarkEnd w:id="296"/>
      <w:bookmarkStart w:id="297" w:name="_Toc184308049"/>
      <w:bookmarkEnd w:id="297"/>
      <w:bookmarkStart w:id="298" w:name="_Toc184314413"/>
      <w:bookmarkEnd w:id="298"/>
      <w:bookmarkStart w:id="299" w:name="_Toc184312073"/>
      <w:bookmarkEnd w:id="299"/>
      <w:bookmarkStart w:id="300" w:name="_Toc184312114"/>
      <w:bookmarkEnd w:id="300"/>
      <w:bookmarkStart w:id="301" w:name="_Toc184314411"/>
      <w:bookmarkEnd w:id="301"/>
      <w:bookmarkStart w:id="302" w:name="_Toc184310292"/>
      <w:bookmarkEnd w:id="302"/>
      <w:bookmarkStart w:id="303" w:name="_Toc184310339"/>
      <w:bookmarkEnd w:id="303"/>
      <w:bookmarkStart w:id="304" w:name="_Toc184308066"/>
      <w:bookmarkEnd w:id="304"/>
      <w:bookmarkStart w:id="305" w:name="_Toc184314470"/>
      <w:bookmarkEnd w:id="305"/>
      <w:bookmarkStart w:id="306" w:name="_Toc184312068"/>
      <w:bookmarkEnd w:id="306"/>
      <w:bookmarkStart w:id="307" w:name="_Toc184313304"/>
      <w:bookmarkEnd w:id="307"/>
      <w:bookmarkStart w:id="308" w:name="_Toc184308089"/>
      <w:bookmarkEnd w:id="308"/>
      <w:bookmarkStart w:id="309" w:name="_Toc184308102"/>
      <w:bookmarkEnd w:id="309"/>
      <w:bookmarkStart w:id="310" w:name="_Toc184313294"/>
      <w:bookmarkEnd w:id="310"/>
      <w:bookmarkStart w:id="311" w:name="_Toc184313277"/>
      <w:bookmarkEnd w:id="311"/>
      <w:bookmarkStart w:id="312" w:name="_Toc184312072"/>
      <w:bookmarkEnd w:id="312"/>
      <w:bookmarkStart w:id="313" w:name="_Toc184312093"/>
      <w:bookmarkEnd w:id="313"/>
      <w:bookmarkStart w:id="314" w:name="_Toc184314465"/>
      <w:bookmarkEnd w:id="314"/>
      <w:bookmarkStart w:id="315" w:name="_Toc184314464"/>
      <w:bookmarkEnd w:id="315"/>
      <w:bookmarkStart w:id="316" w:name="_Toc184314450"/>
      <w:bookmarkEnd w:id="316"/>
      <w:bookmarkStart w:id="317" w:name="_Toc184314461"/>
      <w:bookmarkEnd w:id="317"/>
      <w:bookmarkStart w:id="318" w:name="_Toc184310278"/>
      <w:bookmarkEnd w:id="318"/>
      <w:bookmarkStart w:id="319" w:name="_Toc184310329"/>
      <w:bookmarkEnd w:id="319"/>
      <w:bookmarkStart w:id="320" w:name="_Toc184308043"/>
      <w:bookmarkEnd w:id="320"/>
      <w:bookmarkStart w:id="321" w:name="_Toc184308038"/>
      <w:bookmarkEnd w:id="321"/>
      <w:bookmarkStart w:id="322" w:name="_Toc184312136"/>
      <w:bookmarkEnd w:id="322"/>
      <w:bookmarkStart w:id="323" w:name="_Toc184313243"/>
      <w:bookmarkEnd w:id="323"/>
      <w:bookmarkStart w:id="324" w:name="_Toc184312132"/>
      <w:bookmarkEnd w:id="324"/>
      <w:bookmarkStart w:id="325" w:name="_Toc184313252"/>
      <w:bookmarkEnd w:id="325"/>
      <w:bookmarkStart w:id="326" w:name="_Toc184313281"/>
      <w:bookmarkEnd w:id="326"/>
      <w:bookmarkStart w:id="327" w:name="_Toc184312110"/>
      <w:bookmarkEnd w:id="327"/>
      <w:bookmarkStart w:id="328" w:name="_Toc184313272"/>
      <w:bookmarkEnd w:id="328"/>
      <w:bookmarkStart w:id="329" w:name="_Toc184314481"/>
      <w:bookmarkEnd w:id="329"/>
      <w:bookmarkStart w:id="330" w:name="_Toc184308083"/>
      <w:bookmarkEnd w:id="330"/>
      <w:bookmarkStart w:id="331" w:name="_Toc184310306"/>
      <w:bookmarkEnd w:id="331"/>
      <w:bookmarkStart w:id="332" w:name="_Toc184308054"/>
      <w:bookmarkEnd w:id="332"/>
      <w:bookmarkStart w:id="333" w:name="_Toc184308051"/>
      <w:bookmarkEnd w:id="333"/>
      <w:bookmarkStart w:id="334" w:name="_Toc184310311"/>
      <w:bookmarkEnd w:id="334"/>
      <w:bookmarkStart w:id="335" w:name="_Toc184312135"/>
      <w:bookmarkEnd w:id="335"/>
      <w:bookmarkStart w:id="336" w:name="_Toc184312124"/>
      <w:bookmarkEnd w:id="336"/>
      <w:bookmarkStart w:id="337" w:name="_Toc184310323"/>
      <w:bookmarkEnd w:id="337"/>
      <w:bookmarkStart w:id="338" w:name="_Toc184314438"/>
      <w:bookmarkEnd w:id="338"/>
      <w:bookmarkStart w:id="339" w:name="_Toc184313239"/>
      <w:bookmarkEnd w:id="339"/>
      <w:bookmarkStart w:id="340" w:name="_Toc184313254"/>
      <w:bookmarkEnd w:id="340"/>
      <w:bookmarkStart w:id="341" w:name="_Toc184314449"/>
      <w:bookmarkEnd w:id="341"/>
      <w:bookmarkStart w:id="342" w:name="_Toc184314435"/>
      <w:bookmarkEnd w:id="342"/>
      <w:bookmarkStart w:id="343" w:name="_Toc184313293"/>
      <w:bookmarkEnd w:id="343"/>
      <w:bookmarkStart w:id="344" w:name="_Toc184310294"/>
      <w:bookmarkEnd w:id="344"/>
      <w:bookmarkStart w:id="345" w:name="_Toc184310318"/>
      <w:bookmarkEnd w:id="345"/>
      <w:bookmarkStart w:id="346" w:name="_Toc184313280"/>
      <w:bookmarkEnd w:id="346"/>
      <w:bookmarkStart w:id="347" w:name="_Toc184314414"/>
      <w:bookmarkEnd w:id="347"/>
      <w:bookmarkStart w:id="348" w:name="_Toc184312113"/>
      <w:bookmarkEnd w:id="348"/>
      <w:bookmarkStart w:id="349" w:name="_Toc184313283"/>
      <w:bookmarkEnd w:id="349"/>
      <w:bookmarkStart w:id="350" w:name="_Toc184308047"/>
      <w:bookmarkEnd w:id="350"/>
      <w:bookmarkStart w:id="351" w:name="_Toc184314482"/>
      <w:bookmarkEnd w:id="351"/>
      <w:bookmarkStart w:id="352" w:name="_Toc184310334"/>
      <w:bookmarkEnd w:id="352"/>
      <w:bookmarkStart w:id="353" w:name="_Toc184312095"/>
      <w:bookmarkEnd w:id="353"/>
      <w:bookmarkStart w:id="354" w:name="_Toc184314479"/>
      <w:bookmarkEnd w:id="354"/>
      <w:bookmarkStart w:id="355" w:name="_Toc184310342"/>
      <w:bookmarkEnd w:id="355"/>
      <w:bookmarkStart w:id="356" w:name="_Toc184308100"/>
      <w:bookmarkEnd w:id="356"/>
      <w:bookmarkStart w:id="357" w:name="_Toc184313253"/>
      <w:bookmarkEnd w:id="357"/>
      <w:bookmarkStart w:id="358" w:name="_Toc184312138"/>
      <w:bookmarkEnd w:id="358"/>
      <w:bookmarkStart w:id="359" w:name="_Toc184310340"/>
      <w:bookmarkEnd w:id="359"/>
      <w:bookmarkStart w:id="360" w:name="_Toc184312085"/>
      <w:bookmarkEnd w:id="360"/>
      <w:bookmarkStart w:id="361" w:name="_Toc184308046"/>
      <w:bookmarkEnd w:id="361"/>
      <w:bookmarkStart w:id="362" w:name="_Toc184313310"/>
      <w:bookmarkEnd w:id="362"/>
      <w:bookmarkStart w:id="363" w:name="_Toc184312139"/>
      <w:bookmarkEnd w:id="363"/>
      <w:bookmarkStart w:id="364" w:name="_Toc184313299"/>
      <w:bookmarkEnd w:id="364"/>
      <w:bookmarkStart w:id="365" w:name="_Toc184308080"/>
      <w:bookmarkEnd w:id="365"/>
      <w:bookmarkStart w:id="366" w:name="_Toc184308037"/>
      <w:bookmarkEnd w:id="366"/>
      <w:bookmarkStart w:id="367" w:name="_Toc184308050"/>
      <w:bookmarkEnd w:id="367"/>
      <w:bookmarkStart w:id="368" w:name="_Toc184308063"/>
      <w:bookmarkEnd w:id="368"/>
      <w:bookmarkStart w:id="369" w:name="_Toc184314424"/>
      <w:bookmarkEnd w:id="369"/>
      <w:bookmarkStart w:id="370" w:name="_Toc184308068"/>
      <w:bookmarkEnd w:id="370"/>
      <w:bookmarkStart w:id="371" w:name="_Toc184310331"/>
      <w:bookmarkEnd w:id="371"/>
      <w:bookmarkStart w:id="372" w:name="_Toc184313276"/>
      <w:bookmarkEnd w:id="372"/>
      <w:bookmarkStart w:id="373" w:name="_Toc184310324"/>
      <w:bookmarkEnd w:id="373"/>
      <w:bookmarkStart w:id="374" w:name="_Toc184310316"/>
      <w:bookmarkEnd w:id="374"/>
      <w:bookmarkStart w:id="375" w:name="_Toc184313238"/>
      <w:bookmarkEnd w:id="375"/>
      <w:bookmarkStart w:id="376" w:name="_Toc184313303"/>
      <w:bookmarkEnd w:id="376"/>
      <w:bookmarkStart w:id="377" w:name="_Toc184308087"/>
      <w:bookmarkEnd w:id="377"/>
      <w:bookmarkStart w:id="378" w:name="_Toc184314440"/>
      <w:bookmarkEnd w:id="378"/>
      <w:bookmarkStart w:id="379" w:name="_Toc184308101"/>
      <w:bookmarkEnd w:id="379"/>
      <w:bookmarkStart w:id="380" w:name="_Toc184313241"/>
      <w:bookmarkEnd w:id="380"/>
      <w:bookmarkStart w:id="381" w:name="_Toc184310320"/>
      <w:bookmarkEnd w:id="381"/>
      <w:bookmarkStart w:id="382" w:name="_Toc184308061"/>
      <w:bookmarkEnd w:id="382"/>
      <w:bookmarkStart w:id="383" w:name="_Toc184314412"/>
      <w:bookmarkEnd w:id="383"/>
      <w:bookmarkStart w:id="384" w:name="_Toc184312133"/>
      <w:bookmarkEnd w:id="384"/>
      <w:bookmarkStart w:id="385" w:name="_Toc184312074"/>
      <w:bookmarkEnd w:id="385"/>
      <w:bookmarkStart w:id="386" w:name="_Toc184313298"/>
      <w:bookmarkEnd w:id="386"/>
      <w:bookmarkStart w:id="387" w:name="_Toc184308072"/>
      <w:bookmarkEnd w:id="387"/>
      <w:bookmarkStart w:id="388" w:name="_Toc184313274"/>
      <w:bookmarkEnd w:id="388"/>
      <w:bookmarkStart w:id="389" w:name="_Toc184314452"/>
      <w:bookmarkEnd w:id="389"/>
      <w:bookmarkStart w:id="390" w:name="_Toc184314418"/>
      <w:bookmarkEnd w:id="390"/>
      <w:bookmarkStart w:id="391" w:name="_Toc184308039"/>
      <w:bookmarkEnd w:id="391"/>
      <w:bookmarkStart w:id="392" w:name="_Toc184312097"/>
      <w:bookmarkEnd w:id="392"/>
      <w:r>
        <w:rPr>
          <w:rFonts w:hint="eastAsia" w:ascii="宋体" w:hAnsi="宋体" w:cs="宋体"/>
          <w:b/>
          <w:color w:val="auto"/>
          <w:sz w:val="36"/>
          <w:szCs w:val="36"/>
          <w:highlight w:val="none"/>
        </w:rPr>
        <w:t>评标办法</w:t>
      </w:r>
    </w:p>
    <w:p w14:paraId="38468B90">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24BFC075">
      <w:pPr>
        <w:bidi w:val="0"/>
        <w:rPr>
          <w:rFonts w:hint="default"/>
          <w:sz w:val="28"/>
          <w:szCs w:val="36"/>
          <w:lang w:val="en-US" w:eastAsia="zh-CN"/>
        </w:rPr>
      </w:pPr>
      <w:r>
        <w:rPr>
          <w:rFonts w:hint="eastAsia"/>
          <w:sz w:val="28"/>
          <w:szCs w:val="36"/>
          <w:lang w:val="en-US" w:eastAsia="zh-CN"/>
        </w:rPr>
        <w:t>标项1：</w:t>
      </w:r>
    </w:p>
    <w:tbl>
      <w:tblPr>
        <w:tblStyle w:val="62"/>
        <w:tblpPr w:leftFromText="180" w:rightFromText="180" w:vertAnchor="text" w:horzAnchor="page" w:tblpX="1256" w:tblpY="435"/>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65"/>
        <w:gridCol w:w="6674"/>
        <w:gridCol w:w="875"/>
      </w:tblGrid>
      <w:tr w14:paraId="46C5C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noWrap w:val="0"/>
            <w:vAlign w:val="center"/>
          </w:tcPr>
          <w:p w14:paraId="3382447E">
            <w:pPr>
              <w:widowControl/>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F243E"/>
                <w:kern w:val="0"/>
                <w:sz w:val="24"/>
                <w:szCs w:val="24"/>
              </w:rPr>
              <w:t>序号</w:t>
            </w:r>
          </w:p>
        </w:tc>
        <w:tc>
          <w:tcPr>
            <w:tcW w:w="1365" w:type="dxa"/>
            <w:noWrap w:val="0"/>
            <w:vAlign w:val="center"/>
          </w:tcPr>
          <w:p w14:paraId="708E43AB">
            <w:pPr>
              <w:widowControl/>
              <w:spacing w:line="440" w:lineRule="exact"/>
              <w:jc w:val="center"/>
              <w:rPr>
                <w:rFonts w:hint="eastAsia" w:asciiTheme="minorEastAsia" w:hAnsiTheme="minorEastAsia" w:eastAsiaTheme="minorEastAsia" w:cstheme="minorEastAsia"/>
                <w:b/>
                <w:bCs/>
                <w:color w:val="0F243E"/>
                <w:kern w:val="0"/>
                <w:sz w:val="24"/>
                <w:szCs w:val="24"/>
              </w:rPr>
            </w:pPr>
            <w:r>
              <w:rPr>
                <w:rFonts w:hint="eastAsia" w:asciiTheme="minorEastAsia" w:hAnsiTheme="minorEastAsia" w:eastAsiaTheme="minorEastAsia" w:cstheme="minorEastAsia"/>
                <w:b/>
                <w:bCs/>
                <w:color w:val="0F243E"/>
                <w:kern w:val="0"/>
                <w:sz w:val="24"/>
                <w:szCs w:val="24"/>
              </w:rPr>
              <w:t>评分项目</w:t>
            </w:r>
          </w:p>
        </w:tc>
        <w:tc>
          <w:tcPr>
            <w:tcW w:w="6674" w:type="dxa"/>
            <w:noWrap w:val="0"/>
            <w:vAlign w:val="center"/>
          </w:tcPr>
          <w:p w14:paraId="7A1A103F">
            <w:pPr>
              <w:widowControl/>
              <w:spacing w:line="440" w:lineRule="exact"/>
              <w:jc w:val="center"/>
              <w:rPr>
                <w:rFonts w:hint="eastAsia" w:asciiTheme="minorEastAsia" w:hAnsiTheme="minorEastAsia" w:eastAsiaTheme="minorEastAsia" w:cstheme="minorEastAsia"/>
                <w:b/>
                <w:bCs/>
                <w:color w:val="0F243E"/>
                <w:kern w:val="0"/>
                <w:sz w:val="24"/>
                <w:szCs w:val="24"/>
              </w:rPr>
            </w:pPr>
            <w:r>
              <w:rPr>
                <w:rFonts w:hint="eastAsia" w:asciiTheme="minorEastAsia" w:hAnsiTheme="minorEastAsia" w:eastAsiaTheme="minorEastAsia" w:cstheme="minorEastAsia"/>
                <w:b/>
                <w:bCs/>
                <w:color w:val="0F243E"/>
                <w:kern w:val="0"/>
                <w:sz w:val="24"/>
                <w:szCs w:val="24"/>
              </w:rPr>
              <w:t>评分内容</w:t>
            </w:r>
          </w:p>
        </w:tc>
        <w:tc>
          <w:tcPr>
            <w:tcW w:w="875" w:type="dxa"/>
            <w:noWrap w:val="0"/>
            <w:vAlign w:val="center"/>
          </w:tcPr>
          <w:p w14:paraId="4544C7E9">
            <w:pPr>
              <w:widowControl/>
              <w:spacing w:line="440" w:lineRule="exact"/>
              <w:jc w:val="center"/>
              <w:rPr>
                <w:rFonts w:hint="eastAsia" w:asciiTheme="minorEastAsia" w:hAnsiTheme="minorEastAsia" w:eastAsiaTheme="minorEastAsia" w:cstheme="minorEastAsia"/>
                <w:b/>
                <w:bCs/>
                <w:color w:val="0F243E"/>
                <w:kern w:val="0"/>
                <w:sz w:val="24"/>
                <w:szCs w:val="24"/>
              </w:rPr>
            </w:pPr>
            <w:r>
              <w:rPr>
                <w:rFonts w:hint="eastAsia" w:asciiTheme="minorEastAsia" w:hAnsiTheme="minorEastAsia" w:eastAsiaTheme="minorEastAsia" w:cstheme="minorEastAsia"/>
                <w:b/>
                <w:bCs/>
                <w:color w:val="0F243E"/>
                <w:kern w:val="0"/>
                <w:sz w:val="24"/>
                <w:szCs w:val="24"/>
              </w:rPr>
              <w:t>分值</w:t>
            </w:r>
          </w:p>
        </w:tc>
      </w:tr>
      <w:tr w14:paraId="42C6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04" w:type="dxa"/>
            <w:vMerge w:val="restart"/>
            <w:noWrap w:val="0"/>
            <w:vAlign w:val="center"/>
          </w:tcPr>
          <w:p w14:paraId="4114D8E5">
            <w:pPr>
              <w:widowControl/>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65" w:type="dxa"/>
            <w:vMerge w:val="restart"/>
            <w:noWrap w:val="0"/>
            <w:vAlign w:val="center"/>
          </w:tcPr>
          <w:p w14:paraId="0001A236">
            <w:pPr>
              <w:widowControl/>
              <w:spacing w:line="440" w:lineRule="exact"/>
              <w:jc w:val="center"/>
              <w:rPr>
                <w:rFonts w:hint="eastAsia" w:asciiTheme="minorEastAsia" w:hAnsiTheme="minorEastAsia" w:eastAsiaTheme="minorEastAsia" w:cstheme="minorEastAsia"/>
                <w:color w:val="0F243E"/>
                <w:sz w:val="24"/>
                <w:szCs w:val="24"/>
              </w:rPr>
            </w:pPr>
            <w:r>
              <w:rPr>
                <w:rFonts w:hint="eastAsia" w:asciiTheme="minorEastAsia" w:hAnsiTheme="minorEastAsia" w:eastAsiaTheme="minorEastAsia" w:cstheme="minorEastAsia"/>
                <w:color w:val="0F243E"/>
                <w:sz w:val="24"/>
                <w:szCs w:val="24"/>
              </w:rPr>
              <w:t>投标人资信（</w:t>
            </w:r>
            <w:r>
              <w:rPr>
                <w:rFonts w:hint="eastAsia" w:asciiTheme="minorEastAsia" w:hAnsiTheme="minorEastAsia" w:eastAsiaTheme="minorEastAsia" w:cstheme="minorEastAsia"/>
                <w:color w:val="0F243E"/>
                <w:sz w:val="24"/>
                <w:szCs w:val="24"/>
                <w:lang w:val="en-US" w:eastAsia="zh-CN"/>
              </w:rPr>
              <w:t>7</w:t>
            </w:r>
            <w:r>
              <w:rPr>
                <w:rFonts w:hint="eastAsia" w:asciiTheme="minorEastAsia" w:hAnsiTheme="minorEastAsia" w:eastAsiaTheme="minorEastAsia" w:cstheme="minorEastAsia"/>
                <w:color w:val="0F243E"/>
                <w:sz w:val="24"/>
                <w:szCs w:val="24"/>
              </w:rPr>
              <w:t>分）</w:t>
            </w:r>
          </w:p>
        </w:tc>
        <w:tc>
          <w:tcPr>
            <w:tcW w:w="6674" w:type="dxa"/>
            <w:noWrap w:val="0"/>
            <w:vAlign w:val="center"/>
          </w:tcPr>
          <w:p w14:paraId="2BBC6674">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投标人具有授权范围的电动汽车充电桩专项计量授权证书或法定计量授权证书，得3分。</w:t>
            </w:r>
          </w:p>
        </w:tc>
        <w:tc>
          <w:tcPr>
            <w:tcW w:w="875" w:type="dxa"/>
            <w:noWrap w:val="0"/>
            <w:vAlign w:val="center"/>
          </w:tcPr>
          <w:p w14:paraId="4128A132">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r>
      <w:tr w14:paraId="6BE8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704" w:type="dxa"/>
            <w:vMerge w:val="continue"/>
            <w:noWrap w:val="0"/>
            <w:vAlign w:val="center"/>
          </w:tcPr>
          <w:p w14:paraId="7E7D0606">
            <w:pPr>
              <w:widowControl/>
              <w:spacing w:line="440" w:lineRule="exact"/>
              <w:jc w:val="center"/>
              <w:rPr>
                <w:rFonts w:hint="eastAsia" w:asciiTheme="minorEastAsia" w:hAnsiTheme="minorEastAsia" w:eastAsiaTheme="minorEastAsia" w:cstheme="minorEastAsia"/>
                <w:sz w:val="24"/>
                <w:szCs w:val="24"/>
              </w:rPr>
            </w:pPr>
          </w:p>
        </w:tc>
        <w:tc>
          <w:tcPr>
            <w:tcW w:w="1365" w:type="dxa"/>
            <w:vMerge w:val="continue"/>
            <w:noWrap w:val="0"/>
            <w:vAlign w:val="center"/>
          </w:tcPr>
          <w:p w14:paraId="01AE9E29">
            <w:pPr>
              <w:widowControl/>
              <w:spacing w:line="440" w:lineRule="exact"/>
              <w:jc w:val="center"/>
              <w:rPr>
                <w:rFonts w:hint="eastAsia" w:asciiTheme="minorEastAsia" w:hAnsiTheme="minorEastAsia" w:eastAsiaTheme="minorEastAsia" w:cstheme="minorEastAsia"/>
                <w:color w:val="0F243E"/>
                <w:sz w:val="24"/>
                <w:szCs w:val="24"/>
              </w:rPr>
            </w:pPr>
          </w:p>
        </w:tc>
        <w:tc>
          <w:tcPr>
            <w:tcW w:w="6674" w:type="dxa"/>
            <w:tcBorders>
              <w:bottom w:val="single" w:color="000000" w:sz="8" w:space="0"/>
            </w:tcBorders>
            <w:noWrap w:val="0"/>
            <w:vAlign w:val="center"/>
          </w:tcPr>
          <w:p w14:paraId="2096DCA4">
            <w:pPr>
              <w:widowControl/>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投标人具有ISO9001质量管理体系</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ISO14001环境管理体系和ISO45001职业健康管理体系证书以及</w:t>
            </w:r>
            <w:r>
              <w:rPr>
                <w:rFonts w:hint="eastAsia" w:asciiTheme="minorEastAsia" w:hAnsiTheme="minorEastAsia" w:eastAsiaTheme="minorEastAsia" w:cstheme="minorEastAsia"/>
                <w:color w:val="000000"/>
                <w:sz w:val="24"/>
                <w:szCs w:val="24"/>
              </w:rPr>
              <w:t>通过国家认可委员会实验室认可的</w:t>
            </w:r>
            <w:r>
              <w:rPr>
                <w:rFonts w:hint="eastAsia" w:asciiTheme="minorEastAsia" w:hAnsiTheme="minorEastAsia" w:eastAsiaTheme="minorEastAsia" w:cstheme="minorEastAsia"/>
                <w:color w:val="000000"/>
                <w:sz w:val="24"/>
                <w:szCs w:val="24"/>
                <w:lang w:val="en-US" w:eastAsia="zh-CN"/>
              </w:rPr>
              <w:t>证书</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以上所有证书都要求</w:t>
            </w:r>
            <w:r>
              <w:rPr>
                <w:rFonts w:hint="eastAsia" w:asciiTheme="minorEastAsia" w:hAnsiTheme="minorEastAsia" w:eastAsiaTheme="minorEastAsia" w:cstheme="minorEastAsia"/>
                <w:color w:val="000000"/>
                <w:sz w:val="24"/>
                <w:szCs w:val="24"/>
              </w:rPr>
              <w:t>在有效期内的，每个得1分，最高得</w:t>
            </w: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分。</w:t>
            </w:r>
            <w:r>
              <w:rPr>
                <w:rFonts w:hint="eastAsia" w:asciiTheme="minorEastAsia" w:hAnsiTheme="minorEastAsia" w:eastAsiaTheme="minorEastAsia" w:cstheme="minorEastAsia"/>
                <w:sz w:val="24"/>
                <w:szCs w:val="24"/>
                <w:lang w:val="zh-CN"/>
              </w:rPr>
              <w:t>（注：提供国家认监委网站截屏、认证或认可证书，扫描件或复印件加盖公章，否则不得分。）</w:t>
            </w:r>
          </w:p>
        </w:tc>
        <w:tc>
          <w:tcPr>
            <w:tcW w:w="875" w:type="dxa"/>
            <w:tcBorders>
              <w:bottom w:val="single" w:color="000000" w:sz="8" w:space="0"/>
            </w:tcBorders>
            <w:noWrap w:val="0"/>
            <w:vAlign w:val="center"/>
          </w:tcPr>
          <w:p w14:paraId="4EA8FC71">
            <w:pPr>
              <w:widowControl/>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r>
      <w:tr w14:paraId="641F9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04" w:type="dxa"/>
            <w:noWrap w:val="0"/>
            <w:vAlign w:val="center"/>
          </w:tcPr>
          <w:p w14:paraId="4D6E92C3">
            <w:pPr>
              <w:widowControl/>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365" w:type="dxa"/>
            <w:noWrap w:val="0"/>
            <w:vAlign w:val="center"/>
          </w:tcPr>
          <w:p w14:paraId="316456C8">
            <w:pPr>
              <w:widowControl/>
              <w:spacing w:line="440" w:lineRule="exact"/>
              <w:jc w:val="center"/>
              <w:rPr>
                <w:rFonts w:hint="eastAsia" w:asciiTheme="minorEastAsia" w:hAnsiTheme="minorEastAsia" w:eastAsiaTheme="minorEastAsia" w:cstheme="minorEastAsia"/>
                <w:color w:val="0F243E"/>
                <w:sz w:val="24"/>
                <w:szCs w:val="24"/>
              </w:rPr>
            </w:pPr>
            <w:r>
              <w:rPr>
                <w:rFonts w:hint="eastAsia" w:asciiTheme="minorEastAsia" w:hAnsiTheme="minorEastAsia" w:eastAsiaTheme="minorEastAsia" w:cstheme="minorEastAsia"/>
                <w:color w:val="0F243E"/>
                <w:sz w:val="24"/>
                <w:szCs w:val="24"/>
              </w:rPr>
              <w:t>业绩（1分）</w:t>
            </w:r>
          </w:p>
        </w:tc>
        <w:tc>
          <w:tcPr>
            <w:tcW w:w="6674" w:type="dxa"/>
            <w:noWrap w:val="0"/>
            <w:vAlign w:val="center"/>
          </w:tcPr>
          <w:p w14:paraId="28B364A9">
            <w:pPr>
              <w:widowControl/>
              <w:spacing w:line="4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投标人自202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年1月1日以来</w:t>
            </w:r>
            <w:r>
              <w:rPr>
                <w:rFonts w:hint="eastAsia" w:asciiTheme="minorEastAsia" w:hAnsiTheme="minorEastAsia" w:eastAsiaTheme="minorEastAsia" w:cstheme="minorEastAsia"/>
                <w:color w:val="auto"/>
                <w:sz w:val="24"/>
                <w:szCs w:val="24"/>
                <w:lang w:val="en-US" w:eastAsia="zh-CN"/>
              </w:rPr>
              <w:t>具有本项目相关</w:t>
            </w:r>
            <w:r>
              <w:rPr>
                <w:rFonts w:hint="eastAsia" w:asciiTheme="minorEastAsia" w:hAnsiTheme="minorEastAsia" w:eastAsiaTheme="minorEastAsia" w:cstheme="minorEastAsia"/>
                <w:color w:val="auto"/>
                <w:sz w:val="24"/>
                <w:szCs w:val="24"/>
              </w:rPr>
              <w:t>强制检定合同的每获得一个单项合同得0.5分，最多得1分。</w:t>
            </w:r>
          </w:p>
          <w:p w14:paraId="78555FC9">
            <w:pPr>
              <w:keepNext/>
              <w:outlineLvl w:val="1"/>
              <w:rPr>
                <w:rFonts w:hint="default" w:asciiTheme="minorEastAsia" w:hAnsiTheme="minorEastAsia" w:eastAsiaTheme="minorEastAsia" w:cstheme="minorEastAsia"/>
                <w:color w:val="auto"/>
                <w:sz w:val="24"/>
                <w:szCs w:val="24"/>
                <w:highlight w:val="yellow"/>
                <w:lang w:val="en-US" w:eastAsia="zh-CN"/>
              </w:rPr>
            </w:pPr>
            <w:r>
              <w:rPr>
                <w:rFonts w:hint="eastAsia" w:asciiTheme="minorEastAsia" w:hAnsiTheme="minorEastAsia" w:eastAsiaTheme="minorEastAsia" w:cstheme="minorEastAsia"/>
                <w:color w:val="auto"/>
                <w:sz w:val="24"/>
                <w:szCs w:val="24"/>
              </w:rPr>
              <w:t>注：提供合同或协议复印件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并加盖单位公章。</w:t>
            </w:r>
          </w:p>
        </w:tc>
        <w:tc>
          <w:tcPr>
            <w:tcW w:w="875" w:type="dxa"/>
            <w:noWrap w:val="0"/>
            <w:vAlign w:val="center"/>
          </w:tcPr>
          <w:p w14:paraId="3258A0A9">
            <w:pPr>
              <w:widowControl/>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r>
      <w:tr w14:paraId="3A0C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04" w:type="dxa"/>
            <w:noWrap w:val="0"/>
            <w:vAlign w:val="center"/>
          </w:tcPr>
          <w:p w14:paraId="012612C2">
            <w:pPr>
              <w:widowControl/>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1365" w:type="dxa"/>
            <w:noWrap w:val="0"/>
            <w:vAlign w:val="center"/>
          </w:tcPr>
          <w:p w14:paraId="3315C909">
            <w:pPr>
              <w:widowControl/>
              <w:spacing w:line="440" w:lineRule="exact"/>
              <w:jc w:val="center"/>
              <w:rPr>
                <w:rFonts w:hint="eastAsia" w:eastAsia="宋体" w:asciiTheme="minorEastAsia" w:hAnsiTheme="minorEastAsia" w:cstheme="minorEastAsia"/>
                <w:sz w:val="24"/>
                <w:szCs w:val="24"/>
                <w:lang w:eastAsia="zh-CN"/>
              </w:rPr>
            </w:pPr>
            <w:r>
              <w:rPr>
                <w:rFonts w:hint="eastAsia" w:ascii="宋体" w:hAnsi="宋体" w:cs="宋体"/>
                <w:color w:val="auto"/>
                <w:sz w:val="24"/>
                <w:highlight w:val="none"/>
              </w:rPr>
              <w:t>项目负责人素质情况</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4分</w:t>
            </w:r>
            <w:r>
              <w:rPr>
                <w:rFonts w:hint="eastAsia" w:ascii="宋体" w:hAnsi="宋体" w:cs="宋体"/>
                <w:color w:val="auto"/>
                <w:sz w:val="24"/>
                <w:highlight w:val="none"/>
                <w:lang w:eastAsia="zh-CN"/>
              </w:rPr>
              <w:t>）</w:t>
            </w:r>
          </w:p>
        </w:tc>
        <w:tc>
          <w:tcPr>
            <w:tcW w:w="6674" w:type="dxa"/>
            <w:noWrap w:val="0"/>
            <w:vAlign w:val="center"/>
          </w:tcPr>
          <w:p w14:paraId="217A0DF6">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bidi="ar"/>
              </w:rPr>
              <w:t>（1）拟派本项目负责人（项目经理）</w:t>
            </w:r>
            <w:r>
              <w:rPr>
                <w:rFonts w:hint="eastAsia" w:ascii="宋体" w:hAnsi="宋体" w:cs="宋体"/>
                <w:color w:val="auto"/>
                <w:sz w:val="24"/>
                <w:highlight w:val="none"/>
              </w:rPr>
              <w:t>具有高级工程师职称证书（计量或质量等相关专业）得2分。</w:t>
            </w:r>
          </w:p>
          <w:p w14:paraId="57A136B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lang w:bidi="ar"/>
              </w:rPr>
              <w:t>拟派本项目负责人（项目经理）</w:t>
            </w:r>
            <w:r>
              <w:rPr>
                <w:rFonts w:hint="eastAsia" w:ascii="宋体" w:hAnsi="宋体" w:cs="宋体"/>
                <w:color w:val="auto"/>
                <w:sz w:val="24"/>
                <w:highlight w:val="none"/>
              </w:rPr>
              <w:t>具有类似检定项目实施经验得2分。</w:t>
            </w:r>
          </w:p>
          <w:p w14:paraId="39F0A18F">
            <w:pPr>
              <w:widowControl/>
              <w:spacing w:line="440" w:lineRule="exact"/>
              <w:rPr>
                <w:rFonts w:hint="eastAsia" w:asciiTheme="minorEastAsia" w:hAnsiTheme="minorEastAsia" w:eastAsiaTheme="minorEastAsia" w:cstheme="minorEastAsia"/>
                <w:color w:val="auto"/>
                <w:kern w:val="2"/>
                <w:sz w:val="24"/>
                <w:szCs w:val="24"/>
              </w:rPr>
            </w:pPr>
            <w:r>
              <w:rPr>
                <w:rFonts w:hint="eastAsia" w:ascii="宋体" w:hAnsi="宋体" w:cs="宋体"/>
                <w:b/>
                <w:bCs/>
                <w:color w:val="auto"/>
                <w:kern w:val="0"/>
                <w:sz w:val="24"/>
                <w:highlight w:val="none"/>
                <w:lang w:bidi="ar"/>
              </w:rPr>
              <w:t>说明：提供相关证书复印件及投标人为其缴纳的近3个月内任意一个月社保缴纳记录或劳动合同；类似项目实施经验证明</w:t>
            </w:r>
            <w:r>
              <w:rPr>
                <w:rFonts w:hint="eastAsia" w:ascii="宋体" w:hAnsi="宋体" w:cs="宋体"/>
                <w:b/>
                <w:bCs/>
                <w:color w:val="auto"/>
                <w:sz w:val="24"/>
                <w:highlight w:val="none"/>
              </w:rPr>
              <w:t>提供业绩合同，</w:t>
            </w:r>
            <w:r>
              <w:rPr>
                <w:rStyle w:val="965"/>
                <w:rFonts w:hint="eastAsia" w:ascii="宋体" w:hAnsi="宋体" w:cs="宋体"/>
                <w:b/>
                <w:bCs/>
                <w:color w:val="auto"/>
                <w:spacing w:val="-12"/>
                <w:sz w:val="24"/>
                <w:highlight w:val="none"/>
              </w:rPr>
              <w:t>若合同不能完全体现得分条件的，另提供中标通知书、或竣工资料、 或业主证明资料，</w:t>
            </w:r>
            <w:r>
              <w:rPr>
                <w:rFonts w:hint="eastAsia" w:ascii="宋体" w:hAnsi="宋体" w:cs="宋体"/>
                <w:b/>
                <w:bCs/>
                <w:color w:val="auto"/>
                <w:kern w:val="0"/>
                <w:sz w:val="24"/>
                <w:highlight w:val="none"/>
                <w:lang w:bidi="ar"/>
              </w:rPr>
              <w:t>否则不得分。</w:t>
            </w:r>
          </w:p>
        </w:tc>
        <w:tc>
          <w:tcPr>
            <w:tcW w:w="875" w:type="dxa"/>
            <w:noWrap w:val="0"/>
            <w:vAlign w:val="center"/>
          </w:tcPr>
          <w:p w14:paraId="4BB9FE18">
            <w:pPr>
              <w:widowControl/>
              <w:spacing w:line="44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r>
      <w:tr w14:paraId="6E20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704" w:type="dxa"/>
            <w:vMerge w:val="restart"/>
            <w:noWrap w:val="0"/>
            <w:vAlign w:val="center"/>
          </w:tcPr>
          <w:p w14:paraId="3EC53B1A">
            <w:pPr>
              <w:widowControl/>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365" w:type="dxa"/>
            <w:vMerge w:val="restart"/>
            <w:noWrap w:val="0"/>
            <w:vAlign w:val="center"/>
          </w:tcPr>
          <w:p w14:paraId="4A6F9C58">
            <w:pPr>
              <w:widowControl/>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项目成员情况</w:t>
            </w:r>
          </w:p>
          <w:p w14:paraId="583BBDDE">
            <w:pPr>
              <w:widowControl/>
              <w:spacing w:line="440" w:lineRule="exact"/>
              <w:jc w:val="center"/>
              <w:rPr>
                <w:rFonts w:hint="eastAsia" w:asciiTheme="minorEastAsia" w:hAnsiTheme="minorEastAsia" w:eastAsiaTheme="minorEastAsia" w:cstheme="minorEastAsia"/>
                <w:color w:val="0F243E"/>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分）</w:t>
            </w:r>
          </w:p>
        </w:tc>
        <w:tc>
          <w:tcPr>
            <w:tcW w:w="6674" w:type="dxa"/>
            <w:noWrap w:val="0"/>
            <w:vAlign w:val="center"/>
          </w:tcPr>
          <w:p w14:paraId="17597EBF">
            <w:pPr>
              <w:widowControl/>
              <w:spacing w:line="4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lang w:val="en-US" w:eastAsia="zh-CN"/>
              </w:rPr>
              <w:t>项目组实施成员</w:t>
            </w:r>
            <w:r>
              <w:rPr>
                <w:rFonts w:hint="eastAsia" w:ascii="宋体" w:hAnsi="宋体" w:cs="宋体"/>
                <w:color w:val="auto"/>
                <w:kern w:val="0"/>
                <w:sz w:val="24"/>
                <w:highlight w:val="none"/>
                <w:lang w:bidi="ar"/>
              </w:rPr>
              <w:t>（除项目负责人外）</w:t>
            </w:r>
            <w:r>
              <w:rPr>
                <w:rFonts w:hint="eastAsia" w:asciiTheme="minorEastAsia" w:hAnsiTheme="minorEastAsia" w:eastAsiaTheme="minorEastAsia" w:cstheme="minorEastAsia"/>
                <w:color w:val="auto"/>
                <w:kern w:val="2"/>
                <w:sz w:val="24"/>
                <w:szCs w:val="24"/>
              </w:rPr>
              <w:t>具有相应计量专业项目考核合格证明和二级及以上注册计量师证书的</w:t>
            </w:r>
            <w:r>
              <w:rPr>
                <w:rFonts w:hint="eastAsia" w:asciiTheme="minorEastAsia" w:hAnsiTheme="minorEastAsia" w:eastAsiaTheme="minorEastAsia" w:cstheme="minorEastAsia"/>
                <w:color w:val="auto"/>
                <w:kern w:val="2"/>
                <w:sz w:val="24"/>
                <w:szCs w:val="24"/>
                <w:highlight w:val="none"/>
                <w:shd w:val="clear" w:color="auto" w:fill="auto"/>
              </w:rPr>
              <w:t>，</w:t>
            </w:r>
            <w:r>
              <w:rPr>
                <w:rFonts w:hint="eastAsia" w:asciiTheme="minorEastAsia" w:hAnsiTheme="minorEastAsia" w:eastAsiaTheme="minorEastAsia" w:cstheme="minorEastAsia"/>
                <w:color w:val="auto"/>
                <w:sz w:val="24"/>
                <w:szCs w:val="24"/>
                <w:highlight w:val="none"/>
              </w:rPr>
              <w:t>每</w:t>
            </w:r>
            <w:r>
              <w:rPr>
                <w:rFonts w:hint="eastAsia" w:asciiTheme="minorEastAsia" w:hAnsiTheme="minorEastAsia" w:eastAsiaTheme="minorEastAsia" w:cstheme="minorEastAsia"/>
                <w:color w:val="auto"/>
                <w:sz w:val="24"/>
                <w:szCs w:val="24"/>
                <w:highlight w:val="none"/>
                <w:lang w:val="en-US" w:eastAsia="zh-CN"/>
              </w:rPr>
              <w:t>有</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个</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分，最高得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kern w:val="2"/>
                <w:sz w:val="24"/>
                <w:szCs w:val="24"/>
              </w:rPr>
              <w:t>（注：提供考核合格证明、证书、近三个月内任意一个月社保证明）</w:t>
            </w:r>
          </w:p>
        </w:tc>
        <w:tc>
          <w:tcPr>
            <w:tcW w:w="875" w:type="dxa"/>
            <w:noWrap w:val="0"/>
            <w:vAlign w:val="center"/>
          </w:tcPr>
          <w:p w14:paraId="29E9F36C">
            <w:pPr>
              <w:widowControl/>
              <w:spacing w:line="44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r>
      <w:tr w14:paraId="5DAA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704" w:type="dxa"/>
            <w:vMerge w:val="continue"/>
            <w:noWrap w:val="0"/>
            <w:vAlign w:val="center"/>
          </w:tcPr>
          <w:p w14:paraId="0D196A13">
            <w:pPr>
              <w:widowControl/>
              <w:spacing w:line="440" w:lineRule="exact"/>
              <w:jc w:val="center"/>
              <w:rPr>
                <w:rFonts w:hint="eastAsia" w:asciiTheme="minorEastAsia" w:hAnsiTheme="minorEastAsia" w:eastAsiaTheme="minorEastAsia" w:cstheme="minorEastAsia"/>
                <w:sz w:val="24"/>
                <w:szCs w:val="24"/>
              </w:rPr>
            </w:pPr>
          </w:p>
        </w:tc>
        <w:tc>
          <w:tcPr>
            <w:tcW w:w="1365" w:type="dxa"/>
            <w:vMerge w:val="continue"/>
            <w:noWrap w:val="0"/>
            <w:vAlign w:val="center"/>
          </w:tcPr>
          <w:p w14:paraId="0126E3D1">
            <w:pPr>
              <w:widowControl/>
              <w:spacing w:line="440" w:lineRule="exact"/>
              <w:jc w:val="center"/>
              <w:rPr>
                <w:rFonts w:hint="eastAsia" w:asciiTheme="minorEastAsia" w:hAnsiTheme="minorEastAsia" w:eastAsiaTheme="minorEastAsia" w:cstheme="minorEastAsia"/>
                <w:sz w:val="24"/>
                <w:szCs w:val="24"/>
              </w:rPr>
            </w:pPr>
          </w:p>
        </w:tc>
        <w:tc>
          <w:tcPr>
            <w:tcW w:w="6674" w:type="dxa"/>
            <w:noWrap w:val="0"/>
            <w:vAlign w:val="center"/>
          </w:tcPr>
          <w:p w14:paraId="2FB91C3F">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bidi="ar"/>
              </w:rPr>
              <w:t>项目组实施成员（除项目负责人外）</w:t>
            </w:r>
            <w:r>
              <w:rPr>
                <w:rFonts w:hint="eastAsia" w:ascii="宋体" w:hAnsi="宋体" w:cs="宋体"/>
                <w:color w:val="auto"/>
                <w:sz w:val="24"/>
                <w:highlight w:val="none"/>
              </w:rPr>
              <w:t>具有类似检定项目实施经验的每有一人得1分，最高得3分。</w:t>
            </w:r>
          </w:p>
          <w:p w14:paraId="17451D90">
            <w:pPr>
              <w:widowControl/>
              <w:spacing w:line="440" w:lineRule="exact"/>
              <w:rPr>
                <w:rFonts w:hint="eastAsia" w:asciiTheme="minorEastAsia" w:hAnsiTheme="minorEastAsia" w:eastAsiaTheme="minorEastAsia" w:cstheme="minorEastAsia"/>
                <w:color w:val="auto"/>
                <w:kern w:val="2"/>
                <w:sz w:val="24"/>
                <w:szCs w:val="24"/>
              </w:rPr>
            </w:pPr>
            <w:r>
              <w:rPr>
                <w:rFonts w:hint="eastAsia" w:ascii="宋体" w:hAnsi="宋体" w:cs="宋体"/>
                <w:b/>
                <w:bCs/>
                <w:color w:val="auto"/>
                <w:kern w:val="0"/>
                <w:sz w:val="24"/>
                <w:highlight w:val="none"/>
                <w:lang w:bidi="ar"/>
              </w:rPr>
              <w:t>说明：提供相关证书复印件及投标人为其缴纳的近3个月内任意一个月社保缴纳记录或劳动合同；类似项目实施经验证明</w:t>
            </w:r>
            <w:r>
              <w:rPr>
                <w:rFonts w:hint="eastAsia" w:ascii="宋体" w:hAnsi="宋体" w:cs="宋体"/>
                <w:b/>
                <w:bCs/>
                <w:color w:val="auto"/>
                <w:sz w:val="24"/>
                <w:highlight w:val="none"/>
              </w:rPr>
              <w:t>提供业绩合同，</w:t>
            </w:r>
            <w:r>
              <w:rPr>
                <w:rStyle w:val="965"/>
                <w:rFonts w:hint="eastAsia" w:ascii="宋体" w:hAnsi="宋体" w:cs="宋体"/>
                <w:b/>
                <w:bCs/>
                <w:color w:val="auto"/>
                <w:spacing w:val="-12"/>
                <w:sz w:val="24"/>
                <w:highlight w:val="none"/>
              </w:rPr>
              <w:t>若合同不能完全体现得分条件的，另提供中标通知书、或竣工资料、 或业主证明资料，</w:t>
            </w:r>
            <w:r>
              <w:rPr>
                <w:rFonts w:hint="eastAsia" w:ascii="宋体" w:hAnsi="宋体" w:cs="宋体"/>
                <w:b/>
                <w:bCs/>
                <w:color w:val="auto"/>
                <w:kern w:val="0"/>
                <w:sz w:val="24"/>
                <w:highlight w:val="none"/>
                <w:lang w:bidi="ar"/>
              </w:rPr>
              <w:t>否则不得分。</w:t>
            </w:r>
          </w:p>
        </w:tc>
        <w:tc>
          <w:tcPr>
            <w:tcW w:w="875" w:type="dxa"/>
            <w:noWrap w:val="0"/>
            <w:vAlign w:val="center"/>
          </w:tcPr>
          <w:p w14:paraId="264F8209">
            <w:pPr>
              <w:widowControl/>
              <w:spacing w:line="44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r>
      <w:tr w14:paraId="7808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restart"/>
            <w:shd w:val="clear" w:color="auto" w:fill="auto"/>
            <w:noWrap w:val="0"/>
            <w:vAlign w:val="center"/>
          </w:tcPr>
          <w:p w14:paraId="348B49E7">
            <w:pPr>
              <w:keepNext/>
              <w:jc w:val="center"/>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c>
          <w:tcPr>
            <w:tcW w:w="1365" w:type="dxa"/>
            <w:vMerge w:val="restart"/>
            <w:shd w:val="clear" w:color="auto" w:fill="auto"/>
            <w:noWrap w:val="0"/>
            <w:vAlign w:val="center"/>
          </w:tcPr>
          <w:p w14:paraId="70CAA889">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团队人员配置方案</w:t>
            </w:r>
          </w:p>
          <w:p w14:paraId="619028F2">
            <w:pPr>
              <w:keepNext/>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分）</w:t>
            </w:r>
          </w:p>
        </w:tc>
        <w:tc>
          <w:tcPr>
            <w:tcW w:w="6674" w:type="dxa"/>
            <w:shd w:val="clear" w:color="auto" w:fill="auto"/>
            <w:noWrap w:val="0"/>
            <w:vAlign w:val="center"/>
          </w:tcPr>
          <w:p w14:paraId="3B7A37CF">
            <w:pPr>
              <w:spacing w:line="360" w:lineRule="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sz w:val="24"/>
                <w:szCs w:val="24"/>
              </w:rPr>
              <w:t>响应供应商应结合本项目实际工作量和拟投入人员的情况，合理配置各阶段人员组成、时间进度并进行岗位分配，提供合理的团队人员配置方案，</w:t>
            </w:r>
            <w:r>
              <w:rPr>
                <w:rFonts w:hint="eastAsia" w:asciiTheme="minorEastAsia" w:hAnsiTheme="minorEastAsia" w:eastAsiaTheme="minorEastAsia" w:cstheme="minorEastAsia"/>
                <w:sz w:val="24"/>
                <w:szCs w:val="24"/>
                <w:lang w:val="en-US" w:eastAsia="zh-CN"/>
              </w:rPr>
              <w:t>配置方案</w:t>
            </w:r>
            <w:r>
              <w:rPr>
                <w:rFonts w:hint="eastAsia" w:asciiTheme="minorEastAsia" w:hAnsiTheme="minorEastAsia" w:eastAsiaTheme="minorEastAsia" w:cstheme="minorEastAsia"/>
                <w:color w:val="auto"/>
                <w:sz w:val="24"/>
                <w:szCs w:val="24"/>
                <w:u w:val="none"/>
                <w:lang w:val="en-US" w:eastAsia="zh-CN"/>
              </w:rPr>
              <w:t>齐全且完美适配本项目得4-5分；配置方案较齐全能基本符合本项目得2-4分；配置方案简单不够合理得0-2分。</w:t>
            </w:r>
            <w:r>
              <w:rPr>
                <w:rFonts w:hint="eastAsia" w:asciiTheme="minorEastAsia" w:hAnsiTheme="minorEastAsia" w:eastAsiaTheme="minorEastAsia" w:cstheme="minorEastAsia"/>
                <w:color w:val="auto"/>
                <w:sz w:val="24"/>
                <w:szCs w:val="24"/>
                <w:u w:val="none"/>
              </w:rPr>
              <w:t>最高得</w:t>
            </w:r>
            <w:r>
              <w:rPr>
                <w:rFonts w:hint="eastAsia" w:asciiTheme="minorEastAsia" w:hAnsiTheme="minorEastAsia" w:eastAsiaTheme="minorEastAsia" w:cstheme="minorEastAsia"/>
                <w:color w:val="auto"/>
                <w:sz w:val="24"/>
                <w:szCs w:val="24"/>
                <w:u w:val="none"/>
                <w:lang w:val="en-US" w:eastAsia="zh-CN"/>
              </w:rPr>
              <w:t>5</w:t>
            </w:r>
            <w:r>
              <w:rPr>
                <w:rFonts w:hint="eastAsia" w:asciiTheme="minorEastAsia" w:hAnsiTheme="minorEastAsia" w:eastAsiaTheme="minorEastAsia" w:cstheme="minorEastAsia"/>
                <w:color w:val="auto"/>
                <w:sz w:val="24"/>
                <w:szCs w:val="24"/>
                <w:u w:val="none"/>
              </w:rPr>
              <w:t>分。</w:t>
            </w:r>
          </w:p>
        </w:tc>
        <w:tc>
          <w:tcPr>
            <w:tcW w:w="875" w:type="dxa"/>
            <w:shd w:val="clear" w:color="auto" w:fill="auto"/>
            <w:noWrap w:val="0"/>
            <w:vAlign w:val="center"/>
          </w:tcPr>
          <w:p w14:paraId="4585EF46">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r>
      <w:tr w14:paraId="0791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noWrap w:val="0"/>
            <w:vAlign w:val="center"/>
          </w:tcPr>
          <w:p w14:paraId="67F2B83D">
            <w:pPr>
              <w:jc w:val="center"/>
              <w:rPr>
                <w:rFonts w:hint="eastAsia" w:asciiTheme="minorEastAsia" w:hAnsiTheme="minorEastAsia" w:eastAsiaTheme="minorEastAsia" w:cstheme="minorEastAsia"/>
                <w:sz w:val="24"/>
                <w:szCs w:val="24"/>
                <w:lang w:val="en-US" w:eastAsia="zh-CN"/>
              </w:rPr>
            </w:pPr>
          </w:p>
        </w:tc>
        <w:tc>
          <w:tcPr>
            <w:tcW w:w="1365" w:type="dxa"/>
            <w:vMerge w:val="continue"/>
            <w:noWrap w:val="0"/>
            <w:vAlign w:val="center"/>
          </w:tcPr>
          <w:p w14:paraId="417A8AB7">
            <w:pPr>
              <w:rPr>
                <w:rFonts w:hint="eastAsia" w:asciiTheme="minorEastAsia" w:hAnsiTheme="minorEastAsia" w:eastAsiaTheme="minorEastAsia" w:cstheme="minorEastAsia"/>
                <w:color w:val="000000"/>
                <w:sz w:val="24"/>
                <w:szCs w:val="24"/>
              </w:rPr>
            </w:pPr>
          </w:p>
        </w:tc>
        <w:tc>
          <w:tcPr>
            <w:tcW w:w="6674" w:type="dxa"/>
            <w:shd w:val="clear" w:color="auto" w:fill="auto"/>
            <w:noWrap w:val="0"/>
            <w:vAlign w:val="center"/>
          </w:tcPr>
          <w:p w14:paraId="32379ADF">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根据投标人人员培训计划及内部管理制度的全面性及合理性综合</w:t>
            </w:r>
            <w:r>
              <w:rPr>
                <w:rFonts w:hint="eastAsia" w:asciiTheme="minorEastAsia" w:hAnsiTheme="minorEastAsia" w:eastAsiaTheme="minorEastAsia" w:cstheme="minorEastAsia"/>
                <w:sz w:val="24"/>
                <w:szCs w:val="24"/>
                <w:lang w:val="en-US" w:eastAsia="zh-CN"/>
              </w:rPr>
              <w:t>打分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制度完善且合理可行得3-5分；制度内容较完善且基本可行得2-3分；制度简单且略欠缺可行得0-1分；不可行不得分；</w:t>
            </w:r>
            <w:r>
              <w:rPr>
                <w:rFonts w:hint="eastAsia" w:asciiTheme="minorEastAsia" w:hAnsiTheme="minorEastAsia" w:eastAsiaTheme="minorEastAsia" w:cstheme="minorEastAsia"/>
                <w:sz w:val="24"/>
                <w:szCs w:val="24"/>
              </w:rPr>
              <w:t>本项最高得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tc>
        <w:tc>
          <w:tcPr>
            <w:tcW w:w="875" w:type="dxa"/>
            <w:shd w:val="clear" w:color="auto" w:fill="auto"/>
            <w:noWrap w:val="0"/>
            <w:vAlign w:val="center"/>
          </w:tcPr>
          <w:p w14:paraId="1F15FB18">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r>
      <w:tr w14:paraId="56ED0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noWrap w:val="0"/>
            <w:vAlign w:val="center"/>
          </w:tcPr>
          <w:p w14:paraId="67461E10">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1365" w:type="dxa"/>
            <w:noWrap w:val="0"/>
            <w:vAlign w:val="center"/>
          </w:tcPr>
          <w:p w14:paraId="4E5AB04A">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检定/校准</w:t>
            </w:r>
            <w:r>
              <w:rPr>
                <w:rFonts w:hint="eastAsia" w:asciiTheme="minorEastAsia" w:hAnsiTheme="minorEastAsia" w:eastAsiaTheme="minorEastAsia" w:cstheme="minorEastAsia"/>
                <w:bCs/>
                <w:color w:val="000000"/>
                <w:sz w:val="24"/>
                <w:szCs w:val="24"/>
              </w:rPr>
              <w:t>设备（</w:t>
            </w:r>
            <w:r>
              <w:rPr>
                <w:rFonts w:hint="eastAsia" w:asciiTheme="minorEastAsia" w:hAnsiTheme="minorEastAsia" w:eastAsiaTheme="minorEastAsia" w:cstheme="minorEastAsia"/>
                <w:bCs/>
                <w:color w:val="000000"/>
                <w:sz w:val="24"/>
                <w:szCs w:val="24"/>
                <w:lang w:val="en-US" w:eastAsia="zh-CN"/>
              </w:rPr>
              <w:t>6</w:t>
            </w:r>
            <w:r>
              <w:rPr>
                <w:rFonts w:hint="eastAsia" w:asciiTheme="minorEastAsia" w:hAnsiTheme="minorEastAsia" w:eastAsiaTheme="minorEastAsia" w:cstheme="minorEastAsia"/>
                <w:bCs/>
                <w:color w:val="000000"/>
                <w:sz w:val="24"/>
                <w:szCs w:val="24"/>
              </w:rPr>
              <w:t>分）</w:t>
            </w:r>
          </w:p>
        </w:tc>
        <w:tc>
          <w:tcPr>
            <w:tcW w:w="6674" w:type="dxa"/>
            <w:noWrap w:val="0"/>
            <w:vAlign w:val="center"/>
          </w:tcPr>
          <w:p w14:paraId="2C3E953C">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投标人符合本项目要求的设备及实验仪器等。根据投入本项目主要设备，进行打分</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设备齐全完全符合项目要求得4-6分；设备较齐全，基本符合要求得2-4分；设备略微欠缺但绝大部分都有能满足要求得1-2分；设备不全或者只有部分设备得0-1分；未提此项不得分。设备完全</w:t>
            </w:r>
            <w:r>
              <w:rPr>
                <w:rFonts w:hint="eastAsia" w:asciiTheme="minorEastAsia" w:hAnsiTheme="minorEastAsia" w:eastAsiaTheme="minorEastAsia" w:cstheme="minorEastAsia"/>
                <w:color w:val="000000"/>
                <w:sz w:val="24"/>
                <w:szCs w:val="24"/>
              </w:rPr>
              <w:t>最高得</w:t>
            </w: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rPr>
              <w:t>分。</w:t>
            </w:r>
          </w:p>
          <w:p w14:paraId="35996B40">
            <w:pPr>
              <w:spacing w:line="360" w:lineRule="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注：提供实验室检测设备详细清单、数量、购置时间及有效期内实验室检测设备检定证书，并提供实验室图片及仪器设备图片，证书复印件加盖公章</w:t>
            </w:r>
            <w:r>
              <w:rPr>
                <w:rFonts w:hint="eastAsia" w:asciiTheme="minorEastAsia" w:hAnsiTheme="minorEastAsia" w:eastAsiaTheme="minorEastAsia" w:cstheme="minorEastAsia"/>
                <w:color w:val="000000"/>
                <w:sz w:val="24"/>
                <w:szCs w:val="24"/>
                <w:lang w:eastAsia="zh-CN"/>
              </w:rPr>
              <w:t>。</w:t>
            </w:r>
          </w:p>
        </w:tc>
        <w:tc>
          <w:tcPr>
            <w:tcW w:w="875" w:type="dxa"/>
            <w:noWrap w:val="0"/>
            <w:vAlign w:val="center"/>
          </w:tcPr>
          <w:p w14:paraId="4FA6E7E2">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6</w:t>
            </w:r>
          </w:p>
        </w:tc>
      </w:tr>
      <w:tr w14:paraId="210E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restart"/>
            <w:noWrap w:val="0"/>
            <w:vAlign w:val="center"/>
          </w:tcPr>
          <w:p w14:paraId="22DD31F4">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p>
        </w:tc>
        <w:tc>
          <w:tcPr>
            <w:tcW w:w="1365" w:type="dxa"/>
            <w:vMerge w:val="restart"/>
            <w:noWrap w:val="0"/>
            <w:vAlign w:val="center"/>
          </w:tcPr>
          <w:p w14:paraId="6BBD9F4C">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实施方案</w:t>
            </w:r>
          </w:p>
          <w:p w14:paraId="0D2763F0">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rPr>
              <w:t>分）</w:t>
            </w:r>
          </w:p>
        </w:tc>
        <w:tc>
          <w:tcPr>
            <w:tcW w:w="6674" w:type="dxa"/>
            <w:noWrap w:val="0"/>
            <w:vAlign w:val="center"/>
          </w:tcPr>
          <w:p w14:paraId="7903A66A">
            <w:pPr>
              <w:spacing w:line="360" w:lineRule="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根据投标人提供的服务方案进行综合打分。</w:t>
            </w:r>
            <w:r>
              <w:rPr>
                <w:rFonts w:hint="eastAsia" w:asciiTheme="minorEastAsia" w:hAnsiTheme="minorEastAsia" w:eastAsiaTheme="minorEastAsia" w:cstheme="minorEastAsia"/>
                <w:color w:val="000000"/>
                <w:sz w:val="24"/>
                <w:szCs w:val="24"/>
                <w:lang w:val="en-US" w:eastAsia="zh-CN"/>
              </w:rPr>
              <w:t>服务</w:t>
            </w:r>
            <w:r>
              <w:rPr>
                <w:rFonts w:hint="eastAsia" w:asciiTheme="minorEastAsia" w:hAnsiTheme="minorEastAsia" w:eastAsiaTheme="minorEastAsia" w:cstheme="minorEastAsia"/>
                <w:color w:val="000000"/>
                <w:sz w:val="24"/>
                <w:szCs w:val="24"/>
                <w:lang w:val="en-US" w:eastAsia="zh-CN" w:bidi="ar"/>
              </w:rPr>
              <w:t>方案</w:t>
            </w:r>
            <w:r>
              <w:rPr>
                <w:rFonts w:hint="eastAsia" w:asciiTheme="minorEastAsia" w:hAnsiTheme="minorEastAsia" w:eastAsiaTheme="minorEastAsia" w:cstheme="minorEastAsia"/>
                <w:color w:val="000000"/>
                <w:sz w:val="24"/>
                <w:szCs w:val="24"/>
                <w:lang w:bidi="ar"/>
              </w:rPr>
              <w:t>内容完整、合理、可行的得</w:t>
            </w:r>
            <w:r>
              <w:rPr>
                <w:rFonts w:hint="eastAsia" w:asciiTheme="minorEastAsia" w:hAnsiTheme="minorEastAsia" w:eastAsiaTheme="minorEastAsia" w:cstheme="minorEastAsia"/>
                <w:color w:val="000000"/>
                <w:sz w:val="24"/>
                <w:szCs w:val="24"/>
                <w:lang w:val="en-US" w:eastAsia="zh-CN" w:bidi="ar"/>
              </w:rPr>
              <w:t>3-5</w:t>
            </w:r>
            <w:r>
              <w:rPr>
                <w:rFonts w:hint="eastAsia" w:asciiTheme="minorEastAsia" w:hAnsiTheme="minorEastAsia" w:eastAsiaTheme="minorEastAsia" w:cstheme="minorEastAsia"/>
                <w:color w:val="000000"/>
                <w:sz w:val="24"/>
                <w:szCs w:val="24"/>
                <w:lang w:bidi="ar"/>
              </w:rPr>
              <w:t>分；</w:t>
            </w:r>
            <w:r>
              <w:rPr>
                <w:rFonts w:hint="eastAsia" w:asciiTheme="minorEastAsia" w:hAnsiTheme="minorEastAsia" w:eastAsiaTheme="minorEastAsia" w:cstheme="minorEastAsia"/>
                <w:color w:val="000000"/>
                <w:sz w:val="24"/>
                <w:szCs w:val="24"/>
                <w:lang w:val="en-US" w:eastAsia="zh-CN"/>
              </w:rPr>
              <w:t>服务</w:t>
            </w:r>
            <w:r>
              <w:rPr>
                <w:rFonts w:hint="eastAsia" w:asciiTheme="minorEastAsia" w:hAnsiTheme="minorEastAsia" w:eastAsiaTheme="minorEastAsia" w:cstheme="minorEastAsia"/>
                <w:color w:val="000000"/>
                <w:sz w:val="24"/>
                <w:szCs w:val="24"/>
                <w:lang w:val="en-US" w:eastAsia="zh-CN" w:bidi="ar"/>
              </w:rPr>
              <w:t>方案</w:t>
            </w:r>
            <w:r>
              <w:rPr>
                <w:rFonts w:hint="eastAsia" w:asciiTheme="minorEastAsia" w:hAnsiTheme="minorEastAsia" w:eastAsiaTheme="minorEastAsia" w:cstheme="minorEastAsia"/>
                <w:color w:val="000000"/>
                <w:sz w:val="24"/>
                <w:szCs w:val="24"/>
                <w:lang w:bidi="ar"/>
              </w:rPr>
              <w:t>内容基本完整、具有一定可行性的得</w:t>
            </w:r>
            <w:r>
              <w:rPr>
                <w:rFonts w:hint="eastAsia" w:asciiTheme="minorEastAsia" w:hAnsiTheme="minorEastAsia" w:eastAsiaTheme="minorEastAsia" w:cstheme="minorEastAsia"/>
                <w:color w:val="000000"/>
                <w:sz w:val="24"/>
                <w:szCs w:val="24"/>
                <w:lang w:val="en-US" w:eastAsia="zh-CN" w:bidi="ar"/>
              </w:rPr>
              <w:t>2-3</w:t>
            </w:r>
            <w:r>
              <w:rPr>
                <w:rFonts w:hint="eastAsia" w:asciiTheme="minorEastAsia" w:hAnsiTheme="minorEastAsia" w:eastAsiaTheme="minorEastAsia" w:cstheme="minorEastAsia"/>
                <w:color w:val="000000"/>
                <w:sz w:val="24"/>
                <w:szCs w:val="24"/>
                <w:lang w:bidi="ar"/>
              </w:rPr>
              <w:t>分；</w:t>
            </w:r>
            <w:r>
              <w:rPr>
                <w:rFonts w:hint="eastAsia" w:asciiTheme="minorEastAsia" w:hAnsiTheme="minorEastAsia" w:eastAsiaTheme="minorEastAsia" w:cstheme="minorEastAsia"/>
                <w:color w:val="000000"/>
                <w:sz w:val="24"/>
                <w:szCs w:val="24"/>
                <w:lang w:val="en-US" w:eastAsia="zh-CN"/>
              </w:rPr>
              <w:t>服务</w:t>
            </w:r>
            <w:r>
              <w:rPr>
                <w:rFonts w:hint="eastAsia" w:asciiTheme="minorEastAsia" w:hAnsiTheme="minorEastAsia" w:eastAsiaTheme="minorEastAsia" w:cstheme="minorEastAsia"/>
                <w:color w:val="000000"/>
                <w:sz w:val="24"/>
                <w:szCs w:val="24"/>
                <w:lang w:val="en-US" w:eastAsia="zh-CN" w:bidi="ar"/>
              </w:rPr>
              <w:t>方案</w:t>
            </w:r>
            <w:r>
              <w:rPr>
                <w:rFonts w:hint="eastAsia" w:asciiTheme="minorEastAsia" w:hAnsiTheme="minorEastAsia" w:eastAsiaTheme="minorEastAsia" w:cstheme="minorEastAsia"/>
                <w:color w:val="000000"/>
                <w:sz w:val="24"/>
                <w:szCs w:val="24"/>
                <w:lang w:bidi="ar"/>
              </w:rPr>
              <w:t>内容一般的得</w:t>
            </w:r>
            <w:r>
              <w:rPr>
                <w:rFonts w:hint="eastAsia" w:asciiTheme="minorEastAsia" w:hAnsiTheme="minorEastAsia" w:eastAsiaTheme="minorEastAsia" w:cstheme="minorEastAsia"/>
                <w:color w:val="000000"/>
                <w:sz w:val="24"/>
                <w:szCs w:val="24"/>
                <w:lang w:val="en-US" w:eastAsia="zh-CN" w:bidi="ar"/>
              </w:rPr>
              <w:t>1-2</w:t>
            </w:r>
            <w:r>
              <w:rPr>
                <w:rFonts w:hint="eastAsia" w:asciiTheme="minorEastAsia" w:hAnsiTheme="minorEastAsia" w:eastAsiaTheme="minorEastAsia" w:cstheme="minorEastAsia"/>
                <w:color w:val="000000"/>
                <w:sz w:val="24"/>
                <w:szCs w:val="24"/>
                <w:lang w:bidi="ar"/>
              </w:rPr>
              <w:t>分；</w:t>
            </w:r>
            <w:r>
              <w:rPr>
                <w:rFonts w:hint="eastAsia" w:asciiTheme="minorEastAsia" w:hAnsiTheme="minorEastAsia" w:eastAsiaTheme="minorEastAsia" w:cstheme="minorEastAsia"/>
                <w:color w:val="000000"/>
                <w:sz w:val="24"/>
                <w:szCs w:val="24"/>
                <w:lang w:val="en-US" w:eastAsia="zh-CN"/>
              </w:rPr>
              <w:t>服务</w:t>
            </w:r>
            <w:r>
              <w:rPr>
                <w:rFonts w:hint="eastAsia" w:asciiTheme="minorEastAsia" w:hAnsiTheme="minorEastAsia" w:eastAsiaTheme="minorEastAsia" w:cstheme="minorEastAsia"/>
                <w:color w:val="000000"/>
                <w:sz w:val="24"/>
                <w:szCs w:val="24"/>
                <w:lang w:val="en-US" w:eastAsia="zh-CN" w:bidi="ar"/>
              </w:rPr>
              <w:t>方案</w:t>
            </w:r>
            <w:r>
              <w:rPr>
                <w:rFonts w:hint="eastAsia" w:asciiTheme="minorEastAsia" w:hAnsiTheme="minorEastAsia" w:eastAsiaTheme="minorEastAsia" w:cstheme="minorEastAsia"/>
                <w:color w:val="000000"/>
                <w:sz w:val="24"/>
                <w:szCs w:val="24"/>
                <w:lang w:bidi="ar"/>
              </w:rPr>
              <w:t>内容存在欠缺或有待完善的得</w:t>
            </w:r>
            <w:r>
              <w:rPr>
                <w:rFonts w:hint="eastAsia" w:asciiTheme="minorEastAsia" w:hAnsiTheme="minorEastAsia" w:eastAsiaTheme="minorEastAsia" w:cstheme="minorEastAsia"/>
                <w:color w:val="000000"/>
                <w:sz w:val="24"/>
                <w:szCs w:val="24"/>
                <w:lang w:val="en-US" w:eastAsia="zh-CN" w:bidi="ar"/>
              </w:rPr>
              <w:t>0-1</w:t>
            </w:r>
            <w:r>
              <w:rPr>
                <w:rFonts w:hint="eastAsia" w:asciiTheme="minorEastAsia" w:hAnsiTheme="minorEastAsia" w:eastAsiaTheme="minorEastAsia" w:cstheme="minorEastAsia"/>
                <w:color w:val="000000"/>
                <w:sz w:val="24"/>
                <w:szCs w:val="24"/>
                <w:lang w:bidi="ar"/>
              </w:rPr>
              <w:t>分；未提供不得分。</w:t>
            </w:r>
          </w:p>
        </w:tc>
        <w:tc>
          <w:tcPr>
            <w:tcW w:w="875" w:type="dxa"/>
            <w:noWrap w:val="0"/>
            <w:vAlign w:val="center"/>
          </w:tcPr>
          <w:p w14:paraId="7BC2522D">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5</w:t>
            </w:r>
          </w:p>
        </w:tc>
      </w:tr>
      <w:tr w14:paraId="48D5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noWrap w:val="0"/>
            <w:vAlign w:val="center"/>
          </w:tcPr>
          <w:p w14:paraId="1B2A5E4B">
            <w:pPr>
              <w:jc w:val="center"/>
              <w:rPr>
                <w:rFonts w:hint="eastAsia" w:asciiTheme="minorEastAsia" w:hAnsiTheme="minorEastAsia" w:eastAsiaTheme="minorEastAsia" w:cstheme="minorEastAsia"/>
                <w:sz w:val="24"/>
                <w:szCs w:val="24"/>
              </w:rPr>
            </w:pPr>
          </w:p>
        </w:tc>
        <w:tc>
          <w:tcPr>
            <w:tcW w:w="1365" w:type="dxa"/>
            <w:vMerge w:val="continue"/>
            <w:noWrap w:val="0"/>
            <w:vAlign w:val="center"/>
          </w:tcPr>
          <w:p w14:paraId="2A75A89C">
            <w:pPr>
              <w:rPr>
                <w:rFonts w:hint="eastAsia" w:asciiTheme="minorEastAsia" w:hAnsiTheme="minorEastAsia" w:eastAsiaTheme="minorEastAsia" w:cstheme="minorEastAsia"/>
                <w:sz w:val="24"/>
                <w:szCs w:val="24"/>
              </w:rPr>
            </w:pPr>
          </w:p>
        </w:tc>
        <w:tc>
          <w:tcPr>
            <w:tcW w:w="6674" w:type="dxa"/>
            <w:noWrap w:val="0"/>
            <w:vAlign w:val="center"/>
          </w:tcPr>
          <w:p w14:paraId="1DF4F762">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根据投标人提供的检定计划进行综合打分。检定计划</w:t>
            </w:r>
            <w:r>
              <w:rPr>
                <w:rFonts w:hint="eastAsia" w:asciiTheme="minorEastAsia" w:hAnsiTheme="minorEastAsia" w:eastAsiaTheme="minorEastAsia" w:cstheme="minorEastAsia"/>
                <w:color w:val="000000"/>
                <w:sz w:val="24"/>
                <w:szCs w:val="24"/>
                <w:lang w:bidi="ar"/>
              </w:rPr>
              <w:t>内容完整、合理、可行的得</w:t>
            </w:r>
            <w:r>
              <w:rPr>
                <w:rFonts w:hint="eastAsia" w:asciiTheme="minorEastAsia" w:hAnsiTheme="minorEastAsia" w:eastAsiaTheme="minorEastAsia" w:cstheme="minorEastAsia"/>
                <w:color w:val="000000"/>
                <w:sz w:val="24"/>
                <w:szCs w:val="24"/>
                <w:lang w:val="en-US" w:eastAsia="zh-CN" w:bidi="ar"/>
              </w:rPr>
              <w:t>3-5</w:t>
            </w:r>
            <w:r>
              <w:rPr>
                <w:rFonts w:hint="eastAsia" w:asciiTheme="minorEastAsia" w:hAnsiTheme="minorEastAsia" w:eastAsiaTheme="minorEastAsia" w:cstheme="minorEastAsia"/>
                <w:color w:val="000000"/>
                <w:sz w:val="24"/>
                <w:szCs w:val="24"/>
                <w:lang w:bidi="ar"/>
              </w:rPr>
              <w:t>分；</w:t>
            </w:r>
            <w:r>
              <w:rPr>
                <w:rFonts w:hint="eastAsia" w:asciiTheme="minorEastAsia" w:hAnsiTheme="minorEastAsia" w:eastAsiaTheme="minorEastAsia" w:cstheme="minorEastAsia"/>
                <w:color w:val="000000"/>
                <w:sz w:val="24"/>
                <w:szCs w:val="24"/>
              </w:rPr>
              <w:t>检定计划</w:t>
            </w:r>
            <w:r>
              <w:rPr>
                <w:rFonts w:hint="eastAsia" w:asciiTheme="minorEastAsia" w:hAnsiTheme="minorEastAsia" w:eastAsiaTheme="minorEastAsia" w:cstheme="minorEastAsia"/>
                <w:color w:val="000000"/>
                <w:sz w:val="24"/>
                <w:szCs w:val="24"/>
                <w:lang w:bidi="ar"/>
              </w:rPr>
              <w:t>内容基本完整、具有一定可行性的得</w:t>
            </w:r>
            <w:r>
              <w:rPr>
                <w:rFonts w:hint="eastAsia" w:asciiTheme="minorEastAsia" w:hAnsiTheme="minorEastAsia" w:eastAsiaTheme="minorEastAsia" w:cstheme="minorEastAsia"/>
                <w:color w:val="000000"/>
                <w:sz w:val="24"/>
                <w:szCs w:val="24"/>
                <w:lang w:val="en-US" w:eastAsia="zh-CN" w:bidi="ar"/>
              </w:rPr>
              <w:t>2-3</w:t>
            </w:r>
            <w:r>
              <w:rPr>
                <w:rFonts w:hint="eastAsia" w:asciiTheme="minorEastAsia" w:hAnsiTheme="minorEastAsia" w:eastAsiaTheme="minorEastAsia" w:cstheme="minorEastAsia"/>
                <w:color w:val="000000"/>
                <w:sz w:val="24"/>
                <w:szCs w:val="24"/>
                <w:lang w:bidi="ar"/>
              </w:rPr>
              <w:t>分；</w:t>
            </w:r>
            <w:r>
              <w:rPr>
                <w:rFonts w:hint="eastAsia" w:asciiTheme="minorEastAsia" w:hAnsiTheme="minorEastAsia" w:eastAsiaTheme="minorEastAsia" w:cstheme="minorEastAsia"/>
                <w:color w:val="000000"/>
                <w:sz w:val="24"/>
                <w:szCs w:val="24"/>
              </w:rPr>
              <w:t>检定计划</w:t>
            </w:r>
            <w:r>
              <w:rPr>
                <w:rFonts w:hint="eastAsia" w:asciiTheme="minorEastAsia" w:hAnsiTheme="minorEastAsia" w:eastAsiaTheme="minorEastAsia" w:cstheme="minorEastAsia"/>
                <w:color w:val="000000"/>
                <w:sz w:val="24"/>
                <w:szCs w:val="24"/>
                <w:lang w:bidi="ar"/>
              </w:rPr>
              <w:t>内容一般的得</w:t>
            </w:r>
            <w:r>
              <w:rPr>
                <w:rFonts w:hint="eastAsia" w:asciiTheme="minorEastAsia" w:hAnsiTheme="minorEastAsia" w:eastAsiaTheme="minorEastAsia" w:cstheme="minorEastAsia"/>
                <w:color w:val="000000"/>
                <w:sz w:val="24"/>
                <w:szCs w:val="24"/>
                <w:lang w:val="en-US" w:eastAsia="zh-CN" w:bidi="ar"/>
              </w:rPr>
              <w:t>1-2</w:t>
            </w:r>
            <w:r>
              <w:rPr>
                <w:rFonts w:hint="eastAsia" w:asciiTheme="minorEastAsia" w:hAnsiTheme="minorEastAsia" w:eastAsiaTheme="minorEastAsia" w:cstheme="minorEastAsia"/>
                <w:color w:val="000000"/>
                <w:sz w:val="24"/>
                <w:szCs w:val="24"/>
                <w:lang w:bidi="ar"/>
              </w:rPr>
              <w:t>分；</w:t>
            </w:r>
            <w:r>
              <w:rPr>
                <w:rFonts w:hint="eastAsia" w:asciiTheme="minorEastAsia" w:hAnsiTheme="minorEastAsia" w:eastAsiaTheme="minorEastAsia" w:cstheme="minorEastAsia"/>
                <w:color w:val="000000"/>
                <w:sz w:val="24"/>
                <w:szCs w:val="24"/>
              </w:rPr>
              <w:t>检定计划</w:t>
            </w:r>
            <w:r>
              <w:rPr>
                <w:rFonts w:hint="eastAsia" w:asciiTheme="minorEastAsia" w:hAnsiTheme="minorEastAsia" w:eastAsiaTheme="minorEastAsia" w:cstheme="minorEastAsia"/>
                <w:color w:val="000000"/>
                <w:sz w:val="24"/>
                <w:szCs w:val="24"/>
                <w:lang w:bidi="ar"/>
              </w:rPr>
              <w:t>内容存在欠缺或有待完善的得</w:t>
            </w:r>
            <w:r>
              <w:rPr>
                <w:rFonts w:hint="eastAsia" w:asciiTheme="minorEastAsia" w:hAnsiTheme="minorEastAsia" w:eastAsiaTheme="minorEastAsia" w:cstheme="minorEastAsia"/>
                <w:color w:val="000000"/>
                <w:sz w:val="24"/>
                <w:szCs w:val="24"/>
                <w:lang w:val="en-US" w:eastAsia="zh-CN" w:bidi="ar"/>
              </w:rPr>
              <w:t>0-1</w:t>
            </w:r>
            <w:r>
              <w:rPr>
                <w:rFonts w:hint="eastAsia" w:asciiTheme="minorEastAsia" w:hAnsiTheme="minorEastAsia" w:eastAsiaTheme="minorEastAsia" w:cstheme="minorEastAsia"/>
                <w:color w:val="000000"/>
                <w:sz w:val="24"/>
                <w:szCs w:val="24"/>
                <w:lang w:bidi="ar"/>
              </w:rPr>
              <w:t>分；未提供不得分。</w:t>
            </w:r>
          </w:p>
        </w:tc>
        <w:tc>
          <w:tcPr>
            <w:tcW w:w="875" w:type="dxa"/>
            <w:noWrap w:val="0"/>
            <w:vAlign w:val="center"/>
          </w:tcPr>
          <w:p w14:paraId="58DB6DDE">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5</w:t>
            </w:r>
          </w:p>
        </w:tc>
      </w:tr>
      <w:tr w14:paraId="21157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noWrap w:val="0"/>
            <w:vAlign w:val="center"/>
          </w:tcPr>
          <w:p w14:paraId="69A0B23D">
            <w:pPr>
              <w:jc w:val="center"/>
              <w:rPr>
                <w:rFonts w:hint="eastAsia" w:asciiTheme="minorEastAsia" w:hAnsiTheme="minorEastAsia" w:eastAsiaTheme="minorEastAsia" w:cstheme="minorEastAsia"/>
                <w:sz w:val="24"/>
                <w:szCs w:val="24"/>
              </w:rPr>
            </w:pPr>
          </w:p>
        </w:tc>
        <w:tc>
          <w:tcPr>
            <w:tcW w:w="1365" w:type="dxa"/>
            <w:vMerge w:val="continue"/>
            <w:noWrap w:val="0"/>
            <w:vAlign w:val="center"/>
          </w:tcPr>
          <w:p w14:paraId="7303AB36">
            <w:pPr>
              <w:rPr>
                <w:rFonts w:hint="eastAsia" w:asciiTheme="minorEastAsia" w:hAnsiTheme="minorEastAsia" w:eastAsiaTheme="minorEastAsia" w:cstheme="minorEastAsia"/>
                <w:sz w:val="24"/>
                <w:szCs w:val="24"/>
              </w:rPr>
            </w:pPr>
          </w:p>
        </w:tc>
        <w:tc>
          <w:tcPr>
            <w:tcW w:w="6674" w:type="dxa"/>
            <w:noWrap w:val="0"/>
            <w:vAlign w:val="center"/>
          </w:tcPr>
          <w:p w14:paraId="15BAE90A">
            <w:pPr>
              <w:spacing w:line="360" w:lineRule="auto"/>
              <w:rPr>
                <w:rFonts w:hint="eastAsia" w:asciiTheme="minorEastAsia" w:hAnsiTheme="minorEastAsia" w:eastAsiaTheme="minorEastAsia" w:cstheme="minorEastAsia"/>
                <w:color w:val="000000"/>
                <w:sz w:val="24"/>
                <w:szCs w:val="24"/>
                <w:highlight w:val="yellow"/>
              </w:rPr>
            </w:pPr>
            <w:r>
              <w:rPr>
                <w:rFonts w:hint="eastAsia" w:asciiTheme="minorEastAsia" w:hAnsiTheme="minorEastAsia" w:eastAsiaTheme="minorEastAsia" w:cstheme="minorEastAsia"/>
                <w:color w:val="000000"/>
                <w:sz w:val="24"/>
                <w:szCs w:val="24"/>
              </w:rPr>
              <w:t>根据投标人提供的时间进度安排进行综合打分。时间进度</w:t>
            </w:r>
            <w:r>
              <w:rPr>
                <w:rFonts w:hint="eastAsia" w:asciiTheme="minorEastAsia" w:hAnsiTheme="minorEastAsia" w:eastAsiaTheme="minorEastAsia" w:cstheme="minorEastAsia"/>
                <w:color w:val="000000"/>
                <w:sz w:val="24"/>
                <w:szCs w:val="24"/>
                <w:lang w:val="en-US" w:eastAsia="zh-CN" w:bidi="ar"/>
              </w:rPr>
              <w:t>方案</w:t>
            </w:r>
            <w:r>
              <w:rPr>
                <w:rFonts w:hint="eastAsia" w:asciiTheme="minorEastAsia" w:hAnsiTheme="minorEastAsia" w:eastAsiaTheme="minorEastAsia" w:cstheme="minorEastAsia"/>
                <w:color w:val="000000"/>
                <w:sz w:val="24"/>
                <w:szCs w:val="24"/>
                <w:lang w:bidi="ar"/>
              </w:rPr>
              <w:t>内容完整、合理、可行的得</w:t>
            </w:r>
            <w:r>
              <w:rPr>
                <w:rFonts w:hint="eastAsia" w:asciiTheme="minorEastAsia" w:hAnsiTheme="minorEastAsia" w:eastAsiaTheme="minorEastAsia" w:cstheme="minorEastAsia"/>
                <w:color w:val="000000"/>
                <w:sz w:val="24"/>
                <w:szCs w:val="24"/>
                <w:lang w:val="en-US" w:eastAsia="zh-CN" w:bidi="ar"/>
              </w:rPr>
              <w:t>3-5</w:t>
            </w:r>
            <w:r>
              <w:rPr>
                <w:rFonts w:hint="eastAsia" w:asciiTheme="minorEastAsia" w:hAnsiTheme="minorEastAsia" w:eastAsiaTheme="minorEastAsia" w:cstheme="minorEastAsia"/>
                <w:color w:val="000000"/>
                <w:sz w:val="24"/>
                <w:szCs w:val="24"/>
                <w:lang w:bidi="ar"/>
              </w:rPr>
              <w:t>分；</w:t>
            </w:r>
            <w:r>
              <w:rPr>
                <w:rFonts w:hint="eastAsia" w:asciiTheme="minorEastAsia" w:hAnsiTheme="minorEastAsia" w:eastAsiaTheme="minorEastAsia" w:cstheme="minorEastAsia"/>
                <w:color w:val="000000"/>
                <w:sz w:val="24"/>
                <w:szCs w:val="24"/>
              </w:rPr>
              <w:t>时间进度</w:t>
            </w:r>
            <w:r>
              <w:rPr>
                <w:rFonts w:hint="eastAsia" w:asciiTheme="minorEastAsia" w:hAnsiTheme="minorEastAsia" w:eastAsiaTheme="minorEastAsia" w:cstheme="minorEastAsia"/>
                <w:color w:val="000000"/>
                <w:sz w:val="24"/>
                <w:szCs w:val="24"/>
                <w:lang w:val="en-US" w:eastAsia="zh-CN" w:bidi="ar"/>
              </w:rPr>
              <w:t>方案</w:t>
            </w:r>
            <w:r>
              <w:rPr>
                <w:rFonts w:hint="eastAsia" w:asciiTheme="minorEastAsia" w:hAnsiTheme="minorEastAsia" w:eastAsiaTheme="minorEastAsia" w:cstheme="minorEastAsia"/>
                <w:color w:val="000000"/>
                <w:sz w:val="24"/>
                <w:szCs w:val="24"/>
                <w:lang w:bidi="ar"/>
              </w:rPr>
              <w:t>内容基本完整、具有一定可行性的得</w:t>
            </w:r>
            <w:r>
              <w:rPr>
                <w:rFonts w:hint="eastAsia" w:asciiTheme="minorEastAsia" w:hAnsiTheme="minorEastAsia" w:eastAsiaTheme="minorEastAsia" w:cstheme="minorEastAsia"/>
                <w:color w:val="000000"/>
                <w:sz w:val="24"/>
                <w:szCs w:val="24"/>
                <w:lang w:val="en-US" w:eastAsia="zh-CN" w:bidi="ar"/>
              </w:rPr>
              <w:t>2-3</w:t>
            </w:r>
            <w:r>
              <w:rPr>
                <w:rFonts w:hint="eastAsia" w:asciiTheme="minorEastAsia" w:hAnsiTheme="minorEastAsia" w:eastAsiaTheme="minorEastAsia" w:cstheme="minorEastAsia"/>
                <w:color w:val="000000"/>
                <w:sz w:val="24"/>
                <w:szCs w:val="24"/>
                <w:lang w:bidi="ar"/>
              </w:rPr>
              <w:t>分；</w:t>
            </w:r>
            <w:r>
              <w:rPr>
                <w:rFonts w:hint="eastAsia" w:asciiTheme="minorEastAsia" w:hAnsiTheme="minorEastAsia" w:eastAsiaTheme="minorEastAsia" w:cstheme="minorEastAsia"/>
                <w:color w:val="000000"/>
                <w:sz w:val="24"/>
                <w:szCs w:val="24"/>
              </w:rPr>
              <w:t>时间进度</w:t>
            </w:r>
            <w:r>
              <w:rPr>
                <w:rFonts w:hint="eastAsia" w:asciiTheme="minorEastAsia" w:hAnsiTheme="minorEastAsia" w:eastAsiaTheme="minorEastAsia" w:cstheme="minorEastAsia"/>
                <w:color w:val="000000"/>
                <w:sz w:val="24"/>
                <w:szCs w:val="24"/>
                <w:lang w:val="en-US" w:eastAsia="zh-CN" w:bidi="ar"/>
              </w:rPr>
              <w:t>方案</w:t>
            </w:r>
            <w:r>
              <w:rPr>
                <w:rFonts w:hint="eastAsia" w:asciiTheme="minorEastAsia" w:hAnsiTheme="minorEastAsia" w:eastAsiaTheme="minorEastAsia" w:cstheme="minorEastAsia"/>
                <w:color w:val="000000"/>
                <w:sz w:val="24"/>
                <w:szCs w:val="24"/>
                <w:lang w:bidi="ar"/>
              </w:rPr>
              <w:t>内容一般的得</w:t>
            </w:r>
            <w:r>
              <w:rPr>
                <w:rFonts w:hint="eastAsia" w:asciiTheme="minorEastAsia" w:hAnsiTheme="minorEastAsia" w:eastAsiaTheme="minorEastAsia" w:cstheme="minorEastAsia"/>
                <w:color w:val="000000"/>
                <w:sz w:val="24"/>
                <w:szCs w:val="24"/>
                <w:lang w:val="en-US" w:eastAsia="zh-CN" w:bidi="ar"/>
              </w:rPr>
              <w:t>1-2</w:t>
            </w:r>
            <w:r>
              <w:rPr>
                <w:rFonts w:hint="eastAsia" w:asciiTheme="minorEastAsia" w:hAnsiTheme="minorEastAsia" w:eastAsiaTheme="minorEastAsia" w:cstheme="minorEastAsia"/>
                <w:color w:val="000000"/>
                <w:sz w:val="24"/>
                <w:szCs w:val="24"/>
                <w:lang w:bidi="ar"/>
              </w:rPr>
              <w:t>分；</w:t>
            </w:r>
            <w:r>
              <w:rPr>
                <w:rFonts w:hint="eastAsia" w:asciiTheme="minorEastAsia" w:hAnsiTheme="minorEastAsia" w:eastAsiaTheme="minorEastAsia" w:cstheme="minorEastAsia"/>
                <w:color w:val="000000"/>
                <w:sz w:val="24"/>
                <w:szCs w:val="24"/>
              </w:rPr>
              <w:t>时间进度</w:t>
            </w:r>
            <w:r>
              <w:rPr>
                <w:rFonts w:hint="eastAsia" w:asciiTheme="minorEastAsia" w:hAnsiTheme="minorEastAsia" w:eastAsiaTheme="minorEastAsia" w:cstheme="minorEastAsia"/>
                <w:color w:val="000000"/>
                <w:sz w:val="24"/>
                <w:szCs w:val="24"/>
                <w:lang w:val="en-US" w:eastAsia="zh-CN" w:bidi="ar"/>
              </w:rPr>
              <w:t>方案</w:t>
            </w:r>
            <w:r>
              <w:rPr>
                <w:rFonts w:hint="eastAsia" w:asciiTheme="minorEastAsia" w:hAnsiTheme="minorEastAsia" w:eastAsiaTheme="minorEastAsia" w:cstheme="minorEastAsia"/>
                <w:color w:val="000000"/>
                <w:sz w:val="24"/>
                <w:szCs w:val="24"/>
                <w:lang w:bidi="ar"/>
              </w:rPr>
              <w:t>内容存在欠缺或有待完善的得</w:t>
            </w:r>
            <w:r>
              <w:rPr>
                <w:rFonts w:hint="eastAsia" w:asciiTheme="minorEastAsia" w:hAnsiTheme="minorEastAsia" w:eastAsiaTheme="minorEastAsia" w:cstheme="minorEastAsia"/>
                <w:color w:val="000000"/>
                <w:sz w:val="24"/>
                <w:szCs w:val="24"/>
                <w:lang w:val="en-US" w:eastAsia="zh-CN" w:bidi="ar"/>
              </w:rPr>
              <w:t>0-1</w:t>
            </w:r>
            <w:r>
              <w:rPr>
                <w:rFonts w:hint="eastAsia" w:asciiTheme="minorEastAsia" w:hAnsiTheme="minorEastAsia" w:eastAsiaTheme="minorEastAsia" w:cstheme="minorEastAsia"/>
                <w:color w:val="000000"/>
                <w:sz w:val="24"/>
                <w:szCs w:val="24"/>
                <w:lang w:bidi="ar"/>
              </w:rPr>
              <w:t>分；未提供不得分。</w:t>
            </w:r>
          </w:p>
        </w:tc>
        <w:tc>
          <w:tcPr>
            <w:tcW w:w="875" w:type="dxa"/>
            <w:noWrap w:val="0"/>
            <w:vAlign w:val="center"/>
          </w:tcPr>
          <w:p w14:paraId="6D1D2405">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5</w:t>
            </w:r>
          </w:p>
        </w:tc>
      </w:tr>
      <w:tr w14:paraId="1FD9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noWrap w:val="0"/>
            <w:vAlign w:val="center"/>
          </w:tcPr>
          <w:p w14:paraId="350D0718">
            <w:pPr>
              <w:jc w:val="center"/>
              <w:rPr>
                <w:rFonts w:hint="eastAsia" w:asciiTheme="minorEastAsia" w:hAnsiTheme="minorEastAsia" w:eastAsiaTheme="minorEastAsia" w:cstheme="minorEastAsia"/>
                <w:sz w:val="24"/>
                <w:szCs w:val="24"/>
              </w:rPr>
            </w:pPr>
          </w:p>
        </w:tc>
        <w:tc>
          <w:tcPr>
            <w:tcW w:w="1365" w:type="dxa"/>
            <w:vMerge w:val="continue"/>
            <w:noWrap w:val="0"/>
            <w:vAlign w:val="center"/>
          </w:tcPr>
          <w:p w14:paraId="1AE35442">
            <w:pPr>
              <w:rPr>
                <w:rFonts w:hint="eastAsia" w:asciiTheme="minorEastAsia" w:hAnsiTheme="minorEastAsia" w:eastAsiaTheme="minorEastAsia" w:cstheme="minorEastAsia"/>
                <w:sz w:val="24"/>
                <w:szCs w:val="24"/>
              </w:rPr>
            </w:pPr>
          </w:p>
        </w:tc>
        <w:tc>
          <w:tcPr>
            <w:tcW w:w="6674" w:type="dxa"/>
            <w:noWrap w:val="0"/>
            <w:vAlign w:val="center"/>
          </w:tcPr>
          <w:p w14:paraId="01525C65">
            <w:pPr>
              <w:spacing w:line="360" w:lineRule="auto"/>
              <w:rPr>
                <w:rFonts w:hint="eastAsia" w:asciiTheme="minorEastAsia" w:hAnsiTheme="minorEastAsia" w:eastAsiaTheme="minorEastAsia" w:cstheme="minorEastAsia"/>
                <w:color w:val="000000"/>
                <w:sz w:val="24"/>
                <w:szCs w:val="24"/>
                <w:highlight w:val="yellow"/>
              </w:rPr>
            </w:pPr>
            <w:r>
              <w:rPr>
                <w:rFonts w:hint="eastAsia" w:asciiTheme="minorEastAsia" w:hAnsiTheme="minorEastAsia" w:eastAsiaTheme="minorEastAsia" w:cstheme="minorEastAsia"/>
                <w:color w:val="000000"/>
                <w:sz w:val="24"/>
                <w:szCs w:val="24"/>
              </w:rPr>
              <w:t>根据投标人提供的检定工作安排</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检定过程中应急处置进行综合打分。</w:t>
            </w:r>
            <w:r>
              <w:rPr>
                <w:rFonts w:hint="eastAsia" w:asciiTheme="minorEastAsia" w:hAnsiTheme="minorEastAsia" w:eastAsiaTheme="minorEastAsia" w:cstheme="minorEastAsia"/>
                <w:color w:val="000000"/>
                <w:sz w:val="24"/>
                <w:szCs w:val="24"/>
                <w:lang w:val="en-US" w:eastAsia="zh-CN"/>
              </w:rPr>
              <w:t>应急方案</w:t>
            </w:r>
            <w:r>
              <w:rPr>
                <w:rFonts w:hint="eastAsia" w:asciiTheme="minorEastAsia" w:hAnsiTheme="minorEastAsia" w:eastAsiaTheme="minorEastAsia" w:cstheme="minorEastAsia"/>
                <w:color w:val="000000"/>
                <w:sz w:val="24"/>
                <w:szCs w:val="24"/>
              </w:rPr>
              <w:t>内容完整、合理、可行的得</w:t>
            </w:r>
            <w:r>
              <w:rPr>
                <w:rFonts w:hint="eastAsia" w:asciiTheme="minorEastAsia" w:hAnsiTheme="minorEastAsia" w:eastAsiaTheme="minorEastAsia" w:cstheme="minorEastAsia"/>
                <w:color w:val="000000"/>
                <w:sz w:val="24"/>
                <w:szCs w:val="24"/>
                <w:lang w:val="en-US" w:eastAsia="zh-CN"/>
              </w:rPr>
              <w:t>3-5</w:t>
            </w:r>
            <w:r>
              <w:rPr>
                <w:rFonts w:hint="eastAsia" w:asciiTheme="minorEastAsia" w:hAnsiTheme="minorEastAsia" w:eastAsiaTheme="minorEastAsia" w:cstheme="minorEastAsia"/>
                <w:color w:val="000000"/>
                <w:sz w:val="24"/>
                <w:szCs w:val="24"/>
              </w:rPr>
              <w:t>分；</w:t>
            </w:r>
            <w:r>
              <w:rPr>
                <w:rFonts w:hint="eastAsia" w:asciiTheme="minorEastAsia" w:hAnsiTheme="minorEastAsia" w:eastAsiaTheme="minorEastAsia" w:cstheme="minorEastAsia"/>
                <w:color w:val="000000"/>
                <w:sz w:val="24"/>
                <w:szCs w:val="24"/>
                <w:lang w:val="en-US" w:eastAsia="zh-CN"/>
              </w:rPr>
              <w:t>应急方案</w:t>
            </w:r>
            <w:r>
              <w:rPr>
                <w:rFonts w:hint="eastAsia" w:asciiTheme="minorEastAsia" w:hAnsiTheme="minorEastAsia" w:eastAsiaTheme="minorEastAsia" w:cstheme="minorEastAsia"/>
                <w:color w:val="000000"/>
                <w:sz w:val="24"/>
                <w:szCs w:val="24"/>
              </w:rPr>
              <w:t>内容基本完整、具有一定可行性的得</w:t>
            </w:r>
            <w:r>
              <w:rPr>
                <w:rFonts w:hint="eastAsia" w:asciiTheme="minorEastAsia" w:hAnsiTheme="minorEastAsia" w:eastAsiaTheme="minorEastAsia" w:cstheme="minorEastAsia"/>
                <w:color w:val="000000"/>
                <w:sz w:val="24"/>
                <w:szCs w:val="24"/>
                <w:lang w:val="en-US" w:eastAsia="zh-CN"/>
              </w:rPr>
              <w:t>2-3</w:t>
            </w:r>
            <w:r>
              <w:rPr>
                <w:rFonts w:hint="eastAsia" w:asciiTheme="minorEastAsia" w:hAnsiTheme="minorEastAsia" w:eastAsiaTheme="minorEastAsia" w:cstheme="minorEastAsia"/>
                <w:color w:val="000000"/>
                <w:sz w:val="24"/>
                <w:szCs w:val="24"/>
              </w:rPr>
              <w:t>分；</w:t>
            </w:r>
            <w:r>
              <w:rPr>
                <w:rFonts w:hint="eastAsia" w:asciiTheme="minorEastAsia" w:hAnsiTheme="minorEastAsia" w:eastAsiaTheme="minorEastAsia" w:cstheme="minorEastAsia"/>
                <w:color w:val="000000"/>
                <w:sz w:val="24"/>
                <w:szCs w:val="24"/>
                <w:lang w:val="en-US" w:eastAsia="zh-CN"/>
              </w:rPr>
              <w:t>应急方案</w:t>
            </w:r>
            <w:r>
              <w:rPr>
                <w:rFonts w:hint="eastAsia" w:asciiTheme="minorEastAsia" w:hAnsiTheme="minorEastAsia" w:eastAsiaTheme="minorEastAsia" w:cstheme="minorEastAsia"/>
                <w:color w:val="000000"/>
                <w:sz w:val="24"/>
                <w:szCs w:val="24"/>
              </w:rPr>
              <w:t>内容一般的得</w:t>
            </w:r>
            <w:r>
              <w:rPr>
                <w:rFonts w:hint="eastAsia" w:asciiTheme="minorEastAsia" w:hAnsiTheme="minorEastAsia" w:eastAsiaTheme="minorEastAsia" w:cstheme="minorEastAsia"/>
                <w:color w:val="000000"/>
                <w:sz w:val="24"/>
                <w:szCs w:val="24"/>
                <w:lang w:val="en-US" w:eastAsia="zh-CN"/>
              </w:rPr>
              <w:t>1-2</w:t>
            </w:r>
            <w:r>
              <w:rPr>
                <w:rFonts w:hint="eastAsia" w:asciiTheme="minorEastAsia" w:hAnsiTheme="minorEastAsia" w:eastAsiaTheme="minorEastAsia" w:cstheme="minorEastAsia"/>
                <w:color w:val="000000"/>
                <w:sz w:val="24"/>
                <w:szCs w:val="24"/>
              </w:rPr>
              <w:t>分；</w:t>
            </w:r>
            <w:r>
              <w:rPr>
                <w:rFonts w:hint="eastAsia" w:asciiTheme="minorEastAsia" w:hAnsiTheme="minorEastAsia" w:eastAsiaTheme="minorEastAsia" w:cstheme="minorEastAsia"/>
                <w:color w:val="000000"/>
                <w:sz w:val="24"/>
                <w:szCs w:val="24"/>
                <w:lang w:val="en-US" w:eastAsia="zh-CN"/>
              </w:rPr>
              <w:t>应急方案</w:t>
            </w:r>
            <w:r>
              <w:rPr>
                <w:rFonts w:hint="eastAsia" w:asciiTheme="minorEastAsia" w:hAnsiTheme="minorEastAsia" w:eastAsiaTheme="minorEastAsia" w:cstheme="minorEastAsia"/>
                <w:color w:val="000000"/>
                <w:sz w:val="24"/>
                <w:szCs w:val="24"/>
              </w:rPr>
              <w:t>内容存在欠缺或有待完善的得</w:t>
            </w:r>
            <w:r>
              <w:rPr>
                <w:rFonts w:hint="eastAsia" w:asciiTheme="minorEastAsia" w:hAnsiTheme="minorEastAsia" w:eastAsiaTheme="minorEastAsia" w:cstheme="minorEastAsia"/>
                <w:color w:val="000000"/>
                <w:sz w:val="24"/>
                <w:szCs w:val="24"/>
                <w:lang w:val="en-US" w:eastAsia="zh-CN"/>
              </w:rPr>
              <w:t>0-1</w:t>
            </w:r>
            <w:r>
              <w:rPr>
                <w:rFonts w:hint="eastAsia" w:asciiTheme="minorEastAsia" w:hAnsiTheme="minorEastAsia" w:eastAsiaTheme="minorEastAsia" w:cstheme="minorEastAsia"/>
                <w:color w:val="000000"/>
                <w:sz w:val="24"/>
                <w:szCs w:val="24"/>
              </w:rPr>
              <w:t>分；未提供不得分。</w:t>
            </w:r>
          </w:p>
        </w:tc>
        <w:tc>
          <w:tcPr>
            <w:tcW w:w="875" w:type="dxa"/>
            <w:noWrap w:val="0"/>
            <w:vAlign w:val="center"/>
          </w:tcPr>
          <w:p w14:paraId="7C40C20A">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5</w:t>
            </w:r>
          </w:p>
        </w:tc>
      </w:tr>
      <w:tr w14:paraId="059E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noWrap w:val="0"/>
            <w:vAlign w:val="center"/>
          </w:tcPr>
          <w:p w14:paraId="62488FEC">
            <w:pPr>
              <w:jc w:val="center"/>
              <w:rPr>
                <w:rFonts w:hint="eastAsia" w:asciiTheme="minorEastAsia" w:hAnsiTheme="minorEastAsia" w:eastAsiaTheme="minorEastAsia" w:cstheme="minorEastAsia"/>
                <w:sz w:val="24"/>
                <w:szCs w:val="24"/>
              </w:rPr>
            </w:pPr>
          </w:p>
        </w:tc>
        <w:tc>
          <w:tcPr>
            <w:tcW w:w="1365" w:type="dxa"/>
            <w:vMerge w:val="continue"/>
            <w:noWrap w:val="0"/>
            <w:vAlign w:val="center"/>
          </w:tcPr>
          <w:p w14:paraId="27BEEA52">
            <w:pPr>
              <w:rPr>
                <w:rFonts w:hint="eastAsia" w:asciiTheme="minorEastAsia" w:hAnsiTheme="minorEastAsia" w:eastAsiaTheme="minorEastAsia" w:cstheme="minorEastAsia"/>
                <w:sz w:val="24"/>
                <w:szCs w:val="24"/>
              </w:rPr>
            </w:pPr>
          </w:p>
        </w:tc>
        <w:tc>
          <w:tcPr>
            <w:tcW w:w="6674" w:type="dxa"/>
            <w:noWrap w:val="0"/>
            <w:vAlign w:val="center"/>
          </w:tcPr>
          <w:p w14:paraId="1D28D37E">
            <w:pPr>
              <w:spacing w:line="360" w:lineRule="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投标人是否建立有效与采购人联动的汇报机制，能将工作过程中的有关问题及时进行反馈</w:t>
            </w:r>
            <w:r>
              <w:rPr>
                <w:rFonts w:hint="eastAsia" w:asciiTheme="minorEastAsia" w:hAnsiTheme="minorEastAsia" w:eastAsiaTheme="minorEastAsia" w:cstheme="minorEastAsia"/>
                <w:color w:val="000000"/>
                <w:sz w:val="24"/>
                <w:szCs w:val="24"/>
                <w:lang w:val="en-US" w:eastAsia="zh-CN"/>
              </w:rPr>
              <w:t>的。汇报机制完善且完美满足本项目的得4-5分；汇报机制较完善且基本满足本项目得3-4分；汇报机制简单且具有可行性得2-3分，汇报机制粗糙但还是具备有一定可行性得0-2分；不可行或者未提供不得分。有最高得5分。</w:t>
            </w:r>
          </w:p>
        </w:tc>
        <w:tc>
          <w:tcPr>
            <w:tcW w:w="875" w:type="dxa"/>
            <w:noWrap w:val="0"/>
            <w:vAlign w:val="center"/>
          </w:tcPr>
          <w:p w14:paraId="0A4335A6">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r>
      <w:tr w14:paraId="6AA2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04" w:type="dxa"/>
            <w:shd w:val="clear" w:color="auto" w:fill="auto"/>
            <w:noWrap w:val="0"/>
            <w:vAlign w:val="center"/>
          </w:tcPr>
          <w:p w14:paraId="3AAA36E1">
            <w:pPr>
              <w:widowControl/>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8</w:t>
            </w:r>
          </w:p>
        </w:tc>
        <w:tc>
          <w:tcPr>
            <w:tcW w:w="1365" w:type="dxa"/>
            <w:shd w:val="clear" w:color="auto" w:fill="auto"/>
            <w:noWrap w:val="0"/>
            <w:vAlign w:val="center"/>
          </w:tcPr>
          <w:p w14:paraId="15282D70">
            <w:pPr>
              <w:widowControl/>
              <w:spacing w:line="440" w:lineRule="exact"/>
              <w:jc w:val="center"/>
              <w:rPr>
                <w:rFonts w:hint="eastAsia" w:asciiTheme="minorEastAsia" w:hAnsiTheme="minorEastAsia" w:eastAsiaTheme="minorEastAsia" w:cstheme="minorEastAsia"/>
                <w:sz w:val="24"/>
                <w:szCs w:val="24"/>
              </w:rPr>
            </w:pPr>
            <w:r>
              <w:rPr>
                <w:rFonts w:hint="eastAsia" w:ascii="宋体" w:hAnsi="宋体" w:cs="宋体"/>
                <w:color w:val="auto"/>
                <w:sz w:val="24"/>
                <w:highlight w:val="none"/>
              </w:rPr>
              <w:t>保密措施</w:t>
            </w:r>
          </w:p>
          <w:p w14:paraId="3AB6B5A1">
            <w:pPr>
              <w:widowControl/>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tc>
        <w:tc>
          <w:tcPr>
            <w:tcW w:w="6674" w:type="dxa"/>
            <w:shd w:val="clear" w:color="auto" w:fill="auto"/>
            <w:noWrap w:val="0"/>
            <w:vAlign w:val="center"/>
          </w:tcPr>
          <w:p w14:paraId="07F535BF">
            <w:pPr>
              <w:widowControl/>
              <w:spacing w:line="44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color w:val="auto"/>
                <w:sz w:val="24"/>
                <w:highlight w:val="none"/>
              </w:rPr>
              <w:t>根据投标人提供的项目实施过程的数据保密管理制度的明确性、合理性内容以及是否能够保障落实进行打分，保密措施合理且明确的得</w:t>
            </w:r>
            <w:r>
              <w:rPr>
                <w:rFonts w:hint="eastAsia" w:ascii="宋体" w:hAnsi="宋体"/>
                <w:color w:val="auto"/>
                <w:sz w:val="24"/>
                <w:highlight w:val="none"/>
                <w:lang w:val="en-US" w:eastAsia="zh-CN"/>
              </w:rPr>
              <w:t>3-5</w:t>
            </w:r>
            <w:r>
              <w:rPr>
                <w:rFonts w:hint="eastAsia" w:ascii="宋体" w:hAnsi="宋体"/>
                <w:color w:val="auto"/>
                <w:sz w:val="24"/>
                <w:highlight w:val="none"/>
              </w:rPr>
              <w:t>分；保密措施较为合理的得</w:t>
            </w:r>
            <w:r>
              <w:rPr>
                <w:rFonts w:hint="eastAsia" w:ascii="宋体" w:hAnsi="宋体"/>
                <w:color w:val="auto"/>
                <w:sz w:val="24"/>
                <w:highlight w:val="none"/>
                <w:lang w:val="en-US" w:eastAsia="zh-CN"/>
              </w:rPr>
              <w:t>1-3</w:t>
            </w:r>
            <w:r>
              <w:rPr>
                <w:rFonts w:hint="eastAsia" w:ascii="宋体" w:hAnsi="宋体"/>
                <w:color w:val="auto"/>
                <w:sz w:val="24"/>
                <w:highlight w:val="none"/>
              </w:rPr>
              <w:t>分；保密措施较差的得</w:t>
            </w:r>
            <w:r>
              <w:rPr>
                <w:rFonts w:hint="eastAsia" w:ascii="宋体" w:hAnsi="宋体"/>
                <w:color w:val="auto"/>
                <w:sz w:val="24"/>
                <w:highlight w:val="none"/>
                <w:lang w:val="en-US" w:eastAsia="zh-CN"/>
              </w:rPr>
              <w:t>0-</w:t>
            </w:r>
            <w:r>
              <w:rPr>
                <w:rFonts w:ascii="宋体" w:hAnsi="宋体"/>
                <w:color w:val="auto"/>
                <w:sz w:val="24"/>
                <w:highlight w:val="none"/>
              </w:rPr>
              <w:t>1</w:t>
            </w:r>
            <w:r>
              <w:rPr>
                <w:rFonts w:hint="eastAsia" w:ascii="宋体" w:hAnsi="宋体"/>
                <w:color w:val="auto"/>
                <w:sz w:val="24"/>
                <w:highlight w:val="none"/>
              </w:rPr>
              <w:t>分；不提供不得分。</w:t>
            </w:r>
          </w:p>
        </w:tc>
        <w:tc>
          <w:tcPr>
            <w:tcW w:w="875" w:type="dxa"/>
            <w:shd w:val="clear" w:color="auto" w:fill="auto"/>
            <w:noWrap w:val="0"/>
            <w:vAlign w:val="center"/>
          </w:tcPr>
          <w:p w14:paraId="2D3F0713">
            <w:pPr>
              <w:widowControl/>
              <w:spacing w:line="440" w:lineRule="exact"/>
              <w:jc w:val="center"/>
              <w:rPr>
                <w:rFonts w:hint="eastAsia" w:asciiTheme="minorEastAsia" w:hAnsiTheme="minorEastAsia" w:eastAsiaTheme="minorEastAsia" w:cstheme="minorEastAsia"/>
                <w:kern w:val="2"/>
                <w:sz w:val="24"/>
                <w:szCs w:val="24"/>
                <w:highlight w:val="green"/>
                <w:lang w:val="en-US" w:eastAsia="zh-CN" w:bidi="ar-SA"/>
              </w:rPr>
            </w:pPr>
            <w:r>
              <w:rPr>
                <w:rFonts w:hint="eastAsia" w:asciiTheme="minorEastAsia" w:hAnsiTheme="minorEastAsia" w:eastAsiaTheme="minorEastAsia" w:cstheme="minorEastAsia"/>
                <w:sz w:val="24"/>
                <w:szCs w:val="24"/>
                <w:lang w:val="en-US" w:eastAsia="zh-CN"/>
              </w:rPr>
              <w:t>5</w:t>
            </w:r>
          </w:p>
        </w:tc>
      </w:tr>
      <w:tr w14:paraId="28883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04" w:type="dxa"/>
            <w:shd w:val="clear" w:color="auto" w:fill="auto"/>
            <w:noWrap w:val="0"/>
            <w:vAlign w:val="center"/>
          </w:tcPr>
          <w:p w14:paraId="61C7B810">
            <w:pPr>
              <w:widowControl/>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9</w:t>
            </w:r>
          </w:p>
        </w:tc>
        <w:tc>
          <w:tcPr>
            <w:tcW w:w="1365" w:type="dxa"/>
            <w:shd w:val="clear" w:color="auto" w:fill="auto"/>
            <w:noWrap w:val="0"/>
            <w:vAlign w:val="center"/>
          </w:tcPr>
          <w:p w14:paraId="7401CDD6">
            <w:pPr>
              <w:widowControl/>
              <w:spacing w:line="440" w:lineRule="exact"/>
              <w:jc w:val="center"/>
              <w:rPr>
                <w:rFonts w:hint="eastAsia" w:asciiTheme="minorEastAsia" w:hAnsiTheme="minorEastAsia" w:eastAsiaTheme="minorEastAsia" w:cstheme="minorEastAsia"/>
                <w:color w:val="0F243E"/>
                <w:kern w:val="2"/>
                <w:sz w:val="24"/>
                <w:szCs w:val="24"/>
                <w:lang w:val="en-US" w:eastAsia="zh-CN" w:bidi="ar-SA"/>
              </w:rPr>
            </w:pPr>
            <w:r>
              <w:rPr>
                <w:rFonts w:hint="eastAsia" w:ascii="宋体" w:hAnsi="宋体" w:eastAsia="宋体" w:cs="仿宋_GB2312"/>
                <w:color w:val="auto"/>
                <w:sz w:val="24"/>
                <w:highlight w:val="none"/>
              </w:rPr>
              <w:t>质量保证措施</w:t>
            </w:r>
            <w:r>
              <w:rPr>
                <w:rFonts w:hint="eastAsia" w:asciiTheme="minorEastAsia" w:hAnsiTheme="minorEastAsia" w:eastAsiaTheme="minorEastAsia" w:cstheme="minorEastAsia"/>
                <w:color w:val="0F243E"/>
                <w:sz w:val="24"/>
                <w:szCs w:val="24"/>
              </w:rPr>
              <w:t>（</w:t>
            </w:r>
            <w:r>
              <w:rPr>
                <w:rFonts w:hint="eastAsia" w:asciiTheme="minorEastAsia" w:hAnsiTheme="minorEastAsia" w:eastAsiaTheme="minorEastAsia" w:cstheme="minorEastAsia"/>
                <w:color w:val="0F243E"/>
                <w:sz w:val="24"/>
                <w:szCs w:val="24"/>
                <w:lang w:val="en-US" w:eastAsia="zh-CN"/>
              </w:rPr>
              <w:t>5</w:t>
            </w:r>
            <w:r>
              <w:rPr>
                <w:rFonts w:hint="eastAsia" w:asciiTheme="minorEastAsia" w:hAnsiTheme="minorEastAsia" w:eastAsiaTheme="minorEastAsia" w:cstheme="minorEastAsia"/>
                <w:color w:val="0F243E"/>
                <w:sz w:val="24"/>
                <w:szCs w:val="24"/>
              </w:rPr>
              <w:t>分）</w:t>
            </w:r>
          </w:p>
        </w:tc>
        <w:tc>
          <w:tcPr>
            <w:tcW w:w="6674" w:type="dxa"/>
            <w:shd w:val="clear" w:color="auto" w:fill="auto"/>
            <w:noWrap w:val="0"/>
            <w:vAlign w:val="bottom"/>
          </w:tcPr>
          <w:p w14:paraId="2FBCB3D0">
            <w:pPr>
              <w:keepNext/>
              <w:spacing w:line="360" w:lineRule="auto"/>
              <w:outlineLvl w:val="1"/>
              <w:rPr>
                <w:rFonts w:hint="eastAsia" w:eastAsia="宋体" w:asciiTheme="minorEastAsia" w:hAnsiTheme="minorEastAsia" w:cstheme="minorEastAsia"/>
                <w:color w:val="auto"/>
                <w:kern w:val="2"/>
                <w:sz w:val="24"/>
                <w:szCs w:val="24"/>
                <w:lang w:val="en-US" w:eastAsia="zh-CN" w:bidi="ar-SA"/>
              </w:rPr>
            </w:pPr>
            <w:r>
              <w:rPr>
                <w:rFonts w:hint="eastAsia" w:ascii="宋体" w:hAnsi="宋体" w:eastAsia="宋体" w:cs="仿宋_GB2312"/>
                <w:color w:val="auto"/>
                <w:sz w:val="24"/>
                <w:highlight w:val="none"/>
              </w:rPr>
              <w:t>投标人按采购人要求</w:t>
            </w:r>
            <w:r>
              <w:rPr>
                <w:rFonts w:hint="eastAsia" w:ascii="宋体" w:hAnsi="宋体" w:eastAsia="宋体" w:cs="仿宋_GB2312"/>
                <w:color w:val="auto"/>
                <w:sz w:val="24"/>
                <w:highlight w:val="none"/>
                <w:lang w:val="en-US" w:eastAsia="zh-CN"/>
              </w:rPr>
              <w:t>有</w:t>
            </w:r>
            <w:r>
              <w:rPr>
                <w:rFonts w:hint="eastAsia" w:ascii="宋体" w:hAnsi="宋体" w:eastAsia="宋体" w:cs="仿宋_GB2312"/>
                <w:color w:val="auto"/>
                <w:sz w:val="24"/>
                <w:highlight w:val="none"/>
              </w:rPr>
              <w:t>明确的质量目标</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rPr>
              <w:t>有质量保证措施</w:t>
            </w:r>
            <w:r>
              <w:rPr>
                <w:rFonts w:hint="eastAsia" w:ascii="宋体" w:hAnsi="宋体" w:eastAsia="宋体" w:cs="仿宋_GB2312"/>
                <w:color w:val="auto"/>
                <w:sz w:val="24"/>
                <w:highlight w:val="none"/>
                <w:lang w:val="en-US" w:eastAsia="zh-CN"/>
              </w:rPr>
              <w:t>等要求</w:t>
            </w:r>
            <w:r>
              <w:rPr>
                <w:rFonts w:hint="eastAsia" w:ascii="宋体" w:hAnsi="宋体" w:eastAsia="宋体" w:cs="仿宋_GB2312"/>
                <w:color w:val="auto"/>
                <w:sz w:val="24"/>
                <w:highlight w:val="none"/>
              </w:rPr>
              <w:t>并具有详细可行的实施内容，根据提供的方案内容进行评分，内容完整、措施有效、符合采购人实际得</w:t>
            </w:r>
            <w:r>
              <w:rPr>
                <w:rFonts w:hint="eastAsia" w:ascii="宋体" w:hAnsi="宋体" w:cs="仿宋_GB2312"/>
                <w:color w:val="auto"/>
                <w:sz w:val="24"/>
                <w:highlight w:val="none"/>
                <w:lang w:val="en-US" w:eastAsia="zh-CN"/>
              </w:rPr>
              <w:t>3-</w:t>
            </w:r>
            <w:r>
              <w:rPr>
                <w:rFonts w:hint="eastAsia" w:ascii="宋体" w:hAnsi="宋体" w:eastAsia="宋体" w:cs="仿宋_GB2312"/>
                <w:color w:val="auto"/>
                <w:sz w:val="24"/>
                <w:highlight w:val="none"/>
                <w:lang w:val="en-US" w:eastAsia="zh-CN"/>
              </w:rPr>
              <w:t>5</w:t>
            </w:r>
            <w:r>
              <w:rPr>
                <w:rFonts w:hint="eastAsia" w:ascii="宋体" w:hAnsi="宋体" w:eastAsia="宋体" w:cs="仿宋_GB2312"/>
                <w:color w:val="auto"/>
                <w:sz w:val="24"/>
                <w:highlight w:val="none"/>
              </w:rPr>
              <w:t>分，内容</w:t>
            </w:r>
            <w:r>
              <w:rPr>
                <w:rFonts w:hint="eastAsia" w:ascii="宋体" w:hAnsi="宋体" w:eastAsia="宋体" w:cs="仿宋_GB2312"/>
                <w:color w:val="auto"/>
                <w:sz w:val="24"/>
                <w:highlight w:val="none"/>
                <w:lang w:val="en-US" w:eastAsia="zh-CN"/>
              </w:rPr>
              <w:t>一般</w:t>
            </w:r>
            <w:r>
              <w:rPr>
                <w:rFonts w:hint="eastAsia" w:ascii="宋体" w:hAnsi="宋体" w:eastAsia="宋体" w:cs="仿宋_GB2312"/>
                <w:color w:val="auto"/>
                <w:sz w:val="24"/>
                <w:highlight w:val="none"/>
              </w:rPr>
              <w:t>、措施有效、</w:t>
            </w:r>
            <w:r>
              <w:rPr>
                <w:rFonts w:hint="eastAsia" w:ascii="宋体" w:hAnsi="宋体" w:eastAsia="宋体" w:cs="仿宋_GB2312"/>
                <w:color w:val="auto"/>
                <w:sz w:val="24"/>
                <w:highlight w:val="none"/>
                <w:lang w:val="en-US" w:eastAsia="zh-CN"/>
              </w:rPr>
              <w:t>基本</w:t>
            </w:r>
            <w:r>
              <w:rPr>
                <w:rFonts w:hint="eastAsia" w:ascii="宋体" w:hAnsi="宋体" w:eastAsia="宋体" w:cs="仿宋_GB2312"/>
                <w:color w:val="auto"/>
                <w:sz w:val="24"/>
                <w:highlight w:val="none"/>
              </w:rPr>
              <w:t>符合采购人实际得</w:t>
            </w:r>
            <w:r>
              <w:rPr>
                <w:rFonts w:hint="eastAsia" w:ascii="宋体" w:hAnsi="宋体" w:cs="仿宋_GB2312"/>
                <w:color w:val="auto"/>
                <w:sz w:val="24"/>
                <w:highlight w:val="none"/>
                <w:lang w:val="en-US" w:eastAsia="zh-CN"/>
              </w:rPr>
              <w:t>2-</w:t>
            </w:r>
            <w:r>
              <w:rPr>
                <w:rFonts w:hint="eastAsia" w:ascii="宋体" w:hAnsi="宋体" w:eastAsia="宋体" w:cs="仿宋_GB2312"/>
                <w:color w:val="auto"/>
                <w:sz w:val="24"/>
                <w:highlight w:val="none"/>
                <w:lang w:val="en-US" w:eastAsia="zh-CN"/>
              </w:rPr>
              <w:t>3</w:t>
            </w:r>
            <w:r>
              <w:rPr>
                <w:rFonts w:hint="eastAsia" w:ascii="宋体" w:hAnsi="宋体" w:eastAsia="宋体" w:cs="仿宋_GB2312"/>
                <w:color w:val="auto"/>
                <w:sz w:val="24"/>
                <w:highlight w:val="none"/>
              </w:rPr>
              <w:t>分</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rPr>
              <w:t>内容虽然进行了阐述但并未完全贴合项目需求理解情况，或理解的内容未包括细节或有有效措施，得</w:t>
            </w:r>
            <w:r>
              <w:rPr>
                <w:rFonts w:hint="eastAsia" w:ascii="宋体" w:hAnsi="宋体" w:cs="仿宋_GB2312"/>
                <w:color w:val="auto"/>
                <w:sz w:val="24"/>
                <w:highlight w:val="none"/>
                <w:lang w:val="en-US" w:eastAsia="zh-CN"/>
              </w:rPr>
              <w:t>0-1</w:t>
            </w:r>
            <w:r>
              <w:rPr>
                <w:rFonts w:hint="eastAsia" w:ascii="宋体" w:hAnsi="宋体" w:eastAsia="宋体" w:cs="仿宋_GB2312"/>
                <w:color w:val="auto"/>
                <w:sz w:val="24"/>
                <w:highlight w:val="none"/>
              </w:rPr>
              <w:t>分</w:t>
            </w:r>
            <w:r>
              <w:rPr>
                <w:rFonts w:hint="eastAsia" w:ascii="宋体" w:hAnsi="宋体" w:cs="仿宋_GB2312"/>
                <w:color w:val="auto"/>
                <w:sz w:val="24"/>
                <w:highlight w:val="none"/>
                <w:lang w:eastAsia="zh-CN"/>
              </w:rPr>
              <w:t>。</w:t>
            </w:r>
          </w:p>
        </w:tc>
        <w:tc>
          <w:tcPr>
            <w:tcW w:w="875" w:type="dxa"/>
            <w:shd w:val="clear" w:color="auto" w:fill="auto"/>
            <w:noWrap w:val="0"/>
            <w:vAlign w:val="center"/>
          </w:tcPr>
          <w:p w14:paraId="19D2C8B7">
            <w:pPr>
              <w:widowControl/>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r>
      <w:tr w14:paraId="0BAB8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04" w:type="dxa"/>
            <w:noWrap w:val="0"/>
            <w:vAlign w:val="center"/>
          </w:tcPr>
          <w:p w14:paraId="33777491">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365" w:type="dxa"/>
            <w:noWrap w:val="0"/>
            <w:vAlign w:val="center"/>
          </w:tcPr>
          <w:p w14:paraId="742CEEFD">
            <w:pPr>
              <w:jc w:val="center"/>
              <w:rPr>
                <w:rFonts w:hint="eastAsia" w:eastAsia="宋体" w:asciiTheme="minorEastAsia" w:hAnsiTheme="minorEastAsia" w:cstheme="minorEastAsia"/>
                <w:sz w:val="24"/>
                <w:szCs w:val="24"/>
                <w:lang w:eastAsia="zh-CN"/>
              </w:rPr>
            </w:pPr>
            <w:r>
              <w:rPr>
                <w:rFonts w:hint="eastAsia" w:ascii="宋体" w:hAnsi="宋体" w:cs="宋体"/>
                <w:snapToGrid w:val="0"/>
                <w:color w:val="auto"/>
                <w:sz w:val="24"/>
                <w:highlight w:val="none"/>
              </w:rPr>
              <w:t>关键技术解决能力</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lang w:val="en-US" w:eastAsia="zh-CN"/>
              </w:rPr>
              <w:t>5分</w:t>
            </w:r>
            <w:r>
              <w:rPr>
                <w:rFonts w:hint="eastAsia" w:ascii="宋体" w:hAnsi="宋体" w:cs="宋体"/>
                <w:snapToGrid w:val="0"/>
                <w:color w:val="auto"/>
                <w:sz w:val="24"/>
                <w:highlight w:val="none"/>
                <w:lang w:eastAsia="zh-CN"/>
              </w:rPr>
              <w:t>）</w:t>
            </w:r>
          </w:p>
        </w:tc>
        <w:tc>
          <w:tcPr>
            <w:tcW w:w="6674" w:type="dxa"/>
            <w:noWrap w:val="0"/>
            <w:vAlign w:val="center"/>
          </w:tcPr>
          <w:p w14:paraId="6BCA644D">
            <w:pPr>
              <w:spacing w:line="360" w:lineRule="auto"/>
              <w:rPr>
                <w:rFonts w:hint="eastAsia" w:asciiTheme="minorEastAsia" w:hAnsiTheme="minorEastAsia" w:eastAsiaTheme="minorEastAsia" w:cstheme="minorEastAsia"/>
                <w:color w:val="000000"/>
                <w:sz w:val="24"/>
                <w:szCs w:val="24"/>
              </w:rPr>
            </w:pPr>
            <w:r>
              <w:rPr>
                <w:rFonts w:hint="eastAsia" w:ascii="宋体" w:hAnsi="宋体" w:cs="宋体"/>
                <w:snapToGrid w:val="0"/>
                <w:color w:val="auto"/>
                <w:sz w:val="24"/>
                <w:highlight w:val="none"/>
              </w:rPr>
              <w:t>投标人对本次项目的技术难点分析、风险分析和解决难题、规避风险措施的合理性和可操作性，方案合理内容完全满足采购人要求得</w:t>
            </w:r>
            <w:r>
              <w:rPr>
                <w:rFonts w:hint="eastAsia" w:ascii="宋体" w:hAnsi="宋体" w:cs="宋体"/>
                <w:snapToGrid w:val="0"/>
                <w:color w:val="auto"/>
                <w:sz w:val="24"/>
                <w:highlight w:val="none"/>
                <w:lang w:val="en-US" w:eastAsia="zh-CN"/>
              </w:rPr>
              <w:t>3-5</w:t>
            </w:r>
            <w:r>
              <w:rPr>
                <w:rFonts w:hint="eastAsia" w:ascii="宋体" w:hAnsi="宋体" w:cs="宋体"/>
                <w:snapToGrid w:val="0"/>
                <w:color w:val="auto"/>
                <w:sz w:val="24"/>
                <w:highlight w:val="none"/>
              </w:rPr>
              <w:t>分，基本满足得</w:t>
            </w:r>
            <w:r>
              <w:rPr>
                <w:rFonts w:hint="eastAsia" w:ascii="宋体" w:hAnsi="宋体" w:cs="宋体"/>
                <w:snapToGrid w:val="0"/>
                <w:color w:val="auto"/>
                <w:sz w:val="24"/>
                <w:highlight w:val="none"/>
                <w:lang w:val="en-US" w:eastAsia="zh-CN"/>
              </w:rPr>
              <w:t>1-3</w:t>
            </w:r>
            <w:r>
              <w:rPr>
                <w:rFonts w:hint="eastAsia" w:ascii="宋体" w:hAnsi="宋体" w:cs="宋体"/>
                <w:snapToGrid w:val="0"/>
                <w:color w:val="auto"/>
                <w:sz w:val="24"/>
                <w:highlight w:val="none"/>
              </w:rPr>
              <w:t>分，部分满足得</w:t>
            </w:r>
            <w:r>
              <w:rPr>
                <w:rFonts w:hint="eastAsia" w:ascii="宋体" w:hAnsi="宋体" w:cs="宋体"/>
                <w:snapToGrid w:val="0"/>
                <w:color w:val="auto"/>
                <w:sz w:val="24"/>
                <w:highlight w:val="none"/>
                <w:lang w:val="en-US" w:eastAsia="zh-CN"/>
              </w:rPr>
              <w:t>0-</w:t>
            </w:r>
            <w:r>
              <w:rPr>
                <w:rFonts w:hint="eastAsia" w:ascii="宋体" w:hAnsi="宋体" w:cs="宋体"/>
                <w:snapToGrid w:val="0"/>
                <w:color w:val="auto"/>
                <w:sz w:val="24"/>
                <w:highlight w:val="none"/>
              </w:rPr>
              <w:t>1分，不满足不得分。</w:t>
            </w:r>
          </w:p>
        </w:tc>
        <w:tc>
          <w:tcPr>
            <w:tcW w:w="875" w:type="dxa"/>
            <w:noWrap w:val="0"/>
            <w:vAlign w:val="center"/>
          </w:tcPr>
          <w:p w14:paraId="73BE06BF">
            <w:pPr>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r>
      <w:tr w14:paraId="6F8D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trPr>
        <w:tc>
          <w:tcPr>
            <w:tcW w:w="704" w:type="dxa"/>
            <w:noWrap w:val="0"/>
            <w:vAlign w:val="center"/>
          </w:tcPr>
          <w:p w14:paraId="240C2D70">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1365" w:type="dxa"/>
            <w:noWrap w:val="0"/>
            <w:vAlign w:val="center"/>
          </w:tcPr>
          <w:p w14:paraId="648A62D8">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综合素质（</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tc>
        <w:tc>
          <w:tcPr>
            <w:tcW w:w="6674" w:type="dxa"/>
            <w:noWrap w:val="0"/>
            <w:vAlign w:val="center"/>
          </w:tcPr>
          <w:p w14:paraId="5701752B">
            <w:pPr>
              <w:spacing w:line="360" w:lineRule="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根据投标人对采购人计量检测检定及行政许可现状及其操作流程的熟悉程度、诚信建设、用户评价、项目组成员技术能力等要素</w:t>
            </w:r>
            <w:r>
              <w:rPr>
                <w:rFonts w:hint="eastAsia" w:asciiTheme="minorEastAsia" w:hAnsiTheme="minorEastAsia" w:eastAsiaTheme="minorEastAsia" w:cstheme="minorEastAsia"/>
                <w:color w:val="000000"/>
                <w:sz w:val="24"/>
                <w:szCs w:val="24"/>
                <w:lang w:val="en-US" w:eastAsia="zh-CN"/>
              </w:rPr>
              <w:t>进行</w:t>
            </w:r>
            <w:r>
              <w:rPr>
                <w:rFonts w:hint="eastAsia" w:asciiTheme="minorEastAsia" w:hAnsiTheme="minorEastAsia" w:eastAsiaTheme="minorEastAsia" w:cstheme="minorEastAsia"/>
                <w:color w:val="000000"/>
                <w:sz w:val="24"/>
                <w:szCs w:val="24"/>
              </w:rPr>
              <w:t>综合打分</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要素</w:t>
            </w:r>
            <w:r>
              <w:rPr>
                <w:rFonts w:hint="eastAsia" w:asciiTheme="minorEastAsia" w:hAnsiTheme="minorEastAsia" w:eastAsiaTheme="minorEastAsia" w:cstheme="minorEastAsia"/>
                <w:color w:val="000000"/>
                <w:sz w:val="24"/>
                <w:szCs w:val="24"/>
              </w:rPr>
              <w:t>齐全，描述详细</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完美适配本项目要求得4-5分；要素详细略有欠缺，基本符合项目要求得3-4分；要素简单但粗略符合要求得2-3分；要素不全但部分符合要求得0-2分，未提供不得分。最高得5分。</w:t>
            </w:r>
          </w:p>
        </w:tc>
        <w:tc>
          <w:tcPr>
            <w:tcW w:w="875" w:type="dxa"/>
            <w:noWrap w:val="0"/>
            <w:vAlign w:val="center"/>
          </w:tcPr>
          <w:p w14:paraId="3890D0EC">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r>
      <w:tr w14:paraId="315F7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704" w:type="dxa"/>
            <w:noWrap w:val="0"/>
            <w:vAlign w:val="center"/>
          </w:tcPr>
          <w:p w14:paraId="40710949">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1365" w:type="dxa"/>
            <w:noWrap w:val="0"/>
            <w:vAlign w:val="center"/>
          </w:tcPr>
          <w:p w14:paraId="088C75C9">
            <w:pPr>
              <w:jc w:val="center"/>
              <w:rPr>
                <w:rFonts w:hint="eastAsia" w:asciiTheme="minorEastAsia" w:hAnsiTheme="minorEastAsia" w:eastAsiaTheme="minorEastAsia" w:cstheme="minorEastAsia"/>
                <w:color w:val="000000"/>
                <w:sz w:val="24"/>
                <w:szCs w:val="24"/>
              </w:rPr>
            </w:pPr>
            <w:r>
              <w:rPr>
                <w:rFonts w:hint="eastAsia" w:ascii="宋体" w:hAnsi="宋体"/>
                <w:color w:val="auto"/>
                <w:sz w:val="24"/>
                <w:highlight w:val="none"/>
              </w:rPr>
              <w:t>后续服务方案</w:t>
            </w:r>
          </w:p>
          <w:p w14:paraId="5BEF790E">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7</w:t>
            </w:r>
            <w:r>
              <w:rPr>
                <w:rFonts w:hint="eastAsia" w:asciiTheme="minorEastAsia" w:hAnsiTheme="minorEastAsia" w:eastAsiaTheme="minorEastAsia" w:cstheme="minorEastAsia"/>
                <w:color w:val="000000"/>
                <w:sz w:val="24"/>
                <w:szCs w:val="24"/>
              </w:rPr>
              <w:t>分）</w:t>
            </w:r>
          </w:p>
        </w:tc>
        <w:tc>
          <w:tcPr>
            <w:tcW w:w="6674" w:type="dxa"/>
            <w:noWrap w:val="0"/>
            <w:vAlign w:val="center"/>
          </w:tcPr>
          <w:p w14:paraId="0CA303C1">
            <w:pPr>
              <w:tabs>
                <w:tab w:val="left" w:pos="0"/>
              </w:tabs>
              <w:spacing w:line="360" w:lineRule="auto"/>
              <w:jc w:val="left"/>
              <w:rPr>
                <w:rFonts w:ascii="宋体" w:hAnsi="宋体"/>
                <w:color w:val="auto"/>
                <w:sz w:val="24"/>
                <w:highlight w:val="none"/>
              </w:rPr>
            </w:pPr>
            <w:r>
              <w:rPr>
                <w:rFonts w:hint="eastAsia" w:ascii="宋体" w:hAnsi="宋体"/>
                <w:color w:val="auto"/>
                <w:sz w:val="24"/>
                <w:highlight w:val="none"/>
              </w:rPr>
              <w:t>根据投标人提供的后续服务方案进行评审：</w:t>
            </w:r>
          </w:p>
          <w:p w14:paraId="4E3D0CCF">
            <w:pPr>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（1）承诺后续服务有专人负责、联络方便、响应时间快速得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14:paraId="766C419D">
            <w:pPr>
              <w:keepNext/>
              <w:spacing w:line="360" w:lineRule="auto"/>
              <w:outlineLvl w:val="1"/>
              <w:rPr>
                <w:rFonts w:hint="eastAsia" w:asciiTheme="minorEastAsia" w:hAnsiTheme="minorEastAsia" w:eastAsiaTheme="minorEastAsia" w:cstheme="minorEastAsia"/>
                <w:b/>
                <w:kern w:val="0"/>
                <w:sz w:val="24"/>
                <w:szCs w:val="24"/>
                <w:highlight w:val="yellow"/>
                <w:lang w:val="en-US" w:eastAsia="zh-CN"/>
              </w:rPr>
            </w:pPr>
            <w:r>
              <w:rPr>
                <w:rFonts w:hint="eastAsia" w:ascii="宋体" w:hAnsi="宋体" w:cs="宋体"/>
                <w:color w:val="auto"/>
                <w:sz w:val="24"/>
                <w:highlight w:val="none"/>
              </w:rPr>
              <w:t>（2）该项目有详细的后续服务方案、后续服务体系、后续服务保障措施，</w:t>
            </w:r>
            <w:r>
              <w:rPr>
                <w:rFonts w:hint="eastAsia" w:ascii="宋体" w:hAnsi="宋体"/>
                <w:color w:val="auto"/>
                <w:sz w:val="24"/>
                <w:highlight w:val="none"/>
              </w:rPr>
              <w:t>内容详细合理、方案切实、可执行性强视为完全满足采购人要求得</w:t>
            </w:r>
            <w:r>
              <w:rPr>
                <w:rFonts w:hint="eastAsia" w:ascii="宋体" w:hAnsi="宋体"/>
                <w:color w:val="auto"/>
                <w:sz w:val="24"/>
                <w:highlight w:val="none"/>
                <w:lang w:val="en-US" w:eastAsia="zh-CN"/>
              </w:rPr>
              <w:t>3-5</w:t>
            </w:r>
            <w:r>
              <w:rPr>
                <w:rFonts w:hint="eastAsia" w:ascii="宋体" w:hAnsi="宋体"/>
                <w:color w:val="auto"/>
                <w:sz w:val="24"/>
                <w:highlight w:val="none"/>
              </w:rPr>
              <w:t>分，</w:t>
            </w:r>
            <w:r>
              <w:rPr>
                <w:rFonts w:hint="eastAsia" w:ascii="宋体" w:hAnsi="宋体"/>
                <w:color w:val="auto"/>
                <w:sz w:val="24"/>
                <w:highlight w:val="none"/>
                <w:lang w:val="en-US" w:eastAsia="zh-CN"/>
              </w:rPr>
              <w:t>基本满足2-3分，</w:t>
            </w:r>
            <w:r>
              <w:rPr>
                <w:rFonts w:hint="eastAsia" w:ascii="宋体" w:hAnsi="宋体"/>
                <w:color w:val="auto"/>
                <w:sz w:val="24"/>
                <w:highlight w:val="none"/>
              </w:rPr>
              <w:t>部分满足得</w:t>
            </w:r>
            <w:r>
              <w:rPr>
                <w:rFonts w:hint="eastAsia" w:ascii="宋体" w:hAnsi="宋体"/>
                <w:color w:val="auto"/>
                <w:sz w:val="24"/>
                <w:highlight w:val="none"/>
                <w:lang w:val="en-US" w:eastAsia="zh-CN"/>
              </w:rPr>
              <w:t>0-2</w:t>
            </w:r>
            <w:r>
              <w:rPr>
                <w:rFonts w:hint="eastAsia" w:ascii="宋体" w:hAnsi="宋体"/>
                <w:color w:val="auto"/>
                <w:sz w:val="24"/>
                <w:highlight w:val="none"/>
              </w:rPr>
              <w:t>分，不满足不得分，本项最高得</w:t>
            </w:r>
            <w:r>
              <w:rPr>
                <w:rFonts w:hint="eastAsia" w:ascii="宋体" w:hAnsi="宋体"/>
                <w:color w:val="auto"/>
                <w:sz w:val="24"/>
                <w:highlight w:val="none"/>
                <w:lang w:val="en-US" w:eastAsia="zh-CN"/>
              </w:rPr>
              <w:t>5</w:t>
            </w:r>
            <w:r>
              <w:rPr>
                <w:rFonts w:hint="eastAsia" w:ascii="宋体" w:hAnsi="宋体"/>
                <w:color w:val="auto"/>
                <w:sz w:val="24"/>
                <w:highlight w:val="none"/>
              </w:rPr>
              <w:t>分。</w:t>
            </w:r>
          </w:p>
        </w:tc>
        <w:tc>
          <w:tcPr>
            <w:tcW w:w="875" w:type="dxa"/>
            <w:noWrap w:val="0"/>
            <w:vAlign w:val="center"/>
          </w:tcPr>
          <w:p w14:paraId="444CE97E">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lang w:val="en-US" w:eastAsia="zh-CN"/>
              </w:rPr>
              <w:t>7</w:t>
            </w:r>
          </w:p>
        </w:tc>
      </w:tr>
      <w:tr w14:paraId="1BB8E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704" w:type="dxa"/>
            <w:noWrap w:val="0"/>
            <w:vAlign w:val="center"/>
          </w:tcPr>
          <w:p w14:paraId="5D171914">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365" w:type="dxa"/>
            <w:noWrap w:val="0"/>
            <w:vAlign w:val="center"/>
          </w:tcPr>
          <w:p w14:paraId="3E212524">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合理化建议（</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分）</w:t>
            </w:r>
          </w:p>
        </w:tc>
        <w:tc>
          <w:tcPr>
            <w:tcW w:w="6674" w:type="dxa"/>
            <w:noWrap w:val="0"/>
            <w:vAlign w:val="center"/>
          </w:tcPr>
          <w:p w14:paraId="669579F7">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根据本项目实际情况提出合理化建议,依据建议合理性、可行性、科学性、创新性进行综合打分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具有可行性的合理化建议一条得1分。</w:t>
            </w:r>
            <w:r>
              <w:rPr>
                <w:rFonts w:hint="eastAsia" w:asciiTheme="minorEastAsia" w:hAnsiTheme="minorEastAsia" w:eastAsiaTheme="minorEastAsia" w:cstheme="minorEastAsia"/>
                <w:sz w:val="24"/>
                <w:szCs w:val="24"/>
              </w:rPr>
              <w:t>最高得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tc>
        <w:tc>
          <w:tcPr>
            <w:tcW w:w="875" w:type="dxa"/>
            <w:noWrap w:val="0"/>
            <w:vAlign w:val="center"/>
          </w:tcPr>
          <w:p w14:paraId="300BAFD8">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r>
      <w:tr w14:paraId="38A7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04" w:type="dxa"/>
            <w:noWrap w:val="0"/>
            <w:vAlign w:val="center"/>
          </w:tcPr>
          <w:p w14:paraId="309D9F72">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365" w:type="dxa"/>
            <w:noWrap w:val="0"/>
            <w:vAlign w:val="center"/>
          </w:tcPr>
          <w:p w14:paraId="04336879">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价格分</w:t>
            </w:r>
          </w:p>
          <w:p w14:paraId="1DF2C4FA">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（10分）</w:t>
            </w:r>
          </w:p>
        </w:tc>
        <w:tc>
          <w:tcPr>
            <w:tcW w:w="6674" w:type="dxa"/>
            <w:noWrap w:val="0"/>
            <w:vAlign w:val="center"/>
          </w:tcPr>
          <w:p w14:paraId="0EDDBEDA">
            <w:pPr>
              <w:spacing w:line="360" w:lineRule="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本项目报价为单价的报价，各单价不得超出单价的最高限价，否则作为无效标。</w:t>
            </w:r>
          </w:p>
          <w:p w14:paraId="2D5F153A">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电动汽车充电桩检定报价分计算（</w:t>
            </w:r>
            <w:r>
              <w:rPr>
                <w:rFonts w:hint="eastAsia" w:asciiTheme="minorEastAsia" w:hAnsiTheme="minorEastAsia" w:eastAsiaTheme="minorEastAsia" w:cstheme="minorEastAsia"/>
                <w:color w:val="000000"/>
                <w:sz w:val="24"/>
                <w:szCs w:val="24"/>
                <w:lang w:val="en-US" w:eastAsia="zh-CN"/>
              </w:rPr>
              <w:t>10</w:t>
            </w:r>
            <w:r>
              <w:rPr>
                <w:rFonts w:hint="eastAsia" w:asciiTheme="minorEastAsia" w:hAnsiTheme="minorEastAsia" w:eastAsiaTheme="minorEastAsia" w:cstheme="minorEastAsia"/>
                <w:color w:val="000000"/>
                <w:sz w:val="24"/>
                <w:szCs w:val="24"/>
              </w:rPr>
              <w:t>分）：根据各投标人的有效投标报价，满足招标文件要求且投标价格最低的投标报价为评标基准价，其价格分为满分。其他投标人的价格分统一按照下列公式计算：投标报价得分=(评标基准价／有效投标报价)×</w:t>
            </w:r>
            <w:r>
              <w:rPr>
                <w:rFonts w:hint="eastAsia" w:asciiTheme="minorEastAsia" w:hAnsiTheme="minorEastAsia" w:eastAsiaTheme="minorEastAsia" w:cstheme="minorEastAsia"/>
                <w:color w:val="000000"/>
                <w:sz w:val="24"/>
                <w:szCs w:val="24"/>
                <w:lang w:val="en-US" w:eastAsia="zh-CN"/>
              </w:rPr>
              <w:t>10</w:t>
            </w:r>
            <w:r>
              <w:rPr>
                <w:rFonts w:hint="eastAsia" w:asciiTheme="minorEastAsia" w:hAnsiTheme="minorEastAsia" w:eastAsiaTheme="minorEastAsia" w:cstheme="minorEastAsia"/>
                <w:color w:val="000000"/>
                <w:sz w:val="24"/>
                <w:szCs w:val="24"/>
              </w:rPr>
              <w:t>%×100；</w:t>
            </w:r>
          </w:p>
        </w:tc>
        <w:tc>
          <w:tcPr>
            <w:tcW w:w="875" w:type="dxa"/>
            <w:noWrap w:val="0"/>
            <w:vAlign w:val="center"/>
          </w:tcPr>
          <w:p w14:paraId="7BE5B452">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r>
    </w:tbl>
    <w:p w14:paraId="79A6F647">
      <w:pPr>
        <w:rPr>
          <w:rFonts w:hint="eastAsia"/>
          <w:color w:val="auto"/>
          <w:sz w:val="24"/>
          <w:szCs w:val="32"/>
          <w:highlight w:val="none"/>
          <w:lang w:val="en-US" w:eastAsia="zh-CN"/>
        </w:rPr>
      </w:pPr>
    </w:p>
    <w:p w14:paraId="34AE2C40">
      <w:pPr>
        <w:rPr>
          <w:rFonts w:hint="eastAsia"/>
          <w:color w:val="auto"/>
          <w:sz w:val="32"/>
          <w:szCs w:val="40"/>
          <w:highlight w:val="none"/>
          <w:shd w:val="clear" w:color="auto" w:fill="auto"/>
          <w:lang w:val="en-US" w:eastAsia="zh-CN"/>
        </w:rPr>
      </w:pPr>
    </w:p>
    <w:p w14:paraId="59E3F641">
      <w:pPr>
        <w:rPr>
          <w:rFonts w:hint="eastAsia"/>
          <w:color w:val="auto"/>
          <w:sz w:val="32"/>
          <w:szCs w:val="40"/>
          <w:highlight w:val="none"/>
          <w:shd w:val="clear" w:color="auto" w:fill="auto"/>
          <w:lang w:val="en-US" w:eastAsia="zh-CN"/>
        </w:rPr>
      </w:pPr>
    </w:p>
    <w:p w14:paraId="17079EA1">
      <w:pPr>
        <w:rPr>
          <w:rFonts w:hint="eastAsia"/>
          <w:color w:val="auto"/>
          <w:sz w:val="32"/>
          <w:szCs w:val="40"/>
          <w:highlight w:val="none"/>
          <w:shd w:val="clear" w:color="auto" w:fill="auto"/>
          <w:lang w:val="en-US" w:eastAsia="zh-CN"/>
        </w:rPr>
      </w:pPr>
      <w:r>
        <w:rPr>
          <w:rFonts w:hint="eastAsia"/>
          <w:color w:val="auto"/>
          <w:sz w:val="32"/>
          <w:szCs w:val="40"/>
          <w:highlight w:val="none"/>
          <w:shd w:val="clear" w:color="auto" w:fill="auto"/>
          <w:lang w:val="en-US" w:eastAsia="zh-CN"/>
        </w:rPr>
        <w:t>标项2：</w:t>
      </w:r>
    </w:p>
    <w:tbl>
      <w:tblPr>
        <w:tblStyle w:val="62"/>
        <w:tblpPr w:leftFromText="180" w:rightFromText="180" w:vertAnchor="text" w:horzAnchor="page" w:tblpX="1256" w:tblpY="435"/>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65"/>
        <w:gridCol w:w="6674"/>
        <w:gridCol w:w="875"/>
      </w:tblGrid>
      <w:tr w14:paraId="677B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noWrap w:val="0"/>
            <w:vAlign w:val="center"/>
          </w:tcPr>
          <w:p w14:paraId="701D7E98">
            <w:pPr>
              <w:widowControl/>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0F243E"/>
                <w:kern w:val="0"/>
                <w:sz w:val="24"/>
                <w:szCs w:val="24"/>
              </w:rPr>
              <w:t>序号</w:t>
            </w:r>
          </w:p>
        </w:tc>
        <w:tc>
          <w:tcPr>
            <w:tcW w:w="1365" w:type="dxa"/>
            <w:noWrap w:val="0"/>
            <w:vAlign w:val="center"/>
          </w:tcPr>
          <w:p w14:paraId="1D79A658">
            <w:pPr>
              <w:widowControl/>
              <w:spacing w:line="440" w:lineRule="exact"/>
              <w:jc w:val="center"/>
              <w:rPr>
                <w:rFonts w:hint="eastAsia" w:asciiTheme="minorEastAsia" w:hAnsiTheme="minorEastAsia" w:eastAsiaTheme="minorEastAsia" w:cstheme="minorEastAsia"/>
                <w:b/>
                <w:bCs/>
                <w:color w:val="0F243E"/>
                <w:kern w:val="0"/>
                <w:sz w:val="24"/>
                <w:szCs w:val="24"/>
              </w:rPr>
            </w:pPr>
            <w:r>
              <w:rPr>
                <w:rFonts w:hint="eastAsia" w:asciiTheme="minorEastAsia" w:hAnsiTheme="minorEastAsia" w:eastAsiaTheme="minorEastAsia" w:cstheme="minorEastAsia"/>
                <w:b/>
                <w:bCs/>
                <w:color w:val="0F243E"/>
                <w:kern w:val="0"/>
                <w:sz w:val="24"/>
                <w:szCs w:val="24"/>
              </w:rPr>
              <w:t>评分项目</w:t>
            </w:r>
          </w:p>
        </w:tc>
        <w:tc>
          <w:tcPr>
            <w:tcW w:w="6674" w:type="dxa"/>
            <w:noWrap w:val="0"/>
            <w:vAlign w:val="center"/>
          </w:tcPr>
          <w:p w14:paraId="0A679B19">
            <w:pPr>
              <w:widowControl/>
              <w:spacing w:line="440" w:lineRule="exact"/>
              <w:jc w:val="center"/>
              <w:rPr>
                <w:rFonts w:hint="eastAsia" w:asciiTheme="minorEastAsia" w:hAnsiTheme="minorEastAsia" w:eastAsiaTheme="minorEastAsia" w:cstheme="minorEastAsia"/>
                <w:b/>
                <w:bCs/>
                <w:color w:val="0F243E"/>
                <w:kern w:val="0"/>
                <w:sz w:val="24"/>
                <w:szCs w:val="24"/>
              </w:rPr>
            </w:pPr>
            <w:r>
              <w:rPr>
                <w:rFonts w:hint="eastAsia" w:asciiTheme="minorEastAsia" w:hAnsiTheme="minorEastAsia" w:eastAsiaTheme="minorEastAsia" w:cstheme="minorEastAsia"/>
                <w:b/>
                <w:bCs/>
                <w:color w:val="0F243E"/>
                <w:kern w:val="0"/>
                <w:sz w:val="24"/>
                <w:szCs w:val="24"/>
              </w:rPr>
              <w:t>评分内容</w:t>
            </w:r>
          </w:p>
        </w:tc>
        <w:tc>
          <w:tcPr>
            <w:tcW w:w="875" w:type="dxa"/>
            <w:noWrap w:val="0"/>
            <w:vAlign w:val="center"/>
          </w:tcPr>
          <w:p w14:paraId="5F6C1350">
            <w:pPr>
              <w:widowControl/>
              <w:spacing w:line="440" w:lineRule="exact"/>
              <w:jc w:val="center"/>
              <w:rPr>
                <w:rFonts w:hint="eastAsia" w:asciiTheme="minorEastAsia" w:hAnsiTheme="minorEastAsia" w:eastAsiaTheme="minorEastAsia" w:cstheme="minorEastAsia"/>
                <w:b/>
                <w:bCs/>
                <w:color w:val="0F243E"/>
                <w:kern w:val="0"/>
                <w:sz w:val="24"/>
                <w:szCs w:val="24"/>
              </w:rPr>
            </w:pPr>
            <w:r>
              <w:rPr>
                <w:rFonts w:hint="eastAsia" w:asciiTheme="minorEastAsia" w:hAnsiTheme="minorEastAsia" w:eastAsiaTheme="minorEastAsia" w:cstheme="minorEastAsia"/>
                <w:b/>
                <w:bCs/>
                <w:color w:val="0F243E"/>
                <w:kern w:val="0"/>
                <w:sz w:val="24"/>
                <w:szCs w:val="24"/>
              </w:rPr>
              <w:t>分值</w:t>
            </w:r>
          </w:p>
        </w:tc>
      </w:tr>
      <w:tr w14:paraId="1264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04" w:type="dxa"/>
            <w:vMerge w:val="restart"/>
            <w:noWrap w:val="0"/>
            <w:vAlign w:val="center"/>
          </w:tcPr>
          <w:p w14:paraId="789B5629">
            <w:pPr>
              <w:widowControl/>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365" w:type="dxa"/>
            <w:vMerge w:val="restart"/>
            <w:noWrap w:val="0"/>
            <w:vAlign w:val="center"/>
          </w:tcPr>
          <w:p w14:paraId="4D60BD19">
            <w:pPr>
              <w:widowControl/>
              <w:spacing w:line="440" w:lineRule="exact"/>
              <w:jc w:val="center"/>
              <w:rPr>
                <w:rFonts w:hint="eastAsia" w:asciiTheme="minorEastAsia" w:hAnsiTheme="minorEastAsia" w:eastAsiaTheme="minorEastAsia" w:cstheme="minorEastAsia"/>
                <w:color w:val="0F243E"/>
                <w:sz w:val="24"/>
                <w:szCs w:val="24"/>
              </w:rPr>
            </w:pPr>
            <w:r>
              <w:rPr>
                <w:rFonts w:hint="eastAsia" w:asciiTheme="minorEastAsia" w:hAnsiTheme="minorEastAsia" w:eastAsiaTheme="minorEastAsia" w:cstheme="minorEastAsia"/>
                <w:color w:val="0F243E"/>
                <w:sz w:val="24"/>
                <w:szCs w:val="24"/>
              </w:rPr>
              <w:t>投标人资信（</w:t>
            </w:r>
            <w:r>
              <w:rPr>
                <w:rFonts w:hint="eastAsia" w:asciiTheme="minorEastAsia" w:hAnsiTheme="minorEastAsia" w:eastAsiaTheme="minorEastAsia" w:cstheme="minorEastAsia"/>
                <w:color w:val="0F243E"/>
                <w:sz w:val="24"/>
                <w:szCs w:val="24"/>
                <w:lang w:val="en-US" w:eastAsia="zh-CN"/>
              </w:rPr>
              <w:t>7</w:t>
            </w:r>
            <w:r>
              <w:rPr>
                <w:rFonts w:hint="eastAsia" w:asciiTheme="minorEastAsia" w:hAnsiTheme="minorEastAsia" w:eastAsiaTheme="minorEastAsia" w:cstheme="minorEastAsia"/>
                <w:color w:val="0F243E"/>
                <w:sz w:val="24"/>
                <w:szCs w:val="24"/>
              </w:rPr>
              <w:t>分）</w:t>
            </w:r>
          </w:p>
        </w:tc>
        <w:tc>
          <w:tcPr>
            <w:tcW w:w="6674" w:type="dxa"/>
            <w:noWrap w:val="0"/>
            <w:vAlign w:val="center"/>
          </w:tcPr>
          <w:p w14:paraId="4F4256B8">
            <w:pPr>
              <w:spacing w:line="44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投标人具有授权范围的多参数监护仪专项计量授权证书或法定计量授权证书，得3分。</w:t>
            </w:r>
          </w:p>
        </w:tc>
        <w:tc>
          <w:tcPr>
            <w:tcW w:w="875" w:type="dxa"/>
            <w:noWrap w:val="0"/>
            <w:vAlign w:val="center"/>
          </w:tcPr>
          <w:p w14:paraId="0B0ACBBE">
            <w:pPr>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r>
      <w:tr w14:paraId="47B2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704" w:type="dxa"/>
            <w:vMerge w:val="continue"/>
            <w:noWrap w:val="0"/>
            <w:vAlign w:val="center"/>
          </w:tcPr>
          <w:p w14:paraId="6450E126">
            <w:pPr>
              <w:widowControl/>
              <w:spacing w:line="440" w:lineRule="exact"/>
              <w:jc w:val="center"/>
              <w:rPr>
                <w:rFonts w:hint="eastAsia" w:asciiTheme="minorEastAsia" w:hAnsiTheme="minorEastAsia" w:eastAsiaTheme="minorEastAsia" w:cstheme="minorEastAsia"/>
                <w:sz w:val="24"/>
                <w:szCs w:val="24"/>
              </w:rPr>
            </w:pPr>
          </w:p>
        </w:tc>
        <w:tc>
          <w:tcPr>
            <w:tcW w:w="1365" w:type="dxa"/>
            <w:vMerge w:val="continue"/>
            <w:noWrap w:val="0"/>
            <w:vAlign w:val="center"/>
          </w:tcPr>
          <w:p w14:paraId="6F7A3248">
            <w:pPr>
              <w:widowControl/>
              <w:spacing w:line="440" w:lineRule="exact"/>
              <w:jc w:val="center"/>
              <w:rPr>
                <w:rFonts w:hint="eastAsia" w:asciiTheme="minorEastAsia" w:hAnsiTheme="minorEastAsia" w:eastAsiaTheme="minorEastAsia" w:cstheme="minorEastAsia"/>
                <w:color w:val="0F243E"/>
                <w:sz w:val="24"/>
                <w:szCs w:val="24"/>
              </w:rPr>
            </w:pPr>
          </w:p>
        </w:tc>
        <w:tc>
          <w:tcPr>
            <w:tcW w:w="6674" w:type="dxa"/>
            <w:tcBorders>
              <w:bottom w:val="single" w:color="000000" w:sz="8" w:space="0"/>
            </w:tcBorders>
            <w:noWrap w:val="0"/>
            <w:vAlign w:val="center"/>
          </w:tcPr>
          <w:p w14:paraId="494C73E6">
            <w:pPr>
              <w:widowControl/>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投标人具有ISO9001质量管理体系</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ISO14001环境管理体系和ISO45001职业健康管理体系证书以及</w:t>
            </w:r>
            <w:r>
              <w:rPr>
                <w:rFonts w:hint="eastAsia" w:asciiTheme="minorEastAsia" w:hAnsiTheme="minorEastAsia" w:eastAsiaTheme="minorEastAsia" w:cstheme="minorEastAsia"/>
                <w:color w:val="000000"/>
                <w:sz w:val="24"/>
                <w:szCs w:val="24"/>
              </w:rPr>
              <w:t>通过国家认可委员会实验室认可的</w:t>
            </w:r>
            <w:r>
              <w:rPr>
                <w:rFonts w:hint="eastAsia" w:asciiTheme="minorEastAsia" w:hAnsiTheme="minorEastAsia" w:eastAsiaTheme="minorEastAsia" w:cstheme="minorEastAsia"/>
                <w:color w:val="000000"/>
                <w:sz w:val="24"/>
                <w:szCs w:val="24"/>
                <w:lang w:val="en-US" w:eastAsia="zh-CN"/>
              </w:rPr>
              <w:t>证书</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以上所有证书都要求</w:t>
            </w:r>
            <w:r>
              <w:rPr>
                <w:rFonts w:hint="eastAsia" w:asciiTheme="minorEastAsia" w:hAnsiTheme="minorEastAsia" w:eastAsiaTheme="minorEastAsia" w:cstheme="minorEastAsia"/>
                <w:color w:val="000000"/>
                <w:sz w:val="24"/>
                <w:szCs w:val="24"/>
              </w:rPr>
              <w:t>在有效期内的，每个得1分，最高得</w:t>
            </w:r>
            <w:r>
              <w:rPr>
                <w:rFonts w:hint="eastAsia" w:asciiTheme="minorEastAsia" w:hAnsiTheme="minorEastAsia" w:eastAsiaTheme="minorEastAsia" w:cstheme="minorEastAsia"/>
                <w:color w:val="000000"/>
                <w:sz w:val="24"/>
                <w:szCs w:val="24"/>
                <w:lang w:val="en-US" w:eastAsia="zh-CN"/>
              </w:rPr>
              <w:t>4</w:t>
            </w:r>
            <w:r>
              <w:rPr>
                <w:rFonts w:hint="eastAsia" w:asciiTheme="minorEastAsia" w:hAnsiTheme="minorEastAsia" w:eastAsiaTheme="minorEastAsia" w:cstheme="minorEastAsia"/>
                <w:color w:val="000000"/>
                <w:sz w:val="24"/>
                <w:szCs w:val="24"/>
              </w:rPr>
              <w:t>分。</w:t>
            </w:r>
            <w:r>
              <w:rPr>
                <w:rFonts w:hint="eastAsia" w:asciiTheme="minorEastAsia" w:hAnsiTheme="minorEastAsia" w:eastAsiaTheme="minorEastAsia" w:cstheme="minorEastAsia"/>
                <w:sz w:val="24"/>
                <w:szCs w:val="24"/>
                <w:lang w:val="zh-CN"/>
              </w:rPr>
              <w:t>（注：提供国家认监委网站截屏、认证或认可证书，扫描件或复印件加盖公章，否则不得分。）</w:t>
            </w:r>
          </w:p>
        </w:tc>
        <w:tc>
          <w:tcPr>
            <w:tcW w:w="875" w:type="dxa"/>
            <w:tcBorders>
              <w:bottom w:val="single" w:color="000000" w:sz="8" w:space="0"/>
            </w:tcBorders>
            <w:noWrap w:val="0"/>
            <w:vAlign w:val="center"/>
          </w:tcPr>
          <w:p w14:paraId="471A097B">
            <w:pPr>
              <w:widowControl/>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r>
      <w:tr w14:paraId="6AB9C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04" w:type="dxa"/>
            <w:noWrap w:val="0"/>
            <w:vAlign w:val="center"/>
          </w:tcPr>
          <w:p w14:paraId="5704492A">
            <w:pPr>
              <w:widowControl/>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365" w:type="dxa"/>
            <w:noWrap w:val="0"/>
            <w:vAlign w:val="center"/>
          </w:tcPr>
          <w:p w14:paraId="08C30947">
            <w:pPr>
              <w:widowControl/>
              <w:spacing w:line="440" w:lineRule="exact"/>
              <w:jc w:val="center"/>
              <w:rPr>
                <w:rFonts w:hint="eastAsia" w:asciiTheme="minorEastAsia" w:hAnsiTheme="minorEastAsia" w:eastAsiaTheme="minorEastAsia" w:cstheme="minorEastAsia"/>
                <w:color w:val="0F243E"/>
                <w:sz w:val="24"/>
                <w:szCs w:val="24"/>
              </w:rPr>
            </w:pPr>
            <w:r>
              <w:rPr>
                <w:rFonts w:hint="eastAsia" w:asciiTheme="minorEastAsia" w:hAnsiTheme="minorEastAsia" w:eastAsiaTheme="minorEastAsia" w:cstheme="minorEastAsia"/>
                <w:color w:val="0F243E"/>
                <w:sz w:val="24"/>
                <w:szCs w:val="24"/>
              </w:rPr>
              <w:t>业绩（1分）</w:t>
            </w:r>
          </w:p>
        </w:tc>
        <w:tc>
          <w:tcPr>
            <w:tcW w:w="6674" w:type="dxa"/>
            <w:noWrap w:val="0"/>
            <w:vAlign w:val="center"/>
          </w:tcPr>
          <w:p w14:paraId="40DCA17B">
            <w:pPr>
              <w:widowControl/>
              <w:spacing w:line="4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投标人自202</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年1月1日以来</w:t>
            </w:r>
            <w:r>
              <w:rPr>
                <w:rFonts w:hint="eastAsia" w:asciiTheme="minorEastAsia" w:hAnsiTheme="minorEastAsia" w:eastAsiaTheme="minorEastAsia" w:cstheme="minorEastAsia"/>
                <w:color w:val="auto"/>
                <w:sz w:val="24"/>
                <w:szCs w:val="24"/>
                <w:lang w:val="en-US" w:eastAsia="zh-CN"/>
              </w:rPr>
              <w:t>具有本项目相关</w:t>
            </w:r>
            <w:r>
              <w:rPr>
                <w:rFonts w:hint="eastAsia" w:asciiTheme="minorEastAsia" w:hAnsiTheme="minorEastAsia" w:eastAsiaTheme="minorEastAsia" w:cstheme="minorEastAsia"/>
                <w:color w:val="auto"/>
                <w:sz w:val="24"/>
                <w:szCs w:val="24"/>
              </w:rPr>
              <w:t>强制检定合同的每获得一个单项合同得0.5分，最多得1分。</w:t>
            </w:r>
          </w:p>
          <w:p w14:paraId="30F77B96">
            <w:pPr>
              <w:keepNext/>
              <w:outlineLvl w:val="1"/>
              <w:rPr>
                <w:rFonts w:hint="eastAsia"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color w:val="auto"/>
                <w:sz w:val="24"/>
                <w:szCs w:val="24"/>
              </w:rPr>
              <w:t>注：提供合同或协议复印件</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并加盖单位公章。</w:t>
            </w:r>
          </w:p>
        </w:tc>
        <w:tc>
          <w:tcPr>
            <w:tcW w:w="875" w:type="dxa"/>
            <w:noWrap w:val="0"/>
            <w:vAlign w:val="center"/>
          </w:tcPr>
          <w:p w14:paraId="0D9E14B4">
            <w:pPr>
              <w:widowControl/>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r>
      <w:tr w14:paraId="6B94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04" w:type="dxa"/>
            <w:noWrap w:val="0"/>
            <w:vAlign w:val="center"/>
          </w:tcPr>
          <w:p w14:paraId="21AA8697">
            <w:pPr>
              <w:widowControl/>
              <w:spacing w:line="440" w:lineRule="exac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1365" w:type="dxa"/>
            <w:noWrap w:val="0"/>
            <w:vAlign w:val="center"/>
          </w:tcPr>
          <w:p w14:paraId="392FE68D">
            <w:pPr>
              <w:widowControl/>
              <w:spacing w:line="440" w:lineRule="exact"/>
              <w:jc w:val="center"/>
              <w:rPr>
                <w:rFonts w:hint="eastAsia" w:eastAsia="宋体" w:asciiTheme="minorEastAsia" w:hAnsiTheme="minorEastAsia" w:cstheme="minorEastAsia"/>
                <w:sz w:val="24"/>
                <w:szCs w:val="24"/>
                <w:lang w:eastAsia="zh-CN"/>
              </w:rPr>
            </w:pPr>
            <w:r>
              <w:rPr>
                <w:rFonts w:hint="eastAsia" w:ascii="宋体" w:hAnsi="宋体" w:cs="宋体"/>
                <w:color w:val="auto"/>
                <w:sz w:val="24"/>
                <w:highlight w:val="none"/>
              </w:rPr>
              <w:t>项目负责人素质情况</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4分</w:t>
            </w:r>
            <w:r>
              <w:rPr>
                <w:rFonts w:hint="eastAsia" w:ascii="宋体" w:hAnsi="宋体" w:cs="宋体"/>
                <w:color w:val="auto"/>
                <w:sz w:val="24"/>
                <w:highlight w:val="none"/>
                <w:lang w:eastAsia="zh-CN"/>
              </w:rPr>
              <w:t>）</w:t>
            </w:r>
          </w:p>
        </w:tc>
        <w:tc>
          <w:tcPr>
            <w:tcW w:w="6674" w:type="dxa"/>
            <w:noWrap w:val="0"/>
            <w:vAlign w:val="center"/>
          </w:tcPr>
          <w:p w14:paraId="0CFF9680">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bidi="ar"/>
              </w:rPr>
              <w:t>（1）拟派本项目负责人（项目经理）</w:t>
            </w:r>
            <w:r>
              <w:rPr>
                <w:rFonts w:hint="eastAsia" w:ascii="宋体" w:hAnsi="宋体" w:cs="宋体"/>
                <w:color w:val="auto"/>
                <w:sz w:val="24"/>
                <w:highlight w:val="none"/>
              </w:rPr>
              <w:t>具有高级工程师职称证书（计量或质量等相关专业）得2分。</w:t>
            </w:r>
          </w:p>
          <w:p w14:paraId="775F491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kern w:val="0"/>
                <w:sz w:val="24"/>
                <w:highlight w:val="none"/>
                <w:lang w:bidi="ar"/>
              </w:rPr>
              <w:t>拟派本项目负责人（项目经理）</w:t>
            </w:r>
            <w:r>
              <w:rPr>
                <w:rFonts w:hint="eastAsia" w:ascii="宋体" w:hAnsi="宋体" w:cs="宋体"/>
                <w:color w:val="auto"/>
                <w:sz w:val="24"/>
                <w:highlight w:val="none"/>
              </w:rPr>
              <w:t>具有类似检定项目实施经验得2分。</w:t>
            </w:r>
          </w:p>
          <w:p w14:paraId="28DA80AB">
            <w:pPr>
              <w:widowControl/>
              <w:spacing w:line="440" w:lineRule="exact"/>
              <w:rPr>
                <w:rFonts w:hint="eastAsia" w:asciiTheme="minorEastAsia" w:hAnsiTheme="minorEastAsia" w:eastAsiaTheme="minorEastAsia" w:cstheme="minorEastAsia"/>
                <w:color w:val="auto"/>
                <w:kern w:val="2"/>
                <w:sz w:val="24"/>
                <w:szCs w:val="24"/>
              </w:rPr>
            </w:pPr>
            <w:r>
              <w:rPr>
                <w:rFonts w:hint="eastAsia" w:ascii="宋体" w:hAnsi="宋体" w:cs="宋体"/>
                <w:b/>
                <w:bCs/>
                <w:color w:val="auto"/>
                <w:kern w:val="0"/>
                <w:sz w:val="24"/>
                <w:highlight w:val="none"/>
                <w:lang w:bidi="ar"/>
              </w:rPr>
              <w:t>说明：提供相关证书复印件及投标人为其缴纳的近3个月内任意一个月社保缴纳记录或劳动合同；类似项目实施经验证明</w:t>
            </w:r>
            <w:r>
              <w:rPr>
                <w:rFonts w:hint="eastAsia" w:ascii="宋体" w:hAnsi="宋体" w:cs="宋体"/>
                <w:b/>
                <w:bCs/>
                <w:color w:val="auto"/>
                <w:sz w:val="24"/>
                <w:highlight w:val="none"/>
              </w:rPr>
              <w:t>提供业绩合同，</w:t>
            </w:r>
            <w:r>
              <w:rPr>
                <w:rStyle w:val="965"/>
                <w:rFonts w:hint="eastAsia" w:ascii="宋体" w:hAnsi="宋体" w:cs="宋体"/>
                <w:b/>
                <w:bCs/>
                <w:color w:val="auto"/>
                <w:spacing w:val="-12"/>
                <w:sz w:val="24"/>
                <w:highlight w:val="none"/>
              </w:rPr>
              <w:t>若合同不能完全体现得分条件的，另提供中标通知书、或竣工资料、 或业主证明资料，</w:t>
            </w:r>
            <w:r>
              <w:rPr>
                <w:rFonts w:hint="eastAsia" w:ascii="宋体" w:hAnsi="宋体" w:cs="宋体"/>
                <w:b/>
                <w:bCs/>
                <w:color w:val="auto"/>
                <w:kern w:val="0"/>
                <w:sz w:val="24"/>
                <w:highlight w:val="none"/>
                <w:lang w:bidi="ar"/>
              </w:rPr>
              <w:t>否则不得分。</w:t>
            </w:r>
          </w:p>
        </w:tc>
        <w:tc>
          <w:tcPr>
            <w:tcW w:w="875" w:type="dxa"/>
            <w:noWrap w:val="0"/>
            <w:vAlign w:val="center"/>
          </w:tcPr>
          <w:p w14:paraId="490C1A0C">
            <w:pPr>
              <w:widowControl/>
              <w:spacing w:line="44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r>
      <w:tr w14:paraId="2450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704" w:type="dxa"/>
            <w:vMerge w:val="restart"/>
            <w:noWrap w:val="0"/>
            <w:vAlign w:val="center"/>
          </w:tcPr>
          <w:p w14:paraId="129E07B7">
            <w:pPr>
              <w:widowControl/>
              <w:spacing w:line="4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365" w:type="dxa"/>
            <w:vMerge w:val="restart"/>
            <w:noWrap w:val="0"/>
            <w:vAlign w:val="center"/>
          </w:tcPr>
          <w:p w14:paraId="418D1080">
            <w:pPr>
              <w:widowControl/>
              <w:spacing w:line="4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项目成员情况</w:t>
            </w:r>
          </w:p>
          <w:p w14:paraId="38CFF584">
            <w:pPr>
              <w:widowControl/>
              <w:spacing w:line="440" w:lineRule="exact"/>
              <w:jc w:val="center"/>
              <w:rPr>
                <w:rFonts w:hint="eastAsia" w:asciiTheme="minorEastAsia" w:hAnsiTheme="minorEastAsia" w:eastAsiaTheme="minorEastAsia" w:cstheme="minorEastAsia"/>
                <w:color w:val="0F243E"/>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分）</w:t>
            </w:r>
          </w:p>
        </w:tc>
        <w:tc>
          <w:tcPr>
            <w:tcW w:w="6674" w:type="dxa"/>
            <w:noWrap w:val="0"/>
            <w:vAlign w:val="center"/>
          </w:tcPr>
          <w:p w14:paraId="4EE9EC29">
            <w:pPr>
              <w:widowControl/>
              <w:spacing w:line="44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lang w:val="en-US" w:eastAsia="zh-CN"/>
              </w:rPr>
              <w:t>项目组实施成员</w:t>
            </w:r>
            <w:r>
              <w:rPr>
                <w:rFonts w:hint="eastAsia" w:ascii="宋体" w:hAnsi="宋体" w:cs="宋体"/>
                <w:color w:val="auto"/>
                <w:kern w:val="0"/>
                <w:sz w:val="24"/>
                <w:highlight w:val="none"/>
                <w:lang w:bidi="ar"/>
              </w:rPr>
              <w:t>（除项目负责人外）</w:t>
            </w:r>
            <w:r>
              <w:rPr>
                <w:rFonts w:hint="eastAsia" w:asciiTheme="minorEastAsia" w:hAnsiTheme="minorEastAsia" w:eastAsiaTheme="minorEastAsia" w:cstheme="minorEastAsia"/>
                <w:color w:val="auto"/>
                <w:kern w:val="2"/>
                <w:sz w:val="24"/>
                <w:szCs w:val="24"/>
              </w:rPr>
              <w:t>具有相应计量专业项目考核合格证明和二级及以上注册计量师证书的</w:t>
            </w:r>
            <w:r>
              <w:rPr>
                <w:rFonts w:hint="eastAsia" w:asciiTheme="minorEastAsia" w:hAnsiTheme="minorEastAsia" w:eastAsiaTheme="minorEastAsia" w:cstheme="minorEastAsia"/>
                <w:color w:val="auto"/>
                <w:kern w:val="2"/>
                <w:sz w:val="24"/>
                <w:szCs w:val="24"/>
                <w:highlight w:val="none"/>
                <w:shd w:val="clear" w:color="auto" w:fill="auto"/>
              </w:rPr>
              <w:t>，</w:t>
            </w:r>
            <w:r>
              <w:rPr>
                <w:rFonts w:hint="eastAsia" w:asciiTheme="minorEastAsia" w:hAnsiTheme="minorEastAsia" w:eastAsiaTheme="minorEastAsia" w:cstheme="minorEastAsia"/>
                <w:color w:val="auto"/>
                <w:sz w:val="24"/>
                <w:szCs w:val="24"/>
                <w:highlight w:val="none"/>
              </w:rPr>
              <w:t>每</w:t>
            </w:r>
            <w:r>
              <w:rPr>
                <w:rFonts w:hint="eastAsia" w:asciiTheme="minorEastAsia" w:hAnsiTheme="minorEastAsia" w:eastAsiaTheme="minorEastAsia" w:cstheme="minorEastAsia"/>
                <w:color w:val="auto"/>
                <w:sz w:val="24"/>
                <w:szCs w:val="24"/>
                <w:highlight w:val="none"/>
                <w:lang w:val="en-US" w:eastAsia="zh-CN"/>
              </w:rPr>
              <w:t>有</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个</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分，最高得</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kern w:val="2"/>
                <w:sz w:val="24"/>
                <w:szCs w:val="24"/>
              </w:rPr>
              <w:t>（注：提供考核合格证明、证书、近三个月内任意一个月社保证明）</w:t>
            </w:r>
          </w:p>
        </w:tc>
        <w:tc>
          <w:tcPr>
            <w:tcW w:w="875" w:type="dxa"/>
            <w:noWrap w:val="0"/>
            <w:vAlign w:val="center"/>
          </w:tcPr>
          <w:p w14:paraId="6E3D11D5">
            <w:pPr>
              <w:widowControl/>
              <w:spacing w:line="44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p>
        </w:tc>
      </w:tr>
      <w:tr w14:paraId="27FE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04" w:type="dxa"/>
            <w:vMerge w:val="continue"/>
            <w:noWrap w:val="0"/>
            <w:vAlign w:val="center"/>
          </w:tcPr>
          <w:p w14:paraId="00C477AA">
            <w:pPr>
              <w:widowControl/>
              <w:spacing w:line="440" w:lineRule="exact"/>
              <w:jc w:val="center"/>
              <w:rPr>
                <w:rFonts w:hint="eastAsia" w:asciiTheme="minorEastAsia" w:hAnsiTheme="minorEastAsia" w:eastAsiaTheme="minorEastAsia" w:cstheme="minorEastAsia"/>
                <w:sz w:val="24"/>
                <w:szCs w:val="24"/>
              </w:rPr>
            </w:pPr>
          </w:p>
        </w:tc>
        <w:tc>
          <w:tcPr>
            <w:tcW w:w="1365" w:type="dxa"/>
            <w:vMerge w:val="continue"/>
            <w:noWrap w:val="0"/>
            <w:vAlign w:val="center"/>
          </w:tcPr>
          <w:p w14:paraId="48E48DD8">
            <w:pPr>
              <w:widowControl/>
              <w:spacing w:line="440" w:lineRule="exact"/>
              <w:jc w:val="center"/>
              <w:rPr>
                <w:rFonts w:hint="eastAsia" w:asciiTheme="minorEastAsia" w:hAnsiTheme="minorEastAsia" w:eastAsiaTheme="minorEastAsia" w:cstheme="minorEastAsia"/>
                <w:sz w:val="24"/>
                <w:szCs w:val="24"/>
              </w:rPr>
            </w:pPr>
          </w:p>
        </w:tc>
        <w:tc>
          <w:tcPr>
            <w:tcW w:w="6674" w:type="dxa"/>
            <w:noWrap w:val="0"/>
            <w:vAlign w:val="center"/>
          </w:tcPr>
          <w:p w14:paraId="217975D4">
            <w:pPr>
              <w:snapToGrid w:val="0"/>
              <w:spacing w:line="360" w:lineRule="auto"/>
              <w:rPr>
                <w:rFonts w:ascii="宋体" w:hAnsi="宋体" w:cs="宋体"/>
                <w:color w:val="auto"/>
                <w:sz w:val="24"/>
                <w:highlight w:val="none"/>
              </w:rPr>
            </w:pPr>
            <w:r>
              <w:rPr>
                <w:rFonts w:hint="eastAsia" w:ascii="宋体" w:hAnsi="宋体" w:cs="宋体"/>
                <w:color w:val="auto"/>
                <w:kern w:val="0"/>
                <w:sz w:val="24"/>
                <w:highlight w:val="none"/>
                <w:lang w:bidi="ar"/>
              </w:rPr>
              <w:t>项目组实施成员（除项目负责人外）</w:t>
            </w:r>
            <w:r>
              <w:rPr>
                <w:rFonts w:hint="eastAsia" w:ascii="宋体" w:hAnsi="宋体" w:cs="宋体"/>
                <w:color w:val="auto"/>
                <w:sz w:val="24"/>
                <w:highlight w:val="none"/>
              </w:rPr>
              <w:t>具有类似检定项目实施经验的每有一人得1分，最高得3分。</w:t>
            </w:r>
          </w:p>
          <w:p w14:paraId="54A22F44">
            <w:pPr>
              <w:widowControl/>
              <w:spacing w:line="440" w:lineRule="exact"/>
              <w:rPr>
                <w:rFonts w:hint="eastAsia" w:asciiTheme="minorEastAsia" w:hAnsiTheme="minorEastAsia" w:eastAsiaTheme="minorEastAsia" w:cstheme="minorEastAsia"/>
                <w:color w:val="auto"/>
                <w:kern w:val="2"/>
                <w:sz w:val="24"/>
                <w:szCs w:val="24"/>
              </w:rPr>
            </w:pPr>
            <w:r>
              <w:rPr>
                <w:rFonts w:hint="eastAsia" w:ascii="宋体" w:hAnsi="宋体" w:cs="宋体"/>
                <w:b/>
                <w:bCs/>
                <w:color w:val="auto"/>
                <w:kern w:val="0"/>
                <w:sz w:val="24"/>
                <w:highlight w:val="none"/>
                <w:lang w:bidi="ar"/>
              </w:rPr>
              <w:t>说明：提供相关证书复印件及投标人为其缴纳的近3个月内任意一个月社保缴纳记录或劳动合同；类似项目实施经验证明</w:t>
            </w:r>
            <w:r>
              <w:rPr>
                <w:rFonts w:hint="eastAsia" w:ascii="宋体" w:hAnsi="宋体" w:cs="宋体"/>
                <w:b/>
                <w:bCs/>
                <w:color w:val="auto"/>
                <w:sz w:val="24"/>
                <w:highlight w:val="none"/>
              </w:rPr>
              <w:t>提供业绩合同，</w:t>
            </w:r>
            <w:r>
              <w:rPr>
                <w:rStyle w:val="965"/>
                <w:rFonts w:hint="eastAsia" w:ascii="宋体" w:hAnsi="宋体" w:cs="宋体"/>
                <w:b/>
                <w:bCs/>
                <w:color w:val="auto"/>
                <w:spacing w:val="-12"/>
                <w:sz w:val="24"/>
                <w:highlight w:val="none"/>
              </w:rPr>
              <w:t>若合同不能完全体现得分条件的，另提供中标通知书、或竣工资料、 或业主证明资料，</w:t>
            </w:r>
            <w:r>
              <w:rPr>
                <w:rFonts w:hint="eastAsia" w:ascii="宋体" w:hAnsi="宋体" w:cs="宋体"/>
                <w:b/>
                <w:bCs/>
                <w:color w:val="auto"/>
                <w:kern w:val="0"/>
                <w:sz w:val="24"/>
                <w:highlight w:val="none"/>
                <w:lang w:bidi="ar"/>
              </w:rPr>
              <w:t>否则不得分。</w:t>
            </w:r>
          </w:p>
        </w:tc>
        <w:tc>
          <w:tcPr>
            <w:tcW w:w="875" w:type="dxa"/>
            <w:noWrap w:val="0"/>
            <w:vAlign w:val="center"/>
          </w:tcPr>
          <w:p w14:paraId="74EAEE7E">
            <w:pPr>
              <w:widowControl/>
              <w:spacing w:line="440" w:lineRule="exact"/>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r>
      <w:tr w14:paraId="5D1B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restart"/>
            <w:shd w:val="clear" w:color="auto" w:fill="auto"/>
            <w:noWrap w:val="0"/>
            <w:vAlign w:val="center"/>
          </w:tcPr>
          <w:p w14:paraId="0929220B">
            <w:pPr>
              <w:keepNext/>
              <w:jc w:val="center"/>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c>
          <w:tcPr>
            <w:tcW w:w="1365" w:type="dxa"/>
            <w:vMerge w:val="restart"/>
            <w:shd w:val="clear" w:color="auto" w:fill="auto"/>
            <w:noWrap w:val="0"/>
            <w:vAlign w:val="center"/>
          </w:tcPr>
          <w:p w14:paraId="3E13CB86">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团队人员配置方案</w:t>
            </w:r>
          </w:p>
          <w:p w14:paraId="48BB841A">
            <w:pPr>
              <w:keepNext/>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分）</w:t>
            </w:r>
          </w:p>
        </w:tc>
        <w:tc>
          <w:tcPr>
            <w:tcW w:w="6674" w:type="dxa"/>
            <w:shd w:val="clear" w:color="auto" w:fill="auto"/>
            <w:noWrap w:val="0"/>
            <w:vAlign w:val="center"/>
          </w:tcPr>
          <w:p w14:paraId="565074EF">
            <w:pPr>
              <w:spacing w:line="360" w:lineRule="auto"/>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sz w:val="24"/>
                <w:szCs w:val="24"/>
              </w:rPr>
              <w:t>响应供应商应结合本项目实际工作量和拟投入人员的情况，合理配置各阶段人员组成、时间进度并进行岗位分配，提供合理的团队人员配置方案，</w:t>
            </w:r>
            <w:r>
              <w:rPr>
                <w:rFonts w:hint="eastAsia" w:asciiTheme="minorEastAsia" w:hAnsiTheme="minorEastAsia" w:eastAsiaTheme="minorEastAsia" w:cstheme="minorEastAsia"/>
                <w:sz w:val="24"/>
                <w:szCs w:val="24"/>
                <w:lang w:val="en-US" w:eastAsia="zh-CN"/>
              </w:rPr>
              <w:t>配置方案齐全且完美适配本项目得3-5分；配置方案较齐全能基本符合本项目得1-3分；配置方案简单不够合理得0-1分。</w:t>
            </w:r>
            <w:r>
              <w:rPr>
                <w:rFonts w:hint="eastAsia" w:asciiTheme="minorEastAsia" w:hAnsiTheme="minorEastAsia" w:eastAsiaTheme="minorEastAsia" w:cstheme="minorEastAsia"/>
                <w:sz w:val="24"/>
                <w:szCs w:val="24"/>
              </w:rPr>
              <w:t>最高得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tc>
        <w:tc>
          <w:tcPr>
            <w:tcW w:w="875" w:type="dxa"/>
            <w:shd w:val="clear" w:color="auto" w:fill="auto"/>
            <w:noWrap w:val="0"/>
            <w:vAlign w:val="center"/>
          </w:tcPr>
          <w:p w14:paraId="0FACC3E7">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r>
      <w:tr w14:paraId="7C85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noWrap w:val="0"/>
            <w:vAlign w:val="center"/>
          </w:tcPr>
          <w:p w14:paraId="571CEBCB">
            <w:pPr>
              <w:jc w:val="center"/>
              <w:rPr>
                <w:rFonts w:hint="eastAsia" w:asciiTheme="minorEastAsia" w:hAnsiTheme="minorEastAsia" w:eastAsiaTheme="minorEastAsia" w:cstheme="minorEastAsia"/>
                <w:sz w:val="24"/>
                <w:szCs w:val="24"/>
                <w:lang w:val="en-US" w:eastAsia="zh-CN"/>
              </w:rPr>
            </w:pPr>
          </w:p>
        </w:tc>
        <w:tc>
          <w:tcPr>
            <w:tcW w:w="1365" w:type="dxa"/>
            <w:vMerge w:val="continue"/>
            <w:noWrap w:val="0"/>
            <w:vAlign w:val="center"/>
          </w:tcPr>
          <w:p w14:paraId="565A6938">
            <w:pPr>
              <w:rPr>
                <w:rFonts w:hint="eastAsia" w:asciiTheme="minorEastAsia" w:hAnsiTheme="minorEastAsia" w:eastAsiaTheme="minorEastAsia" w:cstheme="minorEastAsia"/>
                <w:color w:val="000000"/>
                <w:sz w:val="24"/>
                <w:szCs w:val="24"/>
              </w:rPr>
            </w:pPr>
          </w:p>
        </w:tc>
        <w:tc>
          <w:tcPr>
            <w:tcW w:w="6674" w:type="dxa"/>
            <w:shd w:val="clear" w:color="auto" w:fill="auto"/>
            <w:noWrap w:val="0"/>
            <w:vAlign w:val="center"/>
          </w:tcPr>
          <w:p w14:paraId="6C46A759">
            <w:pPr>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根据投标人人员培训计划及内部管理制度的全面性及合理性综合</w:t>
            </w:r>
            <w:r>
              <w:rPr>
                <w:rFonts w:hint="eastAsia" w:asciiTheme="minorEastAsia" w:hAnsiTheme="minorEastAsia" w:eastAsiaTheme="minorEastAsia" w:cstheme="minorEastAsia"/>
                <w:sz w:val="24"/>
                <w:szCs w:val="24"/>
                <w:lang w:val="en-US" w:eastAsia="zh-CN"/>
              </w:rPr>
              <w:t>打分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制度完善且合理可行得3-5分；制度内容较完善且基本可行得1-3分；制度简单且略欠缺可行得0-1分；不可行不得分；</w:t>
            </w:r>
            <w:r>
              <w:rPr>
                <w:rFonts w:hint="eastAsia" w:asciiTheme="minorEastAsia" w:hAnsiTheme="minorEastAsia" w:eastAsiaTheme="minorEastAsia" w:cstheme="minorEastAsia"/>
                <w:sz w:val="24"/>
                <w:szCs w:val="24"/>
              </w:rPr>
              <w:t>本项最高得</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tc>
        <w:tc>
          <w:tcPr>
            <w:tcW w:w="875" w:type="dxa"/>
            <w:shd w:val="clear" w:color="auto" w:fill="auto"/>
            <w:noWrap w:val="0"/>
            <w:vAlign w:val="center"/>
          </w:tcPr>
          <w:p w14:paraId="43A04A69">
            <w:pPr>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r>
      <w:tr w14:paraId="7E5E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noWrap w:val="0"/>
            <w:vAlign w:val="center"/>
          </w:tcPr>
          <w:p w14:paraId="1BBF6F82">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1365" w:type="dxa"/>
            <w:noWrap w:val="0"/>
            <w:vAlign w:val="center"/>
          </w:tcPr>
          <w:p w14:paraId="199EC3D2">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检定/校准</w:t>
            </w:r>
            <w:r>
              <w:rPr>
                <w:rFonts w:hint="eastAsia" w:asciiTheme="minorEastAsia" w:hAnsiTheme="minorEastAsia" w:eastAsiaTheme="minorEastAsia" w:cstheme="minorEastAsia"/>
                <w:bCs/>
                <w:color w:val="000000"/>
                <w:sz w:val="24"/>
                <w:szCs w:val="24"/>
              </w:rPr>
              <w:t>设备（</w:t>
            </w:r>
            <w:r>
              <w:rPr>
                <w:rFonts w:hint="eastAsia" w:asciiTheme="minorEastAsia" w:hAnsiTheme="minorEastAsia" w:eastAsiaTheme="minorEastAsia" w:cstheme="minorEastAsia"/>
                <w:bCs/>
                <w:color w:val="000000"/>
                <w:sz w:val="24"/>
                <w:szCs w:val="24"/>
                <w:lang w:val="en-US" w:eastAsia="zh-CN"/>
              </w:rPr>
              <w:t>6</w:t>
            </w:r>
            <w:r>
              <w:rPr>
                <w:rFonts w:hint="eastAsia" w:asciiTheme="minorEastAsia" w:hAnsiTheme="minorEastAsia" w:eastAsiaTheme="minorEastAsia" w:cstheme="minorEastAsia"/>
                <w:bCs/>
                <w:color w:val="000000"/>
                <w:sz w:val="24"/>
                <w:szCs w:val="24"/>
              </w:rPr>
              <w:t>分）</w:t>
            </w:r>
          </w:p>
        </w:tc>
        <w:tc>
          <w:tcPr>
            <w:tcW w:w="6674" w:type="dxa"/>
            <w:noWrap w:val="0"/>
            <w:vAlign w:val="center"/>
          </w:tcPr>
          <w:p w14:paraId="76703927">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投标人符合本项目要求的设备及实验仪器等。根据投入本项目主要设备，进行打分</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设备齐全完全符合项目要求得4-6分；设备较齐全，基本符合要求得2-4分；设备略微欠缺但绝大部分都有能满足要求得1-2分；设备不全或者只有部分设备得0-1分；未提此项不得分。设备完全</w:t>
            </w:r>
            <w:r>
              <w:rPr>
                <w:rFonts w:hint="eastAsia" w:asciiTheme="minorEastAsia" w:hAnsiTheme="minorEastAsia" w:eastAsiaTheme="minorEastAsia" w:cstheme="minorEastAsia"/>
                <w:color w:val="000000"/>
                <w:sz w:val="24"/>
                <w:szCs w:val="24"/>
              </w:rPr>
              <w:t>最高得</w:t>
            </w:r>
            <w:r>
              <w:rPr>
                <w:rFonts w:hint="eastAsia" w:asciiTheme="minorEastAsia" w:hAnsiTheme="minorEastAsia" w:eastAsiaTheme="minorEastAsia" w:cstheme="minorEastAsia"/>
                <w:color w:val="000000"/>
                <w:sz w:val="24"/>
                <w:szCs w:val="24"/>
                <w:lang w:val="en-US" w:eastAsia="zh-CN"/>
              </w:rPr>
              <w:t>6</w:t>
            </w:r>
            <w:r>
              <w:rPr>
                <w:rFonts w:hint="eastAsia" w:asciiTheme="minorEastAsia" w:hAnsiTheme="minorEastAsia" w:eastAsiaTheme="minorEastAsia" w:cstheme="minorEastAsia"/>
                <w:color w:val="000000"/>
                <w:sz w:val="24"/>
                <w:szCs w:val="24"/>
              </w:rPr>
              <w:t>分。</w:t>
            </w:r>
          </w:p>
          <w:p w14:paraId="2E39E336">
            <w:pPr>
              <w:spacing w:line="360" w:lineRule="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注：提供实验室检测设备详细清单、数量、购置时间及有效期内实验室检测设备检定证书，并提供实验室图片及仪器设备图片，证书复印件加盖公章</w:t>
            </w:r>
            <w:r>
              <w:rPr>
                <w:rFonts w:hint="eastAsia" w:asciiTheme="minorEastAsia" w:hAnsiTheme="minorEastAsia" w:eastAsiaTheme="minorEastAsia" w:cstheme="minorEastAsia"/>
                <w:color w:val="000000"/>
                <w:sz w:val="24"/>
                <w:szCs w:val="24"/>
                <w:lang w:eastAsia="zh-CN"/>
              </w:rPr>
              <w:t>。</w:t>
            </w:r>
          </w:p>
        </w:tc>
        <w:tc>
          <w:tcPr>
            <w:tcW w:w="875" w:type="dxa"/>
            <w:noWrap w:val="0"/>
            <w:vAlign w:val="center"/>
          </w:tcPr>
          <w:p w14:paraId="432C35D9">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6</w:t>
            </w:r>
          </w:p>
        </w:tc>
      </w:tr>
      <w:tr w14:paraId="13CF5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restart"/>
            <w:noWrap w:val="0"/>
            <w:vAlign w:val="center"/>
          </w:tcPr>
          <w:p w14:paraId="69298BFC">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p>
        </w:tc>
        <w:tc>
          <w:tcPr>
            <w:tcW w:w="1365" w:type="dxa"/>
            <w:vMerge w:val="restart"/>
            <w:noWrap w:val="0"/>
            <w:vAlign w:val="center"/>
          </w:tcPr>
          <w:p w14:paraId="605A0275">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实施方案</w:t>
            </w:r>
          </w:p>
          <w:p w14:paraId="7E607106">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rPr>
              <w:t>分）</w:t>
            </w:r>
          </w:p>
        </w:tc>
        <w:tc>
          <w:tcPr>
            <w:tcW w:w="6674" w:type="dxa"/>
            <w:noWrap w:val="0"/>
            <w:vAlign w:val="center"/>
          </w:tcPr>
          <w:p w14:paraId="0252C114">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根据投标人提供的服务方案进行综合打分。</w:t>
            </w:r>
            <w:r>
              <w:rPr>
                <w:rFonts w:hint="eastAsia" w:asciiTheme="minorEastAsia" w:hAnsiTheme="minorEastAsia" w:eastAsiaTheme="minorEastAsia" w:cstheme="minorEastAsia"/>
                <w:color w:val="000000"/>
                <w:sz w:val="24"/>
                <w:szCs w:val="24"/>
                <w:lang w:val="en-US" w:eastAsia="zh-CN"/>
              </w:rPr>
              <w:t>服务</w:t>
            </w:r>
            <w:r>
              <w:rPr>
                <w:rFonts w:hint="eastAsia" w:asciiTheme="minorEastAsia" w:hAnsiTheme="minorEastAsia" w:eastAsiaTheme="minorEastAsia" w:cstheme="minorEastAsia"/>
                <w:color w:val="000000"/>
                <w:sz w:val="24"/>
                <w:szCs w:val="24"/>
                <w:lang w:val="en-US" w:eastAsia="zh-CN" w:bidi="ar"/>
              </w:rPr>
              <w:t>方案</w:t>
            </w:r>
            <w:r>
              <w:rPr>
                <w:rFonts w:hint="eastAsia" w:asciiTheme="minorEastAsia" w:hAnsiTheme="minorEastAsia" w:eastAsiaTheme="minorEastAsia" w:cstheme="minorEastAsia"/>
                <w:color w:val="000000"/>
                <w:sz w:val="24"/>
                <w:szCs w:val="24"/>
                <w:lang w:bidi="ar"/>
              </w:rPr>
              <w:t>内容完整、合理、可行的得</w:t>
            </w:r>
            <w:r>
              <w:rPr>
                <w:rFonts w:hint="eastAsia" w:asciiTheme="minorEastAsia" w:hAnsiTheme="minorEastAsia" w:eastAsiaTheme="minorEastAsia" w:cstheme="minorEastAsia"/>
                <w:color w:val="000000"/>
                <w:sz w:val="24"/>
                <w:szCs w:val="24"/>
                <w:lang w:val="en-US" w:eastAsia="zh-CN" w:bidi="ar"/>
              </w:rPr>
              <w:t>5</w:t>
            </w:r>
            <w:r>
              <w:rPr>
                <w:rFonts w:hint="eastAsia" w:asciiTheme="minorEastAsia" w:hAnsiTheme="minorEastAsia" w:eastAsiaTheme="minorEastAsia" w:cstheme="minorEastAsia"/>
                <w:color w:val="000000"/>
                <w:sz w:val="24"/>
                <w:szCs w:val="24"/>
                <w:lang w:bidi="ar"/>
              </w:rPr>
              <w:t>分；</w:t>
            </w:r>
            <w:r>
              <w:rPr>
                <w:rFonts w:hint="eastAsia" w:asciiTheme="minorEastAsia" w:hAnsiTheme="minorEastAsia" w:eastAsiaTheme="minorEastAsia" w:cstheme="minorEastAsia"/>
                <w:color w:val="000000"/>
                <w:sz w:val="24"/>
                <w:szCs w:val="24"/>
                <w:lang w:val="en-US" w:eastAsia="zh-CN"/>
              </w:rPr>
              <w:t>服务</w:t>
            </w:r>
            <w:r>
              <w:rPr>
                <w:rFonts w:hint="eastAsia" w:asciiTheme="minorEastAsia" w:hAnsiTheme="minorEastAsia" w:eastAsiaTheme="minorEastAsia" w:cstheme="minorEastAsia"/>
                <w:color w:val="000000"/>
                <w:sz w:val="24"/>
                <w:szCs w:val="24"/>
                <w:lang w:val="en-US" w:eastAsia="zh-CN" w:bidi="ar"/>
              </w:rPr>
              <w:t>方案</w:t>
            </w:r>
            <w:r>
              <w:rPr>
                <w:rFonts w:hint="eastAsia" w:asciiTheme="minorEastAsia" w:hAnsiTheme="minorEastAsia" w:eastAsiaTheme="minorEastAsia" w:cstheme="minorEastAsia"/>
                <w:color w:val="000000"/>
                <w:sz w:val="24"/>
                <w:szCs w:val="24"/>
                <w:lang w:bidi="ar"/>
              </w:rPr>
              <w:t>内容基本完整、具有一定可行性的得</w:t>
            </w:r>
            <w:r>
              <w:rPr>
                <w:rFonts w:hint="eastAsia" w:asciiTheme="minorEastAsia" w:hAnsiTheme="minorEastAsia" w:eastAsiaTheme="minorEastAsia" w:cstheme="minorEastAsia"/>
                <w:color w:val="000000"/>
                <w:sz w:val="24"/>
                <w:szCs w:val="24"/>
                <w:lang w:val="en-US" w:eastAsia="zh-CN" w:bidi="ar"/>
              </w:rPr>
              <w:t>3</w:t>
            </w:r>
            <w:r>
              <w:rPr>
                <w:rFonts w:hint="eastAsia" w:asciiTheme="minorEastAsia" w:hAnsiTheme="minorEastAsia" w:eastAsiaTheme="minorEastAsia" w:cstheme="minorEastAsia"/>
                <w:color w:val="000000"/>
                <w:sz w:val="24"/>
                <w:szCs w:val="24"/>
                <w:lang w:bidi="ar"/>
              </w:rPr>
              <w:t>分；</w:t>
            </w:r>
            <w:r>
              <w:rPr>
                <w:rFonts w:hint="eastAsia" w:asciiTheme="minorEastAsia" w:hAnsiTheme="minorEastAsia" w:eastAsiaTheme="minorEastAsia" w:cstheme="minorEastAsia"/>
                <w:color w:val="000000"/>
                <w:sz w:val="24"/>
                <w:szCs w:val="24"/>
                <w:lang w:val="en-US" w:eastAsia="zh-CN"/>
              </w:rPr>
              <w:t>服务</w:t>
            </w:r>
            <w:r>
              <w:rPr>
                <w:rFonts w:hint="eastAsia" w:asciiTheme="minorEastAsia" w:hAnsiTheme="minorEastAsia" w:eastAsiaTheme="minorEastAsia" w:cstheme="minorEastAsia"/>
                <w:color w:val="000000"/>
                <w:sz w:val="24"/>
                <w:szCs w:val="24"/>
                <w:lang w:val="en-US" w:eastAsia="zh-CN" w:bidi="ar"/>
              </w:rPr>
              <w:t>方案</w:t>
            </w:r>
            <w:r>
              <w:rPr>
                <w:rFonts w:hint="eastAsia" w:asciiTheme="minorEastAsia" w:hAnsiTheme="minorEastAsia" w:eastAsiaTheme="minorEastAsia" w:cstheme="minorEastAsia"/>
                <w:color w:val="000000"/>
                <w:sz w:val="24"/>
                <w:szCs w:val="24"/>
                <w:lang w:bidi="ar"/>
              </w:rPr>
              <w:t>内容一般的得</w:t>
            </w:r>
            <w:r>
              <w:rPr>
                <w:rFonts w:hint="eastAsia" w:asciiTheme="minorEastAsia" w:hAnsiTheme="minorEastAsia" w:eastAsiaTheme="minorEastAsia" w:cstheme="minorEastAsia"/>
                <w:color w:val="000000"/>
                <w:sz w:val="24"/>
                <w:szCs w:val="24"/>
                <w:lang w:val="en-US" w:eastAsia="zh-CN" w:bidi="ar"/>
              </w:rPr>
              <w:t>2</w:t>
            </w:r>
            <w:r>
              <w:rPr>
                <w:rFonts w:hint="eastAsia" w:asciiTheme="minorEastAsia" w:hAnsiTheme="minorEastAsia" w:eastAsiaTheme="minorEastAsia" w:cstheme="minorEastAsia"/>
                <w:color w:val="000000"/>
                <w:sz w:val="24"/>
                <w:szCs w:val="24"/>
                <w:lang w:bidi="ar"/>
              </w:rPr>
              <w:t>分；</w:t>
            </w:r>
            <w:r>
              <w:rPr>
                <w:rFonts w:hint="eastAsia" w:asciiTheme="minorEastAsia" w:hAnsiTheme="minorEastAsia" w:eastAsiaTheme="minorEastAsia" w:cstheme="minorEastAsia"/>
                <w:color w:val="000000"/>
                <w:sz w:val="24"/>
                <w:szCs w:val="24"/>
                <w:lang w:val="en-US" w:eastAsia="zh-CN"/>
              </w:rPr>
              <w:t>服务</w:t>
            </w:r>
            <w:r>
              <w:rPr>
                <w:rFonts w:hint="eastAsia" w:asciiTheme="minorEastAsia" w:hAnsiTheme="minorEastAsia" w:eastAsiaTheme="minorEastAsia" w:cstheme="minorEastAsia"/>
                <w:color w:val="000000"/>
                <w:sz w:val="24"/>
                <w:szCs w:val="24"/>
                <w:lang w:val="en-US" w:eastAsia="zh-CN" w:bidi="ar"/>
              </w:rPr>
              <w:t>方案</w:t>
            </w:r>
            <w:r>
              <w:rPr>
                <w:rFonts w:hint="eastAsia" w:asciiTheme="minorEastAsia" w:hAnsiTheme="minorEastAsia" w:eastAsiaTheme="minorEastAsia" w:cstheme="minorEastAsia"/>
                <w:color w:val="000000"/>
                <w:sz w:val="24"/>
                <w:szCs w:val="24"/>
                <w:lang w:bidi="ar"/>
              </w:rPr>
              <w:t>内容存在欠缺或有待完善的得</w:t>
            </w:r>
            <w:r>
              <w:rPr>
                <w:rFonts w:hint="eastAsia" w:asciiTheme="minorEastAsia" w:hAnsiTheme="minorEastAsia" w:eastAsiaTheme="minorEastAsia" w:cstheme="minorEastAsia"/>
                <w:color w:val="000000"/>
                <w:sz w:val="24"/>
                <w:szCs w:val="24"/>
                <w:lang w:val="en-US" w:eastAsia="zh-CN" w:bidi="ar"/>
              </w:rPr>
              <w:t>1</w:t>
            </w:r>
            <w:r>
              <w:rPr>
                <w:rFonts w:hint="eastAsia" w:asciiTheme="minorEastAsia" w:hAnsiTheme="minorEastAsia" w:eastAsiaTheme="minorEastAsia" w:cstheme="minorEastAsia"/>
                <w:color w:val="000000"/>
                <w:sz w:val="24"/>
                <w:szCs w:val="24"/>
                <w:lang w:bidi="ar"/>
              </w:rPr>
              <w:t>分；未提供不得分。</w:t>
            </w:r>
          </w:p>
        </w:tc>
        <w:tc>
          <w:tcPr>
            <w:tcW w:w="875" w:type="dxa"/>
            <w:noWrap w:val="0"/>
            <w:vAlign w:val="center"/>
          </w:tcPr>
          <w:p w14:paraId="5088978D">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5</w:t>
            </w:r>
          </w:p>
        </w:tc>
      </w:tr>
      <w:tr w14:paraId="7606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noWrap w:val="0"/>
            <w:vAlign w:val="center"/>
          </w:tcPr>
          <w:p w14:paraId="6BEB91BF">
            <w:pPr>
              <w:jc w:val="center"/>
              <w:rPr>
                <w:rFonts w:hint="eastAsia" w:asciiTheme="minorEastAsia" w:hAnsiTheme="minorEastAsia" w:eastAsiaTheme="minorEastAsia" w:cstheme="minorEastAsia"/>
                <w:sz w:val="24"/>
                <w:szCs w:val="24"/>
              </w:rPr>
            </w:pPr>
          </w:p>
        </w:tc>
        <w:tc>
          <w:tcPr>
            <w:tcW w:w="1365" w:type="dxa"/>
            <w:vMerge w:val="continue"/>
            <w:noWrap w:val="0"/>
            <w:vAlign w:val="center"/>
          </w:tcPr>
          <w:p w14:paraId="7F7A83D4">
            <w:pPr>
              <w:rPr>
                <w:rFonts w:hint="eastAsia" w:asciiTheme="minorEastAsia" w:hAnsiTheme="minorEastAsia" w:eastAsiaTheme="minorEastAsia" w:cstheme="minorEastAsia"/>
                <w:sz w:val="24"/>
                <w:szCs w:val="24"/>
              </w:rPr>
            </w:pPr>
          </w:p>
        </w:tc>
        <w:tc>
          <w:tcPr>
            <w:tcW w:w="6674" w:type="dxa"/>
            <w:noWrap w:val="0"/>
            <w:vAlign w:val="center"/>
          </w:tcPr>
          <w:p w14:paraId="09066C11">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根据投标人提供的检定计划进行综合打分。检定计划</w:t>
            </w:r>
            <w:r>
              <w:rPr>
                <w:rFonts w:hint="eastAsia" w:asciiTheme="minorEastAsia" w:hAnsiTheme="minorEastAsia" w:eastAsiaTheme="minorEastAsia" w:cstheme="minorEastAsia"/>
                <w:color w:val="000000"/>
                <w:sz w:val="24"/>
                <w:szCs w:val="24"/>
                <w:lang w:bidi="ar"/>
              </w:rPr>
              <w:t>内容完整、合理、可行的得</w:t>
            </w:r>
            <w:r>
              <w:rPr>
                <w:rFonts w:hint="eastAsia" w:asciiTheme="minorEastAsia" w:hAnsiTheme="minorEastAsia" w:eastAsiaTheme="minorEastAsia" w:cstheme="minorEastAsia"/>
                <w:color w:val="000000"/>
                <w:sz w:val="24"/>
                <w:szCs w:val="24"/>
                <w:lang w:val="en-US" w:eastAsia="zh-CN" w:bidi="ar"/>
              </w:rPr>
              <w:t>3-5</w:t>
            </w:r>
            <w:r>
              <w:rPr>
                <w:rFonts w:hint="eastAsia" w:asciiTheme="minorEastAsia" w:hAnsiTheme="minorEastAsia" w:eastAsiaTheme="minorEastAsia" w:cstheme="minorEastAsia"/>
                <w:color w:val="000000"/>
                <w:sz w:val="24"/>
                <w:szCs w:val="24"/>
                <w:lang w:bidi="ar"/>
              </w:rPr>
              <w:t>分；</w:t>
            </w:r>
            <w:r>
              <w:rPr>
                <w:rFonts w:hint="eastAsia" w:asciiTheme="minorEastAsia" w:hAnsiTheme="minorEastAsia" w:eastAsiaTheme="minorEastAsia" w:cstheme="minorEastAsia"/>
                <w:color w:val="000000"/>
                <w:sz w:val="24"/>
                <w:szCs w:val="24"/>
              </w:rPr>
              <w:t>检定计划</w:t>
            </w:r>
            <w:r>
              <w:rPr>
                <w:rFonts w:hint="eastAsia" w:asciiTheme="minorEastAsia" w:hAnsiTheme="minorEastAsia" w:eastAsiaTheme="minorEastAsia" w:cstheme="minorEastAsia"/>
                <w:color w:val="000000"/>
                <w:sz w:val="24"/>
                <w:szCs w:val="24"/>
                <w:lang w:bidi="ar"/>
              </w:rPr>
              <w:t>内容基本完整、具有一定可行性的得</w:t>
            </w:r>
            <w:r>
              <w:rPr>
                <w:rFonts w:hint="eastAsia" w:asciiTheme="minorEastAsia" w:hAnsiTheme="minorEastAsia" w:eastAsiaTheme="minorEastAsia" w:cstheme="minorEastAsia"/>
                <w:color w:val="000000"/>
                <w:sz w:val="24"/>
                <w:szCs w:val="24"/>
                <w:lang w:val="en-US" w:eastAsia="zh-CN" w:bidi="ar"/>
              </w:rPr>
              <w:t>2-3</w:t>
            </w:r>
            <w:r>
              <w:rPr>
                <w:rFonts w:hint="eastAsia" w:asciiTheme="minorEastAsia" w:hAnsiTheme="minorEastAsia" w:eastAsiaTheme="minorEastAsia" w:cstheme="minorEastAsia"/>
                <w:color w:val="000000"/>
                <w:sz w:val="24"/>
                <w:szCs w:val="24"/>
                <w:lang w:bidi="ar"/>
              </w:rPr>
              <w:t>分；</w:t>
            </w:r>
            <w:r>
              <w:rPr>
                <w:rFonts w:hint="eastAsia" w:asciiTheme="minorEastAsia" w:hAnsiTheme="minorEastAsia" w:eastAsiaTheme="minorEastAsia" w:cstheme="minorEastAsia"/>
                <w:color w:val="000000"/>
                <w:sz w:val="24"/>
                <w:szCs w:val="24"/>
              </w:rPr>
              <w:t>检定计划</w:t>
            </w:r>
            <w:r>
              <w:rPr>
                <w:rFonts w:hint="eastAsia" w:asciiTheme="minorEastAsia" w:hAnsiTheme="minorEastAsia" w:eastAsiaTheme="minorEastAsia" w:cstheme="minorEastAsia"/>
                <w:color w:val="000000"/>
                <w:sz w:val="24"/>
                <w:szCs w:val="24"/>
                <w:lang w:bidi="ar"/>
              </w:rPr>
              <w:t>内容一般的得</w:t>
            </w:r>
            <w:r>
              <w:rPr>
                <w:rFonts w:hint="eastAsia" w:asciiTheme="minorEastAsia" w:hAnsiTheme="minorEastAsia" w:eastAsiaTheme="minorEastAsia" w:cstheme="minorEastAsia"/>
                <w:color w:val="000000"/>
                <w:sz w:val="24"/>
                <w:szCs w:val="24"/>
                <w:lang w:val="en-US" w:eastAsia="zh-CN" w:bidi="ar"/>
              </w:rPr>
              <w:t>1-2</w:t>
            </w:r>
            <w:r>
              <w:rPr>
                <w:rFonts w:hint="eastAsia" w:asciiTheme="minorEastAsia" w:hAnsiTheme="minorEastAsia" w:eastAsiaTheme="minorEastAsia" w:cstheme="minorEastAsia"/>
                <w:color w:val="000000"/>
                <w:sz w:val="24"/>
                <w:szCs w:val="24"/>
                <w:lang w:bidi="ar"/>
              </w:rPr>
              <w:t>分；</w:t>
            </w:r>
            <w:r>
              <w:rPr>
                <w:rFonts w:hint="eastAsia" w:asciiTheme="minorEastAsia" w:hAnsiTheme="minorEastAsia" w:eastAsiaTheme="minorEastAsia" w:cstheme="minorEastAsia"/>
                <w:color w:val="000000"/>
                <w:sz w:val="24"/>
                <w:szCs w:val="24"/>
              </w:rPr>
              <w:t>检定计划</w:t>
            </w:r>
            <w:r>
              <w:rPr>
                <w:rFonts w:hint="eastAsia" w:asciiTheme="minorEastAsia" w:hAnsiTheme="minorEastAsia" w:eastAsiaTheme="minorEastAsia" w:cstheme="minorEastAsia"/>
                <w:color w:val="000000"/>
                <w:sz w:val="24"/>
                <w:szCs w:val="24"/>
                <w:lang w:bidi="ar"/>
              </w:rPr>
              <w:t>内容存在欠缺或有待完善的得</w:t>
            </w:r>
            <w:r>
              <w:rPr>
                <w:rFonts w:hint="eastAsia" w:asciiTheme="minorEastAsia" w:hAnsiTheme="minorEastAsia" w:eastAsiaTheme="minorEastAsia" w:cstheme="minorEastAsia"/>
                <w:color w:val="000000"/>
                <w:sz w:val="24"/>
                <w:szCs w:val="24"/>
                <w:lang w:val="en-US" w:eastAsia="zh-CN" w:bidi="ar"/>
              </w:rPr>
              <w:t>0-1</w:t>
            </w:r>
            <w:r>
              <w:rPr>
                <w:rFonts w:hint="eastAsia" w:asciiTheme="minorEastAsia" w:hAnsiTheme="minorEastAsia" w:eastAsiaTheme="minorEastAsia" w:cstheme="minorEastAsia"/>
                <w:color w:val="000000"/>
                <w:sz w:val="24"/>
                <w:szCs w:val="24"/>
                <w:lang w:bidi="ar"/>
              </w:rPr>
              <w:t>分；未提供不得分。</w:t>
            </w:r>
          </w:p>
        </w:tc>
        <w:tc>
          <w:tcPr>
            <w:tcW w:w="875" w:type="dxa"/>
            <w:noWrap w:val="0"/>
            <w:vAlign w:val="center"/>
          </w:tcPr>
          <w:p w14:paraId="65C6DAC5">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5</w:t>
            </w:r>
          </w:p>
        </w:tc>
      </w:tr>
      <w:tr w14:paraId="7E1F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noWrap w:val="0"/>
            <w:vAlign w:val="center"/>
          </w:tcPr>
          <w:p w14:paraId="6B3E15D6">
            <w:pPr>
              <w:jc w:val="center"/>
              <w:rPr>
                <w:rFonts w:hint="eastAsia" w:asciiTheme="minorEastAsia" w:hAnsiTheme="minorEastAsia" w:eastAsiaTheme="minorEastAsia" w:cstheme="minorEastAsia"/>
                <w:sz w:val="24"/>
                <w:szCs w:val="24"/>
              </w:rPr>
            </w:pPr>
          </w:p>
        </w:tc>
        <w:tc>
          <w:tcPr>
            <w:tcW w:w="1365" w:type="dxa"/>
            <w:vMerge w:val="continue"/>
            <w:noWrap w:val="0"/>
            <w:vAlign w:val="center"/>
          </w:tcPr>
          <w:p w14:paraId="04A9F554">
            <w:pPr>
              <w:rPr>
                <w:rFonts w:hint="eastAsia" w:asciiTheme="minorEastAsia" w:hAnsiTheme="minorEastAsia" w:eastAsiaTheme="minorEastAsia" w:cstheme="minorEastAsia"/>
                <w:sz w:val="24"/>
                <w:szCs w:val="24"/>
              </w:rPr>
            </w:pPr>
          </w:p>
        </w:tc>
        <w:tc>
          <w:tcPr>
            <w:tcW w:w="6674" w:type="dxa"/>
            <w:noWrap w:val="0"/>
            <w:vAlign w:val="center"/>
          </w:tcPr>
          <w:p w14:paraId="0B3483A8">
            <w:pPr>
              <w:spacing w:line="360" w:lineRule="auto"/>
              <w:rPr>
                <w:rFonts w:hint="eastAsia" w:asciiTheme="minorEastAsia" w:hAnsiTheme="minorEastAsia" w:eastAsiaTheme="minorEastAsia" w:cstheme="minorEastAsia"/>
                <w:color w:val="000000"/>
                <w:sz w:val="24"/>
                <w:szCs w:val="24"/>
                <w:highlight w:val="yellow"/>
              </w:rPr>
            </w:pPr>
            <w:r>
              <w:rPr>
                <w:rFonts w:hint="eastAsia" w:asciiTheme="minorEastAsia" w:hAnsiTheme="minorEastAsia" w:eastAsiaTheme="minorEastAsia" w:cstheme="minorEastAsia"/>
                <w:color w:val="000000"/>
                <w:sz w:val="24"/>
                <w:szCs w:val="24"/>
              </w:rPr>
              <w:t>根据投标人提供的时间进度安排进行综合打分。时间进度</w:t>
            </w:r>
            <w:r>
              <w:rPr>
                <w:rFonts w:hint="eastAsia" w:asciiTheme="minorEastAsia" w:hAnsiTheme="minorEastAsia" w:eastAsiaTheme="minorEastAsia" w:cstheme="minorEastAsia"/>
                <w:color w:val="000000"/>
                <w:sz w:val="24"/>
                <w:szCs w:val="24"/>
                <w:lang w:val="en-US" w:eastAsia="zh-CN" w:bidi="ar"/>
              </w:rPr>
              <w:t>方案</w:t>
            </w:r>
            <w:r>
              <w:rPr>
                <w:rFonts w:hint="eastAsia" w:asciiTheme="minorEastAsia" w:hAnsiTheme="minorEastAsia" w:eastAsiaTheme="minorEastAsia" w:cstheme="minorEastAsia"/>
                <w:color w:val="000000"/>
                <w:sz w:val="24"/>
                <w:szCs w:val="24"/>
                <w:lang w:bidi="ar"/>
              </w:rPr>
              <w:t>内容完整、合理、可行的得</w:t>
            </w:r>
            <w:r>
              <w:rPr>
                <w:rFonts w:hint="eastAsia" w:asciiTheme="minorEastAsia" w:hAnsiTheme="minorEastAsia" w:eastAsiaTheme="minorEastAsia" w:cstheme="minorEastAsia"/>
                <w:color w:val="000000"/>
                <w:sz w:val="24"/>
                <w:szCs w:val="24"/>
                <w:lang w:val="en-US" w:eastAsia="zh-CN" w:bidi="ar"/>
              </w:rPr>
              <w:t>3-5</w:t>
            </w:r>
            <w:r>
              <w:rPr>
                <w:rFonts w:hint="eastAsia" w:asciiTheme="minorEastAsia" w:hAnsiTheme="minorEastAsia" w:eastAsiaTheme="minorEastAsia" w:cstheme="minorEastAsia"/>
                <w:color w:val="000000"/>
                <w:sz w:val="24"/>
                <w:szCs w:val="24"/>
                <w:lang w:bidi="ar"/>
              </w:rPr>
              <w:t>分；</w:t>
            </w:r>
            <w:r>
              <w:rPr>
                <w:rFonts w:hint="eastAsia" w:asciiTheme="minorEastAsia" w:hAnsiTheme="minorEastAsia" w:eastAsiaTheme="minorEastAsia" w:cstheme="minorEastAsia"/>
                <w:color w:val="000000"/>
                <w:sz w:val="24"/>
                <w:szCs w:val="24"/>
              </w:rPr>
              <w:t>时间进度</w:t>
            </w:r>
            <w:r>
              <w:rPr>
                <w:rFonts w:hint="eastAsia" w:asciiTheme="minorEastAsia" w:hAnsiTheme="minorEastAsia" w:eastAsiaTheme="minorEastAsia" w:cstheme="minorEastAsia"/>
                <w:color w:val="000000"/>
                <w:sz w:val="24"/>
                <w:szCs w:val="24"/>
                <w:lang w:val="en-US" w:eastAsia="zh-CN" w:bidi="ar"/>
              </w:rPr>
              <w:t>方案</w:t>
            </w:r>
            <w:r>
              <w:rPr>
                <w:rFonts w:hint="eastAsia" w:asciiTheme="minorEastAsia" w:hAnsiTheme="minorEastAsia" w:eastAsiaTheme="minorEastAsia" w:cstheme="minorEastAsia"/>
                <w:color w:val="000000"/>
                <w:sz w:val="24"/>
                <w:szCs w:val="24"/>
                <w:lang w:bidi="ar"/>
              </w:rPr>
              <w:t>内容基本完整、具有一定可行性的得</w:t>
            </w:r>
            <w:r>
              <w:rPr>
                <w:rFonts w:hint="eastAsia" w:asciiTheme="minorEastAsia" w:hAnsiTheme="minorEastAsia" w:eastAsiaTheme="minorEastAsia" w:cstheme="minorEastAsia"/>
                <w:color w:val="000000"/>
                <w:sz w:val="24"/>
                <w:szCs w:val="24"/>
                <w:lang w:val="en-US" w:eastAsia="zh-CN" w:bidi="ar"/>
              </w:rPr>
              <w:t>2-3</w:t>
            </w:r>
            <w:r>
              <w:rPr>
                <w:rFonts w:hint="eastAsia" w:asciiTheme="minorEastAsia" w:hAnsiTheme="minorEastAsia" w:eastAsiaTheme="minorEastAsia" w:cstheme="minorEastAsia"/>
                <w:color w:val="000000"/>
                <w:sz w:val="24"/>
                <w:szCs w:val="24"/>
                <w:lang w:bidi="ar"/>
              </w:rPr>
              <w:t>分；</w:t>
            </w:r>
            <w:r>
              <w:rPr>
                <w:rFonts w:hint="eastAsia" w:asciiTheme="minorEastAsia" w:hAnsiTheme="minorEastAsia" w:eastAsiaTheme="minorEastAsia" w:cstheme="minorEastAsia"/>
                <w:color w:val="000000"/>
                <w:sz w:val="24"/>
                <w:szCs w:val="24"/>
              </w:rPr>
              <w:t>时间进度</w:t>
            </w:r>
            <w:r>
              <w:rPr>
                <w:rFonts w:hint="eastAsia" w:asciiTheme="minorEastAsia" w:hAnsiTheme="minorEastAsia" w:eastAsiaTheme="minorEastAsia" w:cstheme="minorEastAsia"/>
                <w:color w:val="000000"/>
                <w:sz w:val="24"/>
                <w:szCs w:val="24"/>
                <w:lang w:val="en-US" w:eastAsia="zh-CN" w:bidi="ar"/>
              </w:rPr>
              <w:t>方案</w:t>
            </w:r>
            <w:r>
              <w:rPr>
                <w:rFonts w:hint="eastAsia" w:asciiTheme="minorEastAsia" w:hAnsiTheme="minorEastAsia" w:eastAsiaTheme="minorEastAsia" w:cstheme="minorEastAsia"/>
                <w:color w:val="000000"/>
                <w:sz w:val="24"/>
                <w:szCs w:val="24"/>
                <w:lang w:bidi="ar"/>
              </w:rPr>
              <w:t>内容一般的得</w:t>
            </w:r>
            <w:r>
              <w:rPr>
                <w:rFonts w:hint="eastAsia" w:asciiTheme="minorEastAsia" w:hAnsiTheme="minorEastAsia" w:eastAsiaTheme="minorEastAsia" w:cstheme="minorEastAsia"/>
                <w:color w:val="000000"/>
                <w:sz w:val="24"/>
                <w:szCs w:val="24"/>
                <w:lang w:val="en-US" w:eastAsia="zh-CN" w:bidi="ar"/>
              </w:rPr>
              <w:t>1-2</w:t>
            </w:r>
            <w:r>
              <w:rPr>
                <w:rFonts w:hint="eastAsia" w:asciiTheme="minorEastAsia" w:hAnsiTheme="minorEastAsia" w:eastAsiaTheme="minorEastAsia" w:cstheme="minorEastAsia"/>
                <w:color w:val="000000"/>
                <w:sz w:val="24"/>
                <w:szCs w:val="24"/>
                <w:lang w:bidi="ar"/>
              </w:rPr>
              <w:t>分；</w:t>
            </w:r>
            <w:r>
              <w:rPr>
                <w:rFonts w:hint="eastAsia" w:asciiTheme="minorEastAsia" w:hAnsiTheme="minorEastAsia" w:eastAsiaTheme="minorEastAsia" w:cstheme="minorEastAsia"/>
                <w:color w:val="000000"/>
                <w:sz w:val="24"/>
                <w:szCs w:val="24"/>
              </w:rPr>
              <w:t>时间进度</w:t>
            </w:r>
            <w:r>
              <w:rPr>
                <w:rFonts w:hint="eastAsia" w:asciiTheme="minorEastAsia" w:hAnsiTheme="minorEastAsia" w:eastAsiaTheme="minorEastAsia" w:cstheme="minorEastAsia"/>
                <w:color w:val="000000"/>
                <w:sz w:val="24"/>
                <w:szCs w:val="24"/>
                <w:lang w:val="en-US" w:eastAsia="zh-CN" w:bidi="ar"/>
              </w:rPr>
              <w:t>方案</w:t>
            </w:r>
            <w:r>
              <w:rPr>
                <w:rFonts w:hint="eastAsia" w:asciiTheme="minorEastAsia" w:hAnsiTheme="minorEastAsia" w:eastAsiaTheme="minorEastAsia" w:cstheme="minorEastAsia"/>
                <w:color w:val="000000"/>
                <w:sz w:val="24"/>
                <w:szCs w:val="24"/>
                <w:lang w:bidi="ar"/>
              </w:rPr>
              <w:t>内容存在欠缺或有待完善的得</w:t>
            </w:r>
            <w:r>
              <w:rPr>
                <w:rFonts w:hint="eastAsia" w:asciiTheme="minorEastAsia" w:hAnsiTheme="minorEastAsia" w:eastAsiaTheme="minorEastAsia" w:cstheme="minorEastAsia"/>
                <w:color w:val="000000"/>
                <w:sz w:val="24"/>
                <w:szCs w:val="24"/>
                <w:lang w:val="en-US" w:eastAsia="zh-CN" w:bidi="ar"/>
              </w:rPr>
              <w:t>0-1</w:t>
            </w:r>
            <w:r>
              <w:rPr>
                <w:rFonts w:hint="eastAsia" w:asciiTheme="minorEastAsia" w:hAnsiTheme="minorEastAsia" w:eastAsiaTheme="minorEastAsia" w:cstheme="minorEastAsia"/>
                <w:color w:val="000000"/>
                <w:sz w:val="24"/>
                <w:szCs w:val="24"/>
                <w:lang w:bidi="ar"/>
              </w:rPr>
              <w:t>分；未提供不得分。</w:t>
            </w:r>
          </w:p>
        </w:tc>
        <w:tc>
          <w:tcPr>
            <w:tcW w:w="875" w:type="dxa"/>
            <w:noWrap w:val="0"/>
            <w:vAlign w:val="center"/>
          </w:tcPr>
          <w:p w14:paraId="30C2194F">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5</w:t>
            </w:r>
          </w:p>
        </w:tc>
      </w:tr>
      <w:tr w14:paraId="6849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noWrap w:val="0"/>
            <w:vAlign w:val="center"/>
          </w:tcPr>
          <w:p w14:paraId="178865EF">
            <w:pPr>
              <w:jc w:val="center"/>
              <w:rPr>
                <w:rFonts w:hint="eastAsia" w:asciiTheme="minorEastAsia" w:hAnsiTheme="minorEastAsia" w:eastAsiaTheme="minorEastAsia" w:cstheme="minorEastAsia"/>
                <w:sz w:val="24"/>
                <w:szCs w:val="24"/>
              </w:rPr>
            </w:pPr>
          </w:p>
        </w:tc>
        <w:tc>
          <w:tcPr>
            <w:tcW w:w="1365" w:type="dxa"/>
            <w:vMerge w:val="continue"/>
            <w:noWrap w:val="0"/>
            <w:vAlign w:val="center"/>
          </w:tcPr>
          <w:p w14:paraId="29585420">
            <w:pPr>
              <w:rPr>
                <w:rFonts w:hint="eastAsia" w:asciiTheme="minorEastAsia" w:hAnsiTheme="minorEastAsia" w:eastAsiaTheme="minorEastAsia" w:cstheme="minorEastAsia"/>
                <w:sz w:val="24"/>
                <w:szCs w:val="24"/>
              </w:rPr>
            </w:pPr>
          </w:p>
        </w:tc>
        <w:tc>
          <w:tcPr>
            <w:tcW w:w="6674" w:type="dxa"/>
            <w:noWrap w:val="0"/>
            <w:vAlign w:val="center"/>
          </w:tcPr>
          <w:p w14:paraId="42EF9C64">
            <w:pPr>
              <w:spacing w:line="360" w:lineRule="auto"/>
              <w:rPr>
                <w:rFonts w:hint="eastAsia" w:asciiTheme="minorEastAsia" w:hAnsiTheme="minorEastAsia" w:eastAsiaTheme="minorEastAsia" w:cstheme="minorEastAsia"/>
                <w:color w:val="000000"/>
                <w:sz w:val="24"/>
                <w:szCs w:val="24"/>
                <w:highlight w:val="yellow"/>
              </w:rPr>
            </w:pPr>
            <w:r>
              <w:rPr>
                <w:rFonts w:hint="eastAsia" w:asciiTheme="minorEastAsia" w:hAnsiTheme="minorEastAsia" w:eastAsiaTheme="minorEastAsia" w:cstheme="minorEastAsia"/>
                <w:color w:val="000000"/>
                <w:sz w:val="24"/>
                <w:szCs w:val="24"/>
              </w:rPr>
              <w:t>根据投标人提供的检定工作安排</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rPr>
              <w:t>检定过程中应急处置进行综合打分。</w:t>
            </w:r>
            <w:r>
              <w:rPr>
                <w:rFonts w:hint="eastAsia" w:asciiTheme="minorEastAsia" w:hAnsiTheme="minorEastAsia" w:eastAsiaTheme="minorEastAsia" w:cstheme="minorEastAsia"/>
                <w:color w:val="000000"/>
                <w:sz w:val="24"/>
                <w:szCs w:val="24"/>
                <w:lang w:val="en-US" w:eastAsia="zh-CN"/>
              </w:rPr>
              <w:t>应急方案</w:t>
            </w:r>
            <w:r>
              <w:rPr>
                <w:rFonts w:hint="eastAsia" w:asciiTheme="minorEastAsia" w:hAnsiTheme="minorEastAsia" w:eastAsiaTheme="minorEastAsia" w:cstheme="minorEastAsia"/>
                <w:color w:val="000000"/>
                <w:sz w:val="24"/>
                <w:szCs w:val="24"/>
              </w:rPr>
              <w:t>内容完整、合理、可行的得</w:t>
            </w:r>
            <w:r>
              <w:rPr>
                <w:rFonts w:hint="eastAsia" w:asciiTheme="minorEastAsia" w:hAnsiTheme="minorEastAsia" w:eastAsiaTheme="minorEastAsia" w:cstheme="minorEastAsia"/>
                <w:color w:val="000000"/>
                <w:sz w:val="24"/>
                <w:szCs w:val="24"/>
                <w:lang w:val="en-US" w:eastAsia="zh-CN"/>
              </w:rPr>
              <w:t>3-5</w:t>
            </w:r>
            <w:r>
              <w:rPr>
                <w:rFonts w:hint="eastAsia" w:asciiTheme="minorEastAsia" w:hAnsiTheme="minorEastAsia" w:eastAsiaTheme="minorEastAsia" w:cstheme="minorEastAsia"/>
                <w:color w:val="000000"/>
                <w:sz w:val="24"/>
                <w:szCs w:val="24"/>
              </w:rPr>
              <w:t>分；</w:t>
            </w:r>
            <w:r>
              <w:rPr>
                <w:rFonts w:hint="eastAsia" w:asciiTheme="minorEastAsia" w:hAnsiTheme="minorEastAsia" w:eastAsiaTheme="minorEastAsia" w:cstheme="minorEastAsia"/>
                <w:color w:val="000000"/>
                <w:sz w:val="24"/>
                <w:szCs w:val="24"/>
                <w:lang w:val="en-US" w:eastAsia="zh-CN"/>
              </w:rPr>
              <w:t>应急方案</w:t>
            </w:r>
            <w:r>
              <w:rPr>
                <w:rFonts w:hint="eastAsia" w:asciiTheme="minorEastAsia" w:hAnsiTheme="minorEastAsia" w:eastAsiaTheme="minorEastAsia" w:cstheme="minorEastAsia"/>
                <w:color w:val="000000"/>
                <w:sz w:val="24"/>
                <w:szCs w:val="24"/>
              </w:rPr>
              <w:t>内容基本完整、具有一定可行性的得</w:t>
            </w:r>
            <w:r>
              <w:rPr>
                <w:rFonts w:hint="eastAsia" w:asciiTheme="minorEastAsia" w:hAnsiTheme="minorEastAsia" w:eastAsiaTheme="minorEastAsia" w:cstheme="minorEastAsia"/>
                <w:color w:val="000000"/>
                <w:sz w:val="24"/>
                <w:szCs w:val="24"/>
                <w:lang w:val="en-US" w:eastAsia="zh-CN"/>
              </w:rPr>
              <w:t>2-3</w:t>
            </w:r>
            <w:r>
              <w:rPr>
                <w:rFonts w:hint="eastAsia" w:asciiTheme="minorEastAsia" w:hAnsiTheme="minorEastAsia" w:eastAsiaTheme="minorEastAsia" w:cstheme="minorEastAsia"/>
                <w:color w:val="000000"/>
                <w:sz w:val="24"/>
                <w:szCs w:val="24"/>
              </w:rPr>
              <w:t>分；</w:t>
            </w:r>
            <w:r>
              <w:rPr>
                <w:rFonts w:hint="eastAsia" w:asciiTheme="minorEastAsia" w:hAnsiTheme="minorEastAsia" w:eastAsiaTheme="minorEastAsia" w:cstheme="minorEastAsia"/>
                <w:color w:val="000000"/>
                <w:sz w:val="24"/>
                <w:szCs w:val="24"/>
                <w:lang w:val="en-US" w:eastAsia="zh-CN"/>
              </w:rPr>
              <w:t>应急方案</w:t>
            </w:r>
            <w:r>
              <w:rPr>
                <w:rFonts w:hint="eastAsia" w:asciiTheme="minorEastAsia" w:hAnsiTheme="minorEastAsia" w:eastAsiaTheme="minorEastAsia" w:cstheme="minorEastAsia"/>
                <w:color w:val="000000"/>
                <w:sz w:val="24"/>
                <w:szCs w:val="24"/>
              </w:rPr>
              <w:t>内容一般的得</w:t>
            </w:r>
            <w:r>
              <w:rPr>
                <w:rFonts w:hint="eastAsia" w:asciiTheme="minorEastAsia" w:hAnsiTheme="minorEastAsia" w:eastAsiaTheme="minorEastAsia" w:cstheme="minorEastAsia"/>
                <w:color w:val="000000"/>
                <w:sz w:val="24"/>
                <w:szCs w:val="24"/>
                <w:lang w:val="en-US" w:eastAsia="zh-CN"/>
              </w:rPr>
              <w:t>1-2</w:t>
            </w:r>
            <w:r>
              <w:rPr>
                <w:rFonts w:hint="eastAsia" w:asciiTheme="minorEastAsia" w:hAnsiTheme="minorEastAsia" w:eastAsiaTheme="minorEastAsia" w:cstheme="minorEastAsia"/>
                <w:color w:val="000000"/>
                <w:sz w:val="24"/>
                <w:szCs w:val="24"/>
              </w:rPr>
              <w:t>分；</w:t>
            </w:r>
            <w:r>
              <w:rPr>
                <w:rFonts w:hint="eastAsia" w:asciiTheme="minorEastAsia" w:hAnsiTheme="minorEastAsia" w:eastAsiaTheme="minorEastAsia" w:cstheme="minorEastAsia"/>
                <w:color w:val="000000"/>
                <w:sz w:val="24"/>
                <w:szCs w:val="24"/>
                <w:lang w:val="en-US" w:eastAsia="zh-CN"/>
              </w:rPr>
              <w:t>应急方案</w:t>
            </w:r>
            <w:r>
              <w:rPr>
                <w:rFonts w:hint="eastAsia" w:asciiTheme="minorEastAsia" w:hAnsiTheme="minorEastAsia" w:eastAsiaTheme="minorEastAsia" w:cstheme="minorEastAsia"/>
                <w:color w:val="000000"/>
                <w:sz w:val="24"/>
                <w:szCs w:val="24"/>
              </w:rPr>
              <w:t>内容存在欠缺或有待完善的得</w:t>
            </w:r>
            <w:r>
              <w:rPr>
                <w:rFonts w:hint="eastAsia" w:asciiTheme="minorEastAsia" w:hAnsiTheme="minorEastAsia" w:eastAsiaTheme="minorEastAsia" w:cstheme="minorEastAsia"/>
                <w:color w:val="000000"/>
                <w:sz w:val="24"/>
                <w:szCs w:val="24"/>
                <w:lang w:val="en-US" w:eastAsia="zh-CN"/>
              </w:rPr>
              <w:t>0-1</w:t>
            </w:r>
            <w:r>
              <w:rPr>
                <w:rFonts w:hint="eastAsia" w:asciiTheme="minorEastAsia" w:hAnsiTheme="minorEastAsia" w:eastAsiaTheme="minorEastAsia" w:cstheme="minorEastAsia"/>
                <w:color w:val="000000"/>
                <w:sz w:val="24"/>
                <w:szCs w:val="24"/>
              </w:rPr>
              <w:t>分；未提供不得分。</w:t>
            </w:r>
          </w:p>
        </w:tc>
        <w:tc>
          <w:tcPr>
            <w:tcW w:w="875" w:type="dxa"/>
            <w:noWrap w:val="0"/>
            <w:vAlign w:val="center"/>
          </w:tcPr>
          <w:p w14:paraId="0E9AD29F">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val="en-US" w:eastAsia="zh-CN"/>
              </w:rPr>
              <w:t>5</w:t>
            </w:r>
          </w:p>
        </w:tc>
      </w:tr>
      <w:tr w14:paraId="45B3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4" w:type="dxa"/>
            <w:vMerge w:val="continue"/>
            <w:noWrap w:val="0"/>
            <w:vAlign w:val="center"/>
          </w:tcPr>
          <w:p w14:paraId="53D87B77">
            <w:pPr>
              <w:jc w:val="center"/>
              <w:rPr>
                <w:rFonts w:hint="eastAsia" w:asciiTheme="minorEastAsia" w:hAnsiTheme="minorEastAsia" w:eastAsiaTheme="minorEastAsia" w:cstheme="minorEastAsia"/>
                <w:sz w:val="24"/>
                <w:szCs w:val="24"/>
              </w:rPr>
            </w:pPr>
          </w:p>
        </w:tc>
        <w:tc>
          <w:tcPr>
            <w:tcW w:w="1365" w:type="dxa"/>
            <w:vMerge w:val="continue"/>
            <w:noWrap w:val="0"/>
            <w:vAlign w:val="center"/>
          </w:tcPr>
          <w:p w14:paraId="6E56C0D2">
            <w:pPr>
              <w:rPr>
                <w:rFonts w:hint="eastAsia" w:asciiTheme="minorEastAsia" w:hAnsiTheme="minorEastAsia" w:eastAsiaTheme="minorEastAsia" w:cstheme="minorEastAsia"/>
                <w:sz w:val="24"/>
                <w:szCs w:val="24"/>
              </w:rPr>
            </w:pPr>
          </w:p>
        </w:tc>
        <w:tc>
          <w:tcPr>
            <w:tcW w:w="6674" w:type="dxa"/>
            <w:noWrap w:val="0"/>
            <w:vAlign w:val="center"/>
          </w:tcPr>
          <w:p w14:paraId="4D1162AF">
            <w:pPr>
              <w:spacing w:line="360" w:lineRule="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投标人是否建立有效与采购人联动的汇报机制，能将工作过程中的有关问题及时进行反馈</w:t>
            </w:r>
            <w:r>
              <w:rPr>
                <w:rFonts w:hint="eastAsia" w:asciiTheme="minorEastAsia" w:hAnsiTheme="minorEastAsia" w:eastAsiaTheme="minorEastAsia" w:cstheme="minorEastAsia"/>
                <w:color w:val="000000"/>
                <w:sz w:val="24"/>
                <w:szCs w:val="24"/>
                <w:lang w:val="en-US" w:eastAsia="zh-CN"/>
              </w:rPr>
              <w:t>的。汇报机制完善且完美满足本项目的得4-5分；汇报机制较完善且基本满足本项目得2-4分；汇报机制简单且具有可行性得1-2分，汇报机制粗糙但还是具备有一定可行性得0-1分；不可行或者未提供不得分。有最高得5分。</w:t>
            </w:r>
          </w:p>
        </w:tc>
        <w:tc>
          <w:tcPr>
            <w:tcW w:w="875" w:type="dxa"/>
            <w:noWrap w:val="0"/>
            <w:vAlign w:val="center"/>
          </w:tcPr>
          <w:p w14:paraId="558241A7">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r>
      <w:tr w14:paraId="2A782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704" w:type="dxa"/>
            <w:shd w:val="clear" w:color="auto" w:fill="auto"/>
            <w:noWrap w:val="0"/>
            <w:vAlign w:val="center"/>
          </w:tcPr>
          <w:p w14:paraId="50754784">
            <w:pPr>
              <w:widowControl/>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8</w:t>
            </w:r>
          </w:p>
        </w:tc>
        <w:tc>
          <w:tcPr>
            <w:tcW w:w="1365" w:type="dxa"/>
            <w:shd w:val="clear" w:color="auto" w:fill="auto"/>
            <w:noWrap w:val="0"/>
            <w:vAlign w:val="center"/>
          </w:tcPr>
          <w:p w14:paraId="6ADCC53A">
            <w:pPr>
              <w:widowControl/>
              <w:spacing w:line="440" w:lineRule="exact"/>
              <w:jc w:val="center"/>
              <w:rPr>
                <w:rFonts w:hint="eastAsia" w:asciiTheme="minorEastAsia" w:hAnsiTheme="minorEastAsia" w:eastAsiaTheme="minorEastAsia" w:cstheme="minorEastAsia"/>
                <w:sz w:val="24"/>
                <w:szCs w:val="24"/>
              </w:rPr>
            </w:pPr>
            <w:r>
              <w:rPr>
                <w:rFonts w:hint="eastAsia" w:ascii="宋体" w:hAnsi="宋体" w:cs="宋体"/>
                <w:color w:val="auto"/>
                <w:sz w:val="24"/>
                <w:highlight w:val="none"/>
              </w:rPr>
              <w:t>保密措施</w:t>
            </w:r>
          </w:p>
          <w:p w14:paraId="0E3D417E">
            <w:pPr>
              <w:widowControl/>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tc>
        <w:tc>
          <w:tcPr>
            <w:tcW w:w="6674" w:type="dxa"/>
            <w:shd w:val="clear" w:color="auto" w:fill="auto"/>
            <w:noWrap w:val="0"/>
            <w:vAlign w:val="center"/>
          </w:tcPr>
          <w:p w14:paraId="69FABC76">
            <w:pPr>
              <w:widowControl/>
              <w:spacing w:line="440" w:lineRule="exact"/>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color w:val="auto"/>
                <w:sz w:val="24"/>
                <w:highlight w:val="none"/>
              </w:rPr>
              <w:t>根据投标人提供的项目实施过程的数据保密管理制度的明确性、合理性内容以及是否能够保障落实进行打分，保密措施合理且明确的得</w:t>
            </w:r>
            <w:r>
              <w:rPr>
                <w:rFonts w:hint="eastAsia" w:ascii="宋体" w:hAnsi="宋体"/>
                <w:color w:val="auto"/>
                <w:sz w:val="24"/>
                <w:highlight w:val="none"/>
                <w:lang w:val="en-US" w:eastAsia="zh-CN"/>
              </w:rPr>
              <w:t>3-5</w:t>
            </w:r>
            <w:r>
              <w:rPr>
                <w:rFonts w:hint="eastAsia" w:ascii="宋体" w:hAnsi="宋体"/>
                <w:color w:val="auto"/>
                <w:sz w:val="24"/>
                <w:highlight w:val="none"/>
              </w:rPr>
              <w:t>分；保密措施较为合理的得</w:t>
            </w:r>
            <w:r>
              <w:rPr>
                <w:rFonts w:hint="eastAsia" w:ascii="宋体" w:hAnsi="宋体"/>
                <w:color w:val="auto"/>
                <w:sz w:val="24"/>
                <w:highlight w:val="none"/>
                <w:lang w:val="en-US" w:eastAsia="zh-CN"/>
              </w:rPr>
              <w:t>1-3</w:t>
            </w:r>
            <w:r>
              <w:rPr>
                <w:rFonts w:hint="eastAsia" w:ascii="宋体" w:hAnsi="宋体"/>
                <w:color w:val="auto"/>
                <w:sz w:val="24"/>
                <w:highlight w:val="none"/>
              </w:rPr>
              <w:t>分；保密措施较差的得</w:t>
            </w:r>
            <w:r>
              <w:rPr>
                <w:rFonts w:hint="eastAsia" w:ascii="宋体" w:hAnsi="宋体"/>
                <w:color w:val="auto"/>
                <w:sz w:val="24"/>
                <w:highlight w:val="none"/>
                <w:lang w:val="en-US" w:eastAsia="zh-CN"/>
              </w:rPr>
              <w:t>0-</w:t>
            </w:r>
            <w:r>
              <w:rPr>
                <w:rFonts w:ascii="宋体" w:hAnsi="宋体"/>
                <w:color w:val="auto"/>
                <w:sz w:val="24"/>
                <w:highlight w:val="none"/>
              </w:rPr>
              <w:t>1</w:t>
            </w:r>
            <w:r>
              <w:rPr>
                <w:rFonts w:hint="eastAsia" w:ascii="宋体" w:hAnsi="宋体"/>
                <w:color w:val="auto"/>
                <w:sz w:val="24"/>
                <w:highlight w:val="none"/>
              </w:rPr>
              <w:t>分；不提供不得分。</w:t>
            </w:r>
          </w:p>
        </w:tc>
        <w:tc>
          <w:tcPr>
            <w:tcW w:w="875" w:type="dxa"/>
            <w:shd w:val="clear" w:color="auto" w:fill="auto"/>
            <w:noWrap w:val="0"/>
            <w:vAlign w:val="center"/>
          </w:tcPr>
          <w:p w14:paraId="49C584C1">
            <w:pPr>
              <w:widowControl/>
              <w:spacing w:line="440" w:lineRule="exact"/>
              <w:jc w:val="center"/>
              <w:rPr>
                <w:rFonts w:hint="eastAsia" w:asciiTheme="minorEastAsia" w:hAnsiTheme="minorEastAsia" w:eastAsiaTheme="minorEastAsia" w:cstheme="minorEastAsia"/>
                <w:kern w:val="2"/>
                <w:sz w:val="24"/>
                <w:szCs w:val="24"/>
                <w:highlight w:val="green"/>
                <w:lang w:val="en-US" w:eastAsia="zh-CN" w:bidi="ar-SA"/>
              </w:rPr>
            </w:pPr>
            <w:r>
              <w:rPr>
                <w:rFonts w:hint="eastAsia" w:asciiTheme="minorEastAsia" w:hAnsiTheme="minorEastAsia" w:eastAsiaTheme="minorEastAsia" w:cstheme="minorEastAsia"/>
                <w:sz w:val="24"/>
                <w:szCs w:val="24"/>
                <w:lang w:val="en-US" w:eastAsia="zh-CN"/>
              </w:rPr>
              <w:t>5</w:t>
            </w:r>
          </w:p>
        </w:tc>
      </w:tr>
      <w:tr w14:paraId="4DE20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04" w:type="dxa"/>
            <w:shd w:val="clear" w:color="auto" w:fill="auto"/>
            <w:noWrap w:val="0"/>
            <w:vAlign w:val="center"/>
          </w:tcPr>
          <w:p w14:paraId="1606A245">
            <w:pPr>
              <w:widowControl/>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9</w:t>
            </w:r>
          </w:p>
        </w:tc>
        <w:tc>
          <w:tcPr>
            <w:tcW w:w="1365" w:type="dxa"/>
            <w:shd w:val="clear" w:color="auto" w:fill="auto"/>
            <w:noWrap w:val="0"/>
            <w:vAlign w:val="center"/>
          </w:tcPr>
          <w:p w14:paraId="7A470CB8">
            <w:pPr>
              <w:widowControl/>
              <w:spacing w:line="440" w:lineRule="exact"/>
              <w:jc w:val="center"/>
              <w:rPr>
                <w:rFonts w:hint="eastAsia" w:asciiTheme="minorEastAsia" w:hAnsiTheme="minorEastAsia" w:eastAsiaTheme="minorEastAsia" w:cstheme="minorEastAsia"/>
                <w:color w:val="0F243E"/>
                <w:kern w:val="2"/>
                <w:sz w:val="24"/>
                <w:szCs w:val="24"/>
                <w:lang w:val="en-US" w:eastAsia="zh-CN" w:bidi="ar-SA"/>
              </w:rPr>
            </w:pPr>
            <w:r>
              <w:rPr>
                <w:rFonts w:hint="eastAsia" w:ascii="宋体" w:hAnsi="宋体" w:eastAsia="宋体" w:cs="仿宋_GB2312"/>
                <w:color w:val="auto"/>
                <w:sz w:val="24"/>
                <w:highlight w:val="none"/>
              </w:rPr>
              <w:t>质量保证措施</w:t>
            </w:r>
            <w:r>
              <w:rPr>
                <w:rFonts w:hint="eastAsia" w:asciiTheme="minorEastAsia" w:hAnsiTheme="minorEastAsia" w:eastAsiaTheme="minorEastAsia" w:cstheme="minorEastAsia"/>
                <w:color w:val="0F243E"/>
                <w:sz w:val="24"/>
                <w:szCs w:val="24"/>
              </w:rPr>
              <w:t>（</w:t>
            </w:r>
            <w:r>
              <w:rPr>
                <w:rFonts w:hint="eastAsia" w:asciiTheme="minorEastAsia" w:hAnsiTheme="minorEastAsia" w:eastAsiaTheme="minorEastAsia" w:cstheme="minorEastAsia"/>
                <w:color w:val="0F243E"/>
                <w:sz w:val="24"/>
                <w:szCs w:val="24"/>
                <w:lang w:val="en-US" w:eastAsia="zh-CN"/>
              </w:rPr>
              <w:t>5</w:t>
            </w:r>
            <w:r>
              <w:rPr>
                <w:rFonts w:hint="eastAsia" w:asciiTheme="minorEastAsia" w:hAnsiTheme="minorEastAsia" w:eastAsiaTheme="minorEastAsia" w:cstheme="minorEastAsia"/>
                <w:color w:val="0F243E"/>
                <w:sz w:val="24"/>
                <w:szCs w:val="24"/>
              </w:rPr>
              <w:t>分）</w:t>
            </w:r>
          </w:p>
        </w:tc>
        <w:tc>
          <w:tcPr>
            <w:tcW w:w="6674" w:type="dxa"/>
            <w:shd w:val="clear" w:color="auto" w:fill="auto"/>
            <w:noWrap w:val="0"/>
            <w:vAlign w:val="bottom"/>
          </w:tcPr>
          <w:p w14:paraId="2AAD6C09">
            <w:pPr>
              <w:keepNext/>
              <w:spacing w:line="360" w:lineRule="auto"/>
              <w:outlineLvl w:val="1"/>
              <w:rPr>
                <w:rFonts w:hint="eastAsia" w:asciiTheme="minorEastAsia" w:hAnsiTheme="minorEastAsia" w:eastAsiaTheme="minorEastAsia" w:cstheme="minorEastAsia"/>
                <w:color w:val="auto"/>
                <w:kern w:val="2"/>
                <w:sz w:val="24"/>
                <w:szCs w:val="24"/>
                <w:lang w:val="en-US" w:eastAsia="zh-CN" w:bidi="ar-SA"/>
              </w:rPr>
            </w:pPr>
            <w:r>
              <w:rPr>
                <w:rFonts w:hint="eastAsia" w:ascii="宋体" w:hAnsi="宋体" w:eastAsia="宋体" w:cs="仿宋_GB2312"/>
                <w:color w:val="auto"/>
                <w:sz w:val="24"/>
                <w:highlight w:val="none"/>
              </w:rPr>
              <w:t>投标人按采购人要求</w:t>
            </w:r>
            <w:r>
              <w:rPr>
                <w:rFonts w:hint="eastAsia" w:ascii="宋体" w:hAnsi="宋体" w:eastAsia="宋体" w:cs="仿宋_GB2312"/>
                <w:color w:val="auto"/>
                <w:sz w:val="24"/>
                <w:highlight w:val="none"/>
                <w:lang w:val="en-US" w:eastAsia="zh-CN"/>
              </w:rPr>
              <w:t>有</w:t>
            </w:r>
            <w:r>
              <w:rPr>
                <w:rFonts w:hint="eastAsia" w:ascii="宋体" w:hAnsi="宋体" w:eastAsia="宋体" w:cs="仿宋_GB2312"/>
                <w:color w:val="auto"/>
                <w:sz w:val="24"/>
                <w:highlight w:val="none"/>
              </w:rPr>
              <w:t>明确的质量目标</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rPr>
              <w:t>有质量保证措施</w:t>
            </w:r>
            <w:r>
              <w:rPr>
                <w:rFonts w:hint="eastAsia" w:ascii="宋体" w:hAnsi="宋体" w:eastAsia="宋体" w:cs="仿宋_GB2312"/>
                <w:color w:val="auto"/>
                <w:sz w:val="24"/>
                <w:highlight w:val="none"/>
                <w:lang w:val="en-US" w:eastAsia="zh-CN"/>
              </w:rPr>
              <w:t>等要求</w:t>
            </w:r>
            <w:r>
              <w:rPr>
                <w:rFonts w:hint="eastAsia" w:ascii="宋体" w:hAnsi="宋体" w:eastAsia="宋体" w:cs="仿宋_GB2312"/>
                <w:color w:val="auto"/>
                <w:sz w:val="24"/>
                <w:highlight w:val="none"/>
              </w:rPr>
              <w:t>并具有详细可行的实施内容，根据提供的方案内容进行评分，内容完整、措施有效、符合采购人实际得</w:t>
            </w:r>
            <w:r>
              <w:rPr>
                <w:rFonts w:hint="eastAsia" w:ascii="宋体" w:hAnsi="宋体" w:cs="仿宋_GB2312"/>
                <w:color w:val="auto"/>
                <w:sz w:val="24"/>
                <w:highlight w:val="none"/>
                <w:lang w:val="en-US" w:eastAsia="zh-CN"/>
              </w:rPr>
              <w:t>3-</w:t>
            </w:r>
            <w:r>
              <w:rPr>
                <w:rFonts w:hint="eastAsia" w:ascii="宋体" w:hAnsi="宋体" w:eastAsia="宋体" w:cs="仿宋_GB2312"/>
                <w:color w:val="auto"/>
                <w:sz w:val="24"/>
                <w:highlight w:val="none"/>
                <w:lang w:val="en-US" w:eastAsia="zh-CN"/>
              </w:rPr>
              <w:t>5</w:t>
            </w:r>
            <w:r>
              <w:rPr>
                <w:rFonts w:hint="eastAsia" w:ascii="宋体" w:hAnsi="宋体" w:eastAsia="宋体" w:cs="仿宋_GB2312"/>
                <w:color w:val="auto"/>
                <w:sz w:val="24"/>
                <w:highlight w:val="none"/>
              </w:rPr>
              <w:t>分，内容</w:t>
            </w:r>
            <w:r>
              <w:rPr>
                <w:rFonts w:hint="eastAsia" w:ascii="宋体" w:hAnsi="宋体" w:eastAsia="宋体" w:cs="仿宋_GB2312"/>
                <w:color w:val="auto"/>
                <w:sz w:val="24"/>
                <w:highlight w:val="none"/>
                <w:lang w:val="en-US" w:eastAsia="zh-CN"/>
              </w:rPr>
              <w:t>一般</w:t>
            </w:r>
            <w:r>
              <w:rPr>
                <w:rFonts w:hint="eastAsia" w:ascii="宋体" w:hAnsi="宋体" w:eastAsia="宋体" w:cs="仿宋_GB2312"/>
                <w:color w:val="auto"/>
                <w:sz w:val="24"/>
                <w:highlight w:val="none"/>
              </w:rPr>
              <w:t>、措施有效、</w:t>
            </w:r>
            <w:r>
              <w:rPr>
                <w:rFonts w:hint="eastAsia" w:ascii="宋体" w:hAnsi="宋体" w:eastAsia="宋体" w:cs="仿宋_GB2312"/>
                <w:color w:val="auto"/>
                <w:sz w:val="24"/>
                <w:highlight w:val="none"/>
                <w:lang w:val="en-US" w:eastAsia="zh-CN"/>
              </w:rPr>
              <w:t>基本</w:t>
            </w:r>
            <w:r>
              <w:rPr>
                <w:rFonts w:hint="eastAsia" w:ascii="宋体" w:hAnsi="宋体" w:eastAsia="宋体" w:cs="仿宋_GB2312"/>
                <w:color w:val="auto"/>
                <w:sz w:val="24"/>
                <w:highlight w:val="none"/>
              </w:rPr>
              <w:t>符合采购人实际得</w:t>
            </w:r>
            <w:r>
              <w:rPr>
                <w:rFonts w:hint="eastAsia" w:ascii="宋体" w:hAnsi="宋体" w:cs="仿宋_GB2312"/>
                <w:color w:val="auto"/>
                <w:sz w:val="24"/>
                <w:highlight w:val="none"/>
                <w:lang w:val="en-US" w:eastAsia="zh-CN"/>
              </w:rPr>
              <w:t>1-</w:t>
            </w:r>
            <w:r>
              <w:rPr>
                <w:rFonts w:hint="eastAsia" w:ascii="宋体" w:hAnsi="宋体" w:eastAsia="宋体" w:cs="仿宋_GB2312"/>
                <w:color w:val="auto"/>
                <w:sz w:val="24"/>
                <w:highlight w:val="none"/>
                <w:lang w:val="en-US" w:eastAsia="zh-CN"/>
              </w:rPr>
              <w:t>3</w:t>
            </w:r>
            <w:r>
              <w:rPr>
                <w:rFonts w:hint="eastAsia" w:ascii="宋体" w:hAnsi="宋体" w:eastAsia="宋体" w:cs="仿宋_GB2312"/>
                <w:color w:val="auto"/>
                <w:sz w:val="24"/>
                <w:highlight w:val="none"/>
              </w:rPr>
              <w:t>分</w:t>
            </w:r>
            <w:r>
              <w:rPr>
                <w:rFonts w:hint="eastAsia" w:ascii="宋体" w:hAnsi="宋体" w:eastAsia="宋体" w:cs="仿宋_GB2312"/>
                <w:color w:val="auto"/>
                <w:sz w:val="24"/>
                <w:highlight w:val="none"/>
                <w:lang w:eastAsia="zh-CN"/>
              </w:rPr>
              <w:t>，</w:t>
            </w:r>
            <w:r>
              <w:rPr>
                <w:rFonts w:hint="eastAsia" w:ascii="宋体" w:hAnsi="宋体" w:eastAsia="宋体" w:cs="仿宋_GB2312"/>
                <w:color w:val="auto"/>
                <w:sz w:val="24"/>
                <w:highlight w:val="none"/>
              </w:rPr>
              <w:t>内容虽然进行了阐述但并未完全贴合项目需求理解情况，或理解的内容未包括细节或有有效措施，得</w:t>
            </w:r>
            <w:r>
              <w:rPr>
                <w:rFonts w:hint="eastAsia" w:ascii="宋体" w:hAnsi="宋体" w:cs="仿宋_GB2312"/>
                <w:color w:val="auto"/>
                <w:sz w:val="24"/>
                <w:highlight w:val="none"/>
                <w:lang w:val="en-US" w:eastAsia="zh-CN"/>
              </w:rPr>
              <w:t>0-</w:t>
            </w:r>
            <w:r>
              <w:rPr>
                <w:rFonts w:ascii="宋体" w:hAnsi="宋体" w:eastAsia="宋体" w:cs="仿宋_GB2312"/>
                <w:color w:val="auto"/>
                <w:sz w:val="24"/>
                <w:highlight w:val="none"/>
              </w:rPr>
              <w:t>1</w:t>
            </w:r>
            <w:r>
              <w:rPr>
                <w:rFonts w:hint="eastAsia" w:ascii="宋体" w:hAnsi="宋体" w:eastAsia="宋体" w:cs="仿宋_GB2312"/>
                <w:color w:val="auto"/>
                <w:sz w:val="24"/>
                <w:highlight w:val="none"/>
              </w:rPr>
              <w:t>分。</w:t>
            </w:r>
          </w:p>
        </w:tc>
        <w:tc>
          <w:tcPr>
            <w:tcW w:w="875" w:type="dxa"/>
            <w:shd w:val="clear" w:color="auto" w:fill="auto"/>
            <w:noWrap w:val="0"/>
            <w:vAlign w:val="center"/>
          </w:tcPr>
          <w:p w14:paraId="5702826A">
            <w:pPr>
              <w:widowControl/>
              <w:spacing w:line="440" w:lineRule="exact"/>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r>
      <w:tr w14:paraId="0C43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04" w:type="dxa"/>
            <w:noWrap w:val="0"/>
            <w:vAlign w:val="center"/>
          </w:tcPr>
          <w:p w14:paraId="53DC0505">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365" w:type="dxa"/>
            <w:noWrap w:val="0"/>
            <w:vAlign w:val="center"/>
          </w:tcPr>
          <w:p w14:paraId="35D597A5">
            <w:pPr>
              <w:jc w:val="center"/>
              <w:rPr>
                <w:rFonts w:hint="eastAsia" w:asciiTheme="minorEastAsia" w:hAnsiTheme="minorEastAsia" w:eastAsiaTheme="minorEastAsia" w:cstheme="minorEastAsia"/>
                <w:sz w:val="24"/>
                <w:szCs w:val="24"/>
              </w:rPr>
            </w:pPr>
            <w:r>
              <w:rPr>
                <w:rFonts w:hint="eastAsia" w:ascii="宋体" w:hAnsi="宋体" w:cs="宋体"/>
                <w:snapToGrid w:val="0"/>
                <w:color w:val="auto"/>
                <w:sz w:val="24"/>
                <w:highlight w:val="none"/>
              </w:rPr>
              <w:t>关键技术解决能力</w:t>
            </w:r>
          </w:p>
        </w:tc>
        <w:tc>
          <w:tcPr>
            <w:tcW w:w="6674" w:type="dxa"/>
            <w:noWrap w:val="0"/>
            <w:vAlign w:val="center"/>
          </w:tcPr>
          <w:p w14:paraId="199E65EB">
            <w:pPr>
              <w:spacing w:line="360" w:lineRule="auto"/>
              <w:rPr>
                <w:rFonts w:hint="eastAsia" w:asciiTheme="minorEastAsia" w:hAnsiTheme="minorEastAsia" w:eastAsiaTheme="minorEastAsia" w:cstheme="minorEastAsia"/>
                <w:color w:val="000000"/>
                <w:sz w:val="24"/>
                <w:szCs w:val="24"/>
              </w:rPr>
            </w:pPr>
            <w:r>
              <w:rPr>
                <w:rFonts w:hint="eastAsia" w:ascii="宋体" w:hAnsi="宋体" w:cs="宋体"/>
                <w:snapToGrid w:val="0"/>
                <w:color w:val="auto"/>
                <w:sz w:val="24"/>
                <w:highlight w:val="none"/>
              </w:rPr>
              <w:t>投标人对本次项目的技术难点分析、风险分析和解决难题、规避风险措施的合理性和可操作性，方案合理内容完全满足采购人要求得</w:t>
            </w:r>
            <w:r>
              <w:rPr>
                <w:rFonts w:hint="eastAsia" w:ascii="宋体" w:hAnsi="宋体" w:cs="宋体"/>
                <w:snapToGrid w:val="0"/>
                <w:color w:val="auto"/>
                <w:sz w:val="24"/>
                <w:highlight w:val="none"/>
                <w:lang w:val="en-US" w:eastAsia="zh-CN"/>
              </w:rPr>
              <w:t>3-5</w:t>
            </w:r>
            <w:r>
              <w:rPr>
                <w:rFonts w:hint="eastAsia" w:ascii="宋体" w:hAnsi="宋体" w:cs="宋体"/>
                <w:snapToGrid w:val="0"/>
                <w:color w:val="auto"/>
                <w:sz w:val="24"/>
                <w:highlight w:val="none"/>
              </w:rPr>
              <w:t>分，基本满足得</w:t>
            </w:r>
            <w:r>
              <w:rPr>
                <w:rFonts w:hint="eastAsia" w:ascii="宋体" w:hAnsi="宋体" w:cs="宋体"/>
                <w:snapToGrid w:val="0"/>
                <w:color w:val="auto"/>
                <w:sz w:val="24"/>
                <w:highlight w:val="none"/>
                <w:lang w:val="en-US" w:eastAsia="zh-CN"/>
              </w:rPr>
              <w:t>1-3</w:t>
            </w:r>
            <w:r>
              <w:rPr>
                <w:rFonts w:hint="eastAsia" w:ascii="宋体" w:hAnsi="宋体" w:cs="宋体"/>
                <w:snapToGrid w:val="0"/>
                <w:color w:val="auto"/>
                <w:sz w:val="24"/>
                <w:highlight w:val="none"/>
              </w:rPr>
              <w:t>分，部分满足得</w:t>
            </w:r>
            <w:r>
              <w:rPr>
                <w:rFonts w:hint="eastAsia" w:ascii="宋体" w:hAnsi="宋体" w:cs="宋体"/>
                <w:snapToGrid w:val="0"/>
                <w:color w:val="auto"/>
                <w:sz w:val="24"/>
                <w:highlight w:val="none"/>
                <w:lang w:val="en-US" w:eastAsia="zh-CN"/>
              </w:rPr>
              <w:t>0-1</w:t>
            </w:r>
            <w:r>
              <w:rPr>
                <w:rFonts w:hint="eastAsia" w:ascii="宋体" w:hAnsi="宋体" w:cs="宋体"/>
                <w:snapToGrid w:val="0"/>
                <w:color w:val="auto"/>
                <w:sz w:val="24"/>
                <w:highlight w:val="none"/>
              </w:rPr>
              <w:t>分，不满足不得分。</w:t>
            </w:r>
          </w:p>
        </w:tc>
        <w:tc>
          <w:tcPr>
            <w:tcW w:w="875" w:type="dxa"/>
            <w:noWrap w:val="0"/>
            <w:vAlign w:val="center"/>
          </w:tcPr>
          <w:p w14:paraId="243F689F">
            <w:pPr>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r>
      <w:tr w14:paraId="69551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6" w:hRule="atLeast"/>
        </w:trPr>
        <w:tc>
          <w:tcPr>
            <w:tcW w:w="704" w:type="dxa"/>
            <w:noWrap w:val="0"/>
            <w:vAlign w:val="center"/>
          </w:tcPr>
          <w:p w14:paraId="408565F9">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1365" w:type="dxa"/>
            <w:noWrap w:val="0"/>
            <w:vAlign w:val="center"/>
          </w:tcPr>
          <w:p w14:paraId="452AE032">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综合素质（</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tc>
        <w:tc>
          <w:tcPr>
            <w:tcW w:w="6674" w:type="dxa"/>
            <w:noWrap w:val="0"/>
            <w:vAlign w:val="center"/>
          </w:tcPr>
          <w:p w14:paraId="0B577FE8">
            <w:pPr>
              <w:spacing w:line="360" w:lineRule="auto"/>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根据投标人对采购人计量检测检定及行政许可现状及其操作流程的熟悉程度、诚信建设、用户评价、项目组成员技术能力等要素</w:t>
            </w:r>
            <w:r>
              <w:rPr>
                <w:rFonts w:hint="eastAsia" w:asciiTheme="minorEastAsia" w:hAnsiTheme="minorEastAsia" w:eastAsiaTheme="minorEastAsia" w:cstheme="minorEastAsia"/>
                <w:color w:val="000000"/>
                <w:sz w:val="24"/>
                <w:szCs w:val="24"/>
                <w:lang w:val="en-US" w:eastAsia="zh-CN"/>
              </w:rPr>
              <w:t>进行</w:t>
            </w:r>
            <w:r>
              <w:rPr>
                <w:rFonts w:hint="eastAsia" w:asciiTheme="minorEastAsia" w:hAnsiTheme="minorEastAsia" w:eastAsiaTheme="minorEastAsia" w:cstheme="minorEastAsia"/>
                <w:color w:val="000000"/>
                <w:sz w:val="24"/>
                <w:szCs w:val="24"/>
              </w:rPr>
              <w:t>综合打分</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要素</w:t>
            </w:r>
            <w:r>
              <w:rPr>
                <w:rFonts w:hint="eastAsia" w:asciiTheme="minorEastAsia" w:hAnsiTheme="minorEastAsia" w:eastAsiaTheme="minorEastAsia" w:cstheme="minorEastAsia"/>
                <w:color w:val="000000"/>
                <w:sz w:val="24"/>
                <w:szCs w:val="24"/>
              </w:rPr>
              <w:t>齐全，描述详细</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完美适配本项目要求得3-5分；要素详细略有欠缺，基本符合项目要求得2-3分；要素简单但粗略符合要求得1-2分；要素不全但部分符合要求得0-1分，未提供不得分。最高得5分。</w:t>
            </w:r>
          </w:p>
        </w:tc>
        <w:tc>
          <w:tcPr>
            <w:tcW w:w="875" w:type="dxa"/>
            <w:noWrap w:val="0"/>
            <w:vAlign w:val="center"/>
          </w:tcPr>
          <w:p w14:paraId="1E2E55CE">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r>
      <w:tr w14:paraId="2BDE0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704" w:type="dxa"/>
            <w:noWrap w:val="0"/>
            <w:vAlign w:val="center"/>
          </w:tcPr>
          <w:p w14:paraId="50BA5062">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1365" w:type="dxa"/>
            <w:noWrap w:val="0"/>
            <w:vAlign w:val="center"/>
          </w:tcPr>
          <w:p w14:paraId="5851F026">
            <w:pPr>
              <w:jc w:val="center"/>
              <w:rPr>
                <w:rFonts w:hint="eastAsia" w:asciiTheme="minorEastAsia" w:hAnsiTheme="minorEastAsia" w:eastAsiaTheme="minorEastAsia" w:cstheme="minorEastAsia"/>
                <w:color w:val="000000"/>
                <w:sz w:val="24"/>
                <w:szCs w:val="24"/>
              </w:rPr>
            </w:pPr>
            <w:r>
              <w:rPr>
                <w:rFonts w:hint="eastAsia" w:ascii="宋体" w:hAnsi="宋体"/>
                <w:color w:val="auto"/>
                <w:sz w:val="24"/>
                <w:highlight w:val="none"/>
              </w:rPr>
              <w:t>后续服务方案</w:t>
            </w:r>
          </w:p>
          <w:p w14:paraId="1C22269C">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US" w:eastAsia="zh-CN"/>
              </w:rPr>
              <w:t>7</w:t>
            </w:r>
            <w:r>
              <w:rPr>
                <w:rFonts w:hint="eastAsia" w:asciiTheme="minorEastAsia" w:hAnsiTheme="minorEastAsia" w:eastAsiaTheme="minorEastAsia" w:cstheme="minorEastAsia"/>
                <w:color w:val="000000"/>
                <w:sz w:val="24"/>
                <w:szCs w:val="24"/>
              </w:rPr>
              <w:t>分）</w:t>
            </w:r>
          </w:p>
        </w:tc>
        <w:tc>
          <w:tcPr>
            <w:tcW w:w="6674" w:type="dxa"/>
            <w:noWrap w:val="0"/>
            <w:vAlign w:val="center"/>
          </w:tcPr>
          <w:p w14:paraId="28203071">
            <w:pPr>
              <w:tabs>
                <w:tab w:val="left" w:pos="0"/>
              </w:tabs>
              <w:spacing w:line="360" w:lineRule="auto"/>
              <w:jc w:val="left"/>
              <w:rPr>
                <w:rFonts w:ascii="宋体" w:hAnsi="宋体"/>
                <w:color w:val="auto"/>
                <w:sz w:val="24"/>
                <w:highlight w:val="none"/>
              </w:rPr>
            </w:pPr>
            <w:r>
              <w:rPr>
                <w:rFonts w:hint="eastAsia" w:ascii="宋体" w:hAnsi="宋体"/>
                <w:color w:val="auto"/>
                <w:sz w:val="24"/>
                <w:highlight w:val="none"/>
              </w:rPr>
              <w:t>根据投标人提供的后续服务方案进行评审：</w:t>
            </w:r>
          </w:p>
          <w:p w14:paraId="3C27188E">
            <w:pPr>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（1）承诺后续服务有专人负责、联络方便、响应时间快速得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14:paraId="09ECE895">
            <w:pPr>
              <w:keepNext/>
              <w:spacing w:line="360" w:lineRule="auto"/>
              <w:outlineLvl w:val="1"/>
              <w:rPr>
                <w:rFonts w:hint="eastAsia" w:asciiTheme="minorEastAsia" w:hAnsiTheme="minorEastAsia" w:eastAsiaTheme="minorEastAsia" w:cstheme="minorEastAsia"/>
                <w:b/>
                <w:kern w:val="0"/>
                <w:sz w:val="24"/>
                <w:szCs w:val="24"/>
                <w:highlight w:val="yellow"/>
                <w:lang w:val="en-US" w:eastAsia="zh-CN"/>
              </w:rPr>
            </w:pPr>
            <w:r>
              <w:rPr>
                <w:rFonts w:hint="eastAsia" w:ascii="宋体" w:hAnsi="宋体" w:cs="宋体"/>
                <w:color w:val="auto"/>
                <w:sz w:val="24"/>
                <w:highlight w:val="none"/>
              </w:rPr>
              <w:t>（2）该项目有详细的后续服务方案、后续服务体系、后续服务保障措施，</w:t>
            </w:r>
            <w:r>
              <w:rPr>
                <w:rFonts w:hint="eastAsia" w:ascii="宋体" w:hAnsi="宋体"/>
                <w:color w:val="auto"/>
                <w:sz w:val="24"/>
                <w:highlight w:val="none"/>
              </w:rPr>
              <w:t>内容详细合理、方案切实、可执行性强视为完全满足采购人要求得</w:t>
            </w:r>
            <w:r>
              <w:rPr>
                <w:rFonts w:hint="eastAsia" w:ascii="宋体" w:hAnsi="宋体"/>
                <w:color w:val="auto"/>
                <w:sz w:val="24"/>
                <w:highlight w:val="none"/>
                <w:lang w:val="en-US" w:eastAsia="zh-CN"/>
              </w:rPr>
              <w:t>3-5</w:t>
            </w:r>
            <w:r>
              <w:rPr>
                <w:rFonts w:hint="eastAsia" w:ascii="宋体" w:hAnsi="宋体"/>
                <w:color w:val="auto"/>
                <w:sz w:val="24"/>
                <w:highlight w:val="none"/>
              </w:rPr>
              <w:t>分，</w:t>
            </w:r>
            <w:r>
              <w:rPr>
                <w:rFonts w:hint="eastAsia" w:ascii="宋体" w:hAnsi="宋体"/>
                <w:color w:val="auto"/>
                <w:sz w:val="24"/>
                <w:highlight w:val="none"/>
                <w:lang w:val="en-US" w:eastAsia="zh-CN"/>
              </w:rPr>
              <w:t>基本满足1-3分，</w:t>
            </w:r>
            <w:r>
              <w:rPr>
                <w:rFonts w:hint="eastAsia" w:ascii="宋体" w:hAnsi="宋体"/>
                <w:color w:val="auto"/>
                <w:sz w:val="24"/>
                <w:highlight w:val="none"/>
              </w:rPr>
              <w:t>部分满足得</w:t>
            </w:r>
            <w:r>
              <w:rPr>
                <w:rFonts w:hint="eastAsia" w:ascii="宋体" w:hAnsi="宋体"/>
                <w:color w:val="auto"/>
                <w:sz w:val="24"/>
                <w:highlight w:val="none"/>
                <w:lang w:val="en-US" w:eastAsia="zh-CN"/>
              </w:rPr>
              <w:t>0-</w:t>
            </w:r>
            <w:r>
              <w:rPr>
                <w:rFonts w:hint="eastAsia" w:ascii="宋体" w:hAnsi="宋体"/>
                <w:color w:val="auto"/>
                <w:sz w:val="24"/>
                <w:highlight w:val="none"/>
              </w:rPr>
              <w:t>1分，不满足不得分，本项最高得</w:t>
            </w:r>
            <w:r>
              <w:rPr>
                <w:rFonts w:hint="eastAsia" w:ascii="宋体" w:hAnsi="宋体"/>
                <w:color w:val="auto"/>
                <w:sz w:val="24"/>
                <w:highlight w:val="none"/>
                <w:lang w:val="en-US" w:eastAsia="zh-CN"/>
              </w:rPr>
              <w:t>5</w:t>
            </w:r>
            <w:r>
              <w:rPr>
                <w:rFonts w:hint="eastAsia" w:ascii="宋体" w:hAnsi="宋体"/>
                <w:color w:val="auto"/>
                <w:sz w:val="24"/>
                <w:highlight w:val="none"/>
              </w:rPr>
              <w:t>分。</w:t>
            </w:r>
          </w:p>
        </w:tc>
        <w:tc>
          <w:tcPr>
            <w:tcW w:w="875" w:type="dxa"/>
            <w:noWrap w:val="0"/>
            <w:vAlign w:val="center"/>
          </w:tcPr>
          <w:p w14:paraId="5FA0D959">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000000"/>
                <w:sz w:val="24"/>
                <w:szCs w:val="24"/>
                <w:lang w:val="en-US" w:eastAsia="zh-CN"/>
              </w:rPr>
              <w:t>7</w:t>
            </w:r>
          </w:p>
        </w:tc>
      </w:tr>
      <w:tr w14:paraId="6ADD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704" w:type="dxa"/>
            <w:noWrap w:val="0"/>
            <w:vAlign w:val="center"/>
          </w:tcPr>
          <w:p w14:paraId="1736C702">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365" w:type="dxa"/>
            <w:noWrap w:val="0"/>
            <w:vAlign w:val="center"/>
          </w:tcPr>
          <w:p w14:paraId="44D2E252">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合理化建议（</w:t>
            </w: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分）</w:t>
            </w:r>
          </w:p>
        </w:tc>
        <w:tc>
          <w:tcPr>
            <w:tcW w:w="6674" w:type="dxa"/>
            <w:noWrap w:val="0"/>
            <w:vAlign w:val="center"/>
          </w:tcPr>
          <w:p w14:paraId="5E2D5D12">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根据本项目实际情况提出合理化建议,依据建议合理性、可行性、科学性、创新性进行综合打分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具有可行性的合理化建议一条得1分。</w:t>
            </w:r>
            <w:r>
              <w:rPr>
                <w:rFonts w:hint="eastAsia" w:asciiTheme="minorEastAsia" w:hAnsiTheme="minorEastAsia" w:eastAsiaTheme="minorEastAsia" w:cstheme="minorEastAsia"/>
                <w:sz w:val="24"/>
                <w:szCs w:val="24"/>
              </w:rPr>
              <w:t>最高得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tc>
        <w:tc>
          <w:tcPr>
            <w:tcW w:w="875" w:type="dxa"/>
            <w:noWrap w:val="0"/>
            <w:vAlign w:val="center"/>
          </w:tcPr>
          <w:p w14:paraId="72FAFDB1">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r>
      <w:tr w14:paraId="1C3B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704" w:type="dxa"/>
            <w:noWrap w:val="0"/>
            <w:vAlign w:val="center"/>
          </w:tcPr>
          <w:p w14:paraId="3F7F942C">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365" w:type="dxa"/>
            <w:noWrap w:val="0"/>
            <w:vAlign w:val="center"/>
          </w:tcPr>
          <w:p w14:paraId="2165F260">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价格分</w:t>
            </w:r>
          </w:p>
          <w:p w14:paraId="204E7472">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（10分）</w:t>
            </w:r>
          </w:p>
        </w:tc>
        <w:tc>
          <w:tcPr>
            <w:tcW w:w="6674" w:type="dxa"/>
            <w:noWrap w:val="0"/>
            <w:vAlign w:val="center"/>
          </w:tcPr>
          <w:p w14:paraId="45AD2127">
            <w:pPr>
              <w:spacing w:line="360" w:lineRule="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本项目报价为单价的报价，各单价不得超出单价的最高限价，否则作为无效标。</w:t>
            </w:r>
          </w:p>
          <w:p w14:paraId="0F46D302">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多参数监护仪检定报价分计算（</w:t>
            </w:r>
            <w:r>
              <w:rPr>
                <w:rFonts w:hint="eastAsia" w:asciiTheme="minorEastAsia" w:hAnsiTheme="minorEastAsia" w:eastAsiaTheme="minorEastAsia" w:cstheme="minorEastAsia"/>
                <w:color w:val="000000"/>
                <w:sz w:val="24"/>
                <w:szCs w:val="24"/>
                <w:lang w:val="en-US" w:eastAsia="zh-CN"/>
              </w:rPr>
              <w:t>10</w:t>
            </w:r>
            <w:r>
              <w:rPr>
                <w:rFonts w:hint="eastAsia" w:asciiTheme="minorEastAsia" w:hAnsiTheme="minorEastAsia" w:eastAsiaTheme="minorEastAsia" w:cstheme="minorEastAsia"/>
                <w:color w:val="000000"/>
                <w:sz w:val="24"/>
                <w:szCs w:val="24"/>
              </w:rPr>
              <w:t>分）：根据各投标人的有效投标报价，满足招标文件要求且投标价格最低的投标报价为评标基准价，其价格分为满分。其他投标人的价格分统一按照下列公式计算：投标报价得分=(评标基准价／有效投标报价)×</w:t>
            </w:r>
            <w:r>
              <w:rPr>
                <w:rFonts w:hint="eastAsia" w:asciiTheme="minorEastAsia" w:hAnsiTheme="minorEastAsia" w:eastAsiaTheme="minorEastAsia" w:cstheme="minorEastAsia"/>
                <w:color w:val="000000"/>
                <w:sz w:val="24"/>
                <w:szCs w:val="24"/>
                <w:lang w:val="en-US" w:eastAsia="zh-CN"/>
              </w:rPr>
              <w:t>10</w:t>
            </w:r>
            <w:r>
              <w:rPr>
                <w:rFonts w:hint="eastAsia" w:asciiTheme="minorEastAsia" w:hAnsiTheme="minorEastAsia" w:eastAsiaTheme="minorEastAsia" w:cstheme="minorEastAsia"/>
                <w:color w:val="000000"/>
                <w:sz w:val="24"/>
                <w:szCs w:val="24"/>
              </w:rPr>
              <w:t>%×100；</w:t>
            </w:r>
          </w:p>
        </w:tc>
        <w:tc>
          <w:tcPr>
            <w:tcW w:w="875" w:type="dxa"/>
            <w:noWrap w:val="0"/>
            <w:vAlign w:val="center"/>
          </w:tcPr>
          <w:p w14:paraId="7437332C">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r>
    </w:tbl>
    <w:p w14:paraId="0163F3B6">
      <w:pPr>
        <w:pStyle w:val="4"/>
        <w:ind w:left="0" w:leftChars="0" w:firstLine="0" w:firstLineChars="0"/>
        <w:rPr>
          <w:rFonts w:hint="default"/>
          <w:lang w:val="en-US" w:eastAsia="zh-CN"/>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1个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100B8C1">
      <w:pPr>
        <w:pStyle w:val="2"/>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33C83F80">
      <w:pPr>
        <w:pStyle w:val="61"/>
        <w:rPr>
          <w:rFonts w:hint="eastAsia" w:cs="宋体"/>
          <w:color w:val="auto"/>
          <w:highlight w:val="none"/>
        </w:rPr>
      </w:pPr>
    </w:p>
    <w:p w14:paraId="078CB462">
      <w:pPr>
        <w:pStyle w:val="25"/>
        <w:rPr>
          <w:rFonts w:hint="eastAsia"/>
        </w:rPr>
      </w:pPr>
    </w:p>
    <w:p w14:paraId="7BB5DEED">
      <w:pPr>
        <w:pStyle w:val="25"/>
        <w:rPr>
          <w:rFonts w:hint="eastAsia" w:cs="宋体"/>
          <w:color w:val="auto"/>
          <w:highlight w:val="none"/>
        </w:rPr>
      </w:pPr>
    </w:p>
    <w:p w14:paraId="1F908B4F">
      <w:pPr>
        <w:pStyle w:val="26"/>
        <w:rPr>
          <w:rFonts w:hint="eastAsia" w:cs="宋体"/>
          <w:color w:val="auto"/>
          <w:highlight w:val="none"/>
        </w:rPr>
      </w:pPr>
    </w:p>
    <w:p w14:paraId="7580089D">
      <w:pPr>
        <w:rPr>
          <w:rFonts w:hint="eastAsia"/>
        </w:rPr>
      </w:pPr>
    </w:p>
    <w:p w14:paraId="440A9BF8">
      <w:pPr>
        <w:bidi w:val="0"/>
        <w:rPr>
          <w:rFonts w:hint="eastAsia"/>
        </w:rPr>
      </w:pPr>
    </w:p>
    <w:p w14:paraId="4DA6F2A2">
      <w:pPr>
        <w:bidi w:val="0"/>
        <w:rPr>
          <w:rFonts w:hint="eastAsia"/>
        </w:rPr>
      </w:pPr>
    </w:p>
    <w:p w14:paraId="0F958C23">
      <w:pPr>
        <w:bidi w:val="0"/>
        <w:rPr>
          <w:rFonts w:hint="eastAsia"/>
        </w:rPr>
      </w:pPr>
    </w:p>
    <w:p w14:paraId="1FFC81B6">
      <w:pPr>
        <w:bidi w:val="0"/>
        <w:rPr>
          <w:rFonts w:hint="eastAsia"/>
        </w:rPr>
      </w:pPr>
    </w:p>
    <w:p w14:paraId="34937765">
      <w:pPr>
        <w:bidi w:val="0"/>
        <w:rPr>
          <w:rFonts w:hint="eastAsia"/>
        </w:rPr>
      </w:pPr>
    </w:p>
    <w:p w14:paraId="2BA9A3F3">
      <w:pPr>
        <w:bidi w:val="0"/>
        <w:rPr>
          <w:rFonts w:hint="eastAsia"/>
        </w:rPr>
      </w:pPr>
    </w:p>
    <w:p w14:paraId="0D3124CF">
      <w:pPr>
        <w:bidi w:val="0"/>
        <w:rPr>
          <w:rFonts w:hint="eastAsia"/>
        </w:rPr>
      </w:pPr>
    </w:p>
    <w:p w14:paraId="0FC50D4B">
      <w:pPr>
        <w:bidi w:val="0"/>
        <w:rPr>
          <w:rFonts w:hint="eastAsia"/>
        </w:rPr>
      </w:pPr>
    </w:p>
    <w:p w14:paraId="39BCDB97">
      <w:pPr>
        <w:pStyle w:val="4"/>
        <w:ind w:left="0" w:leftChars="0" w:firstLine="0" w:firstLineChars="0"/>
      </w:pP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ind w:firstLine="5520" w:firstLineChars="2300"/>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4419379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bidi w:val="0"/>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599"/>
        <w:spacing w:before="120" w:line="22" w:lineRule="atLeast"/>
        <w:rPr>
          <w:rFonts w:ascii="宋体" w:hAnsi="宋体" w:eastAsia="宋体" w:cs="宋体"/>
          <w:color w:val="auto"/>
          <w:szCs w:val="24"/>
          <w:highlight w:val="none"/>
        </w:rPr>
      </w:pPr>
    </w:p>
    <w:p w14:paraId="5912128F">
      <w:pPr>
        <w:pStyle w:val="599"/>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5" w:name="_Toc20421"/>
      <w:bookmarkStart w:id="396" w:name="_Toc15367"/>
      <w:bookmarkStart w:id="397" w:name="_Toc28855"/>
      <w:bookmarkStart w:id="398" w:name="_Toc22967"/>
      <w:bookmarkStart w:id="399" w:name="_Toc19273"/>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0" w:name="_Toc18585"/>
      <w:bookmarkStart w:id="401" w:name="_Toc6773"/>
      <w:bookmarkStart w:id="402" w:name="_Toc2918"/>
      <w:bookmarkStart w:id="403" w:name="_Toc6311"/>
      <w:bookmarkStart w:id="404"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hint="eastAsia" w:ascii="宋体" w:hAnsi="宋体"/>
          <w:color w:val="auto"/>
          <w:sz w:val="24"/>
          <w:highlight w:val="none"/>
          <w:lang w:eastAsia="zh-CN"/>
        </w:rPr>
        <w:t>：</w:t>
      </w:r>
      <w:r>
        <w:rPr>
          <w:rFonts w:hint="eastAsia" w:ascii="宋体" w:hAnsi="宋体"/>
          <w:color w:val="auto"/>
          <w:sz w:val="24"/>
          <w:highlight w:val="none"/>
          <w:u w:val="single"/>
          <w:lang w:val="en-US" w:eastAsia="zh-CN"/>
        </w:rPr>
        <w:t>电动汽车充电桩检定、多参数监护仪检定</w:t>
      </w:r>
      <w:r>
        <w:rPr>
          <w:rFonts w:ascii="宋体" w:hAnsi="宋体"/>
          <w:color w:val="auto"/>
          <w:sz w:val="24"/>
          <w:highlight w:val="none"/>
          <w:u w:val="single"/>
        </w:rPr>
        <w:t xml:space="preserve">   </w:t>
      </w:r>
      <w:r>
        <w:rPr>
          <w:rFonts w:hint="eastAsia" w:ascii="宋体" w:hAnsi="宋体"/>
          <w:color w:val="auto"/>
          <w:sz w:val="24"/>
          <w:highlight w:val="none"/>
        </w:rPr>
        <w:t>；</w:t>
      </w:r>
    </w:p>
    <w:p w14:paraId="371604D6">
      <w:pPr>
        <w:spacing w:line="560" w:lineRule="exact"/>
        <w:ind w:firstLine="480" w:firstLineChars="200"/>
        <w:jc w:val="left"/>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中华人民共和国计量法》以及招投标文件的规定。</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w:t>
      </w:r>
      <w:r>
        <w:rPr>
          <w:rFonts w:hint="eastAsia" w:ascii="宋体" w:hAnsi="宋体"/>
          <w:color w:val="auto"/>
          <w:sz w:val="24"/>
          <w:highlight w:val="none"/>
          <w:lang w:val="en-US" w:eastAsia="zh-CN"/>
        </w:rPr>
        <w:t>招投标文件</w:t>
      </w:r>
      <w:r>
        <w:rPr>
          <w:rFonts w:hint="eastAsia" w:ascii="宋体" w:hAnsi="宋体"/>
          <w:color w:val="auto"/>
          <w:sz w:val="24"/>
          <w:highlight w:val="none"/>
          <w:u w:val="single"/>
          <w:lang w:val="en-US" w:eastAsia="zh-CN"/>
        </w:rPr>
        <w:t>所确定的提供服务的要求和中标人响应文件</w:t>
      </w:r>
      <w:r>
        <w:rPr>
          <w:rFonts w:ascii="宋体" w:hAnsi="宋体"/>
          <w:color w:val="auto"/>
          <w:sz w:val="24"/>
          <w:highlight w:val="none"/>
          <w:u w:val="single"/>
        </w:rPr>
        <w:t xml:space="preserve">　　　　　　　                      　    </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hint="eastAsia" w:ascii="宋体" w:hAnsi="宋体"/>
          <w:color w:val="auto"/>
          <w:sz w:val="24"/>
          <w:highlight w:val="none"/>
          <w:lang w:val="en-US" w:eastAsia="zh-CN"/>
        </w:rPr>
        <w:t>招投标文件</w:t>
      </w:r>
      <w:r>
        <w:rPr>
          <w:rFonts w:hint="eastAsia" w:ascii="宋体" w:hAnsi="宋体"/>
          <w:color w:val="auto"/>
          <w:sz w:val="24"/>
          <w:highlight w:val="none"/>
          <w:u w:val="single"/>
          <w:lang w:val="en-US" w:eastAsia="zh-CN"/>
        </w:rPr>
        <w:t>所确定人员以及人数和中标人响应文件</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5" w:name="_Toc1386"/>
      <w:bookmarkStart w:id="406" w:name="_Toc4929"/>
      <w:bookmarkStart w:id="407" w:name="_Toc13918"/>
      <w:bookmarkStart w:id="408" w:name="_Toc5635"/>
      <w:bookmarkStart w:id="409" w:name="_Toc21124"/>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w:t>
      </w:r>
      <w:r>
        <w:rPr>
          <w:rFonts w:hint="eastAsia" w:ascii="宋体" w:hAnsi="宋体"/>
          <w:color w:val="auto"/>
          <w:sz w:val="24"/>
          <w:highlight w:val="none"/>
          <w:lang w:val="en-US" w:eastAsia="zh-CN"/>
        </w:rPr>
        <w:t>执行总价</w:t>
      </w:r>
      <w:r>
        <w:rPr>
          <w:rFonts w:hint="eastAsia" w:ascii="宋体" w:hAnsi="宋体"/>
          <w:color w:val="auto"/>
          <w:sz w:val="24"/>
          <w:highlight w:val="none"/>
          <w:u w:val="single"/>
          <w:lang w:val="en-US" w:eastAsia="zh-CN"/>
        </w:rPr>
        <w:t>最高限</w:t>
      </w:r>
      <w:r>
        <w:rPr>
          <w:rFonts w:ascii="宋体" w:hAnsi="宋体"/>
          <w:color w:val="auto"/>
          <w:sz w:val="24"/>
          <w:highlight w:val="none"/>
        </w:rPr>
        <w:t>价</w:t>
      </w:r>
      <w:r>
        <w:rPr>
          <w:rFonts w:hint="eastAsia" w:ascii="宋体" w:hAnsi="宋体"/>
          <w:color w:val="auto"/>
          <w:sz w:val="24"/>
          <w:highlight w:val="none"/>
        </w:rPr>
        <w:t>（含税）</w:t>
      </w:r>
      <w:r>
        <w:rPr>
          <w:rFonts w:hint="eastAsia" w:ascii="宋体" w:hAnsi="宋体"/>
          <w:color w:val="auto"/>
          <w:sz w:val="24"/>
          <w:highlight w:val="none"/>
          <w:lang w:val="en-US" w:eastAsia="zh-CN"/>
        </w:rPr>
        <w:t>和单价最高限价</w:t>
      </w:r>
      <w:r>
        <w:rPr>
          <w:rFonts w:hint="eastAsia" w:ascii="宋体" w:hAnsi="宋体"/>
          <w:color w:val="auto"/>
          <w:sz w:val="24"/>
          <w:highlight w:val="none"/>
        </w:rPr>
        <w:t>（含税）</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2290"/>
        <w:gridCol w:w="3169"/>
        <w:gridCol w:w="2933"/>
      </w:tblGrid>
      <w:tr w14:paraId="639D6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062" w:type="dxa"/>
            <w:tcBorders>
              <w:top w:val="single" w:color="auto" w:sz="4" w:space="0"/>
              <w:left w:val="single" w:color="auto" w:sz="4" w:space="0"/>
              <w:bottom w:val="single" w:color="auto" w:sz="4" w:space="0"/>
              <w:right w:val="single" w:color="auto" w:sz="4" w:space="0"/>
            </w:tcBorders>
            <w:noWrap w:val="0"/>
            <w:vAlign w:val="center"/>
          </w:tcPr>
          <w:p w14:paraId="0FC03838">
            <w:pPr>
              <w:widowControl/>
              <w:jc w:val="center"/>
              <w:rPr>
                <w:rFonts w:hint="default" w:eastAsia="宋体" w:cs="宋体"/>
                <w:kern w:val="0"/>
                <w:sz w:val="24"/>
                <w:szCs w:val="24"/>
                <w:lang w:val="en-US" w:eastAsia="zh-CN"/>
              </w:rPr>
            </w:pPr>
            <w:r>
              <w:rPr>
                <w:rFonts w:hint="eastAsia" w:cs="宋体"/>
                <w:kern w:val="0"/>
                <w:sz w:val="24"/>
                <w:szCs w:val="24"/>
                <w:lang w:val="en-US" w:eastAsia="zh-CN"/>
              </w:rPr>
              <w:t>标项</w:t>
            </w:r>
          </w:p>
        </w:tc>
        <w:tc>
          <w:tcPr>
            <w:tcW w:w="2290" w:type="dxa"/>
            <w:tcBorders>
              <w:top w:val="single" w:color="auto" w:sz="4" w:space="0"/>
              <w:left w:val="single" w:color="auto" w:sz="4" w:space="0"/>
              <w:bottom w:val="single" w:color="auto" w:sz="4" w:space="0"/>
              <w:right w:val="single" w:color="auto" w:sz="4" w:space="0"/>
            </w:tcBorders>
            <w:noWrap w:val="0"/>
            <w:vAlign w:val="center"/>
          </w:tcPr>
          <w:p w14:paraId="2CC11530">
            <w:pPr>
              <w:widowControl/>
              <w:jc w:val="center"/>
              <w:rPr>
                <w:rFonts w:cs="宋体"/>
                <w:sz w:val="24"/>
                <w:szCs w:val="24"/>
              </w:rPr>
            </w:pPr>
            <w:r>
              <w:rPr>
                <w:rFonts w:hint="eastAsia" w:cs="宋体"/>
                <w:kern w:val="0"/>
                <w:sz w:val="24"/>
                <w:szCs w:val="24"/>
              </w:rPr>
              <w:t>内容</w:t>
            </w:r>
          </w:p>
        </w:tc>
        <w:tc>
          <w:tcPr>
            <w:tcW w:w="31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394DC3">
            <w:pPr>
              <w:widowControl/>
              <w:jc w:val="center"/>
              <w:rPr>
                <w:rFonts w:hint="eastAsia" w:ascii="Times New Roman" w:hAnsi="Times New Roman" w:eastAsia="宋体" w:cs="宋体"/>
                <w:kern w:val="0"/>
                <w:sz w:val="24"/>
                <w:szCs w:val="24"/>
                <w:lang w:val="en-US" w:eastAsia="zh-CN" w:bidi="ar-SA"/>
              </w:rPr>
            </w:pPr>
            <w:r>
              <w:rPr>
                <w:rFonts w:hint="eastAsia" w:cs="宋体"/>
                <w:kern w:val="0"/>
                <w:sz w:val="24"/>
                <w:szCs w:val="24"/>
                <w:lang w:val="en-US" w:eastAsia="zh-CN"/>
              </w:rPr>
              <w:t>中标单价</w:t>
            </w:r>
          </w:p>
        </w:tc>
        <w:tc>
          <w:tcPr>
            <w:tcW w:w="2933" w:type="dxa"/>
            <w:tcBorders>
              <w:top w:val="single" w:color="auto" w:sz="4" w:space="0"/>
              <w:left w:val="single" w:color="auto" w:sz="4" w:space="0"/>
              <w:bottom w:val="single" w:color="auto" w:sz="4" w:space="0"/>
              <w:right w:val="single" w:color="auto" w:sz="4" w:space="0"/>
            </w:tcBorders>
            <w:noWrap w:val="0"/>
            <w:vAlign w:val="center"/>
          </w:tcPr>
          <w:p w14:paraId="75B23DD2">
            <w:pPr>
              <w:widowControl/>
              <w:jc w:val="center"/>
              <w:rPr>
                <w:rFonts w:cs="宋体"/>
                <w:kern w:val="0"/>
                <w:sz w:val="24"/>
                <w:szCs w:val="24"/>
              </w:rPr>
            </w:pPr>
            <w:r>
              <w:rPr>
                <w:rFonts w:hint="eastAsia" w:cs="宋体"/>
                <w:kern w:val="0"/>
                <w:sz w:val="24"/>
                <w:szCs w:val="24"/>
              </w:rPr>
              <w:t>最高限价（</w:t>
            </w:r>
            <w:r>
              <w:rPr>
                <w:rFonts w:hint="eastAsia" w:cs="宋体"/>
                <w:kern w:val="0"/>
                <w:sz w:val="24"/>
                <w:szCs w:val="24"/>
                <w:lang w:val="en-US" w:eastAsia="zh-CN"/>
              </w:rPr>
              <w:t>总价</w:t>
            </w:r>
            <w:r>
              <w:rPr>
                <w:rFonts w:hint="eastAsia" w:cs="宋体"/>
                <w:kern w:val="0"/>
                <w:sz w:val="24"/>
                <w:szCs w:val="24"/>
              </w:rPr>
              <w:t>最高限价）</w:t>
            </w:r>
          </w:p>
        </w:tc>
      </w:tr>
      <w:tr w14:paraId="2113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062" w:type="dxa"/>
            <w:tcBorders>
              <w:top w:val="single" w:color="auto" w:sz="4" w:space="0"/>
              <w:left w:val="single" w:color="auto" w:sz="4" w:space="0"/>
              <w:bottom w:val="single" w:color="auto" w:sz="4" w:space="0"/>
              <w:right w:val="single" w:color="auto" w:sz="4" w:space="0"/>
            </w:tcBorders>
            <w:noWrap w:val="0"/>
            <w:vAlign w:val="center"/>
          </w:tcPr>
          <w:p w14:paraId="7CFBD590">
            <w:pPr>
              <w:widowControl/>
              <w:jc w:val="center"/>
              <w:rPr>
                <w:rFonts w:hint="eastAsia" w:eastAsia="宋体"/>
                <w:sz w:val="24"/>
                <w:szCs w:val="24"/>
                <w:lang w:val="en-US" w:eastAsia="zh-CN"/>
              </w:rPr>
            </w:pPr>
            <w:r>
              <w:rPr>
                <w:rFonts w:hint="eastAsia"/>
                <w:sz w:val="24"/>
                <w:szCs w:val="24"/>
                <w:lang w:val="en-US" w:eastAsia="zh-CN"/>
              </w:rPr>
              <w:t>1</w:t>
            </w:r>
          </w:p>
        </w:tc>
        <w:tc>
          <w:tcPr>
            <w:tcW w:w="2290" w:type="dxa"/>
            <w:tcBorders>
              <w:top w:val="single" w:color="auto" w:sz="4" w:space="0"/>
              <w:left w:val="single" w:color="auto" w:sz="4" w:space="0"/>
              <w:bottom w:val="single" w:color="auto" w:sz="4" w:space="0"/>
              <w:right w:val="single" w:color="auto" w:sz="4" w:space="0"/>
            </w:tcBorders>
            <w:noWrap w:val="0"/>
            <w:vAlign w:val="center"/>
          </w:tcPr>
          <w:p w14:paraId="5099E327">
            <w:pPr>
              <w:widowControl/>
              <w:jc w:val="center"/>
              <w:rPr>
                <w:rFonts w:hint="eastAsia"/>
                <w:sz w:val="24"/>
                <w:szCs w:val="24"/>
              </w:rPr>
            </w:pPr>
            <w:r>
              <w:rPr>
                <w:rFonts w:hint="eastAsia"/>
                <w:sz w:val="24"/>
                <w:szCs w:val="24"/>
              </w:rPr>
              <w:t>电动汽车充电桩检定</w:t>
            </w:r>
          </w:p>
        </w:tc>
        <w:tc>
          <w:tcPr>
            <w:tcW w:w="31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E15399">
            <w:pPr>
              <w:widowControl/>
              <w:jc w:val="center"/>
              <w:rPr>
                <w:rFonts w:hint="eastAsia" w:ascii="宋体" w:hAnsi="宋体" w:eastAsia="宋体" w:cs="宋体"/>
                <w:kern w:val="0"/>
                <w:sz w:val="24"/>
                <w:szCs w:val="24"/>
                <w:lang w:val="en-US" w:eastAsia="zh-CN" w:bidi="ar-SA"/>
              </w:rPr>
            </w:pPr>
          </w:p>
        </w:tc>
        <w:tc>
          <w:tcPr>
            <w:tcW w:w="2933" w:type="dxa"/>
            <w:tcBorders>
              <w:top w:val="single" w:color="auto" w:sz="4" w:space="0"/>
              <w:left w:val="single" w:color="auto" w:sz="4" w:space="0"/>
              <w:bottom w:val="single" w:color="auto" w:sz="4" w:space="0"/>
              <w:right w:val="single" w:color="auto" w:sz="4" w:space="0"/>
            </w:tcBorders>
            <w:noWrap w:val="0"/>
            <w:vAlign w:val="center"/>
          </w:tcPr>
          <w:p w14:paraId="7CAF72FC">
            <w:pPr>
              <w:widowControl/>
              <w:jc w:val="center"/>
              <w:rPr>
                <w:rFonts w:hint="default" w:ascii="宋体" w:hAnsi="宋体" w:eastAsia="宋体" w:cs="宋体"/>
                <w:kern w:val="0"/>
                <w:sz w:val="24"/>
                <w:szCs w:val="24"/>
                <w:lang w:val="en-US" w:eastAsia="zh-CN"/>
              </w:rPr>
            </w:pPr>
          </w:p>
        </w:tc>
      </w:tr>
      <w:tr w14:paraId="50C8F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062" w:type="dxa"/>
            <w:tcBorders>
              <w:top w:val="single" w:color="auto" w:sz="4" w:space="0"/>
              <w:left w:val="single" w:color="auto" w:sz="4" w:space="0"/>
              <w:bottom w:val="single" w:color="auto" w:sz="4" w:space="0"/>
              <w:right w:val="single" w:color="auto" w:sz="4" w:space="0"/>
            </w:tcBorders>
            <w:noWrap w:val="0"/>
            <w:vAlign w:val="center"/>
          </w:tcPr>
          <w:p w14:paraId="0F74291F">
            <w:pPr>
              <w:widowControl/>
              <w:jc w:val="center"/>
              <w:rPr>
                <w:rFonts w:hint="eastAsia" w:eastAsia="宋体"/>
                <w:sz w:val="24"/>
                <w:szCs w:val="24"/>
                <w:lang w:val="en-US" w:eastAsia="zh-CN"/>
              </w:rPr>
            </w:pPr>
            <w:r>
              <w:rPr>
                <w:rFonts w:hint="eastAsia"/>
                <w:sz w:val="24"/>
                <w:szCs w:val="24"/>
                <w:lang w:val="en-US" w:eastAsia="zh-CN"/>
              </w:rPr>
              <w:t>2</w:t>
            </w:r>
          </w:p>
        </w:tc>
        <w:tc>
          <w:tcPr>
            <w:tcW w:w="2290" w:type="dxa"/>
            <w:tcBorders>
              <w:top w:val="single" w:color="auto" w:sz="4" w:space="0"/>
              <w:left w:val="single" w:color="auto" w:sz="4" w:space="0"/>
              <w:bottom w:val="single" w:color="auto" w:sz="4" w:space="0"/>
              <w:right w:val="single" w:color="auto" w:sz="4" w:space="0"/>
            </w:tcBorders>
            <w:noWrap w:val="0"/>
            <w:vAlign w:val="center"/>
          </w:tcPr>
          <w:p w14:paraId="1044F192">
            <w:pPr>
              <w:widowControl/>
              <w:jc w:val="center"/>
              <w:rPr>
                <w:rFonts w:hint="eastAsia"/>
                <w:sz w:val="24"/>
                <w:szCs w:val="24"/>
              </w:rPr>
            </w:pPr>
            <w:r>
              <w:rPr>
                <w:rFonts w:hint="eastAsia"/>
                <w:sz w:val="24"/>
                <w:szCs w:val="24"/>
              </w:rPr>
              <w:t>多参数监护仪检定</w:t>
            </w:r>
          </w:p>
        </w:tc>
        <w:tc>
          <w:tcPr>
            <w:tcW w:w="31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6A9A21">
            <w:pPr>
              <w:widowControl/>
              <w:jc w:val="center"/>
              <w:rPr>
                <w:rFonts w:hint="eastAsia" w:ascii="宋体" w:hAnsi="宋体" w:eastAsia="宋体" w:cs="宋体"/>
                <w:kern w:val="0"/>
                <w:sz w:val="24"/>
                <w:szCs w:val="24"/>
                <w:lang w:val="en-US" w:eastAsia="zh-CN" w:bidi="ar-SA"/>
              </w:rPr>
            </w:pPr>
          </w:p>
        </w:tc>
        <w:tc>
          <w:tcPr>
            <w:tcW w:w="2933" w:type="dxa"/>
            <w:tcBorders>
              <w:top w:val="single" w:color="auto" w:sz="4" w:space="0"/>
              <w:left w:val="single" w:color="auto" w:sz="4" w:space="0"/>
              <w:bottom w:val="single" w:color="auto" w:sz="4" w:space="0"/>
              <w:right w:val="single" w:color="auto" w:sz="4" w:space="0"/>
            </w:tcBorders>
            <w:noWrap w:val="0"/>
            <w:vAlign w:val="center"/>
          </w:tcPr>
          <w:p w14:paraId="7C34D00A">
            <w:pPr>
              <w:widowControl/>
              <w:jc w:val="center"/>
              <w:rPr>
                <w:rFonts w:hint="default" w:ascii="宋体" w:hAnsi="宋体" w:eastAsia="宋体" w:cs="宋体"/>
                <w:kern w:val="0"/>
                <w:sz w:val="24"/>
                <w:szCs w:val="24"/>
                <w:lang w:val="en-US" w:eastAsia="zh-CN"/>
              </w:rPr>
            </w:pPr>
          </w:p>
        </w:tc>
      </w:tr>
    </w:tbl>
    <w:p w14:paraId="09199940">
      <w:pPr>
        <w:autoSpaceDE w:val="0"/>
        <w:autoSpaceDN w:val="0"/>
        <w:rPr>
          <w:rFonts w:hint="eastAsia" w:ascii="Cambria" w:hAnsi="Cambria" w:cs="黑体"/>
          <w:b/>
          <w:bCs/>
        </w:rPr>
      </w:pPr>
    </w:p>
    <w:p w14:paraId="2E8864BE">
      <w:pPr>
        <w:spacing w:line="560" w:lineRule="exact"/>
        <w:ind w:firstLine="482" w:firstLineChars="200"/>
        <w:rPr>
          <w:rFonts w:ascii="宋体" w:hAnsi="宋体"/>
          <w:color w:val="auto"/>
          <w:sz w:val="24"/>
          <w:highlight w:val="none"/>
          <w:u w:val="single"/>
        </w:rPr>
      </w:pPr>
      <w:r>
        <w:rPr>
          <w:rFonts w:hint="eastAsia" w:ascii="Cambria" w:hAnsi="Cambria" w:cs="黑体"/>
          <w:b/>
          <w:bCs/>
          <w:sz w:val="24"/>
          <w:szCs w:val="24"/>
        </w:rPr>
        <w:t>注：</w:t>
      </w:r>
      <w:r>
        <w:rPr>
          <w:rFonts w:hint="eastAsia"/>
          <w:b/>
          <w:color w:val="000000"/>
          <w:sz w:val="24"/>
          <w:szCs w:val="24"/>
          <w:lang w:val="zh-CN"/>
        </w:rPr>
        <w:t>按实际检定数量发生的检定</w:t>
      </w:r>
      <w:r>
        <w:rPr>
          <w:rFonts w:hint="eastAsia"/>
          <w:b/>
          <w:color w:val="000000"/>
          <w:sz w:val="24"/>
          <w:szCs w:val="24"/>
          <w:lang w:val="en-US" w:eastAsia="zh-CN"/>
        </w:rPr>
        <w:t>费用</w:t>
      </w:r>
      <w:r>
        <w:rPr>
          <w:rFonts w:hint="eastAsia"/>
          <w:b/>
          <w:color w:val="000000"/>
          <w:sz w:val="24"/>
          <w:szCs w:val="24"/>
          <w:lang w:val="zh-CN"/>
        </w:rPr>
        <w:t>进行核算、支付，累计一年支付金额不超过预算价。</w:t>
      </w:r>
    </w:p>
    <w:p w14:paraId="2F5CCC91">
      <w:pPr>
        <w:pStyle w:val="960"/>
        <w:spacing w:before="0" w:beforeAutospacing="0" w:after="0" w:afterAutospacing="0" w:line="360" w:lineRule="auto"/>
        <w:ind w:firstLine="480"/>
        <w:rPr>
          <w:b/>
          <w:color w:val="auto"/>
          <w:highlight w:val="none"/>
        </w:rPr>
      </w:pPr>
      <w:bookmarkStart w:id="410" w:name="_Toc10340"/>
      <w:bookmarkStart w:id="411" w:name="_Toc1814"/>
      <w:bookmarkStart w:id="412" w:name="_Toc22618"/>
      <w:bookmarkStart w:id="413" w:name="_Toc3625"/>
      <w:bookmarkStart w:id="414" w:name="_Toc4760"/>
      <w:bookmarkStart w:id="415" w:name="_Toc31421"/>
      <w:bookmarkStart w:id="416" w:name="_Toc8772"/>
      <w:bookmarkStart w:id="417" w:name="_Toc11108"/>
      <w:r>
        <w:rPr>
          <w:rFonts w:hint="eastAsia"/>
          <w:b/>
          <w:color w:val="auto"/>
          <w:highlight w:val="none"/>
        </w:rPr>
        <w:t>1.4履约保证金</w:t>
      </w:r>
    </w:p>
    <w:p w14:paraId="74D47AFB">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u w:val="single"/>
          <w:lang w:val="en-US" w:eastAsia="zh-CN"/>
        </w:rPr>
        <w:t>/</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4"/>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0"/>
      <w:bookmarkEnd w:id="411"/>
      <w:bookmarkEnd w:id="412"/>
      <w:r>
        <w:rPr>
          <w:rFonts w:hint="eastAsia" w:ascii="宋体" w:hAnsi="宋体" w:cs="宋体"/>
          <w:b/>
          <w:color w:val="auto"/>
          <w:sz w:val="24"/>
          <w:highlight w:val="none"/>
        </w:rPr>
        <w:t>预付款</w:t>
      </w:r>
    </w:p>
    <w:p w14:paraId="7C829B0B">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color w:val="auto"/>
          <w:highlight w:val="none"/>
        </w:rPr>
        <w:t>；</w:t>
      </w:r>
    </w:p>
    <w:p w14:paraId="79C41B4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color w:val="auto"/>
          <w:highlight w:val="none"/>
        </w:rPr>
        <w:t>。</w:t>
      </w:r>
    </w:p>
    <w:p w14:paraId="0918A3AE">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3"/>
      <w:bookmarkEnd w:id="414"/>
      <w:bookmarkEnd w:id="415"/>
      <w:bookmarkEnd w:id="416"/>
      <w:bookmarkEnd w:id="417"/>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18" w:name="_Toc24662"/>
      <w:bookmarkStart w:id="419" w:name="_Toc5698"/>
      <w:bookmarkStart w:id="420" w:name="_Toc8586"/>
      <w:bookmarkStart w:id="421" w:name="_Toc3079"/>
      <w:bookmarkStart w:id="422"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18"/>
      <w:bookmarkEnd w:id="419"/>
      <w:bookmarkEnd w:id="420"/>
      <w:bookmarkEnd w:id="421"/>
      <w:bookmarkEnd w:id="422"/>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4"/>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3CD99870">
      <w:pPr>
        <w:spacing w:line="560" w:lineRule="exact"/>
        <w:ind w:firstLine="480" w:firstLineChars="200"/>
        <w:rPr>
          <w:rFonts w:hint="default" w:ascii="宋体" w:hAnsi="宋体" w:cs="宋体"/>
          <w:color w:val="auto"/>
          <w:sz w:val="24"/>
          <w:highlight w:val="none"/>
          <w:lang w:val="en-US" w:eastAsia="zh-CN"/>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w:t>
      </w:r>
      <w:r>
        <w:rPr>
          <w:rFonts w:hint="eastAsia" w:ascii="宋体" w:hAnsi="宋体" w:cs="宋体"/>
          <w:color w:val="auto"/>
          <w:sz w:val="24"/>
          <w:highlight w:val="none"/>
          <w:lang w:val="en-US" w:eastAsia="zh-CN"/>
        </w:rPr>
        <w:t>迟延付款金额部分以</w:t>
      </w:r>
      <w:bookmarkStart w:id="423" w:name="_Toc26807"/>
      <w:bookmarkStart w:id="424" w:name="_Toc30329"/>
      <w:bookmarkStart w:id="425" w:name="_Toc9497"/>
      <w:bookmarkStart w:id="426" w:name="_Toc32454"/>
      <w:bookmarkStart w:id="427" w:name="_Toc18683"/>
      <w:r>
        <w:rPr>
          <w:rFonts w:hint="eastAsia" w:ascii="宋体" w:hAnsi="宋体" w:cs="宋体"/>
          <w:color w:val="auto"/>
          <w:sz w:val="24"/>
          <w:highlight w:val="none"/>
          <w:lang w:val="en-US" w:eastAsia="zh-CN"/>
        </w:rPr>
        <w:t>LPR年利率计算的逾期付款利息。</w:t>
      </w:r>
    </w:p>
    <w:p w14:paraId="767F4200">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终止</w:t>
      </w:r>
      <w:r>
        <w:rPr>
          <w:rFonts w:hint="eastAsia" w:ascii="宋体" w:hAnsi="宋体" w:cs="宋体"/>
          <w:color w:val="auto"/>
          <w:sz w:val="24"/>
          <w:highlight w:val="none"/>
          <w:lang w:eastAsia="zh-CN"/>
        </w:rPr>
        <w:t>）</w:t>
      </w:r>
      <w:r>
        <w:rPr>
          <w:rFonts w:hint="eastAsia" w:ascii="宋体" w:hAnsi="宋体" w:cs="宋体"/>
          <w:color w:val="auto"/>
          <w:sz w:val="24"/>
          <w:highlight w:val="none"/>
        </w:rPr>
        <w:t>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w:t>
      </w:r>
      <w:r>
        <w:rPr>
          <w:rFonts w:hint="eastAsia" w:ascii="宋体" w:hAnsi="宋体" w:cs="宋体"/>
          <w:b w:val="0"/>
          <w:bCs w:val="0"/>
          <w:i w:val="0"/>
          <w:iCs w:val="0"/>
          <w:color w:val="auto"/>
          <w:sz w:val="24"/>
          <w:highlight w:val="none"/>
        </w:rPr>
        <w:t>任</w:t>
      </w:r>
      <w:r>
        <w:rPr>
          <w:rFonts w:hint="eastAsia" w:ascii="宋体" w:hAnsi="宋体" w:cs="宋体"/>
          <w:b w:val="0"/>
          <w:bCs w:val="0"/>
          <w:i w:val="0"/>
          <w:iCs w:val="0"/>
          <w:color w:val="auto"/>
          <w:sz w:val="24"/>
          <w:highlight w:val="none"/>
          <w:lang w:val="en-US" w:eastAsia="zh-CN"/>
        </w:rPr>
        <w:t>在</w:t>
      </w:r>
      <w:r>
        <w:rPr>
          <w:rFonts w:hint="eastAsia" w:ascii="宋体" w:hAnsi="宋体" w:cs="宋体"/>
          <w:b w:val="0"/>
          <w:bCs w:val="0"/>
          <w:i w:val="0"/>
          <w:iCs w:val="0"/>
          <w:color w:val="auto"/>
          <w:sz w:val="24"/>
          <w:highlight w:val="none"/>
          <w:u w:val="single"/>
        </w:rPr>
        <w:t>合同专用条款</w:t>
      </w:r>
      <w:r>
        <w:rPr>
          <w:rFonts w:hint="eastAsia" w:ascii="宋体" w:hAnsi="宋体" w:cs="宋体"/>
          <w:b w:val="0"/>
          <w:bCs w:val="0"/>
          <w:i w:val="0"/>
          <w:iCs w:val="0"/>
          <w:color w:val="auto"/>
          <w:sz w:val="24"/>
          <w:highlight w:val="none"/>
          <w:u w:val="single"/>
          <w:lang w:val="en-US" w:eastAsia="zh-CN"/>
        </w:rPr>
        <w:t>中</w:t>
      </w:r>
      <w:r>
        <w:rPr>
          <w:rFonts w:hint="eastAsia" w:ascii="宋体" w:hAnsi="宋体" w:cs="宋体"/>
          <w:b w:val="0"/>
          <w:bCs w:val="0"/>
          <w:i w:val="0"/>
          <w:iCs w:val="0"/>
          <w:color w:val="auto"/>
          <w:sz w:val="24"/>
          <w:highlight w:val="none"/>
        </w:rPr>
        <w:t>另有</w:t>
      </w:r>
      <w:r>
        <w:rPr>
          <w:rFonts w:hint="eastAsia" w:ascii="宋体" w:hAnsi="宋体" w:cs="宋体"/>
          <w:b w:val="0"/>
          <w:bCs w:val="0"/>
          <w:i w:val="0"/>
          <w:iCs w:val="0"/>
          <w:color w:val="auto"/>
          <w:sz w:val="24"/>
          <w:highlight w:val="none"/>
          <w:lang w:val="en-US" w:eastAsia="zh-CN"/>
        </w:rPr>
        <w:t>其他违约情形</w:t>
      </w:r>
      <w:r>
        <w:rPr>
          <w:rFonts w:hint="eastAsia" w:ascii="宋体" w:hAnsi="宋体" w:cs="宋体"/>
          <w:b w:val="0"/>
          <w:bCs w:val="0"/>
          <w:i w:val="0"/>
          <w:iCs w:val="0"/>
          <w:color w:val="auto"/>
          <w:sz w:val="24"/>
          <w:highlight w:val="none"/>
        </w:rPr>
        <w:t>约</w:t>
      </w:r>
      <w:r>
        <w:rPr>
          <w:rFonts w:hint="eastAsia" w:ascii="宋体" w:hAnsi="宋体" w:cs="宋体"/>
          <w:color w:val="auto"/>
          <w:sz w:val="24"/>
          <w:highlight w:val="none"/>
        </w:rPr>
        <w:t>定的，从其约定</w:t>
      </w:r>
      <w:r>
        <w:rPr>
          <w:rFonts w:hint="eastAsia" w:ascii="宋体" w:hAnsi="宋体" w:cs="宋体"/>
          <w:color w:val="auto"/>
          <w:sz w:val="24"/>
          <w:highlight w:val="none"/>
          <w:lang w:eastAsia="zh-CN"/>
        </w:rPr>
        <w:t>。</w:t>
      </w:r>
    </w:p>
    <w:bookmarkEnd w:id="423"/>
    <w:bookmarkEnd w:id="424"/>
    <w:bookmarkEnd w:id="425"/>
    <w:bookmarkEnd w:id="426"/>
    <w:bookmarkEnd w:id="427"/>
    <w:p w14:paraId="1A3040A7">
      <w:pPr>
        <w:spacing w:line="560" w:lineRule="exact"/>
        <w:ind w:firstLine="482" w:firstLineChars="200"/>
        <w:outlineLvl w:val="0"/>
        <w:rPr>
          <w:rFonts w:ascii="宋体" w:hAnsi="宋体" w:cs="宋体"/>
          <w:b/>
          <w:color w:val="auto"/>
          <w:sz w:val="24"/>
          <w:highlight w:val="none"/>
        </w:rPr>
      </w:pPr>
      <w:bookmarkStart w:id="428" w:name="_Toc28375"/>
      <w:bookmarkStart w:id="429" w:name="_Toc15583"/>
      <w:bookmarkStart w:id="430" w:name="_Toc16021"/>
      <w:r>
        <w:rPr>
          <w:rFonts w:hint="eastAsia" w:ascii="宋体" w:hAnsi="宋体" w:cs="宋体"/>
          <w:b/>
          <w:color w:val="auto"/>
          <w:sz w:val="24"/>
          <w:highlight w:val="none"/>
        </w:rPr>
        <w:t>1.9合同争议的解决</w:t>
      </w:r>
      <w:bookmarkEnd w:id="428"/>
      <w:bookmarkEnd w:id="429"/>
      <w:bookmarkEnd w:id="430"/>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val="0"/>
          <w:iCs/>
          <w:color w:val="auto"/>
          <w:sz w:val="24"/>
          <w:highlight w:val="none"/>
          <w:u w:val="single"/>
        </w:rPr>
        <w:t xml:space="preserve">  </w:t>
      </w:r>
      <w:r>
        <w:rPr>
          <w:rFonts w:hint="eastAsia" w:ascii="宋体" w:hAnsi="宋体" w:cs="宋体"/>
          <w:b/>
          <w:i w:val="0"/>
          <w:iCs/>
          <w:color w:val="auto"/>
          <w:sz w:val="24"/>
          <w:highlight w:val="none"/>
          <w:u w:val="single"/>
          <w:lang w:val="en-US" w:eastAsia="zh-CN"/>
        </w:rPr>
        <w:t>1.9.2</w:t>
      </w:r>
      <w:r>
        <w:rPr>
          <w:rFonts w:hint="eastAsia" w:ascii="宋体" w:hAnsi="宋体" w:cs="宋体"/>
          <w:b/>
          <w:i w:val="0"/>
          <w:iCs/>
          <w:color w:val="auto"/>
          <w:sz w:val="24"/>
          <w:highlight w:val="none"/>
          <w:u w:val="single"/>
        </w:rPr>
        <w:t xml:space="preserve">    </w:t>
      </w:r>
      <w:r>
        <w:rPr>
          <w:rFonts w:hint="eastAsia" w:ascii="宋体" w:hAnsi="宋体" w:cs="宋体"/>
          <w:iCs/>
          <w:color w:val="auto"/>
          <w:sz w:val="24"/>
          <w:highlight w:val="none"/>
        </w:rPr>
        <w:t>条</w:t>
      </w:r>
      <w:r>
        <w:rPr>
          <w:rFonts w:hint="eastAsia" w:ascii="宋体" w:hAnsi="宋体" w:cs="宋体"/>
          <w:color w:val="auto"/>
          <w:sz w:val="24"/>
          <w:highlight w:val="none"/>
        </w:rPr>
        <w:t>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color w:val="auto"/>
          <w:sz w:val="24"/>
          <w:highlight w:val="none"/>
          <w:lang w:val="en-US" w:eastAsia="zh-CN"/>
        </w:rPr>
        <w:t>杭州市</w:t>
      </w:r>
      <w:r>
        <w:rPr>
          <w:rFonts w:hint="eastAsia" w:ascii="宋体" w:hAnsi="宋体" w:cs="宋体"/>
          <w:color w:val="auto"/>
          <w:sz w:val="24"/>
          <w:highlight w:val="none"/>
        </w:rPr>
        <w:t>仲裁委员会申请仲裁；</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val="0"/>
          <w:iCs/>
          <w:color w:val="auto"/>
          <w:sz w:val="24"/>
          <w:highlight w:val="none"/>
          <w:u w:val="none"/>
          <w:lang w:val="en-US" w:eastAsia="zh-CN"/>
        </w:rPr>
        <w:t>甲方所在地</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31" w:name="_Toc15322"/>
      <w:bookmarkStart w:id="432" w:name="_Toc11173"/>
      <w:bookmarkStart w:id="433" w:name="_Toc7245"/>
      <w:r>
        <w:rPr>
          <w:rFonts w:hint="eastAsia" w:ascii="宋体" w:hAnsi="宋体" w:cs="宋体"/>
          <w:b/>
          <w:color w:val="auto"/>
          <w:sz w:val="24"/>
          <w:highlight w:val="none"/>
        </w:rPr>
        <w:t>2.0 合同生效</w:t>
      </w:r>
      <w:bookmarkEnd w:id="431"/>
      <w:bookmarkEnd w:id="432"/>
      <w:bookmarkEnd w:id="433"/>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34" w:name="_Toc31297"/>
      <w:bookmarkStart w:id="435" w:name="_Toc19680"/>
      <w:bookmarkStart w:id="436" w:name="_Toc25079"/>
      <w:bookmarkStart w:id="437" w:name="_Toc14021"/>
      <w:bookmarkStart w:id="438" w:name="_Toc5228"/>
      <w:r>
        <w:rPr>
          <w:rFonts w:ascii="宋体" w:hAnsi="宋体"/>
          <w:b/>
          <w:color w:val="auto"/>
          <w:sz w:val="24"/>
          <w:highlight w:val="none"/>
        </w:rPr>
        <w:t>2.1 定义</w:t>
      </w:r>
      <w:bookmarkEnd w:id="434"/>
      <w:bookmarkEnd w:id="435"/>
      <w:bookmarkEnd w:id="436"/>
      <w:bookmarkEnd w:id="437"/>
      <w:bookmarkEnd w:id="438"/>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39" w:name="_Toc16752"/>
      <w:bookmarkStart w:id="440" w:name="_Toc31402"/>
      <w:bookmarkStart w:id="441" w:name="_Toc3769"/>
      <w:bookmarkStart w:id="442" w:name="_Toc23289"/>
      <w:bookmarkStart w:id="443" w:name="_Toc19539"/>
      <w:r>
        <w:rPr>
          <w:rFonts w:ascii="宋体" w:hAnsi="宋体"/>
          <w:b/>
          <w:color w:val="auto"/>
          <w:sz w:val="24"/>
          <w:highlight w:val="none"/>
        </w:rPr>
        <w:t>2.2 技术规范</w:t>
      </w:r>
      <w:bookmarkEnd w:id="439"/>
      <w:bookmarkEnd w:id="440"/>
      <w:bookmarkEnd w:id="441"/>
      <w:bookmarkEnd w:id="442"/>
      <w:bookmarkEnd w:id="443"/>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44" w:name="_Toc13673"/>
      <w:bookmarkStart w:id="445" w:name="_Toc4133"/>
      <w:bookmarkStart w:id="446" w:name="_Toc12412"/>
      <w:bookmarkStart w:id="447" w:name="_Toc27945"/>
      <w:bookmarkStart w:id="448" w:name="_Toc9161"/>
      <w:r>
        <w:rPr>
          <w:rFonts w:ascii="宋体" w:hAnsi="宋体"/>
          <w:b/>
          <w:color w:val="auto"/>
          <w:sz w:val="24"/>
          <w:highlight w:val="none"/>
        </w:rPr>
        <w:t>2.3 知识产权</w:t>
      </w:r>
      <w:bookmarkEnd w:id="444"/>
      <w:bookmarkEnd w:id="445"/>
      <w:bookmarkEnd w:id="446"/>
      <w:bookmarkEnd w:id="447"/>
      <w:bookmarkEnd w:id="448"/>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49" w:name="_Toc26555"/>
      <w:bookmarkStart w:id="450" w:name="_Toc15447"/>
      <w:bookmarkStart w:id="451" w:name="_Toc31233"/>
      <w:bookmarkStart w:id="452" w:name="_Toc22011"/>
      <w:bookmarkStart w:id="453" w:name="_Toc32670"/>
      <w:r>
        <w:rPr>
          <w:rFonts w:ascii="宋体" w:hAnsi="宋体"/>
          <w:b/>
          <w:color w:val="auto"/>
          <w:sz w:val="24"/>
          <w:highlight w:val="none"/>
        </w:rPr>
        <w:t>2.5 结算方式和付款条件</w:t>
      </w:r>
      <w:bookmarkEnd w:id="449"/>
      <w:bookmarkEnd w:id="450"/>
      <w:bookmarkEnd w:id="451"/>
      <w:bookmarkEnd w:id="452"/>
      <w:bookmarkEnd w:id="453"/>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54" w:name="_Toc16163"/>
      <w:bookmarkStart w:id="455" w:name="_Toc13154"/>
      <w:bookmarkStart w:id="456" w:name="_Toc18990"/>
      <w:bookmarkStart w:id="457" w:name="_Toc30507"/>
      <w:bookmarkStart w:id="458" w:name="_Toc13467"/>
      <w:r>
        <w:rPr>
          <w:rFonts w:ascii="宋体" w:hAnsi="宋体"/>
          <w:b/>
          <w:color w:val="auto"/>
          <w:sz w:val="24"/>
          <w:highlight w:val="none"/>
        </w:rPr>
        <w:t>2.6 技术资料和保密义务</w:t>
      </w:r>
      <w:bookmarkEnd w:id="454"/>
      <w:bookmarkEnd w:id="455"/>
      <w:bookmarkEnd w:id="456"/>
      <w:bookmarkEnd w:id="457"/>
      <w:bookmarkEnd w:id="458"/>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59"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9"/>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0"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0"/>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61"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1"/>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2" w:name="_Toc10663"/>
      <w:bookmarkStart w:id="463" w:name="_Toc42"/>
      <w:bookmarkStart w:id="464" w:name="_Toc26689"/>
      <w:bookmarkStart w:id="465" w:name="_Toc21830"/>
      <w:bookmarkStart w:id="466" w:name="_Toc23368"/>
      <w:r>
        <w:rPr>
          <w:rFonts w:ascii="宋体" w:hAnsi="宋体"/>
          <w:b/>
          <w:color w:val="auto"/>
          <w:sz w:val="24"/>
          <w:highlight w:val="none"/>
        </w:rPr>
        <w:t>2.10 合同转让和分包</w:t>
      </w:r>
      <w:bookmarkEnd w:id="462"/>
      <w:bookmarkEnd w:id="463"/>
      <w:bookmarkEnd w:id="464"/>
      <w:bookmarkEnd w:id="465"/>
      <w:bookmarkEnd w:id="466"/>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67" w:name="_Toc26633"/>
      <w:bookmarkStart w:id="468" w:name="_Toc14371"/>
      <w:bookmarkStart w:id="469" w:name="_Toc25571"/>
      <w:bookmarkStart w:id="470" w:name="_Toc4720"/>
      <w:bookmarkStart w:id="471" w:name="_Toc32494"/>
      <w:r>
        <w:rPr>
          <w:rFonts w:ascii="宋体" w:hAnsi="宋体"/>
          <w:b/>
          <w:color w:val="auto"/>
          <w:sz w:val="24"/>
          <w:highlight w:val="none"/>
        </w:rPr>
        <w:t>2.11 不可抗力</w:t>
      </w:r>
      <w:bookmarkEnd w:id="467"/>
      <w:bookmarkEnd w:id="468"/>
      <w:bookmarkEnd w:id="469"/>
      <w:bookmarkEnd w:id="470"/>
      <w:bookmarkEnd w:id="471"/>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72" w:name="_Toc24465"/>
      <w:bookmarkStart w:id="473" w:name="_Toc25783"/>
      <w:bookmarkStart w:id="474" w:name="_Toc3638"/>
      <w:bookmarkStart w:id="475" w:name="_Toc14115"/>
      <w:bookmarkStart w:id="476" w:name="_Toc23854"/>
      <w:r>
        <w:rPr>
          <w:rFonts w:ascii="宋体" w:hAnsi="宋体"/>
          <w:b/>
          <w:color w:val="auto"/>
          <w:sz w:val="24"/>
          <w:highlight w:val="none"/>
        </w:rPr>
        <w:t>2.12 税费</w:t>
      </w:r>
      <w:bookmarkEnd w:id="472"/>
      <w:bookmarkEnd w:id="473"/>
      <w:bookmarkEnd w:id="474"/>
      <w:bookmarkEnd w:id="475"/>
      <w:bookmarkEnd w:id="476"/>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77" w:name="_Toc30105"/>
      <w:bookmarkStart w:id="478" w:name="_Toc25525"/>
      <w:bookmarkStart w:id="479" w:name="_Toc7315"/>
      <w:bookmarkStart w:id="480" w:name="_Toc26883"/>
      <w:bookmarkStart w:id="481" w:name="_Toc14814"/>
      <w:r>
        <w:rPr>
          <w:rFonts w:ascii="宋体" w:hAnsi="宋体"/>
          <w:b/>
          <w:color w:val="auto"/>
          <w:sz w:val="24"/>
          <w:highlight w:val="none"/>
        </w:rPr>
        <w:t>2.13 乙方破产</w:t>
      </w:r>
      <w:bookmarkEnd w:id="477"/>
      <w:bookmarkEnd w:id="478"/>
      <w:bookmarkEnd w:id="479"/>
      <w:bookmarkEnd w:id="480"/>
      <w:bookmarkEnd w:id="481"/>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2" w:name="_Toc1123"/>
      <w:bookmarkStart w:id="483" w:name="_Toc2016"/>
      <w:bookmarkStart w:id="484" w:name="_Toc23323"/>
      <w:r>
        <w:rPr>
          <w:rFonts w:ascii="宋体" w:hAnsi="宋体"/>
          <w:b/>
          <w:color w:val="auto"/>
          <w:sz w:val="24"/>
          <w:highlight w:val="none"/>
        </w:rPr>
        <w:t>2.14 合同中止、终止</w:t>
      </w:r>
      <w:bookmarkEnd w:id="482"/>
      <w:bookmarkEnd w:id="483"/>
      <w:bookmarkEnd w:id="484"/>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85" w:name="_Toc14525"/>
      <w:bookmarkStart w:id="486" w:name="_Toc17363"/>
      <w:bookmarkStart w:id="487" w:name="_Toc1969"/>
      <w:r>
        <w:rPr>
          <w:rFonts w:ascii="宋体" w:hAnsi="宋体"/>
          <w:b/>
          <w:color w:val="auto"/>
          <w:sz w:val="24"/>
          <w:highlight w:val="none"/>
        </w:rPr>
        <w:t>2.15 检验和验收</w:t>
      </w:r>
      <w:bookmarkEnd w:id="485"/>
      <w:bookmarkEnd w:id="486"/>
      <w:bookmarkEnd w:id="487"/>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88" w:name="_Toc25198"/>
      <w:bookmarkStart w:id="489" w:name="_Toc12666"/>
      <w:bookmarkStart w:id="490" w:name="_Toc2308"/>
      <w:bookmarkStart w:id="491" w:name="_Toc31892"/>
      <w:bookmarkStart w:id="492" w:name="_Toc9808"/>
      <w:r>
        <w:rPr>
          <w:rFonts w:ascii="宋体" w:hAnsi="宋体"/>
          <w:b/>
          <w:color w:val="auto"/>
          <w:sz w:val="24"/>
          <w:highlight w:val="none"/>
        </w:rPr>
        <w:t>2.16 通知和送达</w:t>
      </w:r>
      <w:bookmarkEnd w:id="488"/>
      <w:bookmarkEnd w:id="489"/>
      <w:bookmarkEnd w:id="490"/>
      <w:bookmarkEnd w:id="491"/>
      <w:bookmarkEnd w:id="492"/>
    </w:p>
    <w:p w14:paraId="2D57AD58">
      <w:pPr>
        <w:spacing w:line="560" w:lineRule="exact"/>
        <w:ind w:firstLine="480" w:firstLineChars="200"/>
        <w:rPr>
          <w:rFonts w:ascii="宋体" w:hAnsi="宋体"/>
          <w:color w:val="auto"/>
          <w:sz w:val="24"/>
          <w:highlight w:val="none"/>
        </w:rPr>
      </w:pPr>
      <w:bookmarkStart w:id="493" w:name="_Toc27674"/>
      <w:bookmarkStart w:id="494"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3"/>
      <w:bookmarkEnd w:id="494"/>
    </w:p>
    <w:p w14:paraId="79494EF1">
      <w:pPr>
        <w:spacing w:line="560" w:lineRule="exact"/>
        <w:ind w:firstLine="482" w:firstLineChars="200"/>
        <w:outlineLvl w:val="0"/>
        <w:rPr>
          <w:rFonts w:ascii="宋体" w:hAnsi="宋体"/>
          <w:b/>
          <w:color w:val="auto"/>
          <w:sz w:val="24"/>
          <w:highlight w:val="none"/>
        </w:rPr>
      </w:pPr>
      <w:bookmarkStart w:id="495" w:name="_Toc28906"/>
      <w:bookmarkStart w:id="496" w:name="_Toc5063"/>
      <w:bookmarkStart w:id="497" w:name="_Toc12254"/>
      <w:bookmarkStart w:id="498" w:name="_Toc27644"/>
      <w:bookmarkStart w:id="499" w:name="_Toc20808"/>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95"/>
      <w:bookmarkEnd w:id="496"/>
      <w:bookmarkEnd w:id="497"/>
      <w:bookmarkEnd w:id="498"/>
      <w:bookmarkEnd w:id="499"/>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0" w:name="_Toc4355"/>
      <w:bookmarkStart w:id="501" w:name="_Toc30599"/>
      <w:bookmarkStart w:id="502" w:name="_Toc18540"/>
      <w:r>
        <w:rPr>
          <w:rFonts w:hint="eastAsia" w:ascii="宋体" w:hAnsi="宋体" w:cs="宋体"/>
          <w:b/>
          <w:color w:val="auto"/>
          <w:sz w:val="24"/>
          <w:highlight w:val="none"/>
        </w:rPr>
        <w:t>2.18 计量单位</w:t>
      </w:r>
      <w:bookmarkEnd w:id="500"/>
      <w:bookmarkEnd w:id="501"/>
      <w:bookmarkEnd w:id="502"/>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3" w:name="_Toc331685784"/>
      <w:r>
        <w:rPr>
          <w:rFonts w:hint="eastAsia" w:ascii="宋体" w:hAnsi="宋体" w:cs="宋体"/>
          <w:b/>
          <w:color w:val="auto"/>
          <w:sz w:val="24"/>
          <w:highlight w:val="none"/>
        </w:rPr>
        <w:t xml:space="preserve"> </w:t>
      </w:r>
      <w:bookmarkEnd w:id="503"/>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r>
              <w:rPr>
                <w:rFonts w:hint="eastAsia" w:ascii="宋体" w:hAnsi="宋体"/>
                <w:color w:val="auto"/>
                <w:sz w:val="24"/>
                <w:szCs w:val="24"/>
                <w:highlight w:val="none"/>
              </w:rPr>
              <w:t>合同签订之日起7个工作日内，</w:t>
            </w:r>
            <w:r>
              <w:rPr>
                <w:rFonts w:hint="eastAsia" w:ascii="宋体" w:hAnsi="宋体"/>
                <w:color w:val="auto"/>
                <w:sz w:val="24"/>
                <w:szCs w:val="24"/>
                <w:highlight w:val="none"/>
                <w:lang w:val="en-US" w:eastAsia="zh-CN"/>
              </w:rPr>
              <w:t>甲方</w:t>
            </w:r>
            <w:r>
              <w:rPr>
                <w:rFonts w:hint="eastAsia" w:ascii="宋体" w:hAnsi="宋体"/>
                <w:color w:val="auto"/>
                <w:sz w:val="24"/>
                <w:szCs w:val="24"/>
                <w:highlight w:val="none"/>
              </w:rPr>
              <w:t>向</w:t>
            </w:r>
            <w:r>
              <w:rPr>
                <w:rFonts w:hint="eastAsia" w:ascii="宋体" w:hAnsi="宋体"/>
                <w:color w:val="auto"/>
                <w:sz w:val="24"/>
                <w:szCs w:val="24"/>
                <w:highlight w:val="none"/>
                <w:lang w:val="en-US" w:eastAsia="zh-CN"/>
              </w:rPr>
              <w:t>乙方</w:t>
            </w:r>
            <w:r>
              <w:rPr>
                <w:rFonts w:hint="eastAsia" w:ascii="宋体" w:hAnsi="宋体"/>
                <w:color w:val="auto"/>
                <w:sz w:val="24"/>
                <w:szCs w:val="24"/>
                <w:highlight w:val="none"/>
              </w:rPr>
              <w:t>支付合同金额的60%作为预付款</w:t>
            </w:r>
            <w:r>
              <w:rPr>
                <w:rFonts w:hint="eastAsia" w:ascii="宋体" w:hAnsi="宋体"/>
                <w:color w:val="auto"/>
                <w:sz w:val="24"/>
                <w:szCs w:val="24"/>
                <w:highlight w:val="none"/>
                <w:lang w:eastAsia="zh-CN"/>
              </w:rPr>
              <w:t>。</w:t>
            </w: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ind w:firstLine="480" w:firstLineChars="200"/>
              <w:rPr>
                <w:rFonts w:ascii="宋体" w:hAnsi="宋体" w:cs="宋体"/>
                <w:color w:val="auto"/>
                <w:sz w:val="24"/>
                <w:highlight w:val="none"/>
              </w:rPr>
            </w:pPr>
            <w:r>
              <w:rPr>
                <w:rFonts w:hint="eastAsia" w:ascii="宋体" w:hAnsi="宋体"/>
                <w:color w:val="auto"/>
                <w:sz w:val="24"/>
                <w:szCs w:val="24"/>
                <w:highlight w:val="none"/>
                <w:lang w:val="en-US" w:eastAsia="zh-CN"/>
              </w:rPr>
              <w:t>乙方按期全面履行合同义务，验收符合合同约定的，据实结算后甲方于十日内付清剩余的40%余款。</w:t>
            </w: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合同签订之日起至2025年12月20日内，按甲方的指令时间逐步完成符合合同约定的检定内容，并按甲方指令时间定期提供报告。</w:t>
            </w: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甲方指定的桐庐范围内</w:t>
            </w: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线下提供检定服务</w:t>
            </w: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hint="default" w:ascii="宋体" w:hAnsi="宋体" w:cs="宋体"/>
                <w:color w:val="auto"/>
                <w:sz w:val="24"/>
                <w:highlight w:val="none"/>
                <w:lang w:val="en-US"/>
              </w:rPr>
            </w:pPr>
            <w:r>
              <w:rPr>
                <w:rFonts w:hint="eastAsia" w:ascii="宋体" w:hAnsi="宋体" w:cs="宋体"/>
                <w:color w:val="auto"/>
                <w:sz w:val="24"/>
                <w:highlight w:val="none"/>
                <w:lang w:val="en-US" w:eastAsia="zh-CN"/>
              </w:rPr>
              <w:t xml:space="preserve">    /</w:t>
            </w: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11FA249A">
            <w:pPr>
              <w:numPr>
                <w:ilvl w:val="0"/>
                <w:numId w:val="0"/>
              </w:numPr>
              <w:spacing w:line="360" w:lineRule="auto"/>
              <w:ind w:firstLine="480" w:firstLineChars="200"/>
              <w:rPr>
                <w:rFonts w:hint="default" w:eastAsia="宋体"/>
                <w:color w:val="auto"/>
                <w:shd w:val="clear" w:color="auto" w:fill="auto"/>
                <w:lang w:val="en-US" w:eastAsia="zh-CN"/>
              </w:rPr>
            </w:pPr>
            <w:r>
              <w:rPr>
                <w:rFonts w:hint="eastAsia" w:ascii="宋体" w:hAnsi="宋体"/>
                <w:color w:val="auto"/>
                <w:sz w:val="24"/>
                <w:szCs w:val="24"/>
                <w:u w:val="none"/>
                <w:shd w:val="clear" w:color="auto" w:fill="auto"/>
                <w:lang w:val="en-US" w:eastAsia="zh-CN"/>
              </w:rPr>
              <w:t>乙方</w:t>
            </w:r>
            <w:r>
              <w:rPr>
                <w:rFonts w:hint="eastAsia" w:ascii="宋体" w:hAnsi="宋体"/>
                <w:color w:val="auto"/>
                <w:sz w:val="24"/>
                <w:szCs w:val="24"/>
                <w:u w:val="none"/>
                <w:shd w:val="clear" w:color="auto" w:fill="auto"/>
              </w:rPr>
              <w:t>检测</w:t>
            </w:r>
            <w:r>
              <w:rPr>
                <w:rFonts w:hint="eastAsia" w:ascii="宋体" w:hAnsi="宋体"/>
                <w:color w:val="auto"/>
                <w:sz w:val="24"/>
                <w:szCs w:val="24"/>
                <w:u w:val="none"/>
                <w:shd w:val="clear" w:color="auto" w:fill="auto"/>
                <w:lang w:val="en-US" w:eastAsia="zh-CN"/>
              </w:rPr>
              <w:t>不符合</w:t>
            </w:r>
            <w:r>
              <w:rPr>
                <w:rFonts w:hint="eastAsia"/>
                <w:color w:val="auto"/>
                <w:sz w:val="24"/>
                <w:szCs w:val="24"/>
                <w:highlight w:val="none"/>
                <w:shd w:val="clear" w:color="auto" w:fill="auto"/>
                <w:lang w:val="zh-CN"/>
              </w:rPr>
              <w:t>法律、法规、规章和技术规范的</w:t>
            </w:r>
            <w:r>
              <w:rPr>
                <w:rFonts w:hint="eastAsia" w:ascii="宋体" w:hAnsi="宋体"/>
                <w:color w:val="auto"/>
                <w:sz w:val="24"/>
                <w:szCs w:val="24"/>
                <w:u w:val="none"/>
                <w:shd w:val="clear" w:color="auto" w:fill="auto"/>
                <w:lang w:eastAsia="zh-CN"/>
              </w:rPr>
              <w:t>，</w:t>
            </w:r>
            <w:r>
              <w:rPr>
                <w:rFonts w:hint="eastAsia" w:ascii="宋体" w:hAnsi="宋体"/>
                <w:color w:val="auto"/>
                <w:sz w:val="24"/>
                <w:szCs w:val="24"/>
                <w:u w:val="none"/>
                <w:shd w:val="clear" w:color="auto" w:fill="auto"/>
                <w:lang w:val="en-US" w:eastAsia="zh-CN"/>
              </w:rPr>
              <w:t>造成甲方或第三人损失的</w:t>
            </w:r>
            <w:r>
              <w:rPr>
                <w:rFonts w:hint="eastAsia" w:ascii="宋体" w:hAnsi="宋体"/>
                <w:color w:val="auto"/>
                <w:sz w:val="24"/>
                <w:szCs w:val="24"/>
                <w:u w:val="none"/>
                <w:shd w:val="clear" w:color="auto" w:fill="auto"/>
              </w:rPr>
              <w:t>，</w:t>
            </w:r>
            <w:r>
              <w:rPr>
                <w:rFonts w:hint="eastAsia" w:ascii="宋体" w:hAnsi="宋体"/>
                <w:color w:val="auto"/>
                <w:sz w:val="24"/>
                <w:szCs w:val="24"/>
                <w:u w:val="none"/>
                <w:shd w:val="clear" w:color="auto" w:fill="auto"/>
                <w:lang w:val="en-US" w:eastAsia="zh-CN"/>
              </w:rPr>
              <w:t>由乙方负责承担赔偿责任，如甲方先行对外赔偿的，甲方有权向乙方追偿。</w:t>
            </w: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hint="default" w:ascii="宋体" w:hAnsi="宋体" w:eastAsia="宋体" w:cs="宋体"/>
                <w:color w:val="auto"/>
                <w:sz w:val="24"/>
                <w:highlight w:val="none"/>
                <w:lang w:val="en-US" w:eastAsia="zh-CN"/>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乙方履行本合同产生的技术成果归属甲方；甲方利用技术成果产生的收益归属甲方。</w:t>
            </w: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不可抗力发生后的20日内。</w:t>
            </w: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一方应在三日内以书面形式通知，并应在七日内将取得的证明文件送达对方。</w:t>
            </w: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以“</w:t>
            </w:r>
            <w:r>
              <w:rPr>
                <w:rFonts w:hint="eastAsia" w:ascii="宋体" w:hAnsi="宋体" w:cs="宋体"/>
                <w:color w:val="auto"/>
                <w:sz w:val="24"/>
                <w:highlight w:val="none"/>
              </w:rPr>
              <w:t>1.7.1</w:t>
            </w:r>
            <w:r>
              <w:rPr>
                <w:rFonts w:hint="eastAsia" w:ascii="宋体" w:hAnsi="宋体" w:cs="宋体"/>
                <w:color w:val="auto"/>
                <w:sz w:val="24"/>
                <w:highlight w:val="none"/>
                <w:lang w:val="en-US" w:eastAsia="zh-CN"/>
              </w:rPr>
              <w:t>”条款约定为准。</w:t>
            </w: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在服务期内，乙方完成相关数量的检定，以书面形式通知甲方验收，并将完成的相关数量的检定服务报告同时提交甲方，甲方在收到验收通知和书面报告后合理时间进行验收，乙方到场，甲方验收发现乙方履行义务不符合约定的，乙方应在甲方指令的时间内进行整改。</w:t>
            </w: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合同一式叁份，甲方双方各执一份，代理执一份。</w:t>
            </w:r>
          </w:p>
        </w:tc>
      </w:tr>
    </w:tbl>
    <w:p w14:paraId="408D6C86">
      <w:pPr>
        <w:spacing w:line="360" w:lineRule="auto"/>
        <w:ind w:left="-420" w:leftChars="-200" w:right="-420" w:rightChars="-200" w:firstLine="480" w:firstLineChars="200"/>
        <w:rPr>
          <w:rFonts w:ascii="宋体" w:hAnsi="宋体" w:cs="宋体"/>
          <w:color w:val="auto"/>
          <w:sz w:val="24"/>
          <w:highlight w:val="none"/>
        </w:rPr>
      </w:pPr>
    </w:p>
    <w:p w14:paraId="265D86DB">
      <w:pPr>
        <w:bidi w:val="0"/>
      </w:pPr>
    </w:p>
    <w:p w14:paraId="1C9D7740">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458760F">
      <w:pPr>
        <w:bidi w:val="0"/>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bidi w:val="0"/>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bidi w:val="0"/>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4" w:name="_Hlk101257010"/>
      <w:r>
        <w:rPr>
          <w:rFonts w:hint="eastAsia" w:ascii="宋体" w:hAnsi="宋体" w:cs="宋体"/>
          <w:color w:val="auto"/>
          <w:sz w:val="24"/>
          <w:highlight w:val="none"/>
        </w:rPr>
        <w:t>（如果有)</w:t>
      </w:r>
      <w:bookmarkEnd w:id="504"/>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057A4F9E">
      <w:pPr>
        <w:pStyle w:val="4"/>
        <w:rPr>
          <w:rFonts w:ascii="宋体" w:hAnsi="宋体" w:cs="宋体"/>
          <w:b/>
          <w:color w:val="auto"/>
          <w:kern w:val="0"/>
          <w:sz w:val="32"/>
          <w:szCs w:val="32"/>
          <w:highlight w:val="none"/>
        </w:rPr>
      </w:pPr>
    </w:p>
    <w:p w14:paraId="348C2F20">
      <w:pPr>
        <w:rPr>
          <w:rFonts w:ascii="宋体" w:hAnsi="宋体" w:cs="宋体"/>
          <w:b/>
          <w:color w:val="auto"/>
          <w:kern w:val="0"/>
          <w:sz w:val="32"/>
          <w:szCs w:val="32"/>
          <w:highlight w:val="none"/>
        </w:rPr>
      </w:pPr>
    </w:p>
    <w:p w14:paraId="04368277">
      <w:pPr>
        <w:pStyle w:val="4"/>
        <w:rPr>
          <w:rFonts w:ascii="宋体" w:hAnsi="宋体" w:cs="宋体"/>
          <w:b/>
          <w:color w:val="auto"/>
          <w:kern w:val="0"/>
          <w:sz w:val="32"/>
          <w:szCs w:val="32"/>
          <w:highlight w:val="none"/>
        </w:rPr>
      </w:pPr>
    </w:p>
    <w:p w14:paraId="700286CC">
      <w:pPr>
        <w:rPr>
          <w:rFonts w:ascii="宋体" w:hAnsi="宋体" w:cs="宋体"/>
          <w:b/>
          <w:color w:val="auto"/>
          <w:kern w:val="0"/>
          <w:sz w:val="32"/>
          <w:szCs w:val="32"/>
          <w:highlight w:val="none"/>
        </w:rPr>
      </w:pPr>
    </w:p>
    <w:p w14:paraId="6F55142A">
      <w:pPr>
        <w:pStyle w:val="4"/>
        <w:rPr>
          <w:rFonts w:ascii="宋体" w:hAnsi="宋体" w:cs="宋体"/>
          <w:b/>
          <w:color w:val="auto"/>
          <w:kern w:val="0"/>
          <w:sz w:val="32"/>
          <w:szCs w:val="32"/>
          <w:highlight w:val="none"/>
        </w:rPr>
      </w:pPr>
    </w:p>
    <w:p w14:paraId="6D75E822">
      <w:pPr>
        <w:rPr>
          <w:rFonts w:ascii="宋体" w:hAnsi="宋体" w:cs="宋体"/>
          <w:b/>
          <w:color w:val="auto"/>
          <w:kern w:val="0"/>
          <w:sz w:val="32"/>
          <w:szCs w:val="32"/>
          <w:highlight w:val="none"/>
        </w:rPr>
      </w:pPr>
    </w:p>
    <w:p w14:paraId="2D4B726E">
      <w:pPr>
        <w:pStyle w:val="4"/>
        <w:rPr>
          <w:rFonts w:ascii="宋体" w:hAnsi="宋体" w:cs="宋体"/>
          <w:b/>
          <w:color w:val="auto"/>
          <w:kern w:val="0"/>
          <w:sz w:val="32"/>
          <w:szCs w:val="32"/>
          <w:highlight w:val="none"/>
        </w:rPr>
      </w:pPr>
    </w:p>
    <w:p w14:paraId="15B78FDC">
      <w:pPr>
        <w:rPr>
          <w:rFonts w:ascii="宋体" w:hAnsi="宋体" w:cs="宋体"/>
          <w:b/>
          <w:color w:val="auto"/>
          <w:kern w:val="0"/>
          <w:sz w:val="32"/>
          <w:szCs w:val="32"/>
          <w:highlight w:val="none"/>
        </w:rPr>
      </w:pPr>
    </w:p>
    <w:p w14:paraId="67AF1CB0">
      <w:pPr>
        <w:pStyle w:val="4"/>
        <w:rPr>
          <w:rFonts w:ascii="宋体" w:hAnsi="宋体" w:cs="宋体"/>
          <w:b/>
          <w:color w:val="auto"/>
          <w:kern w:val="0"/>
          <w:sz w:val="32"/>
          <w:szCs w:val="32"/>
          <w:highlight w:val="none"/>
        </w:rPr>
      </w:pPr>
    </w:p>
    <w:p w14:paraId="5952CB66">
      <w:pPr>
        <w:rPr>
          <w:rFonts w:ascii="宋体" w:hAnsi="宋体" w:cs="宋体"/>
          <w:b/>
          <w:color w:val="auto"/>
          <w:kern w:val="0"/>
          <w:sz w:val="32"/>
          <w:szCs w:val="32"/>
          <w:highlight w:val="none"/>
        </w:rPr>
      </w:pPr>
    </w:p>
    <w:p w14:paraId="4CFC674A">
      <w:pPr>
        <w:pStyle w:val="4"/>
      </w:pPr>
    </w:p>
    <w:p w14:paraId="742E3BA8">
      <w:pPr>
        <w:bidi w:val="0"/>
      </w:pPr>
    </w:p>
    <w:p w14:paraId="2AFDD200">
      <w:pPr>
        <w:bidi w:val="0"/>
      </w:pPr>
    </w:p>
    <w:p w14:paraId="2D183AA5">
      <w:pPr>
        <w:bidi w:val="0"/>
      </w:pPr>
    </w:p>
    <w:p w14:paraId="5D8BB10A">
      <w:pPr>
        <w:bidi w:val="0"/>
      </w:pPr>
    </w:p>
    <w:p w14:paraId="78197527">
      <w:pPr>
        <w:bidi w:val="0"/>
      </w:pPr>
    </w:p>
    <w:p w14:paraId="7CBF5A00">
      <w:pPr>
        <w:bidi w:val="0"/>
      </w:pPr>
    </w:p>
    <w:p w14:paraId="2221EB27">
      <w:pPr>
        <w:bidi w:val="0"/>
      </w:pPr>
    </w:p>
    <w:p w14:paraId="4C1F8EAB">
      <w:pPr>
        <w:bidi w:val="0"/>
      </w:pPr>
    </w:p>
    <w:p w14:paraId="1D30A3E4">
      <w:pPr>
        <w:bidi w:val="0"/>
      </w:pPr>
    </w:p>
    <w:p w14:paraId="1CD0E6AD">
      <w:pPr>
        <w:bidi w:val="0"/>
      </w:pPr>
    </w:p>
    <w:p w14:paraId="4435A295">
      <w:pPr>
        <w:bidi w:val="0"/>
      </w:pPr>
    </w:p>
    <w:p w14:paraId="09EA2B9B">
      <w:pPr>
        <w:bidi w:val="0"/>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29E0338F">
      <w:pPr>
        <w:pStyle w:val="2"/>
        <w:rPr>
          <w:rFonts w:ascii="宋体" w:hAnsi="宋体" w:cs="宋体"/>
          <w:b/>
          <w:color w:val="auto"/>
          <w:kern w:val="0"/>
          <w:sz w:val="32"/>
          <w:szCs w:val="32"/>
          <w:highlight w:val="none"/>
          <w:lang w:val="zh-CN"/>
        </w:rPr>
      </w:pPr>
    </w:p>
    <w:p w14:paraId="7C5E55FE">
      <w:pPr>
        <w:rPr>
          <w:rFonts w:ascii="宋体" w:hAnsi="宋体" w:cs="宋体"/>
          <w:b/>
          <w:color w:val="auto"/>
          <w:kern w:val="0"/>
          <w:sz w:val="32"/>
          <w:szCs w:val="32"/>
          <w:highlight w:val="none"/>
          <w:lang w:val="zh-CN"/>
        </w:rPr>
      </w:pPr>
    </w:p>
    <w:p w14:paraId="5E90C6C6">
      <w:pPr>
        <w:pStyle w:val="2"/>
        <w:rPr>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43CA8C57">
      <w:pPr>
        <w:jc w:val="center"/>
        <w:rPr>
          <w:rFonts w:hint="eastAsia" w:ascii="宋体" w:hAnsi="宋体" w:cs="宋体"/>
          <w:b/>
          <w:color w:val="auto"/>
          <w:kern w:val="0"/>
          <w:sz w:val="32"/>
          <w:szCs w:val="32"/>
          <w:highlight w:val="none"/>
        </w:rPr>
      </w:pPr>
    </w:p>
    <w:p w14:paraId="2420D881">
      <w:pPr>
        <w:jc w:val="center"/>
        <w:rPr>
          <w:rFonts w:hint="eastAsia"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bidi w:val="0"/>
      </w:pPr>
    </w:p>
    <w:p w14:paraId="48200F11">
      <w:pPr>
        <w:numPr>
          <w:ilvl w:val="0"/>
          <w:numId w:val="3"/>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4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2"/>
        <w:gridCol w:w="1965"/>
        <w:gridCol w:w="1835"/>
        <w:gridCol w:w="1888"/>
        <w:gridCol w:w="1621"/>
        <w:gridCol w:w="1901"/>
        <w:gridCol w:w="2143"/>
        <w:gridCol w:w="2277"/>
      </w:tblGrid>
      <w:tr w14:paraId="7C56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1E565229">
            <w:pPr>
              <w:spacing w:line="440" w:lineRule="exact"/>
              <w:jc w:val="center"/>
              <w:rPr>
                <w:rFonts w:hint="default" w:ascii="宋体" w:hAnsi="宋体" w:eastAsia="宋体" w:cs="宋体"/>
                <w:b/>
                <w:sz w:val="24"/>
                <w:lang w:val="en-US" w:eastAsia="zh-CN"/>
              </w:rPr>
            </w:pPr>
            <w:r>
              <w:rPr>
                <w:rFonts w:hint="eastAsia" w:ascii="宋体" w:hAnsi="宋体" w:cs="宋体"/>
                <w:b/>
                <w:sz w:val="24"/>
                <w:lang w:val="en-US" w:eastAsia="zh-CN"/>
              </w:rPr>
              <w:t>标段</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00C00EA6">
            <w:pPr>
              <w:spacing w:line="440" w:lineRule="exact"/>
              <w:jc w:val="center"/>
              <w:rPr>
                <w:rFonts w:hint="default" w:eastAsia="宋体"/>
                <w:b/>
                <w:lang w:val="en-US" w:eastAsia="zh-CN"/>
              </w:rPr>
            </w:pPr>
            <w:r>
              <w:rPr>
                <w:rFonts w:hint="eastAsia" w:ascii="宋体" w:hAnsi="宋体" w:cs="宋体"/>
                <w:b/>
                <w:sz w:val="24"/>
              </w:rPr>
              <w:t>名称</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69A90438">
            <w:pPr>
              <w:spacing w:line="440" w:lineRule="exact"/>
              <w:jc w:val="center"/>
              <w:rPr>
                <w:rFonts w:hint="eastAsia" w:ascii="宋体" w:hAnsi="宋体" w:cs="宋体"/>
                <w:b/>
                <w:sz w:val="24"/>
                <w:lang w:val="en-US" w:eastAsia="zh-CN"/>
              </w:rPr>
            </w:pPr>
            <w:r>
              <w:rPr>
                <w:rFonts w:hint="eastAsia" w:ascii="宋体" w:hAnsi="宋体" w:cs="宋体"/>
                <w:b/>
                <w:sz w:val="24"/>
                <w:lang w:val="en-US" w:eastAsia="zh-CN"/>
              </w:rPr>
              <w:t>服务范围</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5D1FA171">
            <w:pPr>
              <w:spacing w:line="440" w:lineRule="exact"/>
              <w:jc w:val="center"/>
              <w:rPr>
                <w:rFonts w:hint="eastAsia" w:ascii="宋体" w:hAnsi="宋体" w:cs="宋体"/>
                <w:b/>
                <w:sz w:val="24"/>
                <w:lang w:val="en-US" w:eastAsia="zh-CN"/>
              </w:rPr>
            </w:pPr>
            <w:r>
              <w:rPr>
                <w:rFonts w:hint="eastAsia" w:ascii="宋体" w:hAnsi="宋体" w:cs="宋体"/>
                <w:b/>
                <w:sz w:val="24"/>
                <w:lang w:val="en-US" w:eastAsia="zh-CN"/>
              </w:rPr>
              <w:t>服务要求</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0E76CC8D">
            <w:pPr>
              <w:spacing w:line="440" w:lineRule="exact"/>
              <w:jc w:val="center"/>
              <w:rPr>
                <w:rFonts w:hint="eastAsia" w:ascii="宋体" w:hAnsi="宋体" w:cs="宋体"/>
                <w:b/>
                <w:sz w:val="24"/>
                <w:lang w:val="en-US" w:eastAsia="zh-CN"/>
              </w:rPr>
            </w:pPr>
            <w:r>
              <w:rPr>
                <w:rFonts w:hint="eastAsia" w:ascii="宋体" w:hAnsi="宋体" w:cs="宋体"/>
                <w:b/>
                <w:sz w:val="24"/>
                <w:lang w:val="en-US" w:eastAsia="zh-CN"/>
              </w:rPr>
              <w:t>服务时间</w:t>
            </w:r>
          </w:p>
        </w:tc>
        <w:tc>
          <w:tcPr>
            <w:tcW w:w="1901" w:type="dxa"/>
            <w:tcBorders>
              <w:top w:val="single" w:color="auto" w:sz="4" w:space="0"/>
              <w:left w:val="single" w:color="auto" w:sz="4" w:space="0"/>
              <w:bottom w:val="single" w:color="auto" w:sz="4" w:space="0"/>
              <w:right w:val="single" w:color="auto" w:sz="4" w:space="0"/>
            </w:tcBorders>
            <w:noWrap w:val="0"/>
            <w:vAlign w:val="center"/>
          </w:tcPr>
          <w:p w14:paraId="057B951B">
            <w:pPr>
              <w:spacing w:line="440" w:lineRule="exact"/>
              <w:jc w:val="center"/>
              <w:rPr>
                <w:rFonts w:hint="eastAsia" w:ascii="宋体" w:hAnsi="宋体" w:cs="宋体"/>
                <w:b/>
                <w:sz w:val="24"/>
              </w:rPr>
            </w:pPr>
            <w:r>
              <w:rPr>
                <w:rFonts w:hint="eastAsia" w:ascii="宋体" w:hAnsi="宋体" w:cs="宋体"/>
                <w:b/>
                <w:sz w:val="24"/>
              </w:rPr>
              <w:t>最高限价</w:t>
            </w:r>
            <w:r>
              <w:rPr>
                <w:rFonts w:hint="eastAsia" w:ascii="宋体" w:hAnsi="宋体" w:cs="宋体"/>
                <w:b/>
                <w:sz w:val="24"/>
              </w:rPr>
              <w:br w:type="textWrapping"/>
            </w:r>
            <w:r>
              <w:rPr>
                <w:rFonts w:hint="eastAsia" w:ascii="宋体" w:hAnsi="宋体" w:cs="宋体"/>
                <w:b/>
                <w:sz w:val="24"/>
              </w:rPr>
              <w:t>（单价最高限价）</w:t>
            </w:r>
          </w:p>
        </w:tc>
        <w:tc>
          <w:tcPr>
            <w:tcW w:w="2143" w:type="dxa"/>
            <w:tcBorders>
              <w:top w:val="single" w:color="auto" w:sz="4" w:space="0"/>
              <w:left w:val="single" w:color="auto" w:sz="4" w:space="0"/>
              <w:bottom w:val="single" w:color="auto" w:sz="4" w:space="0"/>
              <w:right w:val="single" w:color="auto" w:sz="4" w:space="0"/>
            </w:tcBorders>
            <w:noWrap w:val="0"/>
            <w:vAlign w:val="center"/>
          </w:tcPr>
          <w:p w14:paraId="7CF80705">
            <w:pPr>
              <w:spacing w:line="360" w:lineRule="auto"/>
              <w:jc w:val="center"/>
              <w:rPr>
                <w:rFonts w:hint="default"/>
                <w:lang w:val="en-US" w:eastAsia="zh-CN"/>
              </w:rPr>
            </w:pPr>
            <w:r>
              <w:rPr>
                <w:rFonts w:hint="eastAsia" w:ascii="宋体" w:hAnsi="宋体" w:cs="宋体"/>
                <w:b/>
                <w:sz w:val="24"/>
              </w:rPr>
              <w:t>投标</w:t>
            </w:r>
            <w:r>
              <w:rPr>
                <w:rFonts w:hint="eastAsia" w:ascii="宋体" w:hAnsi="宋体" w:cs="宋体"/>
                <w:b/>
                <w:sz w:val="24"/>
                <w:lang w:val="en-US" w:eastAsia="zh-CN"/>
              </w:rPr>
              <w:t>单价</w:t>
            </w:r>
            <w:r>
              <w:rPr>
                <w:rFonts w:hint="eastAsia" w:ascii="宋体" w:hAnsi="宋体" w:cs="宋体"/>
                <w:b/>
                <w:sz w:val="24"/>
              </w:rPr>
              <w:t>（小写）</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056816AA">
            <w:pPr>
              <w:spacing w:line="360" w:lineRule="auto"/>
              <w:jc w:val="center"/>
              <w:rPr>
                <w:rFonts w:hint="eastAsia" w:ascii="宋体" w:hAnsi="宋体" w:cs="宋体"/>
                <w:b/>
                <w:sz w:val="24"/>
              </w:rPr>
            </w:pPr>
            <w:r>
              <w:rPr>
                <w:rFonts w:hint="eastAsia" w:ascii="宋体" w:hAnsi="宋体" w:cs="宋体"/>
                <w:b/>
                <w:sz w:val="24"/>
              </w:rPr>
              <w:t>投标</w:t>
            </w:r>
            <w:r>
              <w:rPr>
                <w:rFonts w:hint="eastAsia" w:ascii="宋体" w:hAnsi="宋体" w:cs="宋体"/>
                <w:b/>
                <w:sz w:val="24"/>
                <w:lang w:val="en-US" w:eastAsia="zh-CN"/>
              </w:rPr>
              <w:t>单价</w:t>
            </w:r>
            <w:r>
              <w:rPr>
                <w:rFonts w:hint="eastAsia" w:ascii="宋体" w:hAnsi="宋体" w:cs="宋体"/>
                <w:b/>
                <w:sz w:val="24"/>
              </w:rPr>
              <w:t>（</w:t>
            </w:r>
            <w:r>
              <w:rPr>
                <w:rFonts w:hint="eastAsia" w:ascii="宋体" w:hAnsi="宋体" w:cs="宋体"/>
                <w:b/>
                <w:sz w:val="24"/>
                <w:lang w:val="en-US" w:eastAsia="zh-CN"/>
              </w:rPr>
              <w:t>大</w:t>
            </w:r>
            <w:r>
              <w:rPr>
                <w:rFonts w:hint="eastAsia" w:ascii="宋体" w:hAnsi="宋体" w:cs="宋体"/>
                <w:b/>
                <w:sz w:val="24"/>
              </w:rPr>
              <w:t>写）</w:t>
            </w:r>
          </w:p>
        </w:tc>
      </w:tr>
      <w:tr w14:paraId="072D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1D331A13">
            <w:pPr>
              <w:spacing w:line="440" w:lineRule="exact"/>
              <w:jc w:val="center"/>
              <w:rPr>
                <w:rFonts w:hint="eastAsia" w:eastAsia="宋体"/>
                <w:lang w:val="en-US" w:eastAsia="zh-CN"/>
              </w:rPr>
            </w:pPr>
            <w:r>
              <w:rPr>
                <w:rFonts w:hint="eastAsia"/>
                <w:lang w:val="en-US" w:eastAsia="zh-CN"/>
              </w:rPr>
              <w:t>1</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2120E82C">
            <w:pPr>
              <w:spacing w:line="440" w:lineRule="exact"/>
              <w:jc w:val="center"/>
              <w:rPr>
                <w:rFonts w:hint="eastAsia"/>
              </w:rPr>
            </w:pPr>
            <w:r>
              <w:rPr>
                <w:rFonts w:hint="eastAsia"/>
              </w:rPr>
              <w:t>电动汽车充电桩检定</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1F9F64BB">
            <w:pPr>
              <w:widowControl/>
              <w:jc w:val="center"/>
              <w:rPr>
                <w:rFonts w:hint="eastAsia"/>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14:paraId="6D04A0E5">
            <w:pPr>
              <w:widowControl/>
              <w:jc w:val="center"/>
              <w:rPr>
                <w:rFonts w:hint="eastAsia"/>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14:paraId="2E2C3BBC">
            <w:pPr>
              <w:widowControl/>
              <w:jc w:val="center"/>
              <w:rPr>
                <w:rFonts w:hint="eastAsia"/>
              </w:rPr>
            </w:pPr>
          </w:p>
        </w:tc>
        <w:tc>
          <w:tcPr>
            <w:tcW w:w="1901" w:type="dxa"/>
            <w:tcBorders>
              <w:top w:val="single" w:color="auto" w:sz="4" w:space="0"/>
              <w:left w:val="single" w:color="auto" w:sz="4" w:space="0"/>
              <w:bottom w:val="single" w:color="auto" w:sz="4" w:space="0"/>
              <w:right w:val="single" w:color="auto" w:sz="4" w:space="0"/>
            </w:tcBorders>
            <w:noWrap w:val="0"/>
            <w:vAlign w:val="center"/>
          </w:tcPr>
          <w:p w14:paraId="1F9D11D4">
            <w:pPr>
              <w:widowControl/>
              <w:jc w:val="center"/>
              <w:rPr>
                <w:rFonts w:hint="eastAsia" w:ascii="仿宋" w:hAnsi="仿宋"/>
              </w:rPr>
            </w:pPr>
            <w:r>
              <w:rPr>
                <w:rFonts w:hint="eastAsia"/>
              </w:rPr>
              <w:t>单枪最高限价为</w:t>
            </w:r>
            <w:r>
              <w:rPr>
                <w:rFonts w:hint="eastAsia"/>
                <w:lang w:val="en-US" w:eastAsia="zh-CN"/>
              </w:rPr>
              <w:t>500</w:t>
            </w:r>
            <w:r>
              <w:rPr>
                <w:rFonts w:hint="eastAsia"/>
              </w:rPr>
              <w:t>元/枪</w:t>
            </w:r>
          </w:p>
        </w:tc>
        <w:tc>
          <w:tcPr>
            <w:tcW w:w="21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CC3F50">
            <w:pPr>
              <w:pStyle w:val="58"/>
              <w:spacing w:before="0" w:beforeAutospacing="0" w:after="0" w:afterAutospacing="0" w:line="440" w:lineRule="exact"/>
              <w:jc w:val="center"/>
              <w:rPr>
                <w:rFonts w:hint="eastAsia" w:ascii="仿宋" w:hAnsi="仿宋" w:eastAsia="宋体" w:cs="Times New Roman"/>
                <w:kern w:val="0"/>
                <w:sz w:val="24"/>
                <w:szCs w:val="24"/>
                <w:u w:val="single"/>
                <w:lang w:val="en-US" w:eastAsia="zh-CN" w:bidi="ar-SA"/>
              </w:rPr>
            </w:pPr>
            <w:r>
              <w:rPr>
                <w:rFonts w:hint="eastAsia" w:ascii="仿宋" w:hAnsi="仿宋"/>
                <w:u w:val="single"/>
              </w:rPr>
              <w:t xml:space="preserve">          </w:t>
            </w:r>
            <w:r>
              <w:rPr>
                <w:rFonts w:hint="eastAsia" w:ascii="仿宋" w:hAnsi="仿宋"/>
              </w:rPr>
              <w:t>元/枪</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445255D4">
            <w:pPr>
              <w:pStyle w:val="58"/>
              <w:spacing w:before="0" w:beforeAutospacing="0" w:after="0" w:afterAutospacing="0" w:line="440" w:lineRule="exact"/>
              <w:jc w:val="center"/>
              <w:rPr>
                <w:rFonts w:hint="eastAsia" w:ascii="仿宋" w:hAnsi="仿宋"/>
                <w:u w:val="single"/>
              </w:rPr>
            </w:pPr>
            <w:r>
              <w:rPr>
                <w:rFonts w:hint="eastAsia" w:ascii="仿宋" w:hAnsi="仿宋"/>
                <w:u w:val="single"/>
              </w:rPr>
              <w:t xml:space="preserve">          </w:t>
            </w:r>
            <w:r>
              <w:rPr>
                <w:rFonts w:hint="eastAsia" w:ascii="仿宋" w:hAnsi="仿宋"/>
              </w:rPr>
              <w:t>元/枪</w:t>
            </w:r>
          </w:p>
        </w:tc>
      </w:tr>
    </w:tbl>
    <w:p w14:paraId="6AE0E807"/>
    <w:tbl>
      <w:tblPr>
        <w:tblStyle w:val="62"/>
        <w:tblW w:w="14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2"/>
        <w:gridCol w:w="1965"/>
        <w:gridCol w:w="1835"/>
        <w:gridCol w:w="1888"/>
        <w:gridCol w:w="1621"/>
        <w:gridCol w:w="1901"/>
        <w:gridCol w:w="2143"/>
        <w:gridCol w:w="2277"/>
      </w:tblGrid>
      <w:tr w14:paraId="370A0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8"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0CD135DE">
            <w:pPr>
              <w:spacing w:line="440" w:lineRule="exact"/>
              <w:jc w:val="center"/>
              <w:rPr>
                <w:rFonts w:hint="eastAsia"/>
                <w:lang w:val="en-US" w:eastAsia="zh-CN"/>
              </w:rPr>
            </w:pPr>
            <w:r>
              <w:rPr>
                <w:rFonts w:hint="eastAsia" w:ascii="宋体" w:hAnsi="宋体" w:cs="宋体"/>
                <w:b/>
                <w:sz w:val="24"/>
                <w:lang w:val="en-US" w:eastAsia="zh-CN"/>
              </w:rPr>
              <w:t>标段</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253FCA59">
            <w:pPr>
              <w:spacing w:line="440" w:lineRule="exact"/>
              <w:jc w:val="center"/>
              <w:rPr>
                <w:rFonts w:hint="eastAsia"/>
              </w:rPr>
            </w:pPr>
            <w:r>
              <w:rPr>
                <w:rFonts w:hint="eastAsia" w:ascii="宋体" w:hAnsi="宋体" w:cs="宋体"/>
                <w:b/>
                <w:sz w:val="24"/>
              </w:rPr>
              <w:t>名称</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24EF63B4">
            <w:pPr>
              <w:spacing w:line="440" w:lineRule="exact"/>
              <w:jc w:val="center"/>
              <w:rPr>
                <w:rFonts w:hint="eastAsia"/>
              </w:rPr>
            </w:pPr>
            <w:r>
              <w:rPr>
                <w:rFonts w:hint="eastAsia" w:ascii="宋体" w:hAnsi="宋体" w:cs="宋体"/>
                <w:b/>
                <w:sz w:val="24"/>
                <w:lang w:val="en-US" w:eastAsia="zh-CN"/>
              </w:rPr>
              <w:t>服务范围</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01D1A970">
            <w:pPr>
              <w:spacing w:line="440" w:lineRule="exact"/>
              <w:jc w:val="center"/>
              <w:rPr>
                <w:rFonts w:hint="eastAsia"/>
              </w:rPr>
            </w:pPr>
            <w:r>
              <w:rPr>
                <w:rFonts w:hint="eastAsia" w:ascii="宋体" w:hAnsi="宋体" w:cs="宋体"/>
                <w:b/>
                <w:sz w:val="24"/>
                <w:lang w:val="en-US" w:eastAsia="zh-CN"/>
              </w:rPr>
              <w:t>服务要求</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3991C6F2">
            <w:pPr>
              <w:spacing w:line="440" w:lineRule="exact"/>
              <w:jc w:val="center"/>
              <w:rPr>
                <w:rFonts w:hint="eastAsia"/>
              </w:rPr>
            </w:pPr>
            <w:r>
              <w:rPr>
                <w:rFonts w:hint="eastAsia" w:ascii="宋体" w:hAnsi="宋体" w:cs="宋体"/>
                <w:b/>
                <w:sz w:val="24"/>
                <w:lang w:val="en-US" w:eastAsia="zh-CN"/>
              </w:rPr>
              <w:t>服务时间</w:t>
            </w:r>
          </w:p>
        </w:tc>
        <w:tc>
          <w:tcPr>
            <w:tcW w:w="1901" w:type="dxa"/>
            <w:tcBorders>
              <w:top w:val="single" w:color="auto" w:sz="4" w:space="0"/>
              <w:left w:val="single" w:color="auto" w:sz="4" w:space="0"/>
              <w:bottom w:val="single" w:color="auto" w:sz="4" w:space="0"/>
              <w:right w:val="single" w:color="auto" w:sz="4" w:space="0"/>
            </w:tcBorders>
            <w:noWrap w:val="0"/>
            <w:vAlign w:val="center"/>
          </w:tcPr>
          <w:p w14:paraId="51B51473">
            <w:pPr>
              <w:spacing w:line="440" w:lineRule="exact"/>
              <w:jc w:val="center"/>
              <w:rPr>
                <w:rFonts w:hint="eastAsia"/>
              </w:rPr>
            </w:pPr>
            <w:r>
              <w:rPr>
                <w:rFonts w:hint="eastAsia" w:ascii="宋体" w:hAnsi="宋体" w:cs="宋体"/>
                <w:b/>
                <w:sz w:val="24"/>
              </w:rPr>
              <w:t>最高限价</w:t>
            </w:r>
            <w:r>
              <w:rPr>
                <w:rFonts w:hint="eastAsia" w:ascii="宋体" w:hAnsi="宋体" w:cs="宋体"/>
                <w:b/>
                <w:sz w:val="24"/>
              </w:rPr>
              <w:br w:type="textWrapping"/>
            </w:r>
            <w:r>
              <w:rPr>
                <w:rFonts w:hint="eastAsia" w:ascii="宋体" w:hAnsi="宋体" w:cs="宋体"/>
                <w:b/>
                <w:sz w:val="24"/>
              </w:rPr>
              <w:t>（单价最高限价）</w:t>
            </w:r>
          </w:p>
        </w:tc>
        <w:tc>
          <w:tcPr>
            <w:tcW w:w="21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855FE5">
            <w:pPr>
              <w:spacing w:line="360" w:lineRule="auto"/>
              <w:jc w:val="center"/>
              <w:rPr>
                <w:rFonts w:hint="eastAsia" w:ascii="仿宋" w:hAnsi="仿宋"/>
                <w:u w:val="single"/>
              </w:rPr>
            </w:pPr>
            <w:r>
              <w:rPr>
                <w:rFonts w:hint="eastAsia" w:ascii="宋体" w:hAnsi="宋体" w:cs="宋体"/>
                <w:b/>
                <w:sz w:val="24"/>
              </w:rPr>
              <w:t>投标</w:t>
            </w:r>
            <w:r>
              <w:rPr>
                <w:rFonts w:hint="eastAsia" w:ascii="宋体" w:hAnsi="宋体" w:cs="宋体"/>
                <w:b/>
                <w:sz w:val="24"/>
                <w:lang w:val="en-US" w:eastAsia="zh-CN"/>
              </w:rPr>
              <w:t>单价</w:t>
            </w:r>
            <w:r>
              <w:rPr>
                <w:rFonts w:hint="eastAsia" w:ascii="宋体" w:hAnsi="宋体" w:cs="宋体"/>
                <w:b/>
                <w:sz w:val="24"/>
              </w:rPr>
              <w:t>（小写）</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5009A925">
            <w:pPr>
              <w:spacing w:line="360" w:lineRule="auto"/>
              <w:jc w:val="center"/>
              <w:rPr>
                <w:rFonts w:hint="eastAsia" w:ascii="仿宋" w:hAnsi="仿宋"/>
                <w:u w:val="single"/>
              </w:rPr>
            </w:pPr>
            <w:r>
              <w:rPr>
                <w:rFonts w:hint="eastAsia" w:ascii="宋体" w:hAnsi="宋体" w:cs="宋体"/>
                <w:b/>
                <w:sz w:val="24"/>
              </w:rPr>
              <w:t>投标</w:t>
            </w:r>
            <w:r>
              <w:rPr>
                <w:rFonts w:hint="eastAsia" w:ascii="宋体" w:hAnsi="宋体" w:cs="宋体"/>
                <w:b/>
                <w:sz w:val="24"/>
                <w:lang w:val="en-US" w:eastAsia="zh-CN"/>
              </w:rPr>
              <w:t>单价</w:t>
            </w:r>
            <w:r>
              <w:rPr>
                <w:rFonts w:hint="eastAsia" w:ascii="宋体" w:hAnsi="宋体" w:cs="宋体"/>
                <w:b/>
                <w:sz w:val="24"/>
              </w:rPr>
              <w:t>（</w:t>
            </w:r>
            <w:r>
              <w:rPr>
                <w:rFonts w:hint="eastAsia" w:ascii="宋体" w:hAnsi="宋体" w:cs="宋体"/>
                <w:b/>
                <w:sz w:val="24"/>
                <w:lang w:val="en-US" w:eastAsia="zh-CN"/>
              </w:rPr>
              <w:t>大</w:t>
            </w:r>
            <w:r>
              <w:rPr>
                <w:rFonts w:hint="eastAsia" w:ascii="宋体" w:hAnsi="宋体" w:cs="宋体"/>
                <w:b/>
                <w:sz w:val="24"/>
              </w:rPr>
              <w:t>写）</w:t>
            </w:r>
          </w:p>
        </w:tc>
      </w:tr>
      <w:tr w14:paraId="4A77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3" w:hRule="atLeast"/>
          <w:jc w:val="center"/>
        </w:trPr>
        <w:tc>
          <w:tcPr>
            <w:tcW w:w="872" w:type="dxa"/>
            <w:tcBorders>
              <w:top w:val="single" w:color="auto" w:sz="4" w:space="0"/>
              <w:left w:val="single" w:color="auto" w:sz="4" w:space="0"/>
              <w:bottom w:val="single" w:color="auto" w:sz="4" w:space="0"/>
              <w:right w:val="single" w:color="auto" w:sz="4" w:space="0"/>
            </w:tcBorders>
            <w:noWrap w:val="0"/>
            <w:vAlign w:val="center"/>
          </w:tcPr>
          <w:p w14:paraId="5028F356">
            <w:pPr>
              <w:spacing w:line="440" w:lineRule="exact"/>
              <w:jc w:val="center"/>
              <w:rPr>
                <w:rFonts w:hint="eastAsia" w:eastAsia="宋体"/>
                <w:lang w:val="en-US" w:eastAsia="zh-CN"/>
              </w:rPr>
            </w:pPr>
            <w:r>
              <w:rPr>
                <w:rFonts w:hint="eastAsia"/>
                <w:lang w:val="en-US" w:eastAsia="zh-CN"/>
              </w:rPr>
              <w:t>2</w:t>
            </w:r>
          </w:p>
        </w:tc>
        <w:tc>
          <w:tcPr>
            <w:tcW w:w="1965" w:type="dxa"/>
            <w:tcBorders>
              <w:top w:val="single" w:color="auto" w:sz="4" w:space="0"/>
              <w:left w:val="single" w:color="auto" w:sz="4" w:space="0"/>
              <w:bottom w:val="single" w:color="auto" w:sz="4" w:space="0"/>
              <w:right w:val="single" w:color="auto" w:sz="4" w:space="0"/>
            </w:tcBorders>
            <w:noWrap w:val="0"/>
            <w:vAlign w:val="center"/>
          </w:tcPr>
          <w:p w14:paraId="6107B79C">
            <w:pPr>
              <w:spacing w:line="440" w:lineRule="exact"/>
              <w:jc w:val="center"/>
              <w:rPr>
                <w:rFonts w:hint="eastAsia"/>
              </w:rPr>
            </w:pPr>
            <w:r>
              <w:rPr>
                <w:rFonts w:hint="eastAsia"/>
              </w:rPr>
              <w:t>多参数监护仪检定</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24F7D77B">
            <w:pPr>
              <w:widowControl/>
              <w:jc w:val="center"/>
              <w:rPr>
                <w:rFonts w:hint="eastAsia"/>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14:paraId="79766279">
            <w:pPr>
              <w:widowControl/>
              <w:jc w:val="center"/>
              <w:rPr>
                <w:rFonts w:hint="eastAsia"/>
              </w:rPr>
            </w:pPr>
          </w:p>
        </w:tc>
        <w:tc>
          <w:tcPr>
            <w:tcW w:w="1621" w:type="dxa"/>
            <w:tcBorders>
              <w:top w:val="single" w:color="auto" w:sz="4" w:space="0"/>
              <w:left w:val="single" w:color="auto" w:sz="4" w:space="0"/>
              <w:bottom w:val="single" w:color="auto" w:sz="4" w:space="0"/>
              <w:right w:val="single" w:color="auto" w:sz="4" w:space="0"/>
            </w:tcBorders>
            <w:noWrap w:val="0"/>
            <w:vAlign w:val="center"/>
          </w:tcPr>
          <w:p w14:paraId="23AEE9FD">
            <w:pPr>
              <w:widowControl/>
              <w:jc w:val="center"/>
              <w:rPr>
                <w:rFonts w:hint="eastAsia"/>
              </w:rPr>
            </w:pPr>
          </w:p>
        </w:tc>
        <w:tc>
          <w:tcPr>
            <w:tcW w:w="1901" w:type="dxa"/>
            <w:tcBorders>
              <w:top w:val="single" w:color="auto" w:sz="4" w:space="0"/>
              <w:left w:val="single" w:color="auto" w:sz="4" w:space="0"/>
              <w:bottom w:val="single" w:color="auto" w:sz="4" w:space="0"/>
              <w:right w:val="single" w:color="auto" w:sz="4" w:space="0"/>
            </w:tcBorders>
            <w:noWrap w:val="0"/>
            <w:vAlign w:val="center"/>
          </w:tcPr>
          <w:p w14:paraId="0B32905C">
            <w:pPr>
              <w:widowControl/>
              <w:jc w:val="center"/>
              <w:rPr>
                <w:rFonts w:hint="eastAsia" w:ascii="仿宋" w:hAnsi="仿宋"/>
              </w:rPr>
            </w:pPr>
            <w:r>
              <w:rPr>
                <w:rFonts w:hint="eastAsia"/>
              </w:rPr>
              <w:t>单件最高限价为</w:t>
            </w:r>
            <w:r>
              <w:rPr>
                <w:rFonts w:hint="eastAsia"/>
                <w:lang w:val="en-US" w:eastAsia="zh-CN"/>
              </w:rPr>
              <w:t>680</w:t>
            </w:r>
            <w:r>
              <w:rPr>
                <w:rFonts w:hint="eastAsia"/>
              </w:rPr>
              <w:t>元/台</w:t>
            </w:r>
          </w:p>
        </w:tc>
        <w:tc>
          <w:tcPr>
            <w:tcW w:w="214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8D4EB2">
            <w:pPr>
              <w:pStyle w:val="58"/>
              <w:spacing w:before="0" w:beforeAutospacing="0" w:after="0" w:afterAutospacing="0" w:line="440" w:lineRule="exact"/>
              <w:jc w:val="center"/>
              <w:rPr>
                <w:rFonts w:hint="eastAsia" w:ascii="仿宋" w:hAnsi="仿宋" w:eastAsia="宋体" w:cs="Times New Roman"/>
                <w:kern w:val="0"/>
                <w:sz w:val="24"/>
                <w:szCs w:val="24"/>
                <w:lang w:val="en-US" w:eastAsia="zh-CN" w:bidi="ar-SA"/>
              </w:rPr>
            </w:pPr>
            <w:r>
              <w:rPr>
                <w:rFonts w:hint="eastAsia" w:ascii="仿宋" w:hAnsi="仿宋"/>
                <w:u w:val="single"/>
              </w:rPr>
              <w:t xml:space="preserve">          </w:t>
            </w:r>
            <w:r>
              <w:rPr>
                <w:rFonts w:hint="eastAsia" w:ascii="仿宋" w:hAnsi="仿宋"/>
              </w:rPr>
              <w:t>元/台</w:t>
            </w:r>
          </w:p>
        </w:tc>
        <w:tc>
          <w:tcPr>
            <w:tcW w:w="2277" w:type="dxa"/>
            <w:tcBorders>
              <w:top w:val="single" w:color="auto" w:sz="4" w:space="0"/>
              <w:left w:val="single" w:color="auto" w:sz="4" w:space="0"/>
              <w:bottom w:val="single" w:color="auto" w:sz="4" w:space="0"/>
              <w:right w:val="single" w:color="auto" w:sz="4" w:space="0"/>
            </w:tcBorders>
            <w:noWrap w:val="0"/>
            <w:vAlign w:val="center"/>
          </w:tcPr>
          <w:p w14:paraId="3A1B1973">
            <w:pPr>
              <w:pStyle w:val="58"/>
              <w:spacing w:before="0" w:beforeAutospacing="0" w:after="0" w:afterAutospacing="0" w:line="440" w:lineRule="exact"/>
              <w:jc w:val="center"/>
              <w:rPr>
                <w:rFonts w:ascii="仿宋" w:hAnsi="仿宋"/>
              </w:rPr>
            </w:pPr>
            <w:r>
              <w:rPr>
                <w:rFonts w:hint="eastAsia" w:ascii="仿宋" w:hAnsi="仿宋"/>
                <w:u w:val="single"/>
              </w:rPr>
              <w:t xml:space="preserve">          </w:t>
            </w:r>
            <w:r>
              <w:rPr>
                <w:rFonts w:hint="eastAsia" w:ascii="仿宋" w:hAnsi="仿宋"/>
              </w:rPr>
              <w:t>元/台</w:t>
            </w: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0"/>
        <w:rPr>
          <w:rFonts w:hint="eastAsia" w:ascii="宋体" w:hAnsi="宋体" w:cs="宋体"/>
          <w:b/>
          <w:color w:val="auto"/>
          <w:sz w:val="24"/>
          <w:highlight w:val="none"/>
        </w:rPr>
      </w:pPr>
    </w:p>
    <w:p w14:paraId="1AA2EA6C">
      <w:pPr>
        <w:pStyle w:val="80"/>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05" w:name="OLE_LINK13"/>
      <w:bookmarkStart w:id="506" w:name="OLE_LINK14"/>
      <w:r>
        <w:rPr>
          <w:rFonts w:hint="eastAsia" w:ascii="宋体" w:hAnsi="宋体" w:cs="宋体"/>
          <w:b/>
          <w:color w:val="auto"/>
          <w:spacing w:val="6"/>
          <w:sz w:val="32"/>
          <w:szCs w:val="32"/>
          <w:highlight w:val="none"/>
        </w:rPr>
        <w:t>残疾人福利性单位声明函</w:t>
      </w:r>
    </w:p>
    <w:bookmarkEnd w:id="505"/>
    <w:bookmarkEnd w:id="506"/>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bidi w:val="0"/>
      </w:pPr>
    </w:p>
    <w:p w14:paraId="34F36815">
      <w:pPr>
        <w:bidi w:val="0"/>
      </w:pPr>
    </w:p>
    <w:p w14:paraId="2C451CC9">
      <w:pPr>
        <w:bidi w:val="0"/>
      </w:pPr>
    </w:p>
    <w:p w14:paraId="4A013FA5">
      <w:pPr>
        <w:bidi w:val="0"/>
      </w:pPr>
    </w:p>
    <w:p w14:paraId="5BDB1E61">
      <w:pPr>
        <w:bidi w:val="0"/>
      </w:pPr>
    </w:p>
    <w:p w14:paraId="13706471"/>
    <w:p w14:paraId="4AC7A08A">
      <w:pPr>
        <w:bidi w:val="0"/>
      </w:pPr>
    </w:p>
    <w:p w14:paraId="7E73623F"/>
    <w:p w14:paraId="044B3F03">
      <w:pPr>
        <w:bidi w:val="0"/>
      </w:pPr>
    </w:p>
    <w:p w14:paraId="4C6D94FB">
      <w:pPr>
        <w:bidi w:val="0"/>
      </w:pPr>
    </w:p>
    <w:p w14:paraId="1E9D624C">
      <w:pPr>
        <w:bidi w:val="0"/>
      </w:pPr>
    </w:p>
    <w:p w14:paraId="51EDB0FD">
      <w:pPr>
        <w:bidi w:val="0"/>
      </w:pPr>
    </w:p>
    <w:p w14:paraId="1AFE5B6B">
      <w:pPr>
        <w:bidi w:val="0"/>
      </w:pPr>
    </w:p>
    <w:p w14:paraId="2C136107">
      <w:pPr>
        <w:bidi w:val="0"/>
      </w:pPr>
    </w:p>
    <w:p w14:paraId="14B97413">
      <w:pPr>
        <w:bidi w:val="0"/>
      </w:pPr>
    </w:p>
    <w:p w14:paraId="4165D934">
      <w:pPr>
        <w:bidi w:val="0"/>
      </w:pPr>
    </w:p>
    <w:p w14:paraId="575CC771">
      <w:pPr>
        <w:bidi w:val="0"/>
      </w:pPr>
    </w:p>
    <w:p w14:paraId="2D596182">
      <w:pPr>
        <w:bidi w:val="0"/>
      </w:pPr>
    </w:p>
    <w:p w14:paraId="444EDB10">
      <w:pPr>
        <w:bidi w:val="0"/>
      </w:pPr>
    </w:p>
    <w:p w14:paraId="05273060">
      <w:pPr>
        <w:bidi w:val="0"/>
      </w:pPr>
    </w:p>
    <w:p w14:paraId="380C2678">
      <w:pPr>
        <w:bidi w:val="0"/>
      </w:pPr>
    </w:p>
    <w:p w14:paraId="3B9E74FE">
      <w:pPr>
        <w:bidi w:val="0"/>
      </w:pPr>
    </w:p>
    <w:p w14:paraId="73E8755E">
      <w:pPr>
        <w:bidi w:val="0"/>
      </w:pPr>
    </w:p>
    <w:p w14:paraId="698BDF1A">
      <w:pPr>
        <w:spacing w:line="360" w:lineRule="auto"/>
        <w:rPr>
          <w:rFonts w:ascii="宋体" w:hAnsi="宋体" w:cs="宋体"/>
          <w:b/>
          <w:color w:val="auto"/>
          <w:sz w:val="24"/>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B784603">
      <w:pPr>
        <w:bidi w:val="0"/>
      </w:pPr>
    </w:p>
    <w:p w14:paraId="2F141FBB">
      <w:pPr>
        <w:bidi w:val="0"/>
      </w:pPr>
    </w:p>
    <w:p w14:paraId="3BA3626C">
      <w:pPr>
        <w:bidi w:val="0"/>
      </w:pPr>
    </w:p>
    <w:p w14:paraId="5E9A7FD5">
      <w:pPr>
        <w:bidi w:val="0"/>
      </w:pPr>
    </w:p>
    <w:p w14:paraId="299814F1"/>
    <w:p w14:paraId="6B4D0DFC">
      <w:pPr>
        <w:bidi w:val="0"/>
      </w:pPr>
    </w:p>
    <w:p w14:paraId="18987599">
      <w:pPr>
        <w:bidi w:val="0"/>
      </w:pPr>
    </w:p>
    <w:p w14:paraId="3207CDD7">
      <w:pPr>
        <w:bidi w:val="0"/>
      </w:pPr>
    </w:p>
    <w:p w14:paraId="2701C4AF">
      <w:pPr>
        <w:bidi w:val="0"/>
      </w:pPr>
    </w:p>
    <w:p w14:paraId="4C891340">
      <w:pPr>
        <w:bidi w:val="0"/>
      </w:pPr>
    </w:p>
    <w:p w14:paraId="261E9EA3">
      <w:pPr>
        <w:bidi w:val="0"/>
      </w:pPr>
    </w:p>
    <w:p w14:paraId="01F0EE65">
      <w:pPr>
        <w:bidi w:val="0"/>
      </w:pPr>
    </w:p>
    <w:p w14:paraId="12273F54">
      <w:pPr>
        <w:bidi w:val="0"/>
      </w:pPr>
    </w:p>
    <w:p w14:paraId="4EF4CC57">
      <w:pPr>
        <w:bidi w:val="0"/>
      </w:pPr>
    </w:p>
    <w:p w14:paraId="66BF3060">
      <w:pPr>
        <w:bidi w:val="0"/>
      </w:pPr>
    </w:p>
    <w:p w14:paraId="6644C8B4">
      <w:pPr>
        <w:bidi w:val="0"/>
      </w:pPr>
    </w:p>
    <w:p w14:paraId="4F9DBD01">
      <w:pPr>
        <w:bidi w:val="0"/>
      </w:pPr>
    </w:p>
    <w:p w14:paraId="3FCFC9FE">
      <w:pPr>
        <w:bidi w:val="0"/>
      </w:pPr>
    </w:p>
    <w:p w14:paraId="76BEB6B4">
      <w:pPr>
        <w:bidi w:val="0"/>
      </w:pPr>
    </w:p>
    <w:p w14:paraId="33CFD411">
      <w:pPr>
        <w:bidi w:val="0"/>
      </w:pPr>
    </w:p>
    <w:p w14:paraId="6C72E85F">
      <w:pPr>
        <w:bidi w:val="0"/>
      </w:pPr>
    </w:p>
    <w:p w14:paraId="280F006D">
      <w:pPr>
        <w:bidi w:val="0"/>
      </w:pPr>
    </w:p>
    <w:p w14:paraId="57ACDA5D">
      <w:pPr>
        <w:bidi w:val="0"/>
      </w:pPr>
    </w:p>
    <w:p w14:paraId="0EEBBF9D">
      <w:pPr>
        <w:bidi w:val="0"/>
      </w:pPr>
    </w:p>
    <w:p w14:paraId="0CC85F89">
      <w:pPr>
        <w:bidi w:val="0"/>
      </w:pPr>
    </w:p>
    <w:p w14:paraId="6296AE37">
      <w:pPr>
        <w:bidi w:val="0"/>
      </w:pPr>
    </w:p>
    <w:p w14:paraId="02491538">
      <w:pPr>
        <w:bidi w:val="0"/>
      </w:pPr>
    </w:p>
    <w:p w14:paraId="271AEC6E">
      <w:pPr>
        <w:pStyle w:val="4"/>
      </w:pPr>
    </w:p>
    <w:p w14:paraId="2EFCFA1B">
      <w:pPr>
        <w:bidi w:val="0"/>
      </w:pPr>
    </w:p>
    <w:p w14:paraId="3EE35404">
      <w:pPr>
        <w:bidi w:val="0"/>
      </w:pPr>
    </w:p>
    <w:p w14:paraId="7DD96783">
      <w:pPr>
        <w:bidi w:val="0"/>
      </w:pPr>
    </w:p>
    <w:p w14:paraId="4796C07D">
      <w:pPr>
        <w:bidi w:val="0"/>
      </w:pPr>
    </w:p>
    <w:p w14:paraId="34ABC162">
      <w:pPr>
        <w:bidi w:val="0"/>
      </w:pPr>
    </w:p>
    <w:p w14:paraId="7EADAACE">
      <w:pPr>
        <w:bidi w:val="0"/>
      </w:pPr>
    </w:p>
    <w:p w14:paraId="3FE6DAAA">
      <w:pPr>
        <w:bidi w:val="0"/>
      </w:pPr>
    </w:p>
    <w:p w14:paraId="01224C28">
      <w:pPr>
        <w:bidi w:val="0"/>
      </w:pPr>
    </w:p>
    <w:p w14:paraId="3FAC232D">
      <w:pPr>
        <w:bidi w:val="0"/>
      </w:pPr>
    </w:p>
    <w:p w14:paraId="009CB44F">
      <w:pPr>
        <w:bidi w:val="0"/>
      </w:pPr>
    </w:p>
    <w:p w14:paraId="668EFC3D">
      <w:pPr>
        <w:bidi w:val="0"/>
      </w:pPr>
    </w:p>
    <w:p w14:paraId="0F78ED7D">
      <w:pPr>
        <w:bidi w:val="0"/>
        <w:rPr>
          <w:rFonts w:hint="eastAsia"/>
        </w:rPr>
      </w:pPr>
    </w:p>
    <w:p w14:paraId="389C1EA1">
      <w:pPr>
        <w:bidi w:val="0"/>
        <w:rPr>
          <w:rFonts w:hint="eastAsia"/>
        </w:rPr>
      </w:pPr>
    </w:p>
    <w:p w14:paraId="42853BF6">
      <w:pPr>
        <w:bidi w:val="0"/>
        <w:rPr>
          <w:rFonts w:hint="eastAsia"/>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bidi w:val="0"/>
      </w:pPr>
    </w:p>
    <w:p w14:paraId="386B24E0">
      <w:pPr>
        <w:bidi w:val="0"/>
      </w:pPr>
    </w:p>
    <w:p w14:paraId="19978215">
      <w:pPr>
        <w:bidi w:val="0"/>
      </w:pPr>
    </w:p>
    <w:p w14:paraId="7FAD10C7">
      <w:pPr>
        <w:bidi w:val="0"/>
      </w:pPr>
    </w:p>
    <w:p w14:paraId="7DA66F9F">
      <w:pPr>
        <w:bidi w:val="0"/>
      </w:pPr>
    </w:p>
    <w:p w14:paraId="62948F47">
      <w:pPr>
        <w:bidi w:val="0"/>
      </w:pPr>
    </w:p>
    <w:p w14:paraId="65945B27">
      <w:pPr>
        <w:bidi w:val="0"/>
      </w:pPr>
    </w:p>
    <w:p w14:paraId="1122DF92">
      <w:pPr>
        <w:bidi w:val="0"/>
      </w:pPr>
    </w:p>
    <w:p w14:paraId="37974066">
      <w:pPr>
        <w:bidi w:val="0"/>
      </w:pPr>
    </w:p>
    <w:p w14:paraId="38C2B84C">
      <w:pPr>
        <w:bidi w:val="0"/>
      </w:pPr>
    </w:p>
    <w:p w14:paraId="6CE03E75">
      <w:pPr>
        <w:bidi w:val="0"/>
      </w:pPr>
    </w:p>
    <w:p w14:paraId="4C4BC5E9">
      <w:pPr>
        <w:bidi w:val="0"/>
      </w:pPr>
    </w:p>
    <w:p w14:paraId="7CB540A1">
      <w:pPr>
        <w:bidi w:val="0"/>
      </w:pPr>
    </w:p>
    <w:p w14:paraId="4813EFA6">
      <w:pPr>
        <w:bidi w:val="0"/>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37D11129">
      <w:pPr>
        <w:pStyle w:val="4"/>
        <w:rPr>
          <w:rFonts w:ascii="宋体" w:hAnsi="宋体" w:cs="宋体"/>
          <w:b/>
          <w:color w:val="auto"/>
          <w:spacing w:val="6"/>
          <w:sz w:val="32"/>
          <w:szCs w:val="32"/>
          <w:highlight w:val="none"/>
        </w:rPr>
      </w:pPr>
    </w:p>
    <w:p w14:paraId="58571DFF">
      <w:pPr>
        <w:rPr>
          <w:rFonts w:ascii="宋体" w:hAnsi="宋体" w:cs="宋体"/>
          <w:b/>
          <w:color w:val="auto"/>
          <w:spacing w:val="6"/>
          <w:sz w:val="32"/>
          <w:szCs w:val="32"/>
          <w:highlight w:val="none"/>
        </w:rPr>
      </w:pPr>
    </w:p>
    <w:p w14:paraId="0067A51B">
      <w:pPr>
        <w:pStyle w:val="4"/>
        <w:rPr>
          <w:rFonts w:ascii="宋体" w:hAnsi="宋体" w:cs="宋体"/>
          <w:b/>
          <w:color w:val="auto"/>
          <w:spacing w:val="6"/>
          <w:sz w:val="32"/>
          <w:szCs w:val="32"/>
          <w:highlight w:val="none"/>
        </w:rPr>
      </w:pPr>
    </w:p>
    <w:p w14:paraId="443596C0">
      <w:pPr>
        <w:rPr>
          <w:rFonts w:ascii="宋体" w:hAnsi="宋体" w:cs="宋体"/>
          <w:b/>
          <w:color w:val="auto"/>
          <w:spacing w:val="6"/>
          <w:sz w:val="32"/>
          <w:szCs w:val="32"/>
          <w:highlight w:val="none"/>
        </w:rPr>
      </w:pPr>
    </w:p>
    <w:p w14:paraId="0365F6CA">
      <w:pPr>
        <w:pStyle w:val="4"/>
        <w:rPr>
          <w:rFonts w:ascii="宋体" w:hAnsi="宋体" w:cs="宋体"/>
          <w:b/>
          <w:color w:val="auto"/>
          <w:spacing w:val="6"/>
          <w:sz w:val="32"/>
          <w:szCs w:val="32"/>
          <w:highlight w:val="none"/>
        </w:rPr>
      </w:pPr>
    </w:p>
    <w:p w14:paraId="461F19BD"/>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07"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07"/>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08"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08"/>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09"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09"/>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4CF48405">
      <w:pPr>
        <w:pStyle w:val="4"/>
        <w:rPr>
          <w:rFonts w:ascii="宋体" w:hAnsi="宋体" w:cs="宋体"/>
          <w:b/>
          <w:color w:val="auto"/>
          <w:spacing w:val="6"/>
          <w:sz w:val="32"/>
          <w:szCs w:val="32"/>
          <w:highlight w:val="none"/>
        </w:rPr>
      </w:pPr>
    </w:p>
    <w:p w14:paraId="4536C4E8">
      <w:pPr>
        <w:rPr>
          <w:rFonts w:ascii="宋体" w:hAnsi="宋体" w:cs="宋体"/>
          <w:b/>
          <w:color w:val="auto"/>
          <w:spacing w:val="6"/>
          <w:sz w:val="32"/>
          <w:szCs w:val="32"/>
          <w:highlight w:val="none"/>
        </w:rPr>
      </w:pPr>
    </w:p>
    <w:p w14:paraId="5C862C7A">
      <w:pPr>
        <w:pStyle w:val="4"/>
        <w:rPr>
          <w:rFonts w:ascii="宋体" w:hAnsi="宋体" w:cs="宋体"/>
          <w:b/>
          <w:color w:val="auto"/>
          <w:spacing w:val="6"/>
          <w:sz w:val="32"/>
          <w:szCs w:val="32"/>
          <w:highlight w:val="none"/>
        </w:rPr>
      </w:pPr>
    </w:p>
    <w:p w14:paraId="32F927FF">
      <w:pPr>
        <w:rPr>
          <w:rFonts w:ascii="宋体" w:hAnsi="宋体" w:cs="宋体"/>
          <w:b/>
          <w:color w:val="auto"/>
          <w:spacing w:val="6"/>
          <w:sz w:val="32"/>
          <w:szCs w:val="32"/>
          <w:highlight w:val="none"/>
        </w:rPr>
      </w:pPr>
    </w:p>
    <w:p w14:paraId="0282AB63">
      <w:pPr>
        <w:pStyle w:val="4"/>
        <w:rPr>
          <w:rFonts w:ascii="宋体" w:hAnsi="宋体" w:cs="宋体"/>
          <w:b/>
          <w:color w:val="auto"/>
          <w:spacing w:val="6"/>
          <w:sz w:val="32"/>
          <w:szCs w:val="32"/>
          <w:highlight w:val="none"/>
        </w:rPr>
      </w:pPr>
    </w:p>
    <w:p w14:paraId="13BA38CD"/>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bidi w:val="0"/>
      </w:pPr>
    </w:p>
    <w:p w14:paraId="4B6C1E1D">
      <w:pPr>
        <w:pStyle w:val="4"/>
      </w:pPr>
    </w:p>
    <w:p w14:paraId="0F00BCCB"/>
    <w:p w14:paraId="69B88A82">
      <w:pPr>
        <w:pStyle w:val="4"/>
      </w:pPr>
    </w:p>
    <w:p w14:paraId="5C61A789"/>
    <w:p w14:paraId="225B4BEE">
      <w:pPr>
        <w:pStyle w:val="4"/>
      </w:pPr>
    </w:p>
    <w:p w14:paraId="278C74F2"/>
    <w:p w14:paraId="34C2873A">
      <w:pPr>
        <w:pStyle w:val="4"/>
      </w:pPr>
    </w:p>
    <w:p w14:paraId="6615362E"/>
    <w:p w14:paraId="1C775F63">
      <w:pPr>
        <w:pStyle w:val="4"/>
      </w:pPr>
    </w:p>
    <w:p w14:paraId="3DBC2C47"/>
    <w:p w14:paraId="4CCF4373">
      <w:pPr>
        <w:pStyle w:val="4"/>
      </w:pPr>
    </w:p>
    <w:p w14:paraId="408E553A">
      <w:pPr>
        <w:bidi w:val="0"/>
      </w:pPr>
    </w:p>
    <w:p w14:paraId="2DE2B4CE">
      <w:pPr>
        <w:bidi w:val="0"/>
      </w:pPr>
    </w:p>
    <w:p w14:paraId="6190F582">
      <w:pPr>
        <w:bidi w:val="0"/>
      </w:pPr>
    </w:p>
    <w:p w14:paraId="7F2EB0FB">
      <w:pPr>
        <w:bidi w:val="0"/>
      </w:pPr>
    </w:p>
    <w:p w14:paraId="585299B3">
      <w:pPr>
        <w:bidi w:val="0"/>
      </w:pPr>
    </w:p>
    <w:p w14:paraId="00522C4A">
      <w:pPr>
        <w:bidi w:val="0"/>
      </w:pPr>
    </w:p>
    <w:p w14:paraId="431D6ECE">
      <w:pPr>
        <w:bidi w:val="0"/>
      </w:pPr>
    </w:p>
    <w:p w14:paraId="0DBBA8DC">
      <w:pPr>
        <w:bidi w:val="0"/>
      </w:pPr>
    </w:p>
    <w:p w14:paraId="1100F6D4">
      <w:pPr>
        <w:bidi w:val="0"/>
      </w:pPr>
    </w:p>
    <w:p w14:paraId="475617D2">
      <w:pPr>
        <w:bidi w:val="0"/>
      </w:pPr>
    </w:p>
    <w:p w14:paraId="0F2DCCF0">
      <w:pPr>
        <w:bidi w:val="0"/>
      </w:pPr>
    </w:p>
    <w:p w14:paraId="395C8F4A">
      <w:pPr>
        <w:bidi w:val="0"/>
      </w:pPr>
    </w:p>
    <w:p w14:paraId="65AC4E53">
      <w:pPr>
        <w:bidi w:val="0"/>
      </w:pPr>
    </w:p>
    <w:p w14:paraId="55C5B575">
      <w:pPr>
        <w:bidi w:val="0"/>
      </w:pPr>
    </w:p>
    <w:p w14:paraId="7F218967">
      <w:pPr>
        <w:bidi w:val="0"/>
      </w:pPr>
    </w:p>
    <w:p w14:paraId="63873989">
      <w:pPr>
        <w:bidi w:val="0"/>
      </w:pPr>
    </w:p>
    <w:p w14:paraId="1D522C2B">
      <w:pPr>
        <w:bidi w:val="0"/>
      </w:pPr>
    </w:p>
    <w:p w14:paraId="6ABD8BD9">
      <w:pPr>
        <w:bidi w:val="0"/>
      </w:pP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1"/>
      <w:framePr w:wrap="around" w:vAnchor="text" w:hAnchor="margin" w:xAlign="right" w:y="1"/>
      <w:rPr>
        <w:rStyle w:val="72"/>
      </w:rPr>
    </w:pPr>
    <w:r>
      <w:fldChar w:fldCharType="begin"/>
    </w:r>
    <w:r>
      <w:rPr>
        <w:rStyle w:val="72"/>
      </w:rPr>
      <w:instrText xml:space="preserve">PAGE  </w:instrText>
    </w:r>
    <w:r>
      <w:fldChar w:fldCharType="end"/>
    </w:r>
  </w:p>
  <w:p w14:paraId="65FC6C0A">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0" w:name="_Toc164085800"/>
    <w:bookmarkStart w:id="511" w:name="_Toc36110187"/>
    <w:bookmarkStart w:id="512" w:name="_Toc131845147"/>
    <w:bookmarkStart w:id="513" w:name="_Toc91899912"/>
    <w:r>
      <w:rPr>
        <w:rFonts w:hint="eastAsia" w:ascii="仿宋_GB2312" w:eastAsia="仿宋_GB2312"/>
        <w:kern w:val="0"/>
        <w:szCs w:val="21"/>
      </w:rPr>
      <w:t xml:space="preserve"> 页</w:t>
    </w:r>
    <w:bookmarkEnd w:id="510"/>
    <w:bookmarkEnd w:id="511"/>
    <w:bookmarkEnd w:id="512"/>
    <w:bookmarkEnd w:id="5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1"/>
      <w:framePr w:wrap="around" w:vAnchor="text" w:hAnchor="margin" w:xAlign="right" w:y="1"/>
      <w:rPr>
        <w:rStyle w:val="72"/>
      </w:rPr>
    </w:pPr>
    <w:r>
      <w:fldChar w:fldCharType="begin"/>
    </w:r>
    <w:r>
      <w:rPr>
        <w:rStyle w:val="72"/>
      </w:rPr>
      <w:instrText xml:space="preserve">PAGE  </w:instrText>
    </w:r>
    <w:r>
      <w:fldChar w:fldCharType="end"/>
    </w:r>
  </w:p>
  <w:p w14:paraId="5E0900AF">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2"/>
      <w:pBdr>
        <w:bottom w:val="single" w:color="auto" w:sz="6" w:space="4"/>
      </w:pBdr>
      <w:jc w:val="right"/>
    </w:pPr>
    <w:r>
      <w:t></w:t>
    </w:r>
    <w:r>
      <w:rPr>
        <w:rFonts w:hint="eastAsia"/>
      </w:rPr>
      <w:t xml:space="preserve">             </w:t>
    </w:r>
    <w:r>
      <w:t>杭州市政府采购公开招标文件</w:t>
    </w:r>
  </w:p>
  <w:p w14:paraId="5E9780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2"/>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2"/>
    </w:pPr>
    <w:r>
      <w:t></w:t>
    </w:r>
    <w:r>
      <w:rPr>
        <w:rFonts w:hint="eastAsia"/>
      </w:rPr>
      <w:t xml:space="preserve">         </w:t>
    </w:r>
  </w:p>
  <w:p w14:paraId="6F97612A">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2"/>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2"/>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abstractNum w:abstractNumId="1">
    <w:nsid w:val="63E0BFD3"/>
    <w:multiLevelType w:val="singleLevel"/>
    <w:tmpl w:val="63E0BFD3"/>
    <w:lvl w:ilvl="0" w:tentative="0">
      <w:start w:val="3"/>
      <w:numFmt w:val="chineseCounting"/>
      <w:suff w:val="nothing"/>
      <w:lvlText w:val="%1、"/>
      <w:lvlJc w:val="left"/>
    </w:lvl>
  </w:abstractNum>
  <w:abstractNum w:abstractNumId="2">
    <w:nsid w:val="63E0C0C2"/>
    <w:multiLevelType w:val="singleLevel"/>
    <w:tmpl w:val="63E0C0C2"/>
    <w:lvl w:ilvl="0" w:tentative="0">
      <w:start w:val="5"/>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0F1"/>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10393F"/>
    <w:rsid w:val="0326446A"/>
    <w:rsid w:val="032D5555"/>
    <w:rsid w:val="036634D2"/>
    <w:rsid w:val="03845D18"/>
    <w:rsid w:val="03DD35E4"/>
    <w:rsid w:val="04076900"/>
    <w:rsid w:val="041A5A3B"/>
    <w:rsid w:val="042311BA"/>
    <w:rsid w:val="042B157A"/>
    <w:rsid w:val="048F763B"/>
    <w:rsid w:val="049F330E"/>
    <w:rsid w:val="04AA775C"/>
    <w:rsid w:val="04AF1889"/>
    <w:rsid w:val="04F66F48"/>
    <w:rsid w:val="05251E14"/>
    <w:rsid w:val="05A16594"/>
    <w:rsid w:val="05A7762D"/>
    <w:rsid w:val="05F204C9"/>
    <w:rsid w:val="060A20AF"/>
    <w:rsid w:val="060E5941"/>
    <w:rsid w:val="06110FAF"/>
    <w:rsid w:val="06493CA7"/>
    <w:rsid w:val="065A6178"/>
    <w:rsid w:val="066F1CF3"/>
    <w:rsid w:val="067A61DE"/>
    <w:rsid w:val="06930BB8"/>
    <w:rsid w:val="07245D42"/>
    <w:rsid w:val="07264C62"/>
    <w:rsid w:val="075034CB"/>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9F665E"/>
    <w:rsid w:val="0AA374A5"/>
    <w:rsid w:val="0AAB7649"/>
    <w:rsid w:val="0ABC5606"/>
    <w:rsid w:val="0AD57074"/>
    <w:rsid w:val="0B30404E"/>
    <w:rsid w:val="0B4C6C14"/>
    <w:rsid w:val="0B547599"/>
    <w:rsid w:val="0B631A88"/>
    <w:rsid w:val="0B683D45"/>
    <w:rsid w:val="0B7F3F11"/>
    <w:rsid w:val="0B884417"/>
    <w:rsid w:val="0BF6188C"/>
    <w:rsid w:val="0BF73C91"/>
    <w:rsid w:val="0C170175"/>
    <w:rsid w:val="0C571A41"/>
    <w:rsid w:val="0C5C1171"/>
    <w:rsid w:val="0C5E1CBC"/>
    <w:rsid w:val="0C615B50"/>
    <w:rsid w:val="0C6259A7"/>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6C360F"/>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57BEE"/>
    <w:rsid w:val="12862074"/>
    <w:rsid w:val="12883966"/>
    <w:rsid w:val="129E45B4"/>
    <w:rsid w:val="12D81596"/>
    <w:rsid w:val="13072A44"/>
    <w:rsid w:val="135F4BE2"/>
    <w:rsid w:val="136303DF"/>
    <w:rsid w:val="139B1A0A"/>
    <w:rsid w:val="139D25C7"/>
    <w:rsid w:val="13BD4E00"/>
    <w:rsid w:val="13BF3CE4"/>
    <w:rsid w:val="13CE750E"/>
    <w:rsid w:val="141008D8"/>
    <w:rsid w:val="14125FE6"/>
    <w:rsid w:val="14474B38"/>
    <w:rsid w:val="146C0A48"/>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7529D9"/>
    <w:rsid w:val="18817102"/>
    <w:rsid w:val="18830A15"/>
    <w:rsid w:val="18852B28"/>
    <w:rsid w:val="188B5321"/>
    <w:rsid w:val="18DA0A8E"/>
    <w:rsid w:val="19932372"/>
    <w:rsid w:val="19A20DD5"/>
    <w:rsid w:val="19AE03F1"/>
    <w:rsid w:val="1A071A03"/>
    <w:rsid w:val="1A1F16AE"/>
    <w:rsid w:val="1A3B5C77"/>
    <w:rsid w:val="1A984BAD"/>
    <w:rsid w:val="1AB8220E"/>
    <w:rsid w:val="1AE4166C"/>
    <w:rsid w:val="1AF06CFB"/>
    <w:rsid w:val="1AF11B8D"/>
    <w:rsid w:val="1B11359C"/>
    <w:rsid w:val="1B2A271F"/>
    <w:rsid w:val="1B4A75E1"/>
    <w:rsid w:val="1B530544"/>
    <w:rsid w:val="1B713184"/>
    <w:rsid w:val="1BA209CF"/>
    <w:rsid w:val="1BB4777D"/>
    <w:rsid w:val="1BD75AB8"/>
    <w:rsid w:val="1BEB4665"/>
    <w:rsid w:val="1C0459C2"/>
    <w:rsid w:val="1C1B3B4A"/>
    <w:rsid w:val="1C88086E"/>
    <w:rsid w:val="1D266CE1"/>
    <w:rsid w:val="1D3963AF"/>
    <w:rsid w:val="1D6A673C"/>
    <w:rsid w:val="1D9247AE"/>
    <w:rsid w:val="1D9E41AB"/>
    <w:rsid w:val="1DB567EC"/>
    <w:rsid w:val="1DF51A98"/>
    <w:rsid w:val="1E3D060F"/>
    <w:rsid w:val="1E3E4C49"/>
    <w:rsid w:val="1E3F7D2E"/>
    <w:rsid w:val="1E4134E4"/>
    <w:rsid w:val="1E5062B3"/>
    <w:rsid w:val="1E523514"/>
    <w:rsid w:val="1E714A66"/>
    <w:rsid w:val="1E802593"/>
    <w:rsid w:val="1E8B6156"/>
    <w:rsid w:val="1EA703CC"/>
    <w:rsid w:val="1EB7330C"/>
    <w:rsid w:val="1EB76D12"/>
    <w:rsid w:val="1F0A0FF3"/>
    <w:rsid w:val="1F5771FF"/>
    <w:rsid w:val="1FA94038"/>
    <w:rsid w:val="1FD52DD5"/>
    <w:rsid w:val="1FE868A9"/>
    <w:rsid w:val="20034907"/>
    <w:rsid w:val="20173E4B"/>
    <w:rsid w:val="204E48BC"/>
    <w:rsid w:val="208921B3"/>
    <w:rsid w:val="20973DEB"/>
    <w:rsid w:val="20B26522"/>
    <w:rsid w:val="20B44310"/>
    <w:rsid w:val="211116EB"/>
    <w:rsid w:val="216133FC"/>
    <w:rsid w:val="21A127FE"/>
    <w:rsid w:val="21D56769"/>
    <w:rsid w:val="21E52EF3"/>
    <w:rsid w:val="21FB5D7B"/>
    <w:rsid w:val="22015E94"/>
    <w:rsid w:val="220B1C3D"/>
    <w:rsid w:val="221D1D20"/>
    <w:rsid w:val="22334A87"/>
    <w:rsid w:val="226D06CE"/>
    <w:rsid w:val="22BE6801"/>
    <w:rsid w:val="22F86756"/>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5FA62CC"/>
    <w:rsid w:val="2628662C"/>
    <w:rsid w:val="262D45DE"/>
    <w:rsid w:val="26871DC8"/>
    <w:rsid w:val="26A53EF9"/>
    <w:rsid w:val="26A94201"/>
    <w:rsid w:val="26AC274F"/>
    <w:rsid w:val="27044A29"/>
    <w:rsid w:val="271D34C8"/>
    <w:rsid w:val="274D034E"/>
    <w:rsid w:val="276142BF"/>
    <w:rsid w:val="27783712"/>
    <w:rsid w:val="27864959"/>
    <w:rsid w:val="27907362"/>
    <w:rsid w:val="27CB343E"/>
    <w:rsid w:val="28333E1D"/>
    <w:rsid w:val="28454BD6"/>
    <w:rsid w:val="28455253"/>
    <w:rsid w:val="28551971"/>
    <w:rsid w:val="285B1C53"/>
    <w:rsid w:val="28804FEB"/>
    <w:rsid w:val="289F7086"/>
    <w:rsid w:val="28C32028"/>
    <w:rsid w:val="28CC490F"/>
    <w:rsid w:val="28DE40AA"/>
    <w:rsid w:val="29345E77"/>
    <w:rsid w:val="29422464"/>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CEF0E67"/>
    <w:rsid w:val="2D343236"/>
    <w:rsid w:val="2DD15014"/>
    <w:rsid w:val="2DE0049D"/>
    <w:rsid w:val="2DEE2BBA"/>
    <w:rsid w:val="2DF72DE4"/>
    <w:rsid w:val="2E0220AF"/>
    <w:rsid w:val="2E4B082A"/>
    <w:rsid w:val="2E5D4E86"/>
    <w:rsid w:val="2E5D790B"/>
    <w:rsid w:val="2E9A3C18"/>
    <w:rsid w:val="2EBB0FEE"/>
    <w:rsid w:val="2EC63002"/>
    <w:rsid w:val="2F0A6B38"/>
    <w:rsid w:val="2F2E4EA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8238D1"/>
    <w:rsid w:val="32BE5C2C"/>
    <w:rsid w:val="32FB6478"/>
    <w:rsid w:val="33263B3F"/>
    <w:rsid w:val="336963EB"/>
    <w:rsid w:val="336B3220"/>
    <w:rsid w:val="33816EEB"/>
    <w:rsid w:val="33EB55CD"/>
    <w:rsid w:val="33EC4C02"/>
    <w:rsid w:val="340D2360"/>
    <w:rsid w:val="3410665D"/>
    <w:rsid w:val="34211214"/>
    <w:rsid w:val="342E63AB"/>
    <w:rsid w:val="34950E68"/>
    <w:rsid w:val="34986E94"/>
    <w:rsid w:val="34AF62C9"/>
    <w:rsid w:val="34CB4388"/>
    <w:rsid w:val="34FA6E12"/>
    <w:rsid w:val="354D7158"/>
    <w:rsid w:val="358D5588"/>
    <w:rsid w:val="35B008DF"/>
    <w:rsid w:val="363A3B40"/>
    <w:rsid w:val="365302AE"/>
    <w:rsid w:val="36607A0A"/>
    <w:rsid w:val="366E227C"/>
    <w:rsid w:val="366F2E0D"/>
    <w:rsid w:val="367B6A5C"/>
    <w:rsid w:val="36A17DB9"/>
    <w:rsid w:val="36A74ADA"/>
    <w:rsid w:val="36AD60D5"/>
    <w:rsid w:val="36B224F9"/>
    <w:rsid w:val="36EC0CC9"/>
    <w:rsid w:val="373F410B"/>
    <w:rsid w:val="37EE7094"/>
    <w:rsid w:val="38296C89"/>
    <w:rsid w:val="383002EB"/>
    <w:rsid w:val="38586797"/>
    <w:rsid w:val="38BC0149"/>
    <w:rsid w:val="38D87D1C"/>
    <w:rsid w:val="39636459"/>
    <w:rsid w:val="396B7F6C"/>
    <w:rsid w:val="39B417A9"/>
    <w:rsid w:val="39EC4A5B"/>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A37266"/>
    <w:rsid w:val="3CCE23CB"/>
    <w:rsid w:val="3CD17D17"/>
    <w:rsid w:val="3D3C7F39"/>
    <w:rsid w:val="3D440F09"/>
    <w:rsid w:val="3D4504A0"/>
    <w:rsid w:val="3D517D25"/>
    <w:rsid w:val="3D793B23"/>
    <w:rsid w:val="3D8734BB"/>
    <w:rsid w:val="3D9A11D4"/>
    <w:rsid w:val="3D9F34D0"/>
    <w:rsid w:val="3DA16D89"/>
    <w:rsid w:val="3DA364BE"/>
    <w:rsid w:val="3DE041CB"/>
    <w:rsid w:val="3E0D48F6"/>
    <w:rsid w:val="3E1868B4"/>
    <w:rsid w:val="3E377251"/>
    <w:rsid w:val="3E42664B"/>
    <w:rsid w:val="3E4866DD"/>
    <w:rsid w:val="3E5A7334"/>
    <w:rsid w:val="3E7B5D6B"/>
    <w:rsid w:val="3E843E66"/>
    <w:rsid w:val="3E8F51FE"/>
    <w:rsid w:val="3E926F87"/>
    <w:rsid w:val="3E9A59DE"/>
    <w:rsid w:val="3EA5765F"/>
    <w:rsid w:val="3EAF4836"/>
    <w:rsid w:val="3EC33DFA"/>
    <w:rsid w:val="3F060E16"/>
    <w:rsid w:val="3F1D1096"/>
    <w:rsid w:val="3F2F0234"/>
    <w:rsid w:val="3F6363FE"/>
    <w:rsid w:val="3F71624A"/>
    <w:rsid w:val="3F756B8F"/>
    <w:rsid w:val="3F760C61"/>
    <w:rsid w:val="3F95482B"/>
    <w:rsid w:val="4019356B"/>
    <w:rsid w:val="40381A73"/>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CC6FEC"/>
    <w:rsid w:val="44DE1391"/>
    <w:rsid w:val="451B225C"/>
    <w:rsid w:val="452410C9"/>
    <w:rsid w:val="45317DFB"/>
    <w:rsid w:val="455A6ED7"/>
    <w:rsid w:val="456D3CE4"/>
    <w:rsid w:val="4579042C"/>
    <w:rsid w:val="457F0571"/>
    <w:rsid w:val="45851176"/>
    <w:rsid w:val="45C63B94"/>
    <w:rsid w:val="460E7DA5"/>
    <w:rsid w:val="46422483"/>
    <w:rsid w:val="464A4F01"/>
    <w:rsid w:val="4659254A"/>
    <w:rsid w:val="465B0637"/>
    <w:rsid w:val="465E3F0D"/>
    <w:rsid w:val="466A16E6"/>
    <w:rsid w:val="46893F2B"/>
    <w:rsid w:val="46C4686E"/>
    <w:rsid w:val="46F2071F"/>
    <w:rsid w:val="477B778F"/>
    <w:rsid w:val="478203EC"/>
    <w:rsid w:val="47B025FA"/>
    <w:rsid w:val="4809698F"/>
    <w:rsid w:val="4811697D"/>
    <w:rsid w:val="487A3E25"/>
    <w:rsid w:val="488B5503"/>
    <w:rsid w:val="48937E21"/>
    <w:rsid w:val="489A0361"/>
    <w:rsid w:val="48B94FF3"/>
    <w:rsid w:val="48E37AAB"/>
    <w:rsid w:val="48FD4B4C"/>
    <w:rsid w:val="490A68E0"/>
    <w:rsid w:val="491055FE"/>
    <w:rsid w:val="49133B4D"/>
    <w:rsid w:val="495F5B3E"/>
    <w:rsid w:val="496F77D7"/>
    <w:rsid w:val="497654FD"/>
    <w:rsid w:val="49B64211"/>
    <w:rsid w:val="49E56AF9"/>
    <w:rsid w:val="49F6167F"/>
    <w:rsid w:val="4A064FA0"/>
    <w:rsid w:val="4A16615C"/>
    <w:rsid w:val="4A4424D7"/>
    <w:rsid w:val="4AB82D0F"/>
    <w:rsid w:val="4AE845D4"/>
    <w:rsid w:val="4AEB7664"/>
    <w:rsid w:val="4AFD7C19"/>
    <w:rsid w:val="4B0567D1"/>
    <w:rsid w:val="4B236AAE"/>
    <w:rsid w:val="4B65492A"/>
    <w:rsid w:val="4B707271"/>
    <w:rsid w:val="4B9739F7"/>
    <w:rsid w:val="4BEE2503"/>
    <w:rsid w:val="4C0C374D"/>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BB6CA3"/>
    <w:rsid w:val="4FD44DC6"/>
    <w:rsid w:val="4FE625E0"/>
    <w:rsid w:val="5021480F"/>
    <w:rsid w:val="50962ECB"/>
    <w:rsid w:val="50A42E38"/>
    <w:rsid w:val="50A4577F"/>
    <w:rsid w:val="50B73D1F"/>
    <w:rsid w:val="50BD5BC9"/>
    <w:rsid w:val="50C11EEE"/>
    <w:rsid w:val="50E97CFC"/>
    <w:rsid w:val="50FA4028"/>
    <w:rsid w:val="510D65B7"/>
    <w:rsid w:val="511157AB"/>
    <w:rsid w:val="5142540C"/>
    <w:rsid w:val="51704D48"/>
    <w:rsid w:val="518832C8"/>
    <w:rsid w:val="519D3C50"/>
    <w:rsid w:val="51A0432A"/>
    <w:rsid w:val="51A86090"/>
    <w:rsid w:val="51B7396D"/>
    <w:rsid w:val="522E4CC3"/>
    <w:rsid w:val="523F0171"/>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521371"/>
    <w:rsid w:val="54605E1E"/>
    <w:rsid w:val="54B3506A"/>
    <w:rsid w:val="54CA0D16"/>
    <w:rsid w:val="54DA3DD7"/>
    <w:rsid w:val="54DD4057"/>
    <w:rsid w:val="54E7490F"/>
    <w:rsid w:val="550764A4"/>
    <w:rsid w:val="550B2BF6"/>
    <w:rsid w:val="55214EB5"/>
    <w:rsid w:val="55364EFD"/>
    <w:rsid w:val="555D4828"/>
    <w:rsid w:val="557A4C8B"/>
    <w:rsid w:val="558931E1"/>
    <w:rsid w:val="55923347"/>
    <w:rsid w:val="55925180"/>
    <w:rsid w:val="55983B1B"/>
    <w:rsid w:val="55A12AEC"/>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DF7F11"/>
    <w:rsid w:val="59F80043"/>
    <w:rsid w:val="5A09252F"/>
    <w:rsid w:val="5A0B2778"/>
    <w:rsid w:val="5A2A7C7B"/>
    <w:rsid w:val="5A3E2560"/>
    <w:rsid w:val="5A5D3B6E"/>
    <w:rsid w:val="5A637A76"/>
    <w:rsid w:val="5A6D33BA"/>
    <w:rsid w:val="5A792B1F"/>
    <w:rsid w:val="5A874767"/>
    <w:rsid w:val="5A935E24"/>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E26B77"/>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7739A"/>
    <w:rsid w:val="619F7F92"/>
    <w:rsid w:val="61E741EB"/>
    <w:rsid w:val="61F94C26"/>
    <w:rsid w:val="62000E56"/>
    <w:rsid w:val="624F3E49"/>
    <w:rsid w:val="62632286"/>
    <w:rsid w:val="62885958"/>
    <w:rsid w:val="62C84579"/>
    <w:rsid w:val="62F40B65"/>
    <w:rsid w:val="62FC2CFE"/>
    <w:rsid w:val="63024505"/>
    <w:rsid w:val="63397A23"/>
    <w:rsid w:val="635600A5"/>
    <w:rsid w:val="635B1DB5"/>
    <w:rsid w:val="63711FED"/>
    <w:rsid w:val="63880DDC"/>
    <w:rsid w:val="638D750D"/>
    <w:rsid w:val="63AC6CC0"/>
    <w:rsid w:val="64055776"/>
    <w:rsid w:val="64240056"/>
    <w:rsid w:val="643E143A"/>
    <w:rsid w:val="64491666"/>
    <w:rsid w:val="648B6EEF"/>
    <w:rsid w:val="64C158BF"/>
    <w:rsid w:val="64CE2EAA"/>
    <w:rsid w:val="65257440"/>
    <w:rsid w:val="653C3090"/>
    <w:rsid w:val="65854376"/>
    <w:rsid w:val="658767BE"/>
    <w:rsid w:val="65892531"/>
    <w:rsid w:val="66195831"/>
    <w:rsid w:val="662E75B1"/>
    <w:rsid w:val="662F193E"/>
    <w:rsid w:val="66342C2E"/>
    <w:rsid w:val="663E784C"/>
    <w:rsid w:val="668B6A45"/>
    <w:rsid w:val="66BB6D80"/>
    <w:rsid w:val="67011F07"/>
    <w:rsid w:val="672F3F24"/>
    <w:rsid w:val="673E055F"/>
    <w:rsid w:val="673E268F"/>
    <w:rsid w:val="67413134"/>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DD226B"/>
    <w:rsid w:val="68DF2DE3"/>
    <w:rsid w:val="68E937A3"/>
    <w:rsid w:val="68ED26E2"/>
    <w:rsid w:val="68F4230B"/>
    <w:rsid w:val="68F4234F"/>
    <w:rsid w:val="691664E5"/>
    <w:rsid w:val="693E15D3"/>
    <w:rsid w:val="69627681"/>
    <w:rsid w:val="6977531D"/>
    <w:rsid w:val="6993386B"/>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533EB"/>
    <w:rsid w:val="6D167928"/>
    <w:rsid w:val="6D26299B"/>
    <w:rsid w:val="6D4772EC"/>
    <w:rsid w:val="6D5D78EF"/>
    <w:rsid w:val="6D9078AF"/>
    <w:rsid w:val="6DAA3FEF"/>
    <w:rsid w:val="6DC0172B"/>
    <w:rsid w:val="6DCB690C"/>
    <w:rsid w:val="6DD41A5B"/>
    <w:rsid w:val="6DF43C2E"/>
    <w:rsid w:val="6DF51CA3"/>
    <w:rsid w:val="6E454A70"/>
    <w:rsid w:val="6E8335BD"/>
    <w:rsid w:val="6E8E12EF"/>
    <w:rsid w:val="6E972936"/>
    <w:rsid w:val="6ED446C5"/>
    <w:rsid w:val="6F2A7D94"/>
    <w:rsid w:val="6F8331F1"/>
    <w:rsid w:val="6FAE1A09"/>
    <w:rsid w:val="6FD75BF8"/>
    <w:rsid w:val="700E48C5"/>
    <w:rsid w:val="701F2CF5"/>
    <w:rsid w:val="704B4683"/>
    <w:rsid w:val="707723D0"/>
    <w:rsid w:val="70F5661B"/>
    <w:rsid w:val="71360107"/>
    <w:rsid w:val="713B688E"/>
    <w:rsid w:val="71D43752"/>
    <w:rsid w:val="71EC5634"/>
    <w:rsid w:val="71F1796A"/>
    <w:rsid w:val="72154626"/>
    <w:rsid w:val="72262B5D"/>
    <w:rsid w:val="72283FF7"/>
    <w:rsid w:val="722C6DDA"/>
    <w:rsid w:val="722E7212"/>
    <w:rsid w:val="723A0474"/>
    <w:rsid w:val="725923E4"/>
    <w:rsid w:val="72864BF7"/>
    <w:rsid w:val="729023FC"/>
    <w:rsid w:val="73667409"/>
    <w:rsid w:val="73C0646E"/>
    <w:rsid w:val="73E7CF11"/>
    <w:rsid w:val="742222F5"/>
    <w:rsid w:val="74476126"/>
    <w:rsid w:val="74706664"/>
    <w:rsid w:val="747F3682"/>
    <w:rsid w:val="749C4185"/>
    <w:rsid w:val="74B60DFD"/>
    <w:rsid w:val="75067759"/>
    <w:rsid w:val="752E6DCD"/>
    <w:rsid w:val="7551380D"/>
    <w:rsid w:val="755E4517"/>
    <w:rsid w:val="75600BE5"/>
    <w:rsid w:val="7564475C"/>
    <w:rsid w:val="756F58E8"/>
    <w:rsid w:val="7583797F"/>
    <w:rsid w:val="75D20F1D"/>
    <w:rsid w:val="75DA2C18"/>
    <w:rsid w:val="75F54412"/>
    <w:rsid w:val="761D08E0"/>
    <w:rsid w:val="765D347C"/>
    <w:rsid w:val="76826699"/>
    <w:rsid w:val="76C87133"/>
    <w:rsid w:val="76CD08D5"/>
    <w:rsid w:val="76D31F1A"/>
    <w:rsid w:val="76DB4B92"/>
    <w:rsid w:val="76FD013A"/>
    <w:rsid w:val="77052AA4"/>
    <w:rsid w:val="77136511"/>
    <w:rsid w:val="77233A96"/>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C938EC"/>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AC7B7D"/>
    <w:rsid w:val="7EF56FBB"/>
    <w:rsid w:val="7F0768EB"/>
    <w:rsid w:val="7F143BEC"/>
    <w:rsid w:val="7F715AF2"/>
    <w:rsid w:val="7F886E69"/>
    <w:rsid w:val="BB7FA927"/>
    <w:rsid w:val="DE75EE05"/>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5"/>
    <w:qFormat/>
    <w:uiPriority w:val="0"/>
    <w:pPr>
      <w:spacing w:line="480" w:lineRule="exact"/>
      <w:ind w:firstLine="480" w:firstLineChars="200"/>
    </w:pPr>
    <w:rPr>
      <w:rFonts w:ascii="宋体" w:hAnsi="宋体"/>
      <w:sz w:val="24"/>
    </w:rPr>
  </w:style>
  <w:style w:type="paragraph" w:styleId="6">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1"/>
    <w:qFormat/>
    <w:uiPriority w:val="0"/>
    <w:pPr>
      <w:ind w:firstLine="420"/>
    </w:pPr>
    <w:rPr>
      <w:rFonts w:hAnsi="Calibri" w:cs="Times New Roman"/>
      <w:snapToGrid/>
      <w:szCs w:val="20"/>
    </w:rPr>
  </w:style>
  <w:style w:type="paragraph" w:styleId="26">
    <w:name w:val="toc 6"/>
    <w:basedOn w:val="1"/>
    <w:next w:val="1"/>
    <w:qFormat/>
    <w:uiPriority w:val="0"/>
    <w:pPr>
      <w:ind w:left="2100" w:leftChars="10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qFormat/>
    <w:uiPriority w:val="0"/>
    <w:rPr>
      <w:b/>
      <w:bCs/>
    </w:rPr>
  </w:style>
  <w:style w:type="paragraph" w:styleId="61">
    <w:name w:val="Body Text First Indent 2"/>
    <w:basedOn w:val="2"/>
    <w:next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9"/>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2"/>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7"/>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8"/>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0"/>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5"/>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5"/>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8"/>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24315</Words>
  <Characters>25903</Characters>
  <Lines>281</Lines>
  <Paragraphs>79</Paragraphs>
  <TotalTime>11</TotalTime>
  <ScaleCrop>false</ScaleCrop>
  <LinksUpToDate>false</LinksUpToDate>
  <CharactersWithSpaces>26626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2021-07-31T08:22:00Z</dcterms:created>
  <dc:creator>玥</dc:creator>
  <cp:lastModifiedBy>      Eve.</cp:lastModifiedBy>
  <cp:lastPrinted>2025-04-29T23:39:00Z</cp:lastPrinted>
  <dcterms:modified xsi:type="dcterms:W3CDTF">2025-07-02T09:16:46Z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eyJoZGlkIjoiYmU3YzJjZTk3NGZkNGQ3NWM1YTczNmNlZjhiYmFiNWQiLCJ1c2VySWQiOiI0MzMxMTY4MzkifQ==</vt:lpwstr>
  </property>
</Properties>
</file>