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西溪街道电气烟智慧“三件套”维保服务项目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WCGC2025-XH-002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杭州市西湖区人民政府西溪街道办事处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万宸工程咨询（杭州）有限公司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17</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WCGC2025-XH-002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519" w:name="_GoBack"/>
      <w:r>
        <w:rPr>
          <w:rFonts w:hint="eastAsia" w:ascii="宋体" w:hAnsi="宋体" w:cs="宋体"/>
          <w:color w:val="auto"/>
          <w:sz w:val="24"/>
          <w:highlight w:val="none"/>
          <w:lang w:eastAsia="zh-CN"/>
        </w:rPr>
        <w:t>西溪街道电气烟智慧“三件套”维保服务项目</w:t>
      </w:r>
      <w:bookmarkEnd w:id="519"/>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1800000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1800000</w:t>
      </w:r>
      <w:r>
        <w:rPr>
          <w:rFonts w:ascii="宋体" w:hAnsi="宋体" w:cs="宋体"/>
          <w:color w:val="auto"/>
          <w:sz w:val="24"/>
          <w:highlight w:val="none"/>
        </w:rPr>
        <w:t xml:space="preserve"> </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西溪街道电气烟智慧“三件套”维保服务项目</w:t>
      </w:r>
      <w:r>
        <w:rPr>
          <w:rFonts w:hint="eastAsia" w:hAnsi="宋体" w:cs="宋体"/>
          <w:bCs/>
          <w:snapToGrid/>
          <w:color w:val="auto"/>
          <w:kern w:val="2"/>
          <w:sz w:val="24"/>
          <w:szCs w:val="24"/>
          <w:highlight w:val="none"/>
        </w:rPr>
        <w:t>主要内容：为</w:t>
      </w:r>
      <w:r>
        <w:rPr>
          <w:rFonts w:hint="eastAsia" w:hAnsi="宋体" w:cs="宋体"/>
          <w:bCs/>
          <w:snapToGrid/>
          <w:color w:val="auto"/>
          <w:kern w:val="2"/>
          <w:sz w:val="24"/>
          <w:szCs w:val="24"/>
          <w:highlight w:val="none"/>
          <w:lang w:val="en-US" w:eastAsia="zh-CN"/>
        </w:rPr>
        <w:t>西溪街道</w:t>
      </w:r>
      <w:r>
        <w:rPr>
          <w:rFonts w:hint="eastAsia" w:hAnsi="宋体" w:cs="宋体"/>
          <w:bCs/>
          <w:snapToGrid/>
          <w:color w:val="auto"/>
          <w:kern w:val="2"/>
          <w:sz w:val="24"/>
          <w:szCs w:val="24"/>
          <w:highlight w:val="none"/>
        </w:rPr>
        <w:t>全域感知数智化设备（智慧“三件套”）运维提供服务，包括设备维修、设备巡检、软件平台使用、技术保障、设备通信费用，用户调研及操作优化服务，服务期内应保证运维设备和软件平台高性能运行，全力支撑辖区全域感知数智化业务安全运行。</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三年，合同一年一签</w:t>
      </w:r>
      <w:r>
        <w:rPr>
          <w:rFonts w:ascii="宋体" w:hAnsi="宋体" w:cs="宋体"/>
          <w:color w:val="auto"/>
          <w:highlight w:val="none"/>
        </w:rPr>
        <w:t xml:space="preserve"> </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浙江省杭州市西湖区马塍路7号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石老师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项目联系方式（询问）：0571-89513030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质疑联系人：蒋老师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质疑联系方式：0571-58122585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万宸工程咨询（杭州）有限公司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址：杭州市上城区馆驿后6号608室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项目联系人（询问）：薄先生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项目联系方式（询问）：13868695299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质疑联系人：陆女士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0571-89393932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西湖区</w:t>
      </w:r>
      <w:r>
        <w:rPr>
          <w:rFonts w:hint="eastAsia" w:ascii="宋体" w:hAnsi="宋体" w:cs="宋体"/>
          <w:color w:val="auto"/>
          <w:sz w:val="24"/>
          <w:highlight w:val="none"/>
        </w:rPr>
        <w:t>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kern w:val="0"/>
                <w:sz w:val="24"/>
                <w:highlight w:val="none"/>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pPr>
              <w:pStyle w:val="81"/>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1、成交单位须在领取成交通知书的同时，提供与线上递交的“电子加密响应文件”一致的纸质响应文件并装订成册一正</w:t>
            </w:r>
            <w:r>
              <w:rPr>
                <w:rFonts w:hint="eastAsia" w:ascii="宋体" w:hAnsi="宋体" w:cs="宋体"/>
                <w:sz w:val="24"/>
                <w:lang w:val="en-US" w:eastAsia="zh-CN"/>
              </w:rPr>
              <w:t>二</w:t>
            </w:r>
            <w:r>
              <w:rPr>
                <w:rFonts w:hint="eastAsia" w:ascii="宋体" w:hAnsi="宋体" w:cs="宋体"/>
                <w:sz w:val="24"/>
              </w:rPr>
              <w:t>副给采购代理机构。</w:t>
            </w:r>
          </w:p>
          <w:p>
            <w:pPr>
              <w:spacing w:line="360" w:lineRule="auto"/>
              <w:rPr>
                <w:rFonts w:hint="eastAsia" w:ascii="宋体" w:hAnsi="宋体" w:cs="宋体"/>
                <w:sz w:val="24"/>
              </w:rPr>
            </w:pPr>
            <w:r>
              <w:rPr>
                <w:rFonts w:hint="eastAsia" w:ascii="宋体" w:hAnsi="宋体" w:cs="宋体"/>
                <w:sz w:val="24"/>
              </w:rPr>
              <w:t>2、采购代理服务费金额：参考发改价格(2011)534号文件规定的服务类收费标准</w:t>
            </w:r>
            <w:r>
              <w:rPr>
                <w:rFonts w:hint="eastAsia" w:ascii="宋体" w:hAnsi="宋体" w:cs="宋体"/>
                <w:sz w:val="24"/>
                <w:lang w:val="en-US" w:eastAsia="zh-CN"/>
              </w:rPr>
              <w:t>收取</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采购代理服务费交纳形式：汇票/支票/电汇/现金</w:t>
            </w:r>
          </w:p>
          <w:p>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z w:val="24"/>
              </w:rPr>
              <w:t>采购代理服务费由中标人在发布采购结果公告后5日内以人民币方式向采购代理机构支付。</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2"/>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4730295"/>
      <w:bookmarkEnd w:id="17"/>
      <w:bookmarkStart w:id="18" w:name="_Hlt74729768"/>
      <w:bookmarkEnd w:id="18"/>
      <w:bookmarkStart w:id="19" w:name="_Hlt75236101"/>
      <w:bookmarkEnd w:id="19"/>
      <w:bookmarkStart w:id="20" w:name="_Hlt75236011"/>
      <w:bookmarkEnd w:id="20"/>
      <w:bookmarkStart w:id="21" w:name="_Hlt68072990"/>
      <w:bookmarkEnd w:id="21"/>
      <w:bookmarkStart w:id="22" w:name="_Hlt74714665"/>
      <w:bookmarkEnd w:id="22"/>
      <w:bookmarkStart w:id="23" w:name="_Hlt68072998"/>
      <w:bookmarkEnd w:id="23"/>
      <w:bookmarkStart w:id="24" w:name="_Hlt68073093"/>
      <w:bookmarkEnd w:id="24"/>
      <w:bookmarkStart w:id="25" w:name="_Hlt74707468"/>
      <w:bookmarkEnd w:id="25"/>
      <w:bookmarkStart w:id="26" w:name="_Hlt7523629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一、项目现状</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西溪</w:t>
      </w:r>
      <w:r>
        <w:rPr>
          <w:rFonts w:hint="eastAsia" w:ascii="宋体" w:hAnsi="宋体" w:eastAsia="宋体" w:cs="宋体"/>
          <w:sz w:val="24"/>
          <w:szCs w:val="24"/>
          <w:highlight w:val="none"/>
        </w:rPr>
        <w:t>街道在项目中</w:t>
      </w:r>
      <w:r>
        <w:rPr>
          <w:rFonts w:hint="eastAsia" w:ascii="宋体" w:hAnsi="宋体" w:eastAsia="宋体" w:cs="宋体"/>
          <w:sz w:val="24"/>
          <w:szCs w:val="24"/>
          <w:highlight w:val="none"/>
          <w:lang w:eastAsia="zh-CN"/>
        </w:rPr>
        <w:t>现有</w:t>
      </w:r>
      <w:r>
        <w:rPr>
          <w:rFonts w:hint="eastAsia" w:ascii="宋体" w:hAnsi="宋体" w:eastAsia="宋体" w:cs="宋体"/>
          <w:sz w:val="24"/>
          <w:szCs w:val="24"/>
          <w:highlight w:val="none"/>
        </w:rPr>
        <w:t>总</w:t>
      </w:r>
      <w:r>
        <w:rPr>
          <w:rFonts w:hint="eastAsia" w:ascii="宋体" w:hAnsi="宋体" w:eastAsia="宋体" w:cs="宋体"/>
          <w:sz w:val="24"/>
          <w:szCs w:val="24"/>
          <w:highlight w:val="none"/>
          <w:lang w:eastAsia="zh-CN"/>
        </w:rPr>
        <w:t>在线数</w:t>
      </w:r>
      <w:r>
        <w:rPr>
          <w:rFonts w:hint="eastAsia" w:ascii="宋体" w:hAnsi="宋体" w:cs="宋体"/>
          <w:sz w:val="24"/>
          <w:szCs w:val="24"/>
          <w:highlight w:val="none"/>
          <w:lang w:val="en-US" w:eastAsia="zh-CN"/>
        </w:rPr>
        <w:t>暂估</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8569</w:t>
      </w:r>
      <w:r>
        <w:rPr>
          <w:rFonts w:hint="eastAsia" w:ascii="宋体" w:hAnsi="宋体" w:eastAsia="宋体" w:cs="宋体"/>
          <w:sz w:val="24"/>
          <w:szCs w:val="24"/>
          <w:highlight w:val="none"/>
        </w:rPr>
        <w:t>路设备。项目三年运营期间，社会面消防意识显著提高，系统整体运行平稳，但项目运行期间仍然存在问题，包括运营成本高、设备类型杂，维护难度高，造成维护不及时等。</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为进一步提升辖区消防安全，降低火灾风险和运营成本，提升项目运维效率，故推动本次系统运行维护项目。</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二、服务内容</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西溪</w:t>
      </w:r>
      <w:r>
        <w:rPr>
          <w:rFonts w:hint="eastAsia" w:ascii="宋体" w:hAnsi="宋体" w:eastAsia="宋体" w:cs="宋体"/>
          <w:sz w:val="24"/>
          <w:szCs w:val="24"/>
          <w:highlight w:val="none"/>
        </w:rPr>
        <w:t>街道全域感知数智化设备和系统提供远程和现场技术保障服务，服务包含</w:t>
      </w:r>
      <w:r>
        <w:rPr>
          <w:rFonts w:hint="eastAsia" w:ascii="宋体" w:hAnsi="宋体" w:eastAsia="宋体" w:cs="宋体"/>
          <w:b/>
          <w:bCs/>
          <w:sz w:val="24"/>
          <w:szCs w:val="24"/>
          <w:highlight w:val="none"/>
        </w:rPr>
        <w:t>运维设备的维修、备件以及运营平台使用</w:t>
      </w:r>
      <w:r>
        <w:rPr>
          <w:rFonts w:hint="eastAsia" w:ascii="宋体" w:hAnsi="宋体" w:eastAsia="宋体" w:cs="宋体"/>
          <w:b/>
          <w:bCs/>
          <w:sz w:val="24"/>
          <w:szCs w:val="24"/>
          <w:highlight w:val="none"/>
          <w:lang w:eastAsia="zh-CN"/>
        </w:rPr>
        <w:t>、电气烟感免费更换</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运行期间若社会单位场所涉及点位新装，按照约定</w:t>
      </w:r>
      <w:r>
        <w:rPr>
          <w:rFonts w:hint="eastAsia" w:ascii="宋体" w:hAnsi="宋体" w:eastAsia="宋体" w:cs="宋体"/>
          <w:b/>
          <w:bCs/>
          <w:sz w:val="24"/>
          <w:szCs w:val="24"/>
          <w:highlight w:val="none"/>
          <w:lang w:eastAsia="zh-CN"/>
        </w:rPr>
        <w:t>所有设备免费安装</w:t>
      </w:r>
      <w:r>
        <w:rPr>
          <w:rFonts w:hint="eastAsia" w:ascii="宋体" w:hAnsi="宋体" w:eastAsia="宋体" w:cs="宋体"/>
          <w:sz w:val="24"/>
          <w:szCs w:val="24"/>
          <w:highlight w:val="none"/>
          <w:lang w:eastAsia="zh-CN"/>
        </w:rPr>
        <w:t>，但维保时间按照三年执行</w:t>
      </w:r>
      <w:r>
        <w:rPr>
          <w:rFonts w:hint="eastAsia" w:ascii="宋体" w:hAnsi="宋体" w:eastAsia="宋体" w:cs="宋体"/>
          <w:sz w:val="24"/>
          <w:szCs w:val="24"/>
          <w:highlight w:val="none"/>
        </w:rPr>
        <w:t>。服务期内应保持各项软硬件的高性能运行，全力支撑业务安全运行。具体服务内容如下：</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1、主动式服务要求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1）例行巡检：</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街道区域内，按行政区划例行巡检，确保每年对全域</w:t>
      </w:r>
      <w:r>
        <w:rPr>
          <w:rFonts w:hint="eastAsia" w:ascii="宋体" w:hAnsi="宋体" w:eastAsia="宋体" w:cs="宋体"/>
          <w:sz w:val="24"/>
          <w:szCs w:val="24"/>
          <w:highlight w:val="none"/>
          <w:lang w:val="en-US" w:eastAsia="zh-CN"/>
        </w:rPr>
        <w:t>购买的在线运营</w:t>
      </w:r>
      <w:r>
        <w:rPr>
          <w:rFonts w:hint="eastAsia" w:ascii="宋体" w:hAnsi="宋体" w:eastAsia="宋体" w:cs="宋体"/>
          <w:sz w:val="24"/>
          <w:szCs w:val="24"/>
        </w:rPr>
        <w:t>设备完成至少一次巡检，包括电池、物联网卡等配件更换，确保设备在线正常运行。</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2）备件服务：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平台提供线上运维功能，一旦设备离线，离线信息通过系统推送至运维人员，运维人员上门排查故障，简单问题现场修复，硬件问题，联系设备厂家维修，若厂家设备过保或设备无法修复，</w:t>
      </w:r>
      <w:r>
        <w:rPr>
          <w:rFonts w:hint="eastAsia" w:ascii="宋体" w:hAnsi="宋体" w:eastAsia="宋体" w:cs="宋体"/>
          <w:b/>
          <w:bCs/>
          <w:sz w:val="24"/>
          <w:szCs w:val="24"/>
          <w:lang w:eastAsia="zh-CN"/>
        </w:rPr>
        <w:t>免费</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不低于原</w:t>
      </w:r>
      <w:r>
        <w:rPr>
          <w:rFonts w:hint="eastAsia" w:ascii="宋体" w:hAnsi="宋体" w:eastAsia="宋体" w:cs="宋体"/>
          <w:b/>
          <w:bCs/>
          <w:sz w:val="24"/>
          <w:szCs w:val="24"/>
        </w:rPr>
        <w:t>规格备件进行更换，</w:t>
      </w:r>
      <w:r>
        <w:rPr>
          <w:rFonts w:hint="eastAsia" w:ascii="宋体" w:hAnsi="宋体" w:eastAsia="宋体" w:cs="宋体"/>
          <w:sz w:val="24"/>
          <w:szCs w:val="24"/>
        </w:rPr>
        <w:t>确保设备在线正常运行。</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3）平台切换：</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red"/>
          <w:lang w:eastAsia="zh-CN"/>
        </w:rPr>
      </w:pPr>
      <w:r>
        <w:rPr>
          <w:rFonts w:hint="eastAsia" w:ascii="宋体" w:hAnsi="宋体" w:eastAsia="宋体" w:cs="宋体"/>
          <w:sz w:val="24"/>
          <w:szCs w:val="24"/>
        </w:rPr>
        <w:t>运维期间，根据设备过保状态逐步平缓切换，已过保及即将过保设备切换至新平台，</w:t>
      </w:r>
      <w:r>
        <w:rPr>
          <w:rFonts w:hint="eastAsia" w:ascii="宋体" w:hAnsi="宋体" w:eastAsia="宋体" w:cs="宋体"/>
          <w:b/>
          <w:bCs/>
          <w:sz w:val="24"/>
          <w:szCs w:val="24"/>
          <w:highlight w:val="none"/>
        </w:rPr>
        <w:t>未过保设备，</w:t>
      </w:r>
      <w:r>
        <w:rPr>
          <w:rFonts w:hint="eastAsia" w:ascii="宋体" w:hAnsi="宋体" w:eastAsia="宋体" w:cs="宋体"/>
          <w:b/>
          <w:bCs/>
          <w:sz w:val="24"/>
          <w:szCs w:val="24"/>
          <w:highlight w:val="none"/>
          <w:lang w:eastAsia="zh-CN"/>
        </w:rPr>
        <w:t>按照新中标单位全部切换至新平台。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eastAsia="zh-CN"/>
        </w:rPr>
        <w:t>中标单位应承诺：中标供应商需在合同签订之日起15日内完成其自有系统平台与现场感知层设备的数据对接工作,且所有三件套设备点位需在应用平台实时展现的承诺。</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4）重大活动事件保障服务：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维期间，如遇领导视察、系统演示等重大活动时，在活动前，组建重大活动保障小组，对系统功能进行全方位的检查，遇到问题及时联系研发解决，活动当天，配合进行系统保障及讲解工作，确保顺利完成保障内容。</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5）应用平台数据保障服务：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期检查应用平台数据库，主要检测数据库的信息包含：磁盘使用情况、数据库进程、监听端口、数据库配置信息、数据库用户信息、数据增长情况、错误日志、表空间使用率、数据文件、JOB信息、RMAN信息、归档日志、默认参数等。</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2、响应支持服务要求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1）现场二维码扫码报修：</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在设备安装位置粘贴报警处置和设备故障报修二维码，一旦用户发现设备故障，可扫码主动报修，运维人员后台接单后，安排人力现场排查故障</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2）一般响应支持</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针对本项目各个应用系统软、硬件设备远程发现的问题，进行现场响应处置和修复。其中重大故障在接到报修后实时响应。普通故障24小时修复，重大故障48小时修复，如无法解决需要</w:t>
      </w:r>
      <w:r>
        <w:rPr>
          <w:rFonts w:hint="eastAsia" w:ascii="宋体" w:hAnsi="宋体" w:eastAsia="宋体" w:cs="宋体"/>
          <w:sz w:val="24"/>
          <w:szCs w:val="24"/>
          <w:highlight w:val="none"/>
        </w:rPr>
        <w:t>明确解决时</w:t>
      </w:r>
      <w:r>
        <w:rPr>
          <w:rFonts w:hint="eastAsia" w:ascii="宋体" w:hAnsi="宋体" w:eastAsia="宋体" w:cs="宋体"/>
          <w:sz w:val="24"/>
          <w:szCs w:val="24"/>
        </w:rPr>
        <w:t>间，并给出临时解决方案。</w:t>
      </w:r>
    </w:p>
    <w:p>
      <w:pPr>
        <w:pStyle w:val="5"/>
        <w:pageBreakBefore w:val="0"/>
        <w:widowControl w:val="0"/>
        <w:numPr>
          <w:ilvl w:val="0"/>
          <w:numId w:val="0"/>
        </w:numPr>
        <w:kinsoku/>
        <w:wordWrap/>
        <w:overflowPunct/>
        <w:topLinePunct w:val="0"/>
        <w:autoSpaceDE/>
        <w:autoSpaceDN/>
        <w:bidi w:val="0"/>
        <w:snapToGrid/>
        <w:spacing w:line="360" w:lineRule="auto"/>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）应急处置队伍需</w:t>
      </w:r>
      <w:r>
        <w:rPr>
          <w:rFonts w:hint="eastAsia" w:ascii="宋体" w:hAnsi="宋体" w:eastAsia="宋体" w:cs="宋体"/>
          <w:b w:val="0"/>
          <w:bCs w:val="0"/>
          <w:sz w:val="24"/>
          <w:szCs w:val="24"/>
          <w:lang w:val="en-US" w:eastAsia="zh-CN"/>
        </w:rPr>
        <w:t>24小时人工值班。</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3、扩展对接服务要求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为实现</w:t>
      </w:r>
      <w:r>
        <w:rPr>
          <w:rFonts w:hint="eastAsia" w:ascii="宋体" w:hAnsi="宋体" w:eastAsia="宋体" w:cs="宋体"/>
          <w:sz w:val="24"/>
          <w:szCs w:val="24"/>
          <w:lang w:eastAsia="zh-CN"/>
        </w:rPr>
        <w:t>西溪</w:t>
      </w:r>
      <w:r>
        <w:rPr>
          <w:rFonts w:hint="eastAsia" w:ascii="宋体" w:hAnsi="宋体" w:eastAsia="宋体" w:cs="宋体"/>
          <w:sz w:val="24"/>
          <w:szCs w:val="24"/>
        </w:rPr>
        <w:t>街道三件套维保项目更好的开展，开发提供和社安卫士等小程序无缝对接服务，合理利用物业、保安等相关资源提升项目维护效率和质量，有效提升项目交付质量和交付SLA。</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4、平台对接服务要求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lang w:eastAsia="zh-CN"/>
        </w:rPr>
        <w:t>西溪</w:t>
      </w:r>
      <w:r>
        <w:rPr>
          <w:rFonts w:hint="eastAsia" w:ascii="宋体" w:hAnsi="宋体" w:eastAsia="宋体" w:cs="宋体"/>
          <w:sz w:val="24"/>
          <w:szCs w:val="24"/>
        </w:rPr>
        <w:t>街道三件套项目整体运行和管理，本项目运维所有设备均推送至西湖区三件套管理平台，</w:t>
      </w:r>
      <w:r>
        <w:rPr>
          <w:rFonts w:hint="eastAsia" w:ascii="宋体" w:hAnsi="宋体" w:eastAsia="宋体" w:cs="宋体"/>
          <w:sz w:val="24"/>
          <w:szCs w:val="24"/>
          <w:lang w:val="en-US" w:eastAsia="zh-CN"/>
        </w:rPr>
        <w:t>成交人需按</w:t>
      </w:r>
      <w:r>
        <w:rPr>
          <w:rFonts w:hint="eastAsia" w:ascii="宋体" w:hAnsi="宋体" w:eastAsia="宋体" w:cs="宋体"/>
          <w:sz w:val="24"/>
          <w:szCs w:val="24"/>
          <w:highlight w:val="none"/>
          <w:lang w:val="en-US" w:eastAsia="zh-CN"/>
        </w:rPr>
        <w:t>照采购人</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接口</w:t>
      </w:r>
      <w:r>
        <w:rPr>
          <w:rFonts w:hint="eastAsia" w:ascii="宋体" w:hAnsi="宋体" w:eastAsia="宋体" w:cs="宋体"/>
          <w:sz w:val="24"/>
          <w:szCs w:val="24"/>
        </w:rPr>
        <w:t>对接协议或按照上级平台提供的接口协议进行开发，推送内容包括：用户组织信息、设备状态、设备报警数据。</w:t>
      </w:r>
    </w:p>
    <w:p>
      <w:pPr>
        <w:pStyle w:val="5"/>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sz w:val="24"/>
          <w:szCs w:val="24"/>
          <w:lang w:val="en-US" w:eastAsia="zh-CN"/>
        </w:rPr>
        <w:t>5、保险服务</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为降低西溪街道三件套维保项目整体风险，按照上级要求对本次维保项目的设备提供产品责任险。更换的新设备都提供产品责任或安责险。费用包含在响应文件总结内。</w:t>
      </w:r>
    </w:p>
    <w:p>
      <w:pPr>
        <w:pStyle w:val="5"/>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bCs/>
          <w:sz w:val="24"/>
          <w:szCs w:val="24"/>
          <w:lang w:val="en-US" w:eastAsia="zh-CN"/>
        </w:rPr>
        <w:t>新设点位的新装设备相关要求</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lang w:val="en-US" w:eastAsia="zh-CN"/>
        </w:rPr>
        <w:t>参数要求：按照更新设备参数要求执行</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费用：</w:t>
      </w:r>
      <w:r>
        <w:rPr>
          <w:rFonts w:hint="eastAsia" w:ascii="宋体" w:hAnsi="宋体" w:cs="宋体"/>
          <w:b/>
          <w:bCs/>
          <w:sz w:val="24"/>
          <w:szCs w:val="24"/>
          <w:highlight w:val="none"/>
          <w:lang w:val="en-US" w:eastAsia="zh-CN"/>
        </w:rPr>
        <w:t>运维或新装，</w:t>
      </w:r>
      <w:r>
        <w:rPr>
          <w:rFonts w:hint="eastAsia" w:ascii="宋体" w:hAnsi="宋体" w:eastAsia="宋体" w:cs="宋体"/>
          <w:b/>
          <w:bCs/>
          <w:sz w:val="24"/>
          <w:szCs w:val="24"/>
          <w:highlight w:val="none"/>
        </w:rPr>
        <w:t>每件每年不</w:t>
      </w:r>
      <w:r>
        <w:rPr>
          <w:rFonts w:hint="eastAsia" w:ascii="宋体" w:hAnsi="宋体" w:cs="宋体"/>
          <w:b/>
          <w:bCs/>
          <w:sz w:val="24"/>
          <w:szCs w:val="24"/>
          <w:highlight w:val="none"/>
          <w:lang w:val="en-US" w:eastAsia="zh-CN"/>
        </w:rPr>
        <w:t>得</w:t>
      </w:r>
      <w:r>
        <w:rPr>
          <w:rFonts w:hint="eastAsia" w:ascii="宋体" w:hAnsi="宋体" w:eastAsia="宋体" w:cs="宋体"/>
          <w:b/>
          <w:bCs/>
          <w:sz w:val="24"/>
          <w:szCs w:val="24"/>
          <w:highlight w:val="none"/>
        </w:rPr>
        <w:t>高于90元</w:t>
      </w:r>
      <w:r>
        <w:rPr>
          <w:rFonts w:hint="eastAsia" w:ascii="宋体" w:hAnsi="宋体" w:cs="宋体"/>
          <w:b/>
          <w:bCs/>
          <w:sz w:val="24"/>
          <w:szCs w:val="24"/>
          <w:highlight w:val="none"/>
          <w:lang w:eastAsia="zh-CN"/>
        </w:rPr>
        <w:t>。</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b/>
          <w:bCs/>
          <w:color w:val="auto"/>
          <w:kern w:val="2"/>
          <w:sz w:val="24"/>
          <w:szCs w:val="24"/>
          <w:highlight w:val="none"/>
          <w:lang w:val="en-US" w:eastAsia="zh-CN" w:bidi="ar-SA"/>
        </w:rPr>
        <w:t>3）</w:t>
      </w:r>
      <w:r>
        <w:rPr>
          <w:rFonts w:hint="eastAsia" w:cs="仿宋" w:asciiTheme="minorEastAsia" w:hAnsiTheme="minorEastAsia"/>
          <w:b/>
          <w:bCs/>
          <w:color w:val="auto"/>
          <w:sz w:val="24"/>
          <w:highlight w:val="none"/>
        </w:rPr>
        <w:t>中标单位应承诺：</w:t>
      </w:r>
      <w:r>
        <w:rPr>
          <w:rFonts w:hint="eastAsia" w:ascii="宋体" w:hAnsi="宋体" w:cs="仿宋_GB2312"/>
          <w:color w:val="auto"/>
          <w:sz w:val="24"/>
          <w:highlight w:val="none"/>
          <w:shd w:val="clear" w:color="auto" w:fill="FFFFFF" w:themeFill="background1"/>
        </w:rPr>
        <w:t>中标供应商需在合同签订之日起</w:t>
      </w:r>
      <w:r>
        <w:rPr>
          <w:rFonts w:hint="eastAsia" w:ascii="宋体" w:hAnsi="宋体" w:cs="仿宋_GB2312"/>
          <w:color w:val="auto"/>
          <w:sz w:val="24"/>
          <w:highlight w:val="none"/>
          <w:shd w:val="clear" w:color="auto" w:fill="FFFFFF" w:themeFill="background1"/>
          <w:lang w:val="en-US" w:eastAsia="zh-CN"/>
        </w:rPr>
        <w:t>90</w:t>
      </w:r>
      <w:r>
        <w:rPr>
          <w:rFonts w:hint="eastAsia" w:ascii="宋体" w:hAnsi="宋体" w:cs="仿宋_GB2312"/>
          <w:color w:val="auto"/>
          <w:sz w:val="24"/>
          <w:highlight w:val="none"/>
          <w:shd w:val="clear" w:color="auto" w:fill="FFFFFF" w:themeFill="background1"/>
        </w:rPr>
        <w:t>日内完成</w:t>
      </w:r>
      <w:r>
        <w:rPr>
          <w:rFonts w:hint="eastAsia" w:ascii="宋体" w:hAnsi="宋体" w:eastAsia="宋体" w:cs="宋体"/>
          <w:b/>
          <w:bCs/>
          <w:color w:val="auto"/>
          <w:sz w:val="24"/>
          <w:szCs w:val="24"/>
          <w:highlight w:val="none"/>
          <w:lang w:eastAsia="zh-CN"/>
        </w:rPr>
        <w:t>电气烟感设备的更换。</w:t>
      </w:r>
    </w:p>
    <w:p>
      <w:pPr>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其他</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sz w:val="24"/>
          <w:szCs w:val="24"/>
          <w:lang w:val="en-US" w:eastAsia="zh-CN"/>
        </w:rPr>
        <w:t>所有设备在线率保持在99%,设备离线后24小时内恢复，报警准确率保持在99%，且每个报警信息均有反馈内容；预警信息60秒以内通知相关人员。</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三、服务范围</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09"/>
        <w:gridCol w:w="851"/>
        <w:gridCol w:w="153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75"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类型</w:t>
            </w:r>
          </w:p>
        </w:tc>
        <w:tc>
          <w:tcPr>
            <w:tcW w:w="2409"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原有</w:t>
            </w:r>
            <w:r>
              <w:rPr>
                <w:rFonts w:hint="eastAsia" w:ascii="宋体" w:hAnsi="宋体" w:eastAsia="宋体" w:cs="宋体"/>
                <w:b/>
                <w:bCs/>
                <w:sz w:val="24"/>
                <w:szCs w:val="24"/>
              </w:rPr>
              <w:t>数量</w:t>
            </w:r>
          </w:p>
        </w:tc>
        <w:tc>
          <w:tcPr>
            <w:tcW w:w="288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设备运维费</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包括智慧烟感、可燃气体探测器、智慧用电探测器</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年/个</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8569</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暂估数，</w:t>
            </w:r>
            <w:r>
              <w:rPr>
                <w:rFonts w:hint="eastAsia" w:ascii="宋体" w:hAnsi="宋体" w:eastAsia="宋体" w:cs="宋体"/>
                <w:sz w:val="24"/>
                <w:szCs w:val="24"/>
                <w:lang w:eastAsia="zh-CN"/>
              </w:rPr>
              <w:t>最终数量根据实际安装数量为准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平台对接</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与上级平台对接，将设备信息和报警信息推送给上级平台</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路/年</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8569</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含研发开发费及云平台使用费</w:t>
            </w:r>
            <w:r>
              <w:rPr>
                <w:rFonts w:hint="eastAsia" w:ascii="宋体" w:hAnsi="宋体" w:eastAsia="宋体" w:cs="宋体"/>
                <w:sz w:val="24"/>
                <w:szCs w:val="24"/>
                <w:lang w:eastAsia="zh-CN"/>
              </w:rPr>
              <w:t>（最终数量根据实际安装数量为准）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小程序对接</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与西湖区特殊应用小程序对接、功能开发</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含接口开发和调试服务</w:t>
            </w:r>
          </w:p>
        </w:tc>
      </w:tr>
    </w:tbl>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zh-CN"/>
        </w:rPr>
      </w:pP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四、</w:t>
      </w:r>
      <w:r>
        <w:rPr>
          <w:rFonts w:hint="eastAsia" w:ascii="宋体" w:hAnsi="宋体" w:eastAsia="宋体" w:cs="宋体"/>
          <w:sz w:val="24"/>
          <w:szCs w:val="24"/>
          <w:lang w:val="en-US" w:eastAsia="zh-CN"/>
        </w:rPr>
        <w:t>新更换的</w:t>
      </w:r>
      <w:r>
        <w:rPr>
          <w:rFonts w:hint="eastAsia" w:ascii="宋体" w:hAnsi="宋体" w:eastAsia="宋体" w:cs="宋体"/>
          <w:sz w:val="24"/>
          <w:szCs w:val="24"/>
        </w:rPr>
        <w:t>设备参数要求</w:t>
      </w:r>
    </w:p>
    <w:tbl>
      <w:tblPr>
        <w:tblStyle w:val="65"/>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03"/>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03"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004"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（功能或者目标）技术规格、物理特性等要求</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下述参数要求为基本要求，供应商可提供优于本表要求的设备</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3"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智慧烟感</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1.终端设备应采用CAT.1通讯技术或lora本地组网技术。</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2.终端设备应采用电池供电，持续供电3年以上。</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3.应具有低功耗休眠模式，休眠时消耗电流小于20uA。</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4.支持自检，若发生故障，蜂鸣器发出报警声，并即时上报至管理系统。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5.支持低电量提醒，电池电量过低时，指示灯提醒，并伴随蜂鸣器报警声，同时将低电量提醒上传到管理系统。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6.火灾声光告警，当检测到烟雾浓度超过预设阈值时，在告警器3m范围内，会发出分贝数≥80dB的报警声，并伴随指示灯快速闪烁。</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7.支持消音功能，当告警器发生告警时，可通过自检按键控制消音。</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8.支持远程消音，当告警器发生告警时，可通过管理系统远程消音。</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9.工作温度应满足-10℃∽+50℃。</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10.应具备持续报警推送功能，在正常时间段，数据平均每隔2∽5分钟推送一次，在持续发生报警期间连续即时推送数据，且推送数据需包含烟雾浓度。</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11.设备光信号器件采用1个红色光信号发射管、1个蓝光信号发射管和1个光信号接收管；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3"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可燃气体探测器</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1.采用先进传感器、抗干扰、寿命持久。需要对酒精及其它一些干扰性气体，有较强的抗干扰能力。</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2.应能在有可燃气体泄漏时发出声光报警信号，并通过CAT.1通讯技术或lora本地组网技术，将报警信息和实时监测数据信息即时上传至管理系统。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3.报警音量应≥85dB/3m。</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4.工作温度应满足-10℃∽+50℃，工作湿度≤95%RH（无凝露）。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3"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智慧用电主机</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1.通讯方式：4G全网通；</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2.支持实时显示测量参数和报警信息，手机APP查询功能。</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3.支持检测不少于3路相电压、3路相电流。</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4.支持接入不少于4路温度探测器，不少于4路剩余电流探测器。</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5.支持快速升温信息推送功能，在持续发生报警期间内，平均每隔5∽10秒钟推送一次，且推送数据需包含温度、剩余电流、电流、电压、功率和功率因数等实时值。</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.应具备报警限值远程设定功能，可通过管理系统设定，剩余电流报警值300mA∽3000mA连接可调，温度报警值0∽140℃连续可调。</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.支持不少于1路开关量输出控制功能。</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.支持自检，若发生故障，平台推送故障信息，并上报断电事件至管理系统。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.终端应采用一体化设计，内置通信模块、电流、漏电、温度监测模块，单壳体封装。</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.工作环境温度应满足-10℃∽50℃。</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.安装方式应为导轨式安装。</w:t>
            </w:r>
          </w:p>
        </w:tc>
      </w:tr>
    </w:tbl>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sz w:val="24"/>
          <w:szCs w:val="24"/>
          <w:lang w:val="en-US" w:eastAsia="zh-CN"/>
        </w:rPr>
        <w:t>商务要求</w:t>
      </w:r>
    </w:p>
    <w:p>
      <w:pPr>
        <w:pageBreakBefore w:val="0"/>
        <w:widowControl w:val="0"/>
        <w:kinsoku/>
        <w:wordWrap/>
        <w:overflowPunct/>
        <w:topLinePunct w:val="0"/>
        <w:autoSpaceDE/>
        <w:autoSpaceDN/>
        <w:bidi w:val="0"/>
        <w:snapToGrid/>
        <w:spacing w:line="360" w:lineRule="auto"/>
        <w:ind w:firstLine="482" w:firstLineChars="200"/>
        <w:textAlignment w:val="baseline"/>
        <w:rPr>
          <w:rStyle w:val="965"/>
          <w:rFonts w:hint="eastAsia" w:ascii="宋体" w:hAnsi="宋体" w:eastAsia="宋体" w:cs="宋体"/>
          <w:b/>
          <w:color w:val="000000"/>
          <w:sz w:val="24"/>
          <w:szCs w:val="24"/>
        </w:rPr>
      </w:pPr>
      <w:r>
        <w:rPr>
          <w:rStyle w:val="965"/>
          <w:rFonts w:hint="eastAsia" w:ascii="宋体" w:hAnsi="宋体" w:eastAsia="宋体" w:cs="宋体"/>
          <w:b/>
          <w:color w:val="000000"/>
          <w:sz w:val="24"/>
          <w:szCs w:val="24"/>
          <w:lang w:val="en-US"/>
        </w:rPr>
        <w:t>1</w:t>
      </w:r>
      <w:r>
        <w:rPr>
          <w:rStyle w:val="965"/>
          <w:rFonts w:hint="eastAsia" w:ascii="宋体" w:hAnsi="宋体" w:eastAsia="宋体" w:cs="宋体"/>
          <w:b/>
          <w:color w:val="000000"/>
          <w:sz w:val="24"/>
          <w:szCs w:val="24"/>
        </w:rPr>
        <w:t>、服务期限、地点：</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b/>
          <w:bCs/>
          <w:kern w:val="0"/>
          <w:sz w:val="24"/>
          <w:szCs w:val="24"/>
          <w:highlight w:val="none"/>
        </w:rPr>
      </w:pPr>
      <w:r>
        <w:rPr>
          <w:rFonts w:hint="eastAsia" w:ascii="宋体" w:hAnsi="宋体" w:eastAsia="宋体" w:cs="宋体"/>
          <w:kern w:val="0"/>
          <w:sz w:val="24"/>
          <w:szCs w:val="24"/>
        </w:rPr>
        <w:t>1、服务期：</w:t>
      </w:r>
      <w:r>
        <w:rPr>
          <w:rFonts w:hint="eastAsia" w:ascii="宋体" w:hAnsi="宋体" w:eastAsia="宋体" w:cs="宋体"/>
          <w:b/>
          <w:bCs/>
          <w:kern w:val="0"/>
          <w:sz w:val="24"/>
          <w:szCs w:val="24"/>
          <w:highlight w:val="none"/>
          <w:lang w:val="en-US" w:eastAsia="zh-CN"/>
        </w:rPr>
        <w:t>3年</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val="en-US" w:eastAsia="zh-CN"/>
        </w:rPr>
        <w:t>合同一年一签</w:t>
      </w:r>
      <w:r>
        <w:rPr>
          <w:rFonts w:hint="eastAsia" w:ascii="宋体" w:hAnsi="宋体" w:eastAsia="宋体" w:cs="宋体"/>
          <w:b/>
          <w:bCs/>
          <w:kern w:val="0"/>
          <w:sz w:val="24"/>
          <w:szCs w:val="24"/>
          <w:highlight w:val="none"/>
        </w:rPr>
        <w:t>。</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2、服务地点：杭州市</w:t>
      </w:r>
      <w:r>
        <w:rPr>
          <w:rFonts w:hint="eastAsia" w:ascii="宋体" w:hAnsi="宋体" w:eastAsia="宋体" w:cs="宋体"/>
          <w:kern w:val="0"/>
          <w:sz w:val="24"/>
          <w:szCs w:val="24"/>
          <w:lang w:val="en-US" w:eastAsia="zh-CN"/>
        </w:rPr>
        <w:t>西湖</w:t>
      </w:r>
      <w:r>
        <w:rPr>
          <w:rFonts w:hint="eastAsia" w:ascii="宋体" w:hAnsi="宋体" w:eastAsia="宋体" w:cs="宋体"/>
          <w:kern w:val="0"/>
          <w:sz w:val="24"/>
          <w:szCs w:val="24"/>
        </w:rPr>
        <w:t>区</w:t>
      </w:r>
      <w:r>
        <w:rPr>
          <w:rFonts w:hint="eastAsia" w:ascii="宋体" w:hAnsi="宋体" w:eastAsia="宋体" w:cs="宋体"/>
          <w:kern w:val="0"/>
          <w:sz w:val="24"/>
          <w:szCs w:val="24"/>
          <w:lang w:eastAsia="zh-CN"/>
        </w:rPr>
        <w:t>西溪街道</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、支付方式</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服务费结算</w:t>
      </w:r>
      <w:r>
        <w:rPr>
          <w:rFonts w:hint="eastAsia" w:ascii="宋体" w:hAnsi="宋体" w:eastAsia="宋体" w:cs="宋体"/>
          <w:kern w:val="0"/>
          <w:sz w:val="24"/>
          <w:szCs w:val="24"/>
          <w:lang w:val="en-US" w:eastAsia="zh-CN"/>
        </w:rPr>
        <w:t>时成交</w:t>
      </w:r>
      <w:r>
        <w:rPr>
          <w:rFonts w:hint="eastAsia" w:ascii="宋体" w:hAnsi="宋体" w:eastAsia="宋体" w:cs="宋体"/>
          <w:kern w:val="0"/>
          <w:sz w:val="24"/>
          <w:szCs w:val="24"/>
        </w:rPr>
        <w:t>方开具符合采购方要求的服务发票至采购方，采购方在中标方提供发票后的次月7个工作日支付费用（遇国家法定节假日顺延）。</w:t>
      </w:r>
    </w:p>
    <w:p>
      <w:pPr>
        <w:pageBreakBefore w:val="0"/>
        <w:widowControl w:val="0"/>
        <w:tabs>
          <w:tab w:val="left" w:pos="0"/>
        </w:tabs>
        <w:kinsoku/>
        <w:wordWrap/>
        <w:overflowPunct/>
        <w:topLinePunct w:val="0"/>
        <w:autoSpaceDE/>
        <w:autoSpaceDN/>
        <w:bidi w:val="0"/>
        <w:snapToGrid/>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每年</w:t>
      </w:r>
      <w:r>
        <w:rPr>
          <w:rFonts w:hint="eastAsia" w:ascii="宋体" w:hAnsi="宋体" w:eastAsia="宋体" w:cs="宋体"/>
          <w:b/>
          <w:bCs/>
          <w:kern w:val="0"/>
          <w:sz w:val="24"/>
          <w:szCs w:val="24"/>
        </w:rPr>
        <w:t>付款进度安排</w:t>
      </w:r>
    </w:p>
    <w:p>
      <w:pPr>
        <w:pageBreakBefore w:val="0"/>
        <w:widowControl w:val="0"/>
        <w:kinsoku/>
        <w:wordWrap/>
        <w:overflowPunct/>
        <w:topLinePunct w:val="0"/>
        <w:autoSpaceDE/>
        <w:autoSpaceDN/>
        <w:bidi w:val="0"/>
        <w:snapToGrid/>
        <w:spacing w:line="360" w:lineRule="auto"/>
        <w:ind w:firstLine="458" w:firstLineChars="200"/>
        <w:rPr>
          <w:rFonts w:hint="eastAsia" w:ascii="宋体" w:hAnsi="宋体" w:eastAsia="宋体" w:cs="宋体"/>
          <w:b/>
          <w:color w:val="auto"/>
          <w:sz w:val="24"/>
          <w:szCs w:val="24"/>
          <w:highlight w:val="none"/>
        </w:rPr>
      </w:pPr>
      <w:r>
        <w:rPr>
          <w:rFonts w:hint="eastAsia" w:ascii="宋体" w:hAnsi="宋体" w:eastAsia="宋体" w:cs="宋体"/>
          <w:b/>
          <w:spacing w:val="-6"/>
          <w:sz w:val="24"/>
          <w:szCs w:val="24"/>
          <w:highlight w:val="none"/>
        </w:rPr>
        <w:t>付款方式</w:t>
      </w:r>
      <w:r>
        <w:rPr>
          <w:rFonts w:hint="eastAsia" w:ascii="宋体" w:hAnsi="宋体" w:eastAsia="宋体" w:cs="宋体"/>
          <w:b/>
          <w:spacing w:val="-6"/>
          <w:sz w:val="24"/>
          <w:szCs w:val="24"/>
          <w:highlight w:val="none"/>
          <w:lang w:eastAsia="zh-CN"/>
        </w:rPr>
        <w:t>：</w:t>
      </w:r>
      <w:r>
        <w:rPr>
          <w:rFonts w:hint="eastAsia" w:ascii="宋体" w:hAnsi="宋体" w:eastAsia="宋体" w:cs="宋体"/>
          <w:spacing w:val="-6"/>
          <w:sz w:val="24"/>
          <w:szCs w:val="24"/>
          <w:highlight w:val="none"/>
        </w:rPr>
        <w:t>1、预付款：自合同签订</w:t>
      </w:r>
      <w:r>
        <w:rPr>
          <w:rFonts w:hint="eastAsia" w:ascii="宋体" w:hAnsi="宋体" w:eastAsia="宋体" w:cs="宋体"/>
          <w:spacing w:val="-6"/>
          <w:sz w:val="24"/>
          <w:szCs w:val="24"/>
          <w:highlight w:val="none"/>
          <w:lang w:val="en-US" w:eastAsia="zh-CN"/>
        </w:rPr>
        <w:t>且具备实施条件</w:t>
      </w:r>
      <w:r>
        <w:rPr>
          <w:rFonts w:hint="eastAsia" w:ascii="宋体" w:hAnsi="宋体" w:eastAsia="宋体" w:cs="宋体"/>
          <w:spacing w:val="-6"/>
          <w:sz w:val="24"/>
          <w:szCs w:val="24"/>
          <w:highlight w:val="none"/>
        </w:rPr>
        <w:t>之日起</w:t>
      </w:r>
      <w:r>
        <w:rPr>
          <w:rFonts w:hint="eastAsia" w:ascii="宋体" w:hAnsi="宋体" w:eastAsia="宋体" w:cs="宋体"/>
          <w:spacing w:val="-6"/>
          <w:sz w:val="24"/>
          <w:szCs w:val="24"/>
          <w:highlight w:val="none"/>
          <w:lang w:eastAsia="zh-CN"/>
        </w:rPr>
        <w:t>5个工作日内支付当年合同金额的</w:t>
      </w:r>
      <w:r>
        <w:rPr>
          <w:rFonts w:hint="eastAsia" w:ascii="宋体" w:hAnsi="宋体" w:eastAsia="宋体" w:cs="宋体"/>
          <w:spacing w:val="-6"/>
          <w:sz w:val="24"/>
          <w:szCs w:val="24"/>
          <w:highlight w:val="none"/>
          <w:lang w:val="en-US" w:eastAsia="zh-CN"/>
        </w:rPr>
        <w:t>40%作为预付款。2、服务期满6个月后支付当年合同金额的40%。3、当年服务期结束后支付当年合同金额的20%。</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66"/>
      <w:bookmarkEnd w:id="28"/>
      <w:bookmarkStart w:id="29" w:name="_Toc184313300"/>
      <w:bookmarkEnd w:id="29"/>
      <w:bookmarkStart w:id="30" w:name="_Toc184308071"/>
      <w:bookmarkEnd w:id="30"/>
      <w:bookmarkStart w:id="31" w:name="_Toc184310318"/>
      <w:bookmarkEnd w:id="31"/>
      <w:bookmarkStart w:id="32" w:name="_Toc184312102"/>
      <w:bookmarkEnd w:id="32"/>
      <w:bookmarkStart w:id="33" w:name="_Toc184308077"/>
      <w:bookmarkEnd w:id="33"/>
      <w:bookmarkStart w:id="34" w:name="_Toc184312105"/>
      <w:bookmarkEnd w:id="34"/>
      <w:bookmarkStart w:id="35" w:name="_Toc184314476"/>
      <w:bookmarkEnd w:id="35"/>
      <w:bookmarkStart w:id="36" w:name="_Toc184308059"/>
      <w:bookmarkEnd w:id="36"/>
      <w:bookmarkStart w:id="37" w:name="_Toc184313258"/>
      <w:bookmarkEnd w:id="37"/>
      <w:bookmarkStart w:id="38" w:name="_Toc184314429"/>
      <w:bookmarkEnd w:id="38"/>
      <w:bookmarkStart w:id="39" w:name="_Toc184310297"/>
      <w:bookmarkEnd w:id="39"/>
      <w:bookmarkStart w:id="40" w:name="_Toc184314438"/>
      <w:bookmarkEnd w:id="40"/>
      <w:bookmarkStart w:id="41" w:name="_Toc184314414"/>
      <w:bookmarkEnd w:id="41"/>
      <w:bookmarkStart w:id="42" w:name="_Toc184312096"/>
      <w:bookmarkEnd w:id="42"/>
      <w:bookmarkStart w:id="43" w:name="_Toc184314457"/>
      <w:bookmarkEnd w:id="43"/>
      <w:bookmarkStart w:id="44" w:name="_Toc184312124"/>
      <w:bookmarkEnd w:id="44"/>
      <w:bookmarkStart w:id="45" w:name="_Toc184312098"/>
      <w:bookmarkEnd w:id="45"/>
      <w:bookmarkStart w:id="46" w:name="_Toc184310340"/>
      <w:bookmarkEnd w:id="46"/>
      <w:bookmarkStart w:id="47" w:name="_Toc184310284"/>
      <w:bookmarkEnd w:id="47"/>
      <w:bookmarkStart w:id="48" w:name="_Toc184312123"/>
      <w:bookmarkEnd w:id="48"/>
      <w:bookmarkStart w:id="49" w:name="_Toc184313260"/>
      <w:bookmarkEnd w:id="49"/>
      <w:bookmarkStart w:id="50" w:name="_Toc184314430"/>
      <w:bookmarkEnd w:id="50"/>
      <w:bookmarkStart w:id="51" w:name="_Toc184310294"/>
      <w:bookmarkEnd w:id="51"/>
      <w:bookmarkStart w:id="52" w:name="_Toc184313257"/>
      <w:bookmarkEnd w:id="52"/>
      <w:bookmarkStart w:id="53" w:name="_Toc184310332"/>
      <w:bookmarkEnd w:id="53"/>
      <w:bookmarkStart w:id="54" w:name="_Toc184314439"/>
      <w:bookmarkEnd w:id="54"/>
      <w:bookmarkStart w:id="55" w:name="_Toc184313272"/>
      <w:bookmarkEnd w:id="55"/>
      <w:bookmarkStart w:id="56" w:name="_Toc184308082"/>
      <w:bookmarkEnd w:id="56"/>
      <w:bookmarkStart w:id="57" w:name="_Toc184313295"/>
      <w:bookmarkEnd w:id="57"/>
      <w:bookmarkStart w:id="58" w:name="_Toc184310321"/>
      <w:bookmarkEnd w:id="58"/>
      <w:bookmarkStart w:id="59" w:name="_Toc184313285"/>
      <w:bookmarkEnd w:id="59"/>
      <w:bookmarkStart w:id="60" w:name="_Toc184310288"/>
      <w:bookmarkEnd w:id="60"/>
      <w:bookmarkStart w:id="61" w:name="_Toc184313302"/>
      <w:bookmarkEnd w:id="61"/>
      <w:bookmarkStart w:id="62" w:name="_Toc184314423"/>
      <w:bookmarkEnd w:id="62"/>
      <w:bookmarkStart w:id="63" w:name="_Toc184313264"/>
      <w:bookmarkEnd w:id="63"/>
      <w:bookmarkStart w:id="64" w:name="_Toc184308073"/>
      <w:bookmarkEnd w:id="64"/>
      <w:bookmarkStart w:id="65" w:name="_Toc184312067"/>
      <w:bookmarkEnd w:id="65"/>
      <w:bookmarkStart w:id="66" w:name="_Toc184314443"/>
      <w:bookmarkEnd w:id="66"/>
      <w:bookmarkStart w:id="67" w:name="_Toc184314458"/>
      <w:bookmarkEnd w:id="67"/>
      <w:bookmarkStart w:id="68" w:name="_Toc184310285"/>
      <w:bookmarkEnd w:id="68"/>
      <w:bookmarkStart w:id="69" w:name="_Toc184310309"/>
      <w:bookmarkEnd w:id="69"/>
      <w:bookmarkStart w:id="70" w:name="_Toc184312077"/>
      <w:bookmarkEnd w:id="70"/>
      <w:bookmarkStart w:id="71" w:name="_Toc184313288"/>
      <w:bookmarkEnd w:id="71"/>
      <w:bookmarkStart w:id="72" w:name="_Toc184308092"/>
      <w:bookmarkEnd w:id="72"/>
      <w:bookmarkStart w:id="73" w:name="_Toc184313291"/>
      <w:bookmarkEnd w:id="73"/>
      <w:bookmarkStart w:id="74" w:name="_Toc184312125"/>
      <w:bookmarkEnd w:id="74"/>
      <w:bookmarkStart w:id="75" w:name="_Toc184314419"/>
      <w:bookmarkEnd w:id="75"/>
      <w:bookmarkStart w:id="76" w:name="_Toc184313261"/>
      <w:bookmarkEnd w:id="76"/>
      <w:bookmarkStart w:id="77" w:name="_Toc184308103"/>
      <w:bookmarkEnd w:id="77"/>
      <w:bookmarkStart w:id="78" w:name="_Toc184312119"/>
      <w:bookmarkEnd w:id="78"/>
      <w:bookmarkStart w:id="79" w:name="_Toc184308096"/>
      <w:bookmarkEnd w:id="79"/>
      <w:bookmarkStart w:id="80" w:name="_Toc184308085"/>
      <w:bookmarkEnd w:id="80"/>
      <w:bookmarkStart w:id="81" w:name="_Toc184312094"/>
      <w:bookmarkEnd w:id="81"/>
      <w:bookmarkStart w:id="82" w:name="_Toc184313292"/>
      <w:bookmarkEnd w:id="82"/>
      <w:bookmarkStart w:id="83" w:name="_Toc184310276"/>
      <w:bookmarkEnd w:id="83"/>
      <w:bookmarkStart w:id="84" w:name="_Toc184314468"/>
      <w:bookmarkEnd w:id="84"/>
      <w:bookmarkStart w:id="85" w:name="_Toc184308036"/>
      <w:bookmarkEnd w:id="85"/>
      <w:bookmarkStart w:id="86" w:name="_Toc184310307"/>
      <w:bookmarkEnd w:id="86"/>
      <w:bookmarkStart w:id="87" w:name="_Toc184312127"/>
      <w:bookmarkEnd w:id="87"/>
      <w:bookmarkStart w:id="88" w:name="_Toc184310277"/>
      <w:bookmarkEnd w:id="88"/>
      <w:bookmarkStart w:id="89" w:name="_Toc184312099"/>
      <w:bookmarkEnd w:id="89"/>
      <w:bookmarkStart w:id="90" w:name="_Toc184313267"/>
      <w:bookmarkEnd w:id="90"/>
      <w:bookmarkStart w:id="91" w:name="_Toc184313309"/>
      <w:bookmarkEnd w:id="91"/>
      <w:bookmarkStart w:id="92" w:name="_Toc184313301"/>
      <w:bookmarkEnd w:id="92"/>
      <w:bookmarkStart w:id="93" w:name="_Toc184314446"/>
      <w:bookmarkEnd w:id="93"/>
      <w:bookmarkStart w:id="94" w:name="_Toc184310273"/>
      <w:bookmarkEnd w:id="94"/>
      <w:bookmarkStart w:id="95" w:name="_Toc184313250"/>
      <w:bookmarkEnd w:id="95"/>
      <w:bookmarkStart w:id="96" w:name="_Toc184310274"/>
      <w:bookmarkEnd w:id="96"/>
      <w:bookmarkStart w:id="97" w:name="_Toc184308095"/>
      <w:bookmarkEnd w:id="97"/>
      <w:bookmarkStart w:id="98" w:name="_Toc184312107"/>
      <w:bookmarkEnd w:id="98"/>
      <w:bookmarkStart w:id="99" w:name="_Toc184314411"/>
      <w:bookmarkEnd w:id="99"/>
      <w:bookmarkStart w:id="100" w:name="_Toc184312086"/>
      <w:bookmarkEnd w:id="100"/>
      <w:bookmarkStart w:id="101" w:name="_Toc184313275"/>
      <w:bookmarkEnd w:id="101"/>
      <w:bookmarkStart w:id="102" w:name="_Toc184312138"/>
      <w:bookmarkEnd w:id="102"/>
      <w:bookmarkStart w:id="103" w:name="_Toc184313249"/>
      <w:bookmarkEnd w:id="103"/>
      <w:bookmarkStart w:id="104" w:name="_Toc184308081"/>
      <w:bookmarkEnd w:id="104"/>
      <w:bookmarkStart w:id="105" w:name="_Toc184310300"/>
      <w:bookmarkEnd w:id="105"/>
      <w:bookmarkStart w:id="106" w:name="_Toc184314422"/>
      <w:bookmarkEnd w:id="106"/>
      <w:bookmarkStart w:id="107" w:name="_Toc184310301"/>
      <w:bookmarkEnd w:id="107"/>
      <w:bookmarkStart w:id="108" w:name="_Toc184308084"/>
      <w:bookmarkEnd w:id="108"/>
      <w:bookmarkStart w:id="109" w:name="_Toc184314454"/>
      <w:bookmarkEnd w:id="109"/>
      <w:bookmarkStart w:id="110" w:name="_Toc184312108"/>
      <w:bookmarkEnd w:id="110"/>
      <w:bookmarkStart w:id="111" w:name="_Toc184313259"/>
      <w:bookmarkEnd w:id="111"/>
      <w:bookmarkStart w:id="112" w:name="_Toc184308075"/>
      <w:bookmarkEnd w:id="112"/>
      <w:bookmarkStart w:id="113" w:name="_Toc184313273"/>
      <w:bookmarkEnd w:id="113"/>
      <w:bookmarkStart w:id="114" w:name="_Toc184314415"/>
      <w:bookmarkEnd w:id="114"/>
      <w:bookmarkStart w:id="115" w:name="_Toc184310343"/>
      <w:bookmarkEnd w:id="115"/>
      <w:bookmarkStart w:id="116" w:name="_Toc184314481"/>
      <w:bookmarkEnd w:id="116"/>
      <w:bookmarkStart w:id="117" w:name="_Toc184314447"/>
      <w:bookmarkEnd w:id="117"/>
      <w:bookmarkStart w:id="118" w:name="_Toc184308060"/>
      <w:bookmarkEnd w:id="118"/>
      <w:bookmarkStart w:id="119" w:name="_Toc184312081"/>
      <w:bookmarkEnd w:id="119"/>
      <w:bookmarkStart w:id="120" w:name="_Toc184312074"/>
      <w:bookmarkEnd w:id="120"/>
      <w:bookmarkStart w:id="121" w:name="_Toc184312078"/>
      <w:bookmarkEnd w:id="121"/>
      <w:bookmarkStart w:id="122" w:name="_Toc184310296"/>
      <w:bookmarkEnd w:id="122"/>
      <w:bookmarkStart w:id="123" w:name="_Toc184313270"/>
      <w:bookmarkEnd w:id="123"/>
      <w:bookmarkStart w:id="124" w:name="_Toc184314424"/>
      <w:bookmarkEnd w:id="124"/>
      <w:bookmarkStart w:id="125" w:name="_Toc184314462"/>
      <w:bookmarkEnd w:id="125"/>
      <w:bookmarkStart w:id="126" w:name="_Toc184314437"/>
      <w:bookmarkEnd w:id="126"/>
      <w:bookmarkStart w:id="127" w:name="_Toc184314482"/>
      <w:bookmarkEnd w:id="127"/>
      <w:bookmarkStart w:id="128" w:name="_Toc184312097"/>
      <w:bookmarkEnd w:id="128"/>
      <w:bookmarkStart w:id="129" w:name="_Toc184312095"/>
      <w:bookmarkEnd w:id="129"/>
      <w:bookmarkStart w:id="130" w:name="_Toc184312082"/>
      <w:bookmarkEnd w:id="130"/>
      <w:bookmarkStart w:id="131" w:name="_Toc184313305"/>
      <w:bookmarkEnd w:id="131"/>
      <w:bookmarkStart w:id="132" w:name="_Toc184313262"/>
      <w:bookmarkEnd w:id="132"/>
      <w:bookmarkStart w:id="133" w:name="_Toc184312093"/>
      <w:bookmarkEnd w:id="133"/>
      <w:bookmarkStart w:id="134" w:name="_Toc184313281"/>
      <w:bookmarkEnd w:id="134"/>
      <w:bookmarkStart w:id="135" w:name="_Toc184314425"/>
      <w:bookmarkEnd w:id="135"/>
      <w:bookmarkStart w:id="136" w:name="_Toc184312091"/>
      <w:bookmarkEnd w:id="136"/>
      <w:bookmarkStart w:id="137" w:name="_Toc184308067"/>
      <w:bookmarkEnd w:id="137"/>
      <w:bookmarkStart w:id="138" w:name="_Toc184310334"/>
      <w:bookmarkEnd w:id="138"/>
      <w:bookmarkStart w:id="139" w:name="_Toc184313303"/>
      <w:bookmarkEnd w:id="139"/>
      <w:bookmarkStart w:id="140" w:name="_Toc184312115"/>
      <w:bookmarkEnd w:id="140"/>
      <w:bookmarkStart w:id="141" w:name="_Toc184308080"/>
      <w:bookmarkEnd w:id="141"/>
      <w:bookmarkStart w:id="142" w:name="_Toc184313256"/>
      <w:bookmarkEnd w:id="142"/>
      <w:bookmarkStart w:id="143" w:name="_Toc184312075"/>
      <w:bookmarkEnd w:id="143"/>
      <w:bookmarkStart w:id="144" w:name="_Toc184313284"/>
      <w:bookmarkEnd w:id="144"/>
      <w:bookmarkStart w:id="145" w:name="_Toc184312084"/>
      <w:bookmarkEnd w:id="145"/>
      <w:bookmarkStart w:id="146" w:name="_Toc184312129"/>
      <w:bookmarkEnd w:id="146"/>
      <w:bookmarkStart w:id="147" w:name="_Toc184310287"/>
      <w:bookmarkEnd w:id="147"/>
      <w:bookmarkStart w:id="148" w:name="_Toc184314478"/>
      <w:bookmarkEnd w:id="148"/>
      <w:bookmarkStart w:id="149" w:name="_Toc184314469"/>
      <w:bookmarkEnd w:id="149"/>
      <w:bookmarkStart w:id="150" w:name="_Toc184308041"/>
      <w:bookmarkEnd w:id="150"/>
      <w:bookmarkStart w:id="151" w:name="_Toc184308098"/>
      <w:bookmarkEnd w:id="151"/>
      <w:bookmarkStart w:id="152" w:name="_Toc184313238"/>
      <w:bookmarkEnd w:id="152"/>
      <w:bookmarkStart w:id="153" w:name="_Toc184312113"/>
      <w:bookmarkEnd w:id="153"/>
      <w:bookmarkStart w:id="154" w:name="_Toc184313276"/>
      <w:bookmarkEnd w:id="154"/>
      <w:bookmarkStart w:id="155" w:name="_Toc184308078"/>
      <w:bookmarkEnd w:id="155"/>
      <w:bookmarkStart w:id="156" w:name="_Toc184308040"/>
      <w:bookmarkEnd w:id="156"/>
      <w:bookmarkStart w:id="157" w:name="_Toc184310330"/>
      <w:bookmarkEnd w:id="157"/>
      <w:bookmarkStart w:id="158" w:name="_Toc184310286"/>
      <w:bookmarkEnd w:id="158"/>
      <w:bookmarkStart w:id="159" w:name="_Toc184312083"/>
      <w:bookmarkEnd w:id="159"/>
      <w:bookmarkStart w:id="160" w:name="_Toc184308094"/>
      <w:bookmarkEnd w:id="160"/>
      <w:bookmarkStart w:id="161" w:name="_Toc184314459"/>
      <w:bookmarkEnd w:id="161"/>
      <w:bookmarkStart w:id="162" w:name="_Toc184310308"/>
      <w:bookmarkEnd w:id="162"/>
      <w:bookmarkStart w:id="163" w:name="_Toc184310282"/>
      <w:bookmarkEnd w:id="163"/>
      <w:bookmarkStart w:id="164" w:name="_Toc184308087"/>
      <w:bookmarkEnd w:id="164"/>
      <w:bookmarkStart w:id="165" w:name="_Toc184308053"/>
      <w:bookmarkEnd w:id="165"/>
      <w:bookmarkStart w:id="166" w:name="_Toc184313279"/>
      <w:bookmarkEnd w:id="166"/>
      <w:bookmarkStart w:id="167" w:name="_Toc184314434"/>
      <w:bookmarkEnd w:id="167"/>
      <w:bookmarkStart w:id="168" w:name="_Toc184308072"/>
      <w:bookmarkEnd w:id="168"/>
      <w:bookmarkStart w:id="169" w:name="_Toc184312126"/>
      <w:bookmarkEnd w:id="169"/>
      <w:bookmarkStart w:id="170" w:name="_Toc184314474"/>
      <w:bookmarkEnd w:id="170"/>
      <w:bookmarkStart w:id="171" w:name="_Toc184308045"/>
      <w:bookmarkEnd w:id="171"/>
      <w:bookmarkStart w:id="172" w:name="_Toc184310320"/>
      <w:bookmarkEnd w:id="172"/>
      <w:bookmarkStart w:id="173" w:name="_Toc184310275"/>
      <w:bookmarkEnd w:id="173"/>
      <w:bookmarkStart w:id="174" w:name="_Toc184310281"/>
      <w:bookmarkEnd w:id="174"/>
      <w:bookmarkStart w:id="175" w:name="_Toc184314453"/>
      <w:bookmarkEnd w:id="175"/>
      <w:bookmarkStart w:id="176" w:name="_Toc184308065"/>
      <w:bookmarkEnd w:id="176"/>
      <w:bookmarkStart w:id="177" w:name="_Toc184310319"/>
      <w:bookmarkEnd w:id="177"/>
      <w:bookmarkStart w:id="178" w:name="_Toc184310315"/>
      <w:bookmarkEnd w:id="178"/>
      <w:bookmarkStart w:id="179" w:name="_Toc184310272"/>
      <w:bookmarkEnd w:id="179"/>
      <w:bookmarkStart w:id="180" w:name="_Toc184308046"/>
      <w:bookmarkEnd w:id="180"/>
      <w:bookmarkStart w:id="181" w:name="_Toc184308074"/>
      <w:bookmarkEnd w:id="181"/>
      <w:bookmarkStart w:id="182" w:name="_Toc184313299"/>
      <w:bookmarkEnd w:id="182"/>
      <w:bookmarkStart w:id="183" w:name="_Toc184314452"/>
      <w:bookmarkEnd w:id="183"/>
      <w:bookmarkStart w:id="184" w:name="_Toc184314445"/>
      <w:bookmarkEnd w:id="184"/>
      <w:bookmarkStart w:id="185" w:name="_Toc184314473"/>
      <w:bookmarkEnd w:id="185"/>
      <w:bookmarkStart w:id="186" w:name="_Toc184314440"/>
      <w:bookmarkEnd w:id="186"/>
      <w:bookmarkStart w:id="187" w:name="_Toc184313274"/>
      <w:bookmarkEnd w:id="187"/>
      <w:bookmarkStart w:id="188" w:name="_Toc184314417"/>
      <w:bookmarkEnd w:id="188"/>
      <w:bookmarkStart w:id="189" w:name="_Toc184312110"/>
      <w:bookmarkEnd w:id="189"/>
      <w:bookmarkStart w:id="190" w:name="_Toc184310316"/>
      <w:bookmarkEnd w:id="190"/>
      <w:bookmarkStart w:id="191" w:name="_Toc184312137"/>
      <w:bookmarkEnd w:id="191"/>
      <w:bookmarkStart w:id="192" w:name="_Toc184312079"/>
      <w:bookmarkEnd w:id="192"/>
      <w:bookmarkStart w:id="193" w:name="_Toc184308076"/>
      <w:bookmarkEnd w:id="193"/>
      <w:bookmarkStart w:id="194" w:name="_Toc184308104"/>
      <w:bookmarkEnd w:id="194"/>
      <w:bookmarkStart w:id="195" w:name="_Toc184310326"/>
      <w:bookmarkEnd w:id="195"/>
      <w:bookmarkStart w:id="196" w:name="_Toc184314455"/>
      <w:bookmarkEnd w:id="196"/>
      <w:bookmarkStart w:id="197" w:name="_Toc184312076"/>
      <w:bookmarkEnd w:id="197"/>
      <w:bookmarkStart w:id="198" w:name="_Toc184310278"/>
      <w:bookmarkEnd w:id="198"/>
      <w:bookmarkStart w:id="199" w:name="_Toc184313265"/>
      <w:bookmarkEnd w:id="199"/>
      <w:bookmarkStart w:id="200" w:name="_Toc184308061"/>
      <w:bookmarkEnd w:id="200"/>
      <w:bookmarkStart w:id="201" w:name="_Toc184312069"/>
      <w:bookmarkEnd w:id="201"/>
      <w:bookmarkStart w:id="202" w:name="_Toc184312114"/>
      <w:bookmarkEnd w:id="202"/>
      <w:bookmarkStart w:id="203" w:name="_Toc184313310"/>
      <w:bookmarkEnd w:id="203"/>
      <w:bookmarkStart w:id="204" w:name="_Toc184313269"/>
      <w:bookmarkEnd w:id="204"/>
      <w:bookmarkStart w:id="205" w:name="_Toc184313247"/>
      <w:bookmarkEnd w:id="205"/>
      <w:bookmarkStart w:id="206" w:name="_Toc184312130"/>
      <w:bookmarkEnd w:id="206"/>
      <w:bookmarkStart w:id="207" w:name="_Toc184310314"/>
      <w:bookmarkEnd w:id="207"/>
      <w:bookmarkStart w:id="208" w:name="_Toc184312117"/>
      <w:bookmarkEnd w:id="208"/>
      <w:bookmarkStart w:id="209" w:name="_Toc184314466"/>
      <w:bookmarkEnd w:id="209"/>
      <w:bookmarkStart w:id="210" w:name="_Toc184314470"/>
      <w:bookmarkEnd w:id="210"/>
      <w:bookmarkStart w:id="211" w:name="_Toc184312085"/>
      <w:bookmarkEnd w:id="211"/>
      <w:bookmarkStart w:id="212" w:name="_Toc184313286"/>
      <w:bookmarkEnd w:id="212"/>
      <w:bookmarkStart w:id="213" w:name="_Toc184308100"/>
      <w:bookmarkEnd w:id="213"/>
      <w:bookmarkStart w:id="214" w:name="_Toc184308052"/>
      <w:bookmarkEnd w:id="214"/>
      <w:bookmarkStart w:id="215" w:name="_Toc184313245"/>
      <w:bookmarkEnd w:id="215"/>
      <w:bookmarkStart w:id="216" w:name="_Toc184314477"/>
      <w:bookmarkEnd w:id="216"/>
      <w:bookmarkStart w:id="217" w:name="_Toc184308066"/>
      <w:bookmarkEnd w:id="217"/>
      <w:bookmarkStart w:id="218" w:name="_Toc184312103"/>
      <w:bookmarkEnd w:id="218"/>
      <w:bookmarkStart w:id="219" w:name="_Toc184312106"/>
      <w:bookmarkEnd w:id="219"/>
      <w:bookmarkStart w:id="220" w:name="_Toc184313307"/>
      <w:bookmarkEnd w:id="220"/>
      <w:bookmarkStart w:id="221" w:name="_Toc184313278"/>
      <w:bookmarkEnd w:id="221"/>
      <w:bookmarkStart w:id="222" w:name="_Toc184308070"/>
      <w:bookmarkEnd w:id="222"/>
      <w:bookmarkStart w:id="223" w:name="_Toc184308105"/>
      <w:bookmarkEnd w:id="223"/>
      <w:bookmarkStart w:id="224" w:name="_Toc184308107"/>
      <w:bookmarkEnd w:id="224"/>
      <w:bookmarkStart w:id="225" w:name="_Toc184314413"/>
      <w:bookmarkEnd w:id="225"/>
      <w:bookmarkStart w:id="226" w:name="_Toc184314480"/>
      <w:bookmarkEnd w:id="226"/>
      <w:bookmarkStart w:id="227" w:name="_Toc184310324"/>
      <w:bookmarkEnd w:id="227"/>
      <w:bookmarkStart w:id="228" w:name="_Toc184308056"/>
      <w:bookmarkEnd w:id="228"/>
      <w:bookmarkStart w:id="229" w:name="_Toc184314436"/>
      <w:bookmarkEnd w:id="229"/>
      <w:bookmarkStart w:id="230" w:name="_Toc184314431"/>
      <w:bookmarkEnd w:id="230"/>
      <w:bookmarkStart w:id="231" w:name="_Toc184313252"/>
      <w:bookmarkEnd w:id="231"/>
      <w:bookmarkStart w:id="232" w:name="_Toc184313282"/>
      <w:bookmarkEnd w:id="232"/>
      <w:bookmarkStart w:id="233" w:name="_Toc184314472"/>
      <w:bookmarkEnd w:id="233"/>
      <w:bookmarkStart w:id="234" w:name="_Toc184308039"/>
      <w:bookmarkEnd w:id="234"/>
      <w:bookmarkStart w:id="235" w:name="_Toc184312109"/>
      <w:bookmarkEnd w:id="235"/>
      <w:bookmarkStart w:id="236" w:name="_Toc184314410"/>
      <w:bookmarkEnd w:id="236"/>
      <w:bookmarkStart w:id="237" w:name="_Toc184310279"/>
      <w:bookmarkEnd w:id="237"/>
      <w:bookmarkStart w:id="238" w:name="_Toc184312071"/>
      <w:bookmarkEnd w:id="238"/>
      <w:bookmarkStart w:id="239" w:name="_Toc184310328"/>
      <w:bookmarkEnd w:id="239"/>
      <w:bookmarkStart w:id="240" w:name="_Toc184308038"/>
      <w:bookmarkEnd w:id="240"/>
      <w:bookmarkStart w:id="241" w:name="_Toc184314416"/>
      <w:bookmarkEnd w:id="241"/>
      <w:bookmarkStart w:id="242" w:name="_Toc184312139"/>
      <w:bookmarkEnd w:id="242"/>
      <w:bookmarkStart w:id="243" w:name="_Toc184310338"/>
      <w:bookmarkEnd w:id="243"/>
      <w:bookmarkStart w:id="244" w:name="_Toc184310327"/>
      <w:bookmarkEnd w:id="244"/>
      <w:bookmarkStart w:id="245" w:name="_Toc184310299"/>
      <w:bookmarkEnd w:id="245"/>
      <w:bookmarkStart w:id="246" w:name="_Toc184314461"/>
      <w:bookmarkEnd w:id="246"/>
      <w:bookmarkStart w:id="247" w:name="_Toc184313304"/>
      <w:bookmarkEnd w:id="247"/>
      <w:bookmarkStart w:id="248" w:name="_Toc184308089"/>
      <w:bookmarkEnd w:id="248"/>
      <w:bookmarkStart w:id="249" w:name="_Toc184310317"/>
      <w:bookmarkEnd w:id="249"/>
      <w:bookmarkStart w:id="250" w:name="_Toc184310280"/>
      <w:bookmarkEnd w:id="250"/>
      <w:bookmarkStart w:id="251" w:name="_Toc184310339"/>
      <w:bookmarkEnd w:id="251"/>
      <w:bookmarkStart w:id="252" w:name="_Toc184310333"/>
      <w:bookmarkEnd w:id="252"/>
      <w:bookmarkStart w:id="253" w:name="_Toc184308093"/>
      <w:bookmarkEnd w:id="253"/>
      <w:bookmarkStart w:id="254" w:name="_Toc184313243"/>
      <w:bookmarkEnd w:id="254"/>
      <w:bookmarkStart w:id="255" w:name="_Toc184314465"/>
      <w:bookmarkEnd w:id="255"/>
      <w:bookmarkStart w:id="256" w:name="_Toc184314449"/>
      <w:bookmarkEnd w:id="256"/>
      <w:bookmarkStart w:id="257" w:name="_Toc184314464"/>
      <w:bookmarkEnd w:id="257"/>
      <w:bookmarkStart w:id="258" w:name="_Toc184308063"/>
      <w:bookmarkEnd w:id="258"/>
      <w:bookmarkStart w:id="259" w:name="_Toc184313283"/>
      <w:bookmarkEnd w:id="259"/>
      <w:bookmarkStart w:id="260" w:name="_Toc184308051"/>
      <w:bookmarkEnd w:id="260"/>
      <w:bookmarkStart w:id="261" w:name="_Toc184313277"/>
      <w:bookmarkEnd w:id="261"/>
      <w:bookmarkStart w:id="262" w:name="_Toc184312089"/>
      <w:bookmarkEnd w:id="262"/>
      <w:bookmarkStart w:id="263" w:name="_Toc184310289"/>
      <w:bookmarkEnd w:id="263"/>
      <w:bookmarkStart w:id="264" w:name="_Toc184312132"/>
      <w:bookmarkEnd w:id="264"/>
      <w:bookmarkStart w:id="265" w:name="_Toc184308062"/>
      <w:bookmarkEnd w:id="265"/>
      <w:bookmarkStart w:id="266" w:name="_Toc184312116"/>
      <w:bookmarkEnd w:id="266"/>
      <w:bookmarkStart w:id="267" w:name="_Toc184308037"/>
      <w:bookmarkEnd w:id="267"/>
      <w:bookmarkStart w:id="268" w:name="_Toc184310302"/>
      <w:bookmarkEnd w:id="268"/>
      <w:bookmarkStart w:id="269" w:name="_Toc184312080"/>
      <w:bookmarkEnd w:id="269"/>
      <w:bookmarkStart w:id="270" w:name="_Toc184313253"/>
      <w:bookmarkEnd w:id="270"/>
      <w:bookmarkStart w:id="271" w:name="_Toc184314450"/>
      <w:bookmarkEnd w:id="271"/>
      <w:bookmarkStart w:id="272" w:name="_Toc184310325"/>
      <w:bookmarkEnd w:id="272"/>
      <w:bookmarkStart w:id="273" w:name="_Toc184314448"/>
      <w:bookmarkEnd w:id="273"/>
      <w:bookmarkStart w:id="274" w:name="_Toc184312135"/>
      <w:bookmarkEnd w:id="274"/>
      <w:bookmarkStart w:id="275" w:name="_Toc184308083"/>
      <w:bookmarkEnd w:id="275"/>
      <w:bookmarkStart w:id="276" w:name="_Toc184312111"/>
      <w:bookmarkEnd w:id="276"/>
      <w:bookmarkStart w:id="277" w:name="_Toc184308055"/>
      <w:bookmarkEnd w:id="277"/>
      <w:bookmarkStart w:id="278" w:name="_Toc184308101"/>
      <w:bookmarkEnd w:id="278"/>
      <w:bookmarkStart w:id="279" w:name="_Toc184312092"/>
      <w:bookmarkEnd w:id="279"/>
      <w:bookmarkStart w:id="280" w:name="_Toc184310298"/>
      <w:bookmarkEnd w:id="280"/>
      <w:bookmarkStart w:id="281" w:name="_Toc184313240"/>
      <w:bookmarkEnd w:id="281"/>
      <w:bookmarkStart w:id="282" w:name="_Toc184314435"/>
      <w:bookmarkEnd w:id="282"/>
      <w:bookmarkStart w:id="283" w:name="_Toc184308047"/>
      <w:bookmarkEnd w:id="283"/>
      <w:bookmarkStart w:id="284" w:name="_Toc184312068"/>
      <w:bookmarkEnd w:id="284"/>
      <w:bookmarkStart w:id="285" w:name="_Toc184312133"/>
      <w:bookmarkEnd w:id="285"/>
      <w:bookmarkStart w:id="286" w:name="_Toc184308043"/>
      <w:bookmarkEnd w:id="286"/>
      <w:bookmarkStart w:id="287" w:name="_Toc184313298"/>
      <w:bookmarkEnd w:id="287"/>
      <w:bookmarkStart w:id="288" w:name="_Toc184310291"/>
      <w:bookmarkEnd w:id="288"/>
      <w:bookmarkStart w:id="289" w:name="_Toc184312073"/>
      <w:bookmarkEnd w:id="289"/>
      <w:bookmarkStart w:id="290" w:name="_Toc184313255"/>
      <w:bookmarkEnd w:id="290"/>
      <w:bookmarkStart w:id="291" w:name="_Toc184314418"/>
      <w:bookmarkEnd w:id="291"/>
      <w:bookmarkStart w:id="292" w:name="_Toc184308079"/>
      <w:bookmarkEnd w:id="292"/>
      <w:bookmarkStart w:id="293" w:name="_Toc184310336"/>
      <w:bookmarkEnd w:id="293"/>
      <w:bookmarkStart w:id="294" w:name="_Toc184313289"/>
      <w:bookmarkEnd w:id="294"/>
      <w:bookmarkStart w:id="295" w:name="_Toc184308090"/>
      <w:bookmarkEnd w:id="295"/>
      <w:bookmarkStart w:id="296" w:name="_Toc184313254"/>
      <w:bookmarkEnd w:id="296"/>
      <w:bookmarkStart w:id="297" w:name="_Toc184310305"/>
      <w:bookmarkEnd w:id="297"/>
      <w:bookmarkStart w:id="298" w:name="_Toc184308091"/>
      <w:bookmarkEnd w:id="298"/>
      <w:bookmarkStart w:id="299" w:name="_Toc184313241"/>
      <w:bookmarkEnd w:id="299"/>
      <w:bookmarkStart w:id="300" w:name="_Toc184314479"/>
      <w:bookmarkEnd w:id="300"/>
      <w:bookmarkStart w:id="301" w:name="_Toc184308050"/>
      <w:bookmarkEnd w:id="301"/>
      <w:bookmarkStart w:id="302" w:name="_Toc184314432"/>
      <w:bookmarkEnd w:id="302"/>
      <w:bookmarkStart w:id="303" w:name="_Toc184314475"/>
      <w:bookmarkEnd w:id="303"/>
      <w:bookmarkStart w:id="304" w:name="_Toc184310310"/>
      <w:bookmarkEnd w:id="304"/>
      <w:bookmarkStart w:id="305" w:name="_Toc184314441"/>
      <w:bookmarkEnd w:id="305"/>
      <w:bookmarkStart w:id="306" w:name="_Toc184314460"/>
      <w:bookmarkEnd w:id="306"/>
      <w:bookmarkStart w:id="307" w:name="_Toc184310344"/>
      <w:bookmarkEnd w:id="307"/>
      <w:bookmarkStart w:id="308" w:name="_Toc184313271"/>
      <w:bookmarkEnd w:id="308"/>
      <w:bookmarkStart w:id="309" w:name="_Toc184312128"/>
      <w:bookmarkEnd w:id="309"/>
      <w:bookmarkStart w:id="310" w:name="_Toc184314428"/>
      <w:bookmarkEnd w:id="310"/>
      <w:bookmarkStart w:id="311" w:name="_Toc184314427"/>
      <w:bookmarkEnd w:id="311"/>
      <w:bookmarkStart w:id="312" w:name="_Toc184313251"/>
      <w:bookmarkEnd w:id="312"/>
      <w:bookmarkStart w:id="313" w:name="_Toc184312100"/>
      <w:bookmarkEnd w:id="313"/>
      <w:bookmarkStart w:id="314" w:name="_Toc184310329"/>
      <w:bookmarkEnd w:id="314"/>
      <w:bookmarkStart w:id="315" w:name="_Toc184308068"/>
      <w:bookmarkEnd w:id="315"/>
      <w:bookmarkStart w:id="316" w:name="_Toc184312087"/>
      <w:bookmarkEnd w:id="316"/>
      <w:bookmarkStart w:id="317" w:name="_Toc184308058"/>
      <w:bookmarkEnd w:id="317"/>
      <w:bookmarkStart w:id="318" w:name="_Toc184314421"/>
      <w:bookmarkEnd w:id="318"/>
      <w:bookmarkStart w:id="319" w:name="_Toc184312134"/>
      <w:bookmarkEnd w:id="319"/>
      <w:bookmarkStart w:id="320" w:name="_Toc184308049"/>
      <w:bookmarkEnd w:id="320"/>
      <w:bookmarkStart w:id="321" w:name="_Toc184310342"/>
      <w:bookmarkEnd w:id="321"/>
      <w:bookmarkStart w:id="322" w:name="_Toc184310331"/>
      <w:bookmarkEnd w:id="322"/>
      <w:bookmarkStart w:id="323" w:name="_Toc184310303"/>
      <w:bookmarkEnd w:id="323"/>
      <w:bookmarkStart w:id="324" w:name="_Toc184313246"/>
      <w:bookmarkEnd w:id="324"/>
      <w:bookmarkStart w:id="325" w:name="_Toc184312122"/>
      <w:bookmarkEnd w:id="325"/>
      <w:bookmarkStart w:id="326" w:name="_Toc184314433"/>
      <w:bookmarkEnd w:id="326"/>
      <w:bookmarkStart w:id="327" w:name="_Toc184308088"/>
      <w:bookmarkEnd w:id="327"/>
      <w:bookmarkStart w:id="328" w:name="_Toc184313293"/>
      <w:bookmarkEnd w:id="328"/>
      <w:bookmarkStart w:id="329" w:name="_Toc184308108"/>
      <w:bookmarkEnd w:id="329"/>
      <w:bookmarkStart w:id="330" w:name="_Toc184310341"/>
      <w:bookmarkEnd w:id="330"/>
      <w:bookmarkStart w:id="331" w:name="_Toc184314412"/>
      <w:bookmarkEnd w:id="331"/>
      <w:bookmarkStart w:id="332" w:name="_Toc184308064"/>
      <w:bookmarkEnd w:id="332"/>
      <w:bookmarkStart w:id="333" w:name="_Toc184310337"/>
      <w:bookmarkEnd w:id="333"/>
      <w:bookmarkStart w:id="334" w:name="_Toc184310293"/>
      <w:bookmarkEnd w:id="334"/>
      <w:bookmarkStart w:id="335" w:name="_Toc184313268"/>
      <w:bookmarkEnd w:id="335"/>
      <w:bookmarkStart w:id="336" w:name="_Toc184313287"/>
      <w:bookmarkEnd w:id="336"/>
      <w:bookmarkStart w:id="337" w:name="_Toc184312118"/>
      <w:bookmarkEnd w:id="337"/>
      <w:bookmarkStart w:id="338" w:name="_Toc184313244"/>
      <w:bookmarkEnd w:id="338"/>
      <w:bookmarkStart w:id="339" w:name="_Toc184312131"/>
      <w:bookmarkEnd w:id="339"/>
      <w:bookmarkStart w:id="340" w:name="_Toc184314463"/>
      <w:bookmarkEnd w:id="340"/>
      <w:bookmarkStart w:id="341" w:name="_Toc184313290"/>
      <w:bookmarkEnd w:id="341"/>
      <w:bookmarkStart w:id="342" w:name="_Toc184310323"/>
      <w:bookmarkEnd w:id="342"/>
      <w:bookmarkStart w:id="343" w:name="_Toc184314471"/>
      <w:bookmarkEnd w:id="343"/>
      <w:bookmarkStart w:id="344" w:name="_Toc184313308"/>
      <w:bookmarkEnd w:id="344"/>
      <w:bookmarkStart w:id="345" w:name="_Toc184314442"/>
      <w:bookmarkEnd w:id="345"/>
      <w:bookmarkStart w:id="346" w:name="_Toc184308099"/>
      <w:bookmarkEnd w:id="346"/>
      <w:bookmarkStart w:id="347" w:name="_Toc184308042"/>
      <w:bookmarkEnd w:id="347"/>
      <w:bookmarkStart w:id="348" w:name="_Toc184310312"/>
      <w:bookmarkEnd w:id="348"/>
      <w:bookmarkStart w:id="349" w:name="_Toc184312088"/>
      <w:bookmarkEnd w:id="349"/>
      <w:bookmarkStart w:id="350" w:name="_Toc184314451"/>
      <w:bookmarkEnd w:id="350"/>
      <w:bookmarkStart w:id="351" w:name="_Toc184314444"/>
      <w:bookmarkEnd w:id="351"/>
      <w:bookmarkStart w:id="352" w:name="_Toc184310283"/>
      <w:bookmarkEnd w:id="352"/>
      <w:bookmarkStart w:id="353" w:name="_Toc184310292"/>
      <w:bookmarkEnd w:id="353"/>
      <w:bookmarkStart w:id="354" w:name="_Toc184314426"/>
      <w:bookmarkEnd w:id="354"/>
      <w:bookmarkStart w:id="355" w:name="_Toc184310304"/>
      <w:bookmarkEnd w:id="355"/>
      <w:bookmarkStart w:id="356" w:name="_Toc184310335"/>
      <w:bookmarkEnd w:id="356"/>
      <w:bookmarkStart w:id="357" w:name="_Toc184308048"/>
      <w:bookmarkEnd w:id="357"/>
      <w:bookmarkStart w:id="358" w:name="_Toc184312101"/>
      <w:bookmarkEnd w:id="358"/>
      <w:bookmarkStart w:id="359" w:name="_Toc184313242"/>
      <w:bookmarkEnd w:id="359"/>
      <w:bookmarkStart w:id="360" w:name="_Toc184314467"/>
      <w:bookmarkEnd w:id="360"/>
      <w:bookmarkStart w:id="361" w:name="_Toc184312120"/>
      <w:bookmarkEnd w:id="361"/>
      <w:bookmarkStart w:id="362" w:name="_Toc184313239"/>
      <w:bookmarkEnd w:id="362"/>
      <w:bookmarkStart w:id="363" w:name="_Toc184312121"/>
      <w:bookmarkEnd w:id="363"/>
      <w:bookmarkStart w:id="364" w:name="_Toc184310290"/>
      <w:bookmarkEnd w:id="364"/>
      <w:bookmarkStart w:id="365" w:name="_Toc184310311"/>
      <w:bookmarkEnd w:id="365"/>
      <w:bookmarkStart w:id="366" w:name="_Toc184312136"/>
      <w:bookmarkEnd w:id="366"/>
      <w:bookmarkStart w:id="367" w:name="_Toc184312112"/>
      <w:bookmarkEnd w:id="367"/>
      <w:bookmarkStart w:id="368" w:name="_Toc184314456"/>
      <w:bookmarkEnd w:id="368"/>
      <w:bookmarkStart w:id="369" w:name="_Toc184308054"/>
      <w:bookmarkEnd w:id="369"/>
      <w:bookmarkStart w:id="370" w:name="_Toc184308106"/>
      <w:bookmarkEnd w:id="370"/>
      <w:bookmarkStart w:id="371" w:name="_Toc184313296"/>
      <w:bookmarkEnd w:id="371"/>
      <w:bookmarkStart w:id="372" w:name="_Toc184310322"/>
      <w:bookmarkEnd w:id="372"/>
      <w:bookmarkStart w:id="373" w:name="_Toc184308044"/>
      <w:bookmarkEnd w:id="373"/>
      <w:bookmarkStart w:id="374" w:name="_Toc184313280"/>
      <w:bookmarkEnd w:id="374"/>
      <w:bookmarkStart w:id="375" w:name="_Toc184313248"/>
      <w:bookmarkEnd w:id="375"/>
      <w:bookmarkStart w:id="376" w:name="_Toc184313263"/>
      <w:bookmarkEnd w:id="376"/>
      <w:bookmarkStart w:id="377" w:name="_Toc184310306"/>
      <w:bookmarkEnd w:id="377"/>
      <w:bookmarkStart w:id="378" w:name="_Toc184308097"/>
      <w:bookmarkEnd w:id="378"/>
      <w:bookmarkStart w:id="379" w:name="_Toc184313306"/>
      <w:bookmarkEnd w:id="379"/>
      <w:bookmarkStart w:id="380" w:name="_Toc184308102"/>
      <w:bookmarkEnd w:id="380"/>
      <w:bookmarkStart w:id="381" w:name="_Toc184314420"/>
      <w:bookmarkEnd w:id="381"/>
      <w:bookmarkStart w:id="382" w:name="_Toc184312090"/>
      <w:bookmarkEnd w:id="382"/>
      <w:bookmarkStart w:id="383" w:name="_Toc184313297"/>
      <w:bookmarkEnd w:id="383"/>
      <w:bookmarkStart w:id="384" w:name="_Toc184313294"/>
      <w:bookmarkEnd w:id="384"/>
      <w:bookmarkStart w:id="385" w:name="_Toc184312070"/>
      <w:bookmarkEnd w:id="385"/>
      <w:bookmarkStart w:id="386" w:name="_Toc184312072"/>
      <w:bookmarkEnd w:id="386"/>
      <w:bookmarkStart w:id="387" w:name="_Toc184308069"/>
      <w:bookmarkEnd w:id="387"/>
      <w:bookmarkStart w:id="388" w:name="_Toc184310295"/>
      <w:bookmarkEnd w:id="388"/>
      <w:bookmarkStart w:id="389" w:name="_Toc184308086"/>
      <w:bookmarkEnd w:id="389"/>
      <w:bookmarkStart w:id="390" w:name="_Toc184310313"/>
      <w:bookmarkEnd w:id="390"/>
      <w:bookmarkStart w:id="391" w:name="_Toc184312104"/>
      <w:bookmarkEnd w:id="391"/>
      <w:bookmarkStart w:id="392" w:name="_Toc184308057"/>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526"/>
        <w:gridCol w:w="845"/>
        <w:gridCol w:w="11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26"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主观分/客观分属性</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526" w:type="dxa"/>
            <w:vAlign w:val="center"/>
          </w:tcPr>
          <w:p>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投标人具有有效期内的质量管理体系认证证书</w:t>
            </w:r>
            <w:r>
              <w:rPr>
                <w:rFonts w:hint="eastAsia" w:ascii="宋体" w:hAnsi="宋体" w:eastAsia="宋体" w:cs="宋体"/>
                <w:b w:val="0"/>
                <w:bCs w:val="0"/>
                <w:color w:val="auto"/>
                <w:sz w:val="24"/>
                <w:szCs w:val="24"/>
                <w:highlight w:val="none"/>
                <w:lang w:eastAsia="zh-CN"/>
              </w:rPr>
              <w:t>、环境管理体系认证证书、职业健康安全管理体系认证证书</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每提供一个</w:t>
            </w:r>
            <w:r>
              <w:rPr>
                <w:rFonts w:hint="eastAsia" w:ascii="宋体" w:hAnsi="宋体"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最高得3分</w:t>
            </w:r>
            <w:r>
              <w:rPr>
                <w:rFonts w:hint="eastAsia" w:ascii="宋体" w:hAnsi="宋体" w:eastAsia="宋体" w:cs="宋体"/>
                <w:b w:val="0"/>
                <w:bCs w:val="0"/>
                <w:color w:val="auto"/>
                <w:sz w:val="24"/>
                <w:szCs w:val="24"/>
                <w:highlight w:val="none"/>
              </w:rPr>
              <w:t>。证明材料：复印件加盖公章。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6526" w:type="dxa"/>
            <w:vAlign w:val="center"/>
          </w:tcPr>
          <w:p>
            <w:pPr>
              <w:spacing w:line="42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年1月1日（以合同签订时间为准）以来完成过类似项目的，每个得0.5分，本项最高得1分。</w:t>
            </w:r>
          </w:p>
          <w:p>
            <w:pPr>
              <w:snapToGrid w:val="0"/>
              <w:spacing w:line="420" w:lineRule="exact"/>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24"/>
                <w:highlight w:val="none"/>
              </w:rPr>
              <w:t>（证明材料：提供中标通知书或合同扫描件加盖公章，否则不得分）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26" w:type="dxa"/>
            <w:vAlign w:val="center"/>
          </w:tcPr>
          <w:p>
            <w:pPr>
              <w:pStyle w:val="340"/>
              <w:spacing w:before="125" w:line="351" w:lineRule="auto"/>
              <w:ind w:left="111" w:right="105"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项目组成员：投标人服务团队的技术工程师具有相关应急、安全类专业职称，中级工程师职称</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的，每1人得2分； 本项最高得6分。【证明材料：提供以上人员相关证书及投标人为其投保的投标截止日之前最近三月以内的任意一个月社保参保证明加盖公章。】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526" w:type="dxa"/>
            <w:shd w:val="clear" w:color="auto" w:fill="FFFFFF"/>
            <w:vAlign w:val="center"/>
          </w:tcPr>
          <w:p>
            <w:pPr>
              <w:spacing w:line="420" w:lineRule="exac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auto"/>
                <w:sz w:val="24"/>
                <w:szCs w:val="24"/>
                <w:highlight w:val="none"/>
                <w:lang w:val="en-US" w:eastAsia="zh-CN"/>
              </w:rPr>
              <w:t>响应程度：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Times New Roman"/>
                <w:color w:val="auto"/>
                <w:kern w:val="2"/>
                <w:sz w:val="24"/>
                <w:szCs w:val="20"/>
                <w:highlight w:val="none"/>
                <w:lang w:val="en-US" w:eastAsia="zh-CN" w:bidi="ar-SA"/>
              </w:rPr>
              <w:t>全部满足招标文件第三部分“采购需求”的得满分，其他条款每项负偏离扣1分，带</w:t>
            </w:r>
            <w:r>
              <w:rPr>
                <w:rFonts w:hint="eastAsia" w:ascii="宋体" w:hAnsi="宋体" w:cs="宋体"/>
                <w:b/>
                <w:bCs/>
                <w:sz w:val="24"/>
                <w:szCs w:val="24"/>
                <w:highlight w:val="none"/>
                <w:lang w:val="en-US" w:eastAsia="zh-CN"/>
              </w:rPr>
              <w:t>★</w:t>
            </w:r>
            <w:r>
              <w:rPr>
                <w:rFonts w:hint="eastAsia" w:ascii="宋体" w:hAnsi="宋体" w:eastAsia="宋体" w:cs="Times New Roman"/>
                <w:color w:val="auto"/>
                <w:kern w:val="2"/>
                <w:sz w:val="24"/>
                <w:szCs w:val="20"/>
                <w:highlight w:val="none"/>
                <w:lang w:val="en-US" w:eastAsia="zh-CN" w:bidi="ar-SA"/>
              </w:rPr>
              <w:t>的每项负偏离扣2分，扣完为止。</w:t>
            </w:r>
          </w:p>
        </w:tc>
        <w:tc>
          <w:tcPr>
            <w:tcW w:w="845"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投标人针对本项目的建设背景和现状进行分析，制定全面、合理的运项目维服务方案：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需求，考虑全面、贴合实际且措施完善的得5分；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②方案合理有针对性的得4分；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③方案较为合理的得3分；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④方案内容存在细微缺陷的得2分；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⑤方案内容粗糙简略的得1分；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⑥方案内容严重欠缺或未提供的不得分。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针对本项目情况采取质量控制方法及措施（包括但不限于质量目标、质量保证措施与质量管理体系方案）：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①方案完全契合，工作安排主次清晰明确，且措施全面周详，得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②方案合理且具有较强针对性，得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③方案具备合理性，得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④方案内容较为粗糙、简略，得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6"/>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⑤</w:t>
            </w:r>
            <w:r>
              <w:rPr>
                <w:rFonts w:hint="eastAsia" w:ascii="宋体" w:hAnsi="宋体" w:eastAsia="宋体" w:cs="宋体"/>
                <w:color w:val="auto"/>
                <w:kern w:val="2"/>
                <w:sz w:val="24"/>
                <w:szCs w:val="24"/>
                <w:highlight w:val="none"/>
                <w:lang w:val="en-US" w:eastAsia="zh-CN" w:bidi="ar-SA"/>
              </w:rPr>
              <w:t>方案内容严重缺失的得1分；</w:t>
            </w:r>
          </w:p>
          <w:p>
            <w:pPr>
              <w:pStyle w:val="26"/>
              <w:ind w:left="0" w:leftChars="0" w:firstLine="0" w:firstLineChars="0"/>
              <w:jc w:val="left"/>
              <w:rPr>
                <w:rFonts w:hint="eastAsia" w:ascii="宋体" w:hAnsi="宋体" w:eastAsia="宋体" w:cs="宋体"/>
                <w:color w:val="auto"/>
                <w:sz w:val="24"/>
                <w:szCs w:val="24"/>
                <w:highlight w:val="none"/>
                <w:lang w:val="en-US"/>
              </w:rPr>
            </w:pPr>
            <w:r>
              <w:rPr>
                <w:rFonts w:hint="eastAsia" w:cs="宋体"/>
                <w:color w:val="auto"/>
                <w:kern w:val="2"/>
                <w:sz w:val="24"/>
                <w:szCs w:val="24"/>
                <w:highlight w:val="none"/>
                <w:lang w:val="en-US" w:eastAsia="zh-CN" w:bidi="ar-SA"/>
              </w:rPr>
              <w:t>⑥</w:t>
            </w:r>
            <w:r>
              <w:rPr>
                <w:rFonts w:hint="eastAsia" w:ascii="宋体" w:hAnsi="宋体" w:eastAsia="宋体" w:cs="宋体"/>
                <w:color w:val="auto"/>
                <w:kern w:val="2"/>
                <w:sz w:val="24"/>
                <w:szCs w:val="24"/>
                <w:highlight w:val="none"/>
                <w:lang w:val="en-US" w:eastAsia="zh-CN" w:bidi="ar-SA"/>
              </w:rPr>
              <w:t>未提及内容的不得分。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针对本项目制定内控管理方案：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①投标人针对本项目制定相关内控制度方案，满足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需求，安排主次分明、措施全面的得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②内控管理方案合理的得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③内控管理方案较为合理的得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④内控管理方案内容存在细微缺陷的得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⑤内控管理方案内容严重欠缺</w:t>
            </w:r>
            <w:r>
              <w:rPr>
                <w:rFonts w:hint="eastAsia" w:ascii="宋体" w:hAnsi="宋体" w:eastAsia="宋体" w:cs="宋体"/>
                <w:color w:val="auto"/>
                <w:sz w:val="24"/>
                <w:szCs w:val="24"/>
                <w:highlight w:val="none"/>
                <w:lang w:val="en-US" w:eastAsia="zh-CN"/>
              </w:rPr>
              <w:t>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⑥未提及内容的不得分。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针对投标人根据对于辖区安装点位熟悉度、完成本项目的经验和实力等情况进行评分：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①投标人操作熟悉程度高、项目的经验和实力多方综合全面的得5分；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②投标人项目操作合理有针对性的得4分；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③投标人项目操作较为合理的得3分；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④投标人项目操作存在细微缺陷的得2分；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⑤投标人项目操作粗糙简略的得1分；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⑥投标人项目操作严重欠缺或未提供的不得分。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针对投标人提供的关于辖区内智慧三件套全域排摸方案进行评分：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①方案综合全面、提供专业排摸报告模版的得5分；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②方案合理有针对性的得4分；方案较为合理的得3分；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③方案内容存在细微缺陷的得2分；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④方案内容粗糙简略的得1分；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针对投标人提供的备用设备参数吻合度进行评分：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①提供的设备参数完全吻合的得3分；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②提供的设备参数部分吻合的得2分；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③提供的设备参数不吻合的得1分；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针对三件套项目历史遗留问题整改提升方案：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①投标人熟悉三件套历史遗留问题且能提供详尽解决方案的得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②方案详细且能贴合实际，有案例能与采购人情况吻合的得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③方案存在明显缺项但具有案例的得3分；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不适应的得1分；</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服务技能培训方案：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投标人结合采购需求对拟投入的技术服务团队的培训方案进行评议：</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①从业能力专业知识培训、安全意识培训，且贴合实际需求的得2分，一般得1分，无或者不符合得0分。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②培训安排进度计划合理得2分，计划一般得1分，无或者不合理得0分。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投标人所提供的技术组与相关部门的联动配合机制评分：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①方案全面合理且有案例的，与采购需求完全相适应的得5分；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②方案详细且有案例的，与采购需求相适应，但存在不足的得4分；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③方案存在明显缺项但具有案例的得3分；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⑤方案与采购需求不适应的得1分；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⑥未提供的得0分。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为了更高效运维本项目，投标人需拟定极早期火灾处置方案联合站点，以便配合三件套的应急处置问题。</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需求，安排主次分明、措施全面的得5分；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③方案较为合理，得3分；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④方案内容一般，得2分；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⑤方案内容严重欠缺的，得1分；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⑥本项内容不提供者不得分。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根据投标人提供的在服务或活动开展过程中对于临时、突发性、特殊性、急件等情况制定突发事情应急预案进行评分。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（1）对于突发事件的响应时间及处理时间的响应承诺情况。</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①方案完整且切实可行符合</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②方案完整，可行性一般，基本满足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③方案有所偏离的得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④方案</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不能满足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未提及内容</w:t>
            </w:r>
            <w:r>
              <w:rPr>
                <w:rFonts w:hint="eastAsia" w:ascii="宋体" w:hAnsi="宋体" w:eastAsia="宋体" w:cs="宋体"/>
                <w:color w:val="auto"/>
                <w:sz w:val="24"/>
                <w:szCs w:val="24"/>
                <w:highlight w:val="none"/>
              </w:rPr>
              <w:t>的不得分。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（2）对本项目区域的突发事件应急（如自然灾害、突发疫情、临时任务等）处置预案，进行综合评议。</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①方案完整且切实可行符合</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②方案完整，可行性一般，基本满足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③方案有所偏离的得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④方案</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不能满足</w:t>
            </w:r>
            <w:r>
              <w:rPr>
                <w:rFonts w:hint="eastAsia" w:ascii="宋体" w:hAnsi="宋体" w:cs="宋体"/>
                <w:color w:val="auto"/>
                <w:sz w:val="24"/>
                <w:szCs w:val="24"/>
                <w:highlight w:val="none"/>
                <w:lang w:val="en-US" w:eastAsia="zh-CN"/>
              </w:rPr>
              <w:t>实际的</w:t>
            </w:r>
            <w:r>
              <w:rPr>
                <w:rFonts w:hint="eastAsia" w:ascii="宋体" w:hAnsi="宋体" w:eastAsia="宋体" w:cs="宋体"/>
                <w:color w:val="auto"/>
                <w:sz w:val="24"/>
                <w:szCs w:val="24"/>
                <w:highlight w:val="none"/>
                <w:lang w:val="en-US" w:eastAsia="zh-CN"/>
              </w:rPr>
              <w:t>得1分；</w:t>
            </w:r>
          </w:p>
          <w:p>
            <w:pPr>
              <w:spacing w:line="4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未提及内容</w:t>
            </w:r>
            <w:r>
              <w:rPr>
                <w:rFonts w:hint="eastAsia" w:ascii="宋体" w:hAnsi="宋体" w:eastAsia="宋体" w:cs="宋体"/>
                <w:color w:val="auto"/>
                <w:sz w:val="24"/>
                <w:szCs w:val="24"/>
                <w:highlight w:val="none"/>
              </w:rPr>
              <w:t>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针对本项目特点和难点进行分析并提出解决措施方案进行评分：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①方案全面合理且可操作性明确的，与项目情况完全匹配的得5分；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②方案详细且与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相适应，但存在不足的得4分；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③方案基本与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相适应，但存在欠缺的得3分；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不适应的得1分；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⑥本项内容不提供者不得分。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根据投标人提供的关于本项目管理的合理化建议评分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建议</w:t>
            </w:r>
            <w:r>
              <w:rPr>
                <w:rFonts w:hint="eastAsia" w:ascii="宋体" w:hAnsi="宋体" w:eastAsia="宋体" w:cs="宋体"/>
                <w:color w:val="auto"/>
                <w:sz w:val="24"/>
                <w:szCs w:val="24"/>
                <w:highlight w:val="none"/>
              </w:rPr>
              <w:t>合理得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较合理的得2分，</w:t>
            </w:r>
            <w:r>
              <w:rPr>
                <w:rFonts w:hint="eastAsia" w:ascii="宋体" w:hAnsi="宋体" w:eastAsia="宋体" w:cs="宋体"/>
                <w:color w:val="auto"/>
                <w:sz w:val="24"/>
                <w:szCs w:val="24"/>
                <w:highlight w:val="none"/>
              </w:rPr>
              <w:t>一般得1分，无或者不合理得0分。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526" w:type="dxa"/>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杭州市西湖区人民政府西溪街道办事处</w:t>
      </w:r>
      <w:r>
        <w:rPr>
          <w:rFonts w:hint="eastAsia" w:ascii="宋体" w:hAnsi="宋体"/>
          <w:color w:val="auto"/>
          <w:sz w:val="24"/>
          <w:highlight w:val="none"/>
        </w:rPr>
        <w:t>以</w:t>
      </w:r>
      <w:r>
        <w:rPr>
          <w:rFonts w:ascii="宋体" w:hAnsi="宋体"/>
          <w:color w:val="auto"/>
          <w:sz w:val="24"/>
          <w:highlight w:val="none"/>
          <w:u w:val="single"/>
        </w:rPr>
        <w:t>（政府采购方式）</w:t>
      </w:r>
      <w:r>
        <w:rPr>
          <w:rFonts w:hint="eastAsia" w:ascii="宋体" w:hAnsi="宋体"/>
          <w:color w:val="auto"/>
          <w:sz w:val="24"/>
          <w:highlight w:val="none"/>
        </w:rPr>
        <w:t>对</w:t>
      </w:r>
      <w:r>
        <w:rPr>
          <w:rFonts w:hint="eastAsia" w:ascii="宋体" w:hAnsi="宋体" w:cs="宋体"/>
          <w:color w:val="auto"/>
          <w:sz w:val="24"/>
          <w:highlight w:val="none"/>
          <w:u w:val="single"/>
          <w:lang w:eastAsia="zh-CN"/>
        </w:rPr>
        <w:t>西溪街道电气烟智慧“三件套”维保服务项目</w:t>
      </w:r>
      <w:r>
        <w:rPr>
          <w:rFonts w:hint="eastAsia" w:ascii="宋体" w:hAnsi="宋体"/>
          <w:color w:val="auto"/>
          <w:sz w:val="24"/>
          <w:highlight w:val="none"/>
        </w:rPr>
        <w:t>项目进行了采购。经</w:t>
      </w:r>
      <w:r>
        <w:rPr>
          <w:rFonts w:ascii="宋体" w:hAnsi="宋体"/>
          <w:color w:val="auto"/>
          <w:sz w:val="24"/>
          <w:highlight w:val="none"/>
          <w:u w:val="single"/>
        </w:rPr>
        <w:t>（相关评定主体名称）</w:t>
      </w:r>
      <w:r>
        <w:rPr>
          <w:rFonts w:hint="eastAsia" w:ascii="宋体" w:hAnsi="宋体"/>
          <w:color w:val="auto"/>
          <w:sz w:val="24"/>
          <w:highlight w:val="none"/>
        </w:rPr>
        <w:t>评定，</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供应商名称）</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杭州市西湖区人民政府西溪街道办事处</w:t>
      </w:r>
      <w:r>
        <w:rPr>
          <w:rFonts w:ascii="宋体" w:hAnsi="宋体"/>
          <w:color w:val="auto"/>
          <w:sz w:val="24"/>
          <w:highlight w:val="none"/>
          <w:lang w:val="zh-CN"/>
        </w:rPr>
        <w:t>(以下简称：甲方)和</w:t>
      </w:r>
      <w:r>
        <w:rPr>
          <w:rFonts w:ascii="宋体" w:hAnsi="宋体"/>
          <w:color w:val="auto"/>
          <w:sz w:val="24"/>
          <w:highlight w:val="none"/>
          <w:u w:val="single"/>
        </w:rPr>
        <w:t>（中</w:t>
      </w:r>
      <w:r>
        <w:rPr>
          <w:rFonts w:hint="eastAsia" w:ascii="宋体" w:hAnsi="宋体"/>
          <w:color w:val="auto"/>
          <w:sz w:val="24"/>
          <w:highlight w:val="none"/>
          <w:u w:val="single"/>
        </w:rPr>
        <w:t>或者成交</w:t>
      </w:r>
      <w:r>
        <w:rPr>
          <w:rFonts w:ascii="宋体" w:hAnsi="宋体"/>
          <w:color w:val="auto"/>
          <w:sz w:val="24"/>
          <w:highlight w:val="none"/>
          <w:u w:val="single"/>
        </w:rPr>
        <w:t>标供应商名称）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5367"/>
      <w:bookmarkStart w:id="396" w:name="_Toc19273"/>
      <w:bookmarkStart w:id="397" w:name="_Toc28855"/>
      <w:bookmarkStart w:id="398" w:name="_Toc20421"/>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185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5" w:name="_Toc21124"/>
      <w:bookmarkStart w:id="406" w:name="_Toc1386"/>
      <w:bookmarkStart w:id="407" w:name="_Toc5635"/>
      <w:bookmarkStart w:id="408" w:name="_Toc13918"/>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14993"/>
      <w:bookmarkStart w:id="411" w:name="_Toc30506"/>
      <w:bookmarkStart w:id="412" w:name="_Toc26916"/>
      <w:bookmarkStart w:id="413" w:name="_Toc30158"/>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8772"/>
      <w:bookmarkStart w:id="419" w:name="_Toc4760"/>
      <w:bookmarkStart w:id="420" w:name="_Toc31421"/>
      <w:bookmarkStart w:id="421" w:name="_Toc3625"/>
      <w:bookmarkStart w:id="422" w:name="_Toc11108"/>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5698"/>
      <w:bookmarkStart w:id="424" w:name="_Toc8586"/>
      <w:bookmarkStart w:id="425" w:name="_Toc2375"/>
      <w:bookmarkStart w:id="426" w:name="_Toc24662"/>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26807"/>
      <w:bookmarkStart w:id="429" w:name="_Toc32454"/>
      <w:bookmarkStart w:id="430" w:name="_Toc9497"/>
      <w:bookmarkStart w:id="431" w:name="_Toc18683"/>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19680"/>
      <w:bookmarkStart w:id="440" w:name="_Toc25079"/>
      <w:bookmarkStart w:id="441" w:name="_Toc5228"/>
      <w:bookmarkStart w:id="442" w:name="_Toc14021"/>
      <w:bookmarkStart w:id="443" w:name="_Toc31297"/>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3769"/>
      <w:bookmarkStart w:id="445" w:name="_Toc16752"/>
      <w:bookmarkStart w:id="446" w:name="_Toc31402"/>
      <w:bookmarkStart w:id="447" w:name="_Toc19539"/>
      <w:bookmarkStart w:id="448" w:name="_Toc2328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4133"/>
      <w:bookmarkStart w:id="450" w:name="_Toc9161"/>
      <w:bookmarkStart w:id="451" w:name="_Toc27945"/>
      <w:bookmarkStart w:id="452" w:name="_Toc12412"/>
      <w:bookmarkStart w:id="453" w:name="_Toc13673"/>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6163"/>
      <w:bookmarkStart w:id="460" w:name="_Toc18990"/>
      <w:bookmarkStart w:id="461" w:name="_Toc13467"/>
      <w:bookmarkStart w:id="462" w:name="_Toc3050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42"/>
      <w:bookmarkStart w:id="468" w:name="_Toc26689"/>
      <w:bookmarkStart w:id="469" w:name="_Toc21830"/>
      <w:bookmarkStart w:id="470" w:name="_Toc10663"/>
      <w:bookmarkStart w:id="471" w:name="_Toc23368"/>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4720"/>
      <w:bookmarkStart w:id="473" w:name="_Toc32494"/>
      <w:bookmarkStart w:id="474" w:name="_Toc14371"/>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14115"/>
      <w:bookmarkStart w:id="478" w:name="_Toc25783"/>
      <w:bookmarkStart w:id="479" w:name="_Toc23854"/>
      <w:bookmarkStart w:id="480" w:name="_Toc3638"/>
      <w:bookmarkStart w:id="481" w:name="_Toc2446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14814"/>
      <w:bookmarkStart w:id="485" w:name="_Toc26883"/>
      <w:bookmarkStart w:id="486" w:name="_Toc7315"/>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9808"/>
      <w:bookmarkStart w:id="494" w:name="_Toc2308"/>
      <w:bookmarkStart w:id="495" w:name="_Toc25198"/>
      <w:bookmarkStart w:id="496" w:name="_Toc31892"/>
      <w:bookmarkStart w:id="497" w:name="_Toc12666"/>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7644"/>
      <w:bookmarkStart w:id="501" w:name="_Toc5063"/>
      <w:bookmarkStart w:id="502" w:name="_Toc12254"/>
      <w:bookmarkStart w:id="503" w:name="_Toc20808"/>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81"/>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31"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pPr>
        <w:pStyle w:val="2"/>
        <w:rPr>
          <w:rFonts w:hint="eastAsia"/>
          <w:color w:val="auto"/>
          <w:highlight w:val="none"/>
        </w:rPr>
      </w:pPr>
    </w:p>
    <w:p>
      <w:pPr>
        <w:pStyle w:val="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sz w:val="24"/>
                <w:lang w:val="en-US" w:eastAsia="zh-CN"/>
              </w:rPr>
              <w:t>总价   元，单价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杭州市西湖区人民政府西溪街道办事处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万宸工程咨询（杭州）有限公司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杭州市西湖区人民政府西溪街道办事处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oto Serif SC">
    <w:panose1 w:val="0202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D6EBB"/>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019A3"/>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063A8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51569"/>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9680D"/>
    <w:rsid w:val="17FA6EAF"/>
    <w:rsid w:val="18275683"/>
    <w:rsid w:val="1830729E"/>
    <w:rsid w:val="1870062C"/>
    <w:rsid w:val="18817102"/>
    <w:rsid w:val="18830A15"/>
    <w:rsid w:val="18852B28"/>
    <w:rsid w:val="188B5321"/>
    <w:rsid w:val="188C387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6058A"/>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64F87"/>
    <w:rsid w:val="226D06CE"/>
    <w:rsid w:val="22B97967"/>
    <w:rsid w:val="22BE6801"/>
    <w:rsid w:val="233500BF"/>
    <w:rsid w:val="23377FF7"/>
    <w:rsid w:val="236B425F"/>
    <w:rsid w:val="23836192"/>
    <w:rsid w:val="23901F29"/>
    <w:rsid w:val="239C0061"/>
    <w:rsid w:val="23B908A4"/>
    <w:rsid w:val="23BD387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E2CFF"/>
    <w:rsid w:val="26871DC8"/>
    <w:rsid w:val="26A53EF9"/>
    <w:rsid w:val="26A94201"/>
    <w:rsid w:val="26AC274F"/>
    <w:rsid w:val="27044A29"/>
    <w:rsid w:val="271D34C8"/>
    <w:rsid w:val="276142BF"/>
    <w:rsid w:val="27783712"/>
    <w:rsid w:val="27907362"/>
    <w:rsid w:val="27F2361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025D7"/>
    <w:rsid w:val="2B437463"/>
    <w:rsid w:val="2B7807EE"/>
    <w:rsid w:val="2B8F395A"/>
    <w:rsid w:val="2BA50BF7"/>
    <w:rsid w:val="2BAE3DE1"/>
    <w:rsid w:val="2BBF00EC"/>
    <w:rsid w:val="2BC37CFD"/>
    <w:rsid w:val="2BD5237F"/>
    <w:rsid w:val="2BE536CE"/>
    <w:rsid w:val="2BE758D9"/>
    <w:rsid w:val="2C09049E"/>
    <w:rsid w:val="2C0A653C"/>
    <w:rsid w:val="2C191F85"/>
    <w:rsid w:val="2C2C11A9"/>
    <w:rsid w:val="2C670A1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94E1C"/>
    <w:rsid w:val="308C3862"/>
    <w:rsid w:val="309379D8"/>
    <w:rsid w:val="30A270F7"/>
    <w:rsid w:val="30DF1478"/>
    <w:rsid w:val="30EC586F"/>
    <w:rsid w:val="310402C4"/>
    <w:rsid w:val="311961A0"/>
    <w:rsid w:val="312F0DDF"/>
    <w:rsid w:val="314550B7"/>
    <w:rsid w:val="319C6071"/>
    <w:rsid w:val="31AC537E"/>
    <w:rsid w:val="31B77767"/>
    <w:rsid w:val="31E3679B"/>
    <w:rsid w:val="31E732FD"/>
    <w:rsid w:val="32517576"/>
    <w:rsid w:val="3254320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BA3D4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311645"/>
    <w:rsid w:val="3F6363FE"/>
    <w:rsid w:val="3F756B8F"/>
    <w:rsid w:val="3F95482B"/>
    <w:rsid w:val="4019356B"/>
    <w:rsid w:val="40592157"/>
    <w:rsid w:val="406E1CAE"/>
    <w:rsid w:val="40A0133A"/>
    <w:rsid w:val="40C31A53"/>
    <w:rsid w:val="40FF545D"/>
    <w:rsid w:val="410067C8"/>
    <w:rsid w:val="418F0D2A"/>
    <w:rsid w:val="41D01505"/>
    <w:rsid w:val="42277FF1"/>
    <w:rsid w:val="42474939"/>
    <w:rsid w:val="424C3C57"/>
    <w:rsid w:val="42613FF3"/>
    <w:rsid w:val="42660D96"/>
    <w:rsid w:val="428667D2"/>
    <w:rsid w:val="42CD1CE0"/>
    <w:rsid w:val="42E1381E"/>
    <w:rsid w:val="42ED6459"/>
    <w:rsid w:val="42F02AD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D33F1"/>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62DB0"/>
    <w:rsid w:val="495F5B3E"/>
    <w:rsid w:val="496F77D7"/>
    <w:rsid w:val="497654FD"/>
    <w:rsid w:val="49B64211"/>
    <w:rsid w:val="49E56AF9"/>
    <w:rsid w:val="49F6167F"/>
    <w:rsid w:val="4A064FA0"/>
    <w:rsid w:val="4A16615C"/>
    <w:rsid w:val="4A4424D7"/>
    <w:rsid w:val="4AB82D0F"/>
    <w:rsid w:val="4AEB7664"/>
    <w:rsid w:val="4AFD7C19"/>
    <w:rsid w:val="4B0567D1"/>
    <w:rsid w:val="4B236AAE"/>
    <w:rsid w:val="4B4963C8"/>
    <w:rsid w:val="4B65492A"/>
    <w:rsid w:val="4B707271"/>
    <w:rsid w:val="4B9739F7"/>
    <w:rsid w:val="4BEE2503"/>
    <w:rsid w:val="4C245A30"/>
    <w:rsid w:val="4C807C01"/>
    <w:rsid w:val="4CB6685F"/>
    <w:rsid w:val="4CC367FE"/>
    <w:rsid w:val="4D077F3C"/>
    <w:rsid w:val="4D123355"/>
    <w:rsid w:val="4D2A3B31"/>
    <w:rsid w:val="4D312C52"/>
    <w:rsid w:val="4D905305"/>
    <w:rsid w:val="4D964A72"/>
    <w:rsid w:val="4D9C1254"/>
    <w:rsid w:val="4DB34E2F"/>
    <w:rsid w:val="4E793892"/>
    <w:rsid w:val="4E800872"/>
    <w:rsid w:val="4EC569ED"/>
    <w:rsid w:val="4ED50EA1"/>
    <w:rsid w:val="4EEC050C"/>
    <w:rsid w:val="4F104EC3"/>
    <w:rsid w:val="4F47354A"/>
    <w:rsid w:val="4F6D4A83"/>
    <w:rsid w:val="4F911C54"/>
    <w:rsid w:val="4FE625E0"/>
    <w:rsid w:val="5021480F"/>
    <w:rsid w:val="502D7482"/>
    <w:rsid w:val="50962ECB"/>
    <w:rsid w:val="50A42E38"/>
    <w:rsid w:val="50A4577F"/>
    <w:rsid w:val="50B73D1F"/>
    <w:rsid w:val="50BD5BC9"/>
    <w:rsid w:val="50C11EEE"/>
    <w:rsid w:val="50E97CFC"/>
    <w:rsid w:val="50FA4028"/>
    <w:rsid w:val="510D65B7"/>
    <w:rsid w:val="511157AB"/>
    <w:rsid w:val="5142540C"/>
    <w:rsid w:val="51657DF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34C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309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C6BFB"/>
    <w:rsid w:val="5CF35D1E"/>
    <w:rsid w:val="5D0C4701"/>
    <w:rsid w:val="5D0F0395"/>
    <w:rsid w:val="5D221076"/>
    <w:rsid w:val="5D397964"/>
    <w:rsid w:val="5D5A391C"/>
    <w:rsid w:val="5D5F10C0"/>
    <w:rsid w:val="5D891B7B"/>
    <w:rsid w:val="5DAD38EE"/>
    <w:rsid w:val="5E006862"/>
    <w:rsid w:val="5E0207B9"/>
    <w:rsid w:val="5E1834A1"/>
    <w:rsid w:val="5E261785"/>
    <w:rsid w:val="5E2A2EEB"/>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7050B9"/>
    <w:rsid w:val="6182292A"/>
    <w:rsid w:val="61992B8F"/>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C168B"/>
    <w:rsid w:val="64055776"/>
    <w:rsid w:val="641A0055"/>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4520A"/>
    <w:rsid w:val="69CC2BFF"/>
    <w:rsid w:val="69FD55B8"/>
    <w:rsid w:val="6A0B1C62"/>
    <w:rsid w:val="6A2406C8"/>
    <w:rsid w:val="6A643584"/>
    <w:rsid w:val="6ADE0BD1"/>
    <w:rsid w:val="6AE96859"/>
    <w:rsid w:val="6B147746"/>
    <w:rsid w:val="6B24787C"/>
    <w:rsid w:val="6B573233"/>
    <w:rsid w:val="6B5B6274"/>
    <w:rsid w:val="6B935D53"/>
    <w:rsid w:val="6BB14F4D"/>
    <w:rsid w:val="6C196F71"/>
    <w:rsid w:val="6C226FCB"/>
    <w:rsid w:val="6C31226F"/>
    <w:rsid w:val="6C552F0B"/>
    <w:rsid w:val="6C6B6BA9"/>
    <w:rsid w:val="6C8C67B7"/>
    <w:rsid w:val="6C9D744C"/>
    <w:rsid w:val="6D167928"/>
    <w:rsid w:val="6D26299B"/>
    <w:rsid w:val="6D4772EC"/>
    <w:rsid w:val="6D9078AF"/>
    <w:rsid w:val="6DAA3FEF"/>
    <w:rsid w:val="6DC0172B"/>
    <w:rsid w:val="6DCB690C"/>
    <w:rsid w:val="6DCD73EF"/>
    <w:rsid w:val="6DD41A5B"/>
    <w:rsid w:val="6DF43C2E"/>
    <w:rsid w:val="6DF51CA3"/>
    <w:rsid w:val="6E8335BD"/>
    <w:rsid w:val="6E8E12EF"/>
    <w:rsid w:val="6E972936"/>
    <w:rsid w:val="6ED446C5"/>
    <w:rsid w:val="6F2A7D94"/>
    <w:rsid w:val="6F8331F1"/>
    <w:rsid w:val="6FAE1A09"/>
    <w:rsid w:val="6FD75BF8"/>
    <w:rsid w:val="6FF13869"/>
    <w:rsid w:val="701557A9"/>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AD1FE0"/>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85BE7"/>
    <w:rsid w:val="79E27E8B"/>
    <w:rsid w:val="79F850CE"/>
    <w:rsid w:val="79FD443C"/>
    <w:rsid w:val="7A0A5C53"/>
    <w:rsid w:val="7A1D1975"/>
    <w:rsid w:val="7A3E5150"/>
    <w:rsid w:val="7A4670D6"/>
    <w:rsid w:val="7A5213A8"/>
    <w:rsid w:val="7A534B63"/>
    <w:rsid w:val="7A615382"/>
    <w:rsid w:val="7A67303B"/>
    <w:rsid w:val="7AAB1D04"/>
    <w:rsid w:val="7ABA4368"/>
    <w:rsid w:val="7AD05746"/>
    <w:rsid w:val="7B257FFD"/>
    <w:rsid w:val="7B273D20"/>
    <w:rsid w:val="7B343476"/>
    <w:rsid w:val="7B354272"/>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E83C65"/>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2942</Words>
  <Characters>3212</Characters>
  <Lines>281</Lines>
  <Paragraphs>79</Paragraphs>
  <TotalTime>33</TotalTime>
  <ScaleCrop>false</ScaleCrop>
  <LinksUpToDate>false</LinksUpToDate>
  <CharactersWithSpaces>3376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ZhuanZ</cp:lastModifiedBy>
  <cp:lastPrinted>2021-12-28T03:06:00Z</cp:lastPrinted>
  <dcterms:modified xsi:type="dcterms:W3CDTF">2025-06-25T08:25:04Z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AE4DA254E34B4FF0972C0354691EC35C_13</vt:lpwstr>
  </property>
  <property fmtid="{D5CDD505-2E9C-101B-9397-08002B2CF9AE}" pid="5" name="KSOTemplateDocerSaveRecord">
    <vt:lpwstr>eyJoZGlkIjoiN2YzNjBkOTgyNWQ1YTMxYzM3MzMwNWFiODNmOWIzYWMiLCJ1c2VySWQiOiI0MjA4OTE4NDAifQ==</vt:lpwstr>
  </property>
</Properties>
</file>