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翠苑街道设施长效一体化管养服务项目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DFJW2025-XH-011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杭州市西湖区人民政府翠苑街道办事处</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东方经纬项目管理有限公司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翠苑街道设施长效一体化管养服务项目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DFJW2025-XH-011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翠苑街道设施长效一体化管养服务项目 </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6300000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6300000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翠苑街道设施长效一体化管养服务项目</w:t>
      </w:r>
      <w:r>
        <w:rPr>
          <w:rFonts w:hint="eastAsia" w:hAnsi="宋体" w:cs="宋体"/>
          <w:bCs/>
          <w:snapToGrid/>
          <w:color w:val="auto"/>
          <w:kern w:val="2"/>
          <w:sz w:val="24"/>
          <w:szCs w:val="24"/>
          <w:highlight w:val="none"/>
        </w:rPr>
        <w:t>主要内容：1.处置辖区各类管养设施</w:t>
      </w:r>
      <w:r>
        <w:rPr>
          <w:rFonts w:hint="eastAsia" w:hAnsi="宋体" w:cs="宋体"/>
          <w:bCs/>
          <w:snapToGrid/>
          <w:color w:val="auto"/>
          <w:kern w:val="2"/>
          <w:sz w:val="24"/>
          <w:szCs w:val="24"/>
          <w:highlight w:val="none"/>
          <w:lang w:val="en-US" w:eastAsia="zh-CN"/>
        </w:rPr>
        <w:t>管理养护（含道路及附属设施、排水系统及小微水体、绿化等）</w:t>
      </w:r>
      <w:r>
        <w:rPr>
          <w:rFonts w:hint="eastAsia" w:hAnsi="宋体" w:cs="宋体"/>
          <w:bCs/>
          <w:snapToGrid/>
          <w:color w:val="auto"/>
          <w:kern w:val="2"/>
          <w:sz w:val="24"/>
          <w:szCs w:val="24"/>
          <w:highlight w:val="none"/>
        </w:rPr>
        <w:t>；2</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辖区内老旧小区改造建成后期</w:t>
      </w:r>
      <w:r>
        <w:rPr>
          <w:rFonts w:hint="eastAsia" w:hAnsi="宋体" w:cs="宋体"/>
          <w:bCs/>
          <w:snapToGrid/>
          <w:color w:val="auto"/>
          <w:kern w:val="2"/>
          <w:sz w:val="24"/>
          <w:szCs w:val="24"/>
          <w:highlight w:val="none"/>
          <w:lang w:val="en-US" w:eastAsia="zh-CN"/>
        </w:rPr>
        <w:t>相关</w:t>
      </w:r>
      <w:r>
        <w:rPr>
          <w:rFonts w:hint="eastAsia" w:hAnsi="宋体" w:cs="宋体"/>
          <w:bCs/>
          <w:snapToGrid/>
          <w:color w:val="auto"/>
          <w:kern w:val="2"/>
          <w:sz w:val="24"/>
          <w:szCs w:val="24"/>
          <w:highlight w:val="none"/>
        </w:rPr>
        <w:t>设施管养</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val="en-US" w:eastAsia="zh-CN"/>
        </w:rPr>
        <w:t>3.防汛抗台、防雪抗冻及应急保障等工作</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三年，合同一年一签。</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市政公用工程施工总承包</w:t>
      </w:r>
      <w:r>
        <w:rPr>
          <w:rFonts w:hint="eastAsia" w:ascii="宋体" w:hAnsi="宋体" w:cs="宋体"/>
          <w:color w:val="auto"/>
          <w:sz w:val="24"/>
          <w:highlight w:val="none"/>
          <w:u w:val="single"/>
          <w:lang w:val="en-US" w:eastAsia="zh-CN"/>
        </w:rPr>
        <w:t>三级及以上资质</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《城市道路管理条例》第十六条：承担城市道路设计、施工的单位，应当具有相应的资质等级，并按照资质等级承担相应的城市道路的设计、施工任务</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址：杭州市西湖区万塘路69号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刘先生</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项目联系方式（询问）：0571-89512823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陈先生</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质疑联系方式：0571-86903770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东方经纬项目管理有限公司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址：杭州市上城区馆驿后2号泰地万新大厦1号楼9楼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Theme="minorEastAsia" w:hAnsiTheme="minorEastAsia" w:eastAsiaTheme="minorEastAsia"/>
          <w:color w:val="auto"/>
          <w:sz w:val="24"/>
          <w:lang w:val="en-US" w:eastAsia="zh-CN"/>
        </w:rPr>
        <w:t>陆工</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19884150811</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Theme="minorEastAsia" w:hAnsiTheme="minorEastAsia" w:eastAsiaTheme="minorEastAsia"/>
          <w:color w:val="auto"/>
          <w:sz w:val="24"/>
        </w:rPr>
        <w:t>单</w:t>
      </w:r>
      <w:r>
        <w:rPr>
          <w:rFonts w:hint="eastAsia" w:asciiTheme="minorEastAsia" w:hAnsiTheme="minorEastAsia" w:eastAsiaTheme="minorEastAsia"/>
          <w:color w:val="auto"/>
          <w:sz w:val="24"/>
          <w:lang w:val="en-US" w:eastAsia="zh-CN"/>
        </w:rPr>
        <w:t xml:space="preserve">先生 </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olor w:val="auto"/>
          <w:sz w:val="24"/>
        </w:rPr>
        <w:t>0571-56783590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西湖区</w:t>
      </w:r>
      <w:r>
        <w:rPr>
          <w:rFonts w:hint="eastAsia" w:ascii="宋体" w:hAnsi="宋体" w:cs="宋体"/>
          <w:color w:val="auto"/>
          <w:sz w:val="24"/>
          <w:highlight w:val="none"/>
        </w:rPr>
        <w:t>财政局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3BF79A5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04E4AB13">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8" w:hRule="atLeast"/>
        </w:trPr>
        <w:tc>
          <w:tcPr>
            <w:tcW w:w="629" w:type="dxa"/>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56AA107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翠苑街道设施长效一体化管养服务项目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highlight w:val="none"/>
                <w:u w:val="single"/>
                <w:lang w:val="en-US" w:eastAsia="zh-CN"/>
              </w:rPr>
              <w:t>其他未列明</w:t>
            </w:r>
            <w:r>
              <w:rPr>
                <w:rFonts w:hint="eastAsia" w:ascii="宋体" w:hAnsi="宋体" w:cs="宋体"/>
                <w:color w:val="auto"/>
                <w:kern w:val="0"/>
                <w:sz w:val="24"/>
                <w:highlight w:val="none"/>
              </w:rPr>
              <w:t>行业；</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color w:val="auto"/>
                <w:sz w:val="24"/>
                <w:highlight w:val="none"/>
                <w:u w:val="none"/>
                <w:lang w:val="en-US" w:eastAsia="zh-CN"/>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color w:val="auto"/>
                <w:kern w:val="0"/>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kern w:val="0"/>
                <w:sz w:val="24"/>
                <w:szCs w:val="24"/>
                <w:highlight w:val="none"/>
                <w:lang w:val="en-US" w:eastAsia="zh-CN" w:bidi="ar-SA"/>
              </w:rPr>
              <w:t>。</w:t>
            </w:r>
          </w:p>
        </w:tc>
      </w:tr>
      <w:tr w14:paraId="021C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86A7D26">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079E431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38940AC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eastAsia="宋体" w:cs="宋体"/>
                <w:color w:val="auto"/>
                <w:sz w:val="24"/>
                <w:highlight w:val="none"/>
                <w:u w:val="single"/>
              </w:rPr>
              <w:t>如劳务、车辆及机械等设备租赁、资料及材料采购、技术检测等</w:t>
            </w:r>
            <w:r>
              <w:rPr>
                <w:rFonts w:hint="eastAsia" w:ascii="宋体" w:hAnsi="宋体" w:cs="宋体"/>
                <w:color w:val="auto"/>
                <w:sz w:val="24"/>
                <w:highlight w:val="none"/>
              </w:rPr>
              <w:t>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2F59C2C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34F96D8E">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4CE53DDF">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DDDB98A">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Merge w:val="continue"/>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vAlign w:val="center"/>
          </w:tcPr>
          <w:p w14:paraId="4590D7B1">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p>
        </w:tc>
        <w:tc>
          <w:tcPr>
            <w:tcW w:w="6095" w:type="dxa"/>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6A8F3422">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00383485">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D8BAA3D">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4002ED00">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51E7FA4">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vAlign w:val="center"/>
          </w:tcPr>
          <w:p w14:paraId="500B23DB">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ascii="宋体" w:hAnsi="宋体" w:cs="宋体"/>
                <w:b/>
                <w:color w:val="auto"/>
                <w:sz w:val="24"/>
                <w:highlight w:val="none"/>
              </w:rPr>
            </w:pPr>
          </w:p>
        </w:tc>
        <w:tc>
          <w:tcPr>
            <w:tcW w:w="6095" w:type="dxa"/>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629" w:type="dxa"/>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Align w:val="center"/>
          </w:tcPr>
          <w:p w14:paraId="7BF9C4C7">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Align w:val="center"/>
          </w:tcPr>
          <w:p w14:paraId="61E57FAC">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vAlign w:val="center"/>
          </w:tcPr>
          <w:p w14:paraId="679C9F17">
            <w:pPr>
              <w:snapToGrid w:val="0"/>
              <w:spacing w:line="360" w:lineRule="auto"/>
              <w:rPr>
                <w:rFonts w:hint="eastAsia" w:ascii="宋体" w:hAnsi="宋体" w:cs="宋体"/>
                <w:b/>
                <w:bCs/>
                <w:kern w:val="0"/>
                <w:sz w:val="24"/>
              </w:rPr>
            </w:pPr>
            <w:r>
              <w:rPr>
                <w:rFonts w:hint="eastAsia" w:ascii="宋体" w:hAnsi="宋体" w:cs="宋体"/>
                <w:b/>
                <w:bCs/>
                <w:kern w:val="0"/>
                <w:sz w:val="24"/>
              </w:rPr>
              <w:t>1、成交单位须在领取成交通知书的同时，提供与线上递交的“电子加密响应文件”一致的纸质响应文件并装订成册一正三副给采购代理机构。</w:t>
            </w:r>
          </w:p>
          <w:p w14:paraId="077AB8C7">
            <w:pPr>
              <w:snapToGrid w:val="0"/>
              <w:spacing w:line="360" w:lineRule="auto"/>
              <w:rPr>
                <w:rFonts w:hint="eastAsia" w:ascii="宋体" w:hAnsi="宋体" w:cs="宋体"/>
                <w:kern w:val="0"/>
                <w:sz w:val="24"/>
              </w:rPr>
            </w:pPr>
            <w:r>
              <w:rPr>
                <w:rFonts w:hint="eastAsia" w:ascii="宋体" w:hAnsi="宋体" w:cs="宋体"/>
                <w:kern w:val="0"/>
                <w:sz w:val="24"/>
              </w:rPr>
              <w:t>2、采购代理服务费金额：参照计价格【2002】1980号文服务项目的收费标准计取。</w:t>
            </w:r>
          </w:p>
          <w:p w14:paraId="5D4A4698">
            <w:pPr>
              <w:snapToGrid w:val="0"/>
              <w:spacing w:line="360" w:lineRule="auto"/>
              <w:rPr>
                <w:rFonts w:hint="eastAsia" w:ascii="宋体" w:hAnsi="宋体" w:cs="宋体"/>
                <w:kern w:val="0"/>
                <w:sz w:val="24"/>
              </w:rPr>
            </w:pPr>
            <w:r>
              <w:rPr>
                <w:rFonts w:hint="eastAsia" w:ascii="宋体" w:hAnsi="宋体" w:cs="宋体"/>
                <w:kern w:val="0"/>
                <w:sz w:val="24"/>
              </w:rPr>
              <w:t>采购代理服务费交纳形式：汇票/支票/电汇/现金</w:t>
            </w:r>
          </w:p>
          <w:p w14:paraId="693334AE">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kern w:val="0"/>
                <w:sz w:val="24"/>
              </w:rPr>
              <w:t>采购代理服务费由</w:t>
            </w:r>
            <w:r>
              <w:rPr>
                <w:rFonts w:hint="eastAsia" w:ascii="宋体" w:hAnsi="宋体" w:cs="宋体"/>
                <w:kern w:val="0"/>
                <w:sz w:val="24"/>
                <w:lang w:val="en-US" w:eastAsia="zh-CN"/>
              </w:rPr>
              <w:t>中标人</w:t>
            </w:r>
            <w:r>
              <w:rPr>
                <w:rFonts w:hint="eastAsia" w:ascii="宋体" w:hAnsi="宋体" w:cs="宋体"/>
                <w:kern w:val="0"/>
                <w:sz w:val="24"/>
              </w:rPr>
              <w:t>在领取中标通知书时以人民币方式向采购代理机构支付。</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服务全部由符合政策要求的中小企业承接，提供中小企业声明函；</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：市政公用工程施工总承包三级及以上资质</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1"/>
    <w:bookmarkEnd w:id="12"/>
    <w:bookmarkEnd w:id="13"/>
    <w:p w14:paraId="2CEA851A">
      <w:pPr>
        <w:rPr>
          <w:rFonts w:hint="eastAsia"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5EB3596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1B09757">
      <w:pPr>
        <w:spacing w:line="360" w:lineRule="auto"/>
        <w:ind w:firstLine="120" w:firstLineChars="50"/>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、服务内容</w:t>
      </w:r>
    </w:p>
    <w:p w14:paraId="692A013C">
      <w:pPr>
        <w:spacing w:line="360" w:lineRule="auto"/>
        <w:ind w:firstLine="480" w:firstLineChars="200"/>
        <w:rPr>
          <w:rFonts w:hint="eastAsia" w:ascii="宋体" w:hAnsi="宋体" w:eastAsia="宋体" w:cs="宋体"/>
          <w:b/>
          <w:sz w:val="24"/>
          <w:szCs w:val="24"/>
          <w:highlight w:val="yellow"/>
        </w:rPr>
      </w:pPr>
      <w:r>
        <w:rPr>
          <w:rFonts w:hint="eastAsia" w:ascii="宋体" w:hAnsi="宋体" w:cs="宋体"/>
          <w:b w:val="0"/>
          <w:bCs/>
          <w:snapToGrid/>
          <w:color w:val="auto"/>
          <w:kern w:val="2"/>
          <w:sz w:val="24"/>
          <w:szCs w:val="24"/>
          <w:highlight w:val="none"/>
          <w:lang w:val="en-US" w:eastAsia="zh-CN"/>
        </w:rPr>
        <w:t>1</w:t>
      </w:r>
      <w:r>
        <w:rPr>
          <w:rFonts w:hint="eastAsia" w:ascii="宋体" w:hAnsi="宋体" w:eastAsia="宋体" w:cs="宋体"/>
          <w:b w:val="0"/>
          <w:bCs/>
          <w:snapToGrid/>
          <w:color w:val="auto"/>
          <w:kern w:val="2"/>
          <w:sz w:val="24"/>
          <w:szCs w:val="24"/>
          <w:highlight w:val="none"/>
          <w:lang w:val="en-US" w:eastAsia="zh-CN"/>
        </w:rPr>
        <w:t>.1</w:t>
      </w:r>
      <w:r>
        <w:rPr>
          <w:rFonts w:hint="eastAsia" w:ascii="宋体" w:hAnsi="宋体" w:eastAsia="宋体" w:cs="宋体"/>
          <w:kern w:val="0"/>
          <w:sz w:val="24"/>
          <w:szCs w:val="24"/>
          <w:highlight w:val="none"/>
        </w:rPr>
        <w:t>服务范围：</w:t>
      </w:r>
      <w:r>
        <w:rPr>
          <w:rFonts w:hint="eastAsia" w:ascii="宋体" w:hAnsi="宋体" w:eastAsia="宋体" w:cs="宋体"/>
          <w:color w:val="auto"/>
          <w:sz w:val="24"/>
          <w:szCs w:val="24"/>
          <w:highlight w:val="none"/>
          <w:lang w:val="en-US" w:eastAsia="zh-CN"/>
        </w:rPr>
        <w:t>本项目共分3个服务内容：</w:t>
      </w:r>
      <w:r>
        <w:rPr>
          <w:rFonts w:hint="eastAsia" w:ascii="宋体" w:hAnsi="宋体" w:eastAsia="宋体" w:cs="宋体"/>
          <w:bCs/>
          <w:snapToGrid/>
          <w:color w:val="auto"/>
          <w:kern w:val="2"/>
          <w:sz w:val="24"/>
          <w:szCs w:val="24"/>
          <w:highlight w:val="none"/>
        </w:rPr>
        <w:t>1.处置辖区各类管养设施</w:t>
      </w:r>
      <w:r>
        <w:rPr>
          <w:rFonts w:hint="eastAsia" w:ascii="宋体" w:hAnsi="宋体" w:eastAsia="宋体" w:cs="宋体"/>
          <w:bCs/>
          <w:snapToGrid/>
          <w:color w:val="auto"/>
          <w:kern w:val="2"/>
          <w:sz w:val="24"/>
          <w:szCs w:val="24"/>
          <w:highlight w:val="none"/>
          <w:lang w:val="en-US" w:eastAsia="zh-CN"/>
        </w:rPr>
        <w:t>管理养护（含道路及附属设施、排水系统及小微水体、绿化等）</w:t>
      </w:r>
      <w:r>
        <w:rPr>
          <w:rFonts w:hint="eastAsia" w:ascii="宋体" w:hAnsi="宋体" w:eastAsia="宋体" w:cs="宋体"/>
          <w:bCs/>
          <w:snapToGrid/>
          <w:color w:val="auto"/>
          <w:kern w:val="2"/>
          <w:sz w:val="24"/>
          <w:szCs w:val="24"/>
          <w:highlight w:val="none"/>
        </w:rPr>
        <w:t>；2</w:t>
      </w:r>
      <w:r>
        <w:rPr>
          <w:rFonts w:hint="eastAsia" w:ascii="宋体" w:hAnsi="宋体" w:eastAsia="宋体" w:cs="宋体"/>
          <w:bCs/>
          <w:snapToGrid/>
          <w:color w:val="auto"/>
          <w:kern w:val="2"/>
          <w:sz w:val="24"/>
          <w:szCs w:val="24"/>
          <w:highlight w:val="none"/>
          <w:lang w:val="en-US" w:eastAsia="zh-CN"/>
        </w:rPr>
        <w:t>.</w:t>
      </w:r>
      <w:r>
        <w:rPr>
          <w:rFonts w:hint="eastAsia" w:ascii="宋体" w:hAnsi="宋体" w:eastAsia="宋体" w:cs="宋体"/>
          <w:bCs/>
          <w:snapToGrid/>
          <w:color w:val="auto"/>
          <w:kern w:val="2"/>
          <w:sz w:val="24"/>
          <w:szCs w:val="24"/>
          <w:highlight w:val="none"/>
        </w:rPr>
        <w:t>辖区内老旧小区改造建成后期</w:t>
      </w:r>
      <w:r>
        <w:rPr>
          <w:rFonts w:hint="eastAsia" w:ascii="宋体" w:hAnsi="宋体" w:eastAsia="宋体" w:cs="宋体"/>
          <w:bCs/>
          <w:snapToGrid/>
          <w:color w:val="auto"/>
          <w:kern w:val="2"/>
          <w:sz w:val="24"/>
          <w:szCs w:val="24"/>
          <w:highlight w:val="none"/>
          <w:lang w:val="en-US" w:eastAsia="zh-CN"/>
        </w:rPr>
        <w:t>相关</w:t>
      </w:r>
      <w:r>
        <w:rPr>
          <w:rFonts w:hint="eastAsia" w:ascii="宋体" w:hAnsi="宋体" w:eastAsia="宋体" w:cs="宋体"/>
          <w:bCs/>
          <w:snapToGrid/>
          <w:color w:val="auto"/>
          <w:kern w:val="2"/>
          <w:sz w:val="24"/>
          <w:szCs w:val="24"/>
          <w:highlight w:val="none"/>
        </w:rPr>
        <w:t>设施管养</w:t>
      </w:r>
      <w:r>
        <w:rPr>
          <w:rFonts w:hint="eastAsia" w:ascii="宋体" w:hAnsi="宋体" w:eastAsia="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lang w:val="en-US" w:eastAsia="zh-CN"/>
        </w:rPr>
        <w:t>3.防汛抗台、防雪抗冻及应急保障等工作</w:t>
      </w:r>
      <w:r>
        <w:rPr>
          <w:rFonts w:hint="eastAsia" w:ascii="宋体" w:hAnsi="宋体" w:eastAsia="宋体" w:cs="宋体"/>
          <w:bCs/>
          <w:snapToGrid/>
          <w:color w:val="auto"/>
          <w:kern w:val="2"/>
          <w:sz w:val="24"/>
          <w:szCs w:val="24"/>
          <w:highlight w:val="none"/>
        </w:rPr>
        <w:t>。</w:t>
      </w:r>
    </w:p>
    <w:p w14:paraId="150C5D25">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rPr>
        <w:t>项目实施：根据实际情况确定阶段实施时间及其实施范围，中标人在收到招标人实施要求后，</w:t>
      </w:r>
      <w:r>
        <w:rPr>
          <w:rFonts w:hint="eastAsia" w:ascii="宋体" w:hAnsi="宋体" w:eastAsia="宋体" w:cs="宋体"/>
          <w:kern w:val="0"/>
          <w:sz w:val="24"/>
          <w:szCs w:val="24"/>
          <w:highlight w:val="none"/>
          <w:lang w:val="en-US" w:eastAsia="zh-CN"/>
        </w:rPr>
        <w:t>按照抄告时间期限内完成</w:t>
      </w:r>
      <w:r>
        <w:rPr>
          <w:rFonts w:hint="eastAsia" w:ascii="宋体" w:hAnsi="宋体" w:eastAsia="宋体" w:cs="宋体"/>
          <w:kern w:val="0"/>
          <w:sz w:val="24"/>
          <w:szCs w:val="24"/>
          <w:highlight w:val="none"/>
        </w:rPr>
        <w:t>指定工程量。</w:t>
      </w:r>
    </w:p>
    <w:p w14:paraId="2FB89FC2">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1.3</w:t>
      </w:r>
      <w:r>
        <w:rPr>
          <w:rFonts w:hint="eastAsia" w:ascii="宋体" w:hAnsi="宋体" w:eastAsia="宋体" w:cs="宋体"/>
          <w:kern w:val="0"/>
          <w:sz w:val="24"/>
          <w:szCs w:val="24"/>
          <w:highlight w:val="none"/>
        </w:rPr>
        <w:t>供应商应按照国家和省市有关规定，以及投标承诺，从事服务活动，并严格遵循独立、客观、公正、诚实信用的原则，不得损害社会公共利益和他人的合法权益。为招标人提供服务时，应调配所有资源，从项目前期准备、项目进度、投资、质量、人员投入等各个环节，确保服务工作的顺利完成，在约定的时间内完成服务事项。</w:t>
      </w:r>
    </w:p>
    <w:p w14:paraId="3E7EDE8D">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1.4</w:t>
      </w:r>
      <w:r>
        <w:rPr>
          <w:rFonts w:hint="eastAsia" w:ascii="宋体" w:hAnsi="宋体" w:eastAsia="宋体" w:cs="宋体"/>
          <w:kern w:val="0"/>
          <w:sz w:val="24"/>
          <w:szCs w:val="24"/>
          <w:highlight w:val="none"/>
        </w:rPr>
        <w:t>供应商应廉洁自律、诚实信用、严格履行投标承诺，不得向招标人进行商业贿赂或提供不正当利益，自觉接受有关行政监督部门依法实施的监督。</w:t>
      </w:r>
    </w:p>
    <w:p w14:paraId="0995BC12">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rPr>
        <w:t>质量保证：</w:t>
      </w:r>
    </w:p>
    <w:p w14:paraId="0D11BB3F">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1.5.1</w:t>
      </w:r>
      <w:r>
        <w:rPr>
          <w:rFonts w:hint="eastAsia" w:ascii="宋体" w:hAnsi="宋体" w:eastAsia="宋体" w:cs="宋体"/>
          <w:kern w:val="0"/>
          <w:sz w:val="24"/>
          <w:szCs w:val="24"/>
          <w:highlight w:val="none"/>
        </w:rPr>
        <w:t>项目质量标准：按照招标人认可的国家相关标准、行业标准、地方标准或者其他标准规范执行。</w:t>
      </w:r>
    </w:p>
    <w:p w14:paraId="5A3D23EA">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1.1.5</w:t>
      </w:r>
      <w:r>
        <w:rPr>
          <w:rFonts w:hint="eastAsia" w:ascii="宋体" w:hAnsi="宋体" w:eastAsia="宋体" w:cs="宋体"/>
          <w:kern w:val="0"/>
          <w:sz w:val="24"/>
          <w:szCs w:val="24"/>
          <w:highlight w:val="none"/>
        </w:rPr>
        <w:t>.2中标人必须严格按照施工图纸</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如有</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、招标人施工要求和国家颁发的规范、规程和标准进行施工，并服从招标人派驻的代表的管理。维修质量必须达到招标人要求。由施工质量引起的维修费由中标人负责。</w:t>
      </w:r>
    </w:p>
    <w:p w14:paraId="194F7F3C">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rPr>
        <w:t>.3中标人在施工过程必须遵守下列规定：</w:t>
      </w:r>
    </w:p>
    <w:p w14:paraId="188EE873">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A.中标人自供材料做好质量、数量、验收工作，并按有关规定提供质量保证书和产品合格证；</w:t>
      </w:r>
    </w:p>
    <w:p w14:paraId="3D224991">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B.工程竣工后，中标人应及时上交招标人进行验收，并按规定对工程实施保修。招标人收到中标人提交的完工验收请求后，及时对该完工项目进行验收。</w:t>
      </w:r>
    </w:p>
    <w:p w14:paraId="6E676B96">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rPr>
        <w:t>.4工程质量未达到一次性验收合格标准，扣除该次工程结算价款的30%，且按招标人要求无条件整改合格。</w:t>
      </w:r>
    </w:p>
    <w:p w14:paraId="768CFA9E">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rPr>
        <w:t>.5档案资料：中标人应以单项为单位建立维修档案，健全日常维修作业记录，认真做好台帐的整理和归档工作；应在年度合同结束后将维修档案资料移交招标人一份。</w:t>
      </w:r>
    </w:p>
    <w:p w14:paraId="421AA3F8">
      <w:pPr>
        <w:spacing w:line="360" w:lineRule="auto"/>
        <w:ind w:left="17" w:leftChars="8" w:firstLine="456" w:firstLineChars="19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1.6</w:t>
      </w:r>
      <w:r>
        <w:rPr>
          <w:rFonts w:hint="eastAsia" w:ascii="宋体" w:hAnsi="宋体" w:eastAsia="宋体" w:cs="宋体"/>
          <w:kern w:val="0"/>
          <w:sz w:val="24"/>
          <w:szCs w:val="24"/>
          <w:highlight w:val="none"/>
        </w:rPr>
        <w:t>项目合同期内，项目的数量及项目估算金额均视项目情况和具体操作而定，招标人不保证中标单位的项目数量及项目估算金额。</w:t>
      </w:r>
    </w:p>
    <w:p w14:paraId="0128CE78">
      <w:pPr>
        <w:pStyle w:val="965"/>
        <w:spacing w:line="360" w:lineRule="auto"/>
        <w:ind w:firstLine="48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1.7</w:t>
      </w:r>
      <w:r>
        <w:rPr>
          <w:rFonts w:hint="eastAsia" w:ascii="宋体" w:hAnsi="宋体" w:eastAsia="宋体" w:cs="宋体"/>
          <w:kern w:val="0"/>
          <w:sz w:val="24"/>
          <w:szCs w:val="24"/>
          <w:highlight w:val="none"/>
        </w:rPr>
        <w:t>施工过程中，中标人须做好相应的安全保护措施，保证施工人员及过往行人和车辆的安全，由此产生的安全责任及费用均由中标人负责。</w:t>
      </w:r>
    </w:p>
    <w:p w14:paraId="4673C680">
      <w:pPr>
        <w:pStyle w:val="965"/>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因项目内容繁杂，且为零星应急，供应商务必全面考虑本项目涉及的风险，对自身管理及运营成本做全面的、细致的考虑。一旦中标，无论最终工作内容如何，服务响应的时间和质量一律不得降低。请各供应商在报价时予以考虑。</w:t>
      </w:r>
      <w:r>
        <w:rPr>
          <w:rFonts w:hint="eastAsia" w:ascii="宋体" w:hAnsi="宋体" w:eastAsia="宋体" w:cs="宋体"/>
          <w:b/>
          <w:bCs/>
          <w:kern w:val="0"/>
          <w:sz w:val="24"/>
          <w:szCs w:val="24"/>
          <w:highlight w:val="none"/>
        </w:rPr>
        <w:t>报价应包括人员服务费、材料购置费、设备购置使用折旧费、隐蔽工程费、保险、税金等完成本项目涉及的全部费用，并承担一切风险责任。</w:t>
      </w:r>
      <w:r>
        <w:rPr>
          <w:rFonts w:hint="eastAsia" w:ascii="宋体" w:hAnsi="宋体" w:eastAsia="宋体" w:cs="宋体"/>
          <w:kern w:val="0"/>
          <w:sz w:val="24"/>
          <w:szCs w:val="24"/>
          <w:highlight w:val="none"/>
        </w:rPr>
        <w:t>结合本项目特点，市场行情及供应商自身的技术，管理水平，竞争能力，确定最终报价</w:t>
      </w:r>
      <w:r>
        <w:rPr>
          <w:rFonts w:hint="eastAsia" w:ascii="宋体" w:hAnsi="宋体" w:cs="宋体"/>
          <w:kern w:val="0"/>
          <w:sz w:val="24"/>
          <w:szCs w:val="24"/>
          <w:highlight w:val="none"/>
          <w:lang w:eastAsia="zh-CN"/>
        </w:rPr>
        <w:t>。</w:t>
      </w:r>
    </w:p>
    <w:p w14:paraId="19D2B616">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cs="宋体"/>
          <w:kern w:val="0"/>
          <w:sz w:val="24"/>
          <w:szCs w:val="24"/>
          <w:highlight w:val="none"/>
          <w:lang w:val="en-US" w:eastAsia="zh-CN"/>
        </w:rPr>
        <w:t>1.8</w:t>
      </w:r>
      <w:r>
        <w:rPr>
          <w:rFonts w:hint="eastAsia" w:ascii="宋体" w:hAnsi="宋体" w:eastAsia="宋体" w:cs="宋体"/>
          <w:b w:val="0"/>
          <w:bCs w:val="0"/>
          <w:color w:val="auto"/>
          <w:sz w:val="24"/>
          <w:highlight w:val="none"/>
        </w:rPr>
        <w:t>养护内容及标准</w:t>
      </w:r>
    </w:p>
    <w:p w14:paraId="109A6A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印发杭州市排水设施养护单价的通知》(杭城管委〔2015〕218号)和《关于印发西湖区排水设施全覆盖管理办法通知》(西政办〔2015〕95号)文件相关定期清疏机制规定，结合目前“污水零直排”排水设施，养护内容及标准可分为以下几个类型：</w:t>
      </w:r>
    </w:p>
    <w:p w14:paraId="0EE57A0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1.8.1</w:t>
      </w:r>
      <w:r>
        <w:rPr>
          <w:rFonts w:hint="eastAsia" w:ascii="宋体" w:hAnsi="宋体" w:eastAsia="宋体" w:cs="宋体"/>
          <w:color w:val="auto"/>
          <w:sz w:val="24"/>
          <w:highlight w:val="none"/>
        </w:rPr>
        <w:t>大市政雨污水管网设施</w:t>
      </w:r>
    </w:p>
    <w:p w14:paraId="14865D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含大市政雨污水管网、箱涵、暗渠、雨水篦、检查井、污水提升泵站等设施。养护标准：重点区域、易淤积区域管道（行政区划交界部位、建设工地及周边部位、公共管网与里弄小区结合部位、餐饮集中区域、人流密集旅游区）应每月清疏一次；管径大于600mm应每年清疏一次，其他管渠（检查井、雨水口）不得低于每季度清疏一次。</w:t>
      </w:r>
    </w:p>
    <w:p w14:paraId="01B5D36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1.8.1.1</w:t>
      </w:r>
      <w:r>
        <w:rPr>
          <w:rFonts w:hint="eastAsia" w:ascii="宋体" w:hAnsi="宋体" w:eastAsia="宋体" w:cs="宋体"/>
          <w:color w:val="auto"/>
          <w:sz w:val="24"/>
          <w:highlight w:val="none"/>
        </w:rPr>
        <w:t>生活小区/公建单位内部雨污水管网设施</w:t>
      </w:r>
    </w:p>
    <w:p w14:paraId="377CB3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包含内部雨污水管网、检查井、雨水篦、化粪池。养护标准：每季度清疏一次，以雨污水管网无淤泥、检查井、化粪池及雨水篦无堵塞物、管道运行畅通为养护标准。</w:t>
      </w:r>
    </w:p>
    <w:p w14:paraId="45FFD4A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1.8.1.2</w:t>
      </w:r>
      <w:r>
        <w:rPr>
          <w:rFonts w:hint="eastAsia" w:ascii="宋体" w:hAnsi="宋体" w:eastAsia="宋体" w:cs="宋体"/>
          <w:color w:val="auto"/>
          <w:sz w:val="24"/>
          <w:highlight w:val="none"/>
        </w:rPr>
        <w:t>学校和医院内医疗、实验废液处理设施</w:t>
      </w:r>
    </w:p>
    <w:p w14:paraId="028CF0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包含学校化学实验室废液、医院医疗废液处理设施。养护标准：无废液处理设施的，需对废液进行集中收集，定点定时外运，做好相关记录。有废液处理设施的，需每天定投药物进行处置，每周检测出水水质。</w:t>
      </w:r>
    </w:p>
    <w:p w14:paraId="73FD659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1.8.1.3</w:t>
      </w:r>
      <w:r>
        <w:rPr>
          <w:rFonts w:hint="eastAsia" w:ascii="宋体" w:hAnsi="宋体" w:eastAsia="宋体" w:cs="宋体"/>
          <w:color w:val="auto"/>
          <w:sz w:val="24"/>
          <w:highlight w:val="none"/>
        </w:rPr>
        <w:t>餐饮隔油池</w:t>
      </w:r>
    </w:p>
    <w:p w14:paraId="5B2F62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含食堂、饭店、餐饮店等用餐区域的隔油池。养护标准：隔油池应每月至少清疏一次，用餐人数较多区域或者隔油池规模较小的应每周至少清疏一次。餐饮油水分离器则应每天清理一次，以隔油池表面无油污、不结垢，下游出水无油污、无杂物为养护标准。</w:t>
      </w:r>
    </w:p>
    <w:p w14:paraId="43E735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b w:val="0"/>
          <w:bCs w:val="0"/>
          <w:color w:val="auto"/>
          <w:sz w:val="24"/>
          <w:highlight w:val="none"/>
          <w:lang w:val="en-US" w:eastAsia="zh-CN"/>
        </w:rPr>
        <w:t>1.8.1.4</w:t>
      </w:r>
      <w:r>
        <w:rPr>
          <w:rFonts w:hint="eastAsia" w:ascii="宋体" w:hAnsi="宋体" w:eastAsia="宋体" w:cs="宋体"/>
          <w:color w:val="auto"/>
          <w:sz w:val="24"/>
          <w:highlight w:val="none"/>
        </w:rPr>
        <w:t>沉砂池、毛发收集井等特殊设施</w:t>
      </w:r>
    </w:p>
    <w:p w14:paraId="1800C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包含汽车清洗店隔油沉砂池、理发店毛发收集井/毛发分离器等特殊设施。养护标准：理发店内部的毛发分离器应每周至少清理一次，部分客流量较大店铺需每周至少两次，毛发收集井则应每月至少清理一次。洗车店内的隔油沉砂池需每月至少清疏一次，以不结垢、不堵塞为养护标准。</w:t>
      </w:r>
    </w:p>
    <w:p w14:paraId="43A036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以上所有养护均需做好相关记录，养护记录包含养护时间、养护单位、养护人员及联系方式、清掏淤泥量及养护作业照片，街道将定期进行检查。</w:t>
      </w:r>
    </w:p>
    <w:p w14:paraId="74576B11">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1.9</w:t>
      </w:r>
      <w:r>
        <w:rPr>
          <w:rFonts w:hint="eastAsia" w:ascii="宋体" w:hAnsi="宋体" w:eastAsia="宋体" w:cs="宋体"/>
          <w:b w:val="0"/>
          <w:bCs w:val="0"/>
          <w:color w:val="auto"/>
          <w:sz w:val="24"/>
          <w:highlight w:val="none"/>
        </w:rPr>
        <w:t>服务要求</w:t>
      </w:r>
    </w:p>
    <w:p w14:paraId="42D845E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1.9.1</w:t>
      </w:r>
      <w:r>
        <w:rPr>
          <w:rFonts w:hint="eastAsia" w:ascii="宋体" w:hAnsi="宋体" w:eastAsia="宋体" w:cs="宋体"/>
          <w:color w:val="auto"/>
          <w:sz w:val="24"/>
          <w:highlight w:val="none"/>
        </w:rPr>
        <w:t>按照养护内容及标准做好长效管理养护工作，及时处理各类抄告、投诉问题,以及河道排口上游污染源的排查、突发应急问题的处置等。</w:t>
      </w:r>
    </w:p>
    <w:p w14:paraId="7DFE233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1.9.2</w:t>
      </w:r>
      <w:r>
        <w:rPr>
          <w:rFonts w:hint="eastAsia" w:ascii="宋体" w:hAnsi="宋体" w:eastAsia="宋体" w:cs="宋体"/>
          <w:color w:val="auto"/>
          <w:sz w:val="24"/>
          <w:highlight w:val="none"/>
        </w:rPr>
        <w:t>积极配合各类迎检工作。</w:t>
      </w:r>
    </w:p>
    <w:p w14:paraId="199A5B6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1.9.3</w:t>
      </w:r>
      <w:r>
        <w:rPr>
          <w:rFonts w:hint="eastAsia" w:ascii="宋体" w:hAnsi="宋体" w:eastAsia="宋体" w:cs="宋体"/>
          <w:color w:val="auto"/>
          <w:sz w:val="24"/>
          <w:highlight w:val="none"/>
        </w:rPr>
        <w:t>恶劣天气期间，做好各类隐患排查、整改、及保障工作。</w:t>
      </w:r>
    </w:p>
    <w:p w14:paraId="635411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b w:val="0"/>
          <w:bCs w:val="0"/>
          <w:color w:val="auto"/>
          <w:sz w:val="24"/>
          <w:highlight w:val="none"/>
          <w:lang w:val="en-US" w:eastAsia="zh-CN"/>
        </w:rPr>
        <w:t>1.9.4</w:t>
      </w:r>
      <w:r>
        <w:rPr>
          <w:rFonts w:hint="eastAsia" w:ascii="宋体" w:hAnsi="宋体" w:eastAsia="宋体" w:cs="宋体"/>
          <w:color w:val="auto"/>
          <w:sz w:val="24"/>
          <w:highlight w:val="none"/>
        </w:rPr>
        <w:t>作业中产生的任何废弃物由作业方负责清运处置。</w:t>
      </w:r>
    </w:p>
    <w:p w14:paraId="12C382C9">
      <w:pPr>
        <w:spacing w:line="360" w:lineRule="auto"/>
        <w:ind w:firstLine="482" w:firstLineChars="200"/>
        <w:rPr>
          <w:rFonts w:hint="eastAsia" w:ascii="宋体" w:hAnsi="宋体" w:eastAsia="宋体" w:cs="宋体"/>
          <w:b/>
          <w:color w:val="auto"/>
          <w:sz w:val="24"/>
          <w:highlight w:val="none"/>
          <w:u w:val="none"/>
        </w:rPr>
      </w:pPr>
      <w:r>
        <w:rPr>
          <w:rFonts w:hint="eastAsia" w:ascii="宋体" w:hAnsi="宋体" w:cs="宋体"/>
          <w:b/>
          <w:bCs/>
          <w:color w:val="auto"/>
          <w:sz w:val="24"/>
          <w:highlight w:val="none"/>
          <w:lang w:val="en-US" w:eastAsia="zh-CN"/>
        </w:rPr>
        <w:t>1.10</w:t>
      </w:r>
      <w:r>
        <w:rPr>
          <w:rFonts w:hint="eastAsia" w:ascii="宋体" w:hAnsi="宋体" w:eastAsia="宋体" w:cs="宋体"/>
          <w:b/>
          <w:bCs/>
          <w:color w:val="auto"/>
          <w:sz w:val="24"/>
          <w:highlight w:val="none"/>
        </w:rPr>
        <w:t>报价方式：</w:t>
      </w:r>
      <w:r>
        <w:rPr>
          <w:rFonts w:hint="eastAsia" w:ascii="宋体" w:hAnsi="宋体" w:eastAsia="宋体" w:cs="宋体"/>
          <w:b/>
          <w:color w:val="auto"/>
          <w:sz w:val="24"/>
          <w:highlight w:val="none"/>
          <w:u w:val="none"/>
        </w:rPr>
        <w:t>本项目采用折扣率报价，最高限价为折扣率100%。如投标人所报折扣率高于折扣率100%，按无效标处理。（折扣率=100%-让利率）</w:t>
      </w:r>
    </w:p>
    <w:p w14:paraId="717D11E3">
      <w:pPr>
        <w:spacing w:line="360" w:lineRule="auto"/>
        <w:ind w:firstLine="480" w:firstLineChars="200"/>
        <w:rPr>
          <w:rFonts w:hint="eastAsia" w:ascii="宋体" w:hAnsi="宋体" w:eastAsia="宋体" w:cs="宋体"/>
          <w:b w:val="0"/>
          <w:bCs/>
          <w:color w:val="auto"/>
          <w:sz w:val="24"/>
          <w:highlight w:val="none"/>
          <w:u w:val="none"/>
        </w:rPr>
      </w:pPr>
      <w:r>
        <w:rPr>
          <w:rFonts w:hint="eastAsia" w:ascii="宋体" w:hAnsi="宋体" w:cs="宋体"/>
          <w:b w:val="0"/>
          <w:bCs/>
          <w:color w:val="auto"/>
          <w:sz w:val="24"/>
          <w:highlight w:val="none"/>
          <w:u w:val="none"/>
          <w:lang w:val="en-US" w:eastAsia="zh-CN"/>
        </w:rPr>
        <w:t>1.11</w:t>
      </w:r>
      <w:r>
        <w:rPr>
          <w:rFonts w:hint="eastAsia" w:ascii="宋体" w:hAnsi="宋体" w:eastAsia="宋体" w:cs="宋体"/>
          <w:b w:val="0"/>
          <w:bCs/>
          <w:color w:val="auto"/>
          <w:sz w:val="24"/>
          <w:highlight w:val="none"/>
          <w:u w:val="none"/>
        </w:rPr>
        <w:t>结算方式：</w:t>
      </w:r>
    </w:p>
    <w:p w14:paraId="66242C7F">
      <w:pPr>
        <w:spacing w:line="360" w:lineRule="auto"/>
        <w:ind w:firstLine="480" w:firstLineChars="200"/>
        <w:rPr>
          <w:rFonts w:hint="eastAsia" w:ascii="宋体" w:hAnsi="宋体" w:eastAsia="宋体" w:cs="宋体"/>
          <w:b w:val="0"/>
          <w:bCs/>
          <w:color w:val="auto"/>
          <w:sz w:val="24"/>
          <w:highlight w:val="none"/>
          <w:u w:val="none"/>
        </w:rPr>
      </w:pPr>
      <w:r>
        <w:rPr>
          <w:rFonts w:hint="eastAsia" w:ascii="宋体" w:hAnsi="宋体" w:cs="宋体"/>
          <w:b w:val="0"/>
          <w:bCs/>
          <w:color w:val="auto"/>
          <w:sz w:val="24"/>
          <w:highlight w:val="none"/>
          <w:u w:val="none"/>
          <w:lang w:val="en-US" w:eastAsia="zh-CN"/>
        </w:rPr>
        <w:t>1.11.1</w:t>
      </w:r>
      <w:r>
        <w:rPr>
          <w:rFonts w:hint="eastAsia" w:ascii="宋体" w:hAnsi="宋体" w:eastAsia="宋体" w:cs="宋体"/>
          <w:b w:val="0"/>
          <w:bCs/>
          <w:color w:val="auto"/>
          <w:sz w:val="24"/>
          <w:highlight w:val="none"/>
          <w:u w:val="none"/>
        </w:rPr>
        <w:t>工程按实结算（工程量的确定：甲方签证的实际工程量为初步依据，并以审计结果作为最终的工程量）。</w:t>
      </w:r>
    </w:p>
    <w:p w14:paraId="45EC7BDF">
      <w:pPr>
        <w:spacing w:line="360" w:lineRule="auto"/>
        <w:ind w:firstLine="480" w:firstLineChars="200"/>
        <w:rPr>
          <w:rFonts w:hint="eastAsia" w:ascii="宋体" w:hAnsi="宋体" w:eastAsia="宋体" w:cs="宋体"/>
          <w:b/>
          <w:color w:val="auto"/>
          <w:sz w:val="24"/>
          <w:highlight w:val="none"/>
          <w:u w:val="none"/>
        </w:rPr>
      </w:pPr>
      <w:r>
        <w:rPr>
          <w:rFonts w:hint="eastAsia" w:ascii="宋体" w:hAnsi="宋体" w:cs="宋体"/>
          <w:b w:val="0"/>
          <w:bCs/>
          <w:color w:val="auto"/>
          <w:sz w:val="24"/>
          <w:highlight w:val="none"/>
          <w:u w:val="none"/>
          <w:lang w:val="en-US" w:eastAsia="zh-CN"/>
        </w:rPr>
        <w:t>1.11.2</w:t>
      </w:r>
      <w:r>
        <w:rPr>
          <w:rFonts w:hint="eastAsia" w:ascii="宋体" w:hAnsi="宋体" w:eastAsia="宋体" w:cs="宋体"/>
          <w:b w:val="0"/>
          <w:bCs/>
          <w:color w:val="auto"/>
          <w:sz w:val="24"/>
          <w:highlight w:val="none"/>
          <w:u w:val="none"/>
        </w:rPr>
        <w:t>相关价格：①、按《浙江省市政设施养护维修定额（2018 版）》(优先套用）、《浙江省市政工程预算定额》（2018 版）、《浙江省房屋建筑与装饰工程预算定额》（2018 版）、《浙江省通用安装工程预算定额》（2018 版）、《浙江省建设工程施工机械台班费用定额》（2018 版）的先后顺序套用定额（上述定额中均没有的按市场价），结合招标人或其委托的监理机构确认的项目现场实际情况（包含影像资料），按《浙江省建设工程计价规则》（2018 版）规定的各专业工程分别编制，管理费、利润均按其所属类工程的中值费率计取；工程施工组织措施费按照 《浙江省建设工程计价规则》（2018 版）及相应配套文件规定的中值费率计取（其中提前竣工增加费和标化工地增加费不予计取），规费（按招标控制价编制计算口径）、税金按现行相应政策规定计取，风险费不予计取。②、材料、人工价格按照实际发生月份所颁布的《杭州造价信息》、《浙江造价信息》正刊信息价（优先适用市正刊相应信息价和工程所在地相应信息价） ；无信息价材料和设备按市场价计入，但应明确品牌、生产厂家、产地、规格、型号、系列、等级等。③、如有土石方、建筑垃圾、泥浆等需外运处置的运距均按25公里计算并不予调整。</w:t>
      </w:r>
    </w:p>
    <w:p w14:paraId="6D8B006B">
      <w:pPr>
        <w:spacing w:line="360" w:lineRule="auto"/>
        <w:ind w:firstLine="480" w:firstLineChars="200"/>
        <w:rPr>
          <w:rFonts w:hint="eastAsia" w:ascii="宋体" w:hAnsi="宋体" w:eastAsia="宋体" w:cs="宋体"/>
          <w:b w:val="0"/>
          <w:bCs/>
          <w:color w:val="auto"/>
          <w:sz w:val="24"/>
          <w:highlight w:val="none"/>
          <w:u w:val="single"/>
        </w:rPr>
      </w:pPr>
      <w:r>
        <w:rPr>
          <w:rFonts w:hint="eastAsia" w:ascii="宋体" w:hAnsi="宋体" w:cs="宋体"/>
          <w:b w:val="0"/>
          <w:bCs/>
          <w:color w:val="auto"/>
          <w:sz w:val="24"/>
          <w:highlight w:val="none"/>
          <w:u w:val="none"/>
          <w:lang w:val="en-US" w:eastAsia="zh-CN"/>
        </w:rPr>
        <w:t>1.11.3</w:t>
      </w:r>
      <w:r>
        <w:rPr>
          <w:rFonts w:hint="eastAsia" w:ascii="宋体" w:hAnsi="宋体" w:eastAsia="宋体" w:cs="宋体"/>
          <w:b w:val="0"/>
          <w:bCs/>
          <w:color w:val="auto"/>
          <w:sz w:val="24"/>
          <w:highlight w:val="none"/>
          <w:u w:val="none"/>
        </w:rPr>
        <w:t>最终结算结合投标折扣率计算，最终以结算审计为准。</w:t>
      </w:r>
    </w:p>
    <w:p w14:paraId="3157650E">
      <w:pPr>
        <w:spacing w:line="360" w:lineRule="auto"/>
        <w:ind w:firstLine="480" w:firstLineChars="200"/>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1.12清单</w:t>
      </w:r>
    </w:p>
    <w:tbl>
      <w:tblPr>
        <w:tblStyle w:val="62"/>
        <w:tblpPr w:leftFromText="180" w:rightFromText="180" w:vertAnchor="text" w:tblpXSpec="center" w:tblpY="1"/>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597"/>
        <w:gridCol w:w="1365"/>
        <w:gridCol w:w="1415"/>
        <w:gridCol w:w="2537"/>
      </w:tblGrid>
      <w:tr w14:paraId="070D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Merge w:val="restart"/>
            <w:noWrap w:val="0"/>
            <w:vAlign w:val="center"/>
          </w:tcPr>
          <w:p w14:paraId="47F0A88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3597" w:type="dxa"/>
            <w:vMerge w:val="restart"/>
            <w:noWrap w:val="0"/>
            <w:vAlign w:val="center"/>
          </w:tcPr>
          <w:p w14:paraId="35F5DFD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子项</w:t>
            </w:r>
          </w:p>
        </w:tc>
        <w:tc>
          <w:tcPr>
            <w:tcW w:w="1365" w:type="dxa"/>
            <w:vMerge w:val="restart"/>
            <w:noWrap w:val="0"/>
            <w:vAlign w:val="center"/>
          </w:tcPr>
          <w:p w14:paraId="61420F0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1415" w:type="dxa"/>
            <w:vMerge w:val="restart"/>
            <w:noWrap w:val="0"/>
            <w:vAlign w:val="center"/>
          </w:tcPr>
          <w:p w14:paraId="48A614A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单价限价</w:t>
            </w:r>
          </w:p>
        </w:tc>
        <w:tc>
          <w:tcPr>
            <w:tcW w:w="2537" w:type="dxa"/>
            <w:vMerge w:val="restart"/>
            <w:noWrap w:val="0"/>
            <w:vAlign w:val="center"/>
          </w:tcPr>
          <w:p w14:paraId="49BEED2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7B27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06" w:type="dxa"/>
            <w:vMerge w:val="continue"/>
            <w:noWrap w:val="0"/>
            <w:vAlign w:val="center"/>
          </w:tcPr>
          <w:p w14:paraId="64E1069B">
            <w:pPr>
              <w:widowControl/>
              <w:jc w:val="left"/>
              <w:rPr>
                <w:rFonts w:hint="eastAsia" w:ascii="宋体" w:hAnsi="宋体" w:eastAsia="宋体" w:cs="宋体"/>
                <w:b/>
                <w:bCs/>
                <w:kern w:val="0"/>
                <w:sz w:val="24"/>
                <w:szCs w:val="24"/>
                <w:highlight w:val="none"/>
              </w:rPr>
            </w:pPr>
          </w:p>
        </w:tc>
        <w:tc>
          <w:tcPr>
            <w:tcW w:w="3597" w:type="dxa"/>
            <w:vMerge w:val="continue"/>
            <w:noWrap w:val="0"/>
            <w:vAlign w:val="center"/>
          </w:tcPr>
          <w:p w14:paraId="21AB9B74">
            <w:pPr>
              <w:widowControl/>
              <w:jc w:val="left"/>
              <w:rPr>
                <w:rFonts w:hint="eastAsia" w:ascii="宋体" w:hAnsi="宋体" w:eastAsia="宋体" w:cs="宋体"/>
                <w:b/>
                <w:bCs/>
                <w:kern w:val="0"/>
                <w:sz w:val="24"/>
                <w:szCs w:val="24"/>
                <w:highlight w:val="none"/>
              </w:rPr>
            </w:pPr>
          </w:p>
        </w:tc>
        <w:tc>
          <w:tcPr>
            <w:tcW w:w="1365" w:type="dxa"/>
            <w:vMerge w:val="continue"/>
            <w:noWrap w:val="0"/>
            <w:vAlign w:val="center"/>
          </w:tcPr>
          <w:p w14:paraId="588AFA9D">
            <w:pPr>
              <w:widowControl/>
              <w:jc w:val="left"/>
              <w:rPr>
                <w:rFonts w:hint="eastAsia" w:ascii="宋体" w:hAnsi="宋体" w:eastAsia="宋体" w:cs="宋体"/>
                <w:b/>
                <w:bCs/>
                <w:kern w:val="0"/>
                <w:sz w:val="24"/>
                <w:szCs w:val="24"/>
                <w:highlight w:val="none"/>
              </w:rPr>
            </w:pPr>
          </w:p>
        </w:tc>
        <w:tc>
          <w:tcPr>
            <w:tcW w:w="1415" w:type="dxa"/>
            <w:vMerge w:val="continue"/>
            <w:noWrap w:val="0"/>
            <w:vAlign w:val="center"/>
          </w:tcPr>
          <w:p w14:paraId="009C09EC">
            <w:pPr>
              <w:widowControl/>
              <w:jc w:val="left"/>
              <w:rPr>
                <w:rFonts w:hint="eastAsia" w:ascii="宋体" w:hAnsi="宋体" w:eastAsia="宋体" w:cs="宋体"/>
                <w:kern w:val="0"/>
                <w:sz w:val="24"/>
                <w:szCs w:val="24"/>
                <w:highlight w:val="none"/>
              </w:rPr>
            </w:pPr>
          </w:p>
        </w:tc>
        <w:tc>
          <w:tcPr>
            <w:tcW w:w="2537" w:type="dxa"/>
            <w:vMerge w:val="continue"/>
            <w:noWrap w:val="0"/>
            <w:vAlign w:val="center"/>
          </w:tcPr>
          <w:p w14:paraId="5961E099">
            <w:pPr>
              <w:widowControl/>
              <w:jc w:val="left"/>
              <w:rPr>
                <w:rFonts w:hint="eastAsia" w:ascii="宋体" w:hAnsi="宋体" w:eastAsia="宋体" w:cs="宋体"/>
                <w:b/>
                <w:bCs/>
                <w:kern w:val="0"/>
                <w:sz w:val="24"/>
                <w:szCs w:val="24"/>
                <w:highlight w:val="none"/>
              </w:rPr>
            </w:pPr>
          </w:p>
        </w:tc>
      </w:tr>
      <w:tr w14:paraId="5BC7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5D03996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597" w:type="dxa"/>
            <w:noWrap w:val="0"/>
            <w:vAlign w:val="center"/>
          </w:tcPr>
          <w:p w14:paraId="6269F50A">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沥青路面修复（面积100㎡及以下，厚度5cm以内）</w:t>
            </w:r>
          </w:p>
        </w:tc>
        <w:tc>
          <w:tcPr>
            <w:tcW w:w="1365" w:type="dxa"/>
            <w:noWrap w:val="0"/>
            <w:vAlign w:val="center"/>
          </w:tcPr>
          <w:p w14:paraId="307D0B6F">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415" w:type="dxa"/>
            <w:noWrap w:val="0"/>
            <w:vAlign w:val="center"/>
          </w:tcPr>
          <w:p w14:paraId="364B7867">
            <w:pPr>
              <w:widowControl/>
              <w:jc w:val="center"/>
              <w:rPr>
                <w:rFonts w:hint="default" w:ascii="宋体" w:hAnsi="宋体" w:eastAsia="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200</w:t>
            </w:r>
          </w:p>
        </w:tc>
        <w:tc>
          <w:tcPr>
            <w:tcW w:w="2537" w:type="dxa"/>
            <w:shd w:val="clear" w:color="auto" w:fill="auto"/>
            <w:noWrap w:val="0"/>
            <w:vAlign w:val="center"/>
          </w:tcPr>
          <w:p w14:paraId="10DF1BBA">
            <w:pPr>
              <w:widowControl/>
              <w:jc w:val="center"/>
              <w:rPr>
                <w:rFonts w:hint="default" w:ascii="宋体" w:hAnsi="宋体" w:eastAsia="宋体" w:cs="宋体"/>
                <w:b w:val="0"/>
                <w:bCs w:val="0"/>
                <w:kern w:val="0"/>
                <w:sz w:val="24"/>
                <w:szCs w:val="24"/>
                <w:highlight w:val="none"/>
                <w:lang w:val="en-US" w:eastAsia="zh-CN" w:bidi="ar-SA"/>
              </w:rPr>
            </w:pPr>
          </w:p>
        </w:tc>
      </w:tr>
      <w:tr w14:paraId="1F2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74C4717B">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3597" w:type="dxa"/>
            <w:noWrap w:val="0"/>
            <w:vAlign w:val="center"/>
          </w:tcPr>
          <w:p w14:paraId="7F884CB1">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沥青路面修复（面积100-400㎡，厚度5cm以内）</w:t>
            </w:r>
          </w:p>
        </w:tc>
        <w:tc>
          <w:tcPr>
            <w:tcW w:w="1365" w:type="dxa"/>
            <w:noWrap w:val="0"/>
            <w:vAlign w:val="center"/>
          </w:tcPr>
          <w:p w14:paraId="4940FD12">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415" w:type="dxa"/>
            <w:noWrap w:val="0"/>
            <w:vAlign w:val="center"/>
          </w:tcPr>
          <w:p w14:paraId="3787CB80">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110</w:t>
            </w:r>
          </w:p>
        </w:tc>
        <w:tc>
          <w:tcPr>
            <w:tcW w:w="2537" w:type="dxa"/>
            <w:shd w:val="clear" w:color="auto" w:fill="auto"/>
            <w:noWrap w:val="0"/>
            <w:vAlign w:val="center"/>
          </w:tcPr>
          <w:p w14:paraId="133AD600">
            <w:pPr>
              <w:widowControl/>
              <w:jc w:val="center"/>
              <w:rPr>
                <w:rFonts w:hint="eastAsia" w:ascii="宋体" w:hAnsi="宋体" w:cs="宋体"/>
                <w:b w:val="0"/>
                <w:bCs w:val="0"/>
                <w:color w:val="auto"/>
                <w:sz w:val="24"/>
                <w:szCs w:val="24"/>
                <w:highlight w:val="none"/>
                <w:lang w:val="en-US" w:eastAsia="zh-CN"/>
              </w:rPr>
            </w:pPr>
          </w:p>
        </w:tc>
      </w:tr>
      <w:tr w14:paraId="4B8F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0E8FC9AF">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3597" w:type="dxa"/>
            <w:noWrap w:val="0"/>
            <w:vAlign w:val="center"/>
          </w:tcPr>
          <w:p w14:paraId="0D61BB1F">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沥青路面修复（面积400㎡及以上，厚度5cm以内）</w:t>
            </w:r>
          </w:p>
        </w:tc>
        <w:tc>
          <w:tcPr>
            <w:tcW w:w="1365" w:type="dxa"/>
            <w:noWrap w:val="0"/>
            <w:vAlign w:val="center"/>
          </w:tcPr>
          <w:p w14:paraId="74F352B9">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415" w:type="dxa"/>
            <w:noWrap w:val="0"/>
            <w:vAlign w:val="center"/>
          </w:tcPr>
          <w:p w14:paraId="3C764072">
            <w:pPr>
              <w:widowControl/>
              <w:jc w:val="center"/>
              <w:rPr>
                <w:rFonts w:hint="eastAsia"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90</w:t>
            </w:r>
          </w:p>
        </w:tc>
        <w:tc>
          <w:tcPr>
            <w:tcW w:w="2537" w:type="dxa"/>
            <w:shd w:val="clear" w:color="auto" w:fill="auto"/>
            <w:noWrap w:val="0"/>
            <w:vAlign w:val="center"/>
          </w:tcPr>
          <w:p w14:paraId="645B6575">
            <w:pPr>
              <w:widowControl/>
              <w:jc w:val="center"/>
              <w:rPr>
                <w:rFonts w:hint="eastAsia" w:ascii="宋体" w:hAnsi="宋体" w:cs="宋体"/>
                <w:b w:val="0"/>
                <w:bCs w:val="0"/>
                <w:color w:val="auto"/>
                <w:sz w:val="24"/>
                <w:szCs w:val="24"/>
                <w:highlight w:val="none"/>
                <w:lang w:val="en-US" w:eastAsia="zh-CN"/>
              </w:rPr>
            </w:pPr>
          </w:p>
        </w:tc>
      </w:tr>
      <w:tr w14:paraId="1E00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10236D0E">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4</w:t>
            </w:r>
          </w:p>
        </w:tc>
        <w:tc>
          <w:tcPr>
            <w:tcW w:w="3597" w:type="dxa"/>
            <w:noWrap w:val="0"/>
            <w:vAlign w:val="center"/>
          </w:tcPr>
          <w:p w14:paraId="5D8D4311">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混凝土路面修复</w:t>
            </w:r>
          </w:p>
        </w:tc>
        <w:tc>
          <w:tcPr>
            <w:tcW w:w="1365" w:type="dxa"/>
            <w:noWrap w:val="0"/>
            <w:vAlign w:val="center"/>
          </w:tcPr>
          <w:p w14:paraId="28EA48B6">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415" w:type="dxa"/>
            <w:noWrap w:val="0"/>
            <w:vAlign w:val="center"/>
          </w:tcPr>
          <w:p w14:paraId="6A78840D">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150</w:t>
            </w:r>
          </w:p>
        </w:tc>
        <w:tc>
          <w:tcPr>
            <w:tcW w:w="2537" w:type="dxa"/>
            <w:shd w:val="clear" w:color="auto" w:fill="auto"/>
            <w:noWrap w:val="0"/>
            <w:vAlign w:val="center"/>
          </w:tcPr>
          <w:p w14:paraId="2C244A54">
            <w:pPr>
              <w:widowControl/>
              <w:jc w:val="center"/>
              <w:rPr>
                <w:rFonts w:hint="default" w:ascii="宋体" w:hAnsi="宋体" w:eastAsia="宋体" w:cs="宋体"/>
                <w:b w:val="0"/>
                <w:bCs w:val="0"/>
                <w:kern w:val="0"/>
                <w:sz w:val="24"/>
                <w:szCs w:val="24"/>
                <w:highlight w:val="none"/>
                <w:lang w:val="en-US" w:eastAsia="zh-CN" w:bidi="ar-SA"/>
              </w:rPr>
            </w:pPr>
          </w:p>
        </w:tc>
      </w:tr>
      <w:tr w14:paraId="407E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42B99776">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3597" w:type="dxa"/>
            <w:noWrap w:val="0"/>
            <w:vAlign w:val="center"/>
          </w:tcPr>
          <w:p w14:paraId="50764012">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花岗岩道板修复</w:t>
            </w:r>
          </w:p>
        </w:tc>
        <w:tc>
          <w:tcPr>
            <w:tcW w:w="1365" w:type="dxa"/>
            <w:noWrap w:val="0"/>
            <w:vAlign w:val="center"/>
          </w:tcPr>
          <w:p w14:paraId="1786FD25">
            <w:pPr>
              <w:widowControl/>
              <w:jc w:val="center"/>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w:t>
            </w:r>
          </w:p>
        </w:tc>
        <w:tc>
          <w:tcPr>
            <w:tcW w:w="1415" w:type="dxa"/>
            <w:noWrap w:val="0"/>
            <w:vAlign w:val="center"/>
          </w:tcPr>
          <w:p w14:paraId="15BF3FC4">
            <w:pPr>
              <w:widowControl/>
              <w:jc w:val="center"/>
              <w:rPr>
                <w:rFonts w:hint="default" w:ascii="宋体" w:hAnsi="宋体" w:eastAsia="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220</w:t>
            </w:r>
          </w:p>
        </w:tc>
        <w:tc>
          <w:tcPr>
            <w:tcW w:w="2537" w:type="dxa"/>
            <w:shd w:val="clear" w:color="auto" w:fill="auto"/>
            <w:noWrap w:val="0"/>
            <w:vAlign w:val="center"/>
          </w:tcPr>
          <w:p w14:paraId="4352A7AA">
            <w:pPr>
              <w:widowControl/>
              <w:jc w:val="center"/>
              <w:rPr>
                <w:rFonts w:hint="default" w:ascii="宋体" w:hAnsi="宋体" w:eastAsia="宋体" w:cs="宋体"/>
                <w:b w:val="0"/>
                <w:bCs w:val="0"/>
                <w:kern w:val="0"/>
                <w:sz w:val="24"/>
                <w:szCs w:val="24"/>
                <w:highlight w:val="none"/>
                <w:lang w:val="en-US" w:eastAsia="zh-CN" w:bidi="ar-SA"/>
              </w:rPr>
            </w:pPr>
          </w:p>
        </w:tc>
      </w:tr>
      <w:tr w14:paraId="26D4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4D2591D6">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3597" w:type="dxa"/>
            <w:noWrap w:val="0"/>
            <w:vAlign w:val="center"/>
          </w:tcPr>
          <w:p w14:paraId="5859F17A">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石质侧石修复</w:t>
            </w:r>
          </w:p>
        </w:tc>
        <w:tc>
          <w:tcPr>
            <w:tcW w:w="1365" w:type="dxa"/>
            <w:noWrap w:val="0"/>
            <w:vAlign w:val="center"/>
          </w:tcPr>
          <w:p w14:paraId="4F21A6DB">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m</w:t>
            </w:r>
          </w:p>
        </w:tc>
        <w:tc>
          <w:tcPr>
            <w:tcW w:w="1415" w:type="dxa"/>
            <w:noWrap w:val="0"/>
            <w:vAlign w:val="center"/>
          </w:tcPr>
          <w:p w14:paraId="69B8F497">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180</w:t>
            </w:r>
          </w:p>
        </w:tc>
        <w:tc>
          <w:tcPr>
            <w:tcW w:w="2537" w:type="dxa"/>
            <w:shd w:val="clear" w:color="auto" w:fill="auto"/>
            <w:noWrap w:val="0"/>
            <w:vAlign w:val="center"/>
          </w:tcPr>
          <w:p w14:paraId="263EDECA">
            <w:pPr>
              <w:widowControl/>
              <w:jc w:val="center"/>
              <w:rPr>
                <w:rFonts w:hint="default" w:ascii="宋体" w:hAnsi="宋体" w:eastAsia="宋体" w:cs="宋体"/>
                <w:b w:val="0"/>
                <w:bCs w:val="0"/>
                <w:kern w:val="0"/>
                <w:sz w:val="24"/>
                <w:szCs w:val="24"/>
                <w:highlight w:val="none"/>
                <w:lang w:val="en-US" w:eastAsia="zh-CN" w:bidi="ar-SA"/>
              </w:rPr>
            </w:pPr>
          </w:p>
        </w:tc>
      </w:tr>
      <w:tr w14:paraId="287A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190EE5C4">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7</w:t>
            </w:r>
          </w:p>
        </w:tc>
        <w:tc>
          <w:tcPr>
            <w:tcW w:w="3597" w:type="dxa"/>
            <w:noWrap w:val="0"/>
            <w:vAlign w:val="center"/>
          </w:tcPr>
          <w:p w14:paraId="6E1743D0">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护栏修复</w:t>
            </w:r>
          </w:p>
        </w:tc>
        <w:tc>
          <w:tcPr>
            <w:tcW w:w="1365" w:type="dxa"/>
            <w:noWrap w:val="0"/>
            <w:vAlign w:val="center"/>
          </w:tcPr>
          <w:p w14:paraId="7345813D">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m</w:t>
            </w:r>
          </w:p>
        </w:tc>
        <w:tc>
          <w:tcPr>
            <w:tcW w:w="1415" w:type="dxa"/>
            <w:noWrap w:val="0"/>
            <w:vAlign w:val="center"/>
          </w:tcPr>
          <w:p w14:paraId="42946E7D">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250</w:t>
            </w:r>
          </w:p>
        </w:tc>
        <w:tc>
          <w:tcPr>
            <w:tcW w:w="2537" w:type="dxa"/>
            <w:shd w:val="clear" w:color="auto" w:fill="auto"/>
            <w:noWrap w:val="0"/>
            <w:vAlign w:val="center"/>
          </w:tcPr>
          <w:p w14:paraId="1EBF9F09">
            <w:pPr>
              <w:widowControl/>
              <w:jc w:val="center"/>
              <w:rPr>
                <w:rFonts w:hint="eastAsia" w:ascii="宋体" w:hAnsi="宋体" w:eastAsia="宋体" w:cs="宋体"/>
                <w:b w:val="0"/>
                <w:bCs w:val="0"/>
                <w:kern w:val="0"/>
                <w:sz w:val="24"/>
                <w:szCs w:val="24"/>
                <w:highlight w:val="none"/>
                <w:lang w:val="en-US" w:eastAsia="zh-CN" w:bidi="ar-SA"/>
              </w:rPr>
            </w:pPr>
          </w:p>
        </w:tc>
      </w:tr>
      <w:tr w14:paraId="53BB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266EBBE4">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w:t>
            </w:r>
          </w:p>
        </w:tc>
        <w:tc>
          <w:tcPr>
            <w:tcW w:w="3597" w:type="dxa"/>
            <w:shd w:val="clear" w:color="auto" w:fill="auto"/>
            <w:noWrap w:val="0"/>
            <w:vAlign w:val="center"/>
          </w:tcPr>
          <w:p w14:paraId="680921AD">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井盖提升</w:t>
            </w:r>
          </w:p>
        </w:tc>
        <w:tc>
          <w:tcPr>
            <w:tcW w:w="1365" w:type="dxa"/>
            <w:noWrap w:val="0"/>
            <w:vAlign w:val="center"/>
          </w:tcPr>
          <w:p w14:paraId="1D4CB233">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座</w:t>
            </w:r>
          </w:p>
        </w:tc>
        <w:tc>
          <w:tcPr>
            <w:tcW w:w="1415" w:type="dxa"/>
            <w:noWrap w:val="0"/>
            <w:vAlign w:val="center"/>
          </w:tcPr>
          <w:p w14:paraId="373488F2">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800</w:t>
            </w:r>
          </w:p>
        </w:tc>
        <w:tc>
          <w:tcPr>
            <w:tcW w:w="2537" w:type="dxa"/>
            <w:noWrap w:val="0"/>
            <w:vAlign w:val="center"/>
          </w:tcPr>
          <w:p w14:paraId="368F282A">
            <w:pPr>
              <w:widowControl/>
              <w:jc w:val="center"/>
              <w:rPr>
                <w:rFonts w:hint="eastAsia" w:ascii="宋体" w:hAnsi="宋体" w:cs="宋体"/>
                <w:b w:val="0"/>
                <w:bCs w:val="0"/>
                <w:kern w:val="0"/>
                <w:sz w:val="24"/>
                <w:szCs w:val="24"/>
                <w:highlight w:val="none"/>
                <w:lang w:val="en-US" w:eastAsia="zh-CN"/>
              </w:rPr>
            </w:pPr>
          </w:p>
        </w:tc>
      </w:tr>
      <w:tr w14:paraId="5A9F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0BA47685">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9</w:t>
            </w:r>
          </w:p>
        </w:tc>
        <w:tc>
          <w:tcPr>
            <w:tcW w:w="3597" w:type="dxa"/>
            <w:shd w:val="clear" w:color="auto" w:fill="auto"/>
            <w:noWrap w:val="0"/>
            <w:vAlign w:val="center"/>
          </w:tcPr>
          <w:p w14:paraId="39FC7A91">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井盖更换</w:t>
            </w:r>
          </w:p>
        </w:tc>
        <w:tc>
          <w:tcPr>
            <w:tcW w:w="1365" w:type="dxa"/>
            <w:noWrap w:val="0"/>
            <w:vAlign w:val="center"/>
          </w:tcPr>
          <w:p w14:paraId="404D7B77">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座</w:t>
            </w:r>
          </w:p>
        </w:tc>
        <w:tc>
          <w:tcPr>
            <w:tcW w:w="1415" w:type="dxa"/>
            <w:noWrap w:val="0"/>
            <w:vAlign w:val="center"/>
          </w:tcPr>
          <w:p w14:paraId="37D5530D">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500</w:t>
            </w:r>
          </w:p>
        </w:tc>
        <w:tc>
          <w:tcPr>
            <w:tcW w:w="2537" w:type="dxa"/>
            <w:noWrap w:val="0"/>
            <w:vAlign w:val="center"/>
          </w:tcPr>
          <w:p w14:paraId="28233339">
            <w:pPr>
              <w:widowControl/>
              <w:jc w:val="center"/>
              <w:rPr>
                <w:rFonts w:hint="eastAsia" w:ascii="宋体" w:hAnsi="宋体" w:cs="宋体"/>
                <w:b w:val="0"/>
                <w:bCs w:val="0"/>
                <w:kern w:val="0"/>
                <w:sz w:val="24"/>
                <w:szCs w:val="24"/>
                <w:highlight w:val="none"/>
                <w:lang w:val="en-US" w:eastAsia="zh-CN"/>
              </w:rPr>
            </w:pPr>
          </w:p>
        </w:tc>
      </w:tr>
      <w:tr w14:paraId="6825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6E9D5708">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3597" w:type="dxa"/>
            <w:shd w:val="clear" w:color="auto" w:fill="auto"/>
            <w:noWrap w:val="0"/>
            <w:vAlign w:val="center"/>
          </w:tcPr>
          <w:p w14:paraId="7E55BB38">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管道疏通、清淤</w:t>
            </w:r>
          </w:p>
        </w:tc>
        <w:tc>
          <w:tcPr>
            <w:tcW w:w="1365" w:type="dxa"/>
            <w:noWrap w:val="0"/>
            <w:vAlign w:val="center"/>
          </w:tcPr>
          <w:p w14:paraId="20E7F5B8">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m</w:t>
            </w:r>
          </w:p>
        </w:tc>
        <w:tc>
          <w:tcPr>
            <w:tcW w:w="1415" w:type="dxa"/>
            <w:noWrap w:val="0"/>
            <w:vAlign w:val="center"/>
          </w:tcPr>
          <w:p w14:paraId="5323D7A2">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55</w:t>
            </w:r>
          </w:p>
        </w:tc>
        <w:tc>
          <w:tcPr>
            <w:tcW w:w="2537" w:type="dxa"/>
            <w:shd w:val="clear" w:color="auto" w:fill="auto"/>
            <w:noWrap w:val="0"/>
            <w:vAlign w:val="center"/>
          </w:tcPr>
          <w:p w14:paraId="4E2DCB20">
            <w:pPr>
              <w:widowControl/>
              <w:jc w:val="center"/>
              <w:rPr>
                <w:rFonts w:hint="eastAsia" w:ascii="宋体" w:hAnsi="宋体" w:eastAsia="宋体" w:cs="宋体"/>
                <w:b w:val="0"/>
                <w:bCs w:val="0"/>
                <w:kern w:val="0"/>
                <w:sz w:val="24"/>
                <w:szCs w:val="24"/>
                <w:highlight w:val="none"/>
                <w:lang w:val="en-US" w:eastAsia="zh-CN" w:bidi="ar-SA"/>
              </w:rPr>
            </w:pPr>
          </w:p>
        </w:tc>
      </w:tr>
      <w:tr w14:paraId="5D31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28926651">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11</w:t>
            </w:r>
          </w:p>
        </w:tc>
        <w:tc>
          <w:tcPr>
            <w:tcW w:w="3597" w:type="dxa"/>
            <w:shd w:val="clear" w:color="auto" w:fill="auto"/>
            <w:noWrap w:val="0"/>
            <w:vAlign w:val="center"/>
          </w:tcPr>
          <w:p w14:paraId="7007E69E">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管道CCTV检测</w:t>
            </w:r>
          </w:p>
        </w:tc>
        <w:tc>
          <w:tcPr>
            <w:tcW w:w="1365" w:type="dxa"/>
            <w:noWrap w:val="0"/>
            <w:vAlign w:val="center"/>
          </w:tcPr>
          <w:p w14:paraId="314C2125">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m</w:t>
            </w:r>
          </w:p>
        </w:tc>
        <w:tc>
          <w:tcPr>
            <w:tcW w:w="1415" w:type="dxa"/>
            <w:noWrap w:val="0"/>
            <w:vAlign w:val="center"/>
          </w:tcPr>
          <w:p w14:paraId="3CBA94C0">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2537" w:type="dxa"/>
            <w:shd w:val="clear" w:color="auto" w:fill="auto"/>
            <w:noWrap w:val="0"/>
            <w:vAlign w:val="center"/>
          </w:tcPr>
          <w:p w14:paraId="36B9F27F">
            <w:pPr>
              <w:widowControl/>
              <w:jc w:val="center"/>
              <w:rPr>
                <w:rFonts w:hint="eastAsia" w:ascii="宋体" w:hAnsi="宋体" w:eastAsia="宋体" w:cs="宋体"/>
                <w:b w:val="0"/>
                <w:bCs w:val="0"/>
                <w:kern w:val="0"/>
                <w:sz w:val="24"/>
                <w:szCs w:val="24"/>
                <w:highlight w:val="none"/>
                <w:lang w:val="en-US" w:eastAsia="zh-CN" w:bidi="ar-SA"/>
              </w:rPr>
            </w:pPr>
          </w:p>
        </w:tc>
      </w:tr>
      <w:tr w14:paraId="4D11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6B7CD816">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w:t>
            </w:r>
          </w:p>
        </w:tc>
        <w:tc>
          <w:tcPr>
            <w:tcW w:w="3597" w:type="dxa"/>
            <w:shd w:val="clear" w:color="auto" w:fill="auto"/>
            <w:noWrap w:val="0"/>
            <w:vAlign w:val="center"/>
          </w:tcPr>
          <w:p w14:paraId="0F1914E0">
            <w:pPr>
              <w:widowControl/>
              <w:spacing w:line="520" w:lineRule="exact"/>
              <w:jc w:val="center"/>
              <w:rPr>
                <w:rFonts w:hint="eastAsia" w:ascii="宋体" w:hAnsi="Times New Roman" w:eastAsia="宋体" w:cs="宋体"/>
                <w:kern w:val="0"/>
                <w:sz w:val="25"/>
                <w:szCs w:val="25"/>
                <w:lang w:val="en-US" w:eastAsia="zh-CN" w:bidi="ar-SA"/>
              </w:rPr>
            </w:pPr>
            <w:r>
              <w:rPr>
                <w:rFonts w:hint="eastAsia" w:ascii="宋体" w:hAnsi="宋体" w:cs="宋体"/>
                <w:kern w:val="0"/>
                <w:sz w:val="25"/>
                <w:szCs w:val="25"/>
              </w:rPr>
              <w:t>检查井清淤泥</w:t>
            </w:r>
          </w:p>
        </w:tc>
        <w:tc>
          <w:tcPr>
            <w:tcW w:w="1365" w:type="dxa"/>
            <w:shd w:val="clear" w:color="auto" w:fill="auto"/>
            <w:noWrap w:val="0"/>
            <w:vAlign w:val="center"/>
          </w:tcPr>
          <w:p w14:paraId="302C979A">
            <w:pPr>
              <w:widowControl/>
              <w:spacing w:line="520" w:lineRule="exact"/>
              <w:jc w:val="center"/>
              <w:rPr>
                <w:rFonts w:hint="eastAsia" w:ascii="宋体" w:hAnsi="Times New Roman" w:eastAsia="宋体" w:cs="宋体"/>
                <w:kern w:val="0"/>
                <w:sz w:val="25"/>
                <w:szCs w:val="25"/>
                <w:lang w:val="en-US" w:eastAsia="zh-CN" w:bidi="ar-SA"/>
              </w:rPr>
            </w:pPr>
            <w:r>
              <w:rPr>
                <w:rFonts w:hint="eastAsia" w:ascii="宋体" w:hAnsi="宋体" w:cs="宋体"/>
                <w:kern w:val="0"/>
                <w:sz w:val="25"/>
                <w:szCs w:val="25"/>
              </w:rPr>
              <w:t>座</w:t>
            </w:r>
          </w:p>
        </w:tc>
        <w:tc>
          <w:tcPr>
            <w:tcW w:w="1415" w:type="dxa"/>
            <w:noWrap w:val="0"/>
            <w:vAlign w:val="center"/>
          </w:tcPr>
          <w:p w14:paraId="1D9468FB">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400</w:t>
            </w:r>
          </w:p>
        </w:tc>
        <w:tc>
          <w:tcPr>
            <w:tcW w:w="2537" w:type="dxa"/>
            <w:noWrap w:val="0"/>
            <w:vAlign w:val="center"/>
          </w:tcPr>
          <w:p w14:paraId="1E22C0E5">
            <w:pPr>
              <w:widowControl/>
              <w:jc w:val="center"/>
              <w:rPr>
                <w:rFonts w:hint="eastAsia" w:ascii="宋体" w:hAnsi="宋体" w:eastAsia="宋体" w:cs="宋体"/>
                <w:b w:val="0"/>
                <w:bCs w:val="0"/>
                <w:color w:val="auto"/>
                <w:sz w:val="24"/>
                <w:szCs w:val="24"/>
                <w:highlight w:val="none"/>
              </w:rPr>
            </w:pPr>
          </w:p>
        </w:tc>
      </w:tr>
      <w:tr w14:paraId="2EA9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6BD61070">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13</w:t>
            </w:r>
          </w:p>
        </w:tc>
        <w:tc>
          <w:tcPr>
            <w:tcW w:w="3597" w:type="dxa"/>
            <w:shd w:val="clear" w:color="auto" w:fill="auto"/>
            <w:noWrap w:val="0"/>
            <w:vAlign w:val="center"/>
          </w:tcPr>
          <w:p w14:paraId="471A5EE2">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杆线类问题</w:t>
            </w:r>
          </w:p>
        </w:tc>
        <w:tc>
          <w:tcPr>
            <w:tcW w:w="1365" w:type="dxa"/>
            <w:shd w:val="clear" w:color="auto" w:fill="auto"/>
            <w:noWrap w:val="0"/>
            <w:vAlign w:val="center"/>
          </w:tcPr>
          <w:p w14:paraId="4F233470">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处</w:t>
            </w:r>
          </w:p>
        </w:tc>
        <w:tc>
          <w:tcPr>
            <w:tcW w:w="1415" w:type="dxa"/>
            <w:shd w:val="clear" w:color="auto" w:fill="auto"/>
            <w:noWrap w:val="0"/>
            <w:vAlign w:val="center"/>
          </w:tcPr>
          <w:p w14:paraId="427DE025">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350</w:t>
            </w:r>
          </w:p>
        </w:tc>
        <w:tc>
          <w:tcPr>
            <w:tcW w:w="2537" w:type="dxa"/>
            <w:shd w:val="clear" w:color="auto" w:fill="auto"/>
            <w:noWrap w:val="0"/>
            <w:vAlign w:val="center"/>
          </w:tcPr>
          <w:p w14:paraId="507197BA">
            <w:pPr>
              <w:widowControl/>
              <w:jc w:val="center"/>
              <w:rPr>
                <w:rFonts w:hint="eastAsia" w:ascii="宋体" w:hAnsi="宋体" w:eastAsia="宋体" w:cs="宋体"/>
                <w:b w:val="0"/>
                <w:bCs w:val="0"/>
                <w:kern w:val="0"/>
                <w:sz w:val="24"/>
                <w:szCs w:val="24"/>
                <w:highlight w:val="none"/>
                <w:lang w:val="en-US" w:eastAsia="zh-CN" w:bidi="ar-SA"/>
              </w:rPr>
            </w:pPr>
          </w:p>
        </w:tc>
      </w:tr>
      <w:tr w14:paraId="14EB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69F17276">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14</w:t>
            </w:r>
          </w:p>
        </w:tc>
        <w:tc>
          <w:tcPr>
            <w:tcW w:w="3597" w:type="dxa"/>
            <w:shd w:val="clear" w:color="auto" w:fill="auto"/>
            <w:noWrap w:val="0"/>
            <w:vAlign w:val="center"/>
          </w:tcPr>
          <w:p w14:paraId="01B4A3AD">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交接箱问题</w:t>
            </w:r>
          </w:p>
        </w:tc>
        <w:tc>
          <w:tcPr>
            <w:tcW w:w="1365" w:type="dxa"/>
            <w:shd w:val="clear" w:color="auto" w:fill="auto"/>
            <w:noWrap w:val="0"/>
            <w:vAlign w:val="center"/>
          </w:tcPr>
          <w:p w14:paraId="0C02A701">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处</w:t>
            </w:r>
          </w:p>
        </w:tc>
        <w:tc>
          <w:tcPr>
            <w:tcW w:w="1415" w:type="dxa"/>
            <w:shd w:val="clear" w:color="auto" w:fill="auto"/>
            <w:noWrap w:val="0"/>
            <w:vAlign w:val="center"/>
          </w:tcPr>
          <w:p w14:paraId="2464E3D5">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color w:val="auto"/>
                <w:sz w:val="24"/>
                <w:szCs w:val="24"/>
                <w:highlight w:val="none"/>
                <w:lang w:val="en-US" w:eastAsia="zh-CN"/>
              </w:rPr>
              <w:t>500</w:t>
            </w:r>
          </w:p>
        </w:tc>
        <w:tc>
          <w:tcPr>
            <w:tcW w:w="2537" w:type="dxa"/>
            <w:shd w:val="clear" w:color="auto" w:fill="auto"/>
            <w:noWrap w:val="0"/>
            <w:vAlign w:val="center"/>
          </w:tcPr>
          <w:p w14:paraId="48B87F7B">
            <w:pPr>
              <w:widowControl/>
              <w:jc w:val="center"/>
              <w:rPr>
                <w:rFonts w:hint="eastAsia" w:ascii="宋体" w:hAnsi="宋体" w:eastAsia="宋体" w:cs="宋体"/>
                <w:b w:val="0"/>
                <w:bCs w:val="0"/>
                <w:kern w:val="0"/>
                <w:sz w:val="24"/>
                <w:szCs w:val="24"/>
                <w:highlight w:val="none"/>
                <w:lang w:val="en-US" w:eastAsia="zh-CN" w:bidi="ar-SA"/>
              </w:rPr>
            </w:pPr>
          </w:p>
        </w:tc>
      </w:tr>
      <w:tr w14:paraId="376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5660CE0D">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15</w:t>
            </w:r>
          </w:p>
        </w:tc>
        <w:tc>
          <w:tcPr>
            <w:tcW w:w="3597" w:type="dxa"/>
            <w:shd w:val="clear" w:color="auto" w:fill="auto"/>
            <w:noWrap w:val="0"/>
            <w:vAlign w:val="center"/>
          </w:tcPr>
          <w:p w14:paraId="6E0A974F">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书带草</w:t>
            </w:r>
          </w:p>
        </w:tc>
        <w:tc>
          <w:tcPr>
            <w:tcW w:w="1365" w:type="dxa"/>
            <w:shd w:val="clear" w:color="auto" w:fill="auto"/>
            <w:noWrap w:val="0"/>
            <w:vAlign w:val="center"/>
          </w:tcPr>
          <w:p w14:paraId="2F2A0A85">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415" w:type="dxa"/>
            <w:shd w:val="clear" w:color="auto" w:fill="auto"/>
            <w:noWrap w:val="0"/>
            <w:vAlign w:val="center"/>
          </w:tcPr>
          <w:p w14:paraId="227EE951">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26</w:t>
            </w:r>
          </w:p>
        </w:tc>
        <w:tc>
          <w:tcPr>
            <w:tcW w:w="2537" w:type="dxa"/>
            <w:shd w:val="clear" w:color="auto" w:fill="auto"/>
            <w:noWrap w:val="0"/>
            <w:vAlign w:val="center"/>
          </w:tcPr>
          <w:p w14:paraId="20FA5822">
            <w:pPr>
              <w:widowControl/>
              <w:jc w:val="center"/>
              <w:rPr>
                <w:rFonts w:hint="eastAsia" w:ascii="宋体" w:hAnsi="宋体" w:eastAsia="宋体" w:cs="宋体"/>
                <w:b w:val="0"/>
                <w:bCs w:val="0"/>
                <w:color w:val="auto"/>
                <w:sz w:val="24"/>
                <w:szCs w:val="24"/>
                <w:highlight w:val="none"/>
              </w:rPr>
            </w:pPr>
          </w:p>
        </w:tc>
      </w:tr>
      <w:tr w14:paraId="7CBF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0757BFA8">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16</w:t>
            </w:r>
          </w:p>
        </w:tc>
        <w:tc>
          <w:tcPr>
            <w:tcW w:w="3597" w:type="dxa"/>
            <w:shd w:val="clear" w:color="auto" w:fill="auto"/>
            <w:noWrap w:val="0"/>
            <w:vAlign w:val="center"/>
          </w:tcPr>
          <w:p w14:paraId="32E86CD9">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冷沥青</w:t>
            </w:r>
          </w:p>
        </w:tc>
        <w:tc>
          <w:tcPr>
            <w:tcW w:w="1365" w:type="dxa"/>
            <w:shd w:val="clear" w:color="auto" w:fill="auto"/>
            <w:noWrap w:val="0"/>
            <w:vAlign w:val="center"/>
          </w:tcPr>
          <w:p w14:paraId="14813460">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t</w:t>
            </w:r>
          </w:p>
        </w:tc>
        <w:tc>
          <w:tcPr>
            <w:tcW w:w="1415" w:type="dxa"/>
            <w:shd w:val="clear" w:color="auto" w:fill="auto"/>
            <w:noWrap w:val="0"/>
            <w:vAlign w:val="center"/>
          </w:tcPr>
          <w:p w14:paraId="273E8905">
            <w:pPr>
              <w:widowControl/>
              <w:jc w:val="center"/>
              <w:rPr>
                <w:rFonts w:hint="default" w:ascii="宋体" w:hAnsi="宋体" w:cs="宋体"/>
                <w:kern w:val="0"/>
                <w:sz w:val="24"/>
                <w:szCs w:val="24"/>
                <w:highlight w:val="none"/>
                <w:lang w:val="en-US" w:eastAsia="zh-CN"/>
              </w:rPr>
            </w:pPr>
            <w:r>
              <w:rPr>
                <w:rFonts w:hint="eastAsia" w:ascii="宋体" w:hAnsi="宋体" w:cs="宋体"/>
                <w:b w:val="0"/>
                <w:bCs w:val="0"/>
                <w:color w:val="auto"/>
                <w:sz w:val="24"/>
                <w:szCs w:val="24"/>
                <w:highlight w:val="none"/>
                <w:lang w:val="en-US" w:eastAsia="zh-CN"/>
              </w:rPr>
              <w:t>2000</w:t>
            </w:r>
          </w:p>
        </w:tc>
        <w:tc>
          <w:tcPr>
            <w:tcW w:w="2537" w:type="dxa"/>
            <w:shd w:val="clear" w:color="auto" w:fill="auto"/>
            <w:noWrap w:val="0"/>
            <w:vAlign w:val="center"/>
          </w:tcPr>
          <w:p w14:paraId="42AE3A48">
            <w:pPr>
              <w:widowControl/>
              <w:jc w:val="center"/>
              <w:rPr>
                <w:rFonts w:hint="eastAsia" w:ascii="宋体" w:hAnsi="宋体" w:eastAsia="宋体" w:cs="宋体"/>
                <w:b w:val="0"/>
                <w:bCs w:val="0"/>
                <w:color w:val="auto"/>
                <w:sz w:val="24"/>
                <w:szCs w:val="24"/>
                <w:highlight w:val="none"/>
              </w:rPr>
            </w:pPr>
          </w:p>
        </w:tc>
      </w:tr>
      <w:tr w14:paraId="26D9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06" w:type="dxa"/>
            <w:noWrap/>
            <w:vAlign w:val="center"/>
          </w:tcPr>
          <w:p w14:paraId="7F7C8FE1">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17</w:t>
            </w:r>
          </w:p>
        </w:tc>
        <w:tc>
          <w:tcPr>
            <w:tcW w:w="3597" w:type="dxa"/>
            <w:shd w:val="clear" w:color="auto" w:fill="auto"/>
            <w:noWrap w:val="0"/>
            <w:vAlign w:val="center"/>
          </w:tcPr>
          <w:p w14:paraId="67B3BA38">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挖掘机90型</w:t>
            </w:r>
          </w:p>
        </w:tc>
        <w:tc>
          <w:tcPr>
            <w:tcW w:w="1365" w:type="dxa"/>
            <w:shd w:val="clear" w:color="auto" w:fill="auto"/>
            <w:noWrap w:val="0"/>
            <w:vAlign w:val="center"/>
          </w:tcPr>
          <w:p w14:paraId="68F36BE9">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noWrap w:val="0"/>
            <w:vAlign w:val="center"/>
          </w:tcPr>
          <w:p w14:paraId="54CD9A36">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2000</w:t>
            </w:r>
          </w:p>
        </w:tc>
        <w:tc>
          <w:tcPr>
            <w:tcW w:w="2537" w:type="dxa"/>
            <w:noWrap w:val="0"/>
            <w:vAlign w:val="center"/>
          </w:tcPr>
          <w:p w14:paraId="3B636F52">
            <w:pPr>
              <w:widowControl/>
              <w:jc w:val="center"/>
              <w:rPr>
                <w:rFonts w:hint="default" w:ascii="宋体" w:hAnsi="宋体" w:cs="宋体"/>
                <w:b w:val="0"/>
                <w:bCs w:val="0"/>
                <w:kern w:val="0"/>
                <w:sz w:val="24"/>
                <w:szCs w:val="24"/>
                <w:highlight w:val="none"/>
                <w:lang w:val="en-US" w:eastAsia="zh-CN"/>
              </w:rPr>
            </w:pPr>
          </w:p>
        </w:tc>
      </w:tr>
      <w:tr w14:paraId="2C75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102EB49E">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18</w:t>
            </w:r>
          </w:p>
        </w:tc>
        <w:tc>
          <w:tcPr>
            <w:tcW w:w="3597" w:type="dxa"/>
            <w:shd w:val="clear" w:color="auto" w:fill="auto"/>
            <w:noWrap w:val="0"/>
            <w:vAlign w:val="center"/>
          </w:tcPr>
          <w:p w14:paraId="67F7E8EA">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挖掘机120型</w:t>
            </w:r>
          </w:p>
        </w:tc>
        <w:tc>
          <w:tcPr>
            <w:tcW w:w="1365" w:type="dxa"/>
            <w:shd w:val="clear" w:color="auto" w:fill="auto"/>
            <w:noWrap w:val="0"/>
            <w:vAlign w:val="center"/>
          </w:tcPr>
          <w:p w14:paraId="4D72FD7E">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noWrap w:val="0"/>
            <w:vAlign w:val="center"/>
          </w:tcPr>
          <w:p w14:paraId="64C990FD">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3000</w:t>
            </w:r>
          </w:p>
        </w:tc>
        <w:tc>
          <w:tcPr>
            <w:tcW w:w="2537" w:type="dxa"/>
            <w:noWrap w:val="0"/>
            <w:vAlign w:val="center"/>
          </w:tcPr>
          <w:p w14:paraId="05DFECD5">
            <w:pPr>
              <w:widowControl/>
              <w:jc w:val="center"/>
              <w:rPr>
                <w:rFonts w:hint="eastAsia" w:ascii="宋体" w:hAnsi="宋体" w:cs="宋体"/>
                <w:b w:val="0"/>
                <w:bCs w:val="0"/>
                <w:kern w:val="0"/>
                <w:sz w:val="24"/>
                <w:szCs w:val="24"/>
                <w:highlight w:val="none"/>
                <w:lang w:val="en-US" w:eastAsia="zh-CN"/>
              </w:rPr>
            </w:pPr>
          </w:p>
        </w:tc>
      </w:tr>
      <w:tr w14:paraId="6B2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0C779988">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19</w:t>
            </w:r>
          </w:p>
        </w:tc>
        <w:tc>
          <w:tcPr>
            <w:tcW w:w="3597" w:type="dxa"/>
            <w:shd w:val="clear" w:color="auto" w:fill="auto"/>
            <w:noWrap w:val="0"/>
            <w:vAlign w:val="center"/>
          </w:tcPr>
          <w:p w14:paraId="362EEF89">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挖掘机200型</w:t>
            </w:r>
          </w:p>
        </w:tc>
        <w:tc>
          <w:tcPr>
            <w:tcW w:w="1365" w:type="dxa"/>
            <w:shd w:val="clear" w:color="auto" w:fill="auto"/>
            <w:noWrap w:val="0"/>
            <w:vAlign w:val="center"/>
          </w:tcPr>
          <w:p w14:paraId="43FF744D">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noWrap w:val="0"/>
            <w:vAlign w:val="center"/>
          </w:tcPr>
          <w:p w14:paraId="35FA0654">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3000</w:t>
            </w:r>
          </w:p>
        </w:tc>
        <w:tc>
          <w:tcPr>
            <w:tcW w:w="2537" w:type="dxa"/>
            <w:noWrap w:val="0"/>
            <w:vAlign w:val="center"/>
          </w:tcPr>
          <w:p w14:paraId="1C6AA3C7">
            <w:pPr>
              <w:widowControl/>
              <w:jc w:val="center"/>
              <w:rPr>
                <w:rFonts w:hint="eastAsia" w:ascii="宋体" w:hAnsi="宋体" w:cs="宋体"/>
                <w:b w:val="0"/>
                <w:bCs w:val="0"/>
                <w:kern w:val="0"/>
                <w:sz w:val="24"/>
                <w:szCs w:val="24"/>
                <w:highlight w:val="none"/>
                <w:lang w:val="en-US" w:eastAsia="zh-CN"/>
              </w:rPr>
            </w:pPr>
          </w:p>
        </w:tc>
      </w:tr>
      <w:tr w14:paraId="685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669F7822">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20</w:t>
            </w:r>
          </w:p>
        </w:tc>
        <w:tc>
          <w:tcPr>
            <w:tcW w:w="3597" w:type="dxa"/>
            <w:shd w:val="clear" w:color="auto" w:fill="auto"/>
            <w:noWrap w:val="0"/>
            <w:vAlign w:val="center"/>
          </w:tcPr>
          <w:p w14:paraId="296FE08F">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吊车8吨</w:t>
            </w:r>
          </w:p>
        </w:tc>
        <w:tc>
          <w:tcPr>
            <w:tcW w:w="1365" w:type="dxa"/>
            <w:shd w:val="clear" w:color="auto" w:fill="auto"/>
            <w:noWrap w:val="0"/>
            <w:vAlign w:val="center"/>
          </w:tcPr>
          <w:p w14:paraId="4C9AC020">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noWrap w:val="0"/>
            <w:vAlign w:val="center"/>
          </w:tcPr>
          <w:p w14:paraId="56FCB81F">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1250</w:t>
            </w:r>
          </w:p>
        </w:tc>
        <w:tc>
          <w:tcPr>
            <w:tcW w:w="2537" w:type="dxa"/>
            <w:noWrap w:val="0"/>
            <w:vAlign w:val="center"/>
          </w:tcPr>
          <w:p w14:paraId="23DC4D56">
            <w:pPr>
              <w:widowControl/>
              <w:jc w:val="center"/>
              <w:rPr>
                <w:rFonts w:hint="eastAsia" w:ascii="宋体" w:hAnsi="宋体" w:cs="宋体"/>
                <w:b w:val="0"/>
                <w:bCs w:val="0"/>
                <w:kern w:val="0"/>
                <w:sz w:val="24"/>
                <w:szCs w:val="24"/>
                <w:highlight w:val="none"/>
                <w:lang w:val="en-US" w:eastAsia="zh-CN"/>
              </w:rPr>
            </w:pPr>
          </w:p>
        </w:tc>
      </w:tr>
      <w:tr w14:paraId="0145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2142A6CB">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21</w:t>
            </w:r>
          </w:p>
        </w:tc>
        <w:tc>
          <w:tcPr>
            <w:tcW w:w="3597" w:type="dxa"/>
            <w:shd w:val="clear" w:color="auto" w:fill="auto"/>
            <w:noWrap w:val="0"/>
            <w:vAlign w:val="center"/>
          </w:tcPr>
          <w:p w14:paraId="44303C0D">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吊车16吨</w:t>
            </w:r>
          </w:p>
        </w:tc>
        <w:tc>
          <w:tcPr>
            <w:tcW w:w="1365" w:type="dxa"/>
            <w:shd w:val="clear" w:color="auto" w:fill="auto"/>
            <w:noWrap w:val="0"/>
            <w:vAlign w:val="center"/>
          </w:tcPr>
          <w:p w14:paraId="77FCA5FA">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noWrap w:val="0"/>
            <w:vAlign w:val="center"/>
          </w:tcPr>
          <w:p w14:paraId="6DD1D924">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1600</w:t>
            </w:r>
          </w:p>
        </w:tc>
        <w:tc>
          <w:tcPr>
            <w:tcW w:w="2537" w:type="dxa"/>
            <w:noWrap w:val="0"/>
            <w:vAlign w:val="center"/>
          </w:tcPr>
          <w:p w14:paraId="66904B27">
            <w:pPr>
              <w:widowControl/>
              <w:jc w:val="center"/>
              <w:rPr>
                <w:rFonts w:hint="eastAsia" w:ascii="宋体" w:hAnsi="宋体" w:cs="宋体"/>
                <w:b w:val="0"/>
                <w:bCs w:val="0"/>
                <w:kern w:val="0"/>
                <w:sz w:val="24"/>
                <w:szCs w:val="24"/>
                <w:highlight w:val="none"/>
                <w:lang w:val="en-US" w:eastAsia="zh-CN"/>
              </w:rPr>
            </w:pPr>
          </w:p>
        </w:tc>
      </w:tr>
      <w:tr w14:paraId="29C2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noWrap/>
            <w:vAlign w:val="center"/>
          </w:tcPr>
          <w:p w14:paraId="199DE88A">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22</w:t>
            </w:r>
          </w:p>
        </w:tc>
        <w:tc>
          <w:tcPr>
            <w:tcW w:w="3597" w:type="dxa"/>
            <w:shd w:val="clear" w:color="auto" w:fill="auto"/>
            <w:noWrap w:val="0"/>
            <w:vAlign w:val="center"/>
          </w:tcPr>
          <w:p w14:paraId="39554765">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吊车25吨</w:t>
            </w:r>
          </w:p>
        </w:tc>
        <w:tc>
          <w:tcPr>
            <w:tcW w:w="1365" w:type="dxa"/>
            <w:shd w:val="clear" w:color="auto" w:fill="auto"/>
            <w:noWrap w:val="0"/>
            <w:vAlign w:val="center"/>
          </w:tcPr>
          <w:p w14:paraId="13F93EB9">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noWrap w:val="0"/>
            <w:vAlign w:val="center"/>
          </w:tcPr>
          <w:p w14:paraId="5101197E">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1800</w:t>
            </w:r>
          </w:p>
        </w:tc>
        <w:tc>
          <w:tcPr>
            <w:tcW w:w="2537" w:type="dxa"/>
            <w:noWrap w:val="0"/>
            <w:vAlign w:val="center"/>
          </w:tcPr>
          <w:p w14:paraId="41CC5A93">
            <w:pPr>
              <w:widowControl/>
              <w:jc w:val="center"/>
              <w:rPr>
                <w:rFonts w:hint="eastAsia" w:ascii="宋体" w:hAnsi="宋体" w:cs="宋体"/>
                <w:b w:val="0"/>
                <w:bCs w:val="0"/>
                <w:kern w:val="0"/>
                <w:sz w:val="24"/>
                <w:szCs w:val="24"/>
                <w:highlight w:val="none"/>
                <w:lang w:val="en-US" w:eastAsia="zh-CN"/>
              </w:rPr>
            </w:pPr>
          </w:p>
        </w:tc>
      </w:tr>
      <w:tr w14:paraId="2832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0DD4211D">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23</w:t>
            </w:r>
          </w:p>
        </w:tc>
        <w:tc>
          <w:tcPr>
            <w:tcW w:w="0" w:type="auto"/>
            <w:shd w:val="clear" w:color="auto" w:fill="auto"/>
            <w:vAlign w:val="center"/>
          </w:tcPr>
          <w:p w14:paraId="46E271FF">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吊车35吨</w:t>
            </w:r>
          </w:p>
        </w:tc>
        <w:tc>
          <w:tcPr>
            <w:tcW w:w="0" w:type="auto"/>
            <w:shd w:val="clear" w:color="auto" w:fill="auto"/>
            <w:vAlign w:val="center"/>
          </w:tcPr>
          <w:p w14:paraId="2A1AF591">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4E55CFEC">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2800</w:t>
            </w:r>
          </w:p>
        </w:tc>
        <w:tc>
          <w:tcPr>
            <w:tcW w:w="0" w:type="auto"/>
          </w:tcPr>
          <w:p w14:paraId="10319461">
            <w:pPr>
              <w:widowControl/>
              <w:jc w:val="center"/>
              <w:rPr>
                <w:rFonts w:hint="eastAsia" w:ascii="宋体" w:hAnsi="宋体" w:cs="宋体"/>
                <w:b w:val="0"/>
                <w:bCs w:val="0"/>
                <w:kern w:val="0"/>
                <w:sz w:val="24"/>
                <w:szCs w:val="24"/>
                <w:highlight w:val="none"/>
                <w:lang w:val="en-US" w:eastAsia="zh-CN"/>
              </w:rPr>
            </w:pPr>
          </w:p>
        </w:tc>
      </w:tr>
      <w:tr w14:paraId="02A0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76BA957A">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24</w:t>
            </w:r>
          </w:p>
        </w:tc>
        <w:tc>
          <w:tcPr>
            <w:tcW w:w="0" w:type="auto"/>
            <w:shd w:val="clear" w:color="auto" w:fill="auto"/>
            <w:vAlign w:val="center"/>
          </w:tcPr>
          <w:p w14:paraId="78247260">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吊车50吨</w:t>
            </w:r>
          </w:p>
        </w:tc>
        <w:tc>
          <w:tcPr>
            <w:tcW w:w="0" w:type="auto"/>
            <w:shd w:val="clear" w:color="auto" w:fill="auto"/>
            <w:vAlign w:val="center"/>
          </w:tcPr>
          <w:p w14:paraId="300ADB99">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02957125">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4300</w:t>
            </w:r>
          </w:p>
        </w:tc>
        <w:tc>
          <w:tcPr>
            <w:tcW w:w="0" w:type="auto"/>
          </w:tcPr>
          <w:p w14:paraId="37A44F1F">
            <w:pPr>
              <w:widowControl/>
              <w:jc w:val="center"/>
              <w:rPr>
                <w:rFonts w:hint="eastAsia" w:ascii="宋体" w:hAnsi="宋体" w:cs="宋体"/>
                <w:b w:val="0"/>
                <w:bCs w:val="0"/>
                <w:kern w:val="0"/>
                <w:sz w:val="24"/>
                <w:szCs w:val="24"/>
                <w:highlight w:val="none"/>
                <w:lang w:val="en-US" w:eastAsia="zh-CN"/>
              </w:rPr>
            </w:pPr>
          </w:p>
        </w:tc>
      </w:tr>
      <w:tr w14:paraId="1FFB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1E296D4B">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25</w:t>
            </w:r>
          </w:p>
        </w:tc>
        <w:tc>
          <w:tcPr>
            <w:tcW w:w="0" w:type="auto"/>
            <w:shd w:val="clear" w:color="auto" w:fill="auto"/>
            <w:vAlign w:val="center"/>
          </w:tcPr>
          <w:p w14:paraId="204D681A">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登高车 21米</w:t>
            </w:r>
          </w:p>
        </w:tc>
        <w:tc>
          <w:tcPr>
            <w:tcW w:w="0" w:type="auto"/>
            <w:shd w:val="clear" w:color="auto" w:fill="auto"/>
            <w:vAlign w:val="center"/>
          </w:tcPr>
          <w:p w14:paraId="431FB39E">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51A5BA63">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3000</w:t>
            </w:r>
          </w:p>
        </w:tc>
        <w:tc>
          <w:tcPr>
            <w:tcW w:w="0" w:type="auto"/>
          </w:tcPr>
          <w:p w14:paraId="46385520">
            <w:pPr>
              <w:widowControl/>
              <w:jc w:val="center"/>
              <w:rPr>
                <w:rFonts w:hint="eastAsia" w:ascii="宋体" w:hAnsi="宋体" w:cs="宋体"/>
                <w:b w:val="0"/>
                <w:bCs w:val="0"/>
                <w:kern w:val="0"/>
                <w:sz w:val="24"/>
                <w:szCs w:val="24"/>
                <w:highlight w:val="none"/>
                <w:lang w:val="en-US" w:eastAsia="zh-CN"/>
              </w:rPr>
            </w:pPr>
          </w:p>
        </w:tc>
      </w:tr>
      <w:tr w14:paraId="209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41FCC6A6">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26</w:t>
            </w:r>
          </w:p>
        </w:tc>
        <w:tc>
          <w:tcPr>
            <w:tcW w:w="0" w:type="auto"/>
            <w:shd w:val="clear" w:color="auto" w:fill="auto"/>
            <w:vAlign w:val="center"/>
          </w:tcPr>
          <w:p w14:paraId="35CD266F">
            <w:pPr>
              <w:widowControl/>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登高车 26米</w:t>
            </w:r>
          </w:p>
        </w:tc>
        <w:tc>
          <w:tcPr>
            <w:tcW w:w="0" w:type="auto"/>
            <w:shd w:val="clear" w:color="auto" w:fill="auto"/>
            <w:vAlign w:val="center"/>
          </w:tcPr>
          <w:p w14:paraId="6003905C">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67A0F4CA">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3000</w:t>
            </w:r>
          </w:p>
        </w:tc>
        <w:tc>
          <w:tcPr>
            <w:tcW w:w="0" w:type="auto"/>
          </w:tcPr>
          <w:p w14:paraId="22624150">
            <w:pPr>
              <w:widowControl/>
              <w:jc w:val="center"/>
              <w:rPr>
                <w:rFonts w:hint="eastAsia" w:ascii="宋体" w:hAnsi="宋体" w:cs="宋体"/>
                <w:b w:val="0"/>
                <w:bCs w:val="0"/>
                <w:kern w:val="0"/>
                <w:sz w:val="24"/>
                <w:szCs w:val="24"/>
                <w:highlight w:val="none"/>
                <w:lang w:val="en-US" w:eastAsia="zh-CN"/>
              </w:rPr>
            </w:pPr>
          </w:p>
        </w:tc>
      </w:tr>
      <w:tr w14:paraId="02AA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39FAF162">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27</w:t>
            </w:r>
          </w:p>
        </w:tc>
        <w:tc>
          <w:tcPr>
            <w:tcW w:w="0" w:type="auto"/>
            <w:shd w:val="clear" w:color="auto" w:fill="auto"/>
            <w:vAlign w:val="center"/>
          </w:tcPr>
          <w:p w14:paraId="2FED785D">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水泵（150m³/h）</w:t>
            </w:r>
          </w:p>
        </w:tc>
        <w:tc>
          <w:tcPr>
            <w:tcW w:w="0" w:type="auto"/>
            <w:shd w:val="clear" w:color="auto" w:fill="auto"/>
            <w:vAlign w:val="center"/>
          </w:tcPr>
          <w:p w14:paraId="5FD03530">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19BB4EA0">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1000</w:t>
            </w:r>
          </w:p>
        </w:tc>
        <w:tc>
          <w:tcPr>
            <w:tcW w:w="0" w:type="auto"/>
          </w:tcPr>
          <w:p w14:paraId="5B509591">
            <w:pPr>
              <w:widowControl/>
              <w:jc w:val="center"/>
              <w:rPr>
                <w:rFonts w:hint="eastAsia" w:ascii="宋体" w:hAnsi="宋体" w:cs="宋体"/>
                <w:b w:val="0"/>
                <w:bCs w:val="0"/>
                <w:kern w:val="0"/>
                <w:sz w:val="24"/>
                <w:szCs w:val="24"/>
                <w:highlight w:val="none"/>
                <w:lang w:val="en-US" w:eastAsia="zh-CN"/>
              </w:rPr>
            </w:pPr>
          </w:p>
        </w:tc>
      </w:tr>
      <w:tr w14:paraId="137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2972A6CE">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28</w:t>
            </w:r>
          </w:p>
        </w:tc>
        <w:tc>
          <w:tcPr>
            <w:tcW w:w="0" w:type="auto"/>
            <w:shd w:val="clear" w:color="auto" w:fill="auto"/>
            <w:vAlign w:val="center"/>
          </w:tcPr>
          <w:p w14:paraId="39AA3E79">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排水方舱（1000m³/h）</w:t>
            </w:r>
          </w:p>
        </w:tc>
        <w:tc>
          <w:tcPr>
            <w:tcW w:w="0" w:type="auto"/>
            <w:shd w:val="clear" w:color="auto" w:fill="auto"/>
            <w:vAlign w:val="center"/>
          </w:tcPr>
          <w:p w14:paraId="3E436B29">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6355C69D">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2500</w:t>
            </w:r>
          </w:p>
        </w:tc>
        <w:tc>
          <w:tcPr>
            <w:tcW w:w="0" w:type="auto"/>
          </w:tcPr>
          <w:p w14:paraId="5FF89676">
            <w:pPr>
              <w:widowControl/>
              <w:jc w:val="center"/>
              <w:rPr>
                <w:rFonts w:hint="eastAsia" w:ascii="宋体" w:hAnsi="宋体" w:cs="宋体"/>
                <w:b w:val="0"/>
                <w:bCs w:val="0"/>
                <w:kern w:val="0"/>
                <w:sz w:val="24"/>
                <w:szCs w:val="24"/>
                <w:highlight w:val="none"/>
                <w:lang w:val="en-US" w:eastAsia="zh-CN"/>
              </w:rPr>
            </w:pPr>
          </w:p>
        </w:tc>
      </w:tr>
      <w:tr w14:paraId="6A12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41330460">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29</w:t>
            </w:r>
          </w:p>
        </w:tc>
        <w:tc>
          <w:tcPr>
            <w:tcW w:w="0" w:type="auto"/>
            <w:shd w:val="clear" w:color="auto" w:fill="auto"/>
            <w:vAlign w:val="center"/>
          </w:tcPr>
          <w:p w14:paraId="584D4C2F">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排水方舱（2000m³/h）</w:t>
            </w:r>
          </w:p>
        </w:tc>
        <w:tc>
          <w:tcPr>
            <w:tcW w:w="0" w:type="auto"/>
            <w:shd w:val="clear" w:color="auto" w:fill="auto"/>
            <w:vAlign w:val="center"/>
          </w:tcPr>
          <w:p w14:paraId="0BC93DE1">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57CD6DC7">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4000</w:t>
            </w:r>
          </w:p>
        </w:tc>
        <w:tc>
          <w:tcPr>
            <w:tcW w:w="0" w:type="auto"/>
          </w:tcPr>
          <w:p w14:paraId="479C0DD3">
            <w:pPr>
              <w:widowControl/>
              <w:jc w:val="center"/>
              <w:rPr>
                <w:rFonts w:hint="eastAsia" w:ascii="宋体" w:hAnsi="宋体" w:cs="宋体"/>
                <w:b w:val="0"/>
                <w:bCs w:val="0"/>
                <w:kern w:val="0"/>
                <w:sz w:val="24"/>
                <w:szCs w:val="24"/>
                <w:highlight w:val="none"/>
                <w:lang w:val="en-US" w:eastAsia="zh-CN"/>
              </w:rPr>
            </w:pPr>
          </w:p>
        </w:tc>
      </w:tr>
      <w:tr w14:paraId="4057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22EA5972">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c>
          <w:tcPr>
            <w:tcW w:w="0" w:type="auto"/>
            <w:shd w:val="clear" w:color="auto" w:fill="auto"/>
            <w:vAlign w:val="center"/>
          </w:tcPr>
          <w:p w14:paraId="13047B8C">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小型除雪设备</w:t>
            </w:r>
          </w:p>
        </w:tc>
        <w:tc>
          <w:tcPr>
            <w:tcW w:w="0" w:type="auto"/>
            <w:shd w:val="clear" w:color="auto" w:fill="auto"/>
            <w:vAlign w:val="center"/>
          </w:tcPr>
          <w:p w14:paraId="7A28EFE3">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6B70367B">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800</w:t>
            </w:r>
          </w:p>
        </w:tc>
        <w:tc>
          <w:tcPr>
            <w:tcW w:w="0" w:type="auto"/>
          </w:tcPr>
          <w:p w14:paraId="5D7CD0AF">
            <w:pPr>
              <w:widowControl/>
              <w:jc w:val="center"/>
              <w:rPr>
                <w:rFonts w:hint="eastAsia" w:ascii="宋体" w:hAnsi="宋体" w:cs="宋体"/>
                <w:b w:val="0"/>
                <w:bCs w:val="0"/>
                <w:kern w:val="0"/>
                <w:sz w:val="24"/>
                <w:szCs w:val="24"/>
                <w:highlight w:val="none"/>
                <w:lang w:val="en-US" w:eastAsia="zh-CN"/>
              </w:rPr>
            </w:pPr>
          </w:p>
        </w:tc>
      </w:tr>
      <w:tr w14:paraId="24FB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40959D1F">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31</w:t>
            </w:r>
          </w:p>
        </w:tc>
        <w:tc>
          <w:tcPr>
            <w:tcW w:w="0" w:type="auto"/>
            <w:shd w:val="clear" w:color="auto" w:fill="auto"/>
            <w:vAlign w:val="center"/>
          </w:tcPr>
          <w:p w14:paraId="00227D01">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大型除雪设备</w:t>
            </w:r>
          </w:p>
        </w:tc>
        <w:tc>
          <w:tcPr>
            <w:tcW w:w="0" w:type="auto"/>
            <w:shd w:val="clear" w:color="auto" w:fill="auto"/>
            <w:vAlign w:val="center"/>
          </w:tcPr>
          <w:p w14:paraId="1DB80A0B">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29B1621E">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b w:val="0"/>
                <w:bCs w:val="0"/>
                <w:kern w:val="0"/>
                <w:sz w:val="24"/>
                <w:szCs w:val="24"/>
                <w:highlight w:val="none"/>
                <w:lang w:val="en-US" w:eastAsia="zh-CN"/>
              </w:rPr>
              <w:t>3500</w:t>
            </w:r>
          </w:p>
        </w:tc>
        <w:tc>
          <w:tcPr>
            <w:tcW w:w="0" w:type="auto"/>
          </w:tcPr>
          <w:p w14:paraId="5553372F">
            <w:pPr>
              <w:widowControl/>
              <w:jc w:val="center"/>
              <w:rPr>
                <w:rFonts w:hint="eastAsia" w:ascii="宋体" w:hAnsi="宋体" w:cs="宋体"/>
                <w:b w:val="0"/>
                <w:bCs w:val="0"/>
                <w:kern w:val="0"/>
                <w:sz w:val="24"/>
                <w:szCs w:val="24"/>
                <w:highlight w:val="none"/>
                <w:lang w:val="en-US" w:eastAsia="zh-CN"/>
              </w:rPr>
            </w:pPr>
          </w:p>
        </w:tc>
      </w:tr>
      <w:tr w14:paraId="0217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14:paraId="457AE3BA">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32</w:t>
            </w:r>
          </w:p>
        </w:tc>
        <w:tc>
          <w:tcPr>
            <w:tcW w:w="0" w:type="auto"/>
            <w:shd w:val="clear" w:color="auto" w:fill="auto"/>
            <w:vAlign w:val="center"/>
          </w:tcPr>
          <w:p w14:paraId="0F4F05F0">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管道潜望镜</w:t>
            </w:r>
          </w:p>
        </w:tc>
        <w:tc>
          <w:tcPr>
            <w:tcW w:w="0" w:type="auto"/>
            <w:shd w:val="clear" w:color="auto" w:fill="auto"/>
            <w:vAlign w:val="center"/>
          </w:tcPr>
          <w:p w14:paraId="69C08EDA">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台班</w:t>
            </w:r>
          </w:p>
        </w:tc>
        <w:tc>
          <w:tcPr>
            <w:tcW w:w="1415" w:type="dxa"/>
            <w:shd w:val="clear" w:color="auto" w:fill="auto"/>
            <w:vAlign w:val="center"/>
          </w:tcPr>
          <w:p w14:paraId="162ACB19">
            <w:pPr>
              <w:widowControl/>
              <w:jc w:val="center"/>
              <w:rPr>
                <w:rFonts w:hint="default" w:ascii="宋体" w:hAnsi="宋体" w:cs="宋体"/>
                <w:kern w:val="0"/>
                <w:sz w:val="24"/>
                <w:szCs w:val="24"/>
                <w:highlight w:val="none"/>
                <w:lang w:val="en-US" w:eastAsia="zh-CN"/>
              </w:rPr>
            </w:pPr>
            <w:r>
              <w:rPr>
                <w:rFonts w:hint="eastAsia" w:ascii="宋体" w:hAnsi="宋体" w:cs="宋体"/>
                <w:b w:val="0"/>
                <w:bCs w:val="0"/>
                <w:kern w:val="0"/>
                <w:sz w:val="24"/>
                <w:szCs w:val="24"/>
                <w:highlight w:val="none"/>
                <w:lang w:val="en-US" w:eastAsia="zh-CN"/>
              </w:rPr>
              <w:t>600</w:t>
            </w:r>
          </w:p>
        </w:tc>
        <w:tc>
          <w:tcPr>
            <w:tcW w:w="0" w:type="auto"/>
          </w:tcPr>
          <w:p w14:paraId="6C0162F5">
            <w:pPr>
              <w:widowControl/>
              <w:jc w:val="center"/>
              <w:rPr>
                <w:rFonts w:hint="eastAsia" w:ascii="宋体" w:hAnsi="宋体" w:cs="宋体"/>
                <w:b w:val="0"/>
                <w:bCs w:val="0"/>
                <w:kern w:val="0"/>
                <w:sz w:val="24"/>
                <w:szCs w:val="24"/>
                <w:highlight w:val="none"/>
                <w:lang w:val="en-US" w:eastAsia="zh-CN"/>
              </w:rPr>
            </w:pPr>
          </w:p>
        </w:tc>
      </w:tr>
      <w:tr w14:paraId="43DF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Merge w:val="restart"/>
            <w:vAlign w:val="center"/>
          </w:tcPr>
          <w:p w14:paraId="52887E12">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33</w:t>
            </w:r>
          </w:p>
        </w:tc>
        <w:tc>
          <w:tcPr>
            <w:tcW w:w="3597" w:type="dxa"/>
            <w:vMerge w:val="restart"/>
            <w:shd w:val="clear" w:color="auto" w:fill="auto"/>
            <w:vAlign w:val="center"/>
          </w:tcPr>
          <w:p w14:paraId="6EC49B63">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探地雷达</w:t>
            </w:r>
          </w:p>
        </w:tc>
        <w:tc>
          <w:tcPr>
            <w:tcW w:w="1365" w:type="dxa"/>
            <w:vMerge w:val="restart"/>
            <w:shd w:val="clear" w:color="auto" w:fill="auto"/>
            <w:vAlign w:val="center"/>
          </w:tcPr>
          <w:p w14:paraId="26C3F869">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次</w:t>
            </w:r>
          </w:p>
        </w:tc>
        <w:tc>
          <w:tcPr>
            <w:tcW w:w="1415" w:type="dxa"/>
            <w:shd w:val="clear" w:color="auto" w:fill="auto"/>
            <w:vAlign w:val="center"/>
          </w:tcPr>
          <w:p w14:paraId="6595898D">
            <w:pPr>
              <w:widowControl/>
              <w:jc w:val="center"/>
              <w:rPr>
                <w:rFonts w:hint="default" w:ascii="宋体" w:hAnsi="宋体" w:cs="宋体"/>
                <w:kern w:val="0"/>
                <w:sz w:val="24"/>
                <w:szCs w:val="24"/>
                <w:highlight w:val="none"/>
                <w:lang w:val="en-US" w:eastAsia="zh-CN"/>
              </w:rPr>
            </w:pPr>
            <w:r>
              <w:rPr>
                <w:rFonts w:hint="eastAsia" w:ascii="宋体" w:hAnsi="宋体" w:cs="宋体"/>
                <w:b w:val="0"/>
                <w:bCs w:val="0"/>
                <w:kern w:val="0"/>
                <w:sz w:val="24"/>
                <w:szCs w:val="24"/>
                <w:highlight w:val="none"/>
                <w:lang w:val="en-US" w:eastAsia="zh-CN"/>
              </w:rPr>
              <w:t>2000</w:t>
            </w:r>
          </w:p>
        </w:tc>
        <w:tc>
          <w:tcPr>
            <w:tcW w:w="0" w:type="auto"/>
            <w:vAlign w:val="center"/>
          </w:tcPr>
          <w:p w14:paraId="0DDF1E25">
            <w:pPr>
              <w:widowControl/>
              <w:jc w:val="center"/>
              <w:rPr>
                <w:rFonts w:hint="eastAsia"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手推</w:t>
            </w:r>
          </w:p>
        </w:tc>
      </w:tr>
      <w:tr w14:paraId="2E15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Merge w:val="continue"/>
            <w:vAlign w:val="center"/>
          </w:tcPr>
          <w:p w14:paraId="453092A7">
            <w:pPr>
              <w:widowControl/>
              <w:jc w:val="center"/>
              <w:rPr>
                <w:rFonts w:hint="eastAsia" w:ascii="宋体" w:hAnsi="宋体" w:cs="宋体"/>
                <w:kern w:val="0"/>
                <w:sz w:val="24"/>
                <w:szCs w:val="24"/>
                <w:highlight w:val="none"/>
                <w:lang w:val="en-US" w:eastAsia="zh-CN"/>
              </w:rPr>
            </w:pPr>
          </w:p>
        </w:tc>
        <w:tc>
          <w:tcPr>
            <w:tcW w:w="3597" w:type="dxa"/>
            <w:vMerge w:val="continue"/>
            <w:shd w:val="clear" w:color="auto" w:fill="auto"/>
            <w:vAlign w:val="center"/>
          </w:tcPr>
          <w:p w14:paraId="1E9F049B">
            <w:pPr>
              <w:widowControl/>
              <w:jc w:val="center"/>
              <w:rPr>
                <w:rFonts w:hint="eastAsia" w:ascii="宋体" w:hAnsi="宋体" w:cs="宋体"/>
                <w:kern w:val="0"/>
                <w:sz w:val="24"/>
                <w:szCs w:val="24"/>
                <w:highlight w:val="none"/>
                <w:lang w:val="en-US" w:eastAsia="zh-CN"/>
              </w:rPr>
            </w:pPr>
          </w:p>
        </w:tc>
        <w:tc>
          <w:tcPr>
            <w:tcW w:w="1365" w:type="dxa"/>
            <w:vMerge w:val="continue"/>
            <w:shd w:val="clear" w:color="auto" w:fill="auto"/>
            <w:vAlign w:val="center"/>
          </w:tcPr>
          <w:p w14:paraId="58314057">
            <w:pPr>
              <w:widowControl/>
              <w:jc w:val="center"/>
              <w:rPr>
                <w:rFonts w:hint="eastAsia" w:ascii="宋体" w:hAnsi="宋体" w:cs="宋体"/>
                <w:kern w:val="0"/>
                <w:sz w:val="24"/>
                <w:szCs w:val="24"/>
                <w:highlight w:val="none"/>
                <w:lang w:val="en-US" w:eastAsia="zh-CN"/>
              </w:rPr>
            </w:pPr>
          </w:p>
        </w:tc>
        <w:tc>
          <w:tcPr>
            <w:tcW w:w="1415" w:type="dxa"/>
            <w:shd w:val="clear" w:color="auto" w:fill="auto"/>
            <w:vAlign w:val="center"/>
          </w:tcPr>
          <w:p w14:paraId="059918B9">
            <w:pPr>
              <w:widowControl/>
              <w:jc w:val="center"/>
              <w:rPr>
                <w:rFonts w:hint="default"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3000</w:t>
            </w:r>
          </w:p>
        </w:tc>
        <w:tc>
          <w:tcPr>
            <w:tcW w:w="0" w:type="auto"/>
            <w:vAlign w:val="center"/>
          </w:tcPr>
          <w:p w14:paraId="6AB15F31">
            <w:pPr>
              <w:widowControl/>
              <w:jc w:val="center"/>
              <w:rPr>
                <w:rFonts w:hint="eastAsia"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车载</w:t>
            </w:r>
          </w:p>
        </w:tc>
      </w:tr>
      <w:tr w14:paraId="3ACB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dxa"/>
            <w:vAlign w:val="center"/>
          </w:tcPr>
          <w:p w14:paraId="400DFCB3">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34</w:t>
            </w:r>
          </w:p>
        </w:tc>
        <w:tc>
          <w:tcPr>
            <w:tcW w:w="3597" w:type="dxa"/>
            <w:shd w:val="clear" w:color="auto" w:fill="auto"/>
            <w:vAlign w:val="center"/>
          </w:tcPr>
          <w:p w14:paraId="33DCF65F">
            <w:pPr>
              <w:widowControl/>
              <w:jc w:val="center"/>
              <w:rPr>
                <w:rFonts w:hint="default" w:ascii="宋体" w:hAnsi="宋体" w:cs="宋体"/>
                <w:kern w:val="0"/>
                <w:sz w:val="24"/>
                <w:szCs w:val="24"/>
                <w:highlight w:val="none"/>
                <w:lang w:val="en-US" w:eastAsia="zh-CN"/>
              </w:rPr>
            </w:pPr>
            <w:r>
              <w:rPr>
                <w:rFonts w:hint="eastAsia" w:ascii="宋体" w:hAnsi="宋体" w:eastAsia="宋体" w:cs="宋体"/>
                <w:kern w:val="0"/>
                <w:sz w:val="24"/>
                <w:szCs w:val="24"/>
                <w:highlight w:val="none"/>
              </w:rPr>
              <w:t>雨棚等及业主临时布置的其他设施修缮</w:t>
            </w:r>
          </w:p>
        </w:tc>
        <w:tc>
          <w:tcPr>
            <w:tcW w:w="1365" w:type="dxa"/>
            <w:shd w:val="clear" w:color="auto" w:fill="auto"/>
            <w:vAlign w:val="center"/>
          </w:tcPr>
          <w:p w14:paraId="5BDE7A5D">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w:t>
            </w:r>
          </w:p>
        </w:tc>
        <w:tc>
          <w:tcPr>
            <w:tcW w:w="1415" w:type="dxa"/>
            <w:shd w:val="clear" w:color="auto" w:fill="auto"/>
            <w:vAlign w:val="center"/>
          </w:tcPr>
          <w:p w14:paraId="75FD2F98">
            <w:pPr>
              <w:widowControl/>
              <w:jc w:val="center"/>
              <w:rPr>
                <w:rFonts w:hint="default"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300</w:t>
            </w:r>
          </w:p>
        </w:tc>
        <w:tc>
          <w:tcPr>
            <w:tcW w:w="0" w:type="auto"/>
            <w:vAlign w:val="center"/>
          </w:tcPr>
          <w:p w14:paraId="279D1579">
            <w:pPr>
              <w:widowControl/>
              <w:jc w:val="center"/>
              <w:rPr>
                <w:rFonts w:hint="eastAsia" w:ascii="宋体" w:hAnsi="宋体" w:cs="宋体"/>
                <w:b w:val="0"/>
                <w:bCs w:val="0"/>
                <w:kern w:val="0"/>
                <w:sz w:val="24"/>
                <w:szCs w:val="24"/>
                <w:highlight w:val="none"/>
                <w:lang w:val="en-US" w:eastAsia="zh-CN"/>
              </w:rPr>
            </w:pPr>
          </w:p>
        </w:tc>
      </w:tr>
      <w:tr w14:paraId="2C5A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720" w:type="dxa"/>
            <w:gridSpan w:val="5"/>
            <w:vAlign w:val="center"/>
          </w:tcPr>
          <w:p w14:paraId="1BDAEEEB">
            <w:pPr>
              <w:widowControl/>
              <w:spacing w:line="360" w:lineRule="auto"/>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注：</w:t>
            </w:r>
          </w:p>
          <w:p w14:paraId="31AABB4F">
            <w:pPr>
              <w:widowControl/>
              <w:spacing w:line="360" w:lineRule="auto"/>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1.以上单价为含税价。</w:t>
            </w:r>
          </w:p>
          <w:p w14:paraId="21E67188">
            <w:pPr>
              <w:widowControl/>
              <w:spacing w:line="360" w:lineRule="auto"/>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2.本项目采用单价报价，费用已包含</w:t>
            </w:r>
            <w:r>
              <w:rPr>
                <w:rFonts w:hint="eastAsia" w:ascii="宋体" w:hAnsi="宋体" w:eastAsia="宋体" w:cs="宋体"/>
                <w:b/>
                <w:bCs/>
                <w:kern w:val="0"/>
                <w:sz w:val="24"/>
                <w:szCs w:val="24"/>
                <w:highlight w:val="none"/>
              </w:rPr>
              <w:t>人员服务费、材料购置费、设备购置使用折旧费、隐蔽工程费、保险、税金等完成本项目涉及的全部费用，并承担一切风险责任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每项报价</w:t>
            </w:r>
            <w:r>
              <w:rPr>
                <w:rFonts w:hint="eastAsia" w:ascii="宋体" w:hAnsi="宋体" w:cs="宋体"/>
                <w:b/>
                <w:bCs/>
                <w:kern w:val="0"/>
                <w:sz w:val="24"/>
                <w:szCs w:val="24"/>
                <w:highlight w:val="none"/>
                <w:lang w:val="en-US" w:eastAsia="zh-CN"/>
              </w:rPr>
              <w:t>不得高于每个子项的最高单价，投标人将各个子项单价相加，以合计单价报价。</w:t>
            </w:r>
          </w:p>
          <w:p w14:paraId="5F211FD2">
            <w:pPr>
              <w:widowControl/>
              <w:spacing w:line="360" w:lineRule="auto"/>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3.结算方式：最终根据各项服务项目（内容）、工作量及其所对应的中标单价进行结算。</w:t>
            </w:r>
          </w:p>
          <w:p w14:paraId="2B6293E2">
            <w:pPr>
              <w:widowControl/>
              <w:spacing w:line="360" w:lineRule="auto"/>
              <w:jc w:val="left"/>
              <w:rPr>
                <w:rFonts w:hint="eastAsia" w:ascii="宋体" w:hAnsi="宋体" w:cs="宋体"/>
                <w:b w:val="0"/>
                <w:bCs w:val="0"/>
                <w:kern w:val="0"/>
                <w:sz w:val="24"/>
                <w:szCs w:val="24"/>
                <w:highlight w:val="none"/>
                <w:lang w:val="en-US" w:eastAsia="zh-CN"/>
              </w:rPr>
            </w:pPr>
            <w:r>
              <w:rPr>
                <w:rFonts w:hint="eastAsia" w:ascii="宋体" w:hAnsi="宋体" w:cs="宋体"/>
                <w:b/>
                <w:bCs/>
                <w:kern w:val="0"/>
                <w:sz w:val="24"/>
                <w:szCs w:val="24"/>
                <w:highlight w:val="none"/>
                <w:lang w:val="en-US" w:eastAsia="zh-CN"/>
              </w:rPr>
              <w:t>4.如实际操作过程中有用到的材料、设备等不在投标单价报价明细表中，结算时按市场价审计为准。</w:t>
            </w:r>
          </w:p>
        </w:tc>
      </w:tr>
    </w:tbl>
    <w:p w14:paraId="0202BDA3">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1.13</w:t>
      </w:r>
      <w:r>
        <w:rPr>
          <w:rFonts w:hint="eastAsia" w:ascii="宋体" w:hAnsi="宋体" w:eastAsia="宋体" w:cs="宋体"/>
          <w:b w:val="0"/>
          <w:bCs/>
          <w:color w:val="auto"/>
          <w:sz w:val="24"/>
          <w:highlight w:val="none"/>
        </w:rPr>
        <w:t>服务质量验收及考核办法</w:t>
      </w:r>
    </w:p>
    <w:p w14:paraId="3E31BA8E">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 w:val="0"/>
          <w:bCs/>
          <w:color w:val="auto"/>
          <w:sz w:val="24"/>
          <w:highlight w:val="none"/>
          <w:lang w:val="en-US" w:eastAsia="zh-CN"/>
        </w:rPr>
        <w:t>1.13.1</w:t>
      </w:r>
      <w:r>
        <w:rPr>
          <w:rFonts w:hint="eastAsia" w:ascii="宋体" w:hAnsi="宋体" w:eastAsia="宋体" w:cs="宋体"/>
          <w:bCs/>
          <w:color w:val="auto"/>
          <w:sz w:val="24"/>
          <w:highlight w:val="none"/>
        </w:rPr>
        <w:t>符合现行国家有关工程施工验收规范和标准的合格要求。</w:t>
      </w:r>
    </w:p>
    <w:p w14:paraId="7379DC84">
      <w:pPr>
        <w:spacing w:line="360" w:lineRule="auto"/>
        <w:ind w:firstLine="480" w:firstLineChars="200"/>
        <w:rPr>
          <w:rFonts w:hint="eastAsia" w:ascii="宋体" w:hAnsi="宋体" w:eastAsia="宋体" w:cs="宋体"/>
          <w:b/>
          <w:bCs w:val="0"/>
          <w:color w:val="auto"/>
          <w:kern w:val="2"/>
          <w:sz w:val="24"/>
          <w:szCs w:val="24"/>
          <w:highlight w:val="none"/>
          <w:lang w:val="en-US" w:eastAsia="zh-CN" w:bidi="ar"/>
        </w:rPr>
      </w:pPr>
      <w:r>
        <w:rPr>
          <w:rFonts w:hint="eastAsia" w:ascii="宋体" w:hAnsi="宋体" w:cs="宋体"/>
          <w:b w:val="0"/>
          <w:bCs/>
          <w:color w:val="auto"/>
          <w:sz w:val="24"/>
          <w:highlight w:val="none"/>
          <w:lang w:val="en-US" w:eastAsia="zh-CN"/>
        </w:rPr>
        <w:t>1.13.2</w:t>
      </w:r>
      <w:r>
        <w:rPr>
          <w:rFonts w:hint="eastAsia" w:ascii="宋体" w:hAnsi="宋体" w:eastAsia="宋体" w:cs="宋体"/>
          <w:bCs/>
          <w:color w:val="auto"/>
          <w:sz w:val="24"/>
          <w:highlight w:val="none"/>
        </w:rPr>
        <w:t>符合杭州市及西湖区有关长效管理规范要求。</w:t>
      </w:r>
    </w:p>
    <w:p w14:paraId="6422CAED">
      <w:pPr>
        <w:spacing w:line="360" w:lineRule="auto"/>
        <w:rPr>
          <w:rFonts w:hint="eastAsia" w:ascii="宋体" w:hAnsi="宋体" w:cs="宋体"/>
          <w:b/>
          <w:color w:val="auto"/>
          <w:sz w:val="24"/>
          <w:highlight w:val="none"/>
        </w:rPr>
      </w:pPr>
      <w:r>
        <w:rPr>
          <w:rFonts w:hint="eastAsia" w:asciiTheme="majorEastAsia" w:hAnsiTheme="majorEastAsia" w:eastAsiaTheme="majorEastAsia" w:cstheme="majorEastAsia"/>
          <w:b/>
          <w:color w:val="auto"/>
          <w:sz w:val="24"/>
          <w:highlight w:val="none"/>
          <w:lang w:val="en-US" w:eastAsia="zh-CN"/>
        </w:rPr>
        <w:t>二、</w:t>
      </w:r>
      <w:r>
        <w:rPr>
          <w:rFonts w:hint="eastAsia" w:ascii="宋体" w:hAnsi="宋体" w:cs="宋体"/>
          <w:b/>
          <w:bCs/>
          <w:color w:val="auto"/>
          <w:sz w:val="24"/>
          <w:highlight w:val="none"/>
        </w:rPr>
        <w:t>其他要求</w:t>
      </w:r>
    </w:p>
    <w:p w14:paraId="63FA4E52">
      <w:pPr>
        <w:spacing w:line="360" w:lineRule="auto"/>
        <w:ind w:firstLine="42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单位必须加强安全管理工作，定期进行安全培训。发生各类事故后中标单位应及时向采购人报告，并自行负责处理。如事故因中标单位责任导致发生的，除自行承担相关经济责任外，采购人保留对中标单位的经济追偿权。</w:t>
      </w:r>
    </w:p>
    <w:p w14:paraId="72543347">
      <w:pPr>
        <w:spacing w:line="360" w:lineRule="auto"/>
        <w:ind w:firstLine="42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遇市民来信来访及投诉（含数字城管）等，中标单位应协助采购人调查、解决，并根据甲方要求及时处理。</w:t>
      </w:r>
    </w:p>
    <w:p w14:paraId="7A9571AD">
      <w:pPr>
        <w:spacing w:line="360" w:lineRule="auto"/>
        <w:ind w:firstLine="42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制定灾害性天气应急预案，建立应急救灾队伍，将应急预案和人员名单上报至采购人备案。</w:t>
      </w:r>
    </w:p>
    <w:p w14:paraId="2E20C8D4">
      <w:pPr>
        <w:spacing w:line="360" w:lineRule="auto"/>
        <w:ind w:firstLine="42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建立应急备货制，根据实际，备货内容包括防汛防台、抗雪防冻等所需物资及设备。</w:t>
      </w:r>
    </w:p>
    <w:p w14:paraId="216F4A6D">
      <w:pPr>
        <w:spacing w:line="360" w:lineRule="auto"/>
        <w:ind w:firstLine="42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遇到防汛防台、防雪抗冻、重大活动保障、突发事件或自然灾害，必须服从甲方指挥与安排（配备应急人员和相关设备），并及时将有关情况上报至甲方。</w:t>
      </w:r>
    </w:p>
    <w:p w14:paraId="2BB0C359">
      <w:pPr>
        <w:spacing w:line="360" w:lineRule="auto"/>
        <w:ind w:firstLine="42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w:t>
      </w:r>
      <w:r>
        <w:rPr>
          <w:rFonts w:hint="eastAsia" w:ascii="宋体" w:hAnsi="宋体"/>
          <w:color w:val="auto"/>
          <w:sz w:val="24"/>
          <w:highlight w:val="none"/>
        </w:rPr>
        <w:t>遇灾害性天气，听从甲方统一指挥，及时组织人员应对突发性情况，并完成甲方交办的突击性任务。</w:t>
      </w:r>
    </w:p>
    <w:p w14:paraId="4ED20AC1">
      <w:pPr>
        <w:spacing w:line="360" w:lineRule="auto"/>
        <w:ind w:firstLine="480" w:firstLineChars="200"/>
        <w:jc w:val="left"/>
        <w:outlineLvl w:val="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rPr>
        <w:t>中标人必须为全体作业员工购买社会和人身意外保险、公众责任保险费等其他保险，必须重视安全生产工作，确保全年不出安全生产责任事故。如发生安全生产责任事故或公众安全事故（含交通事故），一切责任及损失由中标人承担；</w:t>
      </w:r>
    </w:p>
    <w:p w14:paraId="34130DD7">
      <w:pPr>
        <w:spacing w:line="360" w:lineRule="auto"/>
        <w:ind w:firstLine="480" w:firstLineChars="200"/>
        <w:jc w:val="left"/>
        <w:outlineLvl w:val="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8.</w:t>
      </w:r>
      <w:r>
        <w:rPr>
          <w:rFonts w:hint="eastAsia" w:ascii="宋体" w:hAnsi="宋体" w:cs="宋体"/>
          <w:b w:val="0"/>
          <w:bCs/>
          <w:color w:val="auto"/>
          <w:sz w:val="24"/>
          <w:highlight w:val="none"/>
        </w:rPr>
        <w:t>必须执行《中华人民共和国民法典》有关员工保障的其他规定。</w:t>
      </w:r>
    </w:p>
    <w:p w14:paraId="735C855A">
      <w:pPr>
        <w:spacing w:line="360" w:lineRule="auto"/>
        <w:ind w:firstLine="480" w:firstLineChars="200"/>
        <w:jc w:val="left"/>
        <w:outlineLvl w:val="0"/>
        <w:rPr>
          <w:rFonts w:hint="eastAsia" w:ascii="宋体" w:hAnsi="宋体" w:cs="宋体"/>
          <w:b w:val="0"/>
          <w:bCs/>
          <w:color w:val="auto"/>
          <w:sz w:val="24"/>
          <w:highlight w:val="none"/>
        </w:rPr>
      </w:pP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供应商须制定完整、可行、详细的组织实施方案，明确组织机构、人员配备、质量标准、检查考核办法、安全措施、奖惩措施、应急预案等。</w:t>
      </w:r>
    </w:p>
    <w:p w14:paraId="5590D943">
      <w:pPr>
        <w:snapToGrid w:val="0"/>
        <w:spacing w:line="360" w:lineRule="auto"/>
        <w:outlineLvl w:val="1"/>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、付款方式</w:t>
      </w:r>
    </w:p>
    <w:p w14:paraId="1AB0C45B">
      <w:pPr>
        <w:spacing w:line="360" w:lineRule="auto"/>
        <w:ind w:firstLine="480" w:firstLineChars="200"/>
        <w:rPr>
          <w:rFonts w:hint="eastAsia" w:ascii="宋体" w:hAnsi="宋体" w:eastAsia="宋体" w:cs="宋体"/>
          <w:color w:val="auto"/>
          <w:sz w:val="24"/>
          <w:szCs w:val="24"/>
          <w:highlight w:val="none"/>
        </w:rPr>
      </w:pPr>
      <w:bookmarkStart w:id="16" w:name="_Hlk162950903"/>
      <w:r>
        <w:rPr>
          <w:rFonts w:hint="eastAsia" w:ascii="宋体" w:hAnsi="宋体" w:eastAsia="宋体" w:cs="宋体"/>
          <w:color w:val="auto"/>
          <w:kern w:val="0"/>
          <w:sz w:val="24"/>
          <w:szCs w:val="24"/>
          <w:highlight w:val="none"/>
          <w:lang w:val="zh-CN"/>
        </w:rPr>
        <w:t>1.合同签订生效并具备实施条件</w:t>
      </w:r>
      <w:r>
        <w:rPr>
          <w:rFonts w:hint="eastAsia" w:ascii="宋体" w:hAnsi="宋体" w:eastAsia="宋体" w:cs="宋体"/>
          <w:color w:val="auto"/>
          <w:sz w:val="24"/>
          <w:szCs w:val="24"/>
          <w:highlight w:val="none"/>
        </w:rPr>
        <w:t>人员设备到场并开展工作后</w:t>
      </w:r>
      <w:r>
        <w:rPr>
          <w:rFonts w:hint="eastAsia" w:ascii="宋体" w:hAnsi="宋体" w:eastAsia="宋体" w:cs="宋体"/>
          <w:color w:val="auto"/>
          <w:kern w:val="0"/>
          <w:sz w:val="24"/>
          <w:szCs w:val="24"/>
          <w:highlight w:val="none"/>
        </w:rPr>
        <w:t>5个工作日</w:t>
      </w:r>
      <w:r>
        <w:rPr>
          <w:rFonts w:hint="eastAsia" w:ascii="宋体" w:hAnsi="宋体" w:eastAsia="宋体" w:cs="宋体"/>
          <w:color w:val="auto"/>
          <w:kern w:val="0"/>
          <w:sz w:val="24"/>
          <w:szCs w:val="24"/>
          <w:highlight w:val="none"/>
          <w:lang w:val="zh-CN"/>
        </w:rPr>
        <w:t>内，采购人向中标人支付</w:t>
      </w:r>
      <w:r>
        <w:rPr>
          <w:rFonts w:hint="eastAsia" w:ascii="宋体" w:hAnsi="宋体" w:eastAsia="宋体" w:cs="宋体"/>
          <w:color w:val="auto"/>
          <w:kern w:val="0"/>
          <w:sz w:val="24"/>
          <w:szCs w:val="24"/>
          <w:highlight w:val="none"/>
          <w:lang w:val="en-US" w:eastAsia="zh-CN"/>
        </w:rPr>
        <w:t>当年</w:t>
      </w:r>
      <w:r>
        <w:rPr>
          <w:rFonts w:hint="eastAsia" w:ascii="宋体" w:hAnsi="宋体" w:eastAsia="宋体" w:cs="宋体"/>
          <w:color w:val="auto"/>
          <w:kern w:val="0"/>
          <w:sz w:val="24"/>
          <w:szCs w:val="24"/>
          <w:highlight w:val="none"/>
          <w:lang w:val="zh-CN"/>
        </w:rPr>
        <w:t>合同总价款4</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%的预付款</w:t>
      </w:r>
      <w:r>
        <w:rPr>
          <w:rFonts w:hint="eastAsia" w:ascii="宋体" w:hAnsi="宋体" w:eastAsia="宋体" w:cs="宋体"/>
          <w:color w:val="auto"/>
          <w:sz w:val="24"/>
          <w:szCs w:val="24"/>
          <w:highlight w:val="none"/>
        </w:rPr>
        <w:t>；</w:t>
      </w:r>
    </w:p>
    <w:p w14:paraId="3319C638">
      <w:pPr>
        <w:autoSpaceDE w:val="0"/>
        <w:autoSpaceDN w:val="0"/>
        <w:adjustRightInd w:val="0"/>
        <w:spacing w:line="360" w:lineRule="auto"/>
        <w:ind w:firstLine="482" w:firstLineChars="20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备注：签订合同时，中标人明确表示无需预付款或者主动要求降低预付款比例的，采购人可不适用前述规定。</w:t>
      </w:r>
    </w:p>
    <w:p w14:paraId="4A089378">
      <w:pPr>
        <w:numPr>
          <w:ilvl w:val="0"/>
          <w:numId w:val="0"/>
        </w:num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进度款</w:t>
      </w:r>
      <w:r>
        <w:rPr>
          <w:rFonts w:hint="eastAsia" w:ascii="宋体" w:hAnsi="宋体" w:eastAsia="宋体" w:cs="宋体"/>
          <w:color w:val="auto"/>
          <w:sz w:val="24"/>
          <w:szCs w:val="24"/>
          <w:highlight w:val="none"/>
          <w:lang w:val="en-US" w:eastAsia="zh-CN"/>
        </w:rPr>
        <w:t>按季支付，支付当季的结算价的80%</w:t>
      </w:r>
      <w:r>
        <w:rPr>
          <w:rFonts w:hint="eastAsia" w:ascii="宋体" w:hAnsi="宋体" w:eastAsia="宋体" w:cs="宋体"/>
          <w:color w:val="auto"/>
          <w:sz w:val="24"/>
          <w:szCs w:val="24"/>
          <w:highlight w:val="none"/>
        </w:rPr>
        <w:t>；</w:t>
      </w:r>
    </w:p>
    <w:p w14:paraId="04A05FCC">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采购人付款前，中标人须提供正规合法的等额发票，否则采购人有权拒绝付款，且不因此承担任何违约责任。</w:t>
      </w:r>
    </w:p>
    <w:bookmarkEnd w:id="16"/>
    <w:p w14:paraId="1947B9CC">
      <w:pPr>
        <w:snapToGrid w:val="0"/>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、特别提示</w:t>
      </w:r>
    </w:p>
    <w:p w14:paraId="4862203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如采购文件中遗漏了必须具备的内容或服务，请供应商在投标文件中补充，并提出解决方案供采购人参考；中标供应商有义务保证采购人采购项目的完整性。付款方式以最终签订的合同为准。</w:t>
      </w:r>
    </w:p>
    <w:p w14:paraId="4A330D2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逾期结算及义务：如果中标供应商和上一年度</w:t>
      </w:r>
      <w:r>
        <w:rPr>
          <w:rFonts w:hint="eastAsia" w:ascii="宋体" w:hAnsi="宋体" w:cs="宋体"/>
          <w:b/>
          <w:bCs/>
          <w:color w:val="auto"/>
          <w:kern w:val="0"/>
          <w:sz w:val="24"/>
          <w:szCs w:val="24"/>
          <w:highlight w:val="none"/>
          <w:lang w:val="en-US" w:eastAsia="zh-CN"/>
        </w:rPr>
        <w:t>养护单位</w:t>
      </w:r>
      <w:r>
        <w:rPr>
          <w:rFonts w:hint="eastAsia" w:ascii="宋体" w:hAnsi="宋体" w:eastAsia="宋体" w:cs="宋体"/>
          <w:b/>
          <w:bCs/>
          <w:color w:val="auto"/>
          <w:kern w:val="0"/>
          <w:sz w:val="24"/>
          <w:szCs w:val="24"/>
          <w:highlight w:val="none"/>
        </w:rPr>
        <w:t>不是同一中标人，并且本合同签订日由于某些客观原因在上一年度</w:t>
      </w:r>
      <w:r>
        <w:rPr>
          <w:rFonts w:hint="eastAsia" w:ascii="宋体" w:hAnsi="宋体" w:cs="宋体"/>
          <w:b/>
          <w:bCs/>
          <w:color w:val="auto"/>
          <w:kern w:val="0"/>
          <w:sz w:val="24"/>
          <w:szCs w:val="24"/>
          <w:highlight w:val="none"/>
          <w:lang w:val="en-US" w:eastAsia="zh-CN"/>
        </w:rPr>
        <w:t>养护</w:t>
      </w:r>
      <w:r>
        <w:rPr>
          <w:rFonts w:hint="eastAsia" w:ascii="宋体" w:hAnsi="宋体" w:eastAsia="宋体" w:cs="宋体"/>
          <w:b/>
          <w:bCs/>
          <w:color w:val="auto"/>
          <w:kern w:val="0"/>
          <w:sz w:val="24"/>
          <w:szCs w:val="24"/>
          <w:highlight w:val="none"/>
        </w:rPr>
        <w:t>期之后的，</w:t>
      </w:r>
      <w:r>
        <w:rPr>
          <w:rFonts w:hint="eastAsia" w:ascii="宋体" w:hAnsi="宋体" w:eastAsia="宋体" w:cs="宋体"/>
          <w:b/>
          <w:bCs/>
          <w:color w:val="auto"/>
          <w:kern w:val="0"/>
          <w:sz w:val="24"/>
          <w:szCs w:val="24"/>
          <w:highlight w:val="none"/>
          <w:lang w:val="en-US" w:eastAsia="zh-CN"/>
        </w:rPr>
        <w:t>前单位</w:t>
      </w:r>
      <w:r>
        <w:rPr>
          <w:rFonts w:hint="eastAsia" w:ascii="宋体" w:hAnsi="宋体" w:eastAsia="宋体" w:cs="宋体"/>
          <w:b/>
          <w:bCs/>
          <w:color w:val="auto"/>
          <w:kern w:val="0"/>
          <w:sz w:val="24"/>
          <w:szCs w:val="24"/>
          <w:highlight w:val="none"/>
        </w:rPr>
        <w:t>按照新的中标单位的单价乘以</w:t>
      </w:r>
      <w:r>
        <w:rPr>
          <w:rFonts w:hint="eastAsia" w:ascii="宋体" w:hAnsi="宋体" w:eastAsia="宋体" w:cs="宋体"/>
          <w:b/>
          <w:bCs/>
          <w:color w:val="auto"/>
          <w:kern w:val="0"/>
          <w:sz w:val="24"/>
          <w:szCs w:val="24"/>
          <w:highlight w:val="none"/>
          <w:lang w:val="en-US" w:eastAsia="zh-CN"/>
        </w:rPr>
        <w:t>验收工程量</w:t>
      </w:r>
      <w:r>
        <w:rPr>
          <w:rFonts w:hint="eastAsia" w:ascii="宋体" w:hAnsi="宋体" w:eastAsia="宋体" w:cs="宋体"/>
          <w:b/>
          <w:bCs/>
          <w:color w:val="auto"/>
          <w:kern w:val="0"/>
          <w:sz w:val="24"/>
          <w:szCs w:val="24"/>
          <w:highlight w:val="none"/>
        </w:rPr>
        <w:t>来折算给前单位费用。如果本合同</w:t>
      </w:r>
      <w:r>
        <w:rPr>
          <w:rFonts w:hint="eastAsia" w:ascii="宋体" w:hAnsi="宋体" w:cs="宋体"/>
          <w:b/>
          <w:bCs/>
          <w:color w:val="auto"/>
          <w:kern w:val="0"/>
          <w:sz w:val="24"/>
          <w:szCs w:val="24"/>
          <w:highlight w:val="none"/>
          <w:lang w:val="en-US" w:eastAsia="zh-CN"/>
        </w:rPr>
        <w:t>养护</w:t>
      </w:r>
      <w:r>
        <w:rPr>
          <w:rFonts w:hint="eastAsia" w:ascii="宋体" w:hAnsi="宋体" w:eastAsia="宋体" w:cs="宋体"/>
          <w:b/>
          <w:bCs/>
          <w:color w:val="auto"/>
          <w:kern w:val="0"/>
          <w:sz w:val="24"/>
          <w:szCs w:val="24"/>
          <w:highlight w:val="none"/>
        </w:rPr>
        <w:t>到期后，还未签订新的</w:t>
      </w:r>
      <w:r>
        <w:rPr>
          <w:rFonts w:hint="eastAsia" w:ascii="宋体" w:hAnsi="宋体" w:cs="宋体"/>
          <w:b/>
          <w:bCs/>
          <w:color w:val="auto"/>
          <w:kern w:val="0"/>
          <w:sz w:val="24"/>
          <w:szCs w:val="24"/>
          <w:highlight w:val="none"/>
          <w:lang w:val="en-US" w:eastAsia="zh-CN"/>
        </w:rPr>
        <w:t>养护</w:t>
      </w:r>
      <w:r>
        <w:rPr>
          <w:rFonts w:hint="eastAsia" w:ascii="宋体" w:hAnsi="宋体" w:eastAsia="宋体" w:cs="宋体"/>
          <w:b/>
          <w:bCs/>
          <w:color w:val="auto"/>
          <w:kern w:val="0"/>
          <w:sz w:val="24"/>
          <w:szCs w:val="24"/>
          <w:highlight w:val="none"/>
        </w:rPr>
        <w:t>合同，中标供应商将无条件按照本合同继续履行工作，直到下一年度中标商和中标供应商进行逾期结算。</w:t>
      </w:r>
    </w:p>
    <w:p w14:paraId="71A57C6A">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投标人的报价应包括为完成本项目各项服务可能发生的全部费用及投标人的管理费、利润和应交纳的税金等【包括但不限于：包括人工费、材料费、机械费、措施费、安全文明施工费、各种社会保险费、工具、办公费、运输、装卸、安装、调试、保险、成品保管、检验、增值税和其他所有税费、经当地质检部门验收（如有）合格后并交付用户使用前的一切费用）。投标人对合同内容的费用、质量、安全、文明服务等实行全面承包。投标人的报价应包括为完成所有规定服务内容所产生的全部费用。】</w:t>
      </w:r>
      <w:r>
        <w:rPr>
          <w:rFonts w:hint="eastAsia" w:ascii="宋体" w:hAnsi="宋体" w:eastAsia="宋体" w:cs="宋体"/>
          <w:color w:val="auto"/>
          <w:kern w:val="0"/>
          <w:sz w:val="24"/>
          <w:szCs w:val="24"/>
          <w:highlight w:val="none"/>
        </w:rPr>
        <w:t>请投标人将有关本项目所需的所有费用在报价中充分考虑，合理、理性、谨慎地报价，中标后采购人不再另行支付，投标人亦不得以任何理由要求增加费用。</w:t>
      </w:r>
    </w:p>
    <w:p w14:paraId="6E4DE4AF">
      <w:pPr>
        <w:spacing w:line="360" w:lineRule="auto"/>
        <w:jc w:val="center"/>
        <w:outlineLvl w:val="0"/>
        <w:rPr>
          <w:rFonts w:hint="eastAsia" w:ascii="宋体" w:hAnsi="宋体" w:cs="宋体"/>
          <w:b/>
          <w:color w:val="auto"/>
          <w:sz w:val="36"/>
          <w:szCs w:val="36"/>
          <w:highlight w:val="none"/>
        </w:rPr>
      </w:pPr>
    </w:p>
    <w:p w14:paraId="4B06FACD">
      <w:pPr>
        <w:spacing w:line="360" w:lineRule="auto"/>
        <w:jc w:val="center"/>
        <w:outlineLvl w:val="0"/>
        <w:rPr>
          <w:rFonts w:hint="eastAsia" w:ascii="宋体" w:hAnsi="宋体" w:cs="宋体"/>
          <w:b/>
          <w:color w:val="auto"/>
          <w:sz w:val="36"/>
          <w:szCs w:val="36"/>
          <w:highlight w:val="none"/>
        </w:rPr>
      </w:pPr>
    </w:p>
    <w:p w14:paraId="1F9356B8">
      <w:pPr>
        <w:spacing w:line="360" w:lineRule="auto"/>
        <w:jc w:val="center"/>
        <w:outlineLvl w:val="0"/>
        <w:rPr>
          <w:rFonts w:hint="eastAsia" w:ascii="宋体" w:hAnsi="宋体" w:cs="宋体"/>
          <w:b/>
          <w:color w:val="auto"/>
          <w:sz w:val="36"/>
          <w:szCs w:val="36"/>
          <w:highlight w:val="none"/>
        </w:rPr>
      </w:pPr>
    </w:p>
    <w:p w14:paraId="38C5CEDD">
      <w:pPr>
        <w:spacing w:line="360" w:lineRule="auto"/>
        <w:jc w:val="center"/>
        <w:outlineLvl w:val="0"/>
        <w:rPr>
          <w:rFonts w:hint="eastAsia" w:ascii="宋体" w:hAnsi="宋体" w:cs="宋体"/>
          <w:b/>
          <w:color w:val="auto"/>
          <w:sz w:val="36"/>
          <w:szCs w:val="36"/>
          <w:highlight w:val="none"/>
        </w:rPr>
      </w:pPr>
    </w:p>
    <w:p w14:paraId="204325A6">
      <w:pPr>
        <w:spacing w:line="360" w:lineRule="auto"/>
        <w:jc w:val="center"/>
        <w:outlineLvl w:val="0"/>
        <w:rPr>
          <w:rFonts w:hint="eastAsia" w:ascii="宋体" w:hAnsi="宋体" w:cs="宋体"/>
          <w:b/>
          <w:color w:val="auto"/>
          <w:sz w:val="36"/>
          <w:szCs w:val="36"/>
          <w:highlight w:val="none"/>
        </w:rPr>
      </w:pPr>
    </w:p>
    <w:p w14:paraId="7D36DAE9">
      <w:pPr>
        <w:spacing w:line="360" w:lineRule="auto"/>
        <w:jc w:val="center"/>
        <w:outlineLvl w:val="0"/>
        <w:rPr>
          <w:rFonts w:hint="eastAsia" w:ascii="宋体" w:hAnsi="宋体" w:cs="宋体"/>
          <w:b/>
          <w:color w:val="auto"/>
          <w:sz w:val="36"/>
          <w:szCs w:val="36"/>
          <w:highlight w:val="none"/>
        </w:rPr>
      </w:pPr>
    </w:p>
    <w:p w14:paraId="5B1DA0CC">
      <w:pPr>
        <w:spacing w:line="360" w:lineRule="auto"/>
        <w:jc w:val="center"/>
        <w:outlineLvl w:val="0"/>
        <w:rPr>
          <w:rFonts w:hint="eastAsia" w:ascii="宋体" w:hAnsi="宋体" w:cs="宋体"/>
          <w:b/>
          <w:color w:val="auto"/>
          <w:sz w:val="36"/>
          <w:szCs w:val="36"/>
          <w:highlight w:val="none"/>
        </w:rPr>
      </w:pPr>
    </w:p>
    <w:p w14:paraId="34E4F9FF">
      <w:pPr>
        <w:spacing w:line="360" w:lineRule="auto"/>
        <w:jc w:val="center"/>
        <w:outlineLvl w:val="0"/>
        <w:rPr>
          <w:rFonts w:hint="eastAsia" w:ascii="宋体" w:hAnsi="宋体" w:cs="宋体"/>
          <w:b/>
          <w:color w:val="auto"/>
          <w:sz w:val="36"/>
          <w:szCs w:val="36"/>
          <w:highlight w:val="none"/>
        </w:rPr>
      </w:pPr>
    </w:p>
    <w:p w14:paraId="70B7C841">
      <w:pPr>
        <w:spacing w:line="360" w:lineRule="auto"/>
        <w:jc w:val="center"/>
        <w:outlineLvl w:val="0"/>
        <w:rPr>
          <w:rFonts w:hint="eastAsia" w:ascii="宋体" w:hAnsi="宋体" w:cs="宋体"/>
          <w:b/>
          <w:color w:val="auto"/>
          <w:sz w:val="36"/>
          <w:szCs w:val="36"/>
          <w:highlight w:val="none"/>
        </w:rPr>
      </w:pPr>
    </w:p>
    <w:p w14:paraId="63890290">
      <w:pPr>
        <w:spacing w:line="360" w:lineRule="auto"/>
        <w:jc w:val="center"/>
        <w:outlineLvl w:val="0"/>
        <w:rPr>
          <w:rFonts w:hint="eastAsia" w:ascii="宋体" w:hAnsi="宋体" w:cs="宋体"/>
          <w:b/>
          <w:color w:val="auto"/>
          <w:sz w:val="36"/>
          <w:szCs w:val="36"/>
          <w:highlight w:val="none"/>
        </w:rPr>
      </w:pPr>
    </w:p>
    <w:p w14:paraId="71CBA367">
      <w:pPr>
        <w:spacing w:line="360" w:lineRule="auto"/>
        <w:jc w:val="center"/>
        <w:outlineLvl w:val="0"/>
        <w:rPr>
          <w:rFonts w:hint="eastAsia" w:ascii="宋体" w:hAnsi="宋体" w:cs="宋体"/>
          <w:b/>
          <w:color w:val="auto"/>
          <w:sz w:val="36"/>
          <w:szCs w:val="36"/>
          <w:highlight w:val="none"/>
        </w:rPr>
      </w:pPr>
    </w:p>
    <w:p w14:paraId="3EC5098E">
      <w:pPr>
        <w:spacing w:line="360" w:lineRule="auto"/>
        <w:jc w:val="center"/>
        <w:outlineLvl w:val="0"/>
        <w:rPr>
          <w:rFonts w:hint="eastAsia"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7" w:name="_Toc184310288"/>
      <w:bookmarkEnd w:id="17"/>
      <w:bookmarkStart w:id="18" w:name="_Toc184308071"/>
      <w:bookmarkEnd w:id="18"/>
      <w:bookmarkStart w:id="19" w:name="_Toc184310334"/>
      <w:bookmarkEnd w:id="19"/>
      <w:bookmarkStart w:id="20" w:name="_Toc184308053"/>
      <w:bookmarkEnd w:id="20"/>
      <w:bookmarkStart w:id="21" w:name="_Toc184308084"/>
      <w:bookmarkEnd w:id="21"/>
      <w:bookmarkStart w:id="22" w:name="_Toc184312070"/>
      <w:bookmarkEnd w:id="22"/>
      <w:bookmarkStart w:id="23" w:name="_Toc184308073"/>
      <w:bookmarkEnd w:id="23"/>
      <w:bookmarkStart w:id="24" w:name="_Toc184308067"/>
      <w:bookmarkEnd w:id="24"/>
      <w:bookmarkStart w:id="25" w:name="_Toc184314443"/>
      <w:bookmarkEnd w:id="25"/>
      <w:bookmarkStart w:id="26" w:name="_Toc184310322"/>
      <w:bookmarkEnd w:id="26"/>
      <w:bookmarkStart w:id="27" w:name="_Toc184313297"/>
      <w:bookmarkEnd w:id="27"/>
      <w:bookmarkStart w:id="28" w:name="_Toc184310313"/>
      <w:bookmarkEnd w:id="28"/>
      <w:bookmarkStart w:id="29" w:name="_Toc184314451"/>
      <w:bookmarkEnd w:id="29"/>
      <w:bookmarkStart w:id="30" w:name="_Toc184308060"/>
      <w:bookmarkEnd w:id="30"/>
      <w:bookmarkStart w:id="31" w:name="_Toc184308044"/>
      <w:bookmarkEnd w:id="31"/>
      <w:bookmarkStart w:id="32" w:name="_Toc184308061"/>
      <w:bookmarkEnd w:id="32"/>
      <w:bookmarkStart w:id="33" w:name="_Toc184314463"/>
      <w:bookmarkEnd w:id="33"/>
      <w:bookmarkStart w:id="34" w:name="_Toc184310306"/>
      <w:bookmarkEnd w:id="34"/>
      <w:bookmarkStart w:id="35" w:name="_Toc184314457"/>
      <w:bookmarkEnd w:id="35"/>
      <w:bookmarkStart w:id="36" w:name="_Toc184313244"/>
      <w:bookmarkEnd w:id="36"/>
      <w:bookmarkStart w:id="37" w:name="_Toc184313275"/>
      <w:bookmarkEnd w:id="37"/>
      <w:bookmarkStart w:id="38" w:name="_Toc184313248"/>
      <w:bookmarkEnd w:id="38"/>
      <w:bookmarkStart w:id="39" w:name="_Toc184314474"/>
      <w:bookmarkEnd w:id="39"/>
      <w:bookmarkStart w:id="40" w:name="_Toc184312112"/>
      <w:bookmarkEnd w:id="40"/>
      <w:bookmarkStart w:id="41" w:name="_Toc184312067"/>
      <w:bookmarkEnd w:id="41"/>
      <w:bookmarkStart w:id="42" w:name="_Toc184314429"/>
      <w:bookmarkEnd w:id="42"/>
      <w:bookmarkStart w:id="43" w:name="_Toc184312125"/>
      <w:bookmarkEnd w:id="43"/>
      <w:bookmarkStart w:id="44" w:name="_Toc184312078"/>
      <w:bookmarkEnd w:id="44"/>
      <w:bookmarkStart w:id="45" w:name="_Toc184308075"/>
      <w:bookmarkEnd w:id="45"/>
      <w:bookmarkStart w:id="46" w:name="_Toc184312129"/>
      <w:bookmarkEnd w:id="46"/>
      <w:bookmarkStart w:id="47" w:name="_Toc184314456"/>
      <w:bookmarkEnd w:id="47"/>
      <w:bookmarkStart w:id="48" w:name="_Toc184313256"/>
      <w:bookmarkEnd w:id="48"/>
      <w:bookmarkStart w:id="49" w:name="_Toc184313285"/>
      <w:bookmarkEnd w:id="49"/>
      <w:bookmarkStart w:id="50" w:name="_Toc184313292"/>
      <w:bookmarkEnd w:id="50"/>
      <w:bookmarkStart w:id="51" w:name="_Toc184312090"/>
      <w:bookmarkEnd w:id="51"/>
      <w:bookmarkStart w:id="52" w:name="_Toc184312107"/>
      <w:bookmarkEnd w:id="52"/>
      <w:bookmarkStart w:id="53" w:name="_Toc184308102"/>
      <w:bookmarkEnd w:id="53"/>
      <w:bookmarkStart w:id="54" w:name="_Toc184313267"/>
      <w:bookmarkEnd w:id="54"/>
      <w:bookmarkStart w:id="55" w:name="_Toc184310301"/>
      <w:bookmarkEnd w:id="55"/>
      <w:bookmarkStart w:id="56" w:name="_Toc184308085"/>
      <w:bookmarkEnd w:id="56"/>
      <w:bookmarkStart w:id="57" w:name="_Toc184313296"/>
      <w:bookmarkEnd w:id="57"/>
      <w:bookmarkStart w:id="58" w:name="_Toc184308069"/>
      <w:bookmarkEnd w:id="58"/>
      <w:bookmarkStart w:id="59" w:name="_Toc184313242"/>
      <w:bookmarkEnd w:id="59"/>
      <w:bookmarkStart w:id="60" w:name="_Toc184313262"/>
      <w:bookmarkEnd w:id="60"/>
      <w:bookmarkStart w:id="61" w:name="_Toc184314420"/>
      <w:bookmarkEnd w:id="61"/>
      <w:bookmarkStart w:id="62" w:name="_Toc184308106"/>
      <w:bookmarkEnd w:id="62"/>
      <w:bookmarkStart w:id="63" w:name="_Toc184314481"/>
      <w:bookmarkEnd w:id="63"/>
      <w:bookmarkStart w:id="64" w:name="_Toc184310320"/>
      <w:bookmarkEnd w:id="64"/>
      <w:bookmarkStart w:id="65" w:name="_Toc184313264"/>
      <w:bookmarkEnd w:id="65"/>
      <w:bookmarkStart w:id="66" w:name="_Toc184308094"/>
      <w:bookmarkEnd w:id="66"/>
      <w:bookmarkStart w:id="67" w:name="_Toc184310308"/>
      <w:bookmarkEnd w:id="67"/>
      <w:bookmarkStart w:id="68" w:name="_Toc184313250"/>
      <w:bookmarkEnd w:id="68"/>
      <w:bookmarkStart w:id="69" w:name="_Toc184310284"/>
      <w:bookmarkEnd w:id="69"/>
      <w:bookmarkStart w:id="70" w:name="_Toc184312095"/>
      <w:bookmarkEnd w:id="70"/>
      <w:bookmarkStart w:id="71" w:name="_Toc184314424"/>
      <w:bookmarkEnd w:id="71"/>
      <w:bookmarkStart w:id="72" w:name="_Toc184308086"/>
      <w:bookmarkEnd w:id="72"/>
      <w:bookmarkStart w:id="73" w:name="_Toc184308081"/>
      <w:bookmarkEnd w:id="73"/>
      <w:bookmarkStart w:id="74" w:name="_Toc184313263"/>
      <w:bookmarkEnd w:id="74"/>
      <w:bookmarkStart w:id="75" w:name="_Toc184310318"/>
      <w:bookmarkEnd w:id="75"/>
      <w:bookmarkStart w:id="76" w:name="_Toc184312108"/>
      <w:bookmarkEnd w:id="76"/>
      <w:bookmarkStart w:id="77" w:name="_Toc184312104"/>
      <w:bookmarkEnd w:id="77"/>
      <w:bookmarkStart w:id="78" w:name="_Toc184313291"/>
      <w:bookmarkEnd w:id="78"/>
      <w:bookmarkStart w:id="79" w:name="_Toc184312121"/>
      <w:bookmarkEnd w:id="79"/>
      <w:bookmarkStart w:id="80" w:name="_Toc184313307"/>
      <w:bookmarkEnd w:id="80"/>
      <w:bookmarkStart w:id="81" w:name="_Toc184308103"/>
      <w:bookmarkEnd w:id="81"/>
      <w:bookmarkStart w:id="82" w:name="_Toc184312083"/>
      <w:bookmarkEnd w:id="82"/>
      <w:bookmarkStart w:id="83" w:name="_Toc184312126"/>
      <w:bookmarkEnd w:id="83"/>
      <w:bookmarkStart w:id="84" w:name="_Toc184314414"/>
      <w:bookmarkEnd w:id="84"/>
      <w:bookmarkStart w:id="85" w:name="_Toc184313258"/>
      <w:bookmarkEnd w:id="85"/>
      <w:bookmarkStart w:id="86" w:name="_Toc184314425"/>
      <w:bookmarkEnd w:id="86"/>
      <w:bookmarkStart w:id="87" w:name="_Toc184308051"/>
      <w:bookmarkEnd w:id="87"/>
      <w:bookmarkStart w:id="88" w:name="_Toc184312127"/>
      <w:bookmarkEnd w:id="88"/>
      <w:bookmarkStart w:id="89" w:name="_Toc184308079"/>
      <w:bookmarkEnd w:id="89"/>
      <w:bookmarkStart w:id="90" w:name="_Toc184313304"/>
      <w:bookmarkEnd w:id="90"/>
      <w:bookmarkStart w:id="91" w:name="_Toc184310299"/>
      <w:bookmarkEnd w:id="91"/>
      <w:bookmarkStart w:id="92" w:name="_Toc184314439"/>
      <w:bookmarkEnd w:id="92"/>
      <w:bookmarkStart w:id="93" w:name="_Toc184312119"/>
      <w:bookmarkEnd w:id="93"/>
      <w:bookmarkStart w:id="94" w:name="_Toc184308036"/>
      <w:bookmarkEnd w:id="94"/>
      <w:bookmarkStart w:id="95" w:name="_Toc184313261"/>
      <w:bookmarkEnd w:id="95"/>
      <w:bookmarkStart w:id="96" w:name="_Toc184314419"/>
      <w:bookmarkEnd w:id="96"/>
      <w:bookmarkStart w:id="97" w:name="_Toc184308059"/>
      <w:bookmarkEnd w:id="97"/>
      <w:bookmarkStart w:id="98" w:name="_Toc184313276"/>
      <w:bookmarkEnd w:id="98"/>
      <w:bookmarkStart w:id="99" w:name="_Toc184310312"/>
      <w:bookmarkEnd w:id="99"/>
      <w:bookmarkStart w:id="100" w:name="_Toc184313260"/>
      <w:bookmarkEnd w:id="100"/>
      <w:bookmarkStart w:id="101" w:name="_Toc184313302"/>
      <w:bookmarkEnd w:id="101"/>
      <w:bookmarkStart w:id="102" w:name="_Toc184308047"/>
      <w:bookmarkEnd w:id="102"/>
      <w:bookmarkStart w:id="103" w:name="_Toc184312068"/>
      <w:bookmarkEnd w:id="103"/>
      <w:bookmarkStart w:id="104" w:name="_Toc184313295"/>
      <w:bookmarkEnd w:id="104"/>
      <w:bookmarkStart w:id="105" w:name="_Toc184310300"/>
      <w:bookmarkEnd w:id="105"/>
      <w:bookmarkStart w:id="106" w:name="_Toc184314418"/>
      <w:bookmarkEnd w:id="106"/>
      <w:bookmarkStart w:id="107" w:name="_Toc184308083"/>
      <w:bookmarkEnd w:id="107"/>
      <w:bookmarkStart w:id="108" w:name="_Toc184312123"/>
      <w:bookmarkEnd w:id="108"/>
      <w:bookmarkStart w:id="109" w:name="_Toc184310297"/>
      <w:bookmarkEnd w:id="109"/>
      <w:bookmarkStart w:id="110" w:name="_Toc184308091"/>
      <w:bookmarkEnd w:id="110"/>
      <w:bookmarkStart w:id="111" w:name="_Toc184313301"/>
      <w:bookmarkEnd w:id="111"/>
      <w:bookmarkStart w:id="112" w:name="_Toc184314411"/>
      <w:bookmarkEnd w:id="112"/>
      <w:bookmarkStart w:id="113" w:name="_Toc184310340"/>
      <w:bookmarkEnd w:id="113"/>
      <w:bookmarkStart w:id="114" w:name="_Toc184313254"/>
      <w:bookmarkEnd w:id="114"/>
      <w:bookmarkStart w:id="115" w:name="_Toc184313288"/>
      <w:bookmarkEnd w:id="115"/>
      <w:bookmarkStart w:id="116" w:name="_Toc184312135"/>
      <w:bookmarkEnd w:id="116"/>
      <w:bookmarkStart w:id="117" w:name="_Toc184308043"/>
      <w:bookmarkEnd w:id="117"/>
      <w:bookmarkStart w:id="118" w:name="_Toc184308082"/>
      <w:bookmarkEnd w:id="118"/>
      <w:bookmarkStart w:id="119" w:name="_Toc184313306"/>
      <w:bookmarkEnd w:id="119"/>
      <w:bookmarkStart w:id="120" w:name="_Toc184314479"/>
      <w:bookmarkEnd w:id="120"/>
      <w:bookmarkStart w:id="121" w:name="_Toc184308057"/>
      <w:bookmarkEnd w:id="121"/>
      <w:bookmarkStart w:id="122" w:name="_Toc184313298"/>
      <w:bookmarkEnd w:id="122"/>
      <w:bookmarkStart w:id="123" w:name="_Toc184310325"/>
      <w:bookmarkEnd w:id="123"/>
      <w:bookmarkStart w:id="124" w:name="_Toc184314430"/>
      <w:bookmarkEnd w:id="124"/>
      <w:bookmarkStart w:id="125" w:name="_Toc184313257"/>
      <w:bookmarkEnd w:id="125"/>
      <w:bookmarkStart w:id="126" w:name="_Toc184312136"/>
      <w:bookmarkEnd w:id="126"/>
      <w:bookmarkStart w:id="127" w:name="_Toc184310273"/>
      <w:bookmarkEnd w:id="127"/>
      <w:bookmarkStart w:id="128" w:name="_Toc184312138"/>
      <w:bookmarkEnd w:id="128"/>
      <w:bookmarkStart w:id="129" w:name="_Toc184310285"/>
      <w:bookmarkEnd w:id="129"/>
      <w:bookmarkStart w:id="130" w:name="_Toc184314464"/>
      <w:bookmarkEnd w:id="130"/>
      <w:bookmarkStart w:id="131" w:name="_Toc184313308"/>
      <w:bookmarkEnd w:id="131"/>
      <w:bookmarkStart w:id="132" w:name="_Toc184313253"/>
      <w:bookmarkEnd w:id="132"/>
      <w:bookmarkStart w:id="133" w:name="_Toc184310316"/>
      <w:bookmarkEnd w:id="133"/>
      <w:bookmarkStart w:id="134" w:name="_Toc184308042"/>
      <w:bookmarkEnd w:id="134"/>
      <w:bookmarkStart w:id="135" w:name="_Toc184313241"/>
      <w:bookmarkEnd w:id="135"/>
      <w:bookmarkStart w:id="136" w:name="_Toc184313283"/>
      <w:bookmarkEnd w:id="136"/>
      <w:bookmarkStart w:id="137" w:name="_Toc184314442"/>
      <w:bookmarkEnd w:id="137"/>
      <w:bookmarkStart w:id="138" w:name="_Toc184312089"/>
      <w:bookmarkEnd w:id="138"/>
      <w:bookmarkStart w:id="139" w:name="_Toc184308050"/>
      <w:bookmarkEnd w:id="139"/>
      <w:bookmarkStart w:id="140" w:name="_Toc184314476"/>
      <w:bookmarkEnd w:id="140"/>
      <w:bookmarkStart w:id="141" w:name="_Toc184312111"/>
      <w:bookmarkEnd w:id="141"/>
      <w:bookmarkStart w:id="142" w:name="_Toc184314423"/>
      <w:bookmarkEnd w:id="142"/>
      <w:bookmarkStart w:id="143" w:name="_Toc184308097"/>
      <w:bookmarkEnd w:id="143"/>
      <w:bookmarkStart w:id="144" w:name="_Toc184310298"/>
      <w:bookmarkEnd w:id="144"/>
      <w:bookmarkStart w:id="145" w:name="_Toc184314421"/>
      <w:bookmarkEnd w:id="145"/>
      <w:bookmarkStart w:id="146" w:name="_Toc184312131"/>
      <w:bookmarkEnd w:id="146"/>
      <w:bookmarkStart w:id="147" w:name="_Toc184314410"/>
      <w:bookmarkEnd w:id="147"/>
      <w:bookmarkStart w:id="148" w:name="_Toc184310333"/>
      <w:bookmarkEnd w:id="148"/>
      <w:bookmarkStart w:id="149" w:name="_Toc184314441"/>
      <w:bookmarkEnd w:id="149"/>
      <w:bookmarkStart w:id="150" w:name="_Toc184308100"/>
      <w:bookmarkEnd w:id="150"/>
      <w:bookmarkStart w:id="151" w:name="_Toc184308089"/>
      <w:bookmarkEnd w:id="151"/>
      <w:bookmarkStart w:id="152" w:name="_Toc184308093"/>
      <w:bookmarkEnd w:id="152"/>
      <w:bookmarkStart w:id="153" w:name="_Toc184313286"/>
      <w:bookmarkEnd w:id="153"/>
      <w:bookmarkStart w:id="154" w:name="_Toc184314422"/>
      <w:bookmarkEnd w:id="154"/>
      <w:bookmarkStart w:id="155" w:name="_Toc184310279"/>
      <w:bookmarkEnd w:id="155"/>
      <w:bookmarkStart w:id="156" w:name="_Toc184312100"/>
      <w:bookmarkEnd w:id="156"/>
      <w:bookmarkStart w:id="157" w:name="_Toc184310328"/>
      <w:bookmarkEnd w:id="157"/>
      <w:bookmarkStart w:id="158" w:name="_Toc184308105"/>
      <w:bookmarkEnd w:id="158"/>
      <w:bookmarkStart w:id="159" w:name="_Toc184312139"/>
      <w:bookmarkEnd w:id="159"/>
      <w:bookmarkStart w:id="160" w:name="_Toc184314448"/>
      <w:bookmarkEnd w:id="160"/>
      <w:bookmarkStart w:id="161" w:name="_Toc184310314"/>
      <w:bookmarkEnd w:id="161"/>
      <w:bookmarkStart w:id="162" w:name="_Toc184313282"/>
      <w:bookmarkEnd w:id="162"/>
      <w:bookmarkStart w:id="163" w:name="_Toc184312132"/>
      <w:bookmarkEnd w:id="163"/>
      <w:bookmarkStart w:id="164" w:name="_Toc184308107"/>
      <w:bookmarkEnd w:id="164"/>
      <w:bookmarkStart w:id="165" w:name="_Toc184312094"/>
      <w:bookmarkEnd w:id="165"/>
      <w:bookmarkStart w:id="166" w:name="_Toc184314477"/>
      <w:bookmarkEnd w:id="166"/>
      <w:bookmarkStart w:id="167" w:name="_Toc184314412"/>
      <w:bookmarkEnd w:id="167"/>
      <w:bookmarkStart w:id="168" w:name="_Toc184308065"/>
      <w:bookmarkEnd w:id="168"/>
      <w:bookmarkStart w:id="169" w:name="_Toc184310291"/>
      <w:bookmarkEnd w:id="169"/>
      <w:bookmarkStart w:id="170" w:name="_Toc184314431"/>
      <w:bookmarkEnd w:id="170"/>
      <w:bookmarkStart w:id="171" w:name="_Toc184312085"/>
      <w:bookmarkEnd w:id="171"/>
      <w:bookmarkStart w:id="172" w:name="_Toc184310286"/>
      <w:bookmarkEnd w:id="172"/>
      <w:bookmarkStart w:id="173" w:name="_Toc184312122"/>
      <w:bookmarkEnd w:id="173"/>
      <w:bookmarkStart w:id="174" w:name="_Toc184310302"/>
      <w:bookmarkEnd w:id="174"/>
      <w:bookmarkStart w:id="175" w:name="_Toc184314433"/>
      <w:bookmarkEnd w:id="175"/>
      <w:bookmarkStart w:id="176" w:name="_Toc184314449"/>
      <w:bookmarkEnd w:id="176"/>
      <w:bookmarkStart w:id="177" w:name="_Toc184314413"/>
      <w:bookmarkEnd w:id="177"/>
      <w:bookmarkStart w:id="178" w:name="_Toc184310280"/>
      <w:bookmarkEnd w:id="178"/>
      <w:bookmarkStart w:id="179" w:name="_Toc184310304"/>
      <w:bookmarkEnd w:id="179"/>
      <w:bookmarkStart w:id="180" w:name="_Toc184310319"/>
      <w:bookmarkEnd w:id="180"/>
      <w:bookmarkStart w:id="181" w:name="_Toc184308037"/>
      <w:bookmarkEnd w:id="181"/>
      <w:bookmarkStart w:id="182" w:name="_Toc184310317"/>
      <w:bookmarkEnd w:id="182"/>
      <w:bookmarkStart w:id="183" w:name="_Toc184310283"/>
      <w:bookmarkEnd w:id="183"/>
      <w:bookmarkStart w:id="184" w:name="_Toc184313287"/>
      <w:bookmarkEnd w:id="184"/>
      <w:bookmarkStart w:id="185" w:name="_Toc184313255"/>
      <w:bookmarkEnd w:id="185"/>
      <w:bookmarkStart w:id="186" w:name="_Toc184308039"/>
      <w:bookmarkEnd w:id="186"/>
      <w:bookmarkStart w:id="187" w:name="_Toc184314462"/>
      <w:bookmarkEnd w:id="187"/>
      <w:bookmarkStart w:id="188" w:name="_Toc184308056"/>
      <w:bookmarkEnd w:id="188"/>
      <w:bookmarkStart w:id="189" w:name="_Toc184312096"/>
      <w:bookmarkEnd w:id="189"/>
      <w:bookmarkStart w:id="190" w:name="_Toc184314427"/>
      <w:bookmarkEnd w:id="190"/>
      <w:bookmarkStart w:id="191" w:name="_Toc184313252"/>
      <w:bookmarkEnd w:id="191"/>
      <w:bookmarkStart w:id="192" w:name="_Toc184312128"/>
      <w:bookmarkEnd w:id="192"/>
      <w:bookmarkStart w:id="193" w:name="_Toc184313277"/>
      <w:bookmarkEnd w:id="193"/>
      <w:bookmarkStart w:id="194" w:name="_Toc184310342"/>
      <w:bookmarkEnd w:id="194"/>
      <w:bookmarkStart w:id="195" w:name="_Toc184312117"/>
      <w:bookmarkEnd w:id="195"/>
      <w:bookmarkStart w:id="196" w:name="_Toc184314415"/>
      <w:bookmarkEnd w:id="196"/>
      <w:bookmarkStart w:id="197" w:name="_Toc184308058"/>
      <w:bookmarkEnd w:id="197"/>
      <w:bookmarkStart w:id="198" w:name="_Toc184312080"/>
      <w:bookmarkEnd w:id="198"/>
      <w:bookmarkStart w:id="199" w:name="_Toc184310339"/>
      <w:bookmarkEnd w:id="199"/>
      <w:bookmarkStart w:id="200" w:name="_Toc184312118"/>
      <w:bookmarkEnd w:id="200"/>
      <w:bookmarkStart w:id="201" w:name="_Toc184314438"/>
      <w:bookmarkEnd w:id="201"/>
      <w:bookmarkStart w:id="202" w:name="_Toc184308055"/>
      <w:bookmarkEnd w:id="202"/>
      <w:bookmarkStart w:id="203" w:name="_Toc184308062"/>
      <w:bookmarkEnd w:id="203"/>
      <w:bookmarkStart w:id="204" w:name="_Toc184312071"/>
      <w:bookmarkEnd w:id="204"/>
      <w:bookmarkStart w:id="205" w:name="_Toc184314465"/>
      <w:bookmarkEnd w:id="205"/>
      <w:bookmarkStart w:id="206" w:name="_Toc184312092"/>
      <w:bookmarkEnd w:id="206"/>
      <w:bookmarkStart w:id="207" w:name="_Toc184308088"/>
      <w:bookmarkEnd w:id="207"/>
      <w:bookmarkStart w:id="208" w:name="_Toc184308052"/>
      <w:bookmarkEnd w:id="208"/>
      <w:bookmarkStart w:id="209" w:name="_Toc184308066"/>
      <w:bookmarkEnd w:id="209"/>
      <w:bookmarkStart w:id="210" w:name="_Toc184308063"/>
      <w:bookmarkEnd w:id="210"/>
      <w:bookmarkStart w:id="211" w:name="_Toc184310295"/>
      <w:bookmarkEnd w:id="211"/>
      <w:bookmarkStart w:id="212" w:name="_Toc184308054"/>
      <w:bookmarkEnd w:id="212"/>
      <w:bookmarkStart w:id="213" w:name="_Toc184310309"/>
      <w:bookmarkEnd w:id="213"/>
      <w:bookmarkStart w:id="214" w:name="_Toc184310290"/>
      <w:bookmarkEnd w:id="214"/>
      <w:bookmarkStart w:id="215" w:name="_Toc184308077"/>
      <w:bookmarkEnd w:id="215"/>
      <w:bookmarkStart w:id="216" w:name="_Toc184312098"/>
      <w:bookmarkEnd w:id="216"/>
      <w:bookmarkStart w:id="217" w:name="_Toc184314435"/>
      <w:bookmarkEnd w:id="217"/>
      <w:bookmarkStart w:id="218" w:name="_Toc184312116"/>
      <w:bookmarkEnd w:id="218"/>
      <w:bookmarkStart w:id="219" w:name="_Toc184314468"/>
      <w:bookmarkEnd w:id="219"/>
      <w:bookmarkStart w:id="220" w:name="_Toc184314475"/>
      <w:bookmarkEnd w:id="220"/>
      <w:bookmarkStart w:id="221" w:name="_Toc184314454"/>
      <w:bookmarkEnd w:id="221"/>
      <w:bookmarkStart w:id="222" w:name="_Toc184312077"/>
      <w:bookmarkEnd w:id="222"/>
      <w:bookmarkStart w:id="223" w:name="_Toc184312102"/>
      <w:bookmarkEnd w:id="223"/>
      <w:bookmarkStart w:id="224" w:name="_Toc184312099"/>
      <w:bookmarkEnd w:id="224"/>
      <w:bookmarkStart w:id="225" w:name="_Toc184314444"/>
      <w:bookmarkEnd w:id="225"/>
      <w:bookmarkStart w:id="226" w:name="_Toc184313303"/>
      <w:bookmarkEnd w:id="226"/>
      <w:bookmarkStart w:id="227" w:name="_Toc184310332"/>
      <w:bookmarkEnd w:id="227"/>
      <w:bookmarkStart w:id="228" w:name="_Toc184313294"/>
      <w:bookmarkEnd w:id="228"/>
      <w:bookmarkStart w:id="229" w:name="_Toc184310321"/>
      <w:bookmarkEnd w:id="229"/>
      <w:bookmarkStart w:id="230" w:name="_Toc184312120"/>
      <w:bookmarkEnd w:id="230"/>
      <w:bookmarkStart w:id="231" w:name="_Toc184308096"/>
      <w:bookmarkEnd w:id="231"/>
      <w:bookmarkStart w:id="232" w:name="_Toc184313280"/>
      <w:bookmarkEnd w:id="232"/>
      <w:bookmarkStart w:id="233" w:name="_Toc184312081"/>
      <w:bookmarkEnd w:id="233"/>
      <w:bookmarkStart w:id="234" w:name="_Toc184314450"/>
      <w:bookmarkEnd w:id="234"/>
      <w:bookmarkStart w:id="235" w:name="_Toc184314458"/>
      <w:bookmarkEnd w:id="235"/>
      <w:bookmarkStart w:id="236" w:name="_Toc184310276"/>
      <w:bookmarkEnd w:id="236"/>
      <w:bookmarkStart w:id="237" w:name="_Toc184310277"/>
      <w:bookmarkEnd w:id="237"/>
      <w:bookmarkStart w:id="238" w:name="_Toc184313270"/>
      <w:bookmarkEnd w:id="238"/>
      <w:bookmarkStart w:id="239" w:name="_Toc184314467"/>
      <w:bookmarkEnd w:id="239"/>
      <w:bookmarkStart w:id="240" w:name="_Toc184310296"/>
      <w:bookmarkEnd w:id="240"/>
      <w:bookmarkStart w:id="241" w:name="_Toc184314437"/>
      <w:bookmarkEnd w:id="241"/>
      <w:bookmarkStart w:id="242" w:name="_Toc184314447"/>
      <w:bookmarkEnd w:id="242"/>
      <w:bookmarkStart w:id="243" w:name="_Toc184308078"/>
      <w:bookmarkEnd w:id="243"/>
      <w:bookmarkStart w:id="244" w:name="_Toc184313273"/>
      <w:bookmarkEnd w:id="244"/>
      <w:bookmarkStart w:id="245" w:name="_Toc184313299"/>
      <w:bookmarkEnd w:id="245"/>
      <w:bookmarkStart w:id="246" w:name="_Toc184308048"/>
      <w:bookmarkEnd w:id="246"/>
      <w:bookmarkStart w:id="247" w:name="_Toc184313272"/>
      <w:bookmarkEnd w:id="247"/>
      <w:bookmarkStart w:id="248" w:name="_Toc184313279"/>
      <w:bookmarkEnd w:id="248"/>
      <w:bookmarkStart w:id="249" w:name="_Toc184313249"/>
      <w:bookmarkEnd w:id="249"/>
      <w:bookmarkStart w:id="250" w:name="_Toc184310307"/>
      <w:bookmarkEnd w:id="250"/>
      <w:bookmarkStart w:id="251" w:name="_Toc184310292"/>
      <w:bookmarkEnd w:id="251"/>
      <w:bookmarkStart w:id="252" w:name="_Toc184312072"/>
      <w:bookmarkEnd w:id="252"/>
      <w:bookmarkStart w:id="253" w:name="_Toc184313281"/>
      <w:bookmarkEnd w:id="253"/>
      <w:bookmarkStart w:id="254" w:name="_Toc184312093"/>
      <w:bookmarkEnd w:id="254"/>
      <w:bookmarkStart w:id="255" w:name="_Toc184310310"/>
      <w:bookmarkEnd w:id="255"/>
      <w:bookmarkStart w:id="256" w:name="_Toc184308074"/>
      <w:bookmarkEnd w:id="256"/>
      <w:bookmarkStart w:id="257" w:name="_Toc184308101"/>
      <w:bookmarkEnd w:id="257"/>
      <w:bookmarkStart w:id="258" w:name="_Toc184314434"/>
      <w:bookmarkEnd w:id="258"/>
      <w:bookmarkStart w:id="259" w:name="_Toc184312130"/>
      <w:bookmarkEnd w:id="259"/>
      <w:bookmarkStart w:id="260" w:name="_Toc184313268"/>
      <w:bookmarkEnd w:id="260"/>
      <w:bookmarkStart w:id="261" w:name="_Toc184312086"/>
      <w:bookmarkEnd w:id="261"/>
      <w:bookmarkStart w:id="262" w:name="_Toc184310294"/>
      <w:bookmarkEnd w:id="262"/>
      <w:bookmarkStart w:id="263" w:name="_Toc184313305"/>
      <w:bookmarkEnd w:id="263"/>
      <w:bookmarkStart w:id="264" w:name="_Toc184308045"/>
      <w:bookmarkEnd w:id="264"/>
      <w:bookmarkStart w:id="265" w:name="_Toc184310303"/>
      <w:bookmarkEnd w:id="265"/>
      <w:bookmarkStart w:id="266" w:name="_Toc184313266"/>
      <w:bookmarkEnd w:id="266"/>
      <w:bookmarkStart w:id="267" w:name="_Toc184314428"/>
      <w:bookmarkEnd w:id="267"/>
      <w:bookmarkStart w:id="268" w:name="_Toc184308092"/>
      <w:bookmarkEnd w:id="268"/>
      <w:bookmarkStart w:id="269" w:name="_Toc184310274"/>
      <w:bookmarkEnd w:id="269"/>
      <w:bookmarkStart w:id="270" w:name="_Toc184312088"/>
      <w:bookmarkEnd w:id="270"/>
      <w:bookmarkStart w:id="271" w:name="_Toc184308099"/>
      <w:bookmarkEnd w:id="271"/>
      <w:bookmarkStart w:id="272" w:name="_Toc184308095"/>
      <w:bookmarkEnd w:id="272"/>
      <w:bookmarkStart w:id="273" w:name="_Toc184313290"/>
      <w:bookmarkEnd w:id="273"/>
      <w:bookmarkStart w:id="274" w:name="_Toc184310329"/>
      <w:bookmarkEnd w:id="274"/>
      <w:bookmarkStart w:id="275" w:name="_Toc184314446"/>
      <w:bookmarkEnd w:id="275"/>
      <w:bookmarkStart w:id="276" w:name="_Toc184313239"/>
      <w:bookmarkEnd w:id="276"/>
      <w:bookmarkStart w:id="277" w:name="_Toc184308080"/>
      <w:bookmarkEnd w:id="277"/>
      <w:bookmarkStart w:id="278" w:name="_Toc184310323"/>
      <w:bookmarkEnd w:id="278"/>
      <w:bookmarkStart w:id="279" w:name="_Toc184308070"/>
      <w:bookmarkEnd w:id="279"/>
      <w:bookmarkStart w:id="280" w:name="_Toc184310281"/>
      <w:bookmarkEnd w:id="280"/>
      <w:bookmarkStart w:id="281" w:name="_Toc184312105"/>
      <w:bookmarkEnd w:id="281"/>
      <w:bookmarkStart w:id="282" w:name="_Toc184314478"/>
      <w:bookmarkEnd w:id="282"/>
      <w:bookmarkStart w:id="283" w:name="_Toc184312115"/>
      <w:bookmarkEnd w:id="283"/>
      <w:bookmarkStart w:id="284" w:name="_Toc184313300"/>
      <w:bookmarkEnd w:id="284"/>
      <w:bookmarkStart w:id="285" w:name="_Toc184314482"/>
      <w:bookmarkEnd w:id="285"/>
      <w:bookmarkStart w:id="286" w:name="_Toc184312076"/>
      <w:bookmarkEnd w:id="286"/>
      <w:bookmarkStart w:id="287" w:name="_Toc184310287"/>
      <w:bookmarkEnd w:id="287"/>
      <w:bookmarkStart w:id="288" w:name="_Toc184312091"/>
      <w:bookmarkEnd w:id="288"/>
      <w:bookmarkStart w:id="289" w:name="_Toc184313251"/>
      <w:bookmarkEnd w:id="289"/>
      <w:bookmarkStart w:id="290" w:name="_Toc184313271"/>
      <w:bookmarkEnd w:id="290"/>
      <w:bookmarkStart w:id="291" w:name="_Toc184310343"/>
      <w:bookmarkEnd w:id="291"/>
      <w:bookmarkStart w:id="292" w:name="_Toc184314473"/>
      <w:bookmarkEnd w:id="292"/>
      <w:bookmarkStart w:id="293" w:name="_Toc184314426"/>
      <w:bookmarkEnd w:id="293"/>
      <w:bookmarkStart w:id="294" w:name="_Toc184313246"/>
      <w:bookmarkEnd w:id="294"/>
      <w:bookmarkStart w:id="295" w:name="_Toc184312082"/>
      <w:bookmarkEnd w:id="295"/>
      <w:bookmarkStart w:id="296" w:name="_Toc184314440"/>
      <w:bookmarkEnd w:id="296"/>
      <w:bookmarkStart w:id="297" w:name="_Toc184313278"/>
      <w:bookmarkEnd w:id="297"/>
      <w:bookmarkStart w:id="298" w:name="_Toc184310337"/>
      <w:bookmarkEnd w:id="298"/>
      <w:bookmarkStart w:id="299" w:name="_Toc184308087"/>
      <w:bookmarkEnd w:id="299"/>
      <w:bookmarkStart w:id="300" w:name="_Toc184313238"/>
      <w:bookmarkEnd w:id="300"/>
      <w:bookmarkStart w:id="301" w:name="_Toc184313284"/>
      <w:bookmarkEnd w:id="301"/>
      <w:bookmarkStart w:id="302" w:name="_Toc184313274"/>
      <w:bookmarkEnd w:id="302"/>
      <w:bookmarkStart w:id="303" w:name="_Toc184314452"/>
      <w:bookmarkEnd w:id="303"/>
      <w:bookmarkStart w:id="304" w:name="_Toc184308040"/>
      <w:bookmarkEnd w:id="304"/>
      <w:bookmarkStart w:id="305" w:name="_Toc184314460"/>
      <w:bookmarkEnd w:id="305"/>
      <w:bookmarkStart w:id="306" w:name="_Toc184308046"/>
      <w:bookmarkEnd w:id="306"/>
      <w:bookmarkStart w:id="307" w:name="_Toc184310335"/>
      <w:bookmarkEnd w:id="307"/>
      <w:bookmarkStart w:id="308" w:name="_Toc184314470"/>
      <w:bookmarkEnd w:id="308"/>
      <w:bookmarkStart w:id="309" w:name="_Toc184314480"/>
      <w:bookmarkEnd w:id="309"/>
      <w:bookmarkStart w:id="310" w:name="_Toc184312074"/>
      <w:bookmarkEnd w:id="310"/>
      <w:bookmarkStart w:id="311" w:name="_Toc184310327"/>
      <w:bookmarkEnd w:id="311"/>
      <w:bookmarkStart w:id="312" w:name="_Toc184308108"/>
      <w:bookmarkEnd w:id="312"/>
      <w:bookmarkStart w:id="313" w:name="_Toc184314436"/>
      <w:bookmarkEnd w:id="313"/>
      <w:bookmarkStart w:id="314" w:name="_Toc184312109"/>
      <w:bookmarkEnd w:id="314"/>
      <w:bookmarkStart w:id="315" w:name="_Toc184308072"/>
      <w:bookmarkEnd w:id="315"/>
      <w:bookmarkStart w:id="316" w:name="_Toc184310278"/>
      <w:bookmarkEnd w:id="316"/>
      <w:bookmarkStart w:id="317" w:name="_Toc184314469"/>
      <w:bookmarkEnd w:id="317"/>
      <w:bookmarkStart w:id="318" w:name="_Toc184312101"/>
      <w:bookmarkEnd w:id="318"/>
      <w:bookmarkStart w:id="319" w:name="_Toc184310293"/>
      <w:bookmarkEnd w:id="319"/>
      <w:bookmarkStart w:id="320" w:name="_Toc184312084"/>
      <w:bookmarkEnd w:id="320"/>
      <w:bookmarkStart w:id="321" w:name="_Toc184308076"/>
      <w:bookmarkEnd w:id="321"/>
      <w:bookmarkStart w:id="322" w:name="_Toc184313310"/>
      <w:bookmarkEnd w:id="322"/>
      <w:bookmarkStart w:id="323" w:name="_Toc184310315"/>
      <w:bookmarkEnd w:id="323"/>
      <w:bookmarkStart w:id="324" w:name="_Toc184308104"/>
      <w:bookmarkEnd w:id="324"/>
      <w:bookmarkStart w:id="325" w:name="_Toc184312106"/>
      <w:bookmarkEnd w:id="325"/>
      <w:bookmarkStart w:id="326" w:name="_Toc184310331"/>
      <w:bookmarkEnd w:id="326"/>
      <w:bookmarkStart w:id="327" w:name="_Toc184310311"/>
      <w:bookmarkEnd w:id="327"/>
      <w:bookmarkStart w:id="328" w:name="_Toc184308064"/>
      <w:bookmarkEnd w:id="328"/>
      <w:bookmarkStart w:id="329" w:name="_Toc184312079"/>
      <w:bookmarkEnd w:id="329"/>
      <w:bookmarkStart w:id="330" w:name="_Toc184314417"/>
      <w:bookmarkEnd w:id="330"/>
      <w:bookmarkStart w:id="331" w:name="_Toc184312097"/>
      <w:bookmarkEnd w:id="331"/>
      <w:bookmarkStart w:id="332" w:name="_Toc184308068"/>
      <w:bookmarkEnd w:id="332"/>
      <w:bookmarkStart w:id="333" w:name="_Toc184313265"/>
      <w:bookmarkEnd w:id="333"/>
      <w:bookmarkStart w:id="334" w:name="_Toc184312137"/>
      <w:bookmarkEnd w:id="334"/>
      <w:bookmarkStart w:id="335" w:name="_Toc184310272"/>
      <w:bookmarkEnd w:id="335"/>
      <w:bookmarkStart w:id="336" w:name="_Toc184310275"/>
      <w:bookmarkEnd w:id="336"/>
      <w:bookmarkStart w:id="337" w:name="_Toc184314432"/>
      <w:bookmarkEnd w:id="337"/>
      <w:bookmarkStart w:id="338" w:name="_Toc184313293"/>
      <w:bookmarkEnd w:id="338"/>
      <w:bookmarkStart w:id="339" w:name="_Toc184308041"/>
      <w:bookmarkEnd w:id="339"/>
      <w:bookmarkStart w:id="340" w:name="_Toc184308098"/>
      <w:bookmarkEnd w:id="340"/>
      <w:bookmarkStart w:id="341" w:name="_Toc184312087"/>
      <w:bookmarkEnd w:id="341"/>
      <w:bookmarkStart w:id="342" w:name="_Toc184310341"/>
      <w:bookmarkEnd w:id="342"/>
      <w:bookmarkStart w:id="343" w:name="_Toc184312114"/>
      <w:bookmarkEnd w:id="343"/>
      <w:bookmarkStart w:id="344" w:name="_Toc184310344"/>
      <w:bookmarkEnd w:id="344"/>
      <w:bookmarkStart w:id="345" w:name="_Toc184312134"/>
      <w:bookmarkEnd w:id="345"/>
      <w:bookmarkStart w:id="346" w:name="_Toc184313259"/>
      <w:bookmarkEnd w:id="346"/>
      <w:bookmarkStart w:id="347" w:name="_Toc184310330"/>
      <w:bookmarkEnd w:id="347"/>
      <w:bookmarkStart w:id="348" w:name="_Toc184314471"/>
      <w:bookmarkEnd w:id="348"/>
      <w:bookmarkStart w:id="349" w:name="_Toc184312113"/>
      <w:bookmarkEnd w:id="349"/>
      <w:bookmarkStart w:id="350" w:name="_Toc184310336"/>
      <w:bookmarkEnd w:id="350"/>
      <w:bookmarkStart w:id="351" w:name="_Toc184310282"/>
      <w:bookmarkEnd w:id="351"/>
      <w:bookmarkStart w:id="352" w:name="_Toc184312133"/>
      <w:bookmarkEnd w:id="352"/>
      <w:bookmarkStart w:id="353" w:name="_Toc184312110"/>
      <w:bookmarkEnd w:id="353"/>
      <w:bookmarkStart w:id="354" w:name="_Toc184310338"/>
      <w:bookmarkEnd w:id="354"/>
      <w:bookmarkStart w:id="355" w:name="_Toc184312124"/>
      <w:bookmarkEnd w:id="355"/>
      <w:bookmarkStart w:id="356" w:name="_Toc184310324"/>
      <w:bookmarkEnd w:id="356"/>
      <w:bookmarkStart w:id="357" w:name="_Toc184313243"/>
      <w:bookmarkEnd w:id="357"/>
      <w:bookmarkStart w:id="358" w:name="_Toc184312075"/>
      <w:bookmarkEnd w:id="358"/>
      <w:bookmarkStart w:id="359" w:name="_Toc184313269"/>
      <w:bookmarkEnd w:id="359"/>
      <w:bookmarkStart w:id="360" w:name="_Toc184312073"/>
      <w:bookmarkEnd w:id="360"/>
      <w:bookmarkStart w:id="361" w:name="_Toc184313245"/>
      <w:bookmarkEnd w:id="361"/>
      <w:bookmarkStart w:id="362" w:name="_Toc184312069"/>
      <w:bookmarkEnd w:id="362"/>
      <w:bookmarkStart w:id="363" w:name="_Toc184310289"/>
      <w:bookmarkEnd w:id="363"/>
      <w:bookmarkStart w:id="364" w:name="_Toc184314461"/>
      <w:bookmarkEnd w:id="364"/>
      <w:bookmarkStart w:id="365" w:name="_Toc184310305"/>
      <w:bookmarkEnd w:id="365"/>
      <w:bookmarkStart w:id="366" w:name="_Toc184314445"/>
      <w:bookmarkEnd w:id="366"/>
      <w:bookmarkStart w:id="367" w:name="_Toc184310326"/>
      <w:bookmarkEnd w:id="367"/>
      <w:bookmarkStart w:id="368" w:name="_Toc184314459"/>
      <w:bookmarkEnd w:id="368"/>
      <w:bookmarkStart w:id="369" w:name="_Toc184313309"/>
      <w:bookmarkEnd w:id="369"/>
      <w:bookmarkStart w:id="370" w:name="_Toc184314472"/>
      <w:bookmarkEnd w:id="370"/>
      <w:bookmarkStart w:id="371" w:name="_Toc184308038"/>
      <w:bookmarkEnd w:id="371"/>
      <w:bookmarkStart w:id="372" w:name="_Toc184313289"/>
      <w:bookmarkEnd w:id="372"/>
      <w:bookmarkStart w:id="373" w:name="_Toc184312103"/>
      <w:bookmarkEnd w:id="373"/>
      <w:bookmarkStart w:id="374" w:name="_Toc184314466"/>
      <w:bookmarkEnd w:id="374"/>
      <w:bookmarkStart w:id="375" w:name="_Toc184313240"/>
      <w:bookmarkEnd w:id="375"/>
      <w:bookmarkStart w:id="376" w:name="_Toc184314453"/>
      <w:bookmarkEnd w:id="376"/>
      <w:bookmarkStart w:id="377" w:name="_Toc184314455"/>
      <w:bookmarkEnd w:id="377"/>
      <w:bookmarkStart w:id="378" w:name="_Toc184314416"/>
      <w:bookmarkEnd w:id="378"/>
      <w:bookmarkStart w:id="379" w:name="_Toc184313247"/>
      <w:bookmarkEnd w:id="379"/>
      <w:bookmarkStart w:id="380" w:name="_Toc184308090"/>
      <w:bookmarkEnd w:id="380"/>
      <w:bookmarkStart w:id="381" w:name="_Toc184308049"/>
      <w:bookmarkEnd w:id="381"/>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617"/>
        <w:gridCol w:w="877"/>
        <w:gridCol w:w="1073"/>
        <w:gridCol w:w="1496"/>
      </w:tblGrid>
      <w:tr w14:paraId="6551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5607776B">
            <w:pPr>
              <w:snapToGrid w:val="0"/>
              <w:spacing w:after="120"/>
              <w:jc w:val="center"/>
              <w:rPr>
                <w:rFonts w:hint="eastAsia" w:ascii="宋体" w:hAnsi="宋体" w:eastAsia="宋体" w:cs="宋体"/>
                <w:sz w:val="24"/>
                <w:szCs w:val="24"/>
              </w:rPr>
            </w:pPr>
            <w:r>
              <w:rPr>
                <w:rFonts w:hint="eastAsia" w:ascii="宋体" w:hAnsi="宋体" w:eastAsia="宋体" w:cs="宋体"/>
                <w:sz w:val="24"/>
                <w:szCs w:val="24"/>
              </w:rPr>
              <w:t>序号</w:t>
            </w:r>
          </w:p>
        </w:tc>
        <w:tc>
          <w:tcPr>
            <w:tcW w:w="5617" w:type="dxa"/>
            <w:noWrap w:val="0"/>
            <w:vAlign w:val="center"/>
          </w:tcPr>
          <w:p w14:paraId="6A088D7F">
            <w:pPr>
              <w:snapToGrid w:val="0"/>
              <w:spacing w:after="120"/>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877" w:type="dxa"/>
            <w:noWrap w:val="0"/>
            <w:vAlign w:val="center"/>
          </w:tcPr>
          <w:p w14:paraId="34EA0B75">
            <w:pPr>
              <w:snapToGrid w:val="0"/>
              <w:spacing w:after="120"/>
              <w:jc w:val="center"/>
              <w:rPr>
                <w:rFonts w:hint="eastAsia" w:ascii="宋体" w:hAnsi="宋体" w:eastAsia="宋体" w:cs="宋体"/>
                <w:sz w:val="24"/>
                <w:szCs w:val="24"/>
              </w:rPr>
            </w:pPr>
            <w:r>
              <w:rPr>
                <w:rFonts w:hint="eastAsia" w:ascii="宋体" w:hAnsi="宋体" w:eastAsia="宋体" w:cs="宋体"/>
                <w:sz w:val="24"/>
                <w:szCs w:val="24"/>
              </w:rPr>
              <w:t>权重</w:t>
            </w:r>
          </w:p>
        </w:tc>
        <w:tc>
          <w:tcPr>
            <w:tcW w:w="1073" w:type="dxa"/>
            <w:noWrap w:val="0"/>
            <w:vAlign w:val="center"/>
          </w:tcPr>
          <w:p w14:paraId="03968F51">
            <w:pPr>
              <w:snapToGrid w:val="0"/>
              <w:spacing w:after="120"/>
              <w:jc w:val="center"/>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496" w:type="dxa"/>
            <w:noWrap w:val="0"/>
            <w:vAlign w:val="top"/>
          </w:tcPr>
          <w:p w14:paraId="1DD60DB9">
            <w:pPr>
              <w:snapToGrid w:val="0"/>
              <w:spacing w:after="120"/>
              <w:jc w:val="center"/>
              <w:rPr>
                <w:rFonts w:hint="eastAsia" w:ascii="宋体" w:hAnsi="宋体" w:eastAsia="宋体" w:cs="宋体"/>
                <w:sz w:val="24"/>
                <w:szCs w:val="24"/>
              </w:rPr>
            </w:pPr>
            <w:r>
              <w:rPr>
                <w:rFonts w:hint="eastAsia" w:ascii="宋体" w:hAnsi="宋体" w:eastAsia="宋体" w:cs="宋体"/>
                <w:bCs/>
                <w:sz w:val="24"/>
                <w:szCs w:val="24"/>
              </w:rPr>
              <w:t>投标文件中评标标准相应的商务技术资料目录*</w:t>
            </w:r>
          </w:p>
        </w:tc>
      </w:tr>
      <w:tr w14:paraId="0718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0C22B37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617" w:type="dxa"/>
            <w:noWrap w:val="0"/>
            <w:vAlign w:val="top"/>
          </w:tcPr>
          <w:p w14:paraId="46962145">
            <w:pPr>
              <w:spacing w:before="120" w:beforeLines="50" w:after="120"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shd w:val="clear" w:color="auto" w:fill="auto"/>
              </w:rPr>
              <w:t>人自202</w:t>
            </w:r>
            <w:r>
              <w:rPr>
                <w:rFonts w:hint="eastAsia" w:ascii="宋体" w:hAnsi="宋体" w:eastAsia="宋体" w:cs="宋体"/>
                <w:sz w:val="24"/>
                <w:szCs w:val="24"/>
                <w:highlight w:val="none"/>
                <w:shd w:val="clear" w:color="auto" w:fill="auto"/>
                <w:lang w:val="en-US" w:eastAsia="zh-CN"/>
              </w:rPr>
              <w:t>2</w:t>
            </w:r>
            <w:r>
              <w:rPr>
                <w:rFonts w:hint="eastAsia" w:ascii="宋体" w:hAnsi="宋体" w:eastAsia="宋体" w:cs="宋体"/>
                <w:sz w:val="24"/>
                <w:szCs w:val="24"/>
                <w:highlight w:val="none"/>
                <w:shd w:val="clear" w:color="auto" w:fill="auto"/>
              </w:rPr>
              <w:t>年1月1日以来（以合同签订时间为准）承担过类似项目的，每提</w:t>
            </w:r>
            <w:r>
              <w:rPr>
                <w:rFonts w:hint="eastAsia" w:ascii="宋体" w:hAnsi="宋体" w:eastAsia="宋体" w:cs="宋体"/>
                <w:sz w:val="24"/>
                <w:szCs w:val="24"/>
                <w:highlight w:val="none"/>
              </w:rPr>
              <w:t>供一个得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分，最高得1分。</w:t>
            </w:r>
          </w:p>
          <w:p w14:paraId="0BFB2AD0">
            <w:pPr>
              <w:snapToGrid w:val="0"/>
              <w:spacing w:after="120" w:line="240" w:lineRule="auto"/>
              <w:jc w:val="both"/>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证明材料：</w:t>
            </w:r>
            <w:r>
              <w:rPr>
                <w:rFonts w:hint="eastAsia" w:ascii="宋体" w:hAnsi="宋体" w:eastAsia="宋体" w:cs="宋体"/>
                <w:b w:val="0"/>
                <w:bCs w:val="0"/>
                <w:sz w:val="24"/>
                <w:szCs w:val="24"/>
                <w:highlight w:val="none"/>
              </w:rPr>
              <w:t>提供合同复印件并加盖公章，不提供不得分。</w:t>
            </w:r>
            <w:r>
              <w:rPr>
                <w:rFonts w:hint="eastAsia" w:ascii="宋体" w:hAnsi="宋体" w:eastAsia="宋体" w:cs="宋体"/>
                <w:b w:val="0"/>
                <w:bCs w:val="0"/>
                <w:sz w:val="24"/>
                <w:szCs w:val="24"/>
                <w:highlight w:val="none"/>
                <w:lang w:eastAsia="zh-CN"/>
              </w:rPr>
              <w:t>】</w:t>
            </w:r>
          </w:p>
        </w:tc>
        <w:tc>
          <w:tcPr>
            <w:tcW w:w="877" w:type="dxa"/>
            <w:noWrap w:val="0"/>
            <w:vAlign w:val="center"/>
          </w:tcPr>
          <w:p w14:paraId="5509A470">
            <w:pPr>
              <w:snapToGrid w:val="0"/>
              <w:spacing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73" w:type="dxa"/>
            <w:noWrap w:val="0"/>
            <w:vAlign w:val="center"/>
          </w:tcPr>
          <w:p w14:paraId="37DEC3B5">
            <w:pPr>
              <w:snapToGrid w:val="0"/>
              <w:spacing w:after="12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客观分</w:t>
            </w:r>
          </w:p>
        </w:tc>
        <w:tc>
          <w:tcPr>
            <w:tcW w:w="1496" w:type="dxa"/>
            <w:noWrap w:val="0"/>
            <w:vAlign w:val="top"/>
          </w:tcPr>
          <w:p w14:paraId="7AFA47E6">
            <w:pPr>
              <w:snapToGrid w:val="0"/>
              <w:spacing w:after="120"/>
              <w:jc w:val="center"/>
              <w:rPr>
                <w:rFonts w:hint="eastAsia" w:ascii="宋体" w:hAnsi="宋体" w:eastAsia="宋体" w:cs="宋体"/>
                <w:sz w:val="24"/>
                <w:szCs w:val="24"/>
              </w:rPr>
            </w:pPr>
          </w:p>
        </w:tc>
      </w:tr>
      <w:tr w14:paraId="4651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4BAA9F97">
            <w:pPr>
              <w:keepNext w:val="0"/>
              <w:keepLines w:val="0"/>
              <w:widowControl/>
              <w:suppressLineNumbers w:val="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5617" w:type="dxa"/>
            <w:noWrap w:val="0"/>
            <w:vAlign w:val="top"/>
          </w:tcPr>
          <w:p w14:paraId="630D7DB3">
            <w:pPr>
              <w:adjustRightInd w:val="0"/>
              <w:snapToGrid w:val="0"/>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投标人具有质量管理体系认证证书、环境管理体系认证证书、职业健康安全管理体系认证证书</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每有一个认证得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分，本项最高得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EB2F64A">
            <w:pPr>
              <w:snapToGrid w:val="0"/>
              <w:spacing w:after="120" w:line="240" w:lineRule="auto"/>
              <w:jc w:val="both"/>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证明材料：</w:t>
            </w:r>
            <w:r>
              <w:rPr>
                <w:rFonts w:hint="eastAsia" w:ascii="宋体" w:hAnsi="宋体" w:eastAsia="宋体" w:cs="宋体"/>
                <w:bCs/>
                <w:sz w:val="24"/>
                <w:szCs w:val="24"/>
                <w:highlight w:val="none"/>
              </w:rPr>
              <w:t>提供相应的有效证书等证明材料。</w:t>
            </w:r>
            <w:r>
              <w:rPr>
                <w:rFonts w:hint="eastAsia" w:ascii="宋体" w:hAnsi="宋体" w:eastAsia="宋体" w:cs="宋体"/>
                <w:sz w:val="24"/>
                <w:szCs w:val="24"/>
                <w:highlight w:val="none"/>
                <w:lang w:eastAsia="zh-CN"/>
              </w:rPr>
              <w:t>】</w:t>
            </w:r>
          </w:p>
        </w:tc>
        <w:tc>
          <w:tcPr>
            <w:tcW w:w="877" w:type="dxa"/>
            <w:noWrap w:val="0"/>
            <w:vAlign w:val="center"/>
          </w:tcPr>
          <w:p w14:paraId="77CEE9CB">
            <w:pPr>
              <w:snapToGrid w:val="0"/>
              <w:spacing w:after="12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073" w:type="dxa"/>
            <w:noWrap w:val="0"/>
            <w:vAlign w:val="center"/>
          </w:tcPr>
          <w:p w14:paraId="437CF6EC">
            <w:pPr>
              <w:snapToGrid w:val="0"/>
              <w:spacing w:after="12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c>
          <w:tcPr>
            <w:tcW w:w="1496" w:type="dxa"/>
            <w:noWrap w:val="0"/>
            <w:vAlign w:val="top"/>
          </w:tcPr>
          <w:p w14:paraId="07757397">
            <w:pPr>
              <w:snapToGrid w:val="0"/>
              <w:spacing w:after="120"/>
              <w:jc w:val="center"/>
              <w:rPr>
                <w:rFonts w:hint="eastAsia" w:ascii="宋体" w:hAnsi="宋体" w:eastAsia="宋体" w:cs="宋体"/>
                <w:sz w:val="24"/>
                <w:szCs w:val="24"/>
              </w:rPr>
            </w:pPr>
          </w:p>
        </w:tc>
      </w:tr>
      <w:tr w14:paraId="6F5F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4ABE4F76">
            <w:pPr>
              <w:keepNext w:val="0"/>
              <w:keepLines w:val="0"/>
              <w:widowControl/>
              <w:suppressLineNumbers w:val="0"/>
              <w:jc w:val="center"/>
              <w:textAlignment w:val="center"/>
              <w:rPr>
                <w:rFonts w:hint="eastAsia" w:ascii="宋体" w:hAnsi="宋体" w:eastAsia="宋体" w:cs="宋体"/>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5617" w:type="dxa"/>
            <w:noWrap w:val="0"/>
            <w:vAlign w:val="top"/>
          </w:tcPr>
          <w:p w14:paraId="2A84C9C5">
            <w:pPr>
              <w:pStyle w:val="340"/>
              <w:spacing w:line="240" w:lineRule="auto"/>
              <w:jc w:val="both"/>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pacing w:val="-2"/>
                <w:sz w:val="24"/>
                <w:szCs w:val="24"/>
                <w:highlight w:val="none"/>
                <w:lang w:eastAsia="zh-CN"/>
              </w:rPr>
              <w:t>项目负责人：</w:t>
            </w:r>
            <w:r>
              <w:rPr>
                <w:rFonts w:hint="eastAsia" w:ascii="宋体" w:hAnsi="宋体" w:cs="宋体"/>
                <w:color w:val="auto"/>
                <w:sz w:val="24"/>
                <w:szCs w:val="20"/>
                <w:highlight w:val="none"/>
              </w:rPr>
              <w:t>具有中级职称的得1分，具有高级及以上职称的得2分</w:t>
            </w:r>
            <w:r>
              <w:rPr>
                <w:rFonts w:hint="eastAsia" w:ascii="宋体" w:hAnsi="宋体" w:eastAsia="宋体" w:cs="宋体"/>
                <w:sz w:val="24"/>
                <w:szCs w:val="24"/>
                <w:highlight w:val="none"/>
                <w:shd w:val="clear" w:color="auto" w:fill="FFFFFF"/>
                <w:lang w:val="en-US" w:eastAsia="zh-CN"/>
              </w:rPr>
              <w:t>。</w:t>
            </w:r>
          </w:p>
          <w:p w14:paraId="30FE3F2D">
            <w:pPr>
              <w:snapToGrid w:val="0"/>
              <w:spacing w:after="120" w:line="240" w:lineRule="auto"/>
              <w:jc w:val="both"/>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证明材料：</w:t>
            </w:r>
            <w:r>
              <w:rPr>
                <w:rFonts w:hint="eastAsia" w:ascii="宋体" w:hAnsi="宋体" w:eastAsia="宋体" w:cs="宋体"/>
                <w:sz w:val="24"/>
                <w:szCs w:val="24"/>
                <w:highlight w:val="none"/>
                <w:lang w:eastAsia="zh-CN"/>
              </w:rPr>
              <w:t>提供以上人员相关证书及投标人为其投保的投标截止日之前最近三月以内的</w:t>
            </w:r>
            <w:r>
              <w:rPr>
                <w:rFonts w:hint="eastAsia" w:ascii="宋体" w:hAnsi="宋体" w:cs="宋体"/>
                <w:sz w:val="24"/>
                <w:szCs w:val="24"/>
                <w:highlight w:val="none"/>
                <w:lang w:val="en-US" w:eastAsia="zh-CN"/>
              </w:rPr>
              <w:t>任意一个月</w:t>
            </w:r>
            <w:r>
              <w:rPr>
                <w:rFonts w:hint="eastAsia" w:ascii="宋体" w:hAnsi="宋体" w:eastAsia="宋体" w:cs="宋体"/>
                <w:sz w:val="24"/>
                <w:szCs w:val="24"/>
                <w:highlight w:val="none"/>
                <w:lang w:eastAsia="zh-CN"/>
              </w:rPr>
              <w:t>社保参保证明加盖公章。】</w:t>
            </w:r>
          </w:p>
        </w:tc>
        <w:tc>
          <w:tcPr>
            <w:tcW w:w="877" w:type="dxa"/>
            <w:noWrap w:val="0"/>
            <w:vAlign w:val="center"/>
          </w:tcPr>
          <w:p w14:paraId="4EE1F1D1">
            <w:pPr>
              <w:snapToGrid w:val="0"/>
              <w:spacing w:after="12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073" w:type="dxa"/>
            <w:noWrap w:val="0"/>
            <w:vAlign w:val="center"/>
          </w:tcPr>
          <w:p w14:paraId="326E005B">
            <w:pPr>
              <w:snapToGrid w:val="0"/>
              <w:spacing w:after="120"/>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客观分</w:t>
            </w:r>
          </w:p>
        </w:tc>
        <w:tc>
          <w:tcPr>
            <w:tcW w:w="1496" w:type="dxa"/>
            <w:noWrap w:val="0"/>
            <w:vAlign w:val="top"/>
          </w:tcPr>
          <w:p w14:paraId="655EC93C">
            <w:pPr>
              <w:snapToGrid w:val="0"/>
              <w:spacing w:after="120"/>
              <w:jc w:val="center"/>
              <w:rPr>
                <w:rFonts w:hint="eastAsia" w:ascii="宋体" w:hAnsi="宋体" w:eastAsia="宋体" w:cs="宋体"/>
                <w:sz w:val="24"/>
                <w:szCs w:val="24"/>
              </w:rPr>
            </w:pPr>
          </w:p>
        </w:tc>
      </w:tr>
      <w:tr w14:paraId="39F3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94" w:type="dxa"/>
            <w:noWrap w:val="0"/>
            <w:vAlign w:val="center"/>
          </w:tcPr>
          <w:p w14:paraId="3EB8A61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5617" w:type="dxa"/>
            <w:noWrap w:val="0"/>
            <w:vAlign w:val="top"/>
          </w:tcPr>
          <w:p w14:paraId="4F2C3B70">
            <w:pPr>
              <w:snapToGrid w:val="0"/>
              <w:spacing w:after="120" w:line="24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项目组成员：</w:t>
            </w:r>
            <w:r>
              <w:rPr>
                <w:rFonts w:hint="eastAsia" w:ascii="宋体" w:hAnsi="宋体" w:eastAsia="宋体"/>
                <w:color w:val="auto"/>
                <w:sz w:val="24"/>
                <w:szCs w:val="20"/>
                <w:highlight w:val="none"/>
              </w:rPr>
              <w:t>项目实施管理人员，人员配置合理、齐全、数量充足，经验丰富的得5分；人员数量基本满足需求，经验一般得3分；人员数量偏少，经验不丰富得1分；其余不得分。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证明材料：</w:t>
            </w:r>
            <w:r>
              <w:rPr>
                <w:rFonts w:hint="eastAsia" w:ascii="宋体" w:hAnsi="宋体" w:eastAsia="宋体" w:cs="宋体"/>
                <w:sz w:val="24"/>
                <w:szCs w:val="24"/>
                <w:highlight w:val="none"/>
                <w:lang w:eastAsia="zh-CN"/>
              </w:rPr>
              <w:t>提供以上人员相关证书及投标人为其投保的投标截止日之前最近三月以内的</w:t>
            </w:r>
            <w:r>
              <w:rPr>
                <w:rFonts w:hint="eastAsia" w:ascii="宋体" w:hAnsi="宋体" w:cs="宋体"/>
                <w:sz w:val="24"/>
                <w:szCs w:val="24"/>
                <w:highlight w:val="none"/>
                <w:lang w:val="en-US" w:eastAsia="zh-CN"/>
              </w:rPr>
              <w:t>任意一个月</w:t>
            </w:r>
            <w:r>
              <w:rPr>
                <w:rFonts w:hint="eastAsia" w:ascii="宋体" w:hAnsi="宋体" w:eastAsia="宋体" w:cs="宋体"/>
                <w:sz w:val="24"/>
                <w:szCs w:val="24"/>
                <w:highlight w:val="none"/>
                <w:lang w:eastAsia="zh-CN"/>
              </w:rPr>
              <w:t>社保参保证明加盖公章。】</w:t>
            </w:r>
          </w:p>
        </w:tc>
        <w:tc>
          <w:tcPr>
            <w:tcW w:w="877" w:type="dxa"/>
            <w:noWrap w:val="0"/>
            <w:vAlign w:val="center"/>
          </w:tcPr>
          <w:p w14:paraId="4F7A6BAA">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1073" w:type="dxa"/>
            <w:noWrap w:val="0"/>
            <w:vAlign w:val="center"/>
          </w:tcPr>
          <w:p w14:paraId="5FB5C28E">
            <w:pPr>
              <w:snapToGrid w:val="0"/>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10A4C16D">
            <w:pPr>
              <w:snapToGrid w:val="0"/>
              <w:spacing w:after="120"/>
              <w:jc w:val="center"/>
              <w:rPr>
                <w:rFonts w:hint="eastAsia" w:ascii="宋体" w:hAnsi="宋体" w:eastAsia="宋体" w:cs="宋体"/>
                <w:sz w:val="24"/>
                <w:szCs w:val="24"/>
              </w:rPr>
            </w:pPr>
          </w:p>
        </w:tc>
      </w:tr>
      <w:tr w14:paraId="41BD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94" w:type="dxa"/>
            <w:noWrap w:val="0"/>
            <w:vAlign w:val="center"/>
          </w:tcPr>
          <w:p w14:paraId="1637FEF9">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617" w:type="dxa"/>
            <w:noWrap w:val="0"/>
            <w:vAlign w:val="center"/>
          </w:tcPr>
          <w:p w14:paraId="78D002F8">
            <w:pPr>
              <w:spacing w:after="120"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总体理解：根据投标人对项目现状的理解程度等情况</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理解透彻、分析到位、合理科学的得</w:t>
            </w: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分；理解基本准确，深度欠佳，分析基本到位，基本合理的得</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分；理解部分准确，缺乏深度，分析稍有欠缺，基本合理的得</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分；未提供或提供内容与本项目需求偏离较大的</w:t>
            </w:r>
            <w:r>
              <w:rPr>
                <w:rFonts w:hint="eastAsia" w:ascii="宋体" w:hAnsi="宋体" w:cs="宋体"/>
                <w:b w:val="0"/>
                <w:bCs w:val="0"/>
                <w:sz w:val="24"/>
                <w:szCs w:val="24"/>
                <w:highlight w:val="none"/>
                <w:lang w:val="en-US" w:eastAsia="zh-CN"/>
              </w:rPr>
              <w:t>不得分。</w:t>
            </w:r>
          </w:p>
        </w:tc>
        <w:tc>
          <w:tcPr>
            <w:tcW w:w="877" w:type="dxa"/>
            <w:noWrap w:val="0"/>
            <w:vAlign w:val="center"/>
          </w:tcPr>
          <w:p w14:paraId="09A30805">
            <w:pPr>
              <w:spacing w:after="12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073" w:type="dxa"/>
            <w:noWrap w:val="0"/>
            <w:vAlign w:val="center"/>
          </w:tcPr>
          <w:p w14:paraId="632665E3">
            <w:pPr>
              <w:snapToGrid w:val="0"/>
              <w:spacing w:after="120"/>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主观分</w:t>
            </w:r>
          </w:p>
        </w:tc>
        <w:tc>
          <w:tcPr>
            <w:tcW w:w="1496" w:type="dxa"/>
            <w:noWrap w:val="0"/>
            <w:vAlign w:val="top"/>
          </w:tcPr>
          <w:p w14:paraId="59DA659B">
            <w:pPr>
              <w:snapToGrid w:val="0"/>
              <w:spacing w:after="120"/>
              <w:jc w:val="center"/>
              <w:rPr>
                <w:rFonts w:hint="default" w:ascii="宋体" w:hAnsi="宋体" w:eastAsia="宋体" w:cs="宋体"/>
                <w:sz w:val="24"/>
                <w:szCs w:val="24"/>
                <w:highlight w:val="yellow"/>
                <w:lang w:val="en-US" w:eastAsia="zh-CN"/>
              </w:rPr>
            </w:pPr>
          </w:p>
        </w:tc>
      </w:tr>
      <w:tr w14:paraId="7DE1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noWrap w:val="0"/>
            <w:vAlign w:val="center"/>
          </w:tcPr>
          <w:p w14:paraId="66A66C4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5617" w:type="dxa"/>
            <w:noWrap w:val="0"/>
            <w:vAlign w:val="center"/>
          </w:tcPr>
          <w:p w14:paraId="374F663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工作内容：根据投标人的工作内容，对项目任务的罗列是否全面，是否符合采购人要求，是否能够保障项目的完成等，相关</w:t>
            </w:r>
            <w:r>
              <w:rPr>
                <w:rFonts w:hint="eastAsia" w:ascii="宋体" w:hAnsi="宋体" w:cs="宋体"/>
                <w:sz w:val="24"/>
                <w:szCs w:val="24"/>
                <w:highlight w:val="none"/>
                <w:lang w:val="en-US" w:eastAsia="zh-CN"/>
              </w:rPr>
              <w:t>内容</w:t>
            </w:r>
            <w:r>
              <w:rPr>
                <w:rFonts w:hint="eastAsia" w:ascii="宋体" w:hAnsi="宋体" w:eastAsia="宋体" w:cs="宋体"/>
                <w:sz w:val="24"/>
                <w:szCs w:val="24"/>
                <w:highlight w:val="none"/>
                <w:lang w:val="en-US" w:eastAsia="zh-CN"/>
              </w:rPr>
              <w:t>的详细、完善、可行程度覆盖采购要求全部内容。内容分析全面准确、衔接完善且细化到位的得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分；内容分析较全面准确、衔接较顺畅但细化稍有欠缺的得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分；内容分析缺乏相关数据或衔接不畅或细化分解有与一定偏离的得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分；完全偏离实际情况或未提供内容的不得分。</w:t>
            </w:r>
          </w:p>
        </w:tc>
        <w:tc>
          <w:tcPr>
            <w:tcW w:w="877" w:type="dxa"/>
            <w:noWrap w:val="0"/>
            <w:vAlign w:val="center"/>
          </w:tcPr>
          <w:p w14:paraId="529B34AD">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1073" w:type="dxa"/>
            <w:noWrap w:val="0"/>
            <w:vAlign w:val="center"/>
          </w:tcPr>
          <w:p w14:paraId="627B16A9">
            <w:pPr>
              <w:snapToGrid w:val="0"/>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48A4B232">
            <w:pPr>
              <w:snapToGrid w:val="0"/>
              <w:spacing w:after="120"/>
              <w:jc w:val="center"/>
              <w:rPr>
                <w:rFonts w:hint="default" w:ascii="宋体" w:hAnsi="宋体" w:eastAsia="宋体" w:cs="宋体"/>
                <w:sz w:val="24"/>
                <w:szCs w:val="24"/>
                <w:highlight w:val="none"/>
                <w:lang w:val="en-US" w:eastAsia="zh-CN"/>
              </w:rPr>
            </w:pPr>
          </w:p>
        </w:tc>
      </w:tr>
      <w:tr w14:paraId="431D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594" w:type="dxa"/>
            <w:noWrap w:val="0"/>
            <w:vAlign w:val="center"/>
          </w:tcPr>
          <w:p w14:paraId="53C9D2DA">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iCs w:val="0"/>
                <w:color w:val="000000"/>
                <w:kern w:val="0"/>
                <w:sz w:val="24"/>
                <w:szCs w:val="24"/>
                <w:highlight w:val="none"/>
                <w:u w:val="none"/>
                <w:lang w:val="en-US" w:eastAsia="zh-CN" w:bidi="ar"/>
              </w:rPr>
              <w:t>7</w:t>
            </w:r>
          </w:p>
        </w:tc>
        <w:tc>
          <w:tcPr>
            <w:tcW w:w="5617" w:type="dxa"/>
            <w:noWrap w:val="0"/>
            <w:vAlign w:val="center"/>
          </w:tcPr>
          <w:p w14:paraId="536C2D6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针对本项目提供的机械设备及车辆配备情况是否能满足项目需要。要点内容完整、完全符合项目情况的得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分；内容与本项目联系紧密，基本符合项目情况的得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分；部分符合项目情况的得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分；不符合或未提供的得0分。</w:t>
            </w:r>
          </w:p>
        </w:tc>
        <w:tc>
          <w:tcPr>
            <w:tcW w:w="877" w:type="dxa"/>
            <w:noWrap w:val="0"/>
            <w:vAlign w:val="center"/>
          </w:tcPr>
          <w:p w14:paraId="117124C6">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w:t>
            </w:r>
          </w:p>
        </w:tc>
        <w:tc>
          <w:tcPr>
            <w:tcW w:w="1073" w:type="dxa"/>
            <w:noWrap w:val="0"/>
            <w:vAlign w:val="center"/>
          </w:tcPr>
          <w:p w14:paraId="5F237E14">
            <w:pPr>
              <w:snapToGrid w:val="0"/>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46268C90">
            <w:pPr>
              <w:snapToGrid w:val="0"/>
              <w:spacing w:after="120"/>
              <w:jc w:val="center"/>
              <w:rPr>
                <w:rFonts w:hint="eastAsia" w:ascii="宋体" w:hAnsi="宋体" w:eastAsia="宋体" w:cs="宋体"/>
                <w:sz w:val="24"/>
                <w:szCs w:val="24"/>
                <w:highlight w:val="none"/>
              </w:rPr>
            </w:pPr>
          </w:p>
        </w:tc>
      </w:tr>
      <w:tr w14:paraId="693A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18FCA3F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w:t>
            </w:r>
          </w:p>
        </w:tc>
        <w:tc>
          <w:tcPr>
            <w:tcW w:w="5617" w:type="dxa"/>
            <w:noWrap w:val="0"/>
            <w:vAlign w:val="center"/>
          </w:tcPr>
          <w:p w14:paraId="5A14892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highlight w:val="none"/>
              </w:rPr>
            </w:pPr>
            <w:r>
              <w:rPr>
                <w:rFonts w:hint="default" w:ascii="宋体" w:hAnsi="宋体" w:eastAsia="宋体" w:cs="宋体"/>
                <w:color w:val="auto"/>
                <w:sz w:val="24"/>
                <w:szCs w:val="24"/>
                <w:highlight w:val="none"/>
              </w:rPr>
              <w:t>防汛防台</w:t>
            </w:r>
            <w:r>
              <w:rPr>
                <w:rFonts w:hint="eastAsia" w:ascii="宋体" w:hAnsi="宋体" w:eastAsia="宋体" w:cs="宋体"/>
                <w:color w:val="auto"/>
                <w:sz w:val="24"/>
                <w:szCs w:val="24"/>
                <w:highlight w:val="none"/>
              </w:rPr>
              <w:t>方案：</w:t>
            </w:r>
            <w:r>
              <w:rPr>
                <w:rFonts w:hint="default" w:ascii="宋体" w:hAnsi="宋体" w:eastAsia="宋体" w:cs="宋体"/>
                <w:color w:val="auto"/>
                <w:sz w:val="24"/>
                <w:szCs w:val="24"/>
                <w:highlight w:val="none"/>
              </w:rPr>
              <w:t>防汛防台</w:t>
            </w:r>
            <w:r>
              <w:rPr>
                <w:rFonts w:hint="eastAsia" w:ascii="宋体" w:hAnsi="宋体" w:eastAsia="宋体" w:cs="宋体"/>
                <w:color w:val="auto"/>
                <w:sz w:val="24"/>
                <w:szCs w:val="24"/>
                <w:highlight w:val="none"/>
              </w:rPr>
              <w:t>方案的可操作性和针对性。要点内容完整、完全符合项目情况的得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分；内容与本项目联系紧密，基本符合项目情况的得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分；部分符合项目情况的得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分；不符合或未提供的得0分。</w:t>
            </w:r>
          </w:p>
        </w:tc>
        <w:tc>
          <w:tcPr>
            <w:tcW w:w="877" w:type="dxa"/>
            <w:noWrap w:val="0"/>
            <w:vAlign w:val="center"/>
          </w:tcPr>
          <w:p w14:paraId="14907028">
            <w:pPr>
              <w:spacing w:after="12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73" w:type="dxa"/>
            <w:noWrap w:val="0"/>
            <w:vAlign w:val="center"/>
          </w:tcPr>
          <w:p w14:paraId="4BE2EC99">
            <w:pPr>
              <w:snapToGrid w:val="0"/>
              <w:spacing w:after="12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w:t>
            </w:r>
          </w:p>
        </w:tc>
        <w:tc>
          <w:tcPr>
            <w:tcW w:w="1496" w:type="dxa"/>
            <w:noWrap w:val="0"/>
            <w:vAlign w:val="top"/>
          </w:tcPr>
          <w:p w14:paraId="03C25464">
            <w:pPr>
              <w:snapToGrid w:val="0"/>
              <w:spacing w:after="120"/>
              <w:jc w:val="center"/>
              <w:rPr>
                <w:rFonts w:hint="eastAsia" w:ascii="宋体" w:hAnsi="宋体" w:eastAsia="宋体" w:cs="宋体"/>
                <w:sz w:val="24"/>
                <w:szCs w:val="24"/>
                <w:highlight w:val="yellow"/>
              </w:rPr>
            </w:pPr>
          </w:p>
        </w:tc>
      </w:tr>
      <w:tr w14:paraId="02A9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15A68E54">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9</w:t>
            </w:r>
          </w:p>
        </w:tc>
        <w:tc>
          <w:tcPr>
            <w:tcW w:w="5617" w:type="dxa"/>
            <w:noWrap w:val="0"/>
            <w:vAlign w:val="center"/>
          </w:tcPr>
          <w:p w14:paraId="1A08370D">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抗雪防冻</w:t>
            </w:r>
            <w:r>
              <w:rPr>
                <w:rFonts w:hint="eastAsia" w:ascii="宋体" w:hAnsi="宋体" w:eastAsia="宋体" w:cs="宋体"/>
                <w:color w:val="auto"/>
                <w:sz w:val="24"/>
                <w:szCs w:val="24"/>
                <w:highlight w:val="none"/>
              </w:rPr>
              <w:t>方案：</w:t>
            </w:r>
            <w:r>
              <w:rPr>
                <w:rFonts w:hint="default" w:ascii="宋体" w:hAnsi="宋体" w:eastAsia="宋体" w:cs="宋体"/>
                <w:color w:val="auto"/>
                <w:sz w:val="24"/>
                <w:szCs w:val="24"/>
                <w:highlight w:val="none"/>
              </w:rPr>
              <w:t>抗雪防冻</w:t>
            </w:r>
            <w:r>
              <w:rPr>
                <w:rFonts w:hint="eastAsia" w:ascii="宋体" w:hAnsi="宋体" w:eastAsia="宋体" w:cs="宋体"/>
                <w:color w:val="auto"/>
                <w:sz w:val="24"/>
                <w:szCs w:val="24"/>
                <w:highlight w:val="none"/>
              </w:rPr>
              <w:t>方案的可操作性和针对性。要点内容完整、完全符合项目情况的得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分；内容与本项目联系紧密，基本符合项目情况的得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分；部分符合项目情况的得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分；不符合或未提供的得0分。</w:t>
            </w:r>
          </w:p>
        </w:tc>
        <w:tc>
          <w:tcPr>
            <w:tcW w:w="877" w:type="dxa"/>
            <w:noWrap w:val="0"/>
            <w:vAlign w:val="center"/>
          </w:tcPr>
          <w:p w14:paraId="29E3B4CC">
            <w:pPr>
              <w:spacing w:after="12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073" w:type="dxa"/>
            <w:noWrap w:val="0"/>
            <w:vAlign w:val="center"/>
          </w:tcPr>
          <w:p w14:paraId="71F5B14D">
            <w:pPr>
              <w:snapToGrid w:val="0"/>
              <w:spacing w:after="12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w:t>
            </w:r>
          </w:p>
        </w:tc>
        <w:tc>
          <w:tcPr>
            <w:tcW w:w="1496" w:type="dxa"/>
            <w:noWrap w:val="0"/>
            <w:vAlign w:val="top"/>
          </w:tcPr>
          <w:p w14:paraId="68E452D8">
            <w:pPr>
              <w:snapToGrid w:val="0"/>
              <w:spacing w:after="120"/>
              <w:jc w:val="center"/>
              <w:rPr>
                <w:rFonts w:hint="eastAsia" w:ascii="宋体" w:hAnsi="宋体" w:eastAsia="宋体" w:cs="宋体"/>
                <w:sz w:val="24"/>
                <w:szCs w:val="24"/>
                <w:highlight w:val="yellow"/>
              </w:rPr>
            </w:pPr>
          </w:p>
        </w:tc>
      </w:tr>
      <w:tr w14:paraId="65C4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3DB90B7F">
            <w:pPr>
              <w:keepNext w:val="0"/>
              <w:keepLines w:val="0"/>
              <w:widowControl/>
              <w:suppressLineNumbers w:val="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c>
          <w:tcPr>
            <w:tcW w:w="5617" w:type="dxa"/>
            <w:noWrap w:val="0"/>
            <w:vAlign w:val="center"/>
          </w:tcPr>
          <w:p w14:paraId="7AFC32A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交通通行安排、应急措施：针对本项目实施过程中造成的交通通行影响的疏通安排以及应急措施。要点内容完整、完全符合项目情况的得5分；内容与本项目联系紧密，基本符合项目情况的得3分；部分符合项目情况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分；不符合或未提供的得0分。</w:t>
            </w:r>
          </w:p>
        </w:tc>
        <w:tc>
          <w:tcPr>
            <w:tcW w:w="877" w:type="dxa"/>
            <w:noWrap w:val="0"/>
            <w:vAlign w:val="center"/>
          </w:tcPr>
          <w:p w14:paraId="62E93D19">
            <w:pPr>
              <w:spacing w:after="12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073" w:type="dxa"/>
            <w:noWrap w:val="0"/>
            <w:vAlign w:val="center"/>
          </w:tcPr>
          <w:p w14:paraId="75C4F100">
            <w:pPr>
              <w:snapToGrid w:val="0"/>
              <w:spacing w:after="12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w:t>
            </w:r>
          </w:p>
        </w:tc>
        <w:tc>
          <w:tcPr>
            <w:tcW w:w="1496" w:type="dxa"/>
            <w:noWrap w:val="0"/>
            <w:vAlign w:val="top"/>
          </w:tcPr>
          <w:p w14:paraId="5C89436C">
            <w:pPr>
              <w:snapToGrid w:val="0"/>
              <w:spacing w:after="120"/>
              <w:jc w:val="center"/>
              <w:rPr>
                <w:rFonts w:hint="eastAsia" w:ascii="宋体" w:hAnsi="宋体" w:eastAsia="宋体" w:cs="宋体"/>
                <w:sz w:val="24"/>
                <w:szCs w:val="24"/>
                <w:highlight w:val="yellow"/>
              </w:rPr>
            </w:pPr>
          </w:p>
        </w:tc>
      </w:tr>
      <w:tr w14:paraId="5F0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17AAC9B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w:t>
            </w:r>
          </w:p>
        </w:tc>
        <w:tc>
          <w:tcPr>
            <w:tcW w:w="5617" w:type="dxa"/>
            <w:noWrap w:val="0"/>
            <w:vAlign w:val="center"/>
          </w:tcPr>
          <w:p w14:paraId="1F9090FA">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重难点分析及解决措施：①针对本项目研究重点、难点，分析进行科学、合理、准确地分析描述；②针对本项目特点和重难点分析，提出相应的解决措施。</w:t>
            </w:r>
          </w:p>
          <w:p w14:paraId="2A24F8A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以上2项内容，理解透彻、分析到位、合理科学的每项得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分；理解基本准确，深度欠佳，分析基本到位，基本合理的每项得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分；理解部分准确，缺乏深度，分析稍有欠缺，基本合理的每项得1分；未提供或提供内容与本项目需求偏离较大的得0分。本项最高得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877" w:type="dxa"/>
            <w:noWrap w:val="0"/>
            <w:vAlign w:val="center"/>
          </w:tcPr>
          <w:p w14:paraId="3B0EA7D1">
            <w:pPr>
              <w:spacing w:after="12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073" w:type="dxa"/>
            <w:noWrap w:val="0"/>
            <w:vAlign w:val="center"/>
          </w:tcPr>
          <w:p w14:paraId="164C05DE">
            <w:pPr>
              <w:snapToGrid w:val="0"/>
              <w:spacing w:after="12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w:t>
            </w:r>
          </w:p>
        </w:tc>
        <w:tc>
          <w:tcPr>
            <w:tcW w:w="1496" w:type="dxa"/>
            <w:noWrap w:val="0"/>
            <w:vAlign w:val="top"/>
          </w:tcPr>
          <w:p w14:paraId="39562B21">
            <w:pPr>
              <w:snapToGrid w:val="0"/>
              <w:spacing w:after="120"/>
              <w:jc w:val="center"/>
              <w:rPr>
                <w:rFonts w:hint="eastAsia" w:ascii="宋体" w:hAnsi="宋体" w:eastAsia="宋体" w:cs="宋体"/>
                <w:sz w:val="24"/>
                <w:szCs w:val="24"/>
                <w:highlight w:val="yellow"/>
              </w:rPr>
            </w:pPr>
          </w:p>
        </w:tc>
      </w:tr>
      <w:tr w14:paraId="3F93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3DBA3104">
            <w:pPr>
              <w:keepNext w:val="0"/>
              <w:keepLines w:val="0"/>
              <w:widowControl/>
              <w:suppressLineNumbers w:val="0"/>
              <w:jc w:val="center"/>
              <w:textAlignment w:val="center"/>
              <w:rPr>
                <w:rFonts w:hint="default" w:ascii="宋体" w:hAnsi="宋体" w:eastAsia="宋体" w:cs="宋体"/>
                <w:kern w:val="2"/>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5617" w:type="dxa"/>
            <w:noWrap w:val="0"/>
            <w:vAlign w:val="center"/>
          </w:tcPr>
          <w:p w14:paraId="49043203">
            <w:pPr>
              <w:spacing w:after="120"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napToGrid w:val="0"/>
                <w:sz w:val="24"/>
                <w:szCs w:val="24"/>
                <w:highlight w:val="none"/>
              </w:rPr>
              <w:t>突发事件的响应和处理方案：根据投标人提供的突发事件的响应和处理方案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方案详细、完善、可行的得5分；方案较完整，部分可行的得3分；方案较简略，稍有欠缺的得1分；不详细、不完善的不得分。</w:t>
            </w:r>
          </w:p>
        </w:tc>
        <w:tc>
          <w:tcPr>
            <w:tcW w:w="877" w:type="dxa"/>
            <w:noWrap w:val="0"/>
            <w:vAlign w:val="center"/>
          </w:tcPr>
          <w:p w14:paraId="6321F0D2">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w:t>
            </w:r>
          </w:p>
        </w:tc>
        <w:tc>
          <w:tcPr>
            <w:tcW w:w="1073" w:type="dxa"/>
            <w:noWrap w:val="0"/>
            <w:vAlign w:val="center"/>
          </w:tcPr>
          <w:p w14:paraId="4EFF2E2F">
            <w:pPr>
              <w:snapToGrid w:val="0"/>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33A61DEB">
            <w:pPr>
              <w:snapToGrid w:val="0"/>
              <w:spacing w:after="120"/>
              <w:jc w:val="center"/>
              <w:rPr>
                <w:rFonts w:hint="eastAsia" w:ascii="宋体" w:hAnsi="宋体" w:eastAsia="宋体" w:cs="宋体"/>
                <w:kern w:val="2"/>
                <w:sz w:val="24"/>
                <w:szCs w:val="24"/>
                <w:highlight w:val="none"/>
                <w:lang w:val="en-US" w:eastAsia="zh-CN" w:bidi="ar-SA"/>
              </w:rPr>
            </w:pPr>
          </w:p>
        </w:tc>
      </w:tr>
      <w:tr w14:paraId="09D7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4B467221">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5617" w:type="dxa"/>
            <w:noWrap w:val="0"/>
            <w:vAlign w:val="center"/>
          </w:tcPr>
          <w:p w14:paraId="0EF54F1C">
            <w:pPr>
              <w:spacing w:after="120"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zh-TW"/>
              </w:rPr>
              <w:t>服务质量保障措施：</w:t>
            </w:r>
            <w:r>
              <w:rPr>
                <w:rFonts w:hint="eastAsia" w:ascii="宋体" w:hAnsi="宋体" w:eastAsia="宋体" w:cs="宋体"/>
                <w:sz w:val="24"/>
                <w:szCs w:val="24"/>
                <w:highlight w:val="none"/>
              </w:rPr>
              <w:t>根据投标人针对本项目提供的质量保证措施方案内容是否完整、合理及可操作等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方案详细、完善、可行的得5分；方案较完整，部分可行的得3分；方案较简略，稍有欠缺的得1分；不详细、不完善的不得分。</w:t>
            </w:r>
          </w:p>
        </w:tc>
        <w:tc>
          <w:tcPr>
            <w:tcW w:w="877" w:type="dxa"/>
            <w:noWrap w:val="0"/>
            <w:vAlign w:val="center"/>
          </w:tcPr>
          <w:p w14:paraId="25309AD3">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073" w:type="dxa"/>
            <w:noWrap w:val="0"/>
            <w:vAlign w:val="center"/>
          </w:tcPr>
          <w:p w14:paraId="41EE2D4D">
            <w:pPr>
              <w:snapToGrid w:val="0"/>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5FA6C499">
            <w:pPr>
              <w:snapToGrid w:val="0"/>
              <w:spacing w:after="120"/>
              <w:jc w:val="center"/>
              <w:rPr>
                <w:rFonts w:hint="eastAsia" w:ascii="宋体" w:hAnsi="宋体" w:eastAsia="宋体" w:cs="宋体"/>
                <w:kern w:val="2"/>
                <w:sz w:val="24"/>
                <w:szCs w:val="24"/>
                <w:highlight w:val="none"/>
                <w:lang w:val="en-US" w:eastAsia="zh-CN" w:bidi="ar-SA"/>
              </w:rPr>
            </w:pPr>
          </w:p>
        </w:tc>
      </w:tr>
      <w:tr w14:paraId="3249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594" w:type="dxa"/>
            <w:noWrap w:val="0"/>
            <w:vAlign w:val="center"/>
          </w:tcPr>
          <w:p w14:paraId="26F0D629">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5617" w:type="dxa"/>
            <w:noWrap w:val="0"/>
            <w:vAlign w:val="center"/>
          </w:tcPr>
          <w:p w14:paraId="4099927C">
            <w:pPr>
              <w:snapToGrid w:val="0"/>
              <w:spacing w:line="24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安</w:t>
            </w:r>
            <w:r>
              <w:rPr>
                <w:rFonts w:hint="eastAsia" w:ascii="宋体" w:hAnsi="宋体" w:eastAsia="宋体" w:cs="宋体"/>
                <w:kern w:val="2"/>
                <w:sz w:val="24"/>
                <w:szCs w:val="24"/>
                <w:highlight w:val="none"/>
                <w:lang w:val="en-US" w:eastAsia="zh-CN" w:bidi="ar-SA"/>
              </w:rPr>
              <w:t>全保障措施：外业安全保障措施科学、合理，具有可操作性的得5分；外业的安全保障措施基本科学、合理，具有一定的可操作性得3分；外业的安全保障措施欠缺的得1分，不提供相应内容不得分。</w:t>
            </w:r>
          </w:p>
          <w:p w14:paraId="22F1C7D3">
            <w:pPr>
              <w:tabs>
                <w:tab w:val="left" w:pos="0"/>
              </w:tabs>
              <w:spacing w:after="120" w:line="240" w:lineRule="auto"/>
              <w:jc w:val="left"/>
              <w:rPr>
                <w:rFonts w:hint="eastAsia" w:ascii="宋体" w:hAnsi="宋体" w:eastAsia="宋体" w:cs="宋体"/>
                <w:kern w:val="2"/>
                <w:sz w:val="24"/>
                <w:szCs w:val="24"/>
                <w:highlight w:val="none"/>
                <w:lang w:val="zh-TW" w:eastAsia="zh-CN" w:bidi="ar-SA"/>
              </w:rPr>
            </w:pPr>
            <w:r>
              <w:rPr>
                <w:rFonts w:hint="eastAsia" w:ascii="宋体" w:hAnsi="宋体" w:eastAsia="宋体" w:cs="宋体"/>
                <w:b/>
                <w:bCs/>
                <w:kern w:val="2"/>
                <w:sz w:val="24"/>
                <w:szCs w:val="24"/>
                <w:highlight w:val="none"/>
                <w:lang w:val="en-US" w:eastAsia="zh-CN" w:bidi="ar-SA"/>
              </w:rPr>
              <w:t>注:承诺中标后为项目组人员提供人身意外保险。提供承诺函（格式自拟），不提供不得分。</w:t>
            </w:r>
          </w:p>
        </w:tc>
        <w:tc>
          <w:tcPr>
            <w:tcW w:w="877" w:type="dxa"/>
            <w:noWrap w:val="0"/>
            <w:vAlign w:val="center"/>
          </w:tcPr>
          <w:p w14:paraId="458C641C">
            <w:pPr>
              <w:autoSpaceDE w:val="0"/>
              <w:autoSpaceDN w:val="0"/>
              <w:snapToGrid w:val="0"/>
              <w:spacing w:after="12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1073" w:type="dxa"/>
            <w:noWrap w:val="0"/>
            <w:vAlign w:val="center"/>
          </w:tcPr>
          <w:p w14:paraId="60B0C21C">
            <w:pPr>
              <w:tabs>
                <w:tab w:val="left" w:pos="0"/>
              </w:tabs>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主观分</w:t>
            </w:r>
          </w:p>
        </w:tc>
        <w:tc>
          <w:tcPr>
            <w:tcW w:w="1496" w:type="dxa"/>
            <w:noWrap w:val="0"/>
            <w:vAlign w:val="top"/>
          </w:tcPr>
          <w:p w14:paraId="5E315C76">
            <w:pPr>
              <w:snapToGrid w:val="0"/>
              <w:spacing w:after="120"/>
              <w:jc w:val="center"/>
              <w:rPr>
                <w:rFonts w:hint="eastAsia" w:ascii="宋体" w:hAnsi="宋体" w:eastAsia="宋体" w:cs="宋体"/>
                <w:kern w:val="2"/>
                <w:sz w:val="24"/>
                <w:szCs w:val="24"/>
                <w:highlight w:val="yellow"/>
                <w:lang w:val="en-US" w:eastAsia="zh-CN" w:bidi="ar-SA"/>
              </w:rPr>
            </w:pPr>
          </w:p>
        </w:tc>
      </w:tr>
      <w:tr w14:paraId="7B06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94" w:type="dxa"/>
            <w:noWrap w:val="0"/>
            <w:vAlign w:val="center"/>
          </w:tcPr>
          <w:p w14:paraId="220585A1">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w:t>
            </w:r>
          </w:p>
        </w:tc>
        <w:tc>
          <w:tcPr>
            <w:tcW w:w="5617" w:type="dxa"/>
            <w:noWrap w:val="0"/>
            <w:vAlign w:val="center"/>
          </w:tcPr>
          <w:p w14:paraId="09D4A274">
            <w:pPr>
              <w:spacing w:after="120" w:line="240" w:lineRule="auto"/>
              <w:jc w:val="left"/>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投标人针对本项目制定了专项的</w:t>
            </w:r>
            <w:r>
              <w:rPr>
                <w:rFonts w:hint="default" w:ascii="宋体" w:hAnsi="宋体" w:eastAsia="宋体" w:cs="宋体"/>
                <w:kern w:val="2"/>
                <w:sz w:val="24"/>
                <w:szCs w:val="24"/>
                <w:highlight w:val="none"/>
                <w:lang w:val="en-US" w:eastAsia="zh-CN" w:bidi="ar-SA"/>
              </w:rPr>
              <w:t>安全生产培训</w:t>
            </w:r>
            <w:r>
              <w:rPr>
                <w:rFonts w:hint="eastAsia" w:ascii="宋体" w:hAnsi="宋体" w:eastAsia="宋体" w:cs="宋体"/>
                <w:kern w:val="2"/>
                <w:sz w:val="24"/>
                <w:szCs w:val="24"/>
                <w:highlight w:val="none"/>
                <w:lang w:val="en-US" w:eastAsia="zh-CN" w:bidi="ar-SA"/>
              </w:rPr>
              <w:t>计划</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培训内容全面、计划安排合理</w:t>
            </w:r>
            <w:r>
              <w:rPr>
                <w:rFonts w:hint="default" w:ascii="宋体" w:hAnsi="宋体" w:eastAsia="宋体" w:cs="宋体"/>
                <w:kern w:val="2"/>
                <w:sz w:val="24"/>
                <w:szCs w:val="24"/>
                <w:highlight w:val="none"/>
                <w:lang w:val="en-US" w:eastAsia="zh-CN" w:bidi="ar-SA"/>
              </w:rPr>
              <w:t>的得</w:t>
            </w:r>
            <w:r>
              <w:rPr>
                <w:rFonts w:hint="eastAsia" w:ascii="宋体" w:hAnsi="宋体" w:eastAsia="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分，</w:t>
            </w:r>
            <w:r>
              <w:rPr>
                <w:rFonts w:hint="eastAsia" w:ascii="宋体" w:hAnsi="宋体" w:eastAsia="宋体" w:cs="宋体"/>
                <w:kern w:val="2"/>
                <w:sz w:val="24"/>
                <w:szCs w:val="24"/>
                <w:highlight w:val="none"/>
                <w:lang w:val="en-US" w:eastAsia="zh-CN" w:bidi="ar-SA"/>
              </w:rPr>
              <w:t>培训内容、计划基本合理</w:t>
            </w:r>
            <w:r>
              <w:rPr>
                <w:rFonts w:hint="default" w:ascii="宋体" w:hAnsi="宋体" w:eastAsia="宋体" w:cs="宋体"/>
                <w:kern w:val="2"/>
                <w:sz w:val="24"/>
                <w:szCs w:val="24"/>
                <w:highlight w:val="none"/>
                <w:lang w:val="en-US" w:eastAsia="zh-CN" w:bidi="ar-SA"/>
              </w:rPr>
              <w:t>的得</w:t>
            </w:r>
            <w:r>
              <w:rPr>
                <w:rFonts w:hint="eastAsia" w:ascii="宋体" w:hAnsi="宋体" w:eastAsia="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培训内容、计划不完善的得1分，</w:t>
            </w:r>
            <w:r>
              <w:rPr>
                <w:rFonts w:hint="default" w:ascii="宋体" w:hAnsi="宋体" w:eastAsia="宋体" w:cs="宋体"/>
                <w:kern w:val="2"/>
                <w:sz w:val="24"/>
                <w:szCs w:val="24"/>
                <w:highlight w:val="none"/>
                <w:lang w:val="en-US" w:eastAsia="zh-CN" w:bidi="ar-SA"/>
              </w:rPr>
              <w:t>未</w:t>
            </w:r>
            <w:r>
              <w:rPr>
                <w:rFonts w:hint="eastAsia" w:ascii="宋体" w:hAnsi="宋体" w:eastAsia="宋体" w:cs="宋体"/>
                <w:kern w:val="2"/>
                <w:sz w:val="24"/>
                <w:szCs w:val="24"/>
                <w:highlight w:val="none"/>
                <w:lang w:val="en-US" w:eastAsia="zh-CN" w:bidi="ar-SA"/>
              </w:rPr>
              <w:t>无培训计划</w:t>
            </w:r>
            <w:r>
              <w:rPr>
                <w:rFonts w:hint="default" w:ascii="宋体" w:hAnsi="宋体" w:eastAsia="宋体" w:cs="宋体"/>
                <w:kern w:val="2"/>
                <w:sz w:val="24"/>
                <w:szCs w:val="24"/>
                <w:highlight w:val="none"/>
                <w:lang w:val="en-US" w:eastAsia="zh-CN" w:bidi="ar-SA"/>
              </w:rPr>
              <w:t>的得0分</w:t>
            </w:r>
            <w:r>
              <w:rPr>
                <w:rFonts w:hint="eastAsia" w:ascii="宋体" w:hAnsi="宋体" w:eastAsia="宋体" w:cs="宋体"/>
                <w:kern w:val="2"/>
                <w:sz w:val="24"/>
                <w:szCs w:val="24"/>
                <w:highlight w:val="none"/>
                <w:lang w:val="en-US" w:eastAsia="zh-CN" w:bidi="ar-SA"/>
              </w:rPr>
              <w:t>。</w:t>
            </w:r>
          </w:p>
        </w:tc>
        <w:tc>
          <w:tcPr>
            <w:tcW w:w="877" w:type="dxa"/>
            <w:noWrap w:val="0"/>
            <w:vAlign w:val="center"/>
          </w:tcPr>
          <w:p w14:paraId="6B64EE40">
            <w:pPr>
              <w:autoSpaceDE w:val="0"/>
              <w:autoSpaceDN w:val="0"/>
              <w:snapToGrid w:val="0"/>
              <w:spacing w:after="12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p>
        </w:tc>
        <w:tc>
          <w:tcPr>
            <w:tcW w:w="1073" w:type="dxa"/>
            <w:noWrap w:val="0"/>
            <w:vAlign w:val="center"/>
          </w:tcPr>
          <w:p w14:paraId="0A1E51C0">
            <w:pPr>
              <w:tabs>
                <w:tab w:val="left" w:pos="0"/>
              </w:tabs>
              <w:spacing w:after="12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主观分</w:t>
            </w:r>
          </w:p>
        </w:tc>
        <w:tc>
          <w:tcPr>
            <w:tcW w:w="1496" w:type="dxa"/>
            <w:noWrap w:val="0"/>
            <w:vAlign w:val="top"/>
          </w:tcPr>
          <w:p w14:paraId="36856D91">
            <w:pPr>
              <w:snapToGrid w:val="0"/>
              <w:spacing w:after="120"/>
              <w:jc w:val="center"/>
              <w:rPr>
                <w:rFonts w:hint="eastAsia" w:ascii="宋体" w:hAnsi="宋体" w:eastAsia="宋体" w:cs="宋体"/>
                <w:kern w:val="2"/>
                <w:sz w:val="24"/>
                <w:szCs w:val="24"/>
                <w:highlight w:val="none"/>
                <w:lang w:val="en-US" w:eastAsia="zh-CN" w:bidi="ar-SA"/>
              </w:rPr>
            </w:pPr>
          </w:p>
        </w:tc>
      </w:tr>
      <w:tr w14:paraId="65DC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94" w:type="dxa"/>
            <w:noWrap w:val="0"/>
            <w:vAlign w:val="center"/>
          </w:tcPr>
          <w:p w14:paraId="0595CFB9">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5617" w:type="dxa"/>
            <w:noWrap w:val="0"/>
            <w:vAlign w:val="center"/>
          </w:tcPr>
          <w:p w14:paraId="122C56A1">
            <w:pPr>
              <w:spacing w:after="120" w:line="24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内部管理制度：投标人内部管理制度完整，有详细的工作职责、岗位要求、考核细则的得5分；内部管理制度较为完善的得3分；内部管理制度存在缺失且存在偏离的得1分；未提供不得分。</w:t>
            </w:r>
          </w:p>
        </w:tc>
        <w:tc>
          <w:tcPr>
            <w:tcW w:w="877" w:type="dxa"/>
            <w:noWrap w:val="0"/>
            <w:vAlign w:val="center"/>
          </w:tcPr>
          <w:p w14:paraId="396BB62E">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w:t>
            </w:r>
          </w:p>
        </w:tc>
        <w:tc>
          <w:tcPr>
            <w:tcW w:w="1073" w:type="dxa"/>
            <w:noWrap w:val="0"/>
            <w:vAlign w:val="center"/>
          </w:tcPr>
          <w:p w14:paraId="2F9DBCC0">
            <w:pPr>
              <w:snapToGrid w:val="0"/>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67E3F173">
            <w:pPr>
              <w:snapToGrid w:val="0"/>
              <w:spacing w:after="120"/>
              <w:jc w:val="center"/>
              <w:rPr>
                <w:rFonts w:hint="eastAsia" w:ascii="宋体" w:hAnsi="宋体" w:eastAsia="宋体" w:cs="宋体"/>
                <w:kern w:val="2"/>
                <w:sz w:val="24"/>
                <w:szCs w:val="24"/>
                <w:highlight w:val="none"/>
                <w:lang w:val="en-US" w:eastAsia="zh-CN" w:bidi="ar-SA"/>
              </w:rPr>
            </w:pPr>
          </w:p>
        </w:tc>
      </w:tr>
      <w:tr w14:paraId="0B00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5A7FCB7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w:t>
            </w:r>
          </w:p>
        </w:tc>
        <w:tc>
          <w:tcPr>
            <w:tcW w:w="5617" w:type="dxa"/>
            <w:noWrap w:val="0"/>
            <w:vAlign w:val="center"/>
          </w:tcPr>
          <w:p w14:paraId="435A3D72">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台账制度：</w:t>
            </w:r>
            <w:r>
              <w:rPr>
                <w:rFonts w:hint="default" w:ascii="宋体" w:hAnsi="宋体" w:eastAsia="宋体" w:cs="宋体"/>
                <w:sz w:val="24"/>
                <w:highlight w:val="none"/>
                <w:lang w:val="en-US" w:eastAsia="zh-CN"/>
              </w:rPr>
              <w:t>日常巡检</w:t>
            </w:r>
            <w:r>
              <w:rPr>
                <w:rFonts w:hint="eastAsia" w:ascii="宋体" w:hAnsi="宋体" w:eastAsia="宋体" w:cs="宋体"/>
                <w:sz w:val="24"/>
                <w:highlight w:val="none"/>
                <w:lang w:val="en-US" w:eastAsia="zh-CN"/>
              </w:rPr>
              <w:t>及整治台账记录</w:t>
            </w:r>
            <w:r>
              <w:rPr>
                <w:rFonts w:hint="default" w:ascii="宋体" w:hAnsi="宋体" w:eastAsia="宋体" w:cs="宋体"/>
                <w:sz w:val="24"/>
                <w:highlight w:val="none"/>
                <w:lang w:val="en-US" w:eastAsia="zh-CN"/>
              </w:rPr>
              <w:t>健全满足采购</w:t>
            </w:r>
            <w:r>
              <w:rPr>
                <w:rFonts w:hint="eastAsia" w:ascii="宋体" w:hAnsi="宋体" w:eastAsia="宋体" w:cs="宋体"/>
                <w:sz w:val="24"/>
                <w:highlight w:val="none"/>
                <w:lang w:val="en-US" w:eastAsia="zh-CN"/>
              </w:rPr>
              <w:t>人要求</w:t>
            </w:r>
            <w:r>
              <w:rPr>
                <w:rFonts w:hint="default" w:ascii="宋体" w:hAnsi="宋体" w:eastAsia="宋体" w:cs="宋体"/>
                <w:sz w:val="24"/>
                <w:highlight w:val="none"/>
                <w:lang w:val="en-US" w:eastAsia="zh-CN"/>
              </w:rPr>
              <w:t>的得</w:t>
            </w:r>
            <w:r>
              <w:rPr>
                <w:rFonts w:hint="eastAsia" w:ascii="宋体" w:hAnsi="宋体" w:eastAsia="宋体" w:cs="宋体"/>
                <w:sz w:val="24"/>
                <w:highlight w:val="none"/>
                <w:lang w:val="en-US" w:eastAsia="zh-CN"/>
              </w:rPr>
              <w:t>5</w:t>
            </w:r>
            <w:r>
              <w:rPr>
                <w:rFonts w:hint="default" w:ascii="宋体" w:hAnsi="宋体" w:eastAsia="宋体" w:cs="宋体"/>
                <w:sz w:val="24"/>
                <w:highlight w:val="none"/>
                <w:lang w:val="en-US" w:eastAsia="zh-CN"/>
              </w:rPr>
              <w:t>分，基本健全的得</w:t>
            </w:r>
            <w:r>
              <w:rPr>
                <w:rFonts w:hint="eastAsia" w:ascii="宋体" w:hAnsi="宋体" w:eastAsia="宋体" w:cs="宋体"/>
                <w:sz w:val="24"/>
                <w:highlight w:val="none"/>
                <w:lang w:val="en-US" w:eastAsia="zh-CN"/>
              </w:rPr>
              <w:t>3</w:t>
            </w:r>
            <w:r>
              <w:rPr>
                <w:rFonts w:hint="default" w:ascii="宋体" w:hAnsi="宋体" w:eastAsia="宋体" w:cs="宋体"/>
                <w:sz w:val="24"/>
                <w:highlight w:val="none"/>
                <w:lang w:val="en-US" w:eastAsia="zh-CN"/>
              </w:rPr>
              <w:t>分，</w:t>
            </w:r>
            <w:r>
              <w:rPr>
                <w:rFonts w:hint="eastAsia" w:ascii="宋体" w:hAnsi="宋体" w:eastAsia="宋体" w:cs="宋体"/>
                <w:sz w:val="24"/>
                <w:highlight w:val="none"/>
                <w:lang w:val="en-US" w:eastAsia="zh-CN"/>
              </w:rPr>
              <w:t>不完善的得1分，</w:t>
            </w:r>
            <w:r>
              <w:rPr>
                <w:rFonts w:hint="default" w:ascii="宋体" w:hAnsi="宋体" w:eastAsia="宋体" w:cs="宋体"/>
                <w:sz w:val="24"/>
                <w:highlight w:val="none"/>
                <w:lang w:val="en-US" w:eastAsia="zh-CN"/>
              </w:rPr>
              <w:t>未制订的得0分</w:t>
            </w:r>
            <w:r>
              <w:rPr>
                <w:rFonts w:hint="eastAsia" w:ascii="宋体" w:hAnsi="宋体" w:eastAsia="宋体" w:cs="宋体"/>
                <w:sz w:val="24"/>
                <w:highlight w:val="none"/>
                <w:lang w:val="en-US" w:eastAsia="zh-CN"/>
              </w:rPr>
              <w:t>。</w:t>
            </w:r>
          </w:p>
        </w:tc>
        <w:tc>
          <w:tcPr>
            <w:tcW w:w="877" w:type="dxa"/>
            <w:noWrap w:val="0"/>
            <w:vAlign w:val="center"/>
          </w:tcPr>
          <w:p w14:paraId="7E203E20">
            <w:pPr>
              <w:spacing w:after="12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073" w:type="dxa"/>
            <w:noWrap w:val="0"/>
            <w:vAlign w:val="center"/>
          </w:tcPr>
          <w:p w14:paraId="0C4EC997">
            <w:pPr>
              <w:snapToGrid w:val="0"/>
              <w:spacing w:after="12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w:t>
            </w:r>
          </w:p>
        </w:tc>
        <w:tc>
          <w:tcPr>
            <w:tcW w:w="1496" w:type="dxa"/>
            <w:noWrap w:val="0"/>
            <w:vAlign w:val="top"/>
          </w:tcPr>
          <w:p w14:paraId="42D758C8">
            <w:pPr>
              <w:snapToGrid w:val="0"/>
              <w:spacing w:after="120"/>
              <w:jc w:val="center"/>
              <w:rPr>
                <w:rFonts w:hint="eastAsia" w:ascii="宋体" w:hAnsi="宋体" w:eastAsia="宋体" w:cs="宋体"/>
                <w:sz w:val="24"/>
                <w:szCs w:val="24"/>
                <w:highlight w:val="yellow"/>
              </w:rPr>
            </w:pPr>
          </w:p>
        </w:tc>
      </w:tr>
      <w:tr w14:paraId="7A5B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noWrap w:val="0"/>
            <w:vAlign w:val="center"/>
          </w:tcPr>
          <w:p w14:paraId="120D488D">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5617" w:type="dxa"/>
            <w:noWrap w:val="0"/>
            <w:vAlign w:val="center"/>
          </w:tcPr>
          <w:p w14:paraId="2590F0C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zh-TW" w:eastAsia="zh-CN"/>
              </w:rPr>
              <w:t>合理化建议：</w:t>
            </w:r>
            <w:r>
              <w:rPr>
                <w:rFonts w:hint="eastAsia" w:ascii="宋体" w:hAnsi="宋体" w:eastAsia="宋体" w:cs="宋体"/>
                <w:sz w:val="24"/>
                <w:highlight w:val="none"/>
                <w:lang w:val="en-US" w:eastAsia="zh-CN"/>
              </w:rPr>
              <w:t>根据投标人针对本项目的存在的问题及其他可预见问题所提出的合理化建议和相应的解决措施,详细具体，内容完整准确，思路清晰，调查充分，贴合实际情况，具有可执行性。合理化建议等，问题分析准确、解决措施到位的得5分；问题分析及解决措施一般的每项得3分；问题分析及解决措施较差的每项得1分；未提供或与本项目偏离较大的不得分。</w:t>
            </w:r>
          </w:p>
        </w:tc>
        <w:tc>
          <w:tcPr>
            <w:tcW w:w="877" w:type="dxa"/>
            <w:noWrap w:val="0"/>
            <w:vAlign w:val="center"/>
          </w:tcPr>
          <w:p w14:paraId="4CF52960">
            <w:pPr>
              <w:spacing w:after="12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1073" w:type="dxa"/>
            <w:noWrap w:val="0"/>
            <w:vAlign w:val="center"/>
          </w:tcPr>
          <w:p w14:paraId="2E5835F9">
            <w:pPr>
              <w:snapToGrid w:val="0"/>
              <w:spacing w:after="12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主观分</w:t>
            </w:r>
          </w:p>
        </w:tc>
        <w:tc>
          <w:tcPr>
            <w:tcW w:w="1496" w:type="dxa"/>
            <w:noWrap w:val="0"/>
            <w:vAlign w:val="top"/>
          </w:tcPr>
          <w:p w14:paraId="1E6410C7">
            <w:pPr>
              <w:snapToGrid w:val="0"/>
              <w:spacing w:after="120"/>
              <w:jc w:val="center"/>
              <w:rPr>
                <w:rFonts w:hint="eastAsia" w:ascii="宋体" w:hAnsi="宋体" w:eastAsia="宋体" w:cs="宋体"/>
                <w:kern w:val="2"/>
                <w:sz w:val="24"/>
                <w:szCs w:val="24"/>
                <w:highlight w:val="none"/>
                <w:lang w:val="en-US" w:eastAsia="zh-CN" w:bidi="ar-SA"/>
              </w:rPr>
            </w:pPr>
          </w:p>
        </w:tc>
      </w:tr>
      <w:tr w14:paraId="1AB9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94" w:type="dxa"/>
            <w:noWrap w:val="0"/>
            <w:vAlign w:val="center"/>
          </w:tcPr>
          <w:p w14:paraId="291008F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w:t>
            </w:r>
          </w:p>
        </w:tc>
        <w:tc>
          <w:tcPr>
            <w:tcW w:w="5617" w:type="dxa"/>
            <w:noWrap w:val="0"/>
            <w:vAlign w:val="center"/>
          </w:tcPr>
          <w:p w14:paraId="4DD98EAB">
            <w:pPr>
              <w:tabs>
                <w:tab w:val="left" w:pos="0"/>
              </w:tabs>
              <w:spacing w:line="240" w:lineRule="auto"/>
              <w:jc w:val="left"/>
              <w:rPr>
                <w:rFonts w:hint="eastAsia" w:ascii="宋体" w:hAnsi="宋体" w:eastAsia="宋体" w:cs="宋体"/>
                <w:b w:val="0"/>
                <w:bCs w:val="0"/>
                <w:kern w:val="2"/>
                <w:sz w:val="24"/>
                <w:szCs w:val="24"/>
                <w:highlight w:val="none"/>
                <w:lang w:val="zh-TW" w:eastAsia="zh-CN" w:bidi="ar-SA"/>
              </w:rPr>
            </w:pPr>
            <w:bookmarkStart w:id="509" w:name="_GoBack"/>
            <w:r>
              <w:rPr>
                <w:rFonts w:hint="eastAsia" w:ascii="宋体" w:hAnsi="宋体" w:cs="宋体"/>
                <w:b w:val="0"/>
                <w:bCs w:val="0"/>
                <w:sz w:val="24"/>
                <w:highlight w:val="none"/>
              </w:rPr>
              <w:t>其他增值或优惠服务：增值或优惠方案针对性强、服务方案最优的得</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分；增值或优惠方案较少、针对性一般的得</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分；未提供不得分。</w:t>
            </w:r>
            <w:bookmarkEnd w:id="509"/>
          </w:p>
        </w:tc>
        <w:tc>
          <w:tcPr>
            <w:tcW w:w="877" w:type="dxa"/>
            <w:noWrap w:val="0"/>
            <w:vAlign w:val="center"/>
          </w:tcPr>
          <w:p w14:paraId="6163E83D">
            <w:pPr>
              <w:tabs>
                <w:tab w:val="left" w:pos="0"/>
              </w:tabs>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4</w:t>
            </w:r>
          </w:p>
        </w:tc>
        <w:tc>
          <w:tcPr>
            <w:tcW w:w="1073" w:type="dxa"/>
            <w:noWrap w:val="0"/>
            <w:vAlign w:val="center"/>
          </w:tcPr>
          <w:p w14:paraId="2B3A2061">
            <w:pPr>
              <w:snapToGrid w:val="0"/>
              <w:spacing w:line="288"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bCs/>
                <w:sz w:val="24"/>
                <w:highlight w:val="none"/>
              </w:rPr>
              <w:t>主观分</w:t>
            </w:r>
          </w:p>
        </w:tc>
        <w:tc>
          <w:tcPr>
            <w:tcW w:w="1496" w:type="dxa"/>
            <w:noWrap w:val="0"/>
            <w:vAlign w:val="top"/>
          </w:tcPr>
          <w:p w14:paraId="25E1EC3A">
            <w:pPr>
              <w:snapToGrid w:val="0"/>
              <w:spacing w:after="120"/>
              <w:jc w:val="center"/>
              <w:rPr>
                <w:rFonts w:hint="eastAsia" w:ascii="宋体" w:hAnsi="宋体" w:eastAsia="宋体" w:cs="宋体"/>
                <w:kern w:val="2"/>
                <w:sz w:val="24"/>
                <w:szCs w:val="24"/>
                <w:highlight w:val="none"/>
                <w:lang w:val="en-US" w:eastAsia="zh-CN" w:bidi="ar-SA"/>
              </w:rPr>
            </w:pPr>
          </w:p>
        </w:tc>
      </w:tr>
      <w:tr w14:paraId="2FC7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shd w:val="clear" w:color="auto" w:fill="auto"/>
            <w:noWrap w:val="0"/>
            <w:vAlign w:val="center"/>
          </w:tcPr>
          <w:p w14:paraId="3AA4438D">
            <w:pPr>
              <w:keepNext w:val="0"/>
              <w:keepLines w:val="0"/>
              <w:widowControl/>
              <w:suppressLineNumbers w:val="0"/>
              <w:jc w:val="center"/>
              <w:textAlignment w:val="center"/>
              <w:rPr>
                <w:rFonts w:hint="default" w:ascii="宋体" w:hAnsi="宋体" w:eastAsia="宋体" w:cs="宋体"/>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20</w:t>
            </w:r>
          </w:p>
        </w:tc>
        <w:tc>
          <w:tcPr>
            <w:tcW w:w="5617" w:type="dxa"/>
            <w:shd w:val="clear" w:color="auto" w:fill="auto"/>
            <w:noWrap w:val="0"/>
            <w:vAlign w:val="top"/>
          </w:tcPr>
          <w:p w14:paraId="5393488F">
            <w:pPr>
              <w:spacing w:after="120" w:line="24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rPr>
              <w:t>相应权重</w:t>
            </w:r>
            <w:r>
              <w:rPr>
                <w:rFonts w:hint="eastAsia" w:ascii="宋体" w:hAnsi="宋体" w:eastAsia="宋体" w:cs="宋体"/>
                <w:sz w:val="24"/>
                <w:szCs w:val="24"/>
                <w:highlight w:val="none"/>
              </w:rPr>
              <w:t>］的计算公式计算。</w:t>
            </w:r>
          </w:p>
          <w:p w14:paraId="12A0AE5D">
            <w:pPr>
              <w:widowControl/>
              <w:shd w:val="clear" w:color="auto" w:fill="FFFFFF"/>
              <w:adjustRightInd/>
              <w:spacing w:after="12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tc>
        <w:tc>
          <w:tcPr>
            <w:tcW w:w="877" w:type="dxa"/>
            <w:shd w:val="clear" w:color="auto" w:fill="auto"/>
            <w:noWrap w:val="0"/>
            <w:vAlign w:val="center"/>
          </w:tcPr>
          <w:p w14:paraId="347C88EA">
            <w:pPr>
              <w:spacing w:after="120"/>
              <w:jc w:val="center"/>
              <w:outlineLvl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073" w:type="dxa"/>
            <w:noWrap w:val="0"/>
            <w:vAlign w:val="center"/>
          </w:tcPr>
          <w:p w14:paraId="27FF8CBD">
            <w:pPr>
              <w:spacing w:after="120"/>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496" w:type="dxa"/>
            <w:noWrap w:val="0"/>
            <w:vAlign w:val="center"/>
          </w:tcPr>
          <w:p w14:paraId="179E9DA3">
            <w:pPr>
              <w:spacing w:after="120"/>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bl>
    <w:p w14:paraId="57C2C6AE">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15"/>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82" w:name="第五部分"/>
      <w:bookmarkStart w:id="383"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B26BD14">
      <w:pPr>
        <w:widowControl/>
        <w:adjustRightInd/>
        <w:jc w:val="center"/>
        <w:rPr>
          <w:rFonts w:hint="eastAsia" w:ascii="宋体" w:hAnsi="宋体" w:cs="宋体"/>
          <w:b/>
          <w:color w:val="auto"/>
          <w:sz w:val="36"/>
          <w:szCs w:val="36"/>
          <w:highlight w:val="none"/>
        </w:rPr>
      </w:pPr>
    </w:p>
    <w:p w14:paraId="6C2D1E99">
      <w:pPr>
        <w:widowControl/>
        <w:adjustRightInd/>
        <w:jc w:val="center"/>
        <w:rPr>
          <w:rFonts w:hint="eastAsia" w:ascii="宋体" w:hAnsi="宋体" w:cs="宋体"/>
          <w:b/>
          <w:color w:val="auto"/>
          <w:sz w:val="36"/>
          <w:szCs w:val="36"/>
          <w:highlight w:val="none"/>
        </w:rPr>
      </w:pPr>
    </w:p>
    <w:p w14:paraId="65EC3348">
      <w:pPr>
        <w:widowControl/>
        <w:adjustRightInd/>
        <w:jc w:val="center"/>
        <w:rPr>
          <w:rFonts w:hint="eastAsia" w:ascii="宋体" w:hAnsi="宋体" w:cs="宋体"/>
          <w:b/>
          <w:color w:val="auto"/>
          <w:sz w:val="36"/>
          <w:szCs w:val="36"/>
          <w:highlight w:val="none"/>
        </w:rPr>
      </w:pPr>
    </w:p>
    <w:p w14:paraId="43A8AB9C">
      <w:pPr>
        <w:widowControl/>
        <w:adjustRightInd/>
        <w:jc w:val="center"/>
        <w:rPr>
          <w:rFonts w:hint="eastAsia" w:ascii="宋体" w:hAnsi="宋体" w:cs="宋体"/>
          <w:b/>
          <w:color w:val="auto"/>
          <w:sz w:val="36"/>
          <w:szCs w:val="36"/>
          <w:highlight w:val="none"/>
        </w:rPr>
      </w:pPr>
    </w:p>
    <w:p w14:paraId="69D6158F">
      <w:pPr>
        <w:widowControl/>
        <w:adjustRightInd/>
        <w:jc w:val="center"/>
        <w:rPr>
          <w:rFonts w:hint="eastAsia" w:ascii="宋体" w:hAnsi="宋体" w:cs="宋体"/>
          <w:b/>
          <w:color w:val="auto"/>
          <w:sz w:val="36"/>
          <w:szCs w:val="36"/>
          <w:highlight w:val="none"/>
        </w:rPr>
      </w:pPr>
    </w:p>
    <w:p w14:paraId="6F88012E">
      <w:pPr>
        <w:widowControl/>
        <w:adjustRightInd/>
        <w:jc w:val="center"/>
        <w:rPr>
          <w:rFonts w:hint="eastAsia" w:ascii="宋体" w:hAnsi="宋体" w:cs="宋体"/>
          <w:b/>
          <w:color w:val="auto"/>
          <w:sz w:val="36"/>
          <w:szCs w:val="36"/>
          <w:highlight w:val="none"/>
        </w:rPr>
      </w:pPr>
    </w:p>
    <w:p w14:paraId="49E942C7">
      <w:pPr>
        <w:widowControl/>
        <w:adjustRightInd/>
        <w:jc w:val="center"/>
        <w:rPr>
          <w:rFonts w:hint="eastAsia" w:ascii="宋体" w:hAnsi="宋体" w:cs="宋体"/>
          <w:b/>
          <w:color w:val="auto"/>
          <w:sz w:val="36"/>
          <w:szCs w:val="36"/>
          <w:highlight w:val="none"/>
        </w:rPr>
      </w:pPr>
    </w:p>
    <w:p w14:paraId="356A05FA">
      <w:pPr>
        <w:widowControl/>
        <w:adjustRightInd/>
        <w:jc w:val="center"/>
        <w:rPr>
          <w:rFonts w:hint="eastAsia" w:ascii="宋体" w:hAnsi="宋体" w:cs="宋体"/>
          <w:b/>
          <w:color w:val="auto"/>
          <w:sz w:val="36"/>
          <w:szCs w:val="36"/>
          <w:highlight w:val="none"/>
        </w:rPr>
      </w:pPr>
    </w:p>
    <w:p w14:paraId="73FDA128">
      <w:pPr>
        <w:widowControl/>
        <w:adjustRightInd/>
        <w:jc w:val="center"/>
        <w:rPr>
          <w:rFonts w:hint="eastAsia" w:ascii="宋体" w:hAnsi="宋体" w:cs="宋体"/>
          <w:b/>
          <w:color w:val="auto"/>
          <w:sz w:val="36"/>
          <w:szCs w:val="36"/>
          <w:highlight w:val="none"/>
        </w:rPr>
      </w:pPr>
    </w:p>
    <w:p w14:paraId="38FE9865">
      <w:pPr>
        <w:widowControl/>
        <w:adjustRightInd/>
        <w:jc w:val="center"/>
        <w:rPr>
          <w:rFonts w:hint="eastAsia" w:ascii="宋体" w:hAnsi="宋体" w:cs="宋体"/>
          <w:b/>
          <w:color w:val="auto"/>
          <w:sz w:val="36"/>
          <w:szCs w:val="36"/>
          <w:highlight w:val="none"/>
        </w:rPr>
      </w:pPr>
    </w:p>
    <w:p w14:paraId="5433E8AC">
      <w:pPr>
        <w:widowControl/>
        <w:adjustRightInd/>
        <w:jc w:val="center"/>
        <w:rPr>
          <w:rFonts w:hint="eastAsia" w:ascii="宋体" w:hAnsi="宋体" w:cs="宋体"/>
          <w:b/>
          <w:color w:val="auto"/>
          <w:sz w:val="36"/>
          <w:szCs w:val="36"/>
          <w:highlight w:val="none"/>
        </w:rPr>
      </w:pPr>
    </w:p>
    <w:p w14:paraId="175A0B8E">
      <w:pPr>
        <w:widowControl/>
        <w:adjustRightInd/>
        <w:jc w:val="center"/>
        <w:rPr>
          <w:rFonts w:hint="eastAsia" w:ascii="宋体" w:hAnsi="宋体" w:cs="宋体"/>
          <w:b/>
          <w:color w:val="auto"/>
          <w:sz w:val="36"/>
          <w:szCs w:val="36"/>
          <w:highlight w:val="none"/>
        </w:rPr>
      </w:pPr>
    </w:p>
    <w:p w14:paraId="7D2E4490">
      <w:pPr>
        <w:widowControl/>
        <w:adjustRightInd/>
        <w:jc w:val="center"/>
        <w:rPr>
          <w:rFonts w:hint="eastAsia" w:ascii="宋体" w:hAnsi="宋体" w:cs="宋体"/>
          <w:b/>
          <w:color w:val="auto"/>
          <w:sz w:val="36"/>
          <w:szCs w:val="36"/>
          <w:highlight w:val="none"/>
        </w:rPr>
      </w:pPr>
    </w:p>
    <w:p w14:paraId="1CD59BC3">
      <w:pPr>
        <w:widowControl/>
        <w:adjustRightInd/>
        <w:jc w:val="center"/>
        <w:rPr>
          <w:rFonts w:hint="eastAsia" w:ascii="宋体" w:hAnsi="宋体" w:cs="宋体"/>
          <w:b/>
          <w:color w:val="auto"/>
          <w:sz w:val="36"/>
          <w:szCs w:val="36"/>
          <w:highlight w:val="none"/>
        </w:rPr>
      </w:pPr>
    </w:p>
    <w:p w14:paraId="76472763">
      <w:pPr>
        <w:widowControl/>
        <w:adjustRightInd/>
        <w:jc w:val="center"/>
        <w:rPr>
          <w:rFonts w:hint="eastAsia" w:ascii="宋体" w:hAnsi="宋体" w:cs="宋体"/>
          <w:b/>
          <w:color w:val="auto"/>
          <w:sz w:val="36"/>
          <w:szCs w:val="36"/>
          <w:highlight w:val="none"/>
        </w:rPr>
      </w:pPr>
    </w:p>
    <w:p w14:paraId="36549C7E">
      <w:pPr>
        <w:widowControl/>
        <w:adjustRightInd/>
        <w:jc w:val="center"/>
        <w:rPr>
          <w:rFonts w:hint="eastAsia" w:ascii="宋体" w:hAnsi="宋体" w:cs="宋体"/>
          <w:b/>
          <w:color w:val="auto"/>
          <w:sz w:val="36"/>
          <w:szCs w:val="36"/>
          <w:highlight w:val="none"/>
        </w:rPr>
      </w:pPr>
    </w:p>
    <w:p w14:paraId="14EF8334">
      <w:pPr>
        <w:widowControl/>
        <w:adjustRightInd/>
        <w:jc w:val="center"/>
        <w:rPr>
          <w:rFonts w:hint="eastAsia" w:ascii="宋体" w:hAnsi="宋体" w:cs="宋体"/>
          <w:b/>
          <w:color w:val="auto"/>
          <w:sz w:val="36"/>
          <w:szCs w:val="36"/>
          <w:highlight w:val="none"/>
        </w:rPr>
      </w:pPr>
    </w:p>
    <w:p w14:paraId="33748C4F">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CEA968D">
      <w:pPr>
        <w:widowControl/>
        <w:adjustRightInd/>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headerReference r:id="rId3" w:type="default"/>
          <w:footerReference r:id="rId4" w:type="default"/>
          <w:pgSz w:w="11907" w:h="16840"/>
          <w:pgMar w:top="680" w:right="1417" w:bottom="471" w:left="1417"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杭州市西湖区人民政府翠苑街道办事处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翠苑街道设施长效一体化管养服务项目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杭州市西湖区人民政府翠苑街道办事处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84" w:name="_Toc20421"/>
      <w:bookmarkStart w:id="385" w:name="_Toc19273"/>
      <w:bookmarkStart w:id="386" w:name="_Toc15367"/>
      <w:bookmarkStart w:id="387" w:name="_Toc22967"/>
      <w:bookmarkStart w:id="388"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4"/>
      <w:bookmarkEnd w:id="385"/>
      <w:bookmarkEnd w:id="386"/>
      <w:bookmarkEnd w:id="387"/>
      <w:bookmarkEnd w:id="388"/>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89" w:name="_Toc2918"/>
      <w:bookmarkStart w:id="390" w:name="_Toc6773"/>
      <w:bookmarkStart w:id="391" w:name="_Toc22185"/>
      <w:bookmarkStart w:id="392" w:name="_Toc18585"/>
      <w:bookmarkStart w:id="393"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389"/>
      <w:bookmarkEnd w:id="390"/>
      <w:bookmarkEnd w:id="391"/>
      <w:bookmarkEnd w:id="392"/>
      <w:bookmarkEnd w:id="393"/>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94" w:name="_Toc5635"/>
      <w:bookmarkStart w:id="395" w:name="_Toc1386"/>
      <w:bookmarkStart w:id="396" w:name="_Toc21124"/>
      <w:bookmarkStart w:id="397" w:name="_Toc13918"/>
      <w:bookmarkStart w:id="398"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4"/>
      <w:bookmarkEnd w:id="395"/>
      <w:bookmarkEnd w:id="396"/>
      <w:bookmarkEnd w:id="397"/>
      <w:bookmarkEnd w:id="398"/>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399" w:name="_Toc3654"/>
      <w:bookmarkStart w:id="400" w:name="_Toc30158"/>
      <w:bookmarkStart w:id="401" w:name="_Toc26916"/>
      <w:bookmarkStart w:id="402" w:name="_Toc14993"/>
      <w:bookmarkStart w:id="40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9"/>
    <w:bookmarkEnd w:id="400"/>
    <w:bookmarkEnd w:id="401"/>
    <w:bookmarkEnd w:id="402"/>
    <w:bookmarkEnd w:id="403"/>
    <w:p w14:paraId="2F5CCC91">
      <w:pPr>
        <w:pStyle w:val="960"/>
        <w:spacing w:before="0" w:beforeAutospacing="0" w:after="0" w:afterAutospacing="0" w:line="360" w:lineRule="auto"/>
        <w:ind w:firstLine="480"/>
        <w:rPr>
          <w:b/>
          <w:color w:val="auto"/>
          <w:highlight w:val="none"/>
        </w:rPr>
      </w:pPr>
      <w:bookmarkStart w:id="404" w:name="_Toc10340"/>
      <w:bookmarkStart w:id="405" w:name="_Toc22618"/>
      <w:bookmarkStart w:id="406" w:name="_Toc1814"/>
      <w:bookmarkStart w:id="407" w:name="_Toc3625"/>
      <w:bookmarkStart w:id="408" w:name="_Toc8772"/>
      <w:bookmarkStart w:id="409" w:name="_Toc11108"/>
      <w:bookmarkStart w:id="410" w:name="_Toc4760"/>
      <w:bookmarkStart w:id="411" w:name="_Toc31421"/>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7"/>
      <w:bookmarkEnd w:id="408"/>
      <w:bookmarkEnd w:id="409"/>
      <w:bookmarkEnd w:id="410"/>
      <w:bookmarkEnd w:id="411"/>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12" w:name="_Toc8586"/>
      <w:bookmarkStart w:id="413" w:name="_Toc5698"/>
      <w:bookmarkStart w:id="414" w:name="_Toc2375"/>
      <w:bookmarkStart w:id="415" w:name="_Toc24662"/>
      <w:bookmarkStart w:id="416"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2"/>
      <w:bookmarkEnd w:id="413"/>
      <w:bookmarkEnd w:id="414"/>
      <w:bookmarkEnd w:id="415"/>
      <w:bookmarkEnd w:id="416"/>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17" w:name="_Toc32454"/>
      <w:bookmarkStart w:id="418" w:name="_Toc26807"/>
      <w:bookmarkStart w:id="419" w:name="_Toc18683"/>
      <w:bookmarkStart w:id="420" w:name="_Toc9497"/>
      <w:bookmarkStart w:id="421"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7"/>
    <w:bookmarkEnd w:id="418"/>
    <w:bookmarkEnd w:id="419"/>
    <w:bookmarkEnd w:id="420"/>
    <w:bookmarkEnd w:id="421"/>
    <w:p w14:paraId="1A3040A7">
      <w:pPr>
        <w:spacing w:line="560" w:lineRule="exact"/>
        <w:ind w:firstLine="482" w:firstLineChars="200"/>
        <w:outlineLvl w:val="0"/>
        <w:rPr>
          <w:rFonts w:ascii="宋体" w:hAnsi="宋体" w:cs="宋体"/>
          <w:b/>
          <w:color w:val="auto"/>
          <w:sz w:val="24"/>
          <w:highlight w:val="none"/>
        </w:rPr>
      </w:pPr>
      <w:bookmarkStart w:id="422" w:name="_Toc15583"/>
      <w:bookmarkStart w:id="423" w:name="_Toc28375"/>
      <w:bookmarkStart w:id="424" w:name="_Toc16021"/>
      <w:r>
        <w:rPr>
          <w:rFonts w:hint="eastAsia" w:ascii="宋体" w:hAnsi="宋体" w:cs="宋体"/>
          <w:b/>
          <w:color w:val="auto"/>
          <w:sz w:val="24"/>
          <w:highlight w:val="none"/>
        </w:rPr>
        <w:t>1.9合同争议的解决</w:t>
      </w:r>
      <w:bookmarkEnd w:id="422"/>
      <w:bookmarkEnd w:id="423"/>
      <w:bookmarkEnd w:id="424"/>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25" w:name="_Toc11173"/>
      <w:bookmarkStart w:id="426" w:name="_Toc7245"/>
      <w:bookmarkStart w:id="427" w:name="_Toc15322"/>
      <w:r>
        <w:rPr>
          <w:rFonts w:hint="eastAsia" w:ascii="宋体" w:hAnsi="宋体" w:cs="宋体"/>
          <w:b/>
          <w:color w:val="auto"/>
          <w:sz w:val="24"/>
          <w:highlight w:val="none"/>
        </w:rPr>
        <w:t>2.0 合同生效</w:t>
      </w:r>
      <w:bookmarkEnd w:id="425"/>
      <w:bookmarkEnd w:id="426"/>
      <w:bookmarkEnd w:id="427"/>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28" w:name="_Toc31297"/>
      <w:bookmarkStart w:id="429" w:name="_Toc25079"/>
      <w:bookmarkStart w:id="430" w:name="_Toc5228"/>
      <w:bookmarkStart w:id="431" w:name="_Toc14021"/>
      <w:bookmarkStart w:id="432" w:name="_Toc19680"/>
      <w:r>
        <w:rPr>
          <w:rFonts w:ascii="宋体" w:hAnsi="宋体"/>
          <w:b/>
          <w:color w:val="auto"/>
          <w:sz w:val="24"/>
          <w:highlight w:val="none"/>
        </w:rPr>
        <w:t>2.1 定义</w:t>
      </w:r>
      <w:bookmarkEnd w:id="428"/>
      <w:bookmarkEnd w:id="429"/>
      <w:bookmarkEnd w:id="430"/>
      <w:bookmarkEnd w:id="431"/>
      <w:bookmarkEnd w:id="432"/>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3" w:name="_Toc3769"/>
      <w:bookmarkStart w:id="434" w:name="_Toc19539"/>
      <w:bookmarkStart w:id="435" w:name="_Toc31402"/>
      <w:bookmarkStart w:id="436" w:name="_Toc23289"/>
      <w:bookmarkStart w:id="437" w:name="_Toc16752"/>
      <w:r>
        <w:rPr>
          <w:rFonts w:ascii="宋体" w:hAnsi="宋体"/>
          <w:b/>
          <w:color w:val="auto"/>
          <w:sz w:val="24"/>
          <w:highlight w:val="none"/>
        </w:rPr>
        <w:t>2.2 技术规范</w:t>
      </w:r>
      <w:bookmarkEnd w:id="433"/>
      <w:bookmarkEnd w:id="434"/>
      <w:bookmarkEnd w:id="435"/>
      <w:bookmarkEnd w:id="436"/>
      <w:bookmarkEnd w:id="437"/>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38" w:name="_Toc27945"/>
      <w:bookmarkStart w:id="439" w:name="_Toc9161"/>
      <w:bookmarkStart w:id="440" w:name="_Toc13673"/>
      <w:bookmarkStart w:id="441" w:name="_Toc12412"/>
      <w:bookmarkStart w:id="442" w:name="_Toc4133"/>
      <w:r>
        <w:rPr>
          <w:rFonts w:ascii="宋体" w:hAnsi="宋体"/>
          <w:b/>
          <w:color w:val="auto"/>
          <w:sz w:val="24"/>
          <w:highlight w:val="none"/>
        </w:rPr>
        <w:t>2.3 知识产权</w:t>
      </w:r>
      <w:bookmarkEnd w:id="438"/>
      <w:bookmarkEnd w:id="439"/>
      <w:bookmarkEnd w:id="440"/>
      <w:bookmarkEnd w:id="441"/>
      <w:bookmarkEnd w:id="442"/>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3" w:name="_Toc22011"/>
      <w:bookmarkStart w:id="444" w:name="_Toc26555"/>
      <w:bookmarkStart w:id="445" w:name="_Toc32670"/>
      <w:bookmarkStart w:id="446" w:name="_Toc15447"/>
      <w:bookmarkStart w:id="447" w:name="_Toc31233"/>
      <w:r>
        <w:rPr>
          <w:rFonts w:ascii="宋体" w:hAnsi="宋体"/>
          <w:b/>
          <w:color w:val="auto"/>
          <w:sz w:val="24"/>
          <w:highlight w:val="none"/>
        </w:rPr>
        <w:t>2.5 结算方式和付款条件</w:t>
      </w:r>
      <w:bookmarkEnd w:id="443"/>
      <w:bookmarkEnd w:id="444"/>
      <w:bookmarkEnd w:id="445"/>
      <w:bookmarkEnd w:id="446"/>
      <w:bookmarkEnd w:id="447"/>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48" w:name="_Toc13467"/>
      <w:bookmarkStart w:id="449" w:name="_Toc13154"/>
      <w:bookmarkStart w:id="450" w:name="_Toc18990"/>
      <w:bookmarkStart w:id="451" w:name="_Toc30507"/>
      <w:bookmarkStart w:id="452" w:name="_Toc16163"/>
      <w:r>
        <w:rPr>
          <w:rFonts w:ascii="宋体" w:hAnsi="宋体"/>
          <w:b/>
          <w:color w:val="auto"/>
          <w:sz w:val="24"/>
          <w:highlight w:val="none"/>
        </w:rPr>
        <w:t>2.6 技术资料和保密义务</w:t>
      </w:r>
      <w:bookmarkEnd w:id="448"/>
      <w:bookmarkEnd w:id="449"/>
      <w:bookmarkEnd w:id="450"/>
      <w:bookmarkEnd w:id="451"/>
      <w:bookmarkEnd w:id="452"/>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3"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3"/>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4"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4"/>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5"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5"/>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56" w:name="_Toc10663"/>
      <w:bookmarkStart w:id="457" w:name="_Toc21830"/>
      <w:bookmarkStart w:id="458" w:name="_Toc26689"/>
      <w:bookmarkStart w:id="459" w:name="_Toc42"/>
      <w:bookmarkStart w:id="460" w:name="_Toc23368"/>
      <w:r>
        <w:rPr>
          <w:rFonts w:ascii="宋体" w:hAnsi="宋体"/>
          <w:b/>
          <w:color w:val="auto"/>
          <w:sz w:val="24"/>
          <w:highlight w:val="none"/>
        </w:rPr>
        <w:t>2.10 合同转让和分包</w:t>
      </w:r>
      <w:bookmarkEnd w:id="456"/>
      <w:bookmarkEnd w:id="457"/>
      <w:bookmarkEnd w:id="458"/>
      <w:bookmarkEnd w:id="459"/>
      <w:bookmarkEnd w:id="460"/>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1" w:name="_Toc25571"/>
      <w:bookmarkStart w:id="462" w:name="_Toc14371"/>
      <w:bookmarkStart w:id="463" w:name="_Toc4720"/>
      <w:bookmarkStart w:id="464" w:name="_Toc26633"/>
      <w:bookmarkStart w:id="465" w:name="_Toc32494"/>
      <w:r>
        <w:rPr>
          <w:rFonts w:ascii="宋体" w:hAnsi="宋体"/>
          <w:b/>
          <w:color w:val="auto"/>
          <w:sz w:val="24"/>
          <w:highlight w:val="none"/>
        </w:rPr>
        <w:t>2.11 不可抗力</w:t>
      </w:r>
      <w:bookmarkEnd w:id="461"/>
      <w:bookmarkEnd w:id="462"/>
      <w:bookmarkEnd w:id="463"/>
      <w:bookmarkEnd w:id="464"/>
      <w:bookmarkEnd w:id="465"/>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66" w:name="_Toc23854"/>
      <w:bookmarkStart w:id="467" w:name="_Toc14115"/>
      <w:bookmarkStart w:id="468" w:name="_Toc24465"/>
      <w:bookmarkStart w:id="469" w:name="_Toc3638"/>
      <w:bookmarkStart w:id="470" w:name="_Toc25783"/>
      <w:r>
        <w:rPr>
          <w:rFonts w:ascii="宋体" w:hAnsi="宋体"/>
          <w:b/>
          <w:color w:val="auto"/>
          <w:sz w:val="24"/>
          <w:highlight w:val="none"/>
        </w:rPr>
        <w:t>2.12 税费</w:t>
      </w:r>
      <w:bookmarkEnd w:id="466"/>
      <w:bookmarkEnd w:id="467"/>
      <w:bookmarkEnd w:id="468"/>
      <w:bookmarkEnd w:id="469"/>
      <w:bookmarkEnd w:id="470"/>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1" w:name="_Toc26883"/>
      <w:bookmarkStart w:id="472" w:name="_Toc14814"/>
      <w:bookmarkStart w:id="473" w:name="_Toc30105"/>
      <w:bookmarkStart w:id="474" w:name="_Toc7315"/>
      <w:bookmarkStart w:id="475" w:name="_Toc25525"/>
      <w:r>
        <w:rPr>
          <w:rFonts w:ascii="宋体" w:hAnsi="宋体"/>
          <w:b/>
          <w:color w:val="auto"/>
          <w:sz w:val="24"/>
          <w:highlight w:val="none"/>
        </w:rPr>
        <w:t>2.13 乙方破产</w:t>
      </w:r>
      <w:bookmarkEnd w:id="471"/>
      <w:bookmarkEnd w:id="472"/>
      <w:bookmarkEnd w:id="473"/>
      <w:bookmarkEnd w:id="474"/>
      <w:bookmarkEnd w:id="475"/>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76" w:name="_Toc2016"/>
      <w:bookmarkStart w:id="477" w:name="_Toc23323"/>
      <w:bookmarkStart w:id="478" w:name="_Toc1123"/>
      <w:r>
        <w:rPr>
          <w:rFonts w:ascii="宋体" w:hAnsi="宋体"/>
          <w:b/>
          <w:color w:val="auto"/>
          <w:sz w:val="24"/>
          <w:highlight w:val="none"/>
        </w:rPr>
        <w:t>2.14 合同中止、终止</w:t>
      </w:r>
      <w:bookmarkEnd w:id="476"/>
      <w:bookmarkEnd w:id="477"/>
      <w:bookmarkEnd w:id="478"/>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79" w:name="_Toc14525"/>
      <w:bookmarkStart w:id="480" w:name="_Toc1969"/>
      <w:bookmarkStart w:id="481" w:name="_Toc17363"/>
      <w:r>
        <w:rPr>
          <w:rFonts w:ascii="宋体" w:hAnsi="宋体"/>
          <w:b/>
          <w:color w:val="auto"/>
          <w:sz w:val="24"/>
          <w:highlight w:val="none"/>
        </w:rPr>
        <w:t>2.15 检验和验收</w:t>
      </w:r>
      <w:bookmarkEnd w:id="479"/>
      <w:bookmarkEnd w:id="480"/>
      <w:bookmarkEnd w:id="481"/>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82" w:name="_Toc9808"/>
      <w:bookmarkStart w:id="483" w:name="_Toc2308"/>
      <w:bookmarkStart w:id="484" w:name="_Toc12666"/>
      <w:bookmarkStart w:id="485" w:name="_Toc31892"/>
      <w:bookmarkStart w:id="486" w:name="_Toc25198"/>
      <w:r>
        <w:rPr>
          <w:rFonts w:ascii="宋体" w:hAnsi="宋体"/>
          <w:b/>
          <w:color w:val="auto"/>
          <w:sz w:val="24"/>
          <w:highlight w:val="none"/>
        </w:rPr>
        <w:t>2.16 通知和送达</w:t>
      </w:r>
      <w:bookmarkEnd w:id="482"/>
      <w:bookmarkEnd w:id="483"/>
      <w:bookmarkEnd w:id="484"/>
      <w:bookmarkEnd w:id="485"/>
      <w:bookmarkEnd w:id="486"/>
    </w:p>
    <w:p w14:paraId="2D57AD58">
      <w:pPr>
        <w:spacing w:line="560" w:lineRule="exact"/>
        <w:ind w:firstLine="480" w:firstLineChars="200"/>
        <w:rPr>
          <w:rFonts w:ascii="宋体" w:hAnsi="宋体"/>
          <w:color w:val="auto"/>
          <w:sz w:val="24"/>
          <w:highlight w:val="none"/>
        </w:rPr>
      </w:pPr>
      <w:bookmarkStart w:id="487" w:name="_Toc27674"/>
      <w:bookmarkStart w:id="48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7"/>
      <w:bookmarkEnd w:id="488"/>
    </w:p>
    <w:p w14:paraId="79494EF1">
      <w:pPr>
        <w:spacing w:line="560" w:lineRule="exact"/>
        <w:ind w:firstLine="482" w:firstLineChars="200"/>
        <w:outlineLvl w:val="0"/>
        <w:rPr>
          <w:rFonts w:ascii="宋体" w:hAnsi="宋体"/>
          <w:b/>
          <w:color w:val="auto"/>
          <w:sz w:val="24"/>
          <w:highlight w:val="none"/>
        </w:rPr>
      </w:pPr>
      <w:bookmarkStart w:id="489" w:name="_Toc20808"/>
      <w:bookmarkStart w:id="490" w:name="_Toc12254"/>
      <w:bookmarkStart w:id="491" w:name="_Toc27644"/>
      <w:bookmarkStart w:id="492" w:name="_Toc5063"/>
      <w:bookmarkStart w:id="493"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9"/>
      <w:bookmarkEnd w:id="490"/>
      <w:bookmarkEnd w:id="491"/>
      <w:bookmarkEnd w:id="492"/>
      <w:bookmarkEnd w:id="493"/>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4" w:name="_Toc30599"/>
      <w:bookmarkStart w:id="495" w:name="_Toc18540"/>
      <w:bookmarkStart w:id="496" w:name="_Toc4355"/>
      <w:r>
        <w:rPr>
          <w:rFonts w:hint="eastAsia" w:ascii="宋体" w:hAnsi="宋体" w:cs="宋体"/>
          <w:b/>
          <w:color w:val="auto"/>
          <w:sz w:val="24"/>
          <w:highlight w:val="none"/>
        </w:rPr>
        <w:t>2.18 计量单位</w:t>
      </w:r>
      <w:bookmarkEnd w:id="494"/>
      <w:bookmarkEnd w:id="495"/>
      <w:bookmarkEnd w:id="496"/>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7" w:name="_Toc331685784"/>
      <w:r>
        <w:rPr>
          <w:rFonts w:hint="eastAsia" w:ascii="宋体" w:hAnsi="宋体" w:cs="宋体"/>
          <w:b/>
          <w:color w:val="auto"/>
          <w:sz w:val="24"/>
          <w:highlight w:val="none"/>
        </w:rPr>
        <w:t xml:space="preserve"> </w:t>
      </w:r>
      <w:bookmarkEnd w:id="497"/>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240" w:lineRule="auto"/>
              <w:rPr>
                <w:rFonts w:ascii="宋体" w:hAnsi="宋体" w:cs="宋体"/>
                <w:color w:val="auto"/>
                <w:sz w:val="24"/>
                <w:highlight w:val="none"/>
              </w:rPr>
            </w:pPr>
            <w:r>
              <w:rPr>
                <w:rFonts w:hint="eastAsia" w:ascii="宋体" w:hAnsi="宋体" w:eastAsia="宋体" w:cs="宋体"/>
                <w:b w:val="0"/>
                <w:bCs/>
                <w:color w:val="auto"/>
                <w:sz w:val="24"/>
                <w:highlight w:val="none"/>
                <w:u w:val="none"/>
              </w:rPr>
              <w:t>工程按实结算（工程量的确定：甲方签证的实际工程量为初步依据，并以审计结果作为最终的工程量）</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89BE56E">
            <w:pPr>
              <w:spacing w:line="240" w:lineRule="auto"/>
              <w:rPr>
                <w:rFonts w:ascii="宋体" w:hAnsi="宋体" w:cs="宋体"/>
                <w:color w:val="auto"/>
                <w:sz w:val="24"/>
                <w:highlight w:val="none"/>
              </w:rPr>
            </w:pPr>
            <w:r>
              <w:rPr>
                <w:rFonts w:hint="eastAsia" w:ascii="宋体" w:hAnsi="宋体" w:cs="宋体"/>
                <w:color w:val="auto"/>
                <w:sz w:val="24"/>
                <w:highlight w:val="none"/>
              </w:rPr>
              <w:t>合同签订生效并具备实施条件人员设备到场并开展工作后5个工作日内，采购人向中标人支付当年合同总价款40%的预付款；</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24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24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24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进度款</w:t>
            </w:r>
            <w:r>
              <w:rPr>
                <w:rFonts w:hint="eastAsia" w:ascii="宋体" w:hAnsi="宋体" w:eastAsia="宋体" w:cs="宋体"/>
                <w:color w:val="auto"/>
                <w:sz w:val="24"/>
                <w:szCs w:val="24"/>
                <w:highlight w:val="none"/>
                <w:lang w:val="en-US" w:eastAsia="zh-CN"/>
              </w:rPr>
              <w:t>按季支付，支付当季的结算价的80%</w:t>
            </w:r>
            <w:r>
              <w:rPr>
                <w:rFonts w:hint="eastAsia" w:ascii="宋体" w:hAnsi="宋体" w:cs="宋体"/>
                <w:color w:val="auto"/>
                <w:sz w:val="24"/>
                <w:szCs w:val="24"/>
                <w:highlight w:val="none"/>
                <w:lang w:val="en-US" w:eastAsia="zh-CN"/>
              </w:rPr>
              <w:t>。</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三年，合同一年一签。</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甲方指定地点</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一式四份，甲乙双方各执两份。</w:t>
            </w: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2"/>
      <w:r>
        <w:rPr>
          <w:rFonts w:hint="eastAsia" w:ascii="宋体" w:hAnsi="宋体" w:cs="宋体"/>
          <w:b/>
          <w:color w:val="auto"/>
          <w:sz w:val="36"/>
          <w:szCs w:val="20"/>
          <w:highlight w:val="none"/>
        </w:rPr>
        <w:t xml:space="preserve"> </w:t>
      </w:r>
      <w:bookmarkEnd w:id="383"/>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8" w:name="_Hlk101257010"/>
      <w:r>
        <w:rPr>
          <w:rFonts w:hint="eastAsia" w:ascii="宋体" w:hAnsi="宋体" w:cs="宋体"/>
          <w:color w:val="auto"/>
          <w:sz w:val="24"/>
          <w:highlight w:val="none"/>
        </w:rPr>
        <w:t>（如果有)</w:t>
      </w:r>
      <w:bookmarkEnd w:id="498"/>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服务全部由符合政策要求的中小企业承接，提供中小企业声明函；</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：市政公用工程施工总承包三级及以上资质</w:t>
      </w:r>
      <w:r>
        <w:rPr>
          <w:rFonts w:hint="eastAsia" w:ascii="宋体" w:hAnsi="宋体" w:cs="宋体"/>
          <w:color w:val="auto"/>
          <w:sz w:val="24"/>
          <w:highlight w:val="none"/>
        </w:rPr>
        <w:t>。</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789BF058">
      <w:pPr>
        <w:jc w:val="center"/>
        <w:rPr>
          <w:rFonts w:hint="eastAsia" w:ascii="宋体" w:hAnsi="宋体" w:cs="宋体"/>
          <w:b/>
          <w:color w:val="auto"/>
          <w:kern w:val="0"/>
          <w:sz w:val="32"/>
          <w:szCs w:val="32"/>
          <w:highlight w:val="none"/>
          <w:lang w:val="zh-CN"/>
        </w:rPr>
      </w:pPr>
    </w:p>
    <w:p w14:paraId="0FF606C7">
      <w:pPr>
        <w:jc w:val="center"/>
        <w:rPr>
          <w:rFonts w:hint="eastAsia" w:ascii="宋体" w:hAnsi="宋体" w:cs="宋体"/>
          <w:b/>
          <w:color w:val="auto"/>
          <w:kern w:val="0"/>
          <w:sz w:val="32"/>
          <w:szCs w:val="32"/>
          <w:highlight w:val="none"/>
          <w:lang w:val="zh-CN"/>
        </w:rPr>
      </w:pPr>
    </w:p>
    <w:p w14:paraId="68616BE0">
      <w:pPr>
        <w:jc w:val="center"/>
        <w:rPr>
          <w:rFonts w:hint="eastAsia" w:ascii="宋体" w:hAnsi="宋体" w:cs="宋体"/>
          <w:b/>
          <w:color w:val="auto"/>
          <w:kern w:val="0"/>
          <w:sz w:val="32"/>
          <w:szCs w:val="32"/>
          <w:highlight w:val="none"/>
          <w:lang w:val="zh-CN"/>
        </w:rPr>
      </w:pPr>
    </w:p>
    <w:p w14:paraId="35F70807">
      <w:pPr>
        <w:jc w:val="center"/>
        <w:rPr>
          <w:rFonts w:hint="eastAsia" w:ascii="宋体" w:hAnsi="宋体" w:cs="宋体"/>
          <w:b/>
          <w:color w:val="auto"/>
          <w:kern w:val="0"/>
          <w:sz w:val="32"/>
          <w:szCs w:val="32"/>
          <w:highlight w:val="none"/>
          <w:lang w:val="zh-CN"/>
        </w:rPr>
      </w:pPr>
    </w:p>
    <w:p w14:paraId="6EC7BF6C">
      <w:pPr>
        <w:jc w:val="center"/>
        <w:rPr>
          <w:rFonts w:hint="eastAsia" w:ascii="宋体" w:hAnsi="宋体" w:cs="宋体"/>
          <w:b/>
          <w:color w:val="auto"/>
          <w:kern w:val="0"/>
          <w:sz w:val="32"/>
          <w:szCs w:val="32"/>
          <w:highlight w:val="none"/>
          <w:lang w:val="zh-CN"/>
        </w:rPr>
      </w:pPr>
    </w:p>
    <w:p w14:paraId="5AC5E557">
      <w:pPr>
        <w:jc w:val="both"/>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70F08542">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478E5DBE">
      <w:pPr>
        <w:jc w:val="center"/>
        <w:rPr>
          <w:rFonts w:hint="eastAsia" w:ascii="宋体" w:hAnsi="宋体" w:cs="宋体"/>
          <w:b/>
          <w:color w:val="auto"/>
          <w:kern w:val="0"/>
          <w:sz w:val="32"/>
          <w:szCs w:val="32"/>
          <w:highlight w:val="none"/>
        </w:rPr>
      </w:pPr>
    </w:p>
    <w:p w14:paraId="5BA7C121">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06"/>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06"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706"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706"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706"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杭州市西湖区人民政府翠苑街道办事处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东方经纬项目管理有限公司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w:t>
      </w:r>
      <w:r>
        <w:rPr>
          <w:rFonts w:hint="eastAsia" w:ascii="宋体" w:hAnsi="宋体" w:cs="宋体"/>
          <w:b/>
          <w:color w:val="auto"/>
          <w:kern w:val="0"/>
          <w:sz w:val="24"/>
          <w:highlight w:val="none"/>
          <w:lang w:val="en-US" w:eastAsia="zh-CN"/>
        </w:rPr>
        <w:t>折扣率%</w:t>
      </w:r>
      <w:r>
        <w:rPr>
          <w:rFonts w:hint="eastAsia" w:ascii="宋体" w:hAnsi="宋体" w:cs="宋体"/>
          <w:b/>
          <w:color w:val="auto"/>
          <w:kern w:val="0"/>
          <w:sz w:val="24"/>
          <w:highlight w:val="none"/>
          <w:lang w:val="zh-CN"/>
        </w:rPr>
        <w:t>)</w:t>
      </w:r>
    </w:p>
    <w:tbl>
      <w:tblPr>
        <w:tblStyle w:val="62"/>
        <w:tblpPr w:leftFromText="180" w:rightFromText="180" w:vertAnchor="text" w:tblpY="1"/>
        <w:tblOverlap w:val="never"/>
        <w:tblW w:w="145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6"/>
        <w:gridCol w:w="2025"/>
        <w:gridCol w:w="2640"/>
        <w:gridCol w:w="2349"/>
        <w:gridCol w:w="2085"/>
        <w:gridCol w:w="1806"/>
        <w:gridCol w:w="2365"/>
      </w:tblGrid>
      <w:tr w14:paraId="496A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 w:hRule="atLeast"/>
        </w:trPr>
        <w:tc>
          <w:tcPr>
            <w:tcW w:w="1326" w:type="dxa"/>
            <w:shd w:val="clear" w:color="auto" w:fill="auto"/>
            <w:noWrap w:val="0"/>
            <w:vAlign w:val="center"/>
          </w:tcPr>
          <w:p w14:paraId="36B772B7">
            <w:pPr>
              <w:spacing w:line="360" w:lineRule="auto"/>
              <w:jc w:val="center"/>
              <w:rPr>
                <w:rFonts w:hint="eastAsia" w:ascii="宋体" w:hAnsi="宋体" w:eastAsia="宋体" w:cs="宋体"/>
                <w:b/>
                <w:sz w:val="24"/>
                <w:szCs w:val="24"/>
                <w:highlight w:val="none"/>
                <w:lang w:eastAsia="zh-CN"/>
              </w:rPr>
            </w:pPr>
            <w:bookmarkStart w:id="499" w:name="_Hlk168475357"/>
            <w:r>
              <w:rPr>
                <w:rFonts w:hint="eastAsia" w:ascii="宋体" w:hAnsi="宋体" w:cs="宋体"/>
                <w:b/>
                <w:bCs/>
                <w:color w:val="auto"/>
                <w:sz w:val="24"/>
                <w:highlight w:val="none"/>
                <w:lang w:val="en-US" w:eastAsia="zh-CN" w:bidi="ar"/>
              </w:rPr>
              <w:t>序号</w:t>
            </w:r>
          </w:p>
        </w:tc>
        <w:tc>
          <w:tcPr>
            <w:tcW w:w="2025" w:type="dxa"/>
            <w:shd w:val="clear" w:color="auto" w:fill="auto"/>
            <w:noWrap w:val="0"/>
            <w:vAlign w:val="center"/>
          </w:tcPr>
          <w:p w14:paraId="736AF6B5">
            <w:pPr>
              <w:spacing w:line="360" w:lineRule="auto"/>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bidi="ar"/>
              </w:rPr>
              <w:t>服务内容</w:t>
            </w:r>
          </w:p>
        </w:tc>
        <w:tc>
          <w:tcPr>
            <w:tcW w:w="2640" w:type="dxa"/>
            <w:shd w:val="clear" w:color="auto" w:fill="auto"/>
            <w:noWrap w:val="0"/>
            <w:vAlign w:val="center"/>
          </w:tcPr>
          <w:p w14:paraId="1B0750BB">
            <w:pPr>
              <w:spacing w:line="360" w:lineRule="auto"/>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bidi="ar"/>
              </w:rPr>
              <w:t>服务范围</w:t>
            </w:r>
          </w:p>
        </w:tc>
        <w:tc>
          <w:tcPr>
            <w:tcW w:w="2349" w:type="dxa"/>
            <w:shd w:val="clear" w:color="auto" w:fill="auto"/>
            <w:noWrap w:val="0"/>
            <w:vAlign w:val="center"/>
          </w:tcPr>
          <w:p w14:paraId="5F2BC964">
            <w:pPr>
              <w:spacing w:line="360" w:lineRule="auto"/>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bidi="ar"/>
              </w:rPr>
              <w:t>服务时间</w:t>
            </w:r>
          </w:p>
        </w:tc>
        <w:tc>
          <w:tcPr>
            <w:tcW w:w="2085" w:type="dxa"/>
            <w:shd w:val="clear" w:color="auto" w:fill="auto"/>
            <w:noWrap w:val="0"/>
            <w:vAlign w:val="center"/>
          </w:tcPr>
          <w:p w14:paraId="278A4FD9">
            <w:pPr>
              <w:spacing w:line="360" w:lineRule="auto"/>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bidi="ar"/>
              </w:rPr>
              <w:t>服务标准</w:t>
            </w:r>
          </w:p>
        </w:tc>
        <w:tc>
          <w:tcPr>
            <w:tcW w:w="1806" w:type="dxa"/>
            <w:shd w:val="clear" w:color="auto" w:fill="auto"/>
            <w:noWrap w:val="0"/>
            <w:vAlign w:val="center"/>
          </w:tcPr>
          <w:p w14:paraId="59DBAB19">
            <w:pPr>
              <w:spacing w:line="360" w:lineRule="auto"/>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bidi="ar"/>
              </w:rPr>
              <w:t>投标报价</w:t>
            </w:r>
          </w:p>
        </w:tc>
        <w:tc>
          <w:tcPr>
            <w:tcW w:w="2365" w:type="dxa"/>
            <w:shd w:val="clear" w:color="auto" w:fill="auto"/>
            <w:noWrap w:val="0"/>
            <w:vAlign w:val="center"/>
          </w:tcPr>
          <w:p w14:paraId="05654BB8">
            <w:pPr>
              <w:spacing w:line="360" w:lineRule="auto"/>
              <w:jc w:val="center"/>
              <w:rPr>
                <w:rFonts w:hint="eastAsia" w:ascii="宋体" w:hAnsi="宋体" w:eastAsia="宋体" w:cs="宋体"/>
                <w:kern w:val="0"/>
                <w:sz w:val="24"/>
                <w:szCs w:val="24"/>
                <w:highlight w:val="none"/>
              </w:rPr>
            </w:pPr>
            <w:r>
              <w:rPr>
                <w:rFonts w:hint="eastAsia" w:ascii="宋体" w:hAnsi="宋体" w:cs="宋体"/>
                <w:b/>
                <w:bCs/>
                <w:color w:val="auto"/>
                <w:sz w:val="24"/>
                <w:highlight w:val="none"/>
                <w:lang w:bidi="ar"/>
              </w:rPr>
              <w:t>备注</w:t>
            </w:r>
          </w:p>
        </w:tc>
      </w:tr>
      <w:tr w14:paraId="5CA7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1326" w:type="dxa"/>
            <w:shd w:val="clear" w:color="auto" w:fill="auto"/>
            <w:noWrap w:val="0"/>
            <w:vAlign w:val="center"/>
          </w:tcPr>
          <w:p w14:paraId="46769BC2">
            <w:pPr>
              <w:widowControl/>
              <w:jc w:val="center"/>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w:t>
            </w:r>
          </w:p>
        </w:tc>
        <w:tc>
          <w:tcPr>
            <w:tcW w:w="2025" w:type="dxa"/>
            <w:shd w:val="clear" w:color="auto" w:fill="auto"/>
            <w:noWrap w:val="0"/>
            <w:vAlign w:val="top"/>
          </w:tcPr>
          <w:p w14:paraId="4E92C969">
            <w:pPr>
              <w:widowControl/>
              <w:jc w:val="left"/>
              <w:rPr>
                <w:rFonts w:hint="eastAsia" w:ascii="宋体" w:hAnsi="宋体" w:eastAsia="宋体" w:cs="宋体"/>
                <w:kern w:val="0"/>
                <w:sz w:val="24"/>
                <w:szCs w:val="24"/>
                <w:highlight w:val="none"/>
              </w:rPr>
            </w:pPr>
          </w:p>
        </w:tc>
        <w:tc>
          <w:tcPr>
            <w:tcW w:w="2640" w:type="dxa"/>
            <w:shd w:val="clear" w:color="auto" w:fill="auto"/>
            <w:noWrap w:val="0"/>
            <w:vAlign w:val="center"/>
          </w:tcPr>
          <w:p w14:paraId="11722F21">
            <w:pPr>
              <w:widowControl/>
              <w:jc w:val="left"/>
              <w:rPr>
                <w:rFonts w:hint="eastAsia" w:ascii="宋体" w:hAnsi="宋体" w:eastAsia="宋体" w:cs="宋体"/>
                <w:kern w:val="0"/>
                <w:sz w:val="24"/>
                <w:szCs w:val="24"/>
                <w:highlight w:val="none"/>
              </w:rPr>
            </w:pPr>
          </w:p>
        </w:tc>
        <w:tc>
          <w:tcPr>
            <w:tcW w:w="2349" w:type="dxa"/>
            <w:shd w:val="clear" w:color="auto" w:fill="auto"/>
            <w:noWrap w:val="0"/>
            <w:vAlign w:val="center"/>
          </w:tcPr>
          <w:p w14:paraId="5B6F9766">
            <w:pPr>
              <w:widowControl/>
              <w:jc w:val="left"/>
              <w:rPr>
                <w:rFonts w:hint="eastAsia" w:ascii="宋体" w:hAnsi="宋体" w:eastAsia="宋体" w:cs="宋体"/>
                <w:kern w:val="0"/>
                <w:sz w:val="24"/>
                <w:szCs w:val="24"/>
                <w:highlight w:val="none"/>
              </w:rPr>
            </w:pPr>
          </w:p>
        </w:tc>
        <w:tc>
          <w:tcPr>
            <w:tcW w:w="2085" w:type="dxa"/>
            <w:shd w:val="clear" w:color="auto" w:fill="auto"/>
            <w:noWrap w:val="0"/>
            <w:vAlign w:val="center"/>
          </w:tcPr>
          <w:p w14:paraId="259A8302">
            <w:pPr>
              <w:widowControl/>
              <w:jc w:val="left"/>
              <w:rPr>
                <w:rFonts w:hint="eastAsia" w:ascii="宋体" w:hAnsi="宋体" w:eastAsia="宋体" w:cs="宋体"/>
                <w:kern w:val="0"/>
                <w:sz w:val="24"/>
                <w:szCs w:val="24"/>
                <w:highlight w:val="none"/>
              </w:rPr>
            </w:pPr>
          </w:p>
        </w:tc>
        <w:tc>
          <w:tcPr>
            <w:tcW w:w="1806" w:type="dxa"/>
            <w:shd w:val="clear" w:color="auto" w:fill="auto"/>
            <w:noWrap w:val="0"/>
            <w:vAlign w:val="center"/>
          </w:tcPr>
          <w:p w14:paraId="65ACB53A">
            <w:pPr>
              <w:widowControl/>
              <w:jc w:val="center"/>
              <w:rPr>
                <w:rFonts w:hint="eastAsia" w:ascii="宋体" w:hAnsi="宋体" w:eastAsia="宋体" w:cs="宋体"/>
                <w:kern w:val="0"/>
                <w:sz w:val="24"/>
                <w:szCs w:val="24"/>
                <w:highlight w:val="none"/>
              </w:rPr>
            </w:pPr>
            <w:r>
              <w:rPr>
                <w:rFonts w:hint="eastAsia" w:ascii="宋体" w:hAnsi="宋体" w:cs="宋体"/>
                <w:color w:val="auto"/>
                <w:sz w:val="24"/>
                <w:highlight w:val="none"/>
                <w:lang w:bidi="ar"/>
              </w:rPr>
              <w:t>折扣率   %</w:t>
            </w:r>
          </w:p>
        </w:tc>
        <w:tc>
          <w:tcPr>
            <w:tcW w:w="2365" w:type="dxa"/>
            <w:shd w:val="clear" w:color="auto" w:fill="auto"/>
            <w:noWrap w:val="0"/>
            <w:vAlign w:val="center"/>
          </w:tcPr>
          <w:p w14:paraId="7562DA66">
            <w:pPr>
              <w:widowControl/>
              <w:jc w:val="left"/>
              <w:rPr>
                <w:rFonts w:hint="eastAsia" w:ascii="宋体" w:hAnsi="宋体" w:eastAsia="宋体" w:cs="宋体"/>
                <w:kern w:val="0"/>
                <w:sz w:val="24"/>
                <w:szCs w:val="24"/>
                <w:highlight w:val="none"/>
              </w:rPr>
            </w:pPr>
          </w:p>
        </w:tc>
      </w:tr>
      <w:bookmarkEnd w:id="499"/>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710CB9A">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0" w:name="OLE_LINK14"/>
      <w:bookmarkStart w:id="501" w:name="OLE_LINK13"/>
      <w:r>
        <w:rPr>
          <w:rFonts w:hint="eastAsia" w:ascii="宋体" w:hAnsi="宋体" w:cs="宋体"/>
          <w:b/>
          <w:color w:val="auto"/>
          <w:spacing w:val="6"/>
          <w:sz w:val="32"/>
          <w:szCs w:val="32"/>
          <w:highlight w:val="none"/>
        </w:rPr>
        <w:t>残疾人福利性单位声明函</w:t>
      </w:r>
    </w:p>
    <w:bookmarkEnd w:id="500"/>
    <w:bookmarkEnd w:id="50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翠苑街道设施长效一体化管养服务项目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3883CF74">
      <w:pPr>
        <w:spacing w:line="360" w:lineRule="auto"/>
        <w:jc w:val="left"/>
        <w:rPr>
          <w:rFonts w:hint="eastAsia" w:ascii="宋体" w:hAnsi="宋体" w:cs="宋体"/>
          <w:b/>
          <w:color w:val="auto"/>
          <w:spacing w:val="6"/>
          <w:sz w:val="32"/>
          <w:szCs w:val="32"/>
          <w:highlight w:val="none"/>
        </w:rPr>
      </w:pPr>
    </w:p>
    <w:p w14:paraId="55A6C3F7">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01D7F15C">
      <w:pPr>
        <w:spacing w:line="360" w:lineRule="auto"/>
        <w:jc w:val="left"/>
        <w:rPr>
          <w:rFonts w:hint="eastAsia" w:ascii="宋体" w:hAnsi="宋体" w:cs="宋体"/>
          <w:b/>
          <w:color w:val="auto"/>
          <w:spacing w:val="6"/>
          <w:sz w:val="32"/>
          <w:szCs w:val="32"/>
          <w:highlight w:val="none"/>
        </w:rPr>
      </w:pPr>
    </w:p>
    <w:p w14:paraId="642720BC">
      <w:pPr>
        <w:spacing w:line="360" w:lineRule="auto"/>
        <w:jc w:val="left"/>
        <w:rPr>
          <w:rFonts w:hint="eastAsia" w:ascii="宋体" w:hAnsi="宋体" w:cs="宋体"/>
          <w:b/>
          <w:color w:val="auto"/>
          <w:spacing w:val="6"/>
          <w:sz w:val="32"/>
          <w:szCs w:val="32"/>
          <w:highlight w:val="none"/>
        </w:rPr>
      </w:pPr>
    </w:p>
    <w:p w14:paraId="46122043">
      <w:pPr>
        <w:spacing w:line="360" w:lineRule="auto"/>
        <w:jc w:val="left"/>
        <w:rPr>
          <w:rFonts w:hint="eastAsia" w:ascii="宋体" w:hAnsi="宋体" w:cs="宋体"/>
          <w:b/>
          <w:color w:val="auto"/>
          <w:spacing w:val="6"/>
          <w:sz w:val="32"/>
          <w:szCs w:val="32"/>
          <w:highlight w:val="none"/>
        </w:rPr>
      </w:pPr>
    </w:p>
    <w:p w14:paraId="13BF0E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240F849">
      <w:pPr>
        <w:autoSpaceDE w:val="0"/>
        <w:autoSpaceDN w:val="0"/>
        <w:jc w:val="center"/>
        <w:rPr>
          <w:rFonts w:hint="eastAsia" w:ascii="宋体" w:hAnsi="宋体" w:cs="宋体"/>
          <w:b/>
          <w:color w:val="auto"/>
          <w:spacing w:val="6"/>
          <w:sz w:val="32"/>
          <w:szCs w:val="32"/>
          <w:highlight w:val="none"/>
        </w:rPr>
      </w:pPr>
    </w:p>
    <w:p w14:paraId="65CE2582">
      <w:pPr>
        <w:autoSpaceDE w:val="0"/>
        <w:autoSpaceDN w:val="0"/>
        <w:jc w:val="center"/>
        <w:rPr>
          <w:rFonts w:hint="eastAsia" w:ascii="宋体" w:hAnsi="宋体" w:cs="宋体"/>
          <w:b/>
          <w:color w:val="auto"/>
          <w:spacing w:val="6"/>
          <w:sz w:val="32"/>
          <w:szCs w:val="32"/>
          <w:highlight w:val="none"/>
        </w:rPr>
      </w:pPr>
    </w:p>
    <w:p w14:paraId="57D4E7C0">
      <w:pPr>
        <w:autoSpaceDE w:val="0"/>
        <w:autoSpaceDN w:val="0"/>
        <w:jc w:val="center"/>
        <w:rPr>
          <w:rFonts w:hint="eastAsia" w:ascii="宋体" w:hAnsi="宋体" w:cs="宋体"/>
          <w:b/>
          <w:color w:val="auto"/>
          <w:spacing w:val="6"/>
          <w:sz w:val="32"/>
          <w:szCs w:val="32"/>
          <w:highlight w:val="none"/>
        </w:rPr>
      </w:pPr>
    </w:p>
    <w:p w14:paraId="5B683A10">
      <w:pPr>
        <w:autoSpaceDE w:val="0"/>
        <w:autoSpaceDN w:val="0"/>
        <w:jc w:val="center"/>
        <w:rPr>
          <w:rFonts w:hint="eastAsia" w:ascii="宋体" w:hAnsi="宋体" w:cs="宋体"/>
          <w:b/>
          <w:color w:val="auto"/>
          <w:spacing w:val="6"/>
          <w:sz w:val="32"/>
          <w:szCs w:val="32"/>
          <w:highlight w:val="none"/>
        </w:rPr>
      </w:pPr>
    </w:p>
    <w:p w14:paraId="444F95AF">
      <w:pPr>
        <w:autoSpaceDE w:val="0"/>
        <w:autoSpaceDN w:val="0"/>
        <w:jc w:val="center"/>
        <w:rPr>
          <w:rFonts w:hint="eastAsia" w:ascii="宋体" w:hAnsi="宋体" w:cs="宋体"/>
          <w:b/>
          <w:color w:val="auto"/>
          <w:spacing w:val="6"/>
          <w:sz w:val="32"/>
          <w:szCs w:val="32"/>
          <w:highlight w:val="none"/>
        </w:rPr>
      </w:pPr>
    </w:p>
    <w:p w14:paraId="0314BCA4">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杭州市西湖区人民政府翠苑街道办事处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东方经纬项目管理有限公司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4B62C29">
      <w:pPr>
        <w:autoSpaceDE w:val="0"/>
        <w:autoSpaceDN w:val="0"/>
        <w:jc w:val="center"/>
        <w:rPr>
          <w:rFonts w:hint="eastAsia" w:ascii="宋体" w:hAnsi="宋体" w:cs="宋体"/>
          <w:b/>
          <w:color w:val="auto"/>
          <w:spacing w:val="6"/>
          <w:sz w:val="32"/>
          <w:szCs w:val="32"/>
          <w:highlight w:val="none"/>
        </w:rPr>
      </w:pPr>
    </w:p>
    <w:p w14:paraId="3C3FF8E5">
      <w:pPr>
        <w:autoSpaceDE w:val="0"/>
        <w:autoSpaceDN w:val="0"/>
        <w:jc w:val="center"/>
        <w:rPr>
          <w:rFonts w:hint="eastAsia" w:ascii="宋体" w:hAnsi="宋体" w:cs="宋体"/>
          <w:b/>
          <w:color w:val="auto"/>
          <w:spacing w:val="6"/>
          <w:sz w:val="32"/>
          <w:szCs w:val="32"/>
          <w:highlight w:val="none"/>
        </w:rPr>
      </w:pPr>
    </w:p>
    <w:p w14:paraId="1476BF0B">
      <w:pPr>
        <w:autoSpaceDE w:val="0"/>
        <w:autoSpaceDN w:val="0"/>
        <w:jc w:val="center"/>
        <w:rPr>
          <w:rFonts w:hint="eastAsia" w:ascii="宋体" w:hAnsi="宋体" w:cs="宋体"/>
          <w:b/>
          <w:color w:val="auto"/>
          <w:spacing w:val="6"/>
          <w:sz w:val="32"/>
          <w:szCs w:val="32"/>
          <w:highlight w:val="none"/>
        </w:rPr>
      </w:pPr>
    </w:p>
    <w:p w14:paraId="4334DB59">
      <w:pPr>
        <w:autoSpaceDE w:val="0"/>
        <w:autoSpaceDN w:val="0"/>
        <w:jc w:val="center"/>
        <w:rPr>
          <w:rFonts w:hint="eastAsia" w:ascii="宋体" w:hAnsi="宋体" w:cs="宋体"/>
          <w:b/>
          <w:color w:val="auto"/>
          <w:spacing w:val="6"/>
          <w:sz w:val="32"/>
          <w:szCs w:val="32"/>
          <w:highlight w:val="none"/>
        </w:rPr>
      </w:pPr>
    </w:p>
    <w:p w14:paraId="4E82612F">
      <w:pPr>
        <w:autoSpaceDE w:val="0"/>
        <w:autoSpaceDN w:val="0"/>
        <w:jc w:val="center"/>
        <w:rPr>
          <w:rFonts w:hint="eastAsia" w:ascii="宋体" w:hAnsi="宋体" w:cs="宋体"/>
          <w:b/>
          <w:color w:val="auto"/>
          <w:spacing w:val="6"/>
          <w:sz w:val="32"/>
          <w:szCs w:val="32"/>
          <w:highlight w:val="none"/>
        </w:rPr>
      </w:pPr>
    </w:p>
    <w:p w14:paraId="0518C9D8">
      <w:pPr>
        <w:autoSpaceDE w:val="0"/>
        <w:autoSpaceDN w:val="0"/>
        <w:jc w:val="center"/>
        <w:rPr>
          <w:rFonts w:hint="eastAsia" w:ascii="宋体" w:hAnsi="宋体" w:cs="宋体"/>
          <w:b/>
          <w:color w:val="auto"/>
          <w:spacing w:val="6"/>
          <w:sz w:val="32"/>
          <w:szCs w:val="32"/>
          <w:highlight w:val="none"/>
        </w:rPr>
      </w:pPr>
    </w:p>
    <w:p w14:paraId="4D998BB9">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07E1BFF2">
      <w:pPr>
        <w:snapToGrid w:val="0"/>
        <w:spacing w:line="360" w:lineRule="auto"/>
        <w:ind w:firstLine="3666" w:firstLineChars="1100"/>
        <w:rPr>
          <w:rFonts w:hint="eastAsia" w:ascii="宋体" w:hAnsi="宋体" w:cs="宋体"/>
          <w:b/>
          <w:color w:val="auto"/>
          <w:spacing w:val="6"/>
          <w:sz w:val="32"/>
          <w:szCs w:val="32"/>
          <w:highlight w:val="none"/>
        </w:rPr>
      </w:pPr>
    </w:p>
    <w:p w14:paraId="0AF3ECC2">
      <w:pPr>
        <w:snapToGrid w:val="0"/>
        <w:spacing w:line="360" w:lineRule="auto"/>
        <w:ind w:firstLine="3666" w:firstLineChars="1100"/>
        <w:rPr>
          <w:rFonts w:hint="eastAsia" w:ascii="宋体" w:hAnsi="宋体" w:cs="宋体"/>
          <w:b/>
          <w:color w:val="auto"/>
          <w:spacing w:val="6"/>
          <w:sz w:val="32"/>
          <w:szCs w:val="32"/>
          <w:highlight w:val="none"/>
        </w:rPr>
      </w:pPr>
    </w:p>
    <w:p w14:paraId="62AD4189">
      <w:pPr>
        <w:snapToGrid w:val="0"/>
        <w:spacing w:line="360" w:lineRule="auto"/>
        <w:ind w:firstLine="3666" w:firstLineChars="1100"/>
        <w:rPr>
          <w:rFonts w:hint="eastAsia" w:ascii="宋体" w:hAnsi="宋体" w:cs="宋体"/>
          <w:b/>
          <w:color w:val="auto"/>
          <w:spacing w:val="6"/>
          <w:sz w:val="32"/>
          <w:szCs w:val="32"/>
          <w:highlight w:val="none"/>
        </w:rPr>
      </w:pPr>
    </w:p>
    <w:p w14:paraId="2B3BECE5">
      <w:pPr>
        <w:snapToGrid w:val="0"/>
        <w:spacing w:line="360" w:lineRule="auto"/>
        <w:ind w:firstLine="3666" w:firstLineChars="1100"/>
        <w:rPr>
          <w:rFonts w:hint="eastAsia" w:ascii="宋体" w:hAnsi="宋体" w:cs="宋体"/>
          <w:b/>
          <w:color w:val="auto"/>
          <w:spacing w:val="6"/>
          <w:sz w:val="32"/>
          <w:szCs w:val="32"/>
          <w:highlight w:val="none"/>
        </w:rPr>
      </w:pPr>
    </w:p>
    <w:p w14:paraId="2040172A">
      <w:pPr>
        <w:snapToGrid w:val="0"/>
        <w:spacing w:line="360" w:lineRule="auto"/>
        <w:ind w:firstLine="3666" w:firstLineChars="1100"/>
        <w:rPr>
          <w:rFonts w:hint="eastAsia" w:ascii="宋体" w:hAnsi="宋体" w:cs="宋体"/>
          <w:b/>
          <w:color w:val="auto"/>
          <w:spacing w:val="6"/>
          <w:sz w:val="32"/>
          <w:szCs w:val="32"/>
          <w:highlight w:val="none"/>
        </w:rPr>
      </w:pPr>
    </w:p>
    <w:p w14:paraId="1EA60D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翠苑街道设施长效一体化管养服务项目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DFJW2025-XH-011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E6EF1D2">
      <w:pPr>
        <w:spacing w:line="360" w:lineRule="auto"/>
        <w:jc w:val="left"/>
        <w:outlineLvl w:val="0"/>
        <w:rPr>
          <w:rFonts w:hint="eastAsia" w:ascii="宋体" w:hAnsi="宋体" w:cs="宋体"/>
          <w:b/>
          <w:color w:val="auto"/>
          <w:sz w:val="36"/>
          <w:szCs w:val="20"/>
          <w:highlight w:val="none"/>
        </w:rPr>
      </w:pPr>
    </w:p>
    <w:p w14:paraId="543488FC">
      <w:pPr>
        <w:spacing w:line="360" w:lineRule="auto"/>
        <w:jc w:val="left"/>
        <w:outlineLvl w:val="0"/>
        <w:rPr>
          <w:rFonts w:hint="eastAsia" w:ascii="宋体" w:hAnsi="宋体" w:cs="宋体"/>
          <w:b/>
          <w:color w:val="auto"/>
          <w:sz w:val="36"/>
          <w:szCs w:val="20"/>
          <w:highlight w:val="none"/>
        </w:rPr>
      </w:pPr>
    </w:p>
    <w:p w14:paraId="002DE3C5">
      <w:pPr>
        <w:spacing w:line="360" w:lineRule="auto"/>
        <w:jc w:val="left"/>
        <w:outlineLvl w:val="0"/>
        <w:rPr>
          <w:rFonts w:hint="eastAsia" w:ascii="宋体" w:hAnsi="宋体" w:cs="宋体"/>
          <w:b/>
          <w:color w:val="auto"/>
          <w:sz w:val="36"/>
          <w:szCs w:val="20"/>
          <w:highlight w:val="none"/>
        </w:rPr>
      </w:pPr>
    </w:p>
    <w:p w14:paraId="2A619C3A">
      <w:pPr>
        <w:spacing w:line="360" w:lineRule="auto"/>
        <w:jc w:val="left"/>
        <w:outlineLvl w:val="0"/>
        <w:rPr>
          <w:rFonts w:hint="eastAsia" w:ascii="宋体" w:hAnsi="宋体" w:cs="宋体"/>
          <w:b/>
          <w:color w:val="auto"/>
          <w:sz w:val="36"/>
          <w:szCs w:val="20"/>
          <w:highlight w:val="none"/>
        </w:rPr>
      </w:pPr>
    </w:p>
    <w:p w14:paraId="6CC22D28">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杭州市西湖区人民政府翠苑街道办事处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翠苑街道设施长效一体化管养服务项目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C79ED1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5" w:name="_Toc91899912"/>
    <w:bookmarkStart w:id="506" w:name="_Toc131845147"/>
    <w:bookmarkStart w:id="507" w:name="_Toc164085800"/>
    <w:bookmarkStart w:id="508" w:name="_Toc36110187"/>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C2953"/>
    <w:rsid w:val="019F7441"/>
    <w:rsid w:val="01B37585"/>
    <w:rsid w:val="01D55165"/>
    <w:rsid w:val="01DF6BF8"/>
    <w:rsid w:val="01EC2C57"/>
    <w:rsid w:val="02076F1C"/>
    <w:rsid w:val="025F0711"/>
    <w:rsid w:val="026B2E25"/>
    <w:rsid w:val="02824D4D"/>
    <w:rsid w:val="02DC4B10"/>
    <w:rsid w:val="02DD76CE"/>
    <w:rsid w:val="02F36323"/>
    <w:rsid w:val="02F5619C"/>
    <w:rsid w:val="02FA03B3"/>
    <w:rsid w:val="0326446A"/>
    <w:rsid w:val="032D5555"/>
    <w:rsid w:val="03411FB9"/>
    <w:rsid w:val="036634D2"/>
    <w:rsid w:val="03711D50"/>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533E8"/>
    <w:rsid w:val="08061376"/>
    <w:rsid w:val="08452D77"/>
    <w:rsid w:val="086401F8"/>
    <w:rsid w:val="08751CAA"/>
    <w:rsid w:val="087E4C40"/>
    <w:rsid w:val="08A871D0"/>
    <w:rsid w:val="08AC7F3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C419DA"/>
    <w:rsid w:val="0BF6188C"/>
    <w:rsid w:val="0BF73C91"/>
    <w:rsid w:val="0C170175"/>
    <w:rsid w:val="0C571A41"/>
    <w:rsid w:val="0C5C1171"/>
    <w:rsid w:val="0C5E1CBC"/>
    <w:rsid w:val="0C615B50"/>
    <w:rsid w:val="0C8445DA"/>
    <w:rsid w:val="0C87121B"/>
    <w:rsid w:val="0CC007F7"/>
    <w:rsid w:val="0CC617AC"/>
    <w:rsid w:val="0CD914B5"/>
    <w:rsid w:val="0CE618DF"/>
    <w:rsid w:val="0CFE707A"/>
    <w:rsid w:val="0D063BDA"/>
    <w:rsid w:val="0D08375F"/>
    <w:rsid w:val="0D184CFB"/>
    <w:rsid w:val="0D3D4F85"/>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A6642"/>
    <w:rsid w:val="0EF94D4B"/>
    <w:rsid w:val="0F4958DC"/>
    <w:rsid w:val="0F515DF7"/>
    <w:rsid w:val="0F5842A9"/>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145D4E"/>
    <w:rsid w:val="19932372"/>
    <w:rsid w:val="19A20DD5"/>
    <w:rsid w:val="19AE03F1"/>
    <w:rsid w:val="1A071A03"/>
    <w:rsid w:val="1A1F16AE"/>
    <w:rsid w:val="1A3B5C77"/>
    <w:rsid w:val="1A984BAD"/>
    <w:rsid w:val="1AB8220E"/>
    <w:rsid w:val="1AE4166C"/>
    <w:rsid w:val="1AF06CFB"/>
    <w:rsid w:val="1AF11B8D"/>
    <w:rsid w:val="1B11359C"/>
    <w:rsid w:val="1B1F3BAA"/>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B4AAE"/>
    <w:rsid w:val="22BE6801"/>
    <w:rsid w:val="233500BF"/>
    <w:rsid w:val="23377FF7"/>
    <w:rsid w:val="236B425F"/>
    <w:rsid w:val="23836192"/>
    <w:rsid w:val="23901F29"/>
    <w:rsid w:val="239C0061"/>
    <w:rsid w:val="23B908A4"/>
    <w:rsid w:val="23BB1D5C"/>
    <w:rsid w:val="23E95BEF"/>
    <w:rsid w:val="23FD0064"/>
    <w:rsid w:val="2442300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1634B"/>
    <w:rsid w:val="26871DC8"/>
    <w:rsid w:val="268D7140"/>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518B2"/>
    <w:rsid w:val="29345E77"/>
    <w:rsid w:val="294C65AD"/>
    <w:rsid w:val="29806583"/>
    <w:rsid w:val="298B3C4C"/>
    <w:rsid w:val="29F26D24"/>
    <w:rsid w:val="2A15033F"/>
    <w:rsid w:val="2A1662C1"/>
    <w:rsid w:val="2A1C7367"/>
    <w:rsid w:val="2A2815FA"/>
    <w:rsid w:val="2A6D6092"/>
    <w:rsid w:val="2A7D76B4"/>
    <w:rsid w:val="2B437463"/>
    <w:rsid w:val="2B5869C9"/>
    <w:rsid w:val="2B7807EE"/>
    <w:rsid w:val="2BA50BF7"/>
    <w:rsid w:val="2BBF00EC"/>
    <w:rsid w:val="2BC37CFD"/>
    <w:rsid w:val="2BD5237F"/>
    <w:rsid w:val="2BE536CE"/>
    <w:rsid w:val="2BE758D9"/>
    <w:rsid w:val="2C09049E"/>
    <w:rsid w:val="2C0A653C"/>
    <w:rsid w:val="2C191F85"/>
    <w:rsid w:val="2CE82D6F"/>
    <w:rsid w:val="2D343236"/>
    <w:rsid w:val="2D7D7F0E"/>
    <w:rsid w:val="2DB462FC"/>
    <w:rsid w:val="2DD15014"/>
    <w:rsid w:val="2DF72DE4"/>
    <w:rsid w:val="2E0220AF"/>
    <w:rsid w:val="2E3B02F8"/>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2B5ED3"/>
    <w:rsid w:val="314550B7"/>
    <w:rsid w:val="319C6071"/>
    <w:rsid w:val="31AC537E"/>
    <w:rsid w:val="31E3679B"/>
    <w:rsid w:val="31E732FD"/>
    <w:rsid w:val="32517576"/>
    <w:rsid w:val="32BE5C2C"/>
    <w:rsid w:val="32FB6478"/>
    <w:rsid w:val="331C7947"/>
    <w:rsid w:val="33263B3F"/>
    <w:rsid w:val="336963EB"/>
    <w:rsid w:val="33816EEB"/>
    <w:rsid w:val="33EB55CD"/>
    <w:rsid w:val="33EC4C02"/>
    <w:rsid w:val="340D2360"/>
    <w:rsid w:val="3410665D"/>
    <w:rsid w:val="34211214"/>
    <w:rsid w:val="342E63AB"/>
    <w:rsid w:val="34950E68"/>
    <w:rsid w:val="34986E94"/>
    <w:rsid w:val="34AF62C9"/>
    <w:rsid w:val="34CB4388"/>
    <w:rsid w:val="34D766F1"/>
    <w:rsid w:val="34FA6E12"/>
    <w:rsid w:val="354D7158"/>
    <w:rsid w:val="358D5588"/>
    <w:rsid w:val="35ED7BFB"/>
    <w:rsid w:val="363A3B40"/>
    <w:rsid w:val="365302AE"/>
    <w:rsid w:val="36607A0A"/>
    <w:rsid w:val="366E227C"/>
    <w:rsid w:val="366F2E0D"/>
    <w:rsid w:val="367B6A5C"/>
    <w:rsid w:val="36A74ADA"/>
    <w:rsid w:val="36AD60D5"/>
    <w:rsid w:val="36B224F9"/>
    <w:rsid w:val="36EC0CC9"/>
    <w:rsid w:val="373F410B"/>
    <w:rsid w:val="37B564F7"/>
    <w:rsid w:val="37EE7094"/>
    <w:rsid w:val="38296C89"/>
    <w:rsid w:val="383002EB"/>
    <w:rsid w:val="38586797"/>
    <w:rsid w:val="38BC0149"/>
    <w:rsid w:val="38D87D1C"/>
    <w:rsid w:val="390F7E8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01BC6"/>
    <w:rsid w:val="3CCE23CB"/>
    <w:rsid w:val="3CD17D17"/>
    <w:rsid w:val="3D3C7F39"/>
    <w:rsid w:val="3D440F09"/>
    <w:rsid w:val="3D4504A0"/>
    <w:rsid w:val="3D8734BB"/>
    <w:rsid w:val="3D9A11D4"/>
    <w:rsid w:val="3DA16D89"/>
    <w:rsid w:val="3DA364BE"/>
    <w:rsid w:val="3DE041CB"/>
    <w:rsid w:val="3E0D48F6"/>
    <w:rsid w:val="3E1868B4"/>
    <w:rsid w:val="3E1F46CA"/>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233F31"/>
    <w:rsid w:val="40297A82"/>
    <w:rsid w:val="40592157"/>
    <w:rsid w:val="40661D38"/>
    <w:rsid w:val="406E1CAE"/>
    <w:rsid w:val="40A0133A"/>
    <w:rsid w:val="40C31A53"/>
    <w:rsid w:val="40FF545D"/>
    <w:rsid w:val="410067C8"/>
    <w:rsid w:val="4109204D"/>
    <w:rsid w:val="4134774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274AF"/>
    <w:rsid w:val="43977AB6"/>
    <w:rsid w:val="43A3342B"/>
    <w:rsid w:val="43C77C27"/>
    <w:rsid w:val="43DE09EE"/>
    <w:rsid w:val="44002FAD"/>
    <w:rsid w:val="449101DD"/>
    <w:rsid w:val="44C335DB"/>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604A40"/>
    <w:rsid w:val="4CB6685F"/>
    <w:rsid w:val="4CC367FE"/>
    <w:rsid w:val="4D077F3C"/>
    <w:rsid w:val="4D123355"/>
    <w:rsid w:val="4D2A3B31"/>
    <w:rsid w:val="4D312C52"/>
    <w:rsid w:val="4D720CBA"/>
    <w:rsid w:val="4D905305"/>
    <w:rsid w:val="4D964A72"/>
    <w:rsid w:val="4D9C1254"/>
    <w:rsid w:val="4E793892"/>
    <w:rsid w:val="4E800872"/>
    <w:rsid w:val="4E9B7784"/>
    <w:rsid w:val="4EC569ED"/>
    <w:rsid w:val="4ED50EA1"/>
    <w:rsid w:val="4EEC050C"/>
    <w:rsid w:val="4F104EC3"/>
    <w:rsid w:val="4F47354A"/>
    <w:rsid w:val="4F6D4A83"/>
    <w:rsid w:val="4F911C54"/>
    <w:rsid w:val="4FE625E0"/>
    <w:rsid w:val="5021480F"/>
    <w:rsid w:val="5085486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3303E"/>
    <w:rsid w:val="5A5D3B6E"/>
    <w:rsid w:val="5A637A76"/>
    <w:rsid w:val="5A6D33BA"/>
    <w:rsid w:val="5A792B1F"/>
    <w:rsid w:val="5A874767"/>
    <w:rsid w:val="5AA85BE2"/>
    <w:rsid w:val="5AAD6F28"/>
    <w:rsid w:val="5AD63A24"/>
    <w:rsid w:val="5ADE1996"/>
    <w:rsid w:val="5AFE1DDF"/>
    <w:rsid w:val="5B2E1A1D"/>
    <w:rsid w:val="5B843A1C"/>
    <w:rsid w:val="5B873E3F"/>
    <w:rsid w:val="5BFB6631"/>
    <w:rsid w:val="5C02690E"/>
    <w:rsid w:val="5C196DA7"/>
    <w:rsid w:val="5C2A048C"/>
    <w:rsid w:val="5C80234E"/>
    <w:rsid w:val="5C8A680C"/>
    <w:rsid w:val="5CF35D1E"/>
    <w:rsid w:val="5CF6089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D2422"/>
    <w:rsid w:val="5FFE1E36"/>
    <w:rsid w:val="60232584"/>
    <w:rsid w:val="607330CE"/>
    <w:rsid w:val="60825176"/>
    <w:rsid w:val="609F2AC4"/>
    <w:rsid w:val="60FA2EE8"/>
    <w:rsid w:val="60FC0DF8"/>
    <w:rsid w:val="61054A27"/>
    <w:rsid w:val="610A52BC"/>
    <w:rsid w:val="611D2366"/>
    <w:rsid w:val="613F745B"/>
    <w:rsid w:val="61421856"/>
    <w:rsid w:val="615227C4"/>
    <w:rsid w:val="61654E3F"/>
    <w:rsid w:val="6182292A"/>
    <w:rsid w:val="619C3D42"/>
    <w:rsid w:val="619F7F92"/>
    <w:rsid w:val="61EC2D57"/>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25BB7"/>
    <w:rsid w:val="64055776"/>
    <w:rsid w:val="64240056"/>
    <w:rsid w:val="643E143A"/>
    <w:rsid w:val="64491666"/>
    <w:rsid w:val="648B6EEF"/>
    <w:rsid w:val="64C158BF"/>
    <w:rsid w:val="64CE2EAA"/>
    <w:rsid w:val="65257F68"/>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0C258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106BF"/>
    <w:rsid w:val="69FD55B8"/>
    <w:rsid w:val="6A0630B0"/>
    <w:rsid w:val="6A0B1C62"/>
    <w:rsid w:val="6A2406C8"/>
    <w:rsid w:val="6AD96214"/>
    <w:rsid w:val="6ADE0BD1"/>
    <w:rsid w:val="6AE96859"/>
    <w:rsid w:val="6B147746"/>
    <w:rsid w:val="6B24787C"/>
    <w:rsid w:val="6B573233"/>
    <w:rsid w:val="6B5B6274"/>
    <w:rsid w:val="6B935D53"/>
    <w:rsid w:val="6B9D4CFC"/>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85621"/>
    <w:rsid w:val="6F8331F1"/>
    <w:rsid w:val="6FAE1A09"/>
    <w:rsid w:val="6FD75BF8"/>
    <w:rsid w:val="704B4683"/>
    <w:rsid w:val="707723D0"/>
    <w:rsid w:val="70F5661B"/>
    <w:rsid w:val="71360107"/>
    <w:rsid w:val="713B688E"/>
    <w:rsid w:val="71D43752"/>
    <w:rsid w:val="71F1796A"/>
    <w:rsid w:val="71FE6028"/>
    <w:rsid w:val="72154626"/>
    <w:rsid w:val="72262B5D"/>
    <w:rsid w:val="72283FF7"/>
    <w:rsid w:val="722E7212"/>
    <w:rsid w:val="723A0474"/>
    <w:rsid w:val="725923E4"/>
    <w:rsid w:val="72864BF7"/>
    <w:rsid w:val="729023FC"/>
    <w:rsid w:val="73C0646E"/>
    <w:rsid w:val="73D72D76"/>
    <w:rsid w:val="73E7CF11"/>
    <w:rsid w:val="73FD477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2B5ADA"/>
    <w:rsid w:val="77340A39"/>
    <w:rsid w:val="77351FD0"/>
    <w:rsid w:val="77472422"/>
    <w:rsid w:val="775A7F45"/>
    <w:rsid w:val="777F31F2"/>
    <w:rsid w:val="77D1700D"/>
    <w:rsid w:val="77EC04CC"/>
    <w:rsid w:val="78775729"/>
    <w:rsid w:val="78A42DB0"/>
    <w:rsid w:val="78A656AB"/>
    <w:rsid w:val="78B2245C"/>
    <w:rsid w:val="78E172CC"/>
    <w:rsid w:val="78EA1D1F"/>
    <w:rsid w:val="7904172F"/>
    <w:rsid w:val="790F7E27"/>
    <w:rsid w:val="792A231A"/>
    <w:rsid w:val="79316829"/>
    <w:rsid w:val="79444A09"/>
    <w:rsid w:val="796055B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9C6027"/>
    <w:rsid w:val="7CE27788"/>
    <w:rsid w:val="7D0C32F1"/>
    <w:rsid w:val="7D0F408D"/>
    <w:rsid w:val="7D491C6C"/>
    <w:rsid w:val="7D5429C0"/>
    <w:rsid w:val="7D6E6D43"/>
    <w:rsid w:val="7D733B0F"/>
    <w:rsid w:val="7DB57A34"/>
    <w:rsid w:val="7DE60973"/>
    <w:rsid w:val="7DEF0916"/>
    <w:rsid w:val="7E1E5218"/>
    <w:rsid w:val="7E94162E"/>
    <w:rsid w:val="7E9A4E1F"/>
    <w:rsid w:val="7EA7723A"/>
    <w:rsid w:val="7EF56FBB"/>
    <w:rsid w:val="7EFE38AC"/>
    <w:rsid w:val="7F0768EB"/>
    <w:rsid w:val="7F143BEC"/>
    <w:rsid w:val="7F236CE7"/>
    <w:rsid w:val="7F715AF2"/>
    <w:rsid w:val="7F886E69"/>
    <w:rsid w:val="7FED1317"/>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23"/>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Indent1"/>
    <w:basedOn w:val="1"/>
    <w:qFormat/>
    <w:uiPriority w:val="0"/>
    <w:pPr>
      <w:adjustRightInd/>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22197</Words>
  <Characters>23678</Characters>
  <Lines>281</Lines>
  <Paragraphs>79</Paragraphs>
  <TotalTime>24</TotalTime>
  <ScaleCrop>false</ScaleCrop>
  <LinksUpToDate>false</LinksUpToDate>
  <CharactersWithSpaces>24166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就叫西瓜吧</cp:lastModifiedBy>
  <cp:lastPrinted>2021-12-28T03:06:00Z</cp:lastPrinted>
  <dcterms:modified xsi:type="dcterms:W3CDTF">2025-07-17T03:09:40Z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AA03D31452104C3A9C84B7B1F9A46097_13</vt:lpwstr>
  </property>
  <property fmtid="{D5CDD505-2E9C-101B-9397-08002B2CF9AE}" pid="5" name="KSOTemplateDocerSaveRecord">
    <vt:lpwstr>eyJoZGlkIjoiYzVmOGI0MDBkMzgxZTY1OGUzOWI2MWE3MWZmNDVhYWYiLCJ1c2VySWQiOiI0MjA4OTE4NDAifQ==</vt:lpwstr>
  </property>
</Properties>
</file>