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5E91F">
      <w:pPr>
        <w:keepNext w:val="0"/>
        <w:keepLines w:val="0"/>
        <w:pageBreakBefore w:val="0"/>
        <w:widowControl w:val="0"/>
        <w:tabs>
          <w:tab w:val="left" w:pos="1276"/>
        </w:tabs>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snapToGrid w:val="0"/>
          <w:color w:val="auto"/>
          <w:sz w:val="52"/>
          <w:szCs w:val="52"/>
          <w:lang w:val="en-US" w:eastAsia="zh-CN"/>
        </w:rPr>
      </w:pPr>
      <w:r>
        <w:rPr>
          <w:rFonts w:hint="eastAsia" w:ascii="微软雅黑" w:hAnsi="微软雅黑" w:eastAsia="微软雅黑" w:cs="微软雅黑"/>
          <w:snapToGrid w:val="0"/>
          <w:color w:val="auto"/>
          <w:sz w:val="52"/>
          <w:szCs w:val="52"/>
          <w:lang w:val="en-US" w:eastAsia="zh-CN"/>
        </w:rPr>
        <w:t>2025年安吉县1:2000数字线划图更新入库与天地图融合项目</w:t>
      </w:r>
    </w:p>
    <w:p w14:paraId="2E657520">
      <w:pPr>
        <w:tabs>
          <w:tab w:val="left" w:pos="7692"/>
        </w:tabs>
        <w:jc w:val="left"/>
        <w:rPr>
          <w:rStyle w:val="24"/>
          <w:rFonts w:ascii="宋体" w:hAnsi="宋体" w:cs="宋体"/>
          <w:color w:val="auto"/>
          <w:spacing w:val="0"/>
          <w:sz w:val="72"/>
          <w:szCs w:val="44"/>
        </w:rPr>
      </w:pPr>
    </w:p>
    <w:p w14:paraId="13A20547">
      <w:pPr>
        <w:tabs>
          <w:tab w:val="left" w:pos="1276"/>
        </w:tabs>
        <w:spacing w:line="1000" w:lineRule="exact"/>
        <w:jc w:val="center"/>
        <w:rPr>
          <w:rFonts w:hint="eastAsia"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公</w:t>
      </w:r>
    </w:p>
    <w:p w14:paraId="3FBED380">
      <w:pPr>
        <w:tabs>
          <w:tab w:val="left" w:pos="1276"/>
        </w:tabs>
        <w:spacing w:line="1000" w:lineRule="exact"/>
        <w:jc w:val="center"/>
        <w:rPr>
          <w:rFonts w:hint="eastAsia"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开</w:t>
      </w:r>
    </w:p>
    <w:p w14:paraId="29EED229">
      <w:pPr>
        <w:tabs>
          <w:tab w:val="left" w:pos="1276"/>
        </w:tabs>
        <w:spacing w:line="1000" w:lineRule="exact"/>
        <w:jc w:val="center"/>
        <w:rPr>
          <w:rFonts w:hint="eastAsia"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招</w:t>
      </w:r>
    </w:p>
    <w:p w14:paraId="5F69BB03">
      <w:pPr>
        <w:tabs>
          <w:tab w:val="left" w:pos="1276"/>
        </w:tabs>
        <w:spacing w:line="1000" w:lineRule="exact"/>
        <w:jc w:val="center"/>
        <w:rPr>
          <w:rFonts w:hint="eastAsia"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标</w:t>
      </w:r>
    </w:p>
    <w:p w14:paraId="6B0E0AF7">
      <w:pPr>
        <w:tabs>
          <w:tab w:val="left" w:pos="1276"/>
        </w:tabs>
        <w:spacing w:line="1000" w:lineRule="exact"/>
        <w:jc w:val="center"/>
        <w:rPr>
          <w:rFonts w:hint="eastAsia"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采</w:t>
      </w:r>
    </w:p>
    <w:p w14:paraId="5B93758F">
      <w:pPr>
        <w:tabs>
          <w:tab w:val="left" w:pos="1276"/>
        </w:tabs>
        <w:spacing w:line="1000" w:lineRule="exact"/>
        <w:jc w:val="center"/>
        <w:rPr>
          <w:rFonts w:hint="default" w:ascii="微软雅黑" w:hAnsi="微软雅黑" w:eastAsia="微软雅黑" w:cs="微软雅黑"/>
          <w:sz w:val="72"/>
          <w:szCs w:val="72"/>
          <w:highlight w:val="none"/>
          <w:lang w:val="en-US" w:eastAsia="zh-CN"/>
        </w:rPr>
      </w:pPr>
      <w:r>
        <w:rPr>
          <w:rFonts w:hint="eastAsia" w:ascii="微软雅黑" w:hAnsi="微软雅黑" w:eastAsia="微软雅黑" w:cs="微软雅黑"/>
          <w:sz w:val="72"/>
          <w:szCs w:val="72"/>
          <w:highlight w:val="none"/>
          <w:lang w:val="en-US" w:eastAsia="zh-CN"/>
        </w:rPr>
        <w:t>购</w:t>
      </w:r>
    </w:p>
    <w:p w14:paraId="61314404">
      <w:pPr>
        <w:tabs>
          <w:tab w:val="left" w:pos="1276"/>
        </w:tabs>
        <w:spacing w:line="1000" w:lineRule="exact"/>
        <w:jc w:val="center"/>
        <w:rPr>
          <w:rFonts w:hint="eastAsia" w:ascii="微软雅黑" w:hAnsi="微软雅黑" w:eastAsia="微软雅黑" w:cs="微软雅黑"/>
          <w:sz w:val="72"/>
          <w:szCs w:val="72"/>
          <w:highlight w:val="none"/>
        </w:rPr>
      </w:pPr>
      <w:r>
        <w:rPr>
          <w:rFonts w:hint="eastAsia" w:ascii="微软雅黑" w:hAnsi="微软雅黑" w:eastAsia="微软雅黑" w:cs="微软雅黑"/>
          <w:sz w:val="72"/>
          <w:szCs w:val="72"/>
          <w:highlight w:val="none"/>
        </w:rPr>
        <w:t>文</w:t>
      </w:r>
    </w:p>
    <w:p w14:paraId="16DE610C">
      <w:pPr>
        <w:tabs>
          <w:tab w:val="left" w:pos="1276"/>
        </w:tabs>
        <w:spacing w:line="1000" w:lineRule="exact"/>
        <w:jc w:val="center"/>
        <w:rPr>
          <w:rFonts w:hint="eastAsia" w:ascii="微软雅黑" w:hAnsi="微软雅黑" w:eastAsia="微软雅黑" w:cs="微软雅黑"/>
          <w:bCs/>
          <w:sz w:val="72"/>
          <w:szCs w:val="72"/>
          <w:highlight w:val="none"/>
        </w:rPr>
      </w:pPr>
      <w:r>
        <w:rPr>
          <w:rFonts w:hint="eastAsia" w:ascii="微软雅黑" w:hAnsi="微软雅黑" w:eastAsia="微软雅黑" w:cs="微软雅黑"/>
          <w:sz w:val="72"/>
          <w:szCs w:val="72"/>
          <w:highlight w:val="none"/>
        </w:rPr>
        <w:t>件</w:t>
      </w:r>
    </w:p>
    <w:p w14:paraId="3DF413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rPr>
      </w:pPr>
    </w:p>
    <w:p w14:paraId="60F379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rPr>
      </w:pPr>
    </w:p>
    <w:p w14:paraId="5A432A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项目编号：</w:t>
      </w:r>
      <w:r>
        <w:rPr>
          <w:rFonts w:hint="eastAsia" w:ascii="微软雅黑" w:hAnsi="微软雅黑" w:eastAsia="微软雅黑" w:cs="微软雅黑"/>
          <w:sz w:val="24"/>
          <w:szCs w:val="24"/>
          <w:highlight w:val="none"/>
          <w:lang w:eastAsia="zh-CN"/>
        </w:rPr>
        <w:t>ZJZC-AJ2025-003</w:t>
      </w:r>
    </w:p>
    <w:p w14:paraId="6242A2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采 购 人：</w:t>
      </w:r>
      <w:r>
        <w:rPr>
          <w:rFonts w:hint="eastAsia" w:ascii="微软雅黑" w:hAnsi="微软雅黑" w:eastAsia="微软雅黑" w:cs="微软雅黑"/>
          <w:sz w:val="24"/>
          <w:szCs w:val="24"/>
          <w:highlight w:val="none"/>
          <w:lang w:eastAsia="zh-CN"/>
        </w:rPr>
        <w:t>安吉县自然资源和规划局</w:t>
      </w:r>
    </w:p>
    <w:p w14:paraId="30038F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highlight w:val="none"/>
          <w:lang w:eastAsia="zh-CN"/>
        </w:rPr>
      </w:pPr>
      <w:r>
        <w:rPr>
          <w:rFonts w:hint="eastAsia" w:ascii="微软雅黑" w:hAnsi="微软雅黑" w:eastAsia="微软雅黑" w:cs="微软雅黑"/>
          <w:sz w:val="24"/>
          <w:szCs w:val="24"/>
          <w:highlight w:val="none"/>
          <w:lang w:val="en-US" w:eastAsia="zh-CN"/>
        </w:rPr>
        <w:t>项目名称：</w:t>
      </w:r>
      <w:r>
        <w:rPr>
          <w:rFonts w:hint="eastAsia" w:ascii="微软雅黑" w:hAnsi="微软雅黑" w:eastAsia="微软雅黑" w:cs="微软雅黑"/>
          <w:sz w:val="24"/>
          <w:szCs w:val="24"/>
          <w:highlight w:val="none"/>
          <w:lang w:eastAsia="zh-CN"/>
        </w:rPr>
        <w:t>2025年安吉县1:2000数字线划图更新入库与天地图融合项目</w:t>
      </w:r>
    </w:p>
    <w:p w14:paraId="08153F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采购代理机构：</w:t>
      </w:r>
      <w:r>
        <w:rPr>
          <w:rFonts w:hint="eastAsia" w:ascii="微软雅黑" w:hAnsi="微软雅黑" w:eastAsia="微软雅黑" w:cs="微软雅黑"/>
          <w:sz w:val="24"/>
          <w:szCs w:val="24"/>
          <w:highlight w:val="none"/>
          <w:lang w:eastAsia="zh-CN"/>
        </w:rPr>
        <w:t>浙江至诚工程咨询有限责任公司</w:t>
      </w:r>
    </w:p>
    <w:p w14:paraId="3E91D0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采购类型：分散采购委托代理</w:t>
      </w:r>
    </w:p>
    <w:p w14:paraId="7063AA3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eastAsia="zh-CN"/>
        </w:rPr>
        <w:t>二</w:t>
      </w:r>
      <w:r>
        <w:rPr>
          <w:rFonts w:hint="eastAsia" w:ascii="微软雅黑" w:hAnsi="微软雅黑" w:eastAsia="微软雅黑" w:cs="微软雅黑"/>
          <w:bCs/>
          <w:sz w:val="24"/>
          <w:szCs w:val="24"/>
          <w:highlight w:val="none"/>
          <w:lang w:val="en-US" w:eastAsia="zh-CN"/>
        </w:rPr>
        <w:t>0二五</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六</w:t>
      </w:r>
      <w:r>
        <w:rPr>
          <w:rFonts w:hint="eastAsia" w:ascii="微软雅黑" w:hAnsi="微软雅黑" w:eastAsia="微软雅黑" w:cs="微软雅黑"/>
          <w:bCs/>
          <w:sz w:val="24"/>
          <w:szCs w:val="24"/>
          <w:highlight w:val="none"/>
        </w:rPr>
        <w:t>月</w:t>
      </w:r>
    </w:p>
    <w:p w14:paraId="0E393EDA">
      <w:pPr>
        <w:jc w:val="center"/>
        <w:rPr>
          <w:rFonts w:hint="eastAsia"/>
          <w:b/>
          <w:bCs/>
          <w:sz w:val="40"/>
          <w:szCs w:val="40"/>
          <w:lang w:val="en-US" w:eastAsia="zh-CN"/>
        </w:rPr>
        <w:sectPr>
          <w:pgSz w:w="11906" w:h="16838"/>
          <w:pgMar w:top="1134" w:right="1134" w:bottom="1134" w:left="1134" w:header="851" w:footer="992" w:gutter="0"/>
          <w:cols w:space="425" w:num="1"/>
          <w:docGrid w:type="lines" w:linePitch="312" w:charSpace="0"/>
        </w:sectPr>
      </w:pPr>
    </w:p>
    <w:p w14:paraId="7FC8463F">
      <w:pPr>
        <w:jc w:val="center"/>
        <w:rPr>
          <w:rFonts w:hint="eastAsia"/>
          <w:b/>
          <w:bCs/>
          <w:sz w:val="40"/>
          <w:szCs w:val="40"/>
          <w:lang w:val="en-US" w:eastAsia="zh-CN"/>
        </w:rPr>
      </w:pPr>
      <w:r>
        <w:rPr>
          <w:rFonts w:hint="eastAsia"/>
          <w:b/>
          <w:bCs/>
          <w:sz w:val="40"/>
          <w:szCs w:val="40"/>
          <w:lang w:val="en-US" w:eastAsia="zh-CN"/>
        </w:rPr>
        <w:t>目 录</w:t>
      </w:r>
    </w:p>
    <w:p w14:paraId="188C8FD7">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"1-2" \h \u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_Toc25932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 xml:space="preserve">第一章 </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_Toc25932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4DF1F055">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_Toc14199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第二章  招标需求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771E5B36">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_Toc12907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_Toc12907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6027B63E">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_Toc2847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前   附  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28939348">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_Toc3646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一、总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_Toc3646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709E9621">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_Toc10398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_Toc10398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684A1D3F">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_Toc19450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三、投标文件的编制及递交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7C500B9D">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_Toc12638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四、开标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_Toc12638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00938DBB">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_Toc24057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五、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_Toc24057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54903814">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_Toc8265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六、 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28FF58DC">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_Toc9635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七、 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_Toc9635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15B97303">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_Toc675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八、 合同的授予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06D0716E">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_Toc28331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九、 采购项目需要落实的政府采购政策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_Toc28331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701BE3BA">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_Toc743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第四章  评标办法及标准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5012DCCE">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_Toc22762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一、评标程序与方法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_Toc22762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23EDCE0E">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_Toc2990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二、综合评分法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5646B389">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_Toc20012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三、评标内容及标准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_Toc20012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33BFE4C4">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_Toc19139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四、监督管理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62C9A35C">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_Toc19324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第五章 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_Toc19324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43D16801">
      <w:pPr>
        <w:pStyle w:val="13"/>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_Toc24008 </w:instrText>
      </w:r>
      <w:r>
        <w:rPr>
          <w:rFonts w:hint="eastAsia" w:ascii="宋体" w:hAnsi="宋体" w:eastAsia="宋体" w:cs="宋体"/>
          <w:sz w:val="24"/>
          <w:szCs w:val="24"/>
          <w:lang w:val="en-US" w:eastAsia="zh-CN"/>
        </w:rPr>
        <w:fldChar w:fldCharType="separate"/>
      </w:r>
      <w:r>
        <w:rPr>
          <w:rFonts w:hint="eastAsia" w:ascii="宋体" w:hAnsi="宋体" w:eastAsia="宋体" w:cs="宋体"/>
          <w:snapToGrid w:val="0"/>
          <w:sz w:val="24"/>
          <w:szCs w:val="24"/>
        </w:rPr>
        <w:t>第六章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_Toc24008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228F3F69">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_Toc16810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一、资格证明文件格式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_Toc16810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3DC29F6A">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_Toc32031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二、技术资信文件格式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_Toc32031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1FC32F54">
      <w:pPr>
        <w:pStyle w:val="15"/>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_Toc12064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三、报价文件格式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_Toc12064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p>
    <w:p w14:paraId="379D6F2F">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ascii="宋体" w:hAnsi="宋体" w:eastAsia="宋体" w:cs="宋体"/>
          <w:sz w:val="24"/>
          <w:szCs w:val="24"/>
          <w:lang w:val="en-US" w:eastAsia="zh-CN"/>
        </w:rPr>
        <w:fldChar w:fldCharType="end"/>
      </w:r>
    </w:p>
    <w:p w14:paraId="34928342">
      <w:pPr>
        <w:pStyle w:val="2"/>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sz w:val="24"/>
          <w:szCs w:val="24"/>
        </w:rPr>
        <w:br w:type="page"/>
      </w:r>
    </w:p>
    <w:p w14:paraId="1D8FFE5B">
      <w:pPr>
        <w:pStyle w:val="3"/>
        <w:spacing w:after="47" w:line="240" w:lineRule="auto"/>
        <w:jc w:val="center"/>
        <w:rPr>
          <w:rFonts w:ascii="宋体" w:hAnsi="宋体" w:cs="宋体"/>
          <w:b w:val="0"/>
          <w:kern w:val="2"/>
          <w:sz w:val="36"/>
          <w:szCs w:val="36"/>
        </w:rPr>
      </w:pPr>
      <w:bookmarkStart w:id="0" w:name="_Toc12020"/>
      <w:bookmarkStart w:id="1" w:name="_Toc25932"/>
      <w:bookmarkStart w:id="2" w:name="_Toc6096"/>
      <w:r>
        <w:rPr>
          <w:rFonts w:hint="eastAsia" w:ascii="宋体" w:hAnsi="宋体" w:cs="宋体"/>
          <w:snapToGrid w:val="0"/>
          <w:sz w:val="36"/>
          <w:szCs w:val="36"/>
        </w:rPr>
        <w:t xml:space="preserve">第一章 </w:t>
      </w:r>
      <w:r>
        <w:rPr>
          <w:rFonts w:hint="eastAsia" w:ascii="宋体" w:hAnsi="宋体" w:cs="宋体"/>
          <w:snapToGrid w:val="0"/>
          <w:sz w:val="36"/>
          <w:szCs w:val="36"/>
          <w:lang w:val="en-US" w:eastAsia="zh-CN"/>
        </w:rPr>
        <w:t xml:space="preserve"> </w:t>
      </w:r>
      <w:r>
        <w:rPr>
          <w:rFonts w:hint="eastAsia" w:ascii="宋体" w:hAnsi="宋体" w:cs="宋体"/>
          <w:snapToGrid w:val="0"/>
          <w:sz w:val="36"/>
          <w:szCs w:val="36"/>
        </w:rPr>
        <w:t>招标公告</w:t>
      </w:r>
      <w:bookmarkEnd w:id="0"/>
      <w:bookmarkEnd w:id="1"/>
      <w:bookmarkEnd w:id="2"/>
    </w:p>
    <w:tbl>
      <w:tblPr>
        <w:tblStyle w:val="18"/>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2D8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5A03327A">
            <w:pPr>
              <w:spacing w:line="400" w:lineRule="exact"/>
              <w:ind w:firstLine="422" w:firstLineChars="200"/>
              <w:rPr>
                <w:rFonts w:ascii="宋体" w:hAnsi="宋体" w:cs="宋体"/>
                <w:highlight w:val="none"/>
              </w:rPr>
            </w:pPr>
            <w:r>
              <w:rPr>
                <w:rFonts w:hint="eastAsia" w:ascii="宋体" w:hAnsi="宋体" w:cs="宋体"/>
                <w:b/>
                <w:bCs/>
                <w:highlight w:val="none"/>
              </w:rPr>
              <w:t>项目概况</w:t>
            </w:r>
          </w:p>
          <w:p w14:paraId="2F265634">
            <w:pPr>
              <w:spacing w:line="400" w:lineRule="exact"/>
              <w:ind w:firstLine="420" w:firstLineChars="200"/>
              <w:rPr>
                <w:rFonts w:ascii="宋体" w:hAnsi="宋体" w:cs="宋体"/>
                <w:highlight w:val="none"/>
              </w:rPr>
            </w:pPr>
            <w:r>
              <w:rPr>
                <w:rFonts w:hint="eastAsia" w:ascii="宋体" w:hAnsi="宋体" w:cs="宋体"/>
                <w:highlight w:val="none"/>
                <w:lang w:eastAsia="zh-CN"/>
              </w:rPr>
              <w:t>2025年安吉县1:2000数字线划图更新入库与天地图融合项目</w:t>
            </w:r>
            <w:r>
              <w:rPr>
                <w:rFonts w:hint="eastAsia" w:ascii="宋体" w:hAnsi="宋体" w:cs="宋体"/>
                <w:highlight w:val="none"/>
              </w:rPr>
              <w:t>的潜在投标人应在政府采购云平台http://www.zcygov.cn（以下简称“政采云平台”）；获取（下载）招标文件，并于2025年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 xml:space="preserve">日09：00（北京时间）前递交（上传）投标文件。 </w:t>
            </w:r>
          </w:p>
        </w:tc>
      </w:tr>
    </w:tbl>
    <w:p w14:paraId="31F60E5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一、项目基本情况  </w:t>
      </w:r>
    </w:p>
    <w:p w14:paraId="07A7EB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    项目编号：</w:t>
      </w:r>
      <w:r>
        <w:rPr>
          <w:rFonts w:hint="eastAsia" w:ascii="宋体" w:hAnsi="宋体" w:eastAsia="宋体" w:cs="宋体"/>
          <w:highlight w:val="none"/>
          <w:lang w:eastAsia="zh-CN"/>
        </w:rPr>
        <w:t>ZJZC-AJ2025-003</w:t>
      </w:r>
    </w:p>
    <w:p w14:paraId="368750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    项目名称：</w:t>
      </w:r>
      <w:r>
        <w:rPr>
          <w:rFonts w:hint="eastAsia" w:ascii="宋体" w:hAnsi="宋体" w:eastAsia="宋体" w:cs="宋体"/>
          <w:highlight w:val="none"/>
          <w:lang w:eastAsia="zh-CN"/>
        </w:rPr>
        <w:t>2025年安吉县1:2000数字线划图更新入库与天地图融合项目</w:t>
      </w:r>
    </w:p>
    <w:p w14:paraId="253237E5">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highlight w:val="none"/>
          <w:lang w:eastAsia="zh-CN"/>
        </w:rPr>
      </w:pPr>
      <w:r>
        <w:rPr>
          <w:rFonts w:hint="eastAsia" w:ascii="宋体" w:hAnsi="宋体" w:eastAsia="宋体" w:cs="宋体"/>
          <w:highlight w:val="none"/>
        </w:rPr>
        <w:t>预算金额（元）：</w:t>
      </w:r>
      <w:r>
        <w:rPr>
          <w:rFonts w:hint="eastAsia" w:ascii="宋体" w:hAnsi="宋体" w:eastAsia="宋体" w:cs="宋体"/>
          <w:highlight w:val="none"/>
          <w:lang w:eastAsia="zh-CN"/>
        </w:rPr>
        <w:t>1000000</w:t>
      </w:r>
    </w:p>
    <w:p w14:paraId="24FEDD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    最高限价（元）：</w:t>
      </w:r>
      <w:r>
        <w:rPr>
          <w:rFonts w:hint="eastAsia" w:ascii="宋体" w:hAnsi="宋体" w:eastAsia="宋体" w:cs="宋体"/>
          <w:highlight w:val="none"/>
          <w:lang w:eastAsia="zh-CN"/>
        </w:rPr>
        <w:t>1000000</w:t>
      </w:r>
    </w:p>
    <w:p w14:paraId="620F7D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采购需求：</w:t>
      </w:r>
    </w:p>
    <w:p w14:paraId="086B4B85">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highlight w:val="none"/>
        </w:rPr>
      </w:pPr>
      <w:r>
        <w:rPr>
          <w:rFonts w:hint="eastAsia" w:ascii="宋体" w:hAnsi="宋体" w:eastAsia="宋体" w:cs="宋体"/>
          <w:highlight w:val="none"/>
        </w:rPr>
        <w:t>标项名称:</w:t>
      </w:r>
      <w:r>
        <w:rPr>
          <w:rFonts w:hint="eastAsia" w:ascii="宋体" w:hAnsi="宋体" w:eastAsia="宋体" w:cs="宋体"/>
          <w:highlight w:val="none"/>
          <w:lang w:eastAsia="zh-CN"/>
        </w:rPr>
        <w:t>2025年安吉县1:2000数字线划图更新入库与天地图融合项目</w:t>
      </w:r>
    </w:p>
    <w:p w14:paraId="3A4994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 xml:space="preserve">    数量:</w:t>
      </w:r>
      <w:r>
        <w:rPr>
          <w:rFonts w:hint="eastAsia" w:ascii="宋体" w:hAnsi="宋体" w:eastAsia="宋体" w:cs="宋体"/>
          <w:highlight w:val="none"/>
          <w:lang w:val="en-US" w:eastAsia="zh-CN"/>
        </w:rPr>
        <w:t>1项</w:t>
      </w:r>
    </w:p>
    <w:p w14:paraId="34E9E6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    预算金额：</w:t>
      </w:r>
      <w:r>
        <w:rPr>
          <w:rFonts w:hint="eastAsia" w:ascii="宋体" w:hAnsi="宋体" w:eastAsia="宋体" w:cs="宋体"/>
          <w:highlight w:val="none"/>
          <w:lang w:eastAsia="zh-CN"/>
        </w:rPr>
        <w:t>1000000</w:t>
      </w:r>
    </w:p>
    <w:p w14:paraId="3E816D26">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highlight w:val="none"/>
        </w:rPr>
      </w:pPr>
      <w:r>
        <w:rPr>
          <w:rFonts w:hint="eastAsia" w:ascii="宋体" w:hAnsi="宋体" w:eastAsia="宋体" w:cs="宋体"/>
          <w:highlight w:val="none"/>
        </w:rPr>
        <w:t>简要规格描述或项目基本概况介绍、用途：具体要求详见招标文件。    </w:t>
      </w:r>
    </w:p>
    <w:p w14:paraId="02EC8AD6">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highlight w:val="none"/>
        </w:rPr>
      </w:pPr>
      <w:r>
        <w:rPr>
          <w:rFonts w:hint="eastAsia" w:ascii="宋体" w:hAnsi="宋体" w:eastAsia="宋体" w:cs="宋体"/>
          <w:highlight w:val="none"/>
        </w:rPr>
        <w:t>备注：投标报价不得超预算，否则投标无效。</w:t>
      </w:r>
    </w:p>
    <w:p w14:paraId="10E14D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highlight w:val="none"/>
        </w:rPr>
        <w:t xml:space="preserve">    合同履约期限：标项 1，合同签订</w:t>
      </w:r>
      <w:r>
        <w:rPr>
          <w:rFonts w:hint="eastAsia" w:ascii="宋体" w:hAnsi="宋体" w:eastAsia="宋体" w:cs="宋体"/>
          <w:highlight w:val="none"/>
          <w:lang w:val="en-US" w:eastAsia="zh-CN"/>
        </w:rPr>
        <w:t>至</w:t>
      </w:r>
      <w:r>
        <w:rPr>
          <w:rFonts w:hint="eastAsia" w:ascii="宋体" w:hAnsi="宋体" w:eastAsia="宋体" w:cs="宋体"/>
          <w:b w:val="0"/>
          <w:bCs w:val="0"/>
          <w:color w:val="auto"/>
          <w:szCs w:val="21"/>
          <w:highlight w:val="none"/>
          <w:lang w:val="en-US" w:eastAsia="zh-CN"/>
        </w:rPr>
        <w:t>202</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年7月30日</w:t>
      </w:r>
      <w:r>
        <w:rPr>
          <w:rFonts w:hint="eastAsia" w:ascii="宋体" w:hAnsi="宋体" w:cs="宋体"/>
          <w:b w:val="0"/>
          <w:bCs w:val="0"/>
          <w:color w:val="auto"/>
          <w:szCs w:val="21"/>
          <w:highlight w:val="none"/>
          <w:lang w:val="en-US" w:eastAsia="zh-CN"/>
        </w:rPr>
        <w:t>，各具体</w:t>
      </w:r>
      <w:r>
        <w:rPr>
          <w:rFonts w:hint="eastAsia" w:ascii="宋体" w:hAnsi="宋体" w:cs="宋体"/>
          <w:b w:val="0"/>
          <w:bCs w:val="0"/>
          <w:color w:val="auto"/>
          <w:sz w:val="21"/>
          <w:szCs w:val="21"/>
          <w:highlight w:val="none"/>
          <w:lang w:val="en-US" w:eastAsia="zh-CN"/>
        </w:rPr>
        <w:t>事项完成时间要求详见招标需求</w:t>
      </w:r>
      <w:r>
        <w:rPr>
          <w:rFonts w:hint="eastAsia" w:ascii="宋体" w:hAnsi="宋体" w:eastAsia="宋体" w:cs="宋体"/>
          <w:color w:val="auto"/>
          <w:szCs w:val="21"/>
          <w:highlight w:val="none"/>
          <w:lang w:val="en-US" w:eastAsia="zh-CN"/>
        </w:rPr>
        <w:t>。</w:t>
      </w:r>
    </w:p>
    <w:p w14:paraId="7F1132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本项目（否）接受联合体投标。</w:t>
      </w:r>
    </w:p>
    <w:p w14:paraId="0137576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二、申请人的资格要求：</w:t>
      </w:r>
    </w:p>
    <w:p w14:paraId="3672DE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1</w:t>
      </w:r>
      <w:r>
        <w:rPr>
          <w:rFonts w:hint="eastAsia" w:ascii="宋体" w:hAnsi="宋体" w:cs="宋体"/>
          <w:lang w:eastAsia="zh-CN"/>
        </w:rPr>
        <w:t>、</w:t>
      </w:r>
      <w:r>
        <w:rPr>
          <w:rFonts w:hint="eastAsia" w:ascii="宋体" w:hAnsi="宋体" w:eastAsia="宋体" w:cs="宋体"/>
        </w:rPr>
        <w:t>满足《中华人民共和国政府采购法》第二十二条规定；</w:t>
      </w:r>
    </w:p>
    <w:p w14:paraId="47039FE8">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sz w:val="21"/>
          <w:szCs w:val="21"/>
          <w:highlight w:val="none"/>
          <w:lang w:val="en-US" w:eastAsia="zh-CN"/>
        </w:rPr>
        <w:t>至本项目投标截止时间前，</w:t>
      </w:r>
      <w:r>
        <w:rPr>
          <w:rFonts w:hint="eastAsia" w:ascii="宋体" w:hAnsi="宋体" w:eastAsia="宋体" w:cs="宋体"/>
        </w:rPr>
        <w:t>未被“信用中国”（www.creditchina.gov.cn)、中国政府采购网（www.ccgp.</w:t>
      </w:r>
      <w:r>
        <w:rPr>
          <w:rFonts w:hint="eastAsia" w:ascii="宋体" w:hAnsi="宋体" w:eastAsia="宋体" w:cs="宋体"/>
          <w:lang w:val="en-US" w:eastAsia="zh-CN"/>
        </w:rPr>
        <w:tab/>
      </w:r>
      <w:r>
        <w:rPr>
          <w:rFonts w:hint="eastAsia" w:ascii="宋体" w:hAnsi="宋体" w:eastAsia="宋体" w:cs="宋体"/>
        </w:rPr>
        <w:t>gov.cn）列入失信被执行人、重大税收违法失信主体、政府采购严重违法失信行为记录名单。</w:t>
      </w:r>
    </w:p>
    <w:p w14:paraId="3371A0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cs="宋体"/>
          <w:lang w:val="en-US" w:eastAsia="zh-CN"/>
        </w:rPr>
        <w:t>3、</w:t>
      </w:r>
      <w:r>
        <w:rPr>
          <w:rFonts w:hint="eastAsia" w:ascii="宋体" w:hAnsi="宋体" w:eastAsia="宋体" w:cs="宋体"/>
        </w:rPr>
        <w:t>落实政府采购政策需满足的资格要求：标项1，本项目专门面向中小企业采购，中小企业应按照采购文件附件的格式要求</w:t>
      </w:r>
      <w:r>
        <w:rPr>
          <w:rFonts w:hint="eastAsia" w:ascii="宋体" w:hAnsi="宋体" w:eastAsia="宋体" w:cs="宋体"/>
          <w:lang w:eastAsia="zh-CN"/>
        </w:rPr>
        <w:t>，</w:t>
      </w:r>
      <w:r>
        <w:rPr>
          <w:rFonts w:hint="eastAsia" w:ascii="宋体" w:hAnsi="宋体" w:eastAsia="宋体" w:cs="宋体"/>
        </w:rPr>
        <w:t>在资格证明文件中提供《中小企业声明函》；</w:t>
      </w:r>
    </w:p>
    <w:p w14:paraId="1ACC38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eastAsia="宋体"/>
          <w:szCs w:val="21"/>
          <w:lang w:eastAsia="zh-CN"/>
        </w:rPr>
      </w:pPr>
      <w:r>
        <w:rPr>
          <w:rFonts w:hint="eastAsia" w:ascii="宋体" w:hAnsi="宋体" w:eastAsia="宋体" w:cs="宋体"/>
        </w:rPr>
        <w:t xml:space="preserve">  </w:t>
      </w:r>
      <w:r>
        <w:rPr>
          <w:rFonts w:hint="eastAsia" w:ascii="宋体" w:hAnsi="宋体" w:eastAsia="宋体" w:cs="宋体"/>
          <w:lang w:val="en-US" w:eastAsia="zh-CN"/>
        </w:rPr>
        <w:t xml:space="preserve">  4、</w:t>
      </w:r>
      <w:r>
        <w:rPr>
          <w:rFonts w:hint="eastAsia" w:ascii="宋体" w:hAnsi="宋体" w:eastAsia="宋体" w:cs="宋体"/>
        </w:rPr>
        <w:t>本项目的特定资格要求：</w:t>
      </w:r>
      <w:r>
        <w:rPr>
          <w:rFonts w:hint="eastAsia" w:hAnsi="宋体"/>
          <w:szCs w:val="21"/>
        </w:rPr>
        <w:t>同时具备摄影测量与遥感乙级和地理信息系统工程乙级及以上测绘资质</w:t>
      </w:r>
      <w:r>
        <w:rPr>
          <w:rFonts w:hint="eastAsia" w:hAnsi="宋体"/>
          <w:szCs w:val="21"/>
          <w:lang w:eastAsia="zh-CN"/>
        </w:rPr>
        <w:t>；</w:t>
      </w:r>
    </w:p>
    <w:p w14:paraId="2D7954E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840" w:firstLineChars="400"/>
        <w:textAlignment w:val="auto"/>
        <w:rPr>
          <w:rFonts w:hint="eastAsia"/>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本项目不接受联合体投标。</w:t>
      </w:r>
      <w:r>
        <w:rPr>
          <w:rFonts w:hint="eastAsia" w:ascii="宋体" w:hAnsi="宋体" w:cs="宋体"/>
          <w:sz w:val="21"/>
          <w:szCs w:val="21"/>
          <w:highlight w:val="none"/>
          <w:lang w:val="en-US" w:eastAsia="zh-CN"/>
        </w:rPr>
        <w:t>不允许</w:t>
      </w:r>
      <w:r>
        <w:rPr>
          <w:rFonts w:hint="eastAsia" w:ascii="宋体" w:hAnsi="宋体"/>
          <w:color w:val="000000"/>
          <w:szCs w:val="21"/>
          <w:highlight w:val="none"/>
          <w:lang w:val="en-US" w:eastAsia="zh-CN"/>
        </w:rPr>
        <w:t>转包。</w:t>
      </w:r>
    </w:p>
    <w:p w14:paraId="6FDDB9F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 xml:space="preserve">三、获取招标文件 </w:t>
      </w:r>
    </w:p>
    <w:p w14:paraId="29A88E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 xml:space="preserve"> 时间：/至2025年</w:t>
      </w:r>
      <w:r>
        <w:rPr>
          <w:rFonts w:hint="eastAsia" w:ascii="宋体" w:hAnsi="宋体" w:eastAsia="宋体" w:cs="宋体"/>
          <w:b/>
          <w:bCs/>
          <w:color w:val="auto"/>
          <w:highlight w:val="none"/>
          <w:lang w:val="en-US" w:eastAsia="zh-CN"/>
        </w:rPr>
        <w:t>07</w:t>
      </w:r>
      <w:r>
        <w:rPr>
          <w:rFonts w:hint="eastAsia" w:ascii="宋体" w:hAnsi="宋体" w:eastAsia="宋体" w:cs="宋体"/>
          <w:b/>
          <w:bCs/>
          <w:color w:val="auto"/>
          <w:highlight w:val="none"/>
        </w:rPr>
        <w:t>月</w:t>
      </w:r>
      <w:r>
        <w:rPr>
          <w:rFonts w:hint="eastAsia" w:ascii="宋体" w:hAnsi="宋体" w:cs="宋体"/>
          <w:b/>
          <w:bCs/>
          <w:color w:val="auto"/>
          <w:highlight w:val="none"/>
          <w:lang w:val="en-US" w:eastAsia="zh-CN"/>
        </w:rPr>
        <w:t>22</w:t>
      </w:r>
      <w:r>
        <w:rPr>
          <w:rFonts w:hint="eastAsia" w:ascii="宋体" w:hAnsi="宋体" w:eastAsia="宋体" w:cs="宋体"/>
          <w:b/>
          <w:bCs/>
          <w:color w:val="auto"/>
          <w:highlight w:val="none"/>
        </w:rPr>
        <w:t xml:space="preserve">日 </w:t>
      </w:r>
      <w:r>
        <w:rPr>
          <w:rFonts w:hint="eastAsia" w:ascii="宋体" w:hAnsi="宋体" w:eastAsia="宋体" w:cs="宋体"/>
          <w:color w:val="auto"/>
          <w:highlight w:val="none"/>
        </w:rPr>
        <w:t>，每天上午00:00至12:00 ，下午12:00至23:59（北京时间，线上获取法定节假日均可，线下获取文件法定节假日除外）</w:t>
      </w:r>
    </w:p>
    <w:p w14:paraId="77F883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地点（网址）：政府采购云平台http://www.zcygov.cn（以下简称“政采云平台”）； </w:t>
      </w:r>
    </w:p>
    <w:p w14:paraId="5041A4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方式：供应商登录政采云平台https://www.zcygov.cn/在线申请获取采购文件（进入“项目采购”应用，在获取采购文件菜单中选择项目，申请获取采购文件）</w:t>
      </w:r>
    </w:p>
    <w:p w14:paraId="1D5154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售价（元）：0 </w:t>
      </w:r>
    </w:p>
    <w:p w14:paraId="0773DB2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四、提交投标文件截止时间、开标时间和地点</w:t>
      </w:r>
    </w:p>
    <w:p w14:paraId="0A5EC9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提交投标文件截止时间：2025年</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cs="宋体"/>
          <w:color w:val="auto"/>
          <w:highlight w:val="none"/>
          <w:lang w:val="en-US" w:eastAsia="zh-CN"/>
        </w:rPr>
        <w:t>22</w:t>
      </w:r>
      <w:r>
        <w:rPr>
          <w:rFonts w:hint="eastAsia" w:ascii="宋体" w:hAnsi="宋体" w:eastAsia="宋体" w:cs="宋体"/>
          <w:color w:val="auto"/>
          <w:highlight w:val="none"/>
        </w:rPr>
        <w:t>日09：00（北京时间）</w:t>
      </w:r>
    </w:p>
    <w:p w14:paraId="333E3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投标地点（网址）：通过“政府采购云平台（www.zcygov.cn）”实行在线投标及开标。 </w:t>
      </w:r>
    </w:p>
    <w:p w14:paraId="2B15D3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开标时间：2025年07月</w:t>
      </w:r>
      <w:r>
        <w:rPr>
          <w:rFonts w:hint="eastAsia" w:ascii="宋体" w:hAnsi="宋体" w:cs="宋体"/>
          <w:color w:val="auto"/>
          <w:highlight w:val="none"/>
          <w:lang w:val="en-US" w:eastAsia="zh-CN"/>
        </w:rPr>
        <w:t>22</w:t>
      </w:r>
      <w:r>
        <w:rPr>
          <w:rFonts w:hint="eastAsia" w:ascii="宋体" w:hAnsi="宋体" w:eastAsia="宋体" w:cs="宋体"/>
          <w:color w:val="auto"/>
          <w:highlight w:val="none"/>
        </w:rPr>
        <w:t>日09：00（北京时间）</w:t>
      </w:r>
    </w:p>
    <w:p w14:paraId="283E66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color w:val="auto"/>
          <w:highlight w:val="none"/>
        </w:rPr>
        <w:t xml:space="preserve">    开标地点（网址）：通过“政府采购云平台（www.zcygov.c</w:t>
      </w:r>
      <w:r>
        <w:rPr>
          <w:rFonts w:hint="eastAsia" w:ascii="宋体" w:hAnsi="宋体" w:eastAsia="宋体" w:cs="宋体"/>
        </w:rPr>
        <w:t>n）”实行在线投标及开标。</w:t>
      </w:r>
    </w:p>
    <w:p w14:paraId="794C9CF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 xml:space="preserve">五、公告期限 </w:t>
      </w:r>
    </w:p>
    <w:p w14:paraId="066C66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自本公告发布之日起5个工作日。</w:t>
      </w:r>
    </w:p>
    <w:p w14:paraId="02E12B6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六、其他补充事宜</w:t>
      </w:r>
    </w:p>
    <w:p w14:paraId="6E312C6D">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7BA3BD">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C7BFE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3D1C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w:t>
      </w:r>
      <w:r>
        <w:rPr>
          <w:rFonts w:hint="eastAsia" w:ascii="宋体" w:hAnsi="宋体" w:eastAsia="宋体" w:cs="宋体"/>
          <w:lang w:eastAsia="zh-CN"/>
        </w:rPr>
        <w:t>；</w:t>
      </w:r>
      <w:r>
        <w:rPr>
          <w:rFonts w:hint="eastAsia" w:ascii="宋体" w:hAnsi="宋体" w:eastAsia="宋体" w:cs="宋体"/>
        </w:rPr>
        <w:t xml:space="preserve"> 2）资格审查： 本项目采用资格后审。3）本次采购有关信息发布媒介 浙江政府采购网 http://zfcg.czt.zj.gov.cn 安吉县公共资源交易网 http：//www.ajztb.com</w:t>
      </w:r>
      <w:r>
        <w:rPr>
          <w:rFonts w:hint="eastAsia" w:ascii="宋体" w:hAnsi="宋体" w:eastAsia="宋体" w:cs="宋体"/>
          <w:lang w:eastAsia="zh-CN"/>
        </w:rPr>
        <w:t>；</w:t>
      </w:r>
      <w:r>
        <w:rPr>
          <w:rFonts w:hint="eastAsia" w:ascii="宋体" w:hAnsi="宋体" w:eastAsia="宋体" w:cs="宋体"/>
        </w:rPr>
        <w:t xml:space="preserve"> 4）采购代理费用 由中标人支付。5）本采购项目中标单位与采购单位签订的政府采购合同适用于浙江省政府采购贷款政策，简称“政采贷”，具体内容可参阅《安吉财政“政采贷”办理指引》。网址：</w:t>
      </w:r>
      <w:r>
        <w:rPr>
          <w:rFonts w:hint="eastAsia" w:ascii="宋体" w:hAnsi="宋体" w:eastAsia="宋体" w:cs="宋体"/>
        </w:rPr>
        <w:fldChar w:fldCharType="begin"/>
      </w:r>
      <w:r>
        <w:rPr>
          <w:rFonts w:hint="eastAsia" w:ascii="宋体" w:hAnsi="宋体" w:eastAsia="宋体" w:cs="宋体"/>
        </w:rPr>
        <w:instrText xml:space="preserve"> HYPERLINK "http://www.anji.gov.cn/hzgov/front/s553/zwgk/gggs/20231228/i3691136.html" </w:instrText>
      </w:r>
      <w:r>
        <w:rPr>
          <w:rFonts w:hint="eastAsia" w:ascii="宋体" w:hAnsi="宋体" w:eastAsia="宋体" w:cs="宋体"/>
        </w:rPr>
        <w:fldChar w:fldCharType="separate"/>
      </w:r>
      <w:r>
        <w:rPr>
          <w:rFonts w:hint="eastAsia" w:ascii="宋体" w:hAnsi="宋体" w:eastAsia="宋体" w:cs="宋体"/>
        </w:rPr>
        <w:t>http://www.anji.gov.cn/hzgov/front/s553/zwgk/gggs/20231228/i3691136.html</w:t>
      </w:r>
      <w:r>
        <w:rPr>
          <w:rFonts w:hint="eastAsia" w:ascii="宋体" w:hAnsi="宋体" w:eastAsia="宋体" w:cs="宋体"/>
        </w:rPr>
        <w:fldChar w:fldCharType="end"/>
      </w:r>
      <w:r>
        <w:rPr>
          <w:rFonts w:hint="eastAsia" w:ascii="宋体" w:hAnsi="宋体" w:eastAsia="宋体" w:cs="宋体"/>
        </w:rPr>
        <w:t>。</w:t>
      </w:r>
    </w:p>
    <w:p w14:paraId="32639CB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七、对本次采购提出询问、质疑、投诉，请按以下方式联系</w:t>
      </w:r>
    </w:p>
    <w:p w14:paraId="59EF9F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1.采购人信息</w:t>
      </w:r>
    </w:p>
    <w:p w14:paraId="046891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名    称：</w:t>
      </w:r>
      <w:r>
        <w:rPr>
          <w:rFonts w:hint="eastAsia" w:ascii="宋体" w:hAnsi="宋体" w:eastAsia="宋体" w:cs="宋体"/>
          <w:sz w:val="21"/>
          <w:szCs w:val="21"/>
          <w:highlight w:val="none"/>
          <w:lang w:eastAsia="zh-CN"/>
        </w:rPr>
        <w:t>安吉县自然资源和规划局</w:t>
      </w:r>
    </w:p>
    <w:p w14:paraId="665CC6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地    址：</w:t>
      </w:r>
      <w:r>
        <w:rPr>
          <w:rFonts w:hint="eastAsia" w:ascii="宋体" w:hAnsi="宋体" w:eastAsia="宋体" w:cs="宋体"/>
          <w:sz w:val="21"/>
          <w:szCs w:val="21"/>
          <w:highlight w:val="none"/>
          <w:lang w:val="en-US" w:eastAsia="zh-CN"/>
        </w:rPr>
        <w:t>安吉县昌</w:t>
      </w:r>
      <w:r>
        <w:rPr>
          <w:rFonts w:hint="eastAsia" w:ascii="宋体" w:hAnsi="宋体" w:eastAsia="宋体" w:cs="宋体"/>
          <w:color w:val="auto"/>
          <w:sz w:val="21"/>
          <w:szCs w:val="21"/>
          <w:highlight w:val="none"/>
          <w:lang w:val="en-US" w:eastAsia="zh-CN"/>
        </w:rPr>
        <w:t>硕街道龙山御园14幢</w:t>
      </w:r>
    </w:p>
    <w:p w14:paraId="7677ED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传    真：/</w:t>
      </w:r>
    </w:p>
    <w:p w14:paraId="7C519E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项目联系人（询问）：</w:t>
      </w:r>
      <w:r>
        <w:rPr>
          <w:rFonts w:hint="eastAsia" w:ascii="宋体" w:hAnsi="宋体" w:eastAsia="宋体" w:cs="宋体"/>
          <w:color w:val="auto"/>
          <w:sz w:val="21"/>
          <w:szCs w:val="21"/>
          <w:highlight w:val="none"/>
          <w:lang w:eastAsia="zh-CN"/>
        </w:rPr>
        <w:t>张女士</w:t>
      </w:r>
    </w:p>
    <w:p w14:paraId="484434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项目联系方式（询问）：</w:t>
      </w:r>
      <w:r>
        <w:rPr>
          <w:rFonts w:hint="eastAsia" w:ascii="宋体" w:hAnsi="宋体" w:eastAsia="宋体" w:cs="宋体"/>
          <w:bCs w:val="0"/>
          <w:color w:val="auto"/>
          <w:sz w:val="21"/>
          <w:szCs w:val="21"/>
          <w:highlight w:val="none"/>
        </w:rPr>
        <w:t>0572-</w:t>
      </w:r>
      <w:r>
        <w:rPr>
          <w:rFonts w:hint="eastAsia" w:ascii="宋体" w:hAnsi="宋体" w:eastAsia="宋体" w:cs="宋体"/>
          <w:bCs w:val="0"/>
          <w:color w:val="auto"/>
          <w:sz w:val="21"/>
          <w:szCs w:val="21"/>
          <w:highlight w:val="none"/>
          <w:lang w:val="en-US" w:eastAsia="zh-CN"/>
        </w:rPr>
        <w:t>5925641</w:t>
      </w:r>
    </w:p>
    <w:p w14:paraId="0BD7FA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质疑联系人：</w:t>
      </w:r>
      <w:r>
        <w:rPr>
          <w:rFonts w:hint="eastAsia" w:ascii="宋体" w:hAnsi="宋体" w:eastAsia="宋体" w:cs="宋体"/>
          <w:color w:val="auto"/>
          <w:sz w:val="21"/>
          <w:szCs w:val="21"/>
          <w:highlight w:val="none"/>
          <w:lang w:eastAsia="zh-CN"/>
        </w:rPr>
        <w:t>张女士</w:t>
      </w:r>
    </w:p>
    <w:p w14:paraId="52089D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质疑联系方式：</w:t>
      </w:r>
      <w:r>
        <w:rPr>
          <w:rFonts w:hint="eastAsia" w:ascii="宋体" w:hAnsi="宋体" w:eastAsia="宋体" w:cs="宋体"/>
          <w:bCs w:val="0"/>
          <w:color w:val="auto"/>
          <w:sz w:val="21"/>
          <w:szCs w:val="21"/>
          <w:highlight w:val="none"/>
        </w:rPr>
        <w:t>0572-</w:t>
      </w:r>
      <w:r>
        <w:rPr>
          <w:rFonts w:hint="eastAsia" w:ascii="宋体" w:hAnsi="宋体" w:eastAsia="宋体" w:cs="宋体"/>
          <w:bCs w:val="0"/>
          <w:color w:val="auto"/>
          <w:sz w:val="21"/>
          <w:szCs w:val="21"/>
          <w:highlight w:val="none"/>
          <w:lang w:val="en-US" w:eastAsia="zh-CN"/>
        </w:rPr>
        <w:t>5925641</w:t>
      </w:r>
    </w:p>
    <w:p w14:paraId="6F78260C">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rPr>
      </w:pPr>
      <w:r>
        <w:rPr>
          <w:rFonts w:hint="eastAsia" w:ascii="宋体" w:hAnsi="宋体" w:eastAsia="宋体" w:cs="宋体"/>
        </w:rPr>
        <w:t>2.采购代理机构信息</w:t>
      </w:r>
    </w:p>
    <w:p w14:paraId="72A702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名    称：</w:t>
      </w:r>
      <w:r>
        <w:rPr>
          <w:rFonts w:hint="eastAsia" w:ascii="宋体" w:hAnsi="宋体" w:eastAsia="宋体" w:cs="宋体"/>
          <w:lang w:eastAsia="zh-CN"/>
        </w:rPr>
        <w:t>浙江至诚工程咨询有限责任公司</w:t>
      </w:r>
    </w:p>
    <w:p w14:paraId="5DA22F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地    址：</w:t>
      </w:r>
      <w:r>
        <w:rPr>
          <w:rFonts w:hint="eastAsia" w:ascii="宋体" w:hAnsi="宋体" w:eastAsia="宋体" w:cs="宋体"/>
          <w:lang w:eastAsia="zh-CN"/>
        </w:rPr>
        <w:t>安吉县昌硕街道后寨路东城花园北门</w:t>
      </w:r>
    </w:p>
    <w:p w14:paraId="37671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传    真：</w:t>
      </w:r>
      <w:r>
        <w:rPr>
          <w:rFonts w:hint="eastAsia" w:ascii="宋体" w:hAnsi="宋体" w:eastAsia="宋体" w:cs="宋体"/>
          <w:lang w:val="en-US" w:eastAsia="zh-CN"/>
        </w:rPr>
        <w:t>/</w:t>
      </w:r>
    </w:p>
    <w:p w14:paraId="74F290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项目联系人（询问）：</w:t>
      </w:r>
      <w:r>
        <w:rPr>
          <w:rFonts w:hint="eastAsia" w:ascii="宋体" w:hAnsi="宋体" w:eastAsia="宋体" w:cs="宋体"/>
          <w:lang w:eastAsia="zh-CN"/>
        </w:rPr>
        <w:t>何贝</w:t>
      </w:r>
    </w:p>
    <w:p w14:paraId="1764DD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项目联系方式（询问）：</w:t>
      </w:r>
      <w:r>
        <w:rPr>
          <w:rFonts w:hint="eastAsia" w:ascii="宋体" w:hAnsi="宋体" w:eastAsia="宋体" w:cs="宋体"/>
          <w:lang w:eastAsia="zh-CN"/>
        </w:rPr>
        <w:t>0572-5022166</w:t>
      </w:r>
    </w:p>
    <w:p w14:paraId="5ACEF8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质疑联系人：</w:t>
      </w:r>
      <w:r>
        <w:rPr>
          <w:rFonts w:hint="eastAsia" w:ascii="宋体" w:hAnsi="宋体" w:eastAsia="宋体" w:cs="宋体"/>
          <w:lang w:val="en-US" w:eastAsia="zh-CN"/>
        </w:rPr>
        <w:t>潘先生</w:t>
      </w:r>
    </w:p>
    <w:p w14:paraId="48A8F1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rPr>
        <w:t xml:space="preserve">    质疑联系方式：</w:t>
      </w:r>
      <w:r>
        <w:rPr>
          <w:rFonts w:hint="eastAsia" w:ascii="宋体" w:hAnsi="宋体" w:eastAsia="宋体" w:cs="宋体"/>
          <w:lang w:eastAsia="zh-CN"/>
        </w:rPr>
        <w:t>0572-5022585</w:t>
      </w:r>
    </w:p>
    <w:p w14:paraId="2EF7BC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3.同级政府采购监督管理部门</w:t>
      </w:r>
    </w:p>
    <w:p w14:paraId="050BC7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名    称：安吉县财政局</w:t>
      </w:r>
    </w:p>
    <w:p w14:paraId="22BA0C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地    址：安吉县昌硕街道凤凰路凤凰五区188号</w:t>
      </w:r>
    </w:p>
    <w:p w14:paraId="5B1ACD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传    真：/ </w:t>
      </w:r>
    </w:p>
    <w:p w14:paraId="3AD669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联系人 ：采监科</w:t>
      </w:r>
      <w:r>
        <w:rPr>
          <w:rFonts w:hint="eastAsia" w:ascii="宋体" w:hAnsi="宋体" w:eastAsia="宋体" w:cs="宋体"/>
          <w:lang w:val="en-US" w:eastAsia="zh-CN"/>
        </w:rPr>
        <w:t xml:space="preserve"> </w:t>
      </w:r>
      <w:r>
        <w:rPr>
          <w:rFonts w:hint="eastAsia" w:ascii="宋体" w:hAnsi="宋体" w:eastAsia="宋体" w:cs="宋体"/>
        </w:rPr>
        <w:t>王庭</w:t>
      </w:r>
    </w:p>
    <w:p w14:paraId="370548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    监督投诉电话：0572-5807951</w:t>
      </w:r>
    </w:p>
    <w:p w14:paraId="5AC7671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lang w:eastAsia="zh-CN"/>
        </w:rPr>
      </w:pPr>
      <w:r>
        <w:rPr>
          <w:rFonts w:hint="eastAsia" w:ascii="宋体" w:hAnsi="宋体" w:eastAsia="宋体" w:cs="宋体"/>
          <w:lang w:eastAsia="zh-CN"/>
        </w:rPr>
        <w:t>安吉县自然资源和规划局</w:t>
      </w:r>
    </w:p>
    <w:p w14:paraId="239C46E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lang w:eastAsia="zh-CN"/>
        </w:rPr>
      </w:pPr>
      <w:r>
        <w:rPr>
          <w:rFonts w:hint="eastAsia" w:ascii="宋体" w:hAnsi="宋体" w:eastAsia="宋体" w:cs="宋体"/>
          <w:lang w:eastAsia="zh-CN"/>
        </w:rPr>
        <w:t>浙江至诚工程咨询有限责任公司</w:t>
      </w:r>
    </w:p>
    <w:p w14:paraId="7FCCD8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highlight w:val="none"/>
        </w:rPr>
      </w:pPr>
      <w:r>
        <w:rPr>
          <w:rFonts w:hint="eastAsia" w:ascii="宋体" w:hAnsi="宋体" w:eastAsia="宋体" w:cs="宋体"/>
        </w:rPr>
        <w:t xml:space="preserve">    </w:t>
      </w:r>
      <w:r>
        <w:rPr>
          <w:rFonts w:hint="eastAsia" w:ascii="宋体" w:hAnsi="宋体" w:eastAsia="宋体" w:cs="宋体"/>
          <w:highlight w:val="none"/>
          <w:lang w:val="en-US" w:eastAsia="zh-CN"/>
        </w:rPr>
        <w:t>2025</w:t>
      </w:r>
      <w:r>
        <w:rPr>
          <w:rFonts w:hint="eastAsia" w:ascii="宋体" w:hAnsi="宋体" w:eastAsia="宋体" w:cs="宋体"/>
          <w:highlight w:val="none"/>
        </w:rPr>
        <w:t>年</w:t>
      </w:r>
      <w:r>
        <w:rPr>
          <w:rFonts w:hint="eastAsia" w:ascii="宋体" w:hAnsi="宋体" w:eastAsia="宋体" w:cs="宋体"/>
          <w:highlight w:val="none"/>
          <w:lang w:val="en-US" w:eastAsia="zh-CN"/>
        </w:rPr>
        <w:t>06</w:t>
      </w:r>
      <w:r>
        <w:rPr>
          <w:rFonts w:hint="eastAsia" w:ascii="宋体" w:hAnsi="宋体" w:eastAsia="宋体" w:cs="宋体"/>
          <w:highlight w:val="none"/>
        </w:rPr>
        <w:t>月</w:t>
      </w:r>
      <w:r>
        <w:rPr>
          <w:rFonts w:hint="eastAsia" w:ascii="宋体" w:hAnsi="宋体" w:cs="宋体"/>
          <w:highlight w:val="none"/>
          <w:lang w:val="en-US" w:eastAsia="zh-CN"/>
        </w:rPr>
        <w:t>30</w:t>
      </w:r>
      <w:r>
        <w:rPr>
          <w:rFonts w:hint="eastAsia" w:ascii="宋体" w:hAnsi="宋体" w:eastAsia="宋体" w:cs="宋体"/>
          <w:highlight w:val="none"/>
        </w:rPr>
        <w:t>日</w:t>
      </w:r>
    </w:p>
    <w:p w14:paraId="44E91EAF">
      <w:pPr>
        <w:pStyle w:val="7"/>
      </w:pPr>
    </w:p>
    <w:p w14:paraId="3F15002C">
      <w:r>
        <w:br w:type="page"/>
      </w:r>
    </w:p>
    <w:p w14:paraId="08D370C5">
      <w:pPr>
        <w:pStyle w:val="3"/>
        <w:spacing w:before="205" w:after="0" w:line="240" w:lineRule="auto"/>
        <w:ind w:firstLine="2530" w:firstLineChars="700"/>
        <w:rPr>
          <w:rFonts w:ascii="宋体" w:hAnsi="宋体" w:cs="宋体"/>
          <w:snapToGrid w:val="0"/>
          <w:sz w:val="36"/>
          <w:szCs w:val="36"/>
        </w:rPr>
      </w:pPr>
      <w:bookmarkStart w:id="3" w:name="_Toc23457"/>
      <w:bookmarkStart w:id="4" w:name="_Toc23558"/>
      <w:bookmarkStart w:id="5" w:name="_Toc14199"/>
      <w:r>
        <w:rPr>
          <w:rFonts w:hint="eastAsia" w:ascii="宋体" w:hAnsi="宋体" w:eastAsia="宋体" w:cs="宋体"/>
          <w:snapToGrid w:val="0"/>
          <w:sz w:val="36"/>
          <w:szCs w:val="36"/>
        </w:rPr>
        <w:t xml:space="preserve">第二章 </w:t>
      </w:r>
      <w:r>
        <w:rPr>
          <w:rFonts w:hint="eastAsia" w:ascii="宋体" w:hAnsi="宋体" w:cs="宋体"/>
          <w:snapToGrid w:val="0"/>
          <w:sz w:val="36"/>
          <w:szCs w:val="36"/>
        </w:rPr>
        <w:t xml:space="preserve"> 招标需求</w:t>
      </w:r>
    </w:p>
    <w:p w14:paraId="7F413ADD">
      <w:pPr>
        <w:keepNext w:val="0"/>
        <w:keepLines w:val="0"/>
        <w:spacing w:line="500" w:lineRule="exact"/>
        <w:ind w:firstLine="420" w:firstLineChars="200"/>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技术（服务）要求适用于《2025年安吉县1:2000数字线划图更新入库与天地图融合项目》的采购，是采购人为该项目的投标人提出的技术（服务）规范要求，为投标人完成投标文件的依据。本章所提出的内容为本项目的最低要求，投标人必须认真阅读以下内容，以免造成投标损失。</w:t>
      </w:r>
    </w:p>
    <w:p w14:paraId="447FBBEA">
      <w:pPr>
        <w:pStyle w:val="4"/>
        <w:keepNext w:val="0"/>
        <w:keepLines w:val="0"/>
        <w:spacing w:line="500" w:lineRule="exact"/>
        <w:rPr>
          <w:rFonts w:ascii="宋体" w:hAnsi="宋体" w:eastAsia="宋体" w:cs="宋体"/>
          <w:bCs w:val="0"/>
          <w:sz w:val="28"/>
          <w:szCs w:val="28"/>
        </w:rPr>
      </w:pPr>
      <w:r>
        <w:rPr>
          <w:rFonts w:hint="eastAsia" w:ascii="宋体" w:hAnsi="宋体" w:eastAsia="宋体" w:cs="宋体"/>
          <w:bCs w:val="0"/>
          <w:sz w:val="28"/>
          <w:szCs w:val="28"/>
        </w:rPr>
        <w:t>一、项目概况</w:t>
      </w:r>
    </w:p>
    <w:p w14:paraId="353F359B">
      <w:pPr>
        <w:spacing w:line="420" w:lineRule="exact"/>
        <w:ind w:firstLine="420" w:firstLineChars="200"/>
        <w:rPr>
          <w:rFonts w:hint="eastAsia" w:ascii="宋体" w:hAnsi="宋体" w:eastAsia="宋体" w:cs="宋体"/>
          <w:color w:val="auto"/>
          <w:highlight w:val="none"/>
          <w:lang w:eastAsia="zh-CN"/>
        </w:rPr>
      </w:pPr>
      <w:r>
        <w:rPr>
          <w:rFonts w:hint="eastAsia" w:ascii="宋体" w:hAnsi="宋体" w:cs="宋体"/>
          <w:highlight w:val="none"/>
        </w:rPr>
        <w:t>1.项目编号：</w:t>
      </w:r>
      <w:r>
        <w:rPr>
          <w:rFonts w:hint="eastAsia" w:ascii="宋体" w:hAnsi="宋体" w:cs="宋体"/>
          <w:highlight w:val="none"/>
          <w:lang w:eastAsia="zh-CN"/>
        </w:rPr>
        <w:t>ZJZC-AJ2025-0</w:t>
      </w:r>
      <w:r>
        <w:rPr>
          <w:rFonts w:hint="eastAsia" w:ascii="宋体" w:hAnsi="宋体" w:cs="宋体"/>
          <w:color w:val="auto"/>
          <w:highlight w:val="none"/>
          <w:lang w:eastAsia="zh-CN"/>
        </w:rPr>
        <w:t>03</w:t>
      </w:r>
    </w:p>
    <w:p w14:paraId="633C07B0">
      <w:pPr>
        <w:spacing w:line="42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2025年安吉县1:2000数字线划图更新入库与天地图融合项目</w:t>
      </w:r>
    </w:p>
    <w:p w14:paraId="3B7FBEF7">
      <w:pPr>
        <w:spacing w:line="420" w:lineRule="exact"/>
        <w:ind w:firstLine="420" w:firstLineChars="200"/>
        <w:rPr>
          <w:rFonts w:hint="eastAsia" w:ascii="宋体" w:hAnsi="宋体" w:eastAsia="宋体" w:cs="宋体"/>
          <w:color w:val="auto"/>
          <w:szCs w:val="28"/>
          <w:highlight w:val="none"/>
          <w:lang w:eastAsia="zh-CN"/>
        </w:rPr>
      </w:pPr>
      <w:r>
        <w:rPr>
          <w:rFonts w:hint="eastAsia" w:ascii="宋体" w:hAnsi="宋体" w:cs="宋体"/>
          <w:color w:val="auto"/>
          <w:highlight w:val="none"/>
        </w:rPr>
        <w:t>3.采购单位名称：</w:t>
      </w:r>
      <w:r>
        <w:rPr>
          <w:rFonts w:hint="eastAsia" w:ascii="宋体" w:hAnsi="宋体" w:cs="宋体"/>
          <w:color w:val="auto"/>
          <w:szCs w:val="28"/>
          <w:highlight w:val="none"/>
          <w:lang w:eastAsia="zh-CN"/>
        </w:rPr>
        <w:t>安吉县自然资源和规划局</w:t>
      </w:r>
    </w:p>
    <w:p w14:paraId="5B39A137">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4.采购项目一览表</w:t>
      </w:r>
    </w:p>
    <w:tbl>
      <w:tblPr>
        <w:tblStyle w:val="25"/>
        <w:tblW w:w="931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548"/>
        <w:gridCol w:w="2570"/>
        <w:gridCol w:w="1213"/>
        <w:gridCol w:w="1265"/>
      </w:tblGrid>
      <w:tr w14:paraId="2E27E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0" w:type="dxa"/>
            <w:vAlign w:val="center"/>
          </w:tcPr>
          <w:p w14:paraId="1BBE6EEF">
            <w:pPr>
              <w:spacing w:line="420" w:lineRule="exact"/>
              <w:jc w:val="center"/>
              <w:rPr>
                <w:rFonts w:ascii="宋体" w:hAnsi="宋体" w:cs="宋体"/>
                <w:color w:val="auto"/>
                <w:highlight w:val="none"/>
              </w:rPr>
            </w:pPr>
            <w:r>
              <w:rPr>
                <w:rFonts w:hint="eastAsia" w:ascii="宋体" w:hAnsi="宋体" w:cs="宋体"/>
                <w:color w:val="auto"/>
                <w:highlight w:val="none"/>
              </w:rPr>
              <w:t>序号</w:t>
            </w:r>
          </w:p>
        </w:tc>
        <w:tc>
          <w:tcPr>
            <w:tcW w:w="3548" w:type="dxa"/>
            <w:vAlign w:val="center"/>
          </w:tcPr>
          <w:p w14:paraId="452DBDF6">
            <w:pPr>
              <w:spacing w:line="420" w:lineRule="exact"/>
              <w:jc w:val="center"/>
              <w:rPr>
                <w:rFonts w:ascii="宋体" w:hAnsi="宋体" w:cs="宋体"/>
                <w:color w:val="auto"/>
                <w:highlight w:val="none"/>
              </w:rPr>
            </w:pPr>
            <w:r>
              <w:rPr>
                <w:rFonts w:hint="eastAsia" w:ascii="宋体" w:hAnsi="宋体" w:cs="宋体"/>
                <w:color w:val="auto"/>
                <w:highlight w:val="none"/>
              </w:rPr>
              <w:t>名称</w:t>
            </w:r>
          </w:p>
        </w:tc>
        <w:tc>
          <w:tcPr>
            <w:tcW w:w="2570" w:type="dxa"/>
            <w:vAlign w:val="center"/>
          </w:tcPr>
          <w:p w14:paraId="57CA4591">
            <w:pPr>
              <w:spacing w:line="420" w:lineRule="exact"/>
              <w:jc w:val="center"/>
              <w:rPr>
                <w:rFonts w:ascii="宋体" w:hAnsi="宋体" w:cs="宋体"/>
                <w:color w:val="auto"/>
                <w:highlight w:val="none"/>
              </w:rPr>
            </w:pPr>
            <w:r>
              <w:rPr>
                <w:rFonts w:hint="eastAsia" w:ascii="宋体" w:hAnsi="宋体" w:cs="宋体"/>
                <w:color w:val="auto"/>
                <w:highlight w:val="none"/>
              </w:rPr>
              <w:t>内容</w:t>
            </w:r>
          </w:p>
        </w:tc>
        <w:tc>
          <w:tcPr>
            <w:tcW w:w="1213" w:type="dxa"/>
            <w:vAlign w:val="center"/>
          </w:tcPr>
          <w:p w14:paraId="0C9129C0">
            <w:pPr>
              <w:spacing w:line="420" w:lineRule="exact"/>
              <w:jc w:val="center"/>
              <w:rPr>
                <w:rFonts w:ascii="宋体" w:hAnsi="宋体" w:cs="宋体"/>
                <w:color w:val="auto"/>
                <w:highlight w:val="none"/>
              </w:rPr>
            </w:pPr>
            <w:r>
              <w:rPr>
                <w:rFonts w:hint="eastAsia" w:ascii="宋体" w:hAnsi="宋体" w:cs="宋体"/>
                <w:color w:val="auto"/>
                <w:highlight w:val="none"/>
              </w:rPr>
              <w:t>数量</w:t>
            </w:r>
          </w:p>
        </w:tc>
        <w:tc>
          <w:tcPr>
            <w:tcW w:w="1265" w:type="dxa"/>
            <w:vAlign w:val="center"/>
          </w:tcPr>
          <w:p w14:paraId="66ACF76C">
            <w:pPr>
              <w:spacing w:line="42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预算</w:t>
            </w:r>
          </w:p>
        </w:tc>
      </w:tr>
      <w:tr w14:paraId="16D2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20" w:type="dxa"/>
            <w:vAlign w:val="center"/>
          </w:tcPr>
          <w:p w14:paraId="4ACD12B7">
            <w:pPr>
              <w:spacing w:line="420" w:lineRule="exact"/>
              <w:jc w:val="center"/>
              <w:rPr>
                <w:rFonts w:ascii="宋体" w:hAnsi="宋体" w:cs="宋体"/>
                <w:color w:val="auto"/>
                <w:highlight w:val="none"/>
              </w:rPr>
            </w:pPr>
            <w:r>
              <w:rPr>
                <w:rFonts w:hint="eastAsia" w:ascii="宋体" w:hAnsi="宋体" w:cs="宋体"/>
                <w:color w:val="auto"/>
                <w:highlight w:val="none"/>
              </w:rPr>
              <w:t>1</w:t>
            </w:r>
          </w:p>
        </w:tc>
        <w:tc>
          <w:tcPr>
            <w:tcW w:w="3548" w:type="dxa"/>
            <w:vAlign w:val="center"/>
          </w:tcPr>
          <w:p w14:paraId="4251D408">
            <w:pPr>
              <w:spacing w:line="42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2025年安吉县1:2000数字线划图更新入库与天地图融合项目</w:t>
            </w:r>
          </w:p>
        </w:tc>
        <w:tc>
          <w:tcPr>
            <w:tcW w:w="2570" w:type="dxa"/>
            <w:vAlign w:val="center"/>
          </w:tcPr>
          <w:p w14:paraId="3393EEA4">
            <w:pPr>
              <w:spacing w:line="420" w:lineRule="exact"/>
              <w:jc w:val="center"/>
              <w:rPr>
                <w:rFonts w:ascii="宋体" w:hAnsi="宋体" w:cs="宋体"/>
                <w:color w:val="auto"/>
                <w:highlight w:val="none"/>
              </w:rPr>
            </w:pPr>
            <w:r>
              <w:rPr>
                <w:rFonts w:hint="eastAsia" w:ascii="宋体" w:hAnsi="宋体" w:cs="宋体"/>
                <w:color w:val="auto"/>
                <w:highlight w:val="none"/>
              </w:rPr>
              <w:t>详见招标文件</w:t>
            </w:r>
          </w:p>
        </w:tc>
        <w:tc>
          <w:tcPr>
            <w:tcW w:w="1213" w:type="dxa"/>
            <w:vAlign w:val="center"/>
          </w:tcPr>
          <w:p w14:paraId="30210D43">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rPr>
              <w:t>1</w:t>
            </w:r>
            <w:r>
              <w:rPr>
                <w:rFonts w:hint="eastAsia" w:ascii="宋体" w:hAnsi="宋体" w:cs="宋体"/>
                <w:color w:val="auto"/>
                <w:highlight w:val="none"/>
                <w:lang w:val="en-US" w:eastAsia="zh-CN"/>
              </w:rPr>
              <w:t>项</w:t>
            </w:r>
          </w:p>
        </w:tc>
        <w:tc>
          <w:tcPr>
            <w:tcW w:w="1265" w:type="dxa"/>
            <w:vAlign w:val="center"/>
          </w:tcPr>
          <w:p w14:paraId="5E9F436F">
            <w:pPr>
              <w:spacing w:line="42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1000000元</w:t>
            </w:r>
          </w:p>
        </w:tc>
      </w:tr>
      <w:tr w14:paraId="78AC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720" w:type="dxa"/>
            <w:vAlign w:val="center"/>
          </w:tcPr>
          <w:p w14:paraId="67C50558">
            <w:pPr>
              <w:spacing w:line="420" w:lineRule="exact"/>
              <w:jc w:val="center"/>
              <w:rPr>
                <w:rFonts w:ascii="宋体" w:hAnsi="宋体" w:cs="宋体"/>
                <w:color w:val="auto"/>
                <w:highlight w:val="none"/>
              </w:rPr>
            </w:pPr>
            <w:r>
              <w:rPr>
                <w:rFonts w:hint="eastAsia" w:ascii="宋体" w:hAnsi="宋体" w:cs="宋体"/>
                <w:color w:val="auto"/>
                <w:highlight w:val="none"/>
              </w:rPr>
              <w:t>备注</w:t>
            </w:r>
          </w:p>
        </w:tc>
        <w:tc>
          <w:tcPr>
            <w:tcW w:w="8596" w:type="dxa"/>
            <w:gridSpan w:val="4"/>
            <w:vAlign w:val="center"/>
          </w:tcPr>
          <w:p w14:paraId="5D3B8CF7">
            <w:pPr>
              <w:spacing w:line="42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报价不得超预算，否则报价无效。</w:t>
            </w:r>
          </w:p>
          <w:p w14:paraId="122F4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2、服务期</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自合同签订后生效日起至</w:t>
            </w:r>
            <w:r>
              <w:rPr>
                <w:rFonts w:hint="eastAsia" w:asciiTheme="minorEastAsia" w:hAnsiTheme="minorEastAsia" w:eastAsiaTheme="minorEastAsia" w:cstheme="minorEastAsia"/>
                <w:b w:val="0"/>
                <w:bCs w:val="0"/>
                <w:color w:val="auto"/>
                <w:szCs w:val="21"/>
                <w:highlight w:val="none"/>
                <w:lang w:val="en-US" w:eastAsia="zh-CN"/>
              </w:rPr>
              <w:t>2026年7月30日前需完成招标文件规定的所有具体工作内容</w:t>
            </w:r>
            <w:r>
              <w:rPr>
                <w:rFonts w:hint="eastAsia" w:ascii="宋体" w:hAnsi="宋体" w:eastAsia="宋体" w:cs="宋体"/>
                <w:b w:val="0"/>
                <w:bCs w:val="0"/>
                <w:color w:val="auto"/>
                <w:kern w:val="0"/>
                <w:sz w:val="21"/>
                <w:szCs w:val="21"/>
                <w:highlight w:val="none"/>
                <w:lang w:val="en-US" w:eastAsia="zh-CN" w:bidi="ar"/>
              </w:rPr>
              <w:t>。</w:t>
            </w:r>
          </w:p>
          <w:p w14:paraId="2DFE57D7">
            <w:pPr>
              <w:spacing w:line="420" w:lineRule="exact"/>
              <w:rPr>
                <w:rFonts w:hint="eastAsia" w:ascii="宋体" w:hAnsi="宋体" w:cs="宋体"/>
                <w:color w:val="auto"/>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bidi="ar"/>
              </w:rPr>
              <w:t>本项目</w:t>
            </w:r>
            <w:r>
              <w:rPr>
                <w:rFonts w:hint="eastAsia" w:ascii="宋体" w:hAnsi="宋体" w:cs="宋体"/>
                <w:b w:val="0"/>
                <w:bCs w:val="0"/>
                <w:color w:val="auto"/>
                <w:kern w:val="0"/>
                <w:sz w:val="21"/>
                <w:szCs w:val="21"/>
                <w:highlight w:val="none"/>
                <w:lang w:val="en-US" w:eastAsia="zh-CN" w:bidi="ar"/>
              </w:rPr>
              <w:t>投标</w:t>
            </w:r>
            <w:r>
              <w:rPr>
                <w:rFonts w:hint="eastAsia" w:ascii="宋体" w:hAnsi="宋体" w:eastAsia="宋体" w:cs="宋体"/>
                <w:b w:val="0"/>
                <w:bCs w:val="0"/>
                <w:color w:val="auto"/>
                <w:kern w:val="0"/>
                <w:sz w:val="21"/>
                <w:szCs w:val="21"/>
                <w:highlight w:val="none"/>
                <w:lang w:val="en-US" w:eastAsia="zh-CN" w:bidi="ar"/>
              </w:rPr>
              <w:t>报价应包括服务期间所涉及的一切费用（包括但不限于</w:t>
            </w:r>
            <w:r>
              <w:rPr>
                <w:rFonts w:hint="eastAsia" w:ascii="Times New Roman" w:hAnsi="Times New Roman" w:eastAsia="宋体" w:cs="Times New Roman"/>
                <w:color w:val="auto"/>
                <w:highlight w:val="none"/>
              </w:rPr>
              <w:t>完成技术工作、提交技术成果、技术服务</w:t>
            </w:r>
            <w:r>
              <w:rPr>
                <w:rFonts w:hint="eastAsia" w:ascii="Times New Roman" w:hAnsi="Times New Roman" w:eastAsia="宋体" w:cs="Times New Roman"/>
                <w:color w:val="auto"/>
                <w:highlight w:val="none"/>
                <w:lang w:val="en-US" w:eastAsia="zh-CN"/>
              </w:rPr>
              <w:t>费</w:t>
            </w:r>
            <w:r>
              <w:rPr>
                <w:rFonts w:hint="eastAsia" w:ascii="Times New Roman" w:hAnsi="Times New Roman" w:eastAsia="宋体" w:cs="Times New Roman"/>
                <w:color w:val="auto"/>
                <w:highlight w:val="none"/>
              </w:rPr>
              <w:t>、人工费、材料费、</w:t>
            </w:r>
            <w:r>
              <w:rPr>
                <w:rFonts w:hint="eastAsia" w:ascii="Times New Roman" w:hAnsi="Times New Roman" w:eastAsia="宋体" w:cs="Times New Roman"/>
                <w:color w:val="auto"/>
                <w:highlight w:val="none"/>
                <w:lang w:val="en-US" w:eastAsia="zh-CN"/>
              </w:rPr>
              <w:t>专家费、</w:t>
            </w:r>
            <w:r>
              <w:rPr>
                <w:rFonts w:hint="eastAsia" w:ascii="Times New Roman" w:hAnsi="Times New Roman" w:cs="Times New Roman"/>
                <w:color w:val="auto"/>
                <w:highlight w:val="none"/>
                <w:lang w:val="en-US" w:eastAsia="zh-CN"/>
              </w:rPr>
              <w:t>质量巡查及检验</w:t>
            </w:r>
            <w:r>
              <w:rPr>
                <w:rFonts w:hint="eastAsia" w:ascii="Times New Roman" w:hAnsi="Times New Roman" w:eastAsia="宋体" w:cs="Times New Roman"/>
                <w:color w:val="auto"/>
                <w:highlight w:val="none"/>
                <w:lang w:val="en-US" w:eastAsia="zh-CN"/>
              </w:rPr>
              <w:t>费、</w:t>
            </w:r>
            <w:r>
              <w:rPr>
                <w:rFonts w:hint="eastAsia" w:ascii="Times New Roman" w:hAnsi="Times New Roman" w:eastAsia="宋体" w:cs="Times New Roman"/>
                <w:color w:val="auto"/>
                <w:highlight w:val="none"/>
              </w:rPr>
              <w:t>管理费、</w:t>
            </w:r>
            <w:r>
              <w:rPr>
                <w:rFonts w:hint="eastAsia" w:ascii="宋体" w:hAnsi="宋体" w:eastAsia="宋体" w:cs="宋体"/>
                <w:color w:val="auto"/>
                <w:sz w:val="21"/>
                <w:szCs w:val="21"/>
                <w:highlight w:val="none"/>
              </w:rPr>
              <w:t>设备费、差旅费、保险费、税金利润</w:t>
            </w:r>
            <w:r>
              <w:rPr>
                <w:rFonts w:hint="eastAsia" w:ascii="宋体" w:hAnsi="宋体" w:eastAsia="宋体" w:cs="宋体"/>
                <w:b w:val="0"/>
                <w:bCs w:val="0"/>
                <w:color w:val="auto"/>
                <w:kern w:val="0"/>
                <w:sz w:val="21"/>
                <w:szCs w:val="21"/>
                <w:highlight w:val="none"/>
                <w:lang w:val="en-US" w:eastAsia="zh-CN" w:bidi="ar"/>
              </w:rPr>
              <w:t>及其他不可预见的一切费用）。</w:t>
            </w:r>
          </w:p>
        </w:tc>
      </w:tr>
    </w:tbl>
    <w:p w14:paraId="7FDA95EE">
      <w:pPr>
        <w:pStyle w:val="4"/>
        <w:keepNext w:val="0"/>
        <w:keepLines w:val="0"/>
        <w:spacing w:before="0" w:after="0" w:line="50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项目背景</w:t>
      </w:r>
    </w:p>
    <w:p w14:paraId="50D699C6">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为提升</w:t>
      </w:r>
      <w:r>
        <w:rPr>
          <w:rFonts w:hint="eastAsia" w:ascii="宋体" w:hAnsi="宋体"/>
          <w:color w:val="auto"/>
          <w:szCs w:val="21"/>
          <w:highlight w:val="none"/>
          <w:lang w:val="en-US" w:eastAsia="zh-CN"/>
        </w:rPr>
        <w:t>安吉县</w:t>
      </w:r>
      <w:r>
        <w:rPr>
          <w:rFonts w:hint="eastAsia" w:ascii="宋体" w:hAnsi="宋体"/>
          <w:color w:val="auto"/>
          <w:szCs w:val="21"/>
          <w:highlight w:val="none"/>
        </w:rPr>
        <w:t>基础地理信息资源持续供给能力，更好支撑自然资源和规划工作，按照《浙江省自然资源厅关于持续做好1:2000比例尺基础地理信息资源更新工作的通知》（浙自然资厅函〔2022〕1434号）、《湖州市自然资源和规划局关于1：2000比例尺基础地理信息资源更新（2023-2027年）规划和2023年度计划》、《2022年浙江省地理信息公共服务平台综合评估指标》、《“一张图”地理底图浙江省试点实施方案》（浙自然资厅函〔2025〕28号）等文件要求，开展2025年安吉县1:2000数字线划图更新、天地图融合更新、“一张图”地理底图建设</w:t>
      </w:r>
      <w:r>
        <w:rPr>
          <w:rFonts w:hint="eastAsia" w:ascii="宋体" w:hAnsi="宋体"/>
          <w:color w:val="auto"/>
          <w:szCs w:val="21"/>
          <w:highlight w:val="none"/>
          <w:lang w:val="en-US" w:eastAsia="zh-CN"/>
        </w:rPr>
        <w:t>等</w:t>
      </w:r>
      <w:r>
        <w:rPr>
          <w:rFonts w:hint="eastAsia" w:ascii="宋体" w:hAnsi="宋体"/>
          <w:color w:val="auto"/>
          <w:szCs w:val="21"/>
          <w:highlight w:val="none"/>
        </w:rPr>
        <w:t>工作。</w:t>
      </w:r>
    </w:p>
    <w:p w14:paraId="40DEBD94">
      <w:pPr>
        <w:pStyle w:val="4"/>
        <w:keepNext w:val="0"/>
        <w:keepLines w:val="0"/>
        <w:spacing w:before="0" w:after="0" w:line="500" w:lineRule="exac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三、具体工作内容</w:t>
      </w:r>
    </w:p>
    <w:p w14:paraId="4FE4ACDC">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1、完成安吉县</w:t>
      </w:r>
      <w:r>
        <w:rPr>
          <w:rFonts w:hint="eastAsia" w:ascii="宋体" w:hAnsi="宋体"/>
          <w:color w:val="auto"/>
          <w:kern w:val="0"/>
          <w:highlight w:val="none"/>
          <w:lang w:val="en-US" w:eastAsia="zh-CN"/>
        </w:rPr>
        <w:t>全域</w:t>
      </w:r>
      <w:r>
        <w:rPr>
          <w:rFonts w:hint="eastAsia" w:ascii="宋体" w:hAnsi="宋体"/>
          <w:color w:val="auto"/>
          <w:kern w:val="0"/>
          <w:highlight w:val="none"/>
        </w:rPr>
        <w:t>1886平方公里1：2000 比例尺基础地理信息资源更新，其中一般要素（自定指标）变化增量更新按照《浙江省自然资源厅关于同意杭州市等11个设区市1∶2000比例尺基础地理信息资源更新规划（2023-2027年）的批复》中湖州市1∶2000比例尺数字线划图一般要素指标执行；完成2025年7月1日至2026年6月30日安吉县全域重大要素季度更新。</w:t>
      </w:r>
    </w:p>
    <w:p w14:paraId="4B9FD830">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2、完成</w:t>
      </w:r>
      <w:r>
        <w:rPr>
          <w:rFonts w:hint="eastAsia" w:ascii="宋体" w:hAnsi="宋体"/>
          <w:color w:val="auto"/>
          <w:kern w:val="0"/>
          <w:highlight w:val="none"/>
          <w:lang w:val="en-US" w:eastAsia="zh-CN"/>
        </w:rPr>
        <w:t>安吉县</w:t>
      </w:r>
      <w:r>
        <w:rPr>
          <w:rFonts w:hint="eastAsia" w:ascii="宋体" w:hAnsi="宋体"/>
          <w:color w:val="auto"/>
          <w:kern w:val="0"/>
          <w:highlight w:val="none"/>
        </w:rPr>
        <w:t>天地图融合更新。</w:t>
      </w:r>
    </w:p>
    <w:p w14:paraId="73AF7A1D">
      <w:pPr>
        <w:keepNext w:val="0"/>
        <w:keepLines w:val="0"/>
        <w:pageBreakBefore w:val="0"/>
        <w:widowControl w:val="0"/>
        <w:kinsoku/>
        <w:wordWrap/>
        <w:overflowPunct/>
        <w:topLinePunct w:val="0"/>
        <w:autoSpaceDE w:val="0"/>
        <w:autoSpaceDN/>
        <w:bidi w:val="0"/>
        <w:adjustRightInd/>
        <w:snapToGrid/>
        <w:spacing w:line="400" w:lineRule="exact"/>
        <w:ind w:left="420" w:leftChars="200" w:firstLine="0" w:firstLineChars="0"/>
        <w:textAlignment w:val="auto"/>
        <w:rPr>
          <w:rFonts w:hint="eastAsia" w:ascii="宋体" w:hAnsi="宋体"/>
          <w:color w:val="auto"/>
          <w:kern w:val="0"/>
          <w:highlight w:val="none"/>
        </w:rPr>
      </w:pPr>
      <w:r>
        <w:rPr>
          <w:rFonts w:hint="eastAsia" w:ascii="宋体" w:hAnsi="宋体"/>
          <w:color w:val="auto"/>
          <w:kern w:val="0"/>
          <w:highlight w:val="none"/>
        </w:rPr>
        <w:t>3、按照浙江省</w:t>
      </w:r>
      <w:r>
        <w:rPr>
          <w:rFonts w:hint="eastAsia" w:ascii="宋体" w:hAnsi="宋体"/>
          <w:color w:val="auto"/>
          <w:kern w:val="0"/>
          <w:highlight w:val="none"/>
          <w:lang w:eastAsia="zh-CN"/>
        </w:rPr>
        <w:t>“</w:t>
      </w:r>
      <w:r>
        <w:rPr>
          <w:rFonts w:hint="eastAsia" w:ascii="宋体" w:hAnsi="宋体"/>
          <w:color w:val="auto"/>
          <w:kern w:val="0"/>
          <w:highlight w:val="none"/>
        </w:rPr>
        <w:t>一张图</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地理底图</w:t>
      </w:r>
      <w:r>
        <w:rPr>
          <w:rFonts w:hint="eastAsia" w:ascii="宋体" w:hAnsi="宋体"/>
          <w:color w:val="auto"/>
          <w:kern w:val="0"/>
          <w:highlight w:val="none"/>
        </w:rPr>
        <w:t>建设要求完成</w:t>
      </w:r>
      <w:r>
        <w:rPr>
          <w:rFonts w:hint="eastAsia" w:ascii="宋体" w:hAnsi="宋体"/>
          <w:color w:val="auto"/>
          <w:kern w:val="0"/>
          <w:highlight w:val="none"/>
          <w:lang w:val="en-US" w:eastAsia="zh-CN"/>
        </w:rPr>
        <w:t>安吉县</w:t>
      </w:r>
      <w:r>
        <w:rPr>
          <w:rFonts w:hint="eastAsia" w:ascii="宋体" w:hAnsi="宋体"/>
          <w:color w:val="auto"/>
          <w:kern w:val="0"/>
          <w:highlight w:val="none"/>
        </w:rPr>
        <w:t>院落、建筑、交通、水系要素</w:t>
      </w:r>
      <w:r>
        <w:rPr>
          <w:rFonts w:hint="eastAsia" w:ascii="宋体" w:hAnsi="宋体"/>
          <w:color w:val="auto"/>
          <w:kern w:val="0"/>
          <w:highlight w:val="none"/>
          <w:lang w:val="en-US" w:eastAsia="zh-CN"/>
        </w:rPr>
        <w:t>相应建设</w:t>
      </w:r>
      <w:r>
        <w:rPr>
          <w:rFonts w:hint="eastAsia" w:ascii="宋体" w:hAnsi="宋体"/>
          <w:color w:val="auto"/>
          <w:kern w:val="0"/>
          <w:highlight w:val="none"/>
        </w:rPr>
        <w:t>。</w:t>
      </w:r>
      <w:r>
        <w:rPr>
          <w:rFonts w:hint="eastAsia" w:ascii="宋体" w:hAnsi="宋体"/>
          <w:color w:val="auto"/>
          <w:kern w:val="0"/>
          <w:highlight w:val="none"/>
        </w:rPr>
        <w:cr/>
      </w:r>
      <w:r>
        <w:rPr>
          <w:rFonts w:hint="eastAsia" w:ascii="宋体" w:hAnsi="宋体"/>
          <w:color w:val="auto"/>
          <w:kern w:val="0"/>
          <w:highlight w:val="none"/>
        </w:rPr>
        <w:t>4、</w:t>
      </w:r>
      <w:r>
        <w:rPr>
          <w:rFonts w:hint="eastAsia" w:ascii="宋体" w:hAnsi="宋体"/>
          <w:color w:val="auto"/>
          <w:kern w:val="0"/>
          <w:highlight w:val="none"/>
          <w:lang w:val="en-US" w:eastAsia="zh-CN"/>
        </w:rPr>
        <w:t>2025</w:t>
      </w:r>
      <w:r>
        <w:rPr>
          <w:rFonts w:hint="eastAsia" w:ascii="宋体" w:hAnsi="宋体"/>
          <w:color w:val="auto"/>
          <w:kern w:val="0"/>
          <w:highlight w:val="none"/>
        </w:rPr>
        <w:t>年12月10日前完成</w:t>
      </w:r>
      <w:r>
        <w:rPr>
          <w:rFonts w:hint="eastAsia" w:ascii="宋体" w:hAnsi="宋体"/>
          <w:color w:val="auto"/>
          <w:highlight w:val="none"/>
        </w:rPr>
        <w:t>数字线划图更新及天地图融合成果质检</w:t>
      </w:r>
      <w:r>
        <w:rPr>
          <w:rFonts w:hint="eastAsia" w:ascii="宋体" w:hAnsi="宋体"/>
          <w:color w:val="auto"/>
          <w:kern w:val="0"/>
          <w:highlight w:val="none"/>
        </w:rPr>
        <w:t>，项目成果须经省级测绘成果质量检验机构检验合格。</w:t>
      </w:r>
    </w:p>
    <w:p w14:paraId="0376891B">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5、</w:t>
      </w:r>
      <w:r>
        <w:rPr>
          <w:rFonts w:hint="eastAsia" w:ascii="宋体" w:hAnsi="宋体"/>
          <w:color w:val="auto"/>
          <w:kern w:val="0"/>
          <w:highlight w:val="none"/>
          <w:lang w:val="en-US" w:eastAsia="zh-CN"/>
        </w:rPr>
        <w:t>2025</w:t>
      </w:r>
      <w:r>
        <w:rPr>
          <w:rFonts w:hint="eastAsia" w:ascii="宋体" w:hAnsi="宋体"/>
          <w:color w:val="auto"/>
          <w:kern w:val="0"/>
          <w:highlight w:val="none"/>
        </w:rPr>
        <w:t>年12月10日前完成</w:t>
      </w:r>
      <w:r>
        <w:rPr>
          <w:rFonts w:hint="eastAsia" w:ascii="宋体" w:hAnsi="宋体"/>
          <w:color w:val="auto"/>
          <w:kern w:val="0"/>
          <w:highlight w:val="none"/>
          <w:lang w:val="en-US" w:eastAsia="zh-CN"/>
        </w:rPr>
        <w:t>安吉县</w:t>
      </w:r>
      <w:r>
        <w:rPr>
          <w:rFonts w:hint="eastAsia" w:ascii="宋体" w:hAnsi="宋体"/>
          <w:color w:val="auto"/>
          <w:kern w:val="0"/>
          <w:highlight w:val="none"/>
        </w:rPr>
        <w:t>院落、建筑、交通、水系要素</w:t>
      </w:r>
      <w:r>
        <w:rPr>
          <w:rFonts w:hint="eastAsia" w:ascii="宋体" w:hAnsi="宋体"/>
          <w:color w:val="auto"/>
          <w:kern w:val="0"/>
          <w:highlight w:val="none"/>
          <w:lang w:val="en-US" w:eastAsia="zh-CN"/>
        </w:rPr>
        <w:t>相应建设，期间应及时委托一家</w:t>
      </w:r>
      <w:r>
        <w:rPr>
          <w:rFonts w:hint="eastAsia" w:ascii="宋体" w:hAnsi="宋体"/>
          <w:color w:val="auto"/>
          <w:kern w:val="0"/>
          <w:highlight w:val="none"/>
        </w:rPr>
        <w:t>甲级测绘资质企业</w:t>
      </w:r>
      <w:r>
        <w:rPr>
          <w:rFonts w:hint="eastAsia" w:ascii="宋体" w:hAnsi="宋体"/>
          <w:color w:val="auto"/>
          <w:kern w:val="0"/>
          <w:highlight w:val="none"/>
          <w:lang w:val="en-US" w:eastAsia="zh-CN"/>
        </w:rPr>
        <w:t>按照</w:t>
      </w:r>
      <w:r>
        <w:rPr>
          <w:rFonts w:hint="eastAsia" w:ascii="宋体" w:hAnsi="宋体"/>
          <w:color w:val="auto"/>
          <w:szCs w:val="21"/>
          <w:highlight w:val="none"/>
        </w:rPr>
        <w:t>《“一张图”地理底图浙江省试点实施方案》</w:t>
      </w:r>
      <w:r>
        <w:rPr>
          <w:rFonts w:hint="eastAsia" w:ascii="宋体" w:hAnsi="宋体"/>
          <w:color w:val="auto"/>
          <w:kern w:val="0"/>
          <w:highlight w:val="none"/>
        </w:rPr>
        <w:t>，对</w:t>
      </w:r>
      <w:r>
        <w:rPr>
          <w:rFonts w:hint="eastAsia" w:ascii="宋体" w:hAnsi="宋体"/>
          <w:color w:val="auto"/>
          <w:kern w:val="0"/>
          <w:highlight w:val="none"/>
          <w:lang w:val="en-US" w:eastAsia="zh-CN"/>
        </w:rPr>
        <w:t>安吉县</w:t>
      </w:r>
      <w:r>
        <w:rPr>
          <w:rFonts w:hint="eastAsia" w:ascii="宋体" w:hAnsi="宋体"/>
          <w:color w:val="auto"/>
          <w:kern w:val="0"/>
          <w:highlight w:val="none"/>
        </w:rPr>
        <w:t>院落、建筑、交通、水系要素数据</w:t>
      </w:r>
      <w:r>
        <w:rPr>
          <w:rFonts w:hint="eastAsia" w:ascii="宋体" w:hAnsi="宋体"/>
          <w:color w:val="auto"/>
          <w:kern w:val="0"/>
          <w:highlight w:val="none"/>
          <w:lang w:val="en-US" w:eastAsia="zh-CN"/>
        </w:rPr>
        <w:t>建设情况</w:t>
      </w:r>
      <w:r>
        <w:rPr>
          <w:rFonts w:hint="eastAsia" w:ascii="宋体" w:hAnsi="宋体"/>
          <w:color w:val="auto"/>
          <w:kern w:val="0"/>
          <w:highlight w:val="none"/>
        </w:rPr>
        <w:t>进行动态质量巡检</w:t>
      </w:r>
      <w:r>
        <w:rPr>
          <w:rFonts w:hint="eastAsia" w:ascii="宋体" w:hAnsi="宋体"/>
          <w:color w:val="auto"/>
          <w:kern w:val="0"/>
          <w:highlight w:val="none"/>
          <w:lang w:eastAsia="zh-CN"/>
        </w:rPr>
        <w:t>（</w:t>
      </w:r>
      <w:r>
        <w:rPr>
          <w:rFonts w:hint="eastAsia" w:ascii="宋体" w:hAnsi="宋体"/>
          <w:color w:val="auto"/>
          <w:kern w:val="0"/>
          <w:highlight w:val="none"/>
        </w:rPr>
        <w:t>按照一定比例进行抽样检查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并</w:t>
      </w:r>
      <w:r>
        <w:rPr>
          <w:rFonts w:hint="eastAsia" w:ascii="宋体" w:hAnsi="宋体"/>
          <w:color w:val="auto"/>
          <w:kern w:val="0"/>
          <w:highlight w:val="none"/>
        </w:rPr>
        <w:t>提交</w:t>
      </w:r>
      <w:r>
        <w:rPr>
          <w:rFonts w:hint="eastAsia" w:ascii="宋体" w:hAnsi="宋体"/>
          <w:color w:val="auto"/>
          <w:kern w:val="0"/>
          <w:highlight w:val="none"/>
          <w:lang w:val="en-US" w:eastAsia="zh-CN"/>
        </w:rPr>
        <w:t>正式</w:t>
      </w:r>
      <w:r>
        <w:rPr>
          <w:rFonts w:hint="eastAsia" w:ascii="宋体" w:hAnsi="宋体"/>
          <w:color w:val="auto"/>
          <w:kern w:val="0"/>
          <w:highlight w:val="none"/>
        </w:rPr>
        <w:t>巡检报告。</w:t>
      </w:r>
    </w:p>
    <w:p w14:paraId="443E59F2">
      <w:pPr>
        <w:pStyle w:val="2"/>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6、DLG重大要素季度更新应及时完成。</w:t>
      </w:r>
    </w:p>
    <w:p w14:paraId="60FA0ECE">
      <w:pPr>
        <w:pStyle w:val="2"/>
        <w:keepNext w:val="0"/>
        <w:keepLines w:val="0"/>
        <w:pageBreakBefore w:val="0"/>
        <w:widowControl w:val="0"/>
        <w:kinsoku/>
        <w:wordWrap/>
        <w:overflowPunct/>
        <w:topLinePunct w:val="0"/>
        <w:autoSpaceDN/>
        <w:bidi w:val="0"/>
        <w:adjustRightInd/>
        <w:snapToGrid/>
        <w:spacing w:line="400" w:lineRule="exact"/>
        <w:textAlignment w:val="auto"/>
        <w:rPr>
          <w:rFonts w:hint="eastAsia" w:eastAsia="宋体"/>
          <w:color w:val="auto"/>
          <w:highlight w:val="none"/>
          <w:lang w:val="en-US" w:eastAsia="zh-CN"/>
        </w:rPr>
      </w:pPr>
      <w:r>
        <w:rPr>
          <w:rFonts w:hint="eastAsia" w:ascii="宋体" w:hAnsi="宋体"/>
          <w:color w:val="auto"/>
          <w:kern w:val="0"/>
          <w:highlight w:val="none"/>
          <w:lang w:val="en-US" w:eastAsia="zh-CN"/>
        </w:rPr>
        <w:t>7、2026年7月15日前完成项目竣工验收。</w:t>
      </w:r>
    </w:p>
    <w:p w14:paraId="260B10B8">
      <w:pPr>
        <w:pStyle w:val="4"/>
        <w:keepNext w:val="0"/>
        <w:keepLines w:val="0"/>
        <w:spacing w:before="0" w:after="0" w:line="500" w:lineRule="exac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四、主要技术资料</w:t>
      </w:r>
    </w:p>
    <w:p w14:paraId="2DB009BA">
      <w:pPr>
        <w:spacing w:line="42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1、航摄</w:t>
      </w:r>
      <w:r>
        <w:rPr>
          <w:rFonts w:hint="eastAsia" w:ascii="宋体" w:hAnsi="宋体" w:cs="宋体"/>
          <w:b/>
          <w:bCs/>
          <w:color w:val="auto"/>
          <w:kern w:val="0"/>
          <w:szCs w:val="21"/>
          <w:highlight w:val="none"/>
          <w:lang w:val="en-US" w:eastAsia="zh-CN"/>
        </w:rPr>
        <w:t>影像</w:t>
      </w:r>
      <w:r>
        <w:rPr>
          <w:rFonts w:hint="eastAsia" w:ascii="宋体" w:hAnsi="宋体" w:cs="宋体"/>
          <w:b/>
          <w:bCs/>
          <w:color w:val="auto"/>
          <w:kern w:val="0"/>
          <w:szCs w:val="21"/>
          <w:highlight w:val="none"/>
        </w:rPr>
        <w:t>资料</w:t>
      </w:r>
    </w:p>
    <w:p w14:paraId="61A72CD7">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以</w:t>
      </w:r>
      <w:r>
        <w:rPr>
          <w:rFonts w:hint="eastAsia" w:ascii="宋体" w:hAnsi="宋体" w:cs="宋体"/>
          <w:color w:val="auto"/>
          <w:kern w:val="0"/>
          <w:szCs w:val="21"/>
          <w:highlight w:val="none"/>
          <w:lang w:val="en-US" w:eastAsia="zh-CN"/>
        </w:rPr>
        <w:t>安吉县</w:t>
      </w:r>
      <w:r>
        <w:rPr>
          <w:rFonts w:hint="eastAsia" w:ascii="宋体" w:hAnsi="宋体" w:cs="宋体"/>
          <w:color w:val="auto"/>
          <w:kern w:val="0"/>
          <w:szCs w:val="21"/>
          <w:highlight w:val="none"/>
        </w:rPr>
        <w:t>2025年航摄影像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地面分辨率优于0.2米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作为主要数据源。</w:t>
      </w:r>
    </w:p>
    <w:p w14:paraId="2864AD2C">
      <w:pPr>
        <w:numPr>
          <w:ilvl w:val="0"/>
          <w:numId w:val="1"/>
        </w:numPr>
        <w:spacing w:line="420" w:lineRule="exact"/>
        <w:ind w:firstLine="42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控制点资料</w:t>
      </w:r>
    </w:p>
    <w:p w14:paraId="47BFE50D">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浙江省卫星导航定位基准服务已覆盖安吉县域范围，本项目可利用该服务开展像控点测量、地物补测及精度检测点测量。</w:t>
      </w:r>
    </w:p>
    <w:p w14:paraId="1EFC105C">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湖州市似大地精化水准模型可用于GNSS观测的像控点、高程碎部点、高程检测点的高程异常改正。</w:t>
      </w:r>
    </w:p>
    <w:p w14:paraId="384FCC3D">
      <w:pPr>
        <w:numPr>
          <w:ilvl w:val="0"/>
          <w:numId w:val="2"/>
        </w:numPr>
        <w:spacing w:line="42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地形图资料</w:t>
      </w:r>
    </w:p>
    <w:p w14:paraId="490D37F9">
      <w:pPr>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安吉县于 2024 年组织更新的</w:t>
      </w:r>
      <w:r>
        <w:rPr>
          <w:rFonts w:hint="eastAsia" w:ascii="宋体" w:hAnsi="宋体"/>
          <w:color w:val="auto"/>
          <w:szCs w:val="21"/>
          <w:highlight w:val="none"/>
        </w:rPr>
        <w:t>1:2000比例尺基础地理信息资源库</w:t>
      </w:r>
      <w:r>
        <w:rPr>
          <w:rFonts w:hint="eastAsia" w:ascii="宋体" w:hAnsi="宋体" w:cs="宋体"/>
          <w:bCs/>
          <w:color w:val="auto"/>
          <w:szCs w:val="21"/>
          <w:highlight w:val="none"/>
        </w:rPr>
        <w:t>可作为本次 DLG 更新的基础本底数据。</w:t>
      </w:r>
    </w:p>
    <w:p w14:paraId="5544E781">
      <w:pPr>
        <w:autoSpaceDN w:val="0"/>
        <w:spacing w:line="420" w:lineRule="exact"/>
        <w:outlineLvl w:val="1"/>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五、规范性文件</w:t>
      </w:r>
    </w:p>
    <w:p w14:paraId="6BC3BF5C">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Cs/>
          <w:color w:val="000000"/>
          <w:szCs w:val="21"/>
        </w:rPr>
        <w:t>GB/T 7930-2008《1:500 1:1000 1:2000 地形图航空摄影测量内业规范》；</w:t>
      </w:r>
    </w:p>
    <w:p w14:paraId="2CAF5286">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Cs/>
          <w:color w:val="000000"/>
          <w:szCs w:val="21"/>
        </w:rPr>
        <w:t>GB/T 7931-2008《1:500 1:1000 1:2000 地形图航空摄影测量外业规范》；</w:t>
      </w:r>
    </w:p>
    <w:p w14:paraId="614E527B">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GB/T 15967-2008《1:500 1:1000 1:2000 地形图航空摄影测量数字化测图规范》；</w:t>
      </w:r>
    </w:p>
    <w:p w14:paraId="47A898A4">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4、</w:t>
      </w:r>
      <w:r>
        <w:rPr>
          <w:rFonts w:hint="eastAsia" w:ascii="宋体" w:hAnsi="宋体" w:cs="宋体"/>
          <w:bCs/>
          <w:color w:val="000000"/>
          <w:szCs w:val="21"/>
        </w:rPr>
        <w:t>GB/T 17941-2008《数字测绘成果质量要求》；</w:t>
      </w:r>
    </w:p>
    <w:p w14:paraId="5EC77671">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5、</w:t>
      </w:r>
      <w:r>
        <w:rPr>
          <w:rFonts w:hint="eastAsia" w:ascii="宋体" w:hAnsi="宋体" w:cs="宋体"/>
          <w:bCs/>
          <w:color w:val="000000"/>
          <w:szCs w:val="21"/>
        </w:rPr>
        <w:t>GB/T 18314-2009《全球定位系统（GPS）测量规范》；</w:t>
      </w:r>
    </w:p>
    <w:p w14:paraId="2D4E4F58">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6、</w:t>
      </w:r>
      <w:r>
        <w:rPr>
          <w:rFonts w:hint="eastAsia" w:ascii="宋体" w:hAnsi="宋体" w:cs="宋体"/>
          <w:bCs/>
          <w:color w:val="000000"/>
          <w:szCs w:val="21"/>
        </w:rPr>
        <w:t>GB/T 18316-2008《数字测绘成果质量检查与验收》；</w:t>
      </w:r>
    </w:p>
    <w:p w14:paraId="3131E43E">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GB/T 19710-2005《地理信息元数据》；</w:t>
      </w:r>
    </w:p>
    <w:p w14:paraId="7AFC0E3C">
      <w:pPr>
        <w:snapToGrid w:val="0"/>
        <w:spacing w:line="420" w:lineRule="exact"/>
        <w:ind w:left="525" w:leftChars="200" w:hanging="105" w:hangingChars="50"/>
        <w:rPr>
          <w:rFonts w:hint="eastAsia" w:ascii="宋体" w:hAnsi="宋体" w:cs="宋体"/>
          <w:bCs/>
          <w:color w:val="000000"/>
          <w:szCs w:val="21"/>
        </w:rPr>
      </w:pPr>
      <w:r>
        <w:rPr>
          <w:rFonts w:hint="eastAsia" w:ascii="宋体" w:hAnsi="宋体" w:cs="宋体"/>
          <w:bCs/>
          <w:color w:val="000000"/>
          <w:szCs w:val="21"/>
          <w:lang w:val="en-US" w:eastAsia="zh-CN"/>
        </w:rPr>
        <w:t>8、</w:t>
      </w:r>
      <w:r>
        <w:rPr>
          <w:rFonts w:hint="eastAsia" w:ascii="宋体" w:hAnsi="宋体" w:cs="宋体"/>
          <w:bCs/>
          <w:color w:val="000000"/>
          <w:szCs w:val="21"/>
        </w:rPr>
        <w:t>GB/T 20257.1-2017 《国家基本比例尺地图图式第1 部分：1:500 1:1000 1:2000 地形图图式》（以下简称《图式》）；</w:t>
      </w:r>
    </w:p>
    <w:p w14:paraId="41F1BCE1">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9、</w:t>
      </w:r>
      <w:r>
        <w:rPr>
          <w:rFonts w:hint="eastAsia" w:ascii="宋体" w:hAnsi="宋体" w:cs="宋体"/>
          <w:bCs/>
          <w:color w:val="000000"/>
          <w:szCs w:val="21"/>
        </w:rPr>
        <w:t>GB/T 23236-2009《数字航空摄影测量 空中三角测量规范》；</w:t>
      </w:r>
    </w:p>
    <w:p w14:paraId="08628FDD">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10、</w:t>
      </w:r>
      <w:r>
        <w:rPr>
          <w:rFonts w:hint="eastAsia" w:ascii="宋体" w:hAnsi="宋体" w:cs="宋体"/>
          <w:bCs/>
          <w:color w:val="000000"/>
          <w:szCs w:val="21"/>
        </w:rPr>
        <w:t>GB/T 24356-2009《测绘成果质量检查与验收》；</w:t>
      </w:r>
    </w:p>
    <w:p w14:paraId="53D17684">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11、</w:t>
      </w:r>
      <w:r>
        <w:rPr>
          <w:rFonts w:hint="eastAsia" w:ascii="宋体" w:hAnsi="宋体" w:cs="宋体"/>
          <w:bCs/>
          <w:color w:val="000000"/>
          <w:szCs w:val="21"/>
        </w:rPr>
        <w:t>CH/T 2009-2010《全球定位系统实时动态测量（RTK）技术规范》；</w:t>
      </w:r>
    </w:p>
    <w:p w14:paraId="2D1BD607">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12、</w:t>
      </w:r>
      <w:r>
        <w:rPr>
          <w:rFonts w:hint="eastAsia" w:ascii="宋体" w:hAnsi="宋体" w:cs="宋体"/>
          <w:bCs/>
          <w:color w:val="000000"/>
          <w:szCs w:val="21"/>
        </w:rPr>
        <w:t>CH/T 3006-2011《数字航空摄影测量 控制测量规范》；</w:t>
      </w:r>
    </w:p>
    <w:p w14:paraId="00ED2ACD">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13、</w:t>
      </w:r>
      <w:r>
        <w:rPr>
          <w:rFonts w:hint="eastAsia" w:ascii="宋体" w:hAnsi="宋体" w:cs="宋体"/>
          <w:bCs/>
          <w:color w:val="000000"/>
          <w:szCs w:val="21"/>
        </w:rPr>
        <w:t>CH/T 3007.1-2011《数字航空摄影测量 测图规范 第1 部分：1:500</w:t>
      </w:r>
      <w:r>
        <w:rPr>
          <w:rFonts w:hint="eastAsia" w:ascii="宋体" w:hAnsi="宋体" w:cs="宋体"/>
          <w:bCs/>
          <w:color w:val="000000"/>
          <w:szCs w:val="21"/>
          <w:lang w:val="en-US" w:eastAsia="zh-CN"/>
        </w:rPr>
        <w:t xml:space="preserve"> </w:t>
      </w:r>
      <w:r>
        <w:rPr>
          <w:rFonts w:hint="eastAsia" w:ascii="宋体" w:hAnsi="宋体" w:cs="宋体"/>
          <w:bCs/>
          <w:color w:val="000000"/>
          <w:szCs w:val="21"/>
        </w:rPr>
        <w:t>1:1000 1:2000 数字表面模型 数字正射影像图 数字线划图》；</w:t>
      </w:r>
    </w:p>
    <w:p w14:paraId="04B96401">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14、</w:t>
      </w:r>
      <w:r>
        <w:rPr>
          <w:rFonts w:hint="eastAsia" w:ascii="宋体" w:hAnsi="宋体" w:cs="宋体"/>
          <w:bCs/>
          <w:color w:val="000000"/>
          <w:szCs w:val="21"/>
        </w:rPr>
        <w:t>CH/T 9005-2009《基础地理信息数据库基本规定》；</w:t>
      </w:r>
    </w:p>
    <w:p w14:paraId="574EF267">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15、</w:t>
      </w:r>
      <w:r>
        <w:rPr>
          <w:rFonts w:hint="eastAsia" w:ascii="宋体" w:hAnsi="宋体" w:cs="宋体"/>
          <w:bCs/>
          <w:color w:val="000000"/>
          <w:szCs w:val="21"/>
        </w:rPr>
        <w:t>CH/T 9008.1-2010《基础地理信息数字成果1:500 1:1000 1:2000 数字线划图》；</w:t>
      </w:r>
    </w:p>
    <w:p w14:paraId="3F55A39F">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16、</w:t>
      </w:r>
      <w:r>
        <w:rPr>
          <w:rFonts w:hint="eastAsia" w:ascii="宋体" w:hAnsi="宋体" w:cs="宋体"/>
          <w:bCs/>
          <w:color w:val="000000"/>
          <w:szCs w:val="21"/>
        </w:rPr>
        <w:t>DB33/T 552-2014 《1:500 1:1000 1:2000 数字地形图测绘规范》；</w:t>
      </w:r>
    </w:p>
    <w:p w14:paraId="500332D5">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17、</w:t>
      </w:r>
      <w:r>
        <w:rPr>
          <w:rFonts w:hint="eastAsia" w:ascii="宋体" w:hAnsi="宋体" w:cs="宋体"/>
          <w:bCs/>
          <w:color w:val="000000"/>
          <w:szCs w:val="21"/>
        </w:rPr>
        <w:t>DB33/T 817-2010《基础地理信息要素分类与图形表达代码》；</w:t>
      </w:r>
    </w:p>
    <w:p w14:paraId="15975A73">
      <w:pPr>
        <w:snapToGrid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18、</w:t>
      </w:r>
      <w:r>
        <w:rPr>
          <w:rFonts w:hint="eastAsia" w:ascii="宋体" w:hAnsi="宋体" w:cs="宋体"/>
          <w:bCs/>
          <w:color w:val="000000"/>
          <w:szCs w:val="21"/>
        </w:rPr>
        <w:t>《1:500 1:1000 1:2000 基础地理信息及地理实体数据库技术规程》；</w:t>
      </w:r>
    </w:p>
    <w:p w14:paraId="37D7A071">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19、</w:t>
      </w:r>
      <w:r>
        <w:rPr>
          <w:rFonts w:hint="eastAsia" w:ascii="宋体" w:hAnsi="宋体" w:cs="宋体"/>
          <w:bCs/>
          <w:color w:val="000000"/>
          <w:szCs w:val="21"/>
        </w:rPr>
        <w:t>浙江省自然资源厅2019年发布的《浙江省1∶2000比例尺基础地理信息资源更新工作技术方案》；</w:t>
      </w:r>
    </w:p>
    <w:p w14:paraId="3C171B42">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20、</w:t>
      </w:r>
      <w:r>
        <w:rPr>
          <w:rFonts w:hint="eastAsia" w:ascii="宋体" w:hAnsi="宋体" w:cs="宋体"/>
          <w:bCs/>
          <w:color w:val="000000"/>
          <w:szCs w:val="21"/>
        </w:rPr>
        <w:t>浙江省自然资源厅2020年发布的《浙江省1∶2000比例尺基础地理信息资源更新技术规定》；</w:t>
      </w:r>
    </w:p>
    <w:p w14:paraId="1863816F">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21、</w:t>
      </w:r>
      <w:r>
        <w:rPr>
          <w:rFonts w:hint="eastAsia" w:ascii="宋体" w:hAnsi="宋体" w:cs="宋体"/>
          <w:bCs/>
          <w:color w:val="000000"/>
          <w:szCs w:val="21"/>
        </w:rPr>
        <w:t>浙江省自然资源厅2022年发布的《浙江省自然资源厅关于做好2022年度1:2000比例尺基础地理信息资源更新和应用服务工作的通知》；</w:t>
      </w:r>
    </w:p>
    <w:p w14:paraId="0FF6D154">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22、</w:t>
      </w:r>
      <w:r>
        <w:rPr>
          <w:rFonts w:hint="eastAsia" w:ascii="宋体" w:hAnsi="宋体" w:cs="宋体"/>
          <w:bCs/>
          <w:color w:val="000000"/>
          <w:szCs w:val="21"/>
        </w:rPr>
        <w:t>《浙江省地理信息公共服务平台（天地图）省、市（县）级数据融合技术方案（2022）》；</w:t>
      </w:r>
    </w:p>
    <w:p w14:paraId="33E22CBA">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23、</w:t>
      </w:r>
      <w:r>
        <w:rPr>
          <w:rFonts w:hint="eastAsia" w:ascii="宋体" w:hAnsi="宋体" w:cs="宋体"/>
          <w:bCs/>
          <w:color w:val="000000"/>
          <w:szCs w:val="21"/>
        </w:rPr>
        <w:t>《浙江省地理信息公共服务平台（天地图）POI数据更新技术要求》；</w:t>
      </w:r>
    </w:p>
    <w:p w14:paraId="061098E2">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24、</w:t>
      </w:r>
      <w:r>
        <w:rPr>
          <w:rFonts w:hint="eastAsia" w:ascii="宋体" w:hAnsi="宋体" w:cs="宋体"/>
          <w:bCs/>
          <w:color w:val="000000"/>
          <w:szCs w:val="21"/>
        </w:rPr>
        <w:t>《浙江省自然资源厅关于持续做好1:2000比例尺基础地理信息资源更新工作的通知》；</w:t>
      </w:r>
    </w:p>
    <w:p w14:paraId="4A022709">
      <w:pPr>
        <w:autoSpaceDN w:val="0"/>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25、</w:t>
      </w:r>
      <w:r>
        <w:rPr>
          <w:rFonts w:hint="eastAsia" w:ascii="宋体" w:hAnsi="宋体" w:cs="宋体"/>
          <w:bCs/>
          <w:color w:val="000000"/>
          <w:szCs w:val="21"/>
        </w:rPr>
        <w:t>《湖州市自然资源和规划局关于1：2000比例尺基础地理信息资源更新（2023-2027年）规划和2023年度计划》；</w:t>
      </w:r>
    </w:p>
    <w:p w14:paraId="06F7D539">
      <w:pPr>
        <w:autoSpaceDN w:val="0"/>
        <w:spacing w:line="420" w:lineRule="exact"/>
        <w:ind w:firstLine="420" w:firstLineChars="200"/>
        <w:rPr>
          <w:rFonts w:hint="eastAsia" w:ascii="宋体" w:hAnsi="宋体" w:cs="宋体"/>
          <w:bCs/>
          <w:color w:val="000000"/>
          <w:szCs w:val="21"/>
        </w:rPr>
      </w:pPr>
      <w:r>
        <w:rPr>
          <w:rFonts w:hint="eastAsia" w:ascii="宋体" w:hAnsi="宋体"/>
          <w:color w:val="000000"/>
          <w:szCs w:val="21"/>
          <w:lang w:val="en-US" w:eastAsia="zh-CN"/>
        </w:rPr>
        <w:t>26、</w:t>
      </w:r>
      <w:r>
        <w:rPr>
          <w:rFonts w:hint="eastAsia" w:ascii="宋体" w:hAnsi="宋体"/>
          <w:color w:val="000000"/>
          <w:szCs w:val="21"/>
        </w:rPr>
        <w:t>《“一张图”地理底图浙江省试点实施方案》。</w:t>
      </w:r>
    </w:p>
    <w:p w14:paraId="45CE0D79">
      <w:pPr>
        <w:pStyle w:val="4"/>
        <w:spacing w:before="20" w:after="20" w:line="340" w:lineRule="exac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六、主要技术指标</w:t>
      </w:r>
    </w:p>
    <w:p w14:paraId="60B532FD">
      <w:pPr>
        <w:spacing w:line="42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1、空间参考系统</w:t>
      </w:r>
    </w:p>
    <w:p w14:paraId="030B941B">
      <w:pPr>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rPr>
        <w:t>1) 坐标系统：采用2000国家大地坐标系（CGCS2000），分幅成果采用直角坐标系，坐标单位为米，小数点后保留4 位，库体成果采用地理坐标系，坐标单位为度，小数点后保留8位。</w:t>
      </w:r>
    </w:p>
    <w:p w14:paraId="5D84F15B">
      <w:pPr>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rPr>
        <w:t>2) 投影方式：高斯－克吕格投影，按 3°标准分带。</w:t>
      </w:r>
    </w:p>
    <w:p w14:paraId="3AF6024E">
      <w:pPr>
        <w:spacing w:line="420" w:lineRule="exact"/>
        <w:ind w:firstLine="420" w:firstLineChars="200"/>
        <w:rPr>
          <w:rFonts w:hint="eastAsia" w:ascii="宋体" w:hAnsi="宋体" w:cs="宋体"/>
          <w:bCs/>
          <w:color w:val="000000"/>
          <w:szCs w:val="21"/>
        </w:rPr>
      </w:pPr>
      <w:r>
        <w:rPr>
          <w:rFonts w:hint="eastAsia" w:ascii="宋体" w:hAnsi="宋体" w:cs="宋体"/>
          <w:bCs/>
          <w:color w:val="000000"/>
          <w:szCs w:val="21"/>
        </w:rPr>
        <w:t>3) 高程基准：1985 国家高程基准。</w:t>
      </w:r>
    </w:p>
    <w:p w14:paraId="5AC61780">
      <w:pPr>
        <w:spacing w:line="420" w:lineRule="exact"/>
        <w:ind w:firstLine="422" w:firstLineChars="200"/>
        <w:rPr>
          <w:rFonts w:hint="eastAsia" w:ascii="宋体" w:hAnsi="宋体" w:cs="宋体"/>
          <w:b/>
          <w:bCs/>
          <w:color w:val="000000"/>
          <w:szCs w:val="21"/>
        </w:rPr>
      </w:pPr>
      <w:r>
        <w:rPr>
          <w:rFonts w:hint="eastAsia" w:ascii="宋体" w:hAnsi="宋体" w:cs="宋体"/>
          <w:b/>
          <w:bCs/>
          <w:color w:val="000000"/>
          <w:szCs w:val="21"/>
        </w:rPr>
        <w:t>2、成图比例尺</w:t>
      </w:r>
    </w:p>
    <w:p w14:paraId="0C92F962">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成图比例尺为1:2000。</w:t>
      </w:r>
    </w:p>
    <w:p w14:paraId="1727C0D3">
      <w:pPr>
        <w:spacing w:line="420" w:lineRule="exact"/>
        <w:ind w:firstLine="422" w:firstLineChars="200"/>
        <w:rPr>
          <w:rFonts w:hint="eastAsia" w:ascii="宋体" w:hAnsi="宋体" w:cs="宋体"/>
          <w:b/>
          <w:bCs/>
          <w:color w:val="000000"/>
          <w:szCs w:val="21"/>
        </w:rPr>
      </w:pPr>
      <w:r>
        <w:rPr>
          <w:rFonts w:hint="eastAsia" w:ascii="宋体" w:hAnsi="宋体" w:cs="宋体"/>
          <w:b/>
          <w:bCs/>
          <w:color w:val="000000"/>
          <w:szCs w:val="21"/>
        </w:rPr>
        <w:t>3 、精度要求</w:t>
      </w:r>
    </w:p>
    <w:p w14:paraId="084D57E3">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DLG 平面位置中误差不得大于下表的规定：</w:t>
      </w:r>
    </w:p>
    <w:p w14:paraId="43158DCE">
      <w:pPr>
        <w:autoSpaceDE w:val="0"/>
        <w:autoSpaceDN w:val="0"/>
        <w:adjustRightInd w:val="0"/>
        <w:spacing w:line="400" w:lineRule="exact"/>
        <w:ind w:firstLine="420" w:firstLineChars="200"/>
        <w:jc w:val="center"/>
        <w:rPr>
          <w:rFonts w:hint="eastAsia" w:ascii="宋体" w:hAnsi="宋体" w:cs="宋体"/>
          <w:color w:val="000000"/>
          <w:kern w:val="0"/>
          <w:szCs w:val="21"/>
        </w:rPr>
      </w:pPr>
      <w:r>
        <w:rPr>
          <w:rFonts w:hint="eastAsia" w:ascii="宋体" w:hAnsi="宋体" w:cs="宋体"/>
          <w:bCs/>
          <w:color w:val="000000"/>
          <w:kern w:val="0"/>
          <w:szCs w:val="21"/>
        </w:rPr>
        <w:t xml:space="preserve">DLG </w:t>
      </w:r>
      <w:r>
        <w:rPr>
          <w:rFonts w:hint="eastAsia" w:ascii="宋体" w:hAnsi="宋体" w:cs="宋体"/>
          <w:color w:val="000000"/>
          <w:kern w:val="0"/>
          <w:szCs w:val="21"/>
        </w:rPr>
        <w:t>平面位置中误差</w:t>
      </w:r>
    </w:p>
    <w:p w14:paraId="10BC2415">
      <w:pPr>
        <w:autoSpaceDE w:val="0"/>
        <w:autoSpaceDN w:val="0"/>
        <w:adjustRightInd w:val="0"/>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单位：m</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0"/>
      </w:tblGrid>
      <w:tr w14:paraId="35D1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5DEC6C4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地形类别</w:t>
            </w:r>
          </w:p>
        </w:tc>
        <w:tc>
          <w:tcPr>
            <w:tcW w:w="2840" w:type="dxa"/>
            <w:tcBorders>
              <w:top w:val="single" w:color="auto" w:sz="4" w:space="0"/>
              <w:left w:val="single" w:color="auto" w:sz="4" w:space="0"/>
              <w:bottom w:val="single" w:color="auto" w:sz="4" w:space="0"/>
              <w:right w:val="single" w:color="auto" w:sz="4" w:space="0"/>
            </w:tcBorders>
            <w:vAlign w:val="center"/>
          </w:tcPr>
          <w:p w14:paraId="019867FB">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平地、丘陵地</w:t>
            </w:r>
          </w:p>
        </w:tc>
        <w:tc>
          <w:tcPr>
            <w:tcW w:w="2840" w:type="dxa"/>
            <w:tcBorders>
              <w:top w:val="single" w:color="auto" w:sz="4" w:space="0"/>
              <w:left w:val="single" w:color="auto" w:sz="4" w:space="0"/>
              <w:bottom w:val="single" w:color="auto" w:sz="4" w:space="0"/>
              <w:right w:val="single" w:color="auto" w:sz="4" w:space="0"/>
            </w:tcBorders>
            <w:vAlign w:val="center"/>
          </w:tcPr>
          <w:p w14:paraId="7A7CFB94">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山地、高山地</w:t>
            </w:r>
          </w:p>
        </w:tc>
      </w:tr>
      <w:tr w14:paraId="781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06CAF3B5">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加密点</w:t>
            </w:r>
          </w:p>
        </w:tc>
        <w:tc>
          <w:tcPr>
            <w:tcW w:w="2840" w:type="dxa"/>
            <w:tcBorders>
              <w:top w:val="single" w:color="auto" w:sz="4" w:space="0"/>
              <w:left w:val="single" w:color="auto" w:sz="4" w:space="0"/>
              <w:bottom w:val="single" w:color="auto" w:sz="4" w:space="0"/>
              <w:right w:val="single" w:color="auto" w:sz="4" w:space="0"/>
            </w:tcBorders>
            <w:vAlign w:val="center"/>
          </w:tcPr>
          <w:p w14:paraId="154F689E">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0.5</w:t>
            </w:r>
          </w:p>
        </w:tc>
        <w:tc>
          <w:tcPr>
            <w:tcW w:w="2840" w:type="dxa"/>
            <w:tcBorders>
              <w:top w:val="single" w:color="auto" w:sz="4" w:space="0"/>
              <w:left w:val="single" w:color="auto" w:sz="4" w:space="0"/>
              <w:bottom w:val="single" w:color="auto" w:sz="4" w:space="0"/>
              <w:right w:val="single" w:color="auto" w:sz="4" w:space="0"/>
            </w:tcBorders>
            <w:vAlign w:val="center"/>
          </w:tcPr>
          <w:p w14:paraId="511124C9">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0.8</w:t>
            </w:r>
          </w:p>
        </w:tc>
      </w:tr>
      <w:tr w14:paraId="6501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7905E451">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地物点</w:t>
            </w:r>
          </w:p>
        </w:tc>
        <w:tc>
          <w:tcPr>
            <w:tcW w:w="2840" w:type="dxa"/>
            <w:tcBorders>
              <w:top w:val="single" w:color="auto" w:sz="4" w:space="0"/>
              <w:left w:val="single" w:color="auto" w:sz="4" w:space="0"/>
              <w:bottom w:val="single" w:color="auto" w:sz="4" w:space="0"/>
              <w:right w:val="single" w:color="auto" w:sz="4" w:space="0"/>
            </w:tcBorders>
            <w:vAlign w:val="center"/>
          </w:tcPr>
          <w:p w14:paraId="0415C1AD">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0.8</w:t>
            </w:r>
          </w:p>
        </w:tc>
        <w:tc>
          <w:tcPr>
            <w:tcW w:w="2840" w:type="dxa"/>
            <w:tcBorders>
              <w:top w:val="single" w:color="auto" w:sz="4" w:space="0"/>
              <w:left w:val="single" w:color="auto" w:sz="4" w:space="0"/>
              <w:bottom w:val="single" w:color="auto" w:sz="4" w:space="0"/>
              <w:right w:val="single" w:color="auto" w:sz="4" w:space="0"/>
            </w:tcBorders>
            <w:vAlign w:val="center"/>
          </w:tcPr>
          <w:p w14:paraId="3DADCD16">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1.2</w:t>
            </w:r>
          </w:p>
        </w:tc>
      </w:tr>
    </w:tbl>
    <w:p w14:paraId="6BB88084">
      <w:pPr>
        <w:snapToGrid w:val="0"/>
        <w:spacing w:line="400" w:lineRule="exact"/>
        <w:ind w:firstLine="420" w:firstLineChars="200"/>
        <w:rPr>
          <w:rFonts w:hint="eastAsia" w:ascii="宋体" w:hAnsi="宋体" w:cs="宋体"/>
          <w:color w:val="000000"/>
          <w:szCs w:val="21"/>
        </w:rPr>
      </w:pPr>
    </w:p>
    <w:p w14:paraId="414B2393">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DLG 高程中误差不得大于下表的规定：</w:t>
      </w:r>
    </w:p>
    <w:p w14:paraId="1AA43166">
      <w:pPr>
        <w:autoSpaceDE w:val="0"/>
        <w:autoSpaceDN w:val="0"/>
        <w:adjustRightInd w:val="0"/>
        <w:spacing w:line="400" w:lineRule="exact"/>
        <w:jc w:val="center"/>
        <w:rPr>
          <w:rFonts w:hint="eastAsia" w:ascii="宋体" w:hAnsi="宋体" w:cs="宋体"/>
          <w:bCs/>
          <w:color w:val="000000"/>
          <w:kern w:val="0"/>
          <w:szCs w:val="21"/>
        </w:rPr>
      </w:pPr>
      <w:r>
        <w:rPr>
          <w:rFonts w:hint="eastAsia" w:ascii="宋体" w:hAnsi="宋体" w:cs="宋体"/>
          <w:bCs/>
          <w:color w:val="000000"/>
          <w:kern w:val="0"/>
          <w:szCs w:val="21"/>
        </w:rPr>
        <w:t>DLG 高程中误差</w:t>
      </w:r>
    </w:p>
    <w:p w14:paraId="6B543A0E">
      <w:pPr>
        <w:autoSpaceDE w:val="0"/>
        <w:autoSpaceDN w:val="0"/>
        <w:adjustRightInd w:val="0"/>
        <w:spacing w:line="400" w:lineRule="exact"/>
        <w:jc w:val="center"/>
        <w:rPr>
          <w:rFonts w:hint="eastAsia" w:ascii="宋体" w:hAnsi="宋体" w:cs="宋体"/>
          <w:bCs/>
          <w:color w:val="000000"/>
          <w:kern w:val="0"/>
          <w:szCs w:val="21"/>
        </w:rPr>
      </w:pPr>
      <w:r>
        <w:rPr>
          <w:rFonts w:hint="eastAsia" w:ascii="宋体" w:hAnsi="宋体" w:cs="宋体"/>
          <w:bCs/>
          <w:color w:val="000000"/>
          <w:kern w:val="0"/>
          <w:szCs w:val="21"/>
        </w:rPr>
        <w:t xml:space="preserve">                                                                   单位：m</w:t>
      </w:r>
    </w:p>
    <w:tbl>
      <w:tblPr>
        <w:tblStyle w:val="1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608"/>
        <w:gridCol w:w="1608"/>
        <w:gridCol w:w="1608"/>
        <w:gridCol w:w="1609"/>
      </w:tblGrid>
      <w:tr w14:paraId="217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391906FA">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地形类别(等高距）</w:t>
            </w:r>
          </w:p>
        </w:tc>
        <w:tc>
          <w:tcPr>
            <w:tcW w:w="1608" w:type="dxa"/>
            <w:tcBorders>
              <w:top w:val="single" w:color="auto" w:sz="4" w:space="0"/>
              <w:left w:val="single" w:color="auto" w:sz="4" w:space="0"/>
              <w:bottom w:val="single" w:color="auto" w:sz="4" w:space="0"/>
              <w:right w:val="single" w:color="auto" w:sz="4" w:space="0"/>
            </w:tcBorders>
            <w:vAlign w:val="center"/>
          </w:tcPr>
          <w:p w14:paraId="77E84382">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平地（1m）</w:t>
            </w:r>
          </w:p>
        </w:tc>
        <w:tc>
          <w:tcPr>
            <w:tcW w:w="1608" w:type="dxa"/>
            <w:tcBorders>
              <w:top w:val="single" w:color="auto" w:sz="4" w:space="0"/>
              <w:left w:val="single" w:color="auto" w:sz="4" w:space="0"/>
              <w:bottom w:val="single" w:color="auto" w:sz="4" w:space="0"/>
              <w:right w:val="single" w:color="auto" w:sz="4" w:space="0"/>
            </w:tcBorders>
            <w:vAlign w:val="center"/>
          </w:tcPr>
          <w:p w14:paraId="6A18044F">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丘陵地（1m）</w:t>
            </w:r>
          </w:p>
        </w:tc>
        <w:tc>
          <w:tcPr>
            <w:tcW w:w="1608" w:type="dxa"/>
            <w:tcBorders>
              <w:top w:val="single" w:color="auto" w:sz="4" w:space="0"/>
              <w:left w:val="single" w:color="auto" w:sz="4" w:space="0"/>
              <w:bottom w:val="single" w:color="auto" w:sz="4" w:space="0"/>
              <w:right w:val="single" w:color="auto" w:sz="4" w:space="0"/>
            </w:tcBorders>
            <w:vAlign w:val="center"/>
          </w:tcPr>
          <w:p w14:paraId="447F1E37">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山地（2m）</w:t>
            </w:r>
          </w:p>
        </w:tc>
        <w:tc>
          <w:tcPr>
            <w:tcW w:w="1609" w:type="dxa"/>
            <w:tcBorders>
              <w:top w:val="single" w:color="auto" w:sz="4" w:space="0"/>
              <w:left w:val="single" w:color="auto" w:sz="4" w:space="0"/>
              <w:bottom w:val="single" w:color="auto" w:sz="4" w:space="0"/>
              <w:right w:val="single" w:color="auto" w:sz="4" w:space="0"/>
            </w:tcBorders>
            <w:vAlign w:val="center"/>
          </w:tcPr>
          <w:p w14:paraId="13F998BC">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高山地（2m）</w:t>
            </w:r>
          </w:p>
        </w:tc>
      </w:tr>
      <w:tr w14:paraId="6FF5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2D1F4B4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加密点</w:t>
            </w:r>
          </w:p>
        </w:tc>
        <w:tc>
          <w:tcPr>
            <w:tcW w:w="1608" w:type="dxa"/>
            <w:tcBorders>
              <w:top w:val="single" w:color="auto" w:sz="4" w:space="0"/>
              <w:left w:val="single" w:color="auto" w:sz="4" w:space="0"/>
              <w:bottom w:val="single" w:color="auto" w:sz="4" w:space="0"/>
              <w:right w:val="single" w:color="auto" w:sz="4" w:space="0"/>
            </w:tcBorders>
            <w:vAlign w:val="center"/>
          </w:tcPr>
          <w:p w14:paraId="4B63025D">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0.28</w:t>
            </w:r>
          </w:p>
        </w:tc>
        <w:tc>
          <w:tcPr>
            <w:tcW w:w="1608" w:type="dxa"/>
            <w:tcBorders>
              <w:top w:val="single" w:color="auto" w:sz="4" w:space="0"/>
              <w:left w:val="single" w:color="auto" w:sz="4" w:space="0"/>
              <w:bottom w:val="single" w:color="auto" w:sz="4" w:space="0"/>
              <w:right w:val="single" w:color="auto" w:sz="4" w:space="0"/>
            </w:tcBorders>
            <w:vAlign w:val="center"/>
          </w:tcPr>
          <w:p w14:paraId="53FFBFE2">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0.35</w:t>
            </w:r>
          </w:p>
        </w:tc>
        <w:tc>
          <w:tcPr>
            <w:tcW w:w="1608" w:type="dxa"/>
            <w:tcBorders>
              <w:top w:val="single" w:color="auto" w:sz="4" w:space="0"/>
              <w:left w:val="single" w:color="auto" w:sz="4" w:space="0"/>
              <w:bottom w:val="single" w:color="auto" w:sz="4" w:space="0"/>
              <w:right w:val="single" w:color="auto" w:sz="4" w:space="0"/>
            </w:tcBorders>
            <w:vAlign w:val="center"/>
          </w:tcPr>
          <w:p w14:paraId="18739759">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0.80</w:t>
            </w:r>
          </w:p>
        </w:tc>
        <w:tc>
          <w:tcPr>
            <w:tcW w:w="1609" w:type="dxa"/>
            <w:tcBorders>
              <w:top w:val="single" w:color="auto" w:sz="4" w:space="0"/>
              <w:left w:val="single" w:color="auto" w:sz="4" w:space="0"/>
              <w:bottom w:val="single" w:color="auto" w:sz="4" w:space="0"/>
              <w:right w:val="single" w:color="auto" w:sz="4" w:space="0"/>
            </w:tcBorders>
            <w:vAlign w:val="center"/>
          </w:tcPr>
          <w:p w14:paraId="357B16ED">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1.20</w:t>
            </w:r>
          </w:p>
        </w:tc>
      </w:tr>
      <w:tr w14:paraId="7E0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14F595F1">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高程注记点</w:t>
            </w:r>
          </w:p>
        </w:tc>
        <w:tc>
          <w:tcPr>
            <w:tcW w:w="1608" w:type="dxa"/>
            <w:tcBorders>
              <w:top w:val="single" w:color="auto" w:sz="4" w:space="0"/>
              <w:left w:val="single" w:color="auto" w:sz="4" w:space="0"/>
              <w:bottom w:val="single" w:color="auto" w:sz="4" w:space="0"/>
              <w:right w:val="single" w:color="auto" w:sz="4" w:space="0"/>
            </w:tcBorders>
            <w:vAlign w:val="center"/>
          </w:tcPr>
          <w:p w14:paraId="210B2A78">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0.40</w:t>
            </w:r>
          </w:p>
        </w:tc>
        <w:tc>
          <w:tcPr>
            <w:tcW w:w="1608" w:type="dxa"/>
            <w:tcBorders>
              <w:top w:val="single" w:color="auto" w:sz="4" w:space="0"/>
              <w:left w:val="single" w:color="auto" w:sz="4" w:space="0"/>
              <w:bottom w:val="single" w:color="auto" w:sz="4" w:space="0"/>
              <w:right w:val="single" w:color="auto" w:sz="4" w:space="0"/>
            </w:tcBorders>
            <w:vAlign w:val="center"/>
          </w:tcPr>
          <w:p w14:paraId="5539ACC2">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0.50</w:t>
            </w:r>
          </w:p>
        </w:tc>
        <w:tc>
          <w:tcPr>
            <w:tcW w:w="1608" w:type="dxa"/>
            <w:tcBorders>
              <w:top w:val="single" w:color="auto" w:sz="4" w:space="0"/>
              <w:left w:val="single" w:color="auto" w:sz="4" w:space="0"/>
              <w:bottom w:val="single" w:color="auto" w:sz="4" w:space="0"/>
              <w:right w:val="single" w:color="auto" w:sz="4" w:space="0"/>
            </w:tcBorders>
            <w:vAlign w:val="center"/>
          </w:tcPr>
          <w:p w14:paraId="32D7282A">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1.20</w:t>
            </w:r>
          </w:p>
        </w:tc>
        <w:tc>
          <w:tcPr>
            <w:tcW w:w="1609" w:type="dxa"/>
            <w:tcBorders>
              <w:top w:val="single" w:color="auto" w:sz="4" w:space="0"/>
              <w:left w:val="single" w:color="auto" w:sz="4" w:space="0"/>
              <w:bottom w:val="single" w:color="auto" w:sz="4" w:space="0"/>
              <w:right w:val="single" w:color="auto" w:sz="4" w:space="0"/>
            </w:tcBorders>
            <w:vAlign w:val="center"/>
          </w:tcPr>
          <w:p w14:paraId="21E9FCB4">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1.50</w:t>
            </w:r>
          </w:p>
        </w:tc>
      </w:tr>
      <w:tr w14:paraId="5FC6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650BBFB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等高线</w:t>
            </w:r>
          </w:p>
        </w:tc>
        <w:tc>
          <w:tcPr>
            <w:tcW w:w="1608" w:type="dxa"/>
            <w:tcBorders>
              <w:top w:val="single" w:color="auto" w:sz="4" w:space="0"/>
              <w:left w:val="single" w:color="auto" w:sz="4" w:space="0"/>
              <w:bottom w:val="single" w:color="auto" w:sz="4" w:space="0"/>
              <w:right w:val="single" w:color="auto" w:sz="4" w:space="0"/>
            </w:tcBorders>
            <w:vAlign w:val="center"/>
          </w:tcPr>
          <w:p w14:paraId="2728731B">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w:t>
            </w:r>
          </w:p>
        </w:tc>
        <w:tc>
          <w:tcPr>
            <w:tcW w:w="1608" w:type="dxa"/>
            <w:tcBorders>
              <w:top w:val="single" w:color="auto" w:sz="4" w:space="0"/>
              <w:left w:val="single" w:color="auto" w:sz="4" w:space="0"/>
              <w:bottom w:val="single" w:color="auto" w:sz="4" w:space="0"/>
              <w:right w:val="single" w:color="auto" w:sz="4" w:space="0"/>
            </w:tcBorders>
            <w:vAlign w:val="center"/>
          </w:tcPr>
          <w:p w14:paraId="3AFA2509">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0.70</w:t>
            </w:r>
          </w:p>
        </w:tc>
        <w:tc>
          <w:tcPr>
            <w:tcW w:w="1608" w:type="dxa"/>
            <w:tcBorders>
              <w:top w:val="single" w:color="auto" w:sz="4" w:space="0"/>
              <w:left w:val="single" w:color="auto" w:sz="4" w:space="0"/>
              <w:bottom w:val="single" w:color="auto" w:sz="4" w:space="0"/>
              <w:right w:val="single" w:color="auto" w:sz="4" w:space="0"/>
            </w:tcBorders>
            <w:vAlign w:val="center"/>
          </w:tcPr>
          <w:p w14:paraId="69A76FCC">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1.50</w:t>
            </w:r>
          </w:p>
        </w:tc>
        <w:tc>
          <w:tcPr>
            <w:tcW w:w="1609" w:type="dxa"/>
            <w:tcBorders>
              <w:top w:val="single" w:color="auto" w:sz="4" w:space="0"/>
              <w:left w:val="single" w:color="auto" w:sz="4" w:space="0"/>
              <w:bottom w:val="single" w:color="auto" w:sz="4" w:space="0"/>
              <w:right w:val="single" w:color="auto" w:sz="4" w:space="0"/>
            </w:tcBorders>
            <w:vAlign w:val="center"/>
          </w:tcPr>
          <w:p w14:paraId="16A7D395">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2.00</w:t>
            </w:r>
          </w:p>
        </w:tc>
      </w:tr>
    </w:tbl>
    <w:p w14:paraId="0BDC8B6C">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平地不绘等高线；大面积的植被密集覆盖区域、阴影区域等困难地区的平面和高程中误差可按规定放宽1/2。最大允许误差为两倍中误差。</w:t>
      </w:r>
    </w:p>
    <w:p w14:paraId="22E0AA98">
      <w:pPr>
        <w:pStyle w:val="4"/>
        <w:spacing w:before="20" w:after="20" w:line="340" w:lineRule="exac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七、产品规格</w:t>
      </w:r>
    </w:p>
    <w:p w14:paraId="7C199804">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（一）1:2000（DLG）成果规格</w:t>
      </w:r>
    </w:p>
    <w:p w14:paraId="7BD408E9">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1、图幅分幅与编号</w:t>
      </w:r>
    </w:p>
    <w:p w14:paraId="5A669F8F">
      <w:pPr>
        <w:tabs>
          <w:tab w:val="left" w:pos="780"/>
        </w:tabs>
        <w:spacing w:line="400" w:lineRule="exact"/>
        <w:ind w:firstLine="525" w:firstLineChars="250"/>
        <w:rPr>
          <w:rFonts w:hint="eastAsia" w:ascii="宋体" w:hAnsi="宋体" w:cs="宋体"/>
          <w:color w:val="000000"/>
          <w:szCs w:val="21"/>
        </w:rPr>
      </w:pPr>
      <w:r>
        <w:rPr>
          <w:rFonts w:hint="eastAsia" w:ascii="宋体" w:hAnsi="宋体" w:cs="宋体"/>
          <w:color w:val="000000"/>
          <w:szCs w:val="21"/>
        </w:rPr>
        <w:t>DLG产品成果按正方形分幅，图幅规格为50cm×50cm，全省统一分幅，图幅编号为投影带号+“-”+图幅西南角点坐标公里数，X在先，Y在后，中间加横杠，如40-3282-450，图名取图内最有代表性的名称。</w:t>
      </w:r>
    </w:p>
    <w:p w14:paraId="61E1E6E7">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2、 数字线划图（DLG）</w:t>
      </w:r>
    </w:p>
    <w:p w14:paraId="5AF51F76">
      <w:pPr>
        <w:tabs>
          <w:tab w:val="left" w:pos="7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数据格式为AutoCAD2004 版本*.dwg。</w:t>
      </w:r>
    </w:p>
    <w:p w14:paraId="2E95541A">
      <w:pPr>
        <w:tabs>
          <w:tab w:val="left" w:pos="7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地物为二维信息（X、Y），地貌高程点及等高线为三维信息（X、Y、Z（标高））。</w:t>
      </w:r>
    </w:p>
    <w:p w14:paraId="7EDE3671">
      <w:pPr>
        <w:tabs>
          <w:tab w:val="left" w:pos="7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文件名按比例尺代码+产品类别+图幅编号命名（IDLG40-3282-450）。</w:t>
      </w:r>
    </w:p>
    <w:p w14:paraId="59B17EFD">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3、基础地理信息数据库</w:t>
      </w:r>
    </w:p>
    <w:p w14:paraId="63374BA6">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数据格式：DLG产品库体成果为ArcGIS 10.2版本*.GDB格式。</w:t>
      </w:r>
    </w:p>
    <w:p w14:paraId="6F54344A">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DLG 采用空间地理数据库形式存储。</w:t>
      </w:r>
    </w:p>
    <w:p w14:paraId="4D20159F">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数据库命名方式：动态更新按比例尺代码+行政区划名+日期（YYYYMMDD）+“DLG数据库”命名，如“I安吉县20220101DLG数据库”。年度更新按比例尺代码+行政区划名+年份（YYYY）+“DLG数据库”命名，如“I安吉县2023DLG数据库”。</w:t>
      </w:r>
    </w:p>
    <w:p w14:paraId="1FF4BA0D">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4、元数据</w:t>
      </w:r>
    </w:p>
    <w:p w14:paraId="1E1C487D">
      <w:pPr>
        <w:autoSpaceDN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数据格式：ArcGIS10.2 版本*.SHP 格式。</w:t>
      </w:r>
    </w:p>
    <w:p w14:paraId="2F735990">
      <w:pPr>
        <w:autoSpaceDN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坐标系：2000国家大地坐标系（地理坐标）。</w:t>
      </w:r>
    </w:p>
    <w:p w14:paraId="6B555352">
      <w:pPr>
        <w:autoSpaceDN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存储形式：按行政区域或要素采集。</w:t>
      </w:r>
    </w:p>
    <w:p w14:paraId="3B480428">
      <w:pPr>
        <w:autoSpaceDN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 文件命名：数据库级元数据按“I”+行政区划名+年份（YYYY）+元数据类别命名；要素级元数据按“I”+行政区划名+日期（YYYYMMDD）+元数据类别命名。</w:t>
      </w:r>
    </w:p>
    <w:p w14:paraId="27E5A8B6">
      <w:pPr>
        <w:pStyle w:val="4"/>
        <w:spacing w:before="20" w:after="20" w:line="340" w:lineRule="exac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八、技术要求</w:t>
      </w:r>
    </w:p>
    <w:p w14:paraId="60409C41">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1、像控点测量技术要求</w:t>
      </w:r>
    </w:p>
    <w:p w14:paraId="2037F92D">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像控点测量一般按CH/T 3006-2011《数字航空摄影测量控制测量规范》要求执行，本项目具体测量及检测要求如下：</w:t>
      </w:r>
    </w:p>
    <w:p w14:paraId="7185D79B">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1）所有像片控制点都按平高点进行测量。</w:t>
      </w:r>
    </w:p>
    <w:p w14:paraId="4A3A3095">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2）像片控制点可利用</w:t>
      </w:r>
      <w:r>
        <w:rPr>
          <w:rFonts w:hint="eastAsia" w:ascii="宋体" w:hAnsi="宋体" w:cs="宋体"/>
          <w:color w:val="000000"/>
          <w:kern w:val="0"/>
          <w:szCs w:val="21"/>
        </w:rPr>
        <w:t>浙江省卫星导航定位基准服务</w:t>
      </w:r>
      <w:r>
        <w:rPr>
          <w:rFonts w:hint="eastAsia" w:ascii="宋体" w:hAnsi="宋体" w:cs="宋体"/>
          <w:color w:val="000000"/>
          <w:szCs w:val="21"/>
        </w:rPr>
        <w:t>按网络RTK 方式测量，困难地区应采用GNSS 静态测量，像片控制点离最近框架网点最大不能超过60 公里。</w:t>
      </w:r>
    </w:p>
    <w:p w14:paraId="7EA86016">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3）像片控制点平面、高程中误差需不大于下表要求：</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0"/>
      </w:tblGrid>
      <w:tr w14:paraId="7AD5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0BFBDCD5">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地形类别</w:t>
            </w:r>
          </w:p>
        </w:tc>
        <w:tc>
          <w:tcPr>
            <w:tcW w:w="2840" w:type="dxa"/>
            <w:tcBorders>
              <w:top w:val="single" w:color="auto" w:sz="4" w:space="0"/>
              <w:left w:val="single" w:color="auto" w:sz="4" w:space="0"/>
              <w:bottom w:val="single" w:color="auto" w:sz="4" w:space="0"/>
              <w:right w:val="single" w:color="auto" w:sz="4" w:space="0"/>
            </w:tcBorders>
            <w:vAlign w:val="center"/>
          </w:tcPr>
          <w:p w14:paraId="3745D1AF">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平地、丘陵地</w:t>
            </w:r>
          </w:p>
        </w:tc>
        <w:tc>
          <w:tcPr>
            <w:tcW w:w="2840" w:type="dxa"/>
            <w:tcBorders>
              <w:top w:val="single" w:color="auto" w:sz="4" w:space="0"/>
              <w:left w:val="single" w:color="auto" w:sz="4" w:space="0"/>
              <w:bottom w:val="single" w:color="auto" w:sz="4" w:space="0"/>
              <w:right w:val="single" w:color="auto" w:sz="4" w:space="0"/>
            </w:tcBorders>
            <w:vAlign w:val="center"/>
          </w:tcPr>
          <w:p w14:paraId="66F30CE2">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山地、高山地</w:t>
            </w:r>
          </w:p>
        </w:tc>
      </w:tr>
      <w:tr w14:paraId="7028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1130A9E5">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平面位置中误差</w:t>
            </w:r>
          </w:p>
        </w:tc>
        <w:tc>
          <w:tcPr>
            <w:tcW w:w="2840" w:type="dxa"/>
            <w:tcBorders>
              <w:top w:val="single" w:color="auto" w:sz="4" w:space="0"/>
              <w:left w:val="single" w:color="auto" w:sz="4" w:space="0"/>
              <w:bottom w:val="single" w:color="auto" w:sz="4" w:space="0"/>
              <w:right w:val="single" w:color="auto" w:sz="4" w:space="0"/>
            </w:tcBorders>
            <w:vAlign w:val="center"/>
          </w:tcPr>
          <w:p w14:paraId="7EBC0D5A">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0.10</w:t>
            </w:r>
          </w:p>
        </w:tc>
        <w:tc>
          <w:tcPr>
            <w:tcW w:w="2840" w:type="dxa"/>
            <w:tcBorders>
              <w:top w:val="single" w:color="auto" w:sz="4" w:space="0"/>
              <w:left w:val="single" w:color="auto" w:sz="4" w:space="0"/>
              <w:bottom w:val="single" w:color="auto" w:sz="4" w:space="0"/>
              <w:right w:val="single" w:color="auto" w:sz="4" w:space="0"/>
            </w:tcBorders>
            <w:vAlign w:val="center"/>
          </w:tcPr>
          <w:p w14:paraId="6C4D341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0.20</w:t>
            </w:r>
          </w:p>
        </w:tc>
      </w:tr>
      <w:tr w14:paraId="1415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14:paraId="49838ACD">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高程中误差</w:t>
            </w:r>
          </w:p>
        </w:tc>
        <w:tc>
          <w:tcPr>
            <w:tcW w:w="2840" w:type="dxa"/>
            <w:tcBorders>
              <w:top w:val="single" w:color="auto" w:sz="4" w:space="0"/>
              <w:left w:val="single" w:color="auto" w:sz="4" w:space="0"/>
              <w:bottom w:val="single" w:color="auto" w:sz="4" w:space="0"/>
              <w:right w:val="single" w:color="auto" w:sz="4" w:space="0"/>
            </w:tcBorders>
            <w:vAlign w:val="center"/>
          </w:tcPr>
          <w:p w14:paraId="06C01BAD">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0.10</w:t>
            </w:r>
          </w:p>
        </w:tc>
        <w:tc>
          <w:tcPr>
            <w:tcW w:w="2840" w:type="dxa"/>
            <w:tcBorders>
              <w:top w:val="single" w:color="auto" w:sz="4" w:space="0"/>
              <w:left w:val="single" w:color="auto" w:sz="4" w:space="0"/>
              <w:bottom w:val="single" w:color="auto" w:sz="4" w:space="0"/>
              <w:right w:val="single" w:color="auto" w:sz="4" w:space="0"/>
            </w:tcBorders>
            <w:vAlign w:val="center"/>
          </w:tcPr>
          <w:p w14:paraId="3195A88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0.20</w:t>
            </w:r>
          </w:p>
        </w:tc>
      </w:tr>
    </w:tbl>
    <w:p w14:paraId="69088F0A">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大面积山林地区像控点中误差要求可放宽0.5 倍，两倍中误差为最大误差。</w:t>
      </w:r>
    </w:p>
    <w:p w14:paraId="4403EC24">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 像片控制点的 RTK 单次观测的平面收敛精度应≤1.5cm，高程收敛精度应≤2cm，测量时间不少于20 个历元。采用GNSS 静态测量时，以距离远近确定测量时长，最少测量时长30 分钟。</w:t>
      </w:r>
    </w:p>
    <w:p w14:paraId="66C153C7">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 像控点测量时需采用对中杆，确保气泡居中，所有量距包括仪器高等量测取位至0.01m。</w:t>
      </w:r>
    </w:p>
    <w:p w14:paraId="038475AE">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 像片控制点和基准面不在同一平面时，应量注比高至0.01m；当点位周围不等高时，须标注比高量注的位置。</w:t>
      </w:r>
    </w:p>
    <w:p w14:paraId="1B455F16">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 GNSS 观测获得的控制点坐标可利用精化似大地水准面成果进行高程异常改正。</w:t>
      </w:r>
    </w:p>
    <w:p w14:paraId="16304EC4">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2、空中三角测量技术要求</w:t>
      </w:r>
    </w:p>
    <w:p w14:paraId="6AD431E2">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本项目采用区域网空三加密方法。通过光束法平差输出空中三角测量成果，成果需满足立体测图的要求。</w:t>
      </w:r>
    </w:p>
    <w:p w14:paraId="7DE9FFFE">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相对定向精度不大于下表要求。</w:t>
      </w:r>
    </w:p>
    <w:tbl>
      <w:tblPr>
        <w:tblStyle w:val="1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840"/>
        <w:gridCol w:w="3073"/>
      </w:tblGrid>
      <w:tr w14:paraId="3E29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14:paraId="7C2D12F1">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影像类型</w:t>
            </w:r>
          </w:p>
        </w:tc>
        <w:tc>
          <w:tcPr>
            <w:tcW w:w="2840" w:type="dxa"/>
            <w:tcBorders>
              <w:top w:val="single" w:color="auto" w:sz="4" w:space="0"/>
              <w:left w:val="single" w:color="auto" w:sz="4" w:space="0"/>
              <w:bottom w:val="single" w:color="auto" w:sz="4" w:space="0"/>
              <w:right w:val="single" w:color="auto" w:sz="4" w:space="0"/>
            </w:tcBorders>
            <w:vAlign w:val="center"/>
          </w:tcPr>
          <w:p w14:paraId="4AC7D721">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连接点上下视差中误差</w:t>
            </w:r>
          </w:p>
        </w:tc>
        <w:tc>
          <w:tcPr>
            <w:tcW w:w="3073" w:type="dxa"/>
            <w:tcBorders>
              <w:top w:val="single" w:color="auto" w:sz="4" w:space="0"/>
              <w:left w:val="single" w:color="auto" w:sz="4" w:space="0"/>
              <w:bottom w:val="single" w:color="auto" w:sz="4" w:space="0"/>
              <w:right w:val="single" w:color="auto" w:sz="4" w:space="0"/>
            </w:tcBorders>
            <w:vAlign w:val="center"/>
          </w:tcPr>
          <w:p w14:paraId="229AF2A5">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连接点上下视差最大残差</w:t>
            </w:r>
          </w:p>
        </w:tc>
      </w:tr>
      <w:tr w14:paraId="0213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14:paraId="54D004D3">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数码航摄影像</w:t>
            </w:r>
          </w:p>
        </w:tc>
        <w:tc>
          <w:tcPr>
            <w:tcW w:w="2840" w:type="dxa"/>
            <w:tcBorders>
              <w:top w:val="single" w:color="auto" w:sz="4" w:space="0"/>
              <w:left w:val="single" w:color="auto" w:sz="4" w:space="0"/>
              <w:bottom w:val="single" w:color="auto" w:sz="4" w:space="0"/>
              <w:right w:val="single" w:color="auto" w:sz="4" w:space="0"/>
            </w:tcBorders>
            <w:vAlign w:val="center"/>
          </w:tcPr>
          <w:p w14:paraId="1676C0D4">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1/3 像素</w:t>
            </w:r>
          </w:p>
        </w:tc>
        <w:tc>
          <w:tcPr>
            <w:tcW w:w="3073" w:type="dxa"/>
            <w:tcBorders>
              <w:top w:val="single" w:color="auto" w:sz="4" w:space="0"/>
              <w:left w:val="single" w:color="auto" w:sz="4" w:space="0"/>
              <w:bottom w:val="single" w:color="auto" w:sz="4" w:space="0"/>
              <w:right w:val="single" w:color="auto" w:sz="4" w:space="0"/>
            </w:tcBorders>
            <w:vAlign w:val="center"/>
          </w:tcPr>
          <w:p w14:paraId="11E5C860">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2/3 像素</w:t>
            </w:r>
          </w:p>
        </w:tc>
      </w:tr>
    </w:tbl>
    <w:p w14:paraId="5A6AC350">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2）模型连接较差按以下公式执行。</w:t>
      </w:r>
    </w:p>
    <w:p w14:paraId="32955B10">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rPr>
        <w:drawing>
          <wp:anchor distT="0" distB="0" distL="114300" distR="114300" simplePos="0" relativeHeight="251660288" behindDoc="0" locked="0" layoutInCell="1" allowOverlap="1">
            <wp:simplePos x="0" y="0"/>
            <wp:positionH relativeFrom="column">
              <wp:posOffset>881380</wp:posOffset>
            </wp:positionH>
            <wp:positionV relativeFrom="paragraph">
              <wp:posOffset>67310</wp:posOffset>
            </wp:positionV>
            <wp:extent cx="2515235" cy="803910"/>
            <wp:effectExtent l="0" t="0" r="18415" b="15240"/>
            <wp:wrapTopAndBottom/>
            <wp:docPr id="3"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pic:cNvPicPr>
                      <a:picLocks noChangeAspect="1"/>
                    </pic:cNvPicPr>
                  </pic:nvPicPr>
                  <pic:blipFill>
                    <a:blip r:embed="rId5"/>
                    <a:stretch>
                      <a:fillRect/>
                    </a:stretch>
                  </pic:blipFill>
                  <pic:spPr>
                    <a:xfrm>
                      <a:off x="0" y="0"/>
                      <a:ext cx="2515235" cy="803910"/>
                    </a:xfrm>
                    <a:prstGeom prst="rect">
                      <a:avLst/>
                    </a:prstGeom>
                    <a:noFill/>
                    <a:ln>
                      <a:noFill/>
                    </a:ln>
                  </pic:spPr>
                </pic:pic>
              </a:graphicData>
            </a:graphic>
          </wp:anchor>
        </w:drawing>
      </w:r>
      <w:r>
        <w:rPr>
          <w:rFonts w:hint="eastAsia" w:ascii="宋体" w:hAnsi="宋体" w:cs="宋体"/>
          <w:color w:val="000000"/>
          <w:sz w:val="22"/>
          <w:szCs w:val="22"/>
        </w:rPr>
        <w:t>式中：ΔS（m）为平面较差；ΔZ（m）为高程较差；b为像片基线，单位mm；M</w:t>
      </w:r>
      <w:r>
        <w:rPr>
          <w:rFonts w:hint="eastAsia" w:ascii="宋体" w:hAnsi="宋体" w:cs="宋体"/>
          <w:color w:val="000000"/>
          <w:sz w:val="22"/>
          <w:szCs w:val="22"/>
          <w:vertAlign w:val="subscript"/>
        </w:rPr>
        <w:t>像</w:t>
      </w:r>
      <w:r>
        <w:rPr>
          <w:rFonts w:hint="eastAsia" w:ascii="宋体" w:hAnsi="宋体" w:cs="宋体"/>
          <w:color w:val="000000"/>
          <w:sz w:val="22"/>
          <w:szCs w:val="22"/>
        </w:rPr>
        <w:t>为像片比例尺分母；f</w:t>
      </w:r>
      <w:r>
        <w:rPr>
          <w:rFonts w:hint="eastAsia" w:ascii="宋体" w:hAnsi="宋体" w:cs="宋体"/>
          <w:color w:val="000000"/>
          <w:sz w:val="22"/>
          <w:szCs w:val="22"/>
          <w:vertAlign w:val="subscript"/>
        </w:rPr>
        <w:t>k</w:t>
      </w:r>
      <w:r>
        <w:rPr>
          <w:rFonts w:hint="eastAsia" w:ascii="宋体" w:hAnsi="宋体" w:cs="宋体"/>
          <w:color w:val="000000"/>
          <w:sz w:val="22"/>
          <w:szCs w:val="22"/>
        </w:rPr>
        <w:t>为相机焦距，单位mm。</w:t>
      </w:r>
    </w:p>
    <w:p w14:paraId="0BF75459">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3）绝对定向后基本定向点残差，多余控制点不符值，公共点较差按下表执行。</w:t>
      </w:r>
    </w:p>
    <w:p w14:paraId="344CE74D">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cs="宋体"/>
          <w:color w:val="000000"/>
          <w:szCs w:val="21"/>
        </w:rPr>
      </w:pPr>
      <w:r>
        <w:rPr>
          <w:rFonts w:hint="eastAsia" w:ascii="宋体" w:hAnsi="宋体" w:cs="宋体"/>
          <w:color w:val="000000"/>
          <w:szCs w:val="21"/>
        </w:rPr>
        <w:t>基本定向点残差、多余控制点不符值、公共点较差的限差</w:t>
      </w:r>
    </w:p>
    <w:p w14:paraId="75BD4FA9">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cs="宋体"/>
          <w:color w:val="000000"/>
          <w:szCs w:val="21"/>
        </w:rPr>
      </w:pPr>
      <w:r>
        <w:rPr>
          <w:rFonts w:hint="eastAsia" w:ascii="宋体" w:hAnsi="宋体" w:cs="宋体"/>
          <w:color w:val="000000"/>
          <w:szCs w:val="21"/>
        </w:rPr>
        <w:t xml:space="preserve">                                                             单位：m</w:t>
      </w:r>
    </w:p>
    <w:tbl>
      <w:tblPr>
        <w:tblStyle w:val="1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453"/>
        <w:gridCol w:w="1244"/>
        <w:gridCol w:w="1453"/>
        <w:gridCol w:w="1138"/>
        <w:gridCol w:w="1121"/>
        <w:gridCol w:w="992"/>
      </w:tblGrid>
      <w:tr w14:paraId="0FEA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14:paraId="65952DDA">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地形</w:t>
            </w:r>
          </w:p>
          <w:p w14:paraId="3908A026">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类别</w:t>
            </w:r>
          </w:p>
        </w:tc>
        <w:tc>
          <w:tcPr>
            <w:tcW w:w="2697" w:type="dxa"/>
            <w:gridSpan w:val="2"/>
            <w:tcBorders>
              <w:top w:val="single" w:color="auto" w:sz="4" w:space="0"/>
              <w:left w:val="single" w:color="auto" w:sz="4" w:space="0"/>
              <w:bottom w:val="single" w:color="auto" w:sz="4" w:space="0"/>
              <w:right w:val="single" w:color="auto" w:sz="4" w:space="0"/>
            </w:tcBorders>
            <w:vAlign w:val="center"/>
          </w:tcPr>
          <w:p w14:paraId="39FE60EE">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基本定向点残差</w:t>
            </w:r>
          </w:p>
        </w:tc>
        <w:tc>
          <w:tcPr>
            <w:tcW w:w="2591" w:type="dxa"/>
            <w:gridSpan w:val="2"/>
            <w:tcBorders>
              <w:top w:val="single" w:color="auto" w:sz="4" w:space="0"/>
              <w:left w:val="single" w:color="auto" w:sz="4" w:space="0"/>
              <w:bottom w:val="single" w:color="auto" w:sz="4" w:space="0"/>
              <w:right w:val="single" w:color="auto" w:sz="4" w:space="0"/>
            </w:tcBorders>
            <w:vAlign w:val="center"/>
          </w:tcPr>
          <w:p w14:paraId="2A87D0DF">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多余点不符值</w:t>
            </w:r>
          </w:p>
        </w:tc>
        <w:tc>
          <w:tcPr>
            <w:tcW w:w="2113" w:type="dxa"/>
            <w:gridSpan w:val="2"/>
            <w:tcBorders>
              <w:top w:val="single" w:color="auto" w:sz="4" w:space="0"/>
              <w:left w:val="single" w:color="auto" w:sz="4" w:space="0"/>
              <w:bottom w:val="single" w:color="auto" w:sz="4" w:space="0"/>
              <w:right w:val="single" w:color="auto" w:sz="4" w:space="0"/>
            </w:tcBorders>
            <w:vAlign w:val="center"/>
          </w:tcPr>
          <w:p w14:paraId="49FD9C47">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公共点较差</w:t>
            </w:r>
          </w:p>
        </w:tc>
      </w:tr>
      <w:tr w14:paraId="5CF0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14:paraId="08FF80A5">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color w:val="000000"/>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2583994">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平面</w:t>
            </w:r>
          </w:p>
        </w:tc>
        <w:tc>
          <w:tcPr>
            <w:tcW w:w="1244" w:type="dxa"/>
            <w:tcBorders>
              <w:top w:val="single" w:color="auto" w:sz="4" w:space="0"/>
              <w:left w:val="single" w:color="auto" w:sz="4" w:space="0"/>
              <w:bottom w:val="single" w:color="auto" w:sz="4" w:space="0"/>
              <w:right w:val="single" w:color="auto" w:sz="4" w:space="0"/>
            </w:tcBorders>
            <w:vAlign w:val="center"/>
          </w:tcPr>
          <w:p w14:paraId="55AE8D5E">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高程</w:t>
            </w:r>
          </w:p>
        </w:tc>
        <w:tc>
          <w:tcPr>
            <w:tcW w:w="1453" w:type="dxa"/>
            <w:tcBorders>
              <w:top w:val="single" w:color="auto" w:sz="4" w:space="0"/>
              <w:left w:val="single" w:color="auto" w:sz="4" w:space="0"/>
              <w:bottom w:val="single" w:color="auto" w:sz="4" w:space="0"/>
              <w:right w:val="single" w:color="auto" w:sz="4" w:space="0"/>
            </w:tcBorders>
            <w:vAlign w:val="center"/>
          </w:tcPr>
          <w:p w14:paraId="28567043">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平面</w:t>
            </w:r>
          </w:p>
        </w:tc>
        <w:tc>
          <w:tcPr>
            <w:tcW w:w="1138" w:type="dxa"/>
            <w:tcBorders>
              <w:top w:val="single" w:color="auto" w:sz="4" w:space="0"/>
              <w:left w:val="single" w:color="auto" w:sz="4" w:space="0"/>
              <w:bottom w:val="single" w:color="auto" w:sz="4" w:space="0"/>
              <w:right w:val="single" w:color="auto" w:sz="4" w:space="0"/>
            </w:tcBorders>
            <w:vAlign w:val="center"/>
          </w:tcPr>
          <w:p w14:paraId="0E112EFE">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高程</w:t>
            </w:r>
          </w:p>
        </w:tc>
        <w:tc>
          <w:tcPr>
            <w:tcW w:w="1121" w:type="dxa"/>
            <w:tcBorders>
              <w:top w:val="single" w:color="auto" w:sz="4" w:space="0"/>
              <w:left w:val="single" w:color="auto" w:sz="4" w:space="0"/>
              <w:bottom w:val="single" w:color="auto" w:sz="4" w:space="0"/>
              <w:right w:val="single" w:color="auto" w:sz="4" w:space="0"/>
            </w:tcBorders>
            <w:vAlign w:val="center"/>
          </w:tcPr>
          <w:p w14:paraId="671435CE">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平面</w:t>
            </w:r>
          </w:p>
        </w:tc>
        <w:tc>
          <w:tcPr>
            <w:tcW w:w="992" w:type="dxa"/>
            <w:tcBorders>
              <w:top w:val="single" w:color="auto" w:sz="4" w:space="0"/>
              <w:left w:val="single" w:color="auto" w:sz="4" w:space="0"/>
              <w:bottom w:val="single" w:color="auto" w:sz="4" w:space="0"/>
              <w:right w:val="single" w:color="auto" w:sz="4" w:space="0"/>
            </w:tcBorders>
            <w:vAlign w:val="center"/>
          </w:tcPr>
          <w:p w14:paraId="3F979A4A">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高程</w:t>
            </w:r>
          </w:p>
        </w:tc>
      </w:tr>
      <w:tr w14:paraId="488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2FA40FE">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平地</w:t>
            </w:r>
          </w:p>
        </w:tc>
        <w:tc>
          <w:tcPr>
            <w:tcW w:w="1453" w:type="dxa"/>
            <w:tcBorders>
              <w:top w:val="single" w:color="auto" w:sz="4" w:space="0"/>
              <w:left w:val="single" w:color="auto" w:sz="4" w:space="0"/>
              <w:bottom w:val="single" w:color="auto" w:sz="4" w:space="0"/>
              <w:right w:val="single" w:color="auto" w:sz="4" w:space="0"/>
            </w:tcBorders>
            <w:vAlign w:val="center"/>
          </w:tcPr>
          <w:p w14:paraId="0C52A0F1">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0.40</w:t>
            </w:r>
          </w:p>
        </w:tc>
        <w:tc>
          <w:tcPr>
            <w:tcW w:w="1244" w:type="dxa"/>
            <w:tcBorders>
              <w:top w:val="single" w:color="auto" w:sz="4" w:space="0"/>
              <w:left w:val="single" w:color="auto" w:sz="4" w:space="0"/>
              <w:bottom w:val="single" w:color="auto" w:sz="4" w:space="0"/>
              <w:right w:val="single" w:color="auto" w:sz="4" w:space="0"/>
            </w:tcBorders>
            <w:vAlign w:val="center"/>
          </w:tcPr>
          <w:p w14:paraId="5F87576A">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0.20</w:t>
            </w:r>
          </w:p>
        </w:tc>
        <w:tc>
          <w:tcPr>
            <w:tcW w:w="1453" w:type="dxa"/>
            <w:tcBorders>
              <w:top w:val="single" w:color="auto" w:sz="4" w:space="0"/>
              <w:left w:val="single" w:color="auto" w:sz="4" w:space="0"/>
              <w:bottom w:val="single" w:color="auto" w:sz="4" w:space="0"/>
              <w:right w:val="single" w:color="auto" w:sz="4" w:space="0"/>
            </w:tcBorders>
            <w:vAlign w:val="center"/>
          </w:tcPr>
          <w:p w14:paraId="096EAE3F">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0.60</w:t>
            </w:r>
          </w:p>
        </w:tc>
        <w:tc>
          <w:tcPr>
            <w:tcW w:w="1138" w:type="dxa"/>
            <w:tcBorders>
              <w:top w:val="single" w:color="auto" w:sz="4" w:space="0"/>
              <w:left w:val="single" w:color="auto" w:sz="4" w:space="0"/>
              <w:bottom w:val="single" w:color="auto" w:sz="4" w:space="0"/>
              <w:right w:val="single" w:color="auto" w:sz="4" w:space="0"/>
            </w:tcBorders>
            <w:vAlign w:val="center"/>
          </w:tcPr>
          <w:p w14:paraId="72F3C3B8">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0.28</w:t>
            </w:r>
          </w:p>
        </w:tc>
        <w:tc>
          <w:tcPr>
            <w:tcW w:w="1121" w:type="dxa"/>
            <w:tcBorders>
              <w:top w:val="single" w:color="auto" w:sz="4" w:space="0"/>
              <w:left w:val="single" w:color="auto" w:sz="4" w:space="0"/>
              <w:bottom w:val="single" w:color="auto" w:sz="4" w:space="0"/>
              <w:right w:val="single" w:color="auto" w:sz="4" w:space="0"/>
            </w:tcBorders>
            <w:vAlign w:val="center"/>
          </w:tcPr>
          <w:p w14:paraId="03C27BD4">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1.00</w:t>
            </w:r>
          </w:p>
        </w:tc>
        <w:tc>
          <w:tcPr>
            <w:tcW w:w="992" w:type="dxa"/>
            <w:tcBorders>
              <w:top w:val="single" w:color="auto" w:sz="4" w:space="0"/>
              <w:left w:val="single" w:color="auto" w:sz="4" w:space="0"/>
              <w:bottom w:val="single" w:color="auto" w:sz="4" w:space="0"/>
              <w:right w:val="single" w:color="auto" w:sz="4" w:space="0"/>
            </w:tcBorders>
            <w:vAlign w:val="center"/>
          </w:tcPr>
          <w:p w14:paraId="40FD6A0B">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0.56</w:t>
            </w:r>
          </w:p>
        </w:tc>
      </w:tr>
      <w:tr w14:paraId="1969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8EFE2FB">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丘陵地</w:t>
            </w:r>
          </w:p>
        </w:tc>
        <w:tc>
          <w:tcPr>
            <w:tcW w:w="1453" w:type="dxa"/>
            <w:tcBorders>
              <w:top w:val="single" w:color="auto" w:sz="4" w:space="0"/>
              <w:left w:val="single" w:color="auto" w:sz="4" w:space="0"/>
              <w:bottom w:val="single" w:color="auto" w:sz="4" w:space="0"/>
              <w:right w:val="single" w:color="auto" w:sz="4" w:space="0"/>
            </w:tcBorders>
            <w:vAlign w:val="center"/>
          </w:tcPr>
          <w:p w14:paraId="6AFB776D">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0.40</w:t>
            </w:r>
          </w:p>
        </w:tc>
        <w:tc>
          <w:tcPr>
            <w:tcW w:w="1244" w:type="dxa"/>
            <w:tcBorders>
              <w:top w:val="single" w:color="auto" w:sz="4" w:space="0"/>
              <w:left w:val="single" w:color="auto" w:sz="4" w:space="0"/>
              <w:bottom w:val="single" w:color="auto" w:sz="4" w:space="0"/>
              <w:right w:val="single" w:color="auto" w:sz="4" w:space="0"/>
            </w:tcBorders>
            <w:vAlign w:val="center"/>
          </w:tcPr>
          <w:p w14:paraId="3B1A8069">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0.26</w:t>
            </w:r>
          </w:p>
        </w:tc>
        <w:tc>
          <w:tcPr>
            <w:tcW w:w="1453" w:type="dxa"/>
            <w:tcBorders>
              <w:top w:val="single" w:color="auto" w:sz="4" w:space="0"/>
              <w:left w:val="single" w:color="auto" w:sz="4" w:space="0"/>
              <w:bottom w:val="single" w:color="auto" w:sz="4" w:space="0"/>
              <w:right w:val="single" w:color="auto" w:sz="4" w:space="0"/>
            </w:tcBorders>
            <w:vAlign w:val="center"/>
          </w:tcPr>
          <w:p w14:paraId="5C18C2EA">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0.60</w:t>
            </w:r>
          </w:p>
        </w:tc>
        <w:tc>
          <w:tcPr>
            <w:tcW w:w="1138" w:type="dxa"/>
            <w:tcBorders>
              <w:top w:val="single" w:color="auto" w:sz="4" w:space="0"/>
              <w:left w:val="single" w:color="auto" w:sz="4" w:space="0"/>
              <w:bottom w:val="single" w:color="auto" w:sz="4" w:space="0"/>
              <w:right w:val="single" w:color="auto" w:sz="4" w:space="0"/>
            </w:tcBorders>
            <w:vAlign w:val="center"/>
          </w:tcPr>
          <w:p w14:paraId="5650887C">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0.40</w:t>
            </w:r>
          </w:p>
        </w:tc>
        <w:tc>
          <w:tcPr>
            <w:tcW w:w="1121" w:type="dxa"/>
            <w:tcBorders>
              <w:top w:val="single" w:color="auto" w:sz="4" w:space="0"/>
              <w:left w:val="single" w:color="auto" w:sz="4" w:space="0"/>
              <w:bottom w:val="single" w:color="auto" w:sz="4" w:space="0"/>
              <w:right w:val="single" w:color="auto" w:sz="4" w:space="0"/>
            </w:tcBorders>
            <w:vAlign w:val="center"/>
          </w:tcPr>
          <w:p w14:paraId="2C4680C1">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1.00</w:t>
            </w:r>
          </w:p>
        </w:tc>
        <w:tc>
          <w:tcPr>
            <w:tcW w:w="992" w:type="dxa"/>
            <w:tcBorders>
              <w:top w:val="single" w:color="auto" w:sz="4" w:space="0"/>
              <w:left w:val="single" w:color="auto" w:sz="4" w:space="0"/>
              <w:bottom w:val="single" w:color="auto" w:sz="4" w:space="0"/>
              <w:right w:val="single" w:color="auto" w:sz="4" w:space="0"/>
            </w:tcBorders>
            <w:vAlign w:val="center"/>
          </w:tcPr>
          <w:p w14:paraId="11B480B8">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0.70</w:t>
            </w:r>
          </w:p>
        </w:tc>
      </w:tr>
      <w:tr w14:paraId="4BE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00BE94B">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山地</w:t>
            </w:r>
          </w:p>
        </w:tc>
        <w:tc>
          <w:tcPr>
            <w:tcW w:w="1453" w:type="dxa"/>
            <w:tcBorders>
              <w:top w:val="single" w:color="auto" w:sz="4" w:space="0"/>
              <w:left w:val="single" w:color="auto" w:sz="4" w:space="0"/>
              <w:bottom w:val="single" w:color="auto" w:sz="4" w:space="0"/>
              <w:right w:val="single" w:color="auto" w:sz="4" w:space="0"/>
            </w:tcBorders>
            <w:vAlign w:val="center"/>
          </w:tcPr>
          <w:p w14:paraId="19F83AE6">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0.60</w:t>
            </w:r>
          </w:p>
        </w:tc>
        <w:tc>
          <w:tcPr>
            <w:tcW w:w="1244" w:type="dxa"/>
            <w:tcBorders>
              <w:top w:val="single" w:color="auto" w:sz="4" w:space="0"/>
              <w:left w:val="single" w:color="auto" w:sz="4" w:space="0"/>
              <w:bottom w:val="single" w:color="auto" w:sz="4" w:space="0"/>
              <w:right w:val="single" w:color="auto" w:sz="4" w:space="0"/>
            </w:tcBorders>
            <w:vAlign w:val="center"/>
          </w:tcPr>
          <w:p w14:paraId="43C6CC3B">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0.60</w:t>
            </w:r>
          </w:p>
        </w:tc>
        <w:tc>
          <w:tcPr>
            <w:tcW w:w="1453" w:type="dxa"/>
            <w:tcBorders>
              <w:top w:val="single" w:color="auto" w:sz="4" w:space="0"/>
              <w:left w:val="single" w:color="auto" w:sz="4" w:space="0"/>
              <w:bottom w:val="single" w:color="auto" w:sz="4" w:space="0"/>
              <w:right w:val="single" w:color="auto" w:sz="4" w:space="0"/>
            </w:tcBorders>
            <w:vAlign w:val="center"/>
          </w:tcPr>
          <w:p w14:paraId="0B3EA2FD">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1.00</w:t>
            </w:r>
          </w:p>
        </w:tc>
        <w:tc>
          <w:tcPr>
            <w:tcW w:w="1138" w:type="dxa"/>
            <w:tcBorders>
              <w:top w:val="single" w:color="auto" w:sz="4" w:space="0"/>
              <w:left w:val="single" w:color="auto" w:sz="4" w:space="0"/>
              <w:bottom w:val="single" w:color="auto" w:sz="4" w:space="0"/>
              <w:right w:val="single" w:color="auto" w:sz="4" w:space="0"/>
            </w:tcBorders>
            <w:vAlign w:val="center"/>
          </w:tcPr>
          <w:p w14:paraId="0D5F1760">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1.00</w:t>
            </w:r>
          </w:p>
        </w:tc>
        <w:tc>
          <w:tcPr>
            <w:tcW w:w="1121" w:type="dxa"/>
            <w:tcBorders>
              <w:top w:val="single" w:color="auto" w:sz="4" w:space="0"/>
              <w:left w:val="single" w:color="auto" w:sz="4" w:space="0"/>
              <w:bottom w:val="single" w:color="auto" w:sz="4" w:space="0"/>
              <w:right w:val="single" w:color="auto" w:sz="4" w:space="0"/>
            </w:tcBorders>
            <w:vAlign w:val="center"/>
          </w:tcPr>
          <w:p w14:paraId="52AB8BA8">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1.60</w:t>
            </w:r>
          </w:p>
        </w:tc>
        <w:tc>
          <w:tcPr>
            <w:tcW w:w="992" w:type="dxa"/>
            <w:tcBorders>
              <w:top w:val="single" w:color="auto" w:sz="4" w:space="0"/>
              <w:left w:val="single" w:color="auto" w:sz="4" w:space="0"/>
              <w:bottom w:val="single" w:color="auto" w:sz="4" w:space="0"/>
              <w:right w:val="single" w:color="auto" w:sz="4" w:space="0"/>
            </w:tcBorders>
            <w:vAlign w:val="center"/>
          </w:tcPr>
          <w:p w14:paraId="6BA5D328">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1.60</w:t>
            </w:r>
          </w:p>
        </w:tc>
      </w:tr>
      <w:tr w14:paraId="5588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EEDBBF2">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高山地</w:t>
            </w:r>
          </w:p>
        </w:tc>
        <w:tc>
          <w:tcPr>
            <w:tcW w:w="1453" w:type="dxa"/>
            <w:tcBorders>
              <w:top w:val="single" w:color="auto" w:sz="4" w:space="0"/>
              <w:left w:val="single" w:color="auto" w:sz="4" w:space="0"/>
              <w:bottom w:val="single" w:color="auto" w:sz="4" w:space="0"/>
              <w:right w:val="single" w:color="auto" w:sz="4" w:space="0"/>
            </w:tcBorders>
            <w:vAlign w:val="center"/>
          </w:tcPr>
          <w:p w14:paraId="58F83D03">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0.60</w:t>
            </w:r>
          </w:p>
        </w:tc>
        <w:tc>
          <w:tcPr>
            <w:tcW w:w="1244" w:type="dxa"/>
            <w:tcBorders>
              <w:top w:val="single" w:color="auto" w:sz="4" w:space="0"/>
              <w:left w:val="single" w:color="auto" w:sz="4" w:space="0"/>
              <w:bottom w:val="single" w:color="auto" w:sz="4" w:space="0"/>
              <w:right w:val="single" w:color="auto" w:sz="4" w:space="0"/>
            </w:tcBorders>
            <w:vAlign w:val="center"/>
          </w:tcPr>
          <w:p w14:paraId="158E9AC5">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0.90</w:t>
            </w:r>
          </w:p>
        </w:tc>
        <w:tc>
          <w:tcPr>
            <w:tcW w:w="1453" w:type="dxa"/>
            <w:tcBorders>
              <w:top w:val="single" w:color="auto" w:sz="4" w:space="0"/>
              <w:left w:val="single" w:color="auto" w:sz="4" w:space="0"/>
              <w:bottom w:val="single" w:color="auto" w:sz="4" w:space="0"/>
              <w:right w:val="single" w:color="auto" w:sz="4" w:space="0"/>
            </w:tcBorders>
            <w:vAlign w:val="center"/>
          </w:tcPr>
          <w:p w14:paraId="754EFA07">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1.00</w:t>
            </w:r>
          </w:p>
        </w:tc>
        <w:tc>
          <w:tcPr>
            <w:tcW w:w="1138" w:type="dxa"/>
            <w:tcBorders>
              <w:top w:val="single" w:color="auto" w:sz="4" w:space="0"/>
              <w:left w:val="single" w:color="auto" w:sz="4" w:space="0"/>
              <w:bottom w:val="single" w:color="auto" w:sz="4" w:space="0"/>
              <w:right w:val="single" w:color="auto" w:sz="4" w:space="0"/>
            </w:tcBorders>
            <w:vAlign w:val="center"/>
          </w:tcPr>
          <w:p w14:paraId="61A5C265">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1.50</w:t>
            </w:r>
          </w:p>
        </w:tc>
        <w:tc>
          <w:tcPr>
            <w:tcW w:w="1121" w:type="dxa"/>
            <w:tcBorders>
              <w:top w:val="single" w:color="auto" w:sz="4" w:space="0"/>
              <w:left w:val="single" w:color="auto" w:sz="4" w:space="0"/>
              <w:bottom w:val="single" w:color="auto" w:sz="4" w:space="0"/>
              <w:right w:val="single" w:color="auto" w:sz="4" w:space="0"/>
            </w:tcBorders>
            <w:vAlign w:val="center"/>
          </w:tcPr>
          <w:p w14:paraId="796B0A5D">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1.60</w:t>
            </w:r>
          </w:p>
        </w:tc>
        <w:tc>
          <w:tcPr>
            <w:tcW w:w="992" w:type="dxa"/>
            <w:tcBorders>
              <w:top w:val="single" w:color="auto" w:sz="4" w:space="0"/>
              <w:left w:val="single" w:color="auto" w:sz="4" w:space="0"/>
              <w:bottom w:val="single" w:color="auto" w:sz="4" w:space="0"/>
              <w:right w:val="single" w:color="auto" w:sz="4" w:space="0"/>
            </w:tcBorders>
            <w:vAlign w:val="center"/>
          </w:tcPr>
          <w:p w14:paraId="5F633163">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000000"/>
                <w:szCs w:val="21"/>
              </w:rPr>
            </w:pPr>
            <w:r>
              <w:rPr>
                <w:rFonts w:hint="eastAsia" w:ascii="宋体" w:hAnsi="宋体" w:cs="宋体"/>
                <w:color w:val="000000"/>
                <w:szCs w:val="21"/>
              </w:rPr>
              <w:t>2.40</w:t>
            </w:r>
          </w:p>
        </w:tc>
      </w:tr>
    </w:tbl>
    <w:p w14:paraId="344FA8DB">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000000"/>
          <w:szCs w:val="21"/>
        </w:rPr>
      </w:pPr>
      <w:r>
        <w:rPr>
          <w:rFonts w:hint="eastAsia" w:ascii="宋体" w:hAnsi="宋体" w:cs="宋体"/>
          <w:b/>
          <w:color w:val="000000"/>
          <w:szCs w:val="21"/>
        </w:rPr>
        <w:t>3、数字线划图（DLG）生产技术要求</w:t>
      </w:r>
    </w:p>
    <w:p w14:paraId="6EFC024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采用全数字摄影测量方法进行测绘，采用航测内外业一体化工艺更新1：2000 数字线划图（DLG）。</w:t>
      </w:r>
    </w:p>
    <w:p w14:paraId="60026A2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 1:2000 DLG 生产采用“图库一体、以库出图”技术。</w:t>
      </w:r>
    </w:p>
    <w:p w14:paraId="22F0939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2）本测区更新为一般要素进行全要素更新，其余为重大要素更新。当重大要素发生变化时，应当在变化完成后3个月内予以更新。</w:t>
      </w:r>
    </w:p>
    <w:p w14:paraId="3CDC509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 DLG 要素分类代码按省技术规定执行。</w:t>
      </w:r>
    </w:p>
    <w:p w14:paraId="7E3655A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 DLG 数据采集原则：各要素的相关位置、必需的代码信息均应表示清楚；</w:t>
      </w:r>
    </w:p>
    <w:p w14:paraId="444646F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全要素更新内业定位，外业定性；现势性以最新航摄影像为准；重大要素更新采用内业全数字测量方式进行更新，重大要素更新不出外业。</w:t>
      </w:r>
    </w:p>
    <w:p w14:paraId="335A58A9">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000000"/>
          <w:szCs w:val="21"/>
        </w:rPr>
      </w:pPr>
      <w:r>
        <w:rPr>
          <w:rFonts w:hint="eastAsia" w:ascii="宋体" w:hAnsi="宋体" w:cs="宋体"/>
          <w:b/>
          <w:color w:val="000000"/>
          <w:szCs w:val="21"/>
        </w:rPr>
        <w:t>4、重大要素更新技术要求</w:t>
      </w:r>
    </w:p>
    <w:p w14:paraId="15ED4AD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仿宋_GB2312"/>
          <w:color w:val="000000"/>
          <w:kern w:val="0"/>
          <w:szCs w:val="21"/>
        </w:rPr>
      </w:pPr>
      <w:r>
        <w:rPr>
          <w:rFonts w:hint="eastAsia" w:ascii="宋体" w:hAnsi="宋体" w:cs="仿宋_GB2312"/>
          <w:color w:val="000000"/>
          <w:kern w:val="0"/>
          <w:szCs w:val="21"/>
        </w:rPr>
        <w:t>1）重大要素更新内容</w:t>
      </w:r>
    </w:p>
    <w:p w14:paraId="6CDB3D58">
      <w:pPr>
        <w:pStyle w:val="26"/>
        <w:rPr>
          <w:rFonts w:hint="eastAsia"/>
        </w:rPr>
      </w:pPr>
    </w:p>
    <w:tbl>
      <w:tblPr>
        <w:tblStyle w:val="1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72"/>
        <w:gridCol w:w="1997"/>
        <w:gridCol w:w="2583"/>
        <w:gridCol w:w="2718"/>
      </w:tblGrid>
      <w:tr w14:paraId="063C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BEBEBE"/>
            <w:vAlign w:val="center"/>
          </w:tcPr>
          <w:p w14:paraId="7B8F35C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ascii="宋体" w:hAnsi="宋体" w:cs="宋体"/>
                <w:color w:val="000000"/>
                <w:szCs w:val="21"/>
              </w:rPr>
              <w:t>序号</w:t>
            </w:r>
          </w:p>
        </w:tc>
        <w:tc>
          <w:tcPr>
            <w:tcW w:w="1372" w:type="dxa"/>
            <w:tcBorders>
              <w:top w:val="single" w:color="auto" w:sz="4" w:space="0"/>
              <w:left w:val="single" w:color="auto" w:sz="4" w:space="0"/>
              <w:bottom w:val="single" w:color="auto" w:sz="4" w:space="0"/>
              <w:right w:val="single" w:color="auto" w:sz="4" w:space="0"/>
            </w:tcBorders>
            <w:shd w:val="clear" w:color="auto" w:fill="BEBEBE"/>
            <w:vAlign w:val="center"/>
          </w:tcPr>
          <w:p w14:paraId="3E6C063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ascii="宋体" w:hAnsi="宋体" w:cs="宋体"/>
                <w:color w:val="000000"/>
                <w:szCs w:val="21"/>
              </w:rPr>
              <w:t>要素大类</w:t>
            </w:r>
          </w:p>
        </w:tc>
        <w:tc>
          <w:tcPr>
            <w:tcW w:w="1997" w:type="dxa"/>
            <w:tcBorders>
              <w:top w:val="single" w:color="auto" w:sz="4" w:space="0"/>
              <w:left w:val="single" w:color="auto" w:sz="4" w:space="0"/>
              <w:bottom w:val="single" w:color="auto" w:sz="4" w:space="0"/>
              <w:right w:val="single" w:color="auto" w:sz="4" w:space="0"/>
            </w:tcBorders>
            <w:shd w:val="clear" w:color="auto" w:fill="BEBEBE"/>
            <w:vAlign w:val="center"/>
          </w:tcPr>
          <w:p w14:paraId="0E9E7A9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ascii="宋体" w:hAnsi="宋体" w:cs="宋体"/>
                <w:color w:val="000000"/>
                <w:szCs w:val="21"/>
              </w:rPr>
              <w:t>要素小类</w:t>
            </w:r>
          </w:p>
        </w:tc>
        <w:tc>
          <w:tcPr>
            <w:tcW w:w="2583" w:type="dxa"/>
            <w:tcBorders>
              <w:top w:val="single" w:color="auto" w:sz="4" w:space="0"/>
              <w:left w:val="single" w:color="auto" w:sz="4" w:space="0"/>
              <w:bottom w:val="single" w:color="auto" w:sz="4" w:space="0"/>
              <w:right w:val="single" w:color="auto" w:sz="4" w:space="0"/>
            </w:tcBorders>
            <w:shd w:val="clear" w:color="auto" w:fill="BEBEBE"/>
            <w:vAlign w:val="center"/>
          </w:tcPr>
          <w:p w14:paraId="7D0543B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变化量</w:t>
            </w:r>
          </w:p>
        </w:tc>
        <w:tc>
          <w:tcPr>
            <w:tcW w:w="2718" w:type="dxa"/>
            <w:tcBorders>
              <w:top w:val="single" w:color="auto" w:sz="4" w:space="0"/>
              <w:left w:val="single" w:color="auto" w:sz="4" w:space="0"/>
              <w:bottom w:val="single" w:color="auto" w:sz="4" w:space="0"/>
              <w:right w:val="single" w:color="auto" w:sz="4" w:space="0"/>
            </w:tcBorders>
            <w:shd w:val="clear" w:color="auto" w:fill="BEBEBE"/>
            <w:vAlign w:val="center"/>
          </w:tcPr>
          <w:p w14:paraId="47A840F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ascii="宋体" w:hAnsi="宋体" w:cs="宋体"/>
                <w:color w:val="000000"/>
                <w:szCs w:val="21"/>
              </w:rPr>
              <w:t>备注</w:t>
            </w:r>
          </w:p>
        </w:tc>
      </w:tr>
      <w:tr w14:paraId="4534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92" w:type="dxa"/>
            <w:vMerge w:val="restart"/>
            <w:tcBorders>
              <w:top w:val="nil"/>
              <w:left w:val="single" w:color="auto" w:sz="4" w:space="0"/>
              <w:bottom w:val="single" w:color="auto" w:sz="4" w:space="0"/>
              <w:right w:val="single" w:color="auto" w:sz="4" w:space="0"/>
            </w:tcBorders>
            <w:vAlign w:val="center"/>
          </w:tcPr>
          <w:p w14:paraId="2B9E68F0">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372" w:type="dxa"/>
            <w:vMerge w:val="restart"/>
            <w:tcBorders>
              <w:top w:val="nil"/>
              <w:left w:val="single" w:color="auto" w:sz="4" w:space="0"/>
              <w:bottom w:val="single" w:color="auto" w:sz="4" w:space="0"/>
              <w:right w:val="single" w:color="auto" w:sz="4" w:space="0"/>
            </w:tcBorders>
            <w:vAlign w:val="center"/>
          </w:tcPr>
          <w:p w14:paraId="069B702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水系</w:t>
            </w:r>
          </w:p>
        </w:tc>
        <w:tc>
          <w:tcPr>
            <w:tcW w:w="1997" w:type="dxa"/>
            <w:tcBorders>
              <w:top w:val="single" w:color="auto" w:sz="4" w:space="0"/>
              <w:left w:val="single" w:color="auto" w:sz="4" w:space="0"/>
              <w:bottom w:val="single" w:color="auto" w:sz="4" w:space="0"/>
              <w:right w:val="single" w:color="auto" w:sz="4" w:space="0"/>
            </w:tcBorders>
            <w:vAlign w:val="center"/>
          </w:tcPr>
          <w:p w14:paraId="4E07247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河流</w:t>
            </w:r>
          </w:p>
        </w:tc>
        <w:tc>
          <w:tcPr>
            <w:tcW w:w="2583" w:type="dxa"/>
            <w:tcBorders>
              <w:top w:val="single" w:color="auto" w:sz="4" w:space="0"/>
              <w:left w:val="single" w:color="auto" w:sz="4" w:space="0"/>
              <w:bottom w:val="single" w:color="auto" w:sz="4" w:space="0"/>
              <w:right w:val="single" w:color="auto" w:sz="4" w:space="0"/>
            </w:tcBorders>
            <w:vAlign w:val="center"/>
          </w:tcPr>
          <w:p w14:paraId="3C59437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长度变化100m以上</w:t>
            </w:r>
          </w:p>
        </w:tc>
        <w:tc>
          <w:tcPr>
            <w:tcW w:w="2718" w:type="dxa"/>
            <w:tcBorders>
              <w:top w:val="single" w:color="auto" w:sz="4" w:space="0"/>
              <w:left w:val="single" w:color="auto" w:sz="4" w:space="0"/>
              <w:bottom w:val="single" w:color="auto" w:sz="4" w:space="0"/>
              <w:right w:val="single" w:color="auto" w:sz="4" w:space="0"/>
            </w:tcBorders>
            <w:vAlign w:val="center"/>
          </w:tcPr>
          <w:p w14:paraId="1113764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河流宽度5m以上，关联水利设施同步更新</w:t>
            </w:r>
          </w:p>
        </w:tc>
      </w:tr>
      <w:tr w14:paraId="0AAE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92" w:type="dxa"/>
            <w:vMerge w:val="continue"/>
            <w:tcBorders>
              <w:top w:val="nil"/>
              <w:left w:val="single" w:color="auto" w:sz="4" w:space="0"/>
              <w:bottom w:val="single" w:color="auto" w:sz="4" w:space="0"/>
              <w:right w:val="single" w:color="auto" w:sz="4" w:space="0"/>
            </w:tcBorders>
            <w:vAlign w:val="center"/>
          </w:tcPr>
          <w:p w14:paraId="281A20E4">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2F3AFEFD">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5425613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湖泊、池塘、山塘</w:t>
            </w:r>
          </w:p>
        </w:tc>
        <w:tc>
          <w:tcPr>
            <w:tcW w:w="2583" w:type="dxa"/>
            <w:tcBorders>
              <w:top w:val="single" w:color="auto" w:sz="4" w:space="0"/>
              <w:left w:val="single" w:color="auto" w:sz="4" w:space="0"/>
              <w:bottom w:val="single" w:color="auto" w:sz="4" w:space="0"/>
              <w:right w:val="single" w:color="auto" w:sz="4" w:space="0"/>
            </w:tcBorders>
            <w:vAlign w:val="center"/>
          </w:tcPr>
          <w:p w14:paraId="2D81AA7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面积变化5000m2以上</w:t>
            </w:r>
          </w:p>
        </w:tc>
        <w:tc>
          <w:tcPr>
            <w:tcW w:w="2718" w:type="dxa"/>
            <w:tcBorders>
              <w:top w:val="single" w:color="auto" w:sz="4" w:space="0"/>
              <w:left w:val="single" w:color="auto" w:sz="4" w:space="0"/>
              <w:bottom w:val="single" w:color="auto" w:sz="4" w:space="0"/>
              <w:right w:val="single" w:color="auto" w:sz="4" w:space="0"/>
            </w:tcBorders>
            <w:vAlign w:val="center"/>
          </w:tcPr>
          <w:p w14:paraId="7EEC262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附属水利设施同步更新</w:t>
            </w:r>
          </w:p>
        </w:tc>
      </w:tr>
      <w:tr w14:paraId="160C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92" w:type="dxa"/>
            <w:vMerge w:val="continue"/>
            <w:tcBorders>
              <w:top w:val="nil"/>
              <w:left w:val="single" w:color="auto" w:sz="4" w:space="0"/>
              <w:bottom w:val="single" w:color="auto" w:sz="4" w:space="0"/>
              <w:right w:val="single" w:color="auto" w:sz="4" w:space="0"/>
            </w:tcBorders>
            <w:vAlign w:val="center"/>
          </w:tcPr>
          <w:p w14:paraId="7C8630AE">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17A7CC5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7F9287F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水库</w:t>
            </w:r>
          </w:p>
        </w:tc>
        <w:tc>
          <w:tcPr>
            <w:tcW w:w="2583" w:type="dxa"/>
            <w:tcBorders>
              <w:top w:val="single" w:color="auto" w:sz="4" w:space="0"/>
              <w:left w:val="single" w:color="auto" w:sz="4" w:space="0"/>
              <w:bottom w:val="single" w:color="auto" w:sz="4" w:space="0"/>
              <w:right w:val="single" w:color="auto" w:sz="4" w:space="0"/>
            </w:tcBorders>
            <w:vAlign w:val="center"/>
          </w:tcPr>
          <w:p w14:paraId="43A2B98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库容量变化10万m3以上</w:t>
            </w:r>
          </w:p>
        </w:tc>
        <w:tc>
          <w:tcPr>
            <w:tcW w:w="2718" w:type="dxa"/>
            <w:tcBorders>
              <w:top w:val="single" w:color="auto" w:sz="4" w:space="0"/>
              <w:left w:val="single" w:color="auto" w:sz="4" w:space="0"/>
              <w:bottom w:val="single" w:color="auto" w:sz="4" w:space="0"/>
              <w:right w:val="single" w:color="auto" w:sz="4" w:space="0"/>
            </w:tcBorders>
            <w:vAlign w:val="center"/>
          </w:tcPr>
          <w:p w14:paraId="7DA8120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附属水利设施同步更新</w:t>
            </w:r>
          </w:p>
        </w:tc>
      </w:tr>
      <w:tr w14:paraId="7C6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92" w:type="dxa"/>
            <w:vMerge w:val="continue"/>
            <w:tcBorders>
              <w:top w:val="nil"/>
              <w:left w:val="single" w:color="auto" w:sz="4" w:space="0"/>
              <w:bottom w:val="single" w:color="auto" w:sz="4" w:space="0"/>
              <w:right w:val="single" w:color="auto" w:sz="4" w:space="0"/>
            </w:tcBorders>
            <w:vAlign w:val="center"/>
          </w:tcPr>
          <w:p w14:paraId="4C19B798">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30C80CA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16BE96D">
            <w:pPr>
              <w:keepNext w:val="0"/>
              <w:keepLines w:val="0"/>
              <w:pageBreakBefore w:val="0"/>
              <w:kinsoku/>
              <w:wordWrap/>
              <w:overflowPunct/>
              <w:topLinePunct w:val="0"/>
              <w:autoSpaceDE/>
              <w:autoSpaceDN/>
              <w:bidi w:val="0"/>
              <w:adjustRightInd/>
              <w:snapToGrid w:val="0"/>
              <w:spacing w:line="360" w:lineRule="exact"/>
              <w:ind w:firstLine="210" w:firstLineChars="100"/>
              <w:jc w:val="center"/>
              <w:textAlignment w:val="auto"/>
              <w:rPr>
                <w:rFonts w:ascii="宋体" w:hAnsi="宋体" w:cs="宋体"/>
                <w:color w:val="000000"/>
                <w:szCs w:val="21"/>
              </w:rPr>
            </w:pPr>
            <w:r>
              <w:rPr>
                <w:rFonts w:hint="eastAsia" w:ascii="宋体" w:hAnsi="宋体" w:cs="宋体"/>
                <w:color w:val="000000"/>
                <w:szCs w:val="21"/>
              </w:rPr>
              <w:t>输水管线</w:t>
            </w:r>
          </w:p>
        </w:tc>
        <w:tc>
          <w:tcPr>
            <w:tcW w:w="2583" w:type="dxa"/>
            <w:tcBorders>
              <w:top w:val="single" w:color="auto" w:sz="4" w:space="0"/>
              <w:left w:val="single" w:color="auto" w:sz="4" w:space="0"/>
              <w:bottom w:val="single" w:color="auto" w:sz="4" w:space="0"/>
              <w:right w:val="single" w:color="auto" w:sz="4" w:space="0"/>
            </w:tcBorders>
            <w:vAlign w:val="center"/>
          </w:tcPr>
          <w:p w14:paraId="1D509D8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长度变化1000m以上</w:t>
            </w:r>
          </w:p>
        </w:tc>
        <w:tc>
          <w:tcPr>
            <w:tcW w:w="2718" w:type="dxa"/>
            <w:tcBorders>
              <w:top w:val="single" w:color="auto" w:sz="4" w:space="0"/>
              <w:left w:val="single" w:color="auto" w:sz="4" w:space="0"/>
              <w:bottom w:val="single" w:color="auto" w:sz="4" w:space="0"/>
              <w:right w:val="single" w:color="auto" w:sz="4" w:space="0"/>
            </w:tcBorders>
            <w:vAlign w:val="center"/>
          </w:tcPr>
          <w:p w14:paraId="292459F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附属设施同步更新</w:t>
            </w:r>
          </w:p>
        </w:tc>
      </w:tr>
      <w:tr w14:paraId="6C3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14:paraId="0D7C935D">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344C3B1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10B45B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海岸线</w:t>
            </w:r>
          </w:p>
        </w:tc>
        <w:tc>
          <w:tcPr>
            <w:tcW w:w="2583" w:type="dxa"/>
            <w:tcBorders>
              <w:top w:val="single" w:color="auto" w:sz="4" w:space="0"/>
              <w:left w:val="single" w:color="auto" w:sz="4" w:space="0"/>
              <w:bottom w:val="single" w:color="auto" w:sz="4" w:space="0"/>
              <w:right w:val="single" w:color="auto" w:sz="4" w:space="0"/>
            </w:tcBorders>
            <w:vAlign w:val="center"/>
          </w:tcPr>
          <w:p w14:paraId="7017FA9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长度变化50m以上</w:t>
            </w:r>
          </w:p>
        </w:tc>
        <w:tc>
          <w:tcPr>
            <w:tcW w:w="2718" w:type="dxa"/>
            <w:tcBorders>
              <w:top w:val="single" w:color="auto" w:sz="4" w:space="0"/>
              <w:left w:val="single" w:color="auto" w:sz="4" w:space="0"/>
              <w:bottom w:val="single" w:color="auto" w:sz="4" w:space="0"/>
              <w:right w:val="single" w:color="auto" w:sz="4" w:space="0"/>
            </w:tcBorders>
            <w:vAlign w:val="center"/>
          </w:tcPr>
          <w:p w14:paraId="2B49327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附属设施同步更新</w:t>
            </w:r>
          </w:p>
        </w:tc>
      </w:tr>
      <w:tr w14:paraId="7827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top w:val="nil"/>
              <w:left w:val="single" w:color="auto" w:sz="4" w:space="0"/>
              <w:bottom w:val="single" w:color="auto" w:sz="4" w:space="0"/>
              <w:right w:val="single" w:color="auto" w:sz="4" w:space="0"/>
            </w:tcBorders>
            <w:vAlign w:val="center"/>
          </w:tcPr>
          <w:p w14:paraId="3037F188">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72" w:type="dxa"/>
            <w:vMerge w:val="restart"/>
            <w:tcBorders>
              <w:top w:val="nil"/>
              <w:left w:val="single" w:color="auto" w:sz="4" w:space="0"/>
              <w:bottom w:val="single" w:color="auto" w:sz="4" w:space="0"/>
              <w:right w:val="single" w:color="auto" w:sz="4" w:space="0"/>
            </w:tcBorders>
            <w:vAlign w:val="center"/>
          </w:tcPr>
          <w:p w14:paraId="789AA5B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居民地及设施</w:t>
            </w:r>
          </w:p>
        </w:tc>
        <w:tc>
          <w:tcPr>
            <w:tcW w:w="1997" w:type="dxa"/>
            <w:tcBorders>
              <w:top w:val="single" w:color="auto" w:sz="4" w:space="0"/>
              <w:left w:val="single" w:color="auto" w:sz="4" w:space="0"/>
              <w:bottom w:val="single" w:color="auto" w:sz="4" w:space="0"/>
              <w:right w:val="single" w:color="auto" w:sz="4" w:space="0"/>
            </w:tcBorders>
            <w:vAlign w:val="center"/>
          </w:tcPr>
          <w:p w14:paraId="10D6FFD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建（构）筑物</w:t>
            </w:r>
          </w:p>
        </w:tc>
        <w:tc>
          <w:tcPr>
            <w:tcW w:w="2583" w:type="dxa"/>
            <w:tcBorders>
              <w:top w:val="single" w:color="auto" w:sz="4" w:space="0"/>
              <w:left w:val="single" w:color="auto" w:sz="4" w:space="0"/>
              <w:bottom w:val="single" w:color="auto" w:sz="4" w:space="0"/>
              <w:right w:val="single" w:color="auto" w:sz="4" w:space="0"/>
            </w:tcBorders>
            <w:vAlign w:val="center"/>
          </w:tcPr>
          <w:p w14:paraId="0E65A44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面积变化10000m2以上</w:t>
            </w:r>
          </w:p>
        </w:tc>
        <w:tc>
          <w:tcPr>
            <w:tcW w:w="2718" w:type="dxa"/>
            <w:tcBorders>
              <w:top w:val="single" w:color="auto" w:sz="4" w:space="0"/>
              <w:left w:val="single" w:color="auto" w:sz="4" w:space="0"/>
              <w:bottom w:val="single" w:color="auto" w:sz="4" w:space="0"/>
              <w:right w:val="single" w:color="auto" w:sz="4" w:space="0"/>
            </w:tcBorders>
            <w:vAlign w:val="center"/>
          </w:tcPr>
          <w:p w14:paraId="6346F88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整村拆除情况不受该指标约束</w:t>
            </w:r>
          </w:p>
        </w:tc>
      </w:tr>
      <w:tr w14:paraId="73FA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14:paraId="29481D0F">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1884616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2C6DD6B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光伏板阵列</w:t>
            </w:r>
          </w:p>
        </w:tc>
        <w:tc>
          <w:tcPr>
            <w:tcW w:w="2583" w:type="dxa"/>
            <w:tcBorders>
              <w:top w:val="single" w:color="auto" w:sz="4" w:space="0"/>
              <w:left w:val="single" w:color="auto" w:sz="4" w:space="0"/>
              <w:bottom w:val="single" w:color="auto" w:sz="4" w:space="0"/>
              <w:right w:val="single" w:color="auto" w:sz="4" w:space="0"/>
            </w:tcBorders>
            <w:vAlign w:val="center"/>
          </w:tcPr>
          <w:p w14:paraId="7D3EF8F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面积变化10000m2以上</w:t>
            </w:r>
          </w:p>
        </w:tc>
        <w:tc>
          <w:tcPr>
            <w:tcW w:w="2718" w:type="dxa"/>
            <w:tcBorders>
              <w:top w:val="single" w:color="auto" w:sz="4" w:space="0"/>
              <w:left w:val="single" w:color="auto" w:sz="4" w:space="0"/>
              <w:bottom w:val="single" w:color="auto" w:sz="4" w:space="0"/>
              <w:right w:val="single" w:color="auto" w:sz="4" w:space="0"/>
            </w:tcBorders>
            <w:vAlign w:val="center"/>
          </w:tcPr>
          <w:p w14:paraId="1CE1046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00CD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2" w:type="dxa"/>
            <w:vMerge w:val="restart"/>
            <w:tcBorders>
              <w:top w:val="nil"/>
              <w:left w:val="single" w:color="auto" w:sz="4" w:space="0"/>
              <w:bottom w:val="single" w:color="auto" w:sz="4" w:space="0"/>
              <w:right w:val="single" w:color="auto" w:sz="4" w:space="0"/>
            </w:tcBorders>
            <w:vAlign w:val="center"/>
          </w:tcPr>
          <w:p w14:paraId="420759F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72" w:type="dxa"/>
            <w:vMerge w:val="restart"/>
            <w:tcBorders>
              <w:top w:val="nil"/>
              <w:left w:val="single" w:color="auto" w:sz="4" w:space="0"/>
              <w:bottom w:val="single" w:color="auto" w:sz="4" w:space="0"/>
              <w:right w:val="single" w:color="auto" w:sz="4" w:space="0"/>
            </w:tcBorders>
            <w:vAlign w:val="center"/>
          </w:tcPr>
          <w:p w14:paraId="7930BD3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交通</w:t>
            </w:r>
          </w:p>
        </w:tc>
        <w:tc>
          <w:tcPr>
            <w:tcW w:w="1997" w:type="dxa"/>
            <w:tcBorders>
              <w:top w:val="single" w:color="auto" w:sz="4" w:space="0"/>
              <w:left w:val="single" w:color="auto" w:sz="4" w:space="0"/>
              <w:bottom w:val="single" w:color="auto" w:sz="4" w:space="0"/>
              <w:right w:val="single" w:color="auto" w:sz="4" w:space="0"/>
            </w:tcBorders>
            <w:vAlign w:val="center"/>
          </w:tcPr>
          <w:p w14:paraId="158E377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铁路</w:t>
            </w:r>
          </w:p>
        </w:tc>
        <w:tc>
          <w:tcPr>
            <w:tcW w:w="2583" w:type="dxa"/>
            <w:tcBorders>
              <w:top w:val="single" w:color="auto" w:sz="4" w:space="0"/>
              <w:left w:val="single" w:color="auto" w:sz="4" w:space="0"/>
              <w:bottom w:val="single" w:color="auto" w:sz="4" w:space="0"/>
              <w:right w:val="single" w:color="auto" w:sz="4" w:space="0"/>
            </w:tcBorders>
            <w:vAlign w:val="center"/>
          </w:tcPr>
          <w:p w14:paraId="216CDD9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w:t>
            </w:r>
          </w:p>
        </w:tc>
        <w:tc>
          <w:tcPr>
            <w:tcW w:w="2718" w:type="dxa"/>
            <w:tcBorders>
              <w:top w:val="single" w:color="auto" w:sz="4" w:space="0"/>
              <w:left w:val="single" w:color="auto" w:sz="4" w:space="0"/>
              <w:bottom w:val="single" w:color="auto" w:sz="4" w:space="0"/>
              <w:right w:val="single" w:color="auto" w:sz="4" w:space="0"/>
            </w:tcBorders>
            <w:vAlign w:val="center"/>
          </w:tcPr>
          <w:p w14:paraId="1970118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附属设施同步更新</w:t>
            </w:r>
          </w:p>
        </w:tc>
      </w:tr>
      <w:tr w14:paraId="433D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14:paraId="21ED62B8">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1BDD7A6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03DC5C9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公路</w:t>
            </w:r>
          </w:p>
        </w:tc>
        <w:tc>
          <w:tcPr>
            <w:tcW w:w="2583" w:type="dxa"/>
            <w:tcBorders>
              <w:top w:val="single" w:color="auto" w:sz="4" w:space="0"/>
              <w:left w:val="single" w:color="auto" w:sz="4" w:space="0"/>
              <w:bottom w:val="single" w:color="auto" w:sz="4" w:space="0"/>
              <w:right w:val="single" w:color="auto" w:sz="4" w:space="0"/>
            </w:tcBorders>
            <w:vAlign w:val="center"/>
          </w:tcPr>
          <w:p w14:paraId="403B25D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长度变化1000m以上</w:t>
            </w:r>
          </w:p>
        </w:tc>
        <w:tc>
          <w:tcPr>
            <w:tcW w:w="2718" w:type="dxa"/>
            <w:tcBorders>
              <w:top w:val="single" w:color="auto" w:sz="4" w:space="0"/>
              <w:left w:val="single" w:color="auto" w:sz="4" w:space="0"/>
              <w:bottom w:val="single" w:color="auto" w:sz="4" w:space="0"/>
              <w:right w:val="single" w:color="auto" w:sz="4" w:space="0"/>
            </w:tcBorders>
            <w:vAlign w:val="center"/>
          </w:tcPr>
          <w:p w14:paraId="4A25D4C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县道以上，附属设施同步更新</w:t>
            </w:r>
          </w:p>
        </w:tc>
      </w:tr>
      <w:tr w14:paraId="02E5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14:paraId="0CA1C441">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18C6A85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1BBC2ED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城市道路</w:t>
            </w:r>
          </w:p>
        </w:tc>
        <w:tc>
          <w:tcPr>
            <w:tcW w:w="2583" w:type="dxa"/>
            <w:tcBorders>
              <w:top w:val="single" w:color="auto" w:sz="4" w:space="0"/>
              <w:left w:val="single" w:color="auto" w:sz="4" w:space="0"/>
              <w:bottom w:val="single" w:color="auto" w:sz="4" w:space="0"/>
              <w:right w:val="single" w:color="auto" w:sz="4" w:space="0"/>
            </w:tcBorders>
            <w:vAlign w:val="center"/>
          </w:tcPr>
          <w:p w14:paraId="2AF80B7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长度变化500m以上</w:t>
            </w:r>
          </w:p>
        </w:tc>
        <w:tc>
          <w:tcPr>
            <w:tcW w:w="2718" w:type="dxa"/>
            <w:tcBorders>
              <w:top w:val="single" w:color="auto" w:sz="4" w:space="0"/>
              <w:left w:val="single" w:color="auto" w:sz="4" w:space="0"/>
              <w:bottom w:val="single" w:color="auto" w:sz="4" w:space="0"/>
              <w:right w:val="single" w:color="auto" w:sz="4" w:space="0"/>
            </w:tcBorders>
            <w:vAlign w:val="center"/>
          </w:tcPr>
          <w:p w14:paraId="2BBFE22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主干道以上</w:t>
            </w:r>
          </w:p>
        </w:tc>
      </w:tr>
      <w:tr w14:paraId="3838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top w:val="nil"/>
              <w:left w:val="single" w:color="auto" w:sz="4" w:space="0"/>
              <w:bottom w:val="single" w:color="auto" w:sz="4" w:space="0"/>
              <w:right w:val="single" w:color="auto" w:sz="4" w:space="0"/>
            </w:tcBorders>
            <w:vAlign w:val="center"/>
          </w:tcPr>
          <w:p w14:paraId="51341156">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372" w:type="dxa"/>
            <w:vMerge w:val="restart"/>
            <w:tcBorders>
              <w:top w:val="nil"/>
              <w:left w:val="single" w:color="auto" w:sz="4" w:space="0"/>
              <w:bottom w:val="single" w:color="auto" w:sz="4" w:space="0"/>
              <w:right w:val="single" w:color="auto" w:sz="4" w:space="0"/>
            </w:tcBorders>
            <w:vAlign w:val="center"/>
          </w:tcPr>
          <w:p w14:paraId="3B9F3AE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管线</w:t>
            </w:r>
          </w:p>
        </w:tc>
        <w:tc>
          <w:tcPr>
            <w:tcW w:w="1997" w:type="dxa"/>
            <w:tcBorders>
              <w:top w:val="single" w:color="auto" w:sz="4" w:space="0"/>
              <w:left w:val="single" w:color="auto" w:sz="4" w:space="0"/>
              <w:bottom w:val="single" w:color="auto" w:sz="4" w:space="0"/>
              <w:right w:val="single" w:color="auto" w:sz="4" w:space="0"/>
            </w:tcBorders>
            <w:vAlign w:val="center"/>
          </w:tcPr>
          <w:p w14:paraId="690D4F7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高压输电线</w:t>
            </w:r>
          </w:p>
        </w:tc>
        <w:tc>
          <w:tcPr>
            <w:tcW w:w="2583" w:type="dxa"/>
            <w:tcBorders>
              <w:top w:val="single" w:color="auto" w:sz="4" w:space="0"/>
              <w:left w:val="single" w:color="auto" w:sz="4" w:space="0"/>
              <w:bottom w:val="single" w:color="auto" w:sz="4" w:space="0"/>
              <w:right w:val="single" w:color="auto" w:sz="4" w:space="0"/>
            </w:tcBorders>
            <w:vAlign w:val="center"/>
          </w:tcPr>
          <w:p w14:paraId="285C59E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w:t>
            </w:r>
          </w:p>
        </w:tc>
        <w:tc>
          <w:tcPr>
            <w:tcW w:w="2718" w:type="dxa"/>
            <w:tcBorders>
              <w:top w:val="single" w:color="auto" w:sz="4" w:space="0"/>
              <w:left w:val="single" w:color="auto" w:sz="4" w:space="0"/>
              <w:bottom w:val="single" w:color="auto" w:sz="4" w:space="0"/>
              <w:right w:val="single" w:color="auto" w:sz="4" w:space="0"/>
            </w:tcBorders>
            <w:vAlign w:val="center"/>
          </w:tcPr>
          <w:p w14:paraId="0963EBA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110kv以上，附属设施同步更新</w:t>
            </w:r>
          </w:p>
        </w:tc>
      </w:tr>
      <w:tr w14:paraId="3F77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top w:val="nil"/>
              <w:left w:val="single" w:color="auto" w:sz="4" w:space="0"/>
              <w:bottom w:val="single" w:color="auto" w:sz="4" w:space="0"/>
              <w:right w:val="single" w:color="auto" w:sz="4" w:space="0"/>
            </w:tcBorders>
            <w:vAlign w:val="center"/>
          </w:tcPr>
          <w:p w14:paraId="40E008D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72" w:type="dxa"/>
            <w:vMerge w:val="continue"/>
            <w:tcBorders>
              <w:top w:val="nil"/>
              <w:left w:val="single" w:color="auto" w:sz="4" w:space="0"/>
              <w:bottom w:val="single" w:color="auto" w:sz="4" w:space="0"/>
              <w:right w:val="single" w:color="auto" w:sz="4" w:space="0"/>
            </w:tcBorders>
            <w:vAlign w:val="center"/>
          </w:tcPr>
          <w:p w14:paraId="68331BE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2446981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长输管道</w:t>
            </w:r>
          </w:p>
        </w:tc>
        <w:tc>
          <w:tcPr>
            <w:tcW w:w="2583" w:type="dxa"/>
            <w:tcBorders>
              <w:top w:val="single" w:color="auto" w:sz="4" w:space="0"/>
              <w:left w:val="single" w:color="auto" w:sz="4" w:space="0"/>
              <w:bottom w:val="single" w:color="auto" w:sz="4" w:space="0"/>
              <w:right w:val="single" w:color="auto" w:sz="4" w:space="0"/>
            </w:tcBorders>
            <w:vAlign w:val="center"/>
          </w:tcPr>
          <w:p w14:paraId="23DA75B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长度变化1000m以上</w:t>
            </w:r>
          </w:p>
        </w:tc>
        <w:tc>
          <w:tcPr>
            <w:tcW w:w="2718" w:type="dxa"/>
            <w:tcBorders>
              <w:top w:val="single" w:color="auto" w:sz="4" w:space="0"/>
              <w:left w:val="single" w:color="auto" w:sz="4" w:space="0"/>
              <w:bottom w:val="single" w:color="auto" w:sz="4" w:space="0"/>
              <w:right w:val="single" w:color="auto" w:sz="4" w:space="0"/>
            </w:tcBorders>
            <w:vAlign w:val="center"/>
          </w:tcPr>
          <w:p w14:paraId="5C18F6F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跨县级以上行政区域管道</w:t>
            </w:r>
          </w:p>
        </w:tc>
      </w:tr>
      <w:tr w14:paraId="661E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14:paraId="1DA40F56">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72" w:type="dxa"/>
            <w:tcBorders>
              <w:top w:val="single" w:color="auto" w:sz="4" w:space="0"/>
              <w:left w:val="single" w:color="auto" w:sz="4" w:space="0"/>
              <w:bottom w:val="single" w:color="auto" w:sz="4" w:space="0"/>
              <w:right w:val="single" w:color="auto" w:sz="4" w:space="0"/>
            </w:tcBorders>
            <w:vAlign w:val="center"/>
          </w:tcPr>
          <w:p w14:paraId="763908D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境界</w:t>
            </w:r>
          </w:p>
        </w:tc>
        <w:tc>
          <w:tcPr>
            <w:tcW w:w="1997" w:type="dxa"/>
            <w:tcBorders>
              <w:top w:val="single" w:color="auto" w:sz="4" w:space="0"/>
              <w:left w:val="single" w:color="auto" w:sz="4" w:space="0"/>
              <w:bottom w:val="single" w:color="auto" w:sz="4" w:space="0"/>
              <w:right w:val="single" w:color="auto" w:sz="4" w:space="0"/>
            </w:tcBorders>
            <w:vAlign w:val="center"/>
          </w:tcPr>
          <w:p w14:paraId="795FB5A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行政界线</w:t>
            </w:r>
          </w:p>
        </w:tc>
        <w:tc>
          <w:tcPr>
            <w:tcW w:w="2583" w:type="dxa"/>
            <w:tcBorders>
              <w:top w:val="single" w:color="auto" w:sz="4" w:space="0"/>
              <w:left w:val="single" w:color="auto" w:sz="4" w:space="0"/>
              <w:bottom w:val="single" w:color="auto" w:sz="4" w:space="0"/>
              <w:right w:val="single" w:color="auto" w:sz="4" w:space="0"/>
            </w:tcBorders>
            <w:vAlign w:val="center"/>
          </w:tcPr>
          <w:p w14:paraId="6DFFD79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w:t>
            </w:r>
          </w:p>
        </w:tc>
        <w:tc>
          <w:tcPr>
            <w:tcW w:w="2718" w:type="dxa"/>
            <w:tcBorders>
              <w:top w:val="single" w:color="auto" w:sz="4" w:space="0"/>
              <w:left w:val="single" w:color="auto" w:sz="4" w:space="0"/>
              <w:bottom w:val="single" w:color="auto" w:sz="4" w:space="0"/>
              <w:right w:val="single" w:color="auto" w:sz="4" w:space="0"/>
            </w:tcBorders>
            <w:vAlign w:val="center"/>
          </w:tcPr>
          <w:p w14:paraId="6D62789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乡镇界以上</w:t>
            </w:r>
          </w:p>
        </w:tc>
      </w:tr>
      <w:tr w14:paraId="44B3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14:paraId="173F84B0">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72" w:type="dxa"/>
            <w:tcBorders>
              <w:top w:val="single" w:color="auto" w:sz="4" w:space="0"/>
              <w:left w:val="single" w:color="auto" w:sz="4" w:space="0"/>
              <w:bottom w:val="single" w:color="auto" w:sz="4" w:space="0"/>
              <w:right w:val="single" w:color="auto" w:sz="4" w:space="0"/>
            </w:tcBorders>
            <w:vAlign w:val="center"/>
          </w:tcPr>
          <w:p w14:paraId="4B99994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地貌</w:t>
            </w:r>
          </w:p>
        </w:tc>
        <w:tc>
          <w:tcPr>
            <w:tcW w:w="1997" w:type="dxa"/>
            <w:tcBorders>
              <w:top w:val="single" w:color="auto" w:sz="4" w:space="0"/>
              <w:left w:val="single" w:color="auto" w:sz="4" w:space="0"/>
              <w:bottom w:val="single" w:color="auto" w:sz="4" w:space="0"/>
              <w:right w:val="single" w:color="auto" w:sz="4" w:space="0"/>
            </w:tcBorders>
            <w:vAlign w:val="center"/>
          </w:tcPr>
          <w:p w14:paraId="134EE38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14:paraId="1956878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面积变化10000m2以上</w:t>
            </w:r>
          </w:p>
        </w:tc>
        <w:tc>
          <w:tcPr>
            <w:tcW w:w="2718" w:type="dxa"/>
            <w:tcBorders>
              <w:top w:val="single" w:color="auto" w:sz="4" w:space="0"/>
              <w:left w:val="single" w:color="auto" w:sz="4" w:space="0"/>
              <w:bottom w:val="single" w:color="auto" w:sz="4" w:space="0"/>
              <w:right w:val="single" w:color="auto" w:sz="4" w:space="0"/>
            </w:tcBorders>
            <w:vAlign w:val="center"/>
          </w:tcPr>
          <w:p w14:paraId="06EEED1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相关要素同步更新</w:t>
            </w:r>
          </w:p>
        </w:tc>
      </w:tr>
      <w:tr w14:paraId="590A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14:paraId="15E30ACF">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72" w:type="dxa"/>
            <w:tcBorders>
              <w:top w:val="single" w:color="auto" w:sz="4" w:space="0"/>
              <w:left w:val="single" w:color="auto" w:sz="4" w:space="0"/>
              <w:bottom w:val="single" w:color="auto" w:sz="4" w:space="0"/>
              <w:right w:val="single" w:color="auto" w:sz="4" w:space="0"/>
            </w:tcBorders>
            <w:vAlign w:val="center"/>
          </w:tcPr>
          <w:p w14:paraId="59A5E0C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植被与土质</w:t>
            </w:r>
          </w:p>
        </w:tc>
        <w:tc>
          <w:tcPr>
            <w:tcW w:w="1997" w:type="dxa"/>
            <w:tcBorders>
              <w:top w:val="single" w:color="auto" w:sz="4" w:space="0"/>
              <w:left w:val="single" w:color="auto" w:sz="4" w:space="0"/>
              <w:bottom w:val="single" w:color="auto" w:sz="4" w:space="0"/>
              <w:right w:val="single" w:color="auto" w:sz="4" w:space="0"/>
            </w:tcBorders>
            <w:vAlign w:val="center"/>
          </w:tcPr>
          <w:p w14:paraId="075AA83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14:paraId="652A3A1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面积变化50000m2以上</w:t>
            </w:r>
          </w:p>
        </w:tc>
        <w:tc>
          <w:tcPr>
            <w:tcW w:w="2718" w:type="dxa"/>
            <w:tcBorders>
              <w:top w:val="single" w:color="auto" w:sz="4" w:space="0"/>
              <w:left w:val="single" w:color="auto" w:sz="4" w:space="0"/>
              <w:bottom w:val="single" w:color="auto" w:sz="4" w:space="0"/>
              <w:right w:val="single" w:color="auto" w:sz="4" w:space="0"/>
            </w:tcBorders>
            <w:vAlign w:val="center"/>
          </w:tcPr>
          <w:p w14:paraId="4CE9DDE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垦造耕地项目不受该指标约束。</w:t>
            </w:r>
          </w:p>
        </w:tc>
      </w:tr>
      <w:tr w14:paraId="787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14:paraId="55CB1011">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72" w:type="dxa"/>
            <w:tcBorders>
              <w:top w:val="single" w:color="auto" w:sz="4" w:space="0"/>
              <w:left w:val="single" w:color="auto" w:sz="4" w:space="0"/>
              <w:bottom w:val="single" w:color="auto" w:sz="4" w:space="0"/>
              <w:right w:val="single" w:color="auto" w:sz="4" w:space="0"/>
            </w:tcBorders>
            <w:vAlign w:val="center"/>
          </w:tcPr>
          <w:p w14:paraId="3361E70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地名</w:t>
            </w:r>
          </w:p>
        </w:tc>
        <w:tc>
          <w:tcPr>
            <w:tcW w:w="1997" w:type="dxa"/>
            <w:tcBorders>
              <w:top w:val="single" w:color="auto" w:sz="4" w:space="0"/>
              <w:left w:val="single" w:color="auto" w:sz="4" w:space="0"/>
              <w:bottom w:val="single" w:color="auto" w:sz="4" w:space="0"/>
              <w:right w:val="single" w:color="auto" w:sz="4" w:space="0"/>
            </w:tcBorders>
            <w:vAlign w:val="center"/>
          </w:tcPr>
          <w:p w14:paraId="5F02E57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行政地名</w:t>
            </w:r>
          </w:p>
        </w:tc>
        <w:tc>
          <w:tcPr>
            <w:tcW w:w="2583" w:type="dxa"/>
            <w:tcBorders>
              <w:top w:val="single" w:color="auto" w:sz="4" w:space="0"/>
              <w:left w:val="single" w:color="auto" w:sz="4" w:space="0"/>
              <w:bottom w:val="single" w:color="auto" w:sz="4" w:space="0"/>
              <w:right w:val="single" w:color="auto" w:sz="4" w:space="0"/>
            </w:tcBorders>
            <w:vAlign w:val="center"/>
          </w:tcPr>
          <w:p w14:paraId="65FF428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名称变化1个以上</w:t>
            </w:r>
          </w:p>
        </w:tc>
        <w:tc>
          <w:tcPr>
            <w:tcW w:w="2718" w:type="dxa"/>
            <w:tcBorders>
              <w:top w:val="single" w:color="auto" w:sz="4" w:space="0"/>
              <w:left w:val="single" w:color="auto" w:sz="4" w:space="0"/>
              <w:bottom w:val="single" w:color="auto" w:sz="4" w:space="0"/>
              <w:right w:val="single" w:color="auto" w:sz="4" w:space="0"/>
            </w:tcBorders>
            <w:vAlign w:val="center"/>
          </w:tcPr>
          <w:p w14:paraId="474B273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行政村名以上</w:t>
            </w:r>
          </w:p>
        </w:tc>
      </w:tr>
    </w:tbl>
    <w:p w14:paraId="02D8E804">
      <w:pPr>
        <w:keepNext w:val="0"/>
        <w:keepLines w:val="0"/>
        <w:pageBreakBefore w:val="0"/>
        <w:kinsoku/>
        <w:wordWrap/>
        <w:overflowPunct/>
        <w:topLinePunct w:val="0"/>
        <w:autoSpaceDE/>
        <w:autoSpaceDN/>
        <w:bidi w:val="0"/>
        <w:adjustRightInd/>
        <w:spacing w:line="360" w:lineRule="exact"/>
        <w:ind w:firstLine="315" w:firstLineChars="150"/>
        <w:textAlignment w:val="auto"/>
        <w:rPr>
          <w:rFonts w:hint="eastAsia" w:ascii="宋体" w:hAnsi="宋体" w:cs="仿宋_GB2312"/>
          <w:color w:val="000000"/>
          <w:kern w:val="0"/>
          <w:szCs w:val="21"/>
        </w:rPr>
      </w:pPr>
      <w:r>
        <w:rPr>
          <w:rFonts w:hint="eastAsia" w:ascii="宋体" w:hAnsi="宋体" w:cs="仿宋_GB2312"/>
          <w:color w:val="000000"/>
          <w:kern w:val="0"/>
          <w:szCs w:val="21"/>
        </w:rPr>
        <w:t>2）一般要素更新内容</w:t>
      </w:r>
    </w:p>
    <w:tbl>
      <w:tblPr>
        <w:tblStyle w:val="1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15"/>
        <w:gridCol w:w="2048"/>
        <w:gridCol w:w="2556"/>
        <w:gridCol w:w="2737"/>
      </w:tblGrid>
      <w:tr w14:paraId="1271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D8D8D8"/>
            <w:vAlign w:val="center"/>
          </w:tcPr>
          <w:p w14:paraId="0BD285C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15" w:type="dxa"/>
            <w:tcBorders>
              <w:top w:val="single" w:color="auto" w:sz="4" w:space="0"/>
              <w:left w:val="single" w:color="auto" w:sz="4" w:space="0"/>
              <w:bottom w:val="single" w:color="auto" w:sz="4" w:space="0"/>
              <w:right w:val="single" w:color="auto" w:sz="4" w:space="0"/>
            </w:tcBorders>
            <w:shd w:val="clear" w:color="auto" w:fill="D8D8D8"/>
            <w:vAlign w:val="center"/>
          </w:tcPr>
          <w:p w14:paraId="37F3665A">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要素大类</w:t>
            </w:r>
          </w:p>
        </w:tc>
        <w:tc>
          <w:tcPr>
            <w:tcW w:w="2048" w:type="dxa"/>
            <w:tcBorders>
              <w:top w:val="single" w:color="auto" w:sz="4" w:space="0"/>
              <w:left w:val="single" w:color="auto" w:sz="4" w:space="0"/>
              <w:bottom w:val="single" w:color="auto" w:sz="4" w:space="0"/>
              <w:right w:val="single" w:color="auto" w:sz="4" w:space="0"/>
            </w:tcBorders>
            <w:shd w:val="clear" w:color="auto" w:fill="D8D8D8"/>
            <w:vAlign w:val="center"/>
          </w:tcPr>
          <w:p w14:paraId="4403D8EE">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要素小类</w:t>
            </w:r>
          </w:p>
        </w:tc>
        <w:tc>
          <w:tcPr>
            <w:tcW w:w="2556" w:type="dxa"/>
            <w:tcBorders>
              <w:top w:val="single" w:color="auto" w:sz="4" w:space="0"/>
              <w:left w:val="single" w:color="auto" w:sz="4" w:space="0"/>
              <w:bottom w:val="single" w:color="auto" w:sz="4" w:space="0"/>
              <w:right w:val="single" w:color="auto" w:sz="4" w:space="0"/>
            </w:tcBorders>
            <w:shd w:val="clear" w:color="auto" w:fill="D8D8D8"/>
            <w:vAlign w:val="center"/>
          </w:tcPr>
          <w:p w14:paraId="765CA24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更新要求</w:t>
            </w:r>
          </w:p>
        </w:tc>
        <w:tc>
          <w:tcPr>
            <w:tcW w:w="2737" w:type="dxa"/>
            <w:tcBorders>
              <w:top w:val="single" w:color="auto" w:sz="4" w:space="0"/>
              <w:left w:val="single" w:color="auto" w:sz="4" w:space="0"/>
              <w:bottom w:val="single" w:color="auto" w:sz="4" w:space="0"/>
              <w:right w:val="single" w:color="auto" w:sz="4" w:space="0"/>
            </w:tcBorders>
            <w:shd w:val="clear" w:color="auto" w:fill="D8D8D8"/>
            <w:vAlign w:val="center"/>
          </w:tcPr>
          <w:p w14:paraId="59D06E0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61F4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58DC6BE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1</w:t>
            </w:r>
          </w:p>
        </w:tc>
        <w:tc>
          <w:tcPr>
            <w:tcW w:w="1315" w:type="dxa"/>
            <w:vMerge w:val="restart"/>
            <w:tcBorders>
              <w:top w:val="nil"/>
              <w:left w:val="single" w:color="auto" w:sz="4" w:space="0"/>
              <w:bottom w:val="single" w:color="auto" w:sz="4" w:space="0"/>
              <w:right w:val="single" w:color="auto" w:sz="4" w:space="0"/>
            </w:tcBorders>
            <w:vAlign w:val="center"/>
          </w:tcPr>
          <w:p w14:paraId="08A28A6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水系</w:t>
            </w:r>
          </w:p>
        </w:tc>
        <w:tc>
          <w:tcPr>
            <w:tcW w:w="2048" w:type="dxa"/>
            <w:tcBorders>
              <w:top w:val="single" w:color="auto" w:sz="4" w:space="0"/>
              <w:left w:val="single" w:color="auto" w:sz="4" w:space="0"/>
              <w:bottom w:val="single" w:color="auto" w:sz="4" w:space="0"/>
              <w:right w:val="single" w:color="auto" w:sz="4" w:space="0"/>
            </w:tcBorders>
            <w:vAlign w:val="center"/>
          </w:tcPr>
          <w:p w14:paraId="65E3E8C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地面河流</w:t>
            </w:r>
          </w:p>
        </w:tc>
        <w:tc>
          <w:tcPr>
            <w:tcW w:w="2556" w:type="dxa"/>
            <w:tcBorders>
              <w:top w:val="single" w:color="auto" w:sz="4" w:space="0"/>
              <w:left w:val="single" w:color="auto" w:sz="4" w:space="0"/>
              <w:bottom w:val="single" w:color="auto" w:sz="4" w:space="0"/>
              <w:right w:val="single" w:color="auto" w:sz="4" w:space="0"/>
            </w:tcBorders>
            <w:vAlign w:val="center"/>
          </w:tcPr>
          <w:p w14:paraId="4E78512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r>
              <w:rPr>
                <w:rFonts w:hint="eastAsia" w:ascii="宋体" w:hAnsi="宋体" w:cs="宋体"/>
                <w:color w:val="000000"/>
                <w:szCs w:val="21"/>
              </w:rPr>
              <w:t>长度200m以上变化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22CC8ED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p>
        </w:tc>
      </w:tr>
      <w:tr w14:paraId="7304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58C751A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6D66821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48B2A59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海岸线</w:t>
            </w:r>
          </w:p>
        </w:tc>
        <w:tc>
          <w:tcPr>
            <w:tcW w:w="2556" w:type="dxa"/>
            <w:tcBorders>
              <w:top w:val="single" w:color="auto" w:sz="4" w:space="0"/>
              <w:left w:val="single" w:color="auto" w:sz="4" w:space="0"/>
              <w:bottom w:val="single" w:color="auto" w:sz="4" w:space="0"/>
              <w:right w:val="single" w:color="auto" w:sz="4" w:space="0"/>
            </w:tcBorders>
            <w:vAlign w:val="center"/>
          </w:tcPr>
          <w:p w14:paraId="077960BC">
            <w:pPr>
              <w:keepNext w:val="0"/>
              <w:keepLines w:val="0"/>
              <w:pageBreakBefore w:val="0"/>
              <w:kinsoku/>
              <w:wordWrap/>
              <w:overflowPunct/>
              <w:topLinePunct w:val="0"/>
              <w:autoSpaceDE/>
              <w:autoSpaceDN/>
              <w:bidi w:val="0"/>
              <w:adjustRightInd/>
              <w:snapToGrid w:val="0"/>
              <w:spacing w:line="360" w:lineRule="exact"/>
              <w:jc w:val="both"/>
              <w:textAlignment w:val="auto"/>
              <w:rPr>
                <w:rFonts w:ascii="宋体" w:hAnsi="宋体" w:cs="宋体"/>
                <w:color w:val="000000"/>
                <w:szCs w:val="21"/>
              </w:rPr>
            </w:pPr>
            <w:r>
              <w:rPr>
                <w:rFonts w:hint="eastAsia" w:ascii="宋体" w:hAnsi="宋体" w:cs="宋体"/>
                <w:color w:val="000000"/>
                <w:szCs w:val="21"/>
              </w:rPr>
              <w:t>长度200m以上变化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39618B6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3EC5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24BBF49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7A074A2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16EBB57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湖泊、水库、池塘</w:t>
            </w:r>
          </w:p>
        </w:tc>
        <w:tc>
          <w:tcPr>
            <w:tcW w:w="2556" w:type="dxa"/>
            <w:tcBorders>
              <w:top w:val="single" w:color="auto" w:sz="4" w:space="0"/>
              <w:left w:val="single" w:color="auto" w:sz="4" w:space="0"/>
              <w:bottom w:val="single" w:color="auto" w:sz="4" w:space="0"/>
              <w:right w:val="single" w:color="auto" w:sz="4" w:space="0"/>
            </w:tcBorders>
            <w:vAlign w:val="center"/>
          </w:tcPr>
          <w:p w14:paraId="299A79A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面积1000m2以上变化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10228C8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含新建，不包括季节性变化</w:t>
            </w:r>
          </w:p>
        </w:tc>
      </w:tr>
      <w:tr w14:paraId="7A94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11F9801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2A012B5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4E49353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水系附属设施</w:t>
            </w:r>
          </w:p>
        </w:tc>
        <w:tc>
          <w:tcPr>
            <w:tcW w:w="2556" w:type="dxa"/>
            <w:tcBorders>
              <w:top w:val="single" w:color="auto" w:sz="4" w:space="0"/>
              <w:left w:val="single" w:color="auto" w:sz="4" w:space="0"/>
              <w:bottom w:val="single" w:color="auto" w:sz="4" w:space="0"/>
              <w:right w:val="single" w:color="auto" w:sz="4" w:space="0"/>
            </w:tcBorders>
            <w:vAlign w:val="center"/>
          </w:tcPr>
          <w:p w14:paraId="4B0A13D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0824F05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与变化水系要素同步更新</w:t>
            </w:r>
          </w:p>
        </w:tc>
      </w:tr>
      <w:tr w14:paraId="48F8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31DA404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1315" w:type="dxa"/>
            <w:vMerge w:val="restart"/>
            <w:tcBorders>
              <w:top w:val="nil"/>
              <w:left w:val="single" w:color="auto" w:sz="4" w:space="0"/>
              <w:bottom w:val="single" w:color="auto" w:sz="4" w:space="0"/>
              <w:right w:val="single" w:color="auto" w:sz="4" w:space="0"/>
            </w:tcBorders>
            <w:vAlign w:val="center"/>
          </w:tcPr>
          <w:p w14:paraId="179AEBA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居民地及设施</w:t>
            </w:r>
          </w:p>
        </w:tc>
        <w:tc>
          <w:tcPr>
            <w:tcW w:w="2048" w:type="dxa"/>
            <w:tcBorders>
              <w:top w:val="single" w:color="auto" w:sz="4" w:space="0"/>
              <w:left w:val="single" w:color="auto" w:sz="4" w:space="0"/>
              <w:bottom w:val="single" w:color="auto" w:sz="4" w:space="0"/>
              <w:right w:val="single" w:color="auto" w:sz="4" w:space="0"/>
            </w:tcBorders>
            <w:vAlign w:val="center"/>
          </w:tcPr>
          <w:p w14:paraId="685042A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r>
              <w:rPr>
                <w:rFonts w:hint="eastAsia" w:ascii="宋体" w:hAnsi="宋体" w:cs="宋体"/>
                <w:color w:val="000000"/>
                <w:szCs w:val="21"/>
              </w:rPr>
              <w:t>一般房屋</w:t>
            </w:r>
          </w:p>
        </w:tc>
        <w:tc>
          <w:tcPr>
            <w:tcW w:w="2556" w:type="dxa"/>
            <w:tcBorders>
              <w:top w:val="single" w:color="auto" w:sz="4" w:space="0"/>
              <w:left w:val="single" w:color="auto" w:sz="4" w:space="0"/>
              <w:bottom w:val="single" w:color="auto" w:sz="4" w:space="0"/>
              <w:right w:val="single" w:color="auto" w:sz="4" w:space="0"/>
            </w:tcBorders>
            <w:vAlign w:val="center"/>
          </w:tcPr>
          <w:p w14:paraId="45BB7A0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r>
              <w:rPr>
                <w:rFonts w:hint="eastAsia" w:ascii="宋体" w:hAnsi="宋体" w:cs="宋体"/>
                <w:color w:val="000000"/>
                <w:szCs w:val="21"/>
              </w:rPr>
              <w:t>面积400m2以上变化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4EF9CCA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p>
        </w:tc>
      </w:tr>
      <w:tr w14:paraId="744C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7185479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733FE1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08BE69E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农业生产设施</w:t>
            </w:r>
          </w:p>
        </w:tc>
        <w:tc>
          <w:tcPr>
            <w:tcW w:w="2556" w:type="dxa"/>
            <w:tcBorders>
              <w:top w:val="single" w:color="auto" w:sz="4" w:space="0"/>
              <w:left w:val="single" w:color="auto" w:sz="4" w:space="0"/>
              <w:bottom w:val="single" w:color="auto" w:sz="4" w:space="0"/>
              <w:right w:val="single" w:color="auto" w:sz="4" w:space="0"/>
            </w:tcBorders>
            <w:vAlign w:val="center"/>
          </w:tcPr>
          <w:p w14:paraId="2E7B594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面积400m2以上变化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20A1C68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饲养场、水产养殖场、温室、大棚等</w:t>
            </w:r>
          </w:p>
        </w:tc>
      </w:tr>
      <w:tr w14:paraId="7BF8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1ED403D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33FDA6E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20366D7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科教文卫社会</w:t>
            </w:r>
          </w:p>
        </w:tc>
        <w:tc>
          <w:tcPr>
            <w:tcW w:w="2556" w:type="dxa"/>
            <w:tcBorders>
              <w:top w:val="single" w:color="auto" w:sz="4" w:space="0"/>
              <w:left w:val="single" w:color="auto" w:sz="4" w:space="0"/>
              <w:bottom w:val="single" w:color="auto" w:sz="4" w:space="0"/>
              <w:right w:val="single" w:color="auto" w:sz="4" w:space="0"/>
            </w:tcBorders>
            <w:vAlign w:val="center"/>
          </w:tcPr>
          <w:p w14:paraId="12AB125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0B816BC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学校、医院、体育馆、科技馆、博物馆、展览馆等</w:t>
            </w:r>
          </w:p>
        </w:tc>
      </w:tr>
      <w:tr w14:paraId="329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2830B6E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726258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64F29C4D">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墓地、坟地、宗教场所</w:t>
            </w:r>
          </w:p>
        </w:tc>
        <w:tc>
          <w:tcPr>
            <w:tcW w:w="2556" w:type="dxa"/>
            <w:tcBorders>
              <w:top w:val="single" w:color="auto" w:sz="4" w:space="0"/>
              <w:left w:val="single" w:color="auto" w:sz="4" w:space="0"/>
              <w:bottom w:val="single" w:color="auto" w:sz="4" w:space="0"/>
              <w:right w:val="single" w:color="auto" w:sz="4" w:space="0"/>
            </w:tcBorders>
            <w:vAlign w:val="center"/>
          </w:tcPr>
          <w:p w14:paraId="787B047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面积400m2以上变化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40BC3B0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宗教场所包括庙宇、教堂、清真寺等</w:t>
            </w:r>
          </w:p>
        </w:tc>
      </w:tr>
      <w:tr w14:paraId="722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5" w:type="dxa"/>
            <w:vMerge w:val="continue"/>
            <w:tcBorders>
              <w:top w:val="nil"/>
              <w:left w:val="single" w:color="auto" w:sz="4" w:space="0"/>
              <w:bottom w:val="single" w:color="auto" w:sz="4" w:space="0"/>
              <w:right w:val="single" w:color="auto" w:sz="4" w:space="0"/>
            </w:tcBorders>
            <w:vAlign w:val="center"/>
          </w:tcPr>
          <w:p w14:paraId="1FE5652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7CEF903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1650B46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施工区</w:t>
            </w:r>
          </w:p>
        </w:tc>
        <w:tc>
          <w:tcPr>
            <w:tcW w:w="2556" w:type="dxa"/>
            <w:tcBorders>
              <w:top w:val="single" w:color="auto" w:sz="4" w:space="0"/>
              <w:left w:val="single" w:color="auto" w:sz="4" w:space="0"/>
              <w:bottom w:val="single" w:color="auto" w:sz="4" w:space="0"/>
              <w:right w:val="single" w:color="auto" w:sz="4" w:space="0"/>
            </w:tcBorders>
            <w:vAlign w:val="center"/>
          </w:tcPr>
          <w:p w14:paraId="1B46340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面积400m2以上变化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031E5D4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4A5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20FF2A4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6D7AE87">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5ACDEA2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其他居民地及设施</w:t>
            </w:r>
          </w:p>
        </w:tc>
        <w:tc>
          <w:tcPr>
            <w:tcW w:w="2556" w:type="dxa"/>
            <w:tcBorders>
              <w:top w:val="single" w:color="auto" w:sz="4" w:space="0"/>
              <w:left w:val="single" w:color="auto" w:sz="4" w:space="0"/>
              <w:bottom w:val="single" w:color="auto" w:sz="4" w:space="0"/>
              <w:right w:val="single" w:color="auto" w:sz="4" w:space="0"/>
            </w:tcBorders>
            <w:vAlign w:val="center"/>
          </w:tcPr>
          <w:p w14:paraId="3CBDC97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长度200m以上变化或面积400m2以上变化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5C254AD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围墙、栅栏、栏杆、地类界、铁丝网、露天采掘场、乱掘地等</w:t>
            </w:r>
          </w:p>
        </w:tc>
      </w:tr>
      <w:tr w14:paraId="284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5CB76F4F">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15" w:type="dxa"/>
            <w:vMerge w:val="restart"/>
            <w:tcBorders>
              <w:top w:val="nil"/>
              <w:left w:val="single" w:color="auto" w:sz="4" w:space="0"/>
              <w:bottom w:val="single" w:color="auto" w:sz="4" w:space="0"/>
              <w:right w:val="single" w:color="auto" w:sz="4" w:space="0"/>
            </w:tcBorders>
            <w:vAlign w:val="center"/>
          </w:tcPr>
          <w:p w14:paraId="68F1524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交通</w:t>
            </w:r>
          </w:p>
        </w:tc>
        <w:tc>
          <w:tcPr>
            <w:tcW w:w="2048" w:type="dxa"/>
            <w:tcBorders>
              <w:top w:val="single" w:color="auto" w:sz="4" w:space="0"/>
              <w:left w:val="single" w:color="auto" w:sz="4" w:space="0"/>
              <w:bottom w:val="single" w:color="auto" w:sz="4" w:space="0"/>
              <w:right w:val="single" w:color="auto" w:sz="4" w:space="0"/>
            </w:tcBorders>
            <w:vAlign w:val="center"/>
          </w:tcPr>
          <w:p w14:paraId="209F950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r>
              <w:rPr>
                <w:rFonts w:hint="eastAsia" w:ascii="宋体" w:hAnsi="宋体" w:cs="宋体"/>
                <w:color w:val="000000"/>
                <w:szCs w:val="21"/>
              </w:rPr>
              <w:t>铁路、城市</w:t>
            </w:r>
          </w:p>
        </w:tc>
        <w:tc>
          <w:tcPr>
            <w:tcW w:w="2556" w:type="dxa"/>
            <w:tcBorders>
              <w:top w:val="single" w:color="auto" w:sz="4" w:space="0"/>
              <w:left w:val="single" w:color="auto" w:sz="4" w:space="0"/>
              <w:bottom w:val="single" w:color="auto" w:sz="4" w:space="0"/>
              <w:right w:val="single" w:color="auto" w:sz="4" w:space="0"/>
            </w:tcBorders>
            <w:vAlign w:val="center"/>
          </w:tcPr>
          <w:p w14:paraId="3752D4D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r>
              <w:rPr>
                <w:rFonts w:hint="eastAsia" w:ascii="宋体" w:hAnsi="宋体" w:cs="宋体"/>
                <w:color w:val="000000"/>
                <w:szCs w:val="21"/>
              </w:rPr>
              <w:t>含新建、改建、废弃、名称变化等情况</w:t>
            </w:r>
          </w:p>
        </w:tc>
        <w:tc>
          <w:tcPr>
            <w:tcW w:w="2737" w:type="dxa"/>
            <w:tcBorders>
              <w:top w:val="single" w:color="auto" w:sz="4" w:space="0"/>
              <w:left w:val="single" w:color="auto" w:sz="4" w:space="0"/>
              <w:bottom w:val="single" w:color="auto" w:sz="4" w:space="0"/>
              <w:right w:val="single" w:color="auto" w:sz="4" w:space="0"/>
            </w:tcBorders>
            <w:vAlign w:val="center"/>
          </w:tcPr>
          <w:p w14:paraId="698CCFD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000000"/>
                <w:szCs w:val="21"/>
              </w:rPr>
            </w:pPr>
          </w:p>
        </w:tc>
      </w:tr>
      <w:tr w14:paraId="0108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78B1F4FD">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6ABA0A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70422FC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公路</w:t>
            </w:r>
          </w:p>
        </w:tc>
        <w:tc>
          <w:tcPr>
            <w:tcW w:w="2556" w:type="dxa"/>
            <w:tcBorders>
              <w:top w:val="single" w:color="auto" w:sz="4" w:space="0"/>
              <w:left w:val="single" w:color="auto" w:sz="4" w:space="0"/>
              <w:bottom w:val="single" w:color="auto" w:sz="4" w:space="0"/>
              <w:right w:val="single" w:color="auto" w:sz="4" w:space="0"/>
            </w:tcBorders>
            <w:vAlign w:val="center"/>
          </w:tcPr>
          <w:p w14:paraId="7576BE7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含新建、改建、废弃、名称变化等情况</w:t>
            </w:r>
          </w:p>
        </w:tc>
        <w:tc>
          <w:tcPr>
            <w:tcW w:w="2737" w:type="dxa"/>
            <w:tcBorders>
              <w:top w:val="single" w:color="auto" w:sz="4" w:space="0"/>
              <w:left w:val="single" w:color="auto" w:sz="4" w:space="0"/>
              <w:bottom w:val="single" w:color="auto" w:sz="4" w:space="0"/>
              <w:right w:val="single" w:color="auto" w:sz="4" w:space="0"/>
            </w:tcBorders>
            <w:vAlign w:val="center"/>
          </w:tcPr>
          <w:p w14:paraId="3B18021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包含高速公路、国道、省道、县道、乡道、村道及专用道路等</w:t>
            </w:r>
          </w:p>
        </w:tc>
      </w:tr>
      <w:tr w14:paraId="72C0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05D3C894">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364EF24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5FFB384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城市道路</w:t>
            </w:r>
          </w:p>
        </w:tc>
        <w:tc>
          <w:tcPr>
            <w:tcW w:w="2556" w:type="dxa"/>
            <w:tcBorders>
              <w:top w:val="single" w:color="auto" w:sz="4" w:space="0"/>
              <w:left w:val="single" w:color="auto" w:sz="4" w:space="0"/>
              <w:bottom w:val="single" w:color="auto" w:sz="4" w:space="0"/>
              <w:right w:val="single" w:color="auto" w:sz="4" w:space="0"/>
            </w:tcBorders>
            <w:vAlign w:val="center"/>
          </w:tcPr>
          <w:p w14:paraId="218086C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含新建、改建、废弃、名称变化等情况</w:t>
            </w:r>
          </w:p>
        </w:tc>
        <w:tc>
          <w:tcPr>
            <w:tcW w:w="2737" w:type="dxa"/>
            <w:tcBorders>
              <w:top w:val="single" w:color="auto" w:sz="4" w:space="0"/>
              <w:left w:val="single" w:color="auto" w:sz="4" w:space="0"/>
              <w:bottom w:val="single" w:color="auto" w:sz="4" w:space="0"/>
              <w:right w:val="single" w:color="auto" w:sz="4" w:space="0"/>
            </w:tcBorders>
            <w:vAlign w:val="center"/>
          </w:tcPr>
          <w:p w14:paraId="34F6120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包含快速路、高架路（桥）、主干道、次干道、支线等</w:t>
            </w:r>
          </w:p>
        </w:tc>
      </w:tr>
      <w:tr w14:paraId="5956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3A960B9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6A6CD4CB">
            <w:pPr>
              <w:keepNext w:val="0"/>
              <w:keepLines w:val="0"/>
              <w:pageBreakBefore w:val="0"/>
              <w:widowControl/>
              <w:kinsoku/>
              <w:wordWrap/>
              <w:overflowPunct/>
              <w:topLinePunct w:val="0"/>
              <w:autoSpaceDE/>
              <w:autoSpaceDN/>
              <w:bidi w:val="0"/>
              <w:adjustRightInd/>
              <w:spacing w:line="360" w:lineRule="exact"/>
              <w:jc w:val="left"/>
              <w:textAlignment w:val="auto"/>
              <w:rPr>
                <w:rFonts w:ascii="仿宋" w:hAnsi="仿宋" w:eastAsia="仿宋"/>
                <w:kern w:val="0"/>
                <w:sz w:val="20"/>
                <w:szCs w:val="20"/>
              </w:rPr>
            </w:pPr>
          </w:p>
        </w:tc>
        <w:tc>
          <w:tcPr>
            <w:tcW w:w="2048" w:type="dxa"/>
            <w:tcBorders>
              <w:top w:val="single" w:color="auto" w:sz="4" w:space="0"/>
              <w:left w:val="single" w:color="auto" w:sz="4" w:space="0"/>
              <w:bottom w:val="single" w:color="auto" w:sz="4" w:space="0"/>
              <w:right w:val="single" w:color="auto" w:sz="4" w:space="0"/>
            </w:tcBorders>
            <w:vAlign w:val="center"/>
          </w:tcPr>
          <w:p w14:paraId="01E0870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其他道路</w:t>
            </w:r>
          </w:p>
        </w:tc>
        <w:tc>
          <w:tcPr>
            <w:tcW w:w="2556" w:type="dxa"/>
            <w:tcBorders>
              <w:top w:val="single" w:color="auto" w:sz="4" w:space="0"/>
              <w:left w:val="single" w:color="auto" w:sz="4" w:space="0"/>
              <w:bottom w:val="single" w:color="auto" w:sz="4" w:space="0"/>
              <w:right w:val="single" w:color="auto" w:sz="4" w:space="0"/>
            </w:tcBorders>
            <w:vAlign w:val="center"/>
          </w:tcPr>
          <w:p w14:paraId="4925F16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长度1km以上变化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4857888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机耕路（大路）等</w:t>
            </w:r>
          </w:p>
        </w:tc>
      </w:tr>
      <w:tr w14:paraId="73FD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248F591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1AE850AD">
            <w:pPr>
              <w:keepNext w:val="0"/>
              <w:keepLines w:val="0"/>
              <w:pageBreakBefore w:val="0"/>
              <w:widowControl/>
              <w:kinsoku/>
              <w:wordWrap/>
              <w:overflowPunct/>
              <w:topLinePunct w:val="0"/>
              <w:autoSpaceDE/>
              <w:autoSpaceDN/>
              <w:bidi w:val="0"/>
              <w:adjustRightInd/>
              <w:spacing w:line="360" w:lineRule="exact"/>
              <w:jc w:val="left"/>
              <w:textAlignment w:val="auto"/>
              <w:rPr>
                <w:rFonts w:ascii="仿宋" w:hAnsi="仿宋" w:eastAsia="仿宋"/>
                <w:kern w:val="0"/>
                <w:sz w:val="20"/>
                <w:szCs w:val="20"/>
              </w:rPr>
            </w:pPr>
          </w:p>
        </w:tc>
        <w:tc>
          <w:tcPr>
            <w:tcW w:w="2048" w:type="dxa"/>
            <w:tcBorders>
              <w:top w:val="single" w:color="auto" w:sz="4" w:space="0"/>
              <w:left w:val="single" w:color="auto" w:sz="4" w:space="0"/>
              <w:bottom w:val="single" w:color="auto" w:sz="4" w:space="0"/>
              <w:right w:val="single" w:color="auto" w:sz="4" w:space="0"/>
            </w:tcBorders>
            <w:vAlign w:val="center"/>
          </w:tcPr>
          <w:p w14:paraId="7B06E73D">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交通附属设施</w:t>
            </w:r>
          </w:p>
        </w:tc>
        <w:tc>
          <w:tcPr>
            <w:tcW w:w="2556" w:type="dxa"/>
            <w:tcBorders>
              <w:top w:val="single" w:color="auto" w:sz="4" w:space="0"/>
              <w:left w:val="single" w:color="auto" w:sz="4" w:space="0"/>
              <w:bottom w:val="single" w:color="auto" w:sz="4" w:space="0"/>
              <w:right w:val="single" w:color="auto" w:sz="4" w:space="0"/>
            </w:tcBorders>
            <w:vAlign w:val="center"/>
          </w:tcPr>
          <w:p w14:paraId="6B63FC9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含新建、改建、废弃、名称变化等情况</w:t>
            </w:r>
          </w:p>
        </w:tc>
        <w:tc>
          <w:tcPr>
            <w:tcW w:w="2737" w:type="dxa"/>
            <w:tcBorders>
              <w:top w:val="single" w:color="auto" w:sz="4" w:space="0"/>
              <w:left w:val="single" w:color="auto" w:sz="4" w:space="0"/>
              <w:bottom w:val="single" w:color="auto" w:sz="4" w:space="0"/>
              <w:right w:val="single" w:color="auto" w:sz="4" w:space="0"/>
            </w:tcBorders>
            <w:vAlign w:val="center"/>
          </w:tcPr>
          <w:p w14:paraId="0E3571F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与变化交通要素同步更新</w:t>
            </w:r>
          </w:p>
        </w:tc>
      </w:tr>
      <w:tr w14:paraId="4668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3EC0E959">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15" w:type="dxa"/>
            <w:vMerge w:val="restart"/>
            <w:tcBorders>
              <w:top w:val="nil"/>
              <w:left w:val="single" w:color="auto" w:sz="4" w:space="0"/>
              <w:bottom w:val="single" w:color="auto" w:sz="4" w:space="0"/>
              <w:right w:val="single" w:color="auto" w:sz="4" w:space="0"/>
            </w:tcBorders>
            <w:vAlign w:val="center"/>
          </w:tcPr>
          <w:p w14:paraId="60A597C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管线</w:t>
            </w:r>
          </w:p>
        </w:tc>
        <w:tc>
          <w:tcPr>
            <w:tcW w:w="2048" w:type="dxa"/>
            <w:tcBorders>
              <w:top w:val="single" w:color="auto" w:sz="4" w:space="0"/>
              <w:left w:val="single" w:color="auto" w:sz="4" w:space="0"/>
              <w:bottom w:val="single" w:color="auto" w:sz="4" w:space="0"/>
              <w:right w:val="single" w:color="auto" w:sz="4" w:space="0"/>
            </w:tcBorders>
            <w:vAlign w:val="center"/>
          </w:tcPr>
          <w:p w14:paraId="30F979F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输电线</w:t>
            </w:r>
          </w:p>
        </w:tc>
        <w:tc>
          <w:tcPr>
            <w:tcW w:w="2556" w:type="dxa"/>
            <w:tcBorders>
              <w:top w:val="single" w:color="auto" w:sz="4" w:space="0"/>
              <w:left w:val="single" w:color="auto" w:sz="4" w:space="0"/>
              <w:bottom w:val="single" w:color="auto" w:sz="4" w:space="0"/>
              <w:right w:val="single" w:color="auto" w:sz="4" w:space="0"/>
            </w:tcBorders>
            <w:vAlign w:val="center"/>
          </w:tcPr>
          <w:p w14:paraId="2353A63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含新建、改线、废弃等情况</w:t>
            </w:r>
          </w:p>
        </w:tc>
        <w:tc>
          <w:tcPr>
            <w:tcW w:w="2737" w:type="dxa"/>
            <w:tcBorders>
              <w:top w:val="single" w:color="auto" w:sz="4" w:space="0"/>
              <w:left w:val="single" w:color="auto" w:sz="4" w:space="0"/>
              <w:bottom w:val="single" w:color="auto" w:sz="4" w:space="0"/>
              <w:right w:val="single" w:color="auto" w:sz="4" w:space="0"/>
            </w:tcBorders>
            <w:vAlign w:val="center"/>
          </w:tcPr>
          <w:p w14:paraId="4DEF4CC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35kv以上</w:t>
            </w:r>
          </w:p>
        </w:tc>
      </w:tr>
      <w:tr w14:paraId="4A7A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0983ABF8">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DB4CAD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54FB350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管道</w:t>
            </w:r>
          </w:p>
        </w:tc>
        <w:tc>
          <w:tcPr>
            <w:tcW w:w="2556" w:type="dxa"/>
            <w:tcBorders>
              <w:top w:val="single" w:color="auto" w:sz="4" w:space="0"/>
              <w:left w:val="single" w:color="auto" w:sz="4" w:space="0"/>
              <w:bottom w:val="single" w:color="auto" w:sz="4" w:space="0"/>
              <w:right w:val="single" w:color="auto" w:sz="4" w:space="0"/>
            </w:tcBorders>
            <w:vAlign w:val="center"/>
          </w:tcPr>
          <w:p w14:paraId="5EFCC88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含新建、改线、废弃等情况</w:t>
            </w:r>
          </w:p>
        </w:tc>
        <w:tc>
          <w:tcPr>
            <w:tcW w:w="2737" w:type="dxa"/>
            <w:tcBorders>
              <w:top w:val="single" w:color="auto" w:sz="4" w:space="0"/>
              <w:left w:val="single" w:color="auto" w:sz="4" w:space="0"/>
              <w:bottom w:val="single" w:color="auto" w:sz="4" w:space="0"/>
              <w:right w:val="single" w:color="auto" w:sz="4" w:space="0"/>
            </w:tcBorders>
            <w:vAlign w:val="center"/>
          </w:tcPr>
          <w:p w14:paraId="4D68B6B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国家主干油气管道</w:t>
            </w:r>
          </w:p>
        </w:tc>
      </w:tr>
      <w:tr w14:paraId="3DA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478925A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0177D88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74D5D9B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其他重要管线及附属设施</w:t>
            </w:r>
          </w:p>
        </w:tc>
        <w:tc>
          <w:tcPr>
            <w:tcW w:w="2556" w:type="dxa"/>
            <w:tcBorders>
              <w:top w:val="single" w:color="auto" w:sz="4" w:space="0"/>
              <w:left w:val="single" w:color="auto" w:sz="4" w:space="0"/>
              <w:bottom w:val="single" w:color="auto" w:sz="4" w:space="0"/>
              <w:right w:val="single" w:color="auto" w:sz="4" w:space="0"/>
            </w:tcBorders>
            <w:vAlign w:val="center"/>
          </w:tcPr>
          <w:p w14:paraId="701CBA2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含新建、改线、废弃等情况</w:t>
            </w:r>
          </w:p>
        </w:tc>
        <w:tc>
          <w:tcPr>
            <w:tcW w:w="2737" w:type="dxa"/>
            <w:tcBorders>
              <w:top w:val="single" w:color="auto" w:sz="4" w:space="0"/>
              <w:left w:val="single" w:color="auto" w:sz="4" w:space="0"/>
              <w:bottom w:val="single" w:color="auto" w:sz="4" w:space="0"/>
              <w:right w:val="single" w:color="auto" w:sz="4" w:space="0"/>
            </w:tcBorders>
            <w:vAlign w:val="center"/>
          </w:tcPr>
          <w:p w14:paraId="727A900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重点海底光缆、电缆等</w:t>
            </w:r>
          </w:p>
        </w:tc>
      </w:tr>
      <w:tr w14:paraId="05B1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076E2A30">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15" w:type="dxa"/>
            <w:vMerge w:val="restart"/>
            <w:tcBorders>
              <w:top w:val="nil"/>
              <w:left w:val="single" w:color="auto" w:sz="4" w:space="0"/>
              <w:bottom w:val="single" w:color="auto" w:sz="4" w:space="0"/>
              <w:right w:val="single" w:color="auto" w:sz="4" w:space="0"/>
            </w:tcBorders>
            <w:vAlign w:val="center"/>
          </w:tcPr>
          <w:p w14:paraId="4FCF745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境界</w:t>
            </w:r>
          </w:p>
        </w:tc>
        <w:tc>
          <w:tcPr>
            <w:tcW w:w="2048" w:type="dxa"/>
            <w:tcBorders>
              <w:top w:val="single" w:color="auto" w:sz="4" w:space="0"/>
              <w:left w:val="single" w:color="auto" w:sz="4" w:space="0"/>
              <w:bottom w:val="single" w:color="auto" w:sz="4" w:space="0"/>
              <w:right w:val="single" w:color="auto" w:sz="4" w:space="0"/>
            </w:tcBorders>
            <w:vAlign w:val="center"/>
          </w:tcPr>
          <w:p w14:paraId="3A9B2C9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乡、镇级以上界线</w:t>
            </w:r>
          </w:p>
        </w:tc>
        <w:tc>
          <w:tcPr>
            <w:tcW w:w="2556" w:type="dxa"/>
            <w:tcBorders>
              <w:top w:val="single" w:color="auto" w:sz="4" w:space="0"/>
              <w:left w:val="single" w:color="auto" w:sz="4" w:space="0"/>
              <w:bottom w:val="single" w:color="auto" w:sz="4" w:space="0"/>
              <w:right w:val="single" w:color="auto" w:sz="4" w:space="0"/>
            </w:tcBorders>
            <w:vAlign w:val="center"/>
          </w:tcPr>
          <w:p w14:paraId="3AF2E87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66C0C5B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5ABC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668FC7F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5FAB9EED">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38B6B58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开发区、保税区</w:t>
            </w:r>
          </w:p>
        </w:tc>
        <w:tc>
          <w:tcPr>
            <w:tcW w:w="2556" w:type="dxa"/>
            <w:tcBorders>
              <w:top w:val="single" w:color="auto" w:sz="4" w:space="0"/>
              <w:left w:val="single" w:color="auto" w:sz="4" w:space="0"/>
              <w:bottom w:val="single" w:color="auto" w:sz="4" w:space="0"/>
              <w:right w:val="single" w:color="auto" w:sz="4" w:space="0"/>
            </w:tcBorders>
            <w:vAlign w:val="center"/>
          </w:tcPr>
          <w:p w14:paraId="766F7E3D">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3D293AC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6AA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51AE04F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kern w:val="0"/>
                <w:sz w:val="21"/>
                <w:szCs w:val="21"/>
              </w:rPr>
            </w:pPr>
          </w:p>
        </w:tc>
        <w:tc>
          <w:tcPr>
            <w:tcW w:w="1315" w:type="dxa"/>
            <w:vMerge w:val="continue"/>
            <w:tcBorders>
              <w:top w:val="nil"/>
              <w:left w:val="single" w:color="auto" w:sz="4" w:space="0"/>
              <w:bottom w:val="single" w:color="auto" w:sz="4" w:space="0"/>
              <w:right w:val="single" w:color="auto" w:sz="4" w:space="0"/>
            </w:tcBorders>
            <w:vAlign w:val="center"/>
          </w:tcPr>
          <w:p w14:paraId="414E1B58">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00B0A56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自然、文化保护区</w:t>
            </w:r>
          </w:p>
        </w:tc>
        <w:tc>
          <w:tcPr>
            <w:tcW w:w="2556" w:type="dxa"/>
            <w:tcBorders>
              <w:top w:val="single" w:color="auto" w:sz="4" w:space="0"/>
              <w:left w:val="single" w:color="auto" w:sz="4" w:space="0"/>
              <w:bottom w:val="single" w:color="auto" w:sz="4" w:space="0"/>
              <w:right w:val="single" w:color="auto" w:sz="4" w:space="0"/>
            </w:tcBorders>
            <w:vAlign w:val="center"/>
          </w:tcPr>
          <w:p w14:paraId="68ED5E1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12A6ED0C">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2F36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49B02CC">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15" w:type="dxa"/>
            <w:tcBorders>
              <w:top w:val="single" w:color="auto" w:sz="4" w:space="0"/>
              <w:left w:val="single" w:color="auto" w:sz="4" w:space="0"/>
              <w:bottom w:val="single" w:color="auto" w:sz="4" w:space="0"/>
              <w:right w:val="single" w:color="auto" w:sz="4" w:space="0"/>
            </w:tcBorders>
            <w:vAlign w:val="center"/>
          </w:tcPr>
          <w:p w14:paraId="5511A80A">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地貌</w:t>
            </w:r>
          </w:p>
        </w:tc>
        <w:tc>
          <w:tcPr>
            <w:tcW w:w="2048" w:type="dxa"/>
            <w:tcBorders>
              <w:top w:val="single" w:color="auto" w:sz="4" w:space="0"/>
              <w:left w:val="single" w:color="auto" w:sz="4" w:space="0"/>
              <w:bottom w:val="single" w:color="auto" w:sz="4" w:space="0"/>
              <w:right w:val="single" w:color="auto" w:sz="4" w:space="0"/>
            </w:tcBorders>
            <w:vAlign w:val="center"/>
          </w:tcPr>
          <w:p w14:paraId="2CAB097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地貌</w:t>
            </w:r>
          </w:p>
        </w:tc>
        <w:tc>
          <w:tcPr>
            <w:tcW w:w="2556" w:type="dxa"/>
            <w:tcBorders>
              <w:top w:val="single" w:color="auto" w:sz="4" w:space="0"/>
              <w:left w:val="single" w:color="auto" w:sz="4" w:space="0"/>
              <w:bottom w:val="single" w:color="auto" w:sz="4" w:space="0"/>
              <w:right w:val="single" w:color="auto" w:sz="4" w:space="0"/>
            </w:tcBorders>
            <w:vAlign w:val="center"/>
          </w:tcPr>
          <w:p w14:paraId="60F390B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长度200m以上变化或面积5000m2以上变化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47E51AE5">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r>
      <w:tr w14:paraId="55E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D526427">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15" w:type="dxa"/>
            <w:tcBorders>
              <w:top w:val="single" w:color="auto" w:sz="4" w:space="0"/>
              <w:left w:val="single" w:color="auto" w:sz="4" w:space="0"/>
              <w:bottom w:val="single" w:color="auto" w:sz="4" w:space="0"/>
              <w:right w:val="single" w:color="auto" w:sz="4" w:space="0"/>
            </w:tcBorders>
            <w:vAlign w:val="center"/>
          </w:tcPr>
          <w:p w14:paraId="7C5E2C44">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植被与土质</w:t>
            </w:r>
          </w:p>
        </w:tc>
        <w:tc>
          <w:tcPr>
            <w:tcW w:w="2048" w:type="dxa"/>
            <w:tcBorders>
              <w:top w:val="single" w:color="auto" w:sz="4" w:space="0"/>
              <w:left w:val="single" w:color="auto" w:sz="4" w:space="0"/>
              <w:bottom w:val="single" w:color="auto" w:sz="4" w:space="0"/>
              <w:right w:val="single" w:color="auto" w:sz="4" w:space="0"/>
            </w:tcBorders>
            <w:vAlign w:val="center"/>
          </w:tcPr>
          <w:p w14:paraId="5900CCEE">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植被与土质</w:t>
            </w:r>
          </w:p>
        </w:tc>
        <w:tc>
          <w:tcPr>
            <w:tcW w:w="2556" w:type="dxa"/>
            <w:tcBorders>
              <w:top w:val="single" w:color="auto" w:sz="4" w:space="0"/>
              <w:left w:val="single" w:color="auto" w:sz="4" w:space="0"/>
              <w:bottom w:val="single" w:color="auto" w:sz="4" w:space="0"/>
              <w:right w:val="single" w:color="auto" w:sz="4" w:space="0"/>
            </w:tcBorders>
            <w:vAlign w:val="center"/>
          </w:tcPr>
          <w:p w14:paraId="53612D0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面积1000m2以上变化</w:t>
            </w:r>
          </w:p>
        </w:tc>
        <w:tc>
          <w:tcPr>
            <w:tcW w:w="2737" w:type="dxa"/>
            <w:tcBorders>
              <w:top w:val="single" w:color="auto" w:sz="4" w:space="0"/>
              <w:left w:val="single" w:color="auto" w:sz="4" w:space="0"/>
              <w:bottom w:val="single" w:color="auto" w:sz="4" w:space="0"/>
              <w:right w:val="single" w:color="auto" w:sz="4" w:space="0"/>
            </w:tcBorders>
            <w:vAlign w:val="center"/>
          </w:tcPr>
          <w:p w14:paraId="6EF22E2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不包括季节性变化</w:t>
            </w:r>
          </w:p>
        </w:tc>
      </w:tr>
      <w:tr w14:paraId="7E48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14:paraId="4983FAD7">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15" w:type="dxa"/>
            <w:vMerge w:val="restart"/>
            <w:tcBorders>
              <w:top w:val="nil"/>
              <w:left w:val="single" w:color="auto" w:sz="4" w:space="0"/>
              <w:bottom w:val="single" w:color="auto" w:sz="4" w:space="0"/>
              <w:right w:val="single" w:color="auto" w:sz="4" w:space="0"/>
            </w:tcBorders>
            <w:vAlign w:val="center"/>
          </w:tcPr>
          <w:p w14:paraId="48C85813">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地名</w:t>
            </w:r>
          </w:p>
        </w:tc>
        <w:tc>
          <w:tcPr>
            <w:tcW w:w="2048" w:type="dxa"/>
            <w:tcBorders>
              <w:top w:val="single" w:color="auto" w:sz="4" w:space="0"/>
              <w:left w:val="single" w:color="auto" w:sz="4" w:space="0"/>
              <w:bottom w:val="single" w:color="auto" w:sz="4" w:space="0"/>
              <w:right w:val="single" w:color="auto" w:sz="4" w:space="0"/>
            </w:tcBorders>
            <w:vAlign w:val="center"/>
          </w:tcPr>
          <w:p w14:paraId="3066803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名称对象点</w:t>
            </w:r>
          </w:p>
        </w:tc>
        <w:tc>
          <w:tcPr>
            <w:tcW w:w="2556" w:type="dxa"/>
            <w:tcBorders>
              <w:top w:val="single" w:color="auto" w:sz="4" w:space="0"/>
              <w:left w:val="single" w:color="auto" w:sz="4" w:space="0"/>
              <w:bottom w:val="single" w:color="auto" w:sz="4" w:space="0"/>
              <w:right w:val="single" w:color="auto" w:sz="4" w:space="0"/>
            </w:tcBorders>
            <w:vAlign w:val="center"/>
          </w:tcPr>
          <w:p w14:paraId="4AFCC861">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06A81E5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与相应变化居民地同步更新，名称以地名办发布信息为准</w:t>
            </w:r>
          </w:p>
        </w:tc>
      </w:tr>
      <w:tr w14:paraId="4446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top w:val="nil"/>
              <w:left w:val="single" w:color="auto" w:sz="4" w:space="0"/>
              <w:bottom w:val="single" w:color="auto" w:sz="4" w:space="0"/>
              <w:right w:val="single" w:color="auto" w:sz="4" w:space="0"/>
            </w:tcBorders>
            <w:vAlign w:val="center"/>
          </w:tcPr>
          <w:p w14:paraId="6DA3E18D">
            <w:pPr>
              <w:keepNext w:val="0"/>
              <w:keepLines w:val="0"/>
              <w:pageBreakBefore w:val="0"/>
              <w:widowControl/>
              <w:kinsoku/>
              <w:wordWrap/>
              <w:overflowPunct/>
              <w:topLinePunct w:val="0"/>
              <w:autoSpaceDE/>
              <w:autoSpaceDN/>
              <w:bidi w:val="0"/>
              <w:adjustRightInd/>
              <w:spacing w:line="360" w:lineRule="exact"/>
              <w:jc w:val="left"/>
              <w:textAlignment w:val="auto"/>
              <w:rPr>
                <w:rFonts w:ascii="仿宋" w:hAnsi="仿宋" w:eastAsia="仿宋"/>
                <w:kern w:val="0"/>
                <w:sz w:val="20"/>
                <w:szCs w:val="20"/>
              </w:rPr>
            </w:pPr>
          </w:p>
        </w:tc>
        <w:tc>
          <w:tcPr>
            <w:tcW w:w="1315" w:type="dxa"/>
            <w:vMerge w:val="continue"/>
            <w:tcBorders>
              <w:top w:val="nil"/>
              <w:left w:val="single" w:color="auto" w:sz="4" w:space="0"/>
              <w:bottom w:val="single" w:color="auto" w:sz="4" w:space="0"/>
              <w:right w:val="single" w:color="auto" w:sz="4" w:space="0"/>
            </w:tcBorders>
            <w:vAlign w:val="center"/>
          </w:tcPr>
          <w:p w14:paraId="06DD361B">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3884A869">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名称对象线</w:t>
            </w:r>
          </w:p>
        </w:tc>
        <w:tc>
          <w:tcPr>
            <w:tcW w:w="2556" w:type="dxa"/>
            <w:tcBorders>
              <w:top w:val="single" w:color="auto" w:sz="4" w:space="0"/>
              <w:left w:val="single" w:color="auto" w:sz="4" w:space="0"/>
              <w:bottom w:val="single" w:color="auto" w:sz="4" w:space="0"/>
              <w:right w:val="single" w:color="auto" w:sz="4" w:space="0"/>
            </w:tcBorders>
            <w:vAlign w:val="center"/>
          </w:tcPr>
          <w:p w14:paraId="2758A230">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p>
        </w:tc>
        <w:tc>
          <w:tcPr>
            <w:tcW w:w="2737" w:type="dxa"/>
            <w:tcBorders>
              <w:top w:val="single" w:color="auto" w:sz="4" w:space="0"/>
              <w:left w:val="single" w:color="auto" w:sz="4" w:space="0"/>
              <w:bottom w:val="single" w:color="auto" w:sz="4" w:space="0"/>
              <w:right w:val="single" w:color="auto" w:sz="4" w:space="0"/>
            </w:tcBorders>
            <w:vAlign w:val="center"/>
          </w:tcPr>
          <w:p w14:paraId="5DE3485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s="宋体"/>
                <w:color w:val="000000"/>
                <w:szCs w:val="21"/>
              </w:rPr>
            </w:pPr>
            <w:r>
              <w:rPr>
                <w:rFonts w:hint="eastAsia" w:ascii="宋体" w:hAnsi="宋体" w:cs="宋体"/>
                <w:color w:val="000000"/>
                <w:szCs w:val="21"/>
              </w:rPr>
              <w:t>与相应变化居民地同步更新，名称以地名办发布信息为准</w:t>
            </w:r>
          </w:p>
        </w:tc>
      </w:tr>
    </w:tbl>
    <w:p w14:paraId="5B807E6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_GB2312"/>
          <w:color w:val="000000"/>
          <w:kern w:val="0"/>
          <w:szCs w:val="21"/>
        </w:rPr>
      </w:pPr>
      <w:r>
        <w:rPr>
          <w:rFonts w:hint="eastAsia" w:ascii="宋体" w:hAnsi="宋体" w:cs="仿宋_GB2312"/>
          <w:color w:val="000000"/>
          <w:kern w:val="0"/>
          <w:szCs w:val="21"/>
        </w:rPr>
        <w:t>3）更新方法</w:t>
      </w:r>
    </w:p>
    <w:p w14:paraId="10B93E0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仿宋_GB2312"/>
          <w:color w:val="auto"/>
          <w:szCs w:val="21"/>
        </w:rPr>
      </w:pPr>
      <w:r>
        <w:rPr>
          <w:rFonts w:hint="eastAsia" w:ascii="宋体" w:hAnsi="宋体" w:cs="仿宋_GB2312"/>
          <w:color w:val="000000"/>
          <w:szCs w:val="21"/>
        </w:rPr>
        <w:t>除全要素更新范围外的区域，通过以变化发现为主和相关资料参考为辅的方式对上述重大要素更新内</w:t>
      </w:r>
      <w:r>
        <w:rPr>
          <w:rFonts w:hint="eastAsia" w:ascii="宋体" w:hAnsi="宋体" w:cs="仿宋_GB2312"/>
          <w:color w:val="auto"/>
          <w:szCs w:val="21"/>
        </w:rPr>
        <w:t>容中的重大要素进行更新，对于未达到要求的要素变化不做处理。</w:t>
      </w:r>
    </w:p>
    <w:p w14:paraId="0B91E7BA">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lang w:eastAsia="zh-CN"/>
        </w:rPr>
        <w:t>“</w:t>
      </w:r>
      <w:r>
        <w:rPr>
          <w:rFonts w:hint="eastAsia" w:ascii="宋体" w:hAnsi="宋体" w:cs="宋体"/>
          <w:b/>
          <w:color w:val="auto"/>
          <w:szCs w:val="21"/>
        </w:rPr>
        <w:t>一张图</w:t>
      </w:r>
      <w:r>
        <w:rPr>
          <w:rFonts w:hint="eastAsia" w:ascii="宋体" w:hAnsi="宋体" w:cs="宋体"/>
          <w:b/>
          <w:color w:val="auto"/>
          <w:szCs w:val="21"/>
          <w:lang w:eastAsia="zh-CN"/>
        </w:rPr>
        <w:t>”</w:t>
      </w:r>
      <w:r>
        <w:rPr>
          <w:rFonts w:hint="eastAsia" w:ascii="宋体" w:hAnsi="宋体" w:cs="宋体"/>
          <w:b/>
          <w:color w:val="auto"/>
          <w:szCs w:val="21"/>
          <w:lang w:val="en-US" w:eastAsia="zh-CN"/>
        </w:rPr>
        <w:t>地理底图</w:t>
      </w:r>
      <w:r>
        <w:rPr>
          <w:rFonts w:hint="eastAsia" w:ascii="宋体" w:hAnsi="宋体" w:cs="宋体"/>
          <w:b/>
          <w:color w:val="auto"/>
          <w:szCs w:val="21"/>
        </w:rPr>
        <w:t>建设</w:t>
      </w:r>
      <w:r>
        <w:rPr>
          <w:rFonts w:hint="eastAsia" w:ascii="宋体" w:hAnsi="宋体" w:cs="宋体"/>
          <w:b/>
          <w:color w:val="auto"/>
          <w:szCs w:val="21"/>
          <w:lang w:val="en-US" w:eastAsia="zh-CN"/>
        </w:rPr>
        <w:t>技术</w:t>
      </w:r>
      <w:r>
        <w:rPr>
          <w:rFonts w:hint="eastAsia" w:ascii="宋体" w:hAnsi="宋体" w:cs="宋体"/>
          <w:b/>
          <w:color w:val="auto"/>
          <w:szCs w:val="21"/>
        </w:rPr>
        <w:t>要求</w:t>
      </w:r>
    </w:p>
    <w:p w14:paraId="3B80C51A">
      <w:pPr>
        <w:keepNext w:val="0"/>
        <w:keepLines w:val="0"/>
        <w:pageBreakBefore w:val="0"/>
        <w:widowControl w:val="0"/>
        <w:numPr>
          <w:ilvl w:val="0"/>
          <w:numId w:val="0"/>
        </w:numPr>
        <w:kinsoku/>
        <w:wordWrap/>
        <w:overflowPunct/>
        <w:topLinePunct w:val="0"/>
        <w:autoSpaceDE/>
        <w:autoSpaceDN/>
        <w:bidi w:val="0"/>
        <w:adjustRightInd/>
        <w:spacing w:line="420" w:lineRule="exact"/>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按照</w:t>
      </w:r>
      <w:r>
        <w:rPr>
          <w:rFonts w:hint="eastAsia" w:ascii="宋体" w:hAnsi="宋体"/>
          <w:color w:val="auto"/>
          <w:szCs w:val="21"/>
        </w:rPr>
        <w:t>《“一张图”地理底图浙江省试点实施方案》</w:t>
      </w:r>
      <w:r>
        <w:rPr>
          <w:rFonts w:hint="eastAsia" w:ascii="宋体" w:hAnsi="宋体"/>
          <w:color w:val="auto"/>
          <w:szCs w:val="21"/>
          <w:lang w:val="en-US" w:eastAsia="zh-CN"/>
        </w:rPr>
        <w:t>执行，期间若有新的具体技术规定则应按新的具体技术规定执行</w:t>
      </w:r>
      <w:r>
        <w:rPr>
          <w:rFonts w:hint="eastAsia" w:ascii="宋体" w:hAnsi="宋体"/>
          <w:color w:val="auto"/>
          <w:szCs w:val="21"/>
        </w:rPr>
        <w:t>。</w:t>
      </w:r>
    </w:p>
    <w:p w14:paraId="39F4234C">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九、提交成果要求</w:t>
      </w:r>
    </w:p>
    <w:p w14:paraId="4E6C07FD">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color w:val="000000"/>
          <w:szCs w:val="21"/>
          <w:vertAlign w:val="baseline"/>
        </w:rPr>
      </w:pPr>
      <w:r>
        <w:rPr>
          <w:rFonts w:hint="eastAsia" w:ascii="宋体" w:hAnsi="宋体" w:cs="宋体"/>
          <w:b/>
          <w:color w:val="000000"/>
          <w:szCs w:val="21"/>
        </w:rPr>
        <w:t>1、数据成果</w:t>
      </w:r>
    </w:p>
    <w:tbl>
      <w:tblPr>
        <w:tblStyle w:val="19"/>
        <w:tblW w:w="928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925"/>
        <w:gridCol w:w="3011"/>
        <w:gridCol w:w="1357"/>
        <w:gridCol w:w="1187"/>
      </w:tblGrid>
      <w:tr w14:paraId="20D8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07" w:type="dxa"/>
            <w:vMerge w:val="restart"/>
          </w:tcPr>
          <w:p w14:paraId="50B91D57">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仿宋_GB2312"/>
                <w:color w:val="000000"/>
                <w:szCs w:val="21"/>
              </w:rPr>
              <w:t>全要素年度更新</w:t>
            </w:r>
          </w:p>
        </w:tc>
        <w:tc>
          <w:tcPr>
            <w:tcW w:w="1925" w:type="dxa"/>
          </w:tcPr>
          <w:p w14:paraId="3B062A2F">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仿宋_GB2312"/>
                <w:color w:val="000000"/>
                <w:szCs w:val="21"/>
              </w:rPr>
              <w:t>年度更新数据库</w:t>
            </w:r>
          </w:p>
        </w:tc>
        <w:tc>
          <w:tcPr>
            <w:tcW w:w="3011" w:type="dxa"/>
          </w:tcPr>
          <w:p w14:paraId="020A2329">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仿宋_GB2312"/>
                <w:color w:val="000000"/>
                <w:szCs w:val="21"/>
              </w:rPr>
              <w:t>2000国家大地坐标系</w:t>
            </w:r>
          </w:p>
        </w:tc>
        <w:tc>
          <w:tcPr>
            <w:tcW w:w="1357" w:type="dxa"/>
          </w:tcPr>
          <w:p w14:paraId="5047CD54">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仿宋_GB2312"/>
                <w:color w:val="000000"/>
                <w:szCs w:val="21"/>
              </w:rPr>
              <w:t>GDB</w:t>
            </w:r>
          </w:p>
        </w:tc>
        <w:tc>
          <w:tcPr>
            <w:tcW w:w="1187" w:type="dxa"/>
          </w:tcPr>
          <w:p w14:paraId="14C08E23">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r w14:paraId="05F2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continue"/>
          </w:tcPr>
          <w:p w14:paraId="3C9B62E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000000"/>
                <w:szCs w:val="21"/>
                <w:vertAlign w:val="baseline"/>
              </w:rPr>
            </w:pPr>
          </w:p>
        </w:tc>
        <w:tc>
          <w:tcPr>
            <w:tcW w:w="1925" w:type="dxa"/>
          </w:tcPr>
          <w:p w14:paraId="6ACD509C">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元数据</w:t>
            </w:r>
          </w:p>
        </w:tc>
        <w:tc>
          <w:tcPr>
            <w:tcW w:w="3011" w:type="dxa"/>
          </w:tcPr>
          <w:p w14:paraId="0EF25DC6">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2000国家大地坐标系</w:t>
            </w:r>
          </w:p>
        </w:tc>
        <w:tc>
          <w:tcPr>
            <w:tcW w:w="1357" w:type="dxa"/>
          </w:tcPr>
          <w:p w14:paraId="051F7639">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SHP</w:t>
            </w:r>
          </w:p>
        </w:tc>
        <w:tc>
          <w:tcPr>
            <w:tcW w:w="1187" w:type="dxa"/>
          </w:tcPr>
          <w:p w14:paraId="4697310C">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r w14:paraId="4521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restart"/>
            <w:vAlign w:val="center"/>
          </w:tcPr>
          <w:p w14:paraId="4BB4D565">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重大要素动态更新</w:t>
            </w:r>
          </w:p>
        </w:tc>
        <w:tc>
          <w:tcPr>
            <w:tcW w:w="1925" w:type="dxa"/>
          </w:tcPr>
          <w:p w14:paraId="4EB178A2">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动态更新增量包</w:t>
            </w:r>
          </w:p>
        </w:tc>
        <w:tc>
          <w:tcPr>
            <w:tcW w:w="3011" w:type="dxa"/>
          </w:tcPr>
          <w:p w14:paraId="270C9CC5">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2000国家大地坐标系</w:t>
            </w:r>
          </w:p>
        </w:tc>
        <w:tc>
          <w:tcPr>
            <w:tcW w:w="1357" w:type="dxa"/>
            <w:shd w:val="clear" w:color="auto" w:fill="auto"/>
            <w:vAlign w:val="top"/>
          </w:tcPr>
          <w:p w14:paraId="055AECCC">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2"/>
                <w:sz w:val="21"/>
                <w:szCs w:val="21"/>
                <w:vertAlign w:val="baseline"/>
                <w:lang w:val="en-US" w:eastAsia="zh-CN" w:bidi="ar-SA"/>
              </w:rPr>
            </w:pPr>
            <w:r>
              <w:rPr>
                <w:rFonts w:hint="eastAsia" w:ascii="宋体" w:hAnsi="宋体" w:cs="仿宋_GB2312"/>
                <w:color w:val="000000"/>
                <w:szCs w:val="21"/>
              </w:rPr>
              <w:t>GDB</w:t>
            </w:r>
          </w:p>
        </w:tc>
        <w:tc>
          <w:tcPr>
            <w:tcW w:w="1187" w:type="dxa"/>
          </w:tcPr>
          <w:p w14:paraId="7E37711C">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r w14:paraId="594D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continue"/>
          </w:tcPr>
          <w:p w14:paraId="16F7389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000000"/>
                <w:szCs w:val="21"/>
                <w:vertAlign w:val="baseline"/>
              </w:rPr>
            </w:pPr>
          </w:p>
        </w:tc>
        <w:tc>
          <w:tcPr>
            <w:tcW w:w="1925" w:type="dxa"/>
          </w:tcPr>
          <w:p w14:paraId="0F918573">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元数据</w:t>
            </w:r>
          </w:p>
        </w:tc>
        <w:tc>
          <w:tcPr>
            <w:tcW w:w="3011" w:type="dxa"/>
          </w:tcPr>
          <w:p w14:paraId="6459F4F5">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2000国家大地坐标系</w:t>
            </w:r>
          </w:p>
        </w:tc>
        <w:tc>
          <w:tcPr>
            <w:tcW w:w="1357" w:type="dxa"/>
            <w:shd w:val="clear" w:color="auto" w:fill="auto"/>
            <w:vAlign w:val="top"/>
          </w:tcPr>
          <w:p w14:paraId="0A494DC7">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2"/>
                <w:sz w:val="21"/>
                <w:szCs w:val="21"/>
                <w:vertAlign w:val="baseline"/>
                <w:lang w:val="en-US" w:eastAsia="zh-CN" w:bidi="ar-SA"/>
              </w:rPr>
            </w:pPr>
            <w:r>
              <w:rPr>
                <w:rFonts w:hint="eastAsia" w:ascii="宋体" w:hAnsi="宋体" w:cs="宋体"/>
                <w:color w:val="000000"/>
                <w:szCs w:val="21"/>
              </w:rPr>
              <w:t>SHP</w:t>
            </w:r>
          </w:p>
        </w:tc>
        <w:tc>
          <w:tcPr>
            <w:tcW w:w="1187" w:type="dxa"/>
          </w:tcPr>
          <w:p w14:paraId="173B7E15">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r w14:paraId="3CF0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gridSpan w:val="3"/>
          </w:tcPr>
          <w:p w14:paraId="1C1E8098">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DLG分幅图（全要素年度更新部分）</w:t>
            </w:r>
          </w:p>
        </w:tc>
        <w:tc>
          <w:tcPr>
            <w:tcW w:w="1357" w:type="dxa"/>
          </w:tcPr>
          <w:p w14:paraId="3DA72647">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DWG</w:t>
            </w:r>
          </w:p>
        </w:tc>
        <w:tc>
          <w:tcPr>
            <w:tcW w:w="1187" w:type="dxa"/>
          </w:tcPr>
          <w:p w14:paraId="6AD0E87E">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r w14:paraId="4284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43" w:type="dxa"/>
            <w:gridSpan w:val="3"/>
          </w:tcPr>
          <w:p w14:paraId="5FBA3C35">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一张图要素成果</w:t>
            </w:r>
          </w:p>
        </w:tc>
        <w:tc>
          <w:tcPr>
            <w:tcW w:w="1357" w:type="dxa"/>
          </w:tcPr>
          <w:p w14:paraId="01C465D2">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Cs w:val="21"/>
                <w:vertAlign w:val="baseline"/>
              </w:rPr>
            </w:pPr>
            <w:r>
              <w:rPr>
                <w:rFonts w:hint="eastAsia" w:ascii="宋体" w:hAnsi="宋体" w:cs="宋体"/>
                <w:color w:val="000000"/>
                <w:szCs w:val="21"/>
              </w:rPr>
              <w:t>GDB</w:t>
            </w:r>
          </w:p>
        </w:tc>
        <w:tc>
          <w:tcPr>
            <w:tcW w:w="1187" w:type="dxa"/>
          </w:tcPr>
          <w:p w14:paraId="39197584">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Cs w:val="21"/>
                <w:vertAlign w:val="baseline"/>
                <w:lang w:val="en-US" w:eastAsia="zh-CN"/>
              </w:rPr>
            </w:pPr>
            <w:r>
              <w:rPr>
                <w:rFonts w:hint="eastAsia" w:ascii="宋体" w:hAnsi="宋体" w:cs="宋体"/>
                <w:b w:val="0"/>
                <w:bCs/>
                <w:color w:val="000000"/>
                <w:szCs w:val="21"/>
                <w:vertAlign w:val="baseline"/>
                <w:lang w:val="en-US" w:eastAsia="zh-CN"/>
              </w:rPr>
              <w:t>1</w:t>
            </w:r>
          </w:p>
        </w:tc>
      </w:tr>
    </w:tbl>
    <w:p w14:paraId="2B1A3729">
      <w:pPr>
        <w:spacing w:line="400" w:lineRule="exact"/>
        <w:ind w:firstLine="422" w:firstLineChars="200"/>
        <w:rPr>
          <w:rFonts w:hint="eastAsia" w:ascii="宋体" w:hAnsi="宋体" w:cs="宋体"/>
          <w:b/>
          <w:color w:val="000000"/>
          <w:szCs w:val="21"/>
          <w:vertAlign w:val="baseline"/>
        </w:rPr>
      </w:pPr>
      <w:r>
        <w:rPr>
          <w:rFonts w:hint="eastAsia" w:ascii="宋体" w:hAnsi="宋体" w:cs="宋体"/>
          <w:b/>
          <w:color w:val="000000"/>
          <w:szCs w:val="21"/>
        </w:rPr>
        <w:t>2、文档资料</w:t>
      </w:r>
    </w:p>
    <w:tbl>
      <w:tblPr>
        <w:tblStyle w:val="19"/>
        <w:tblW w:w="9287"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3"/>
        <w:gridCol w:w="2544"/>
      </w:tblGrid>
      <w:tr w14:paraId="6420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50945318">
            <w:pPr>
              <w:snapToGrid w:val="0"/>
              <w:spacing w:line="400" w:lineRule="exact"/>
              <w:jc w:val="center"/>
              <w:rPr>
                <w:rFonts w:hint="eastAsia" w:ascii="宋体" w:hAnsi="宋体" w:cs="宋体"/>
                <w:b/>
                <w:color w:val="000000"/>
                <w:szCs w:val="21"/>
                <w:vertAlign w:val="baseline"/>
              </w:rPr>
            </w:pPr>
            <w:r>
              <w:rPr>
                <w:rFonts w:hint="eastAsia" w:ascii="宋体" w:hAnsi="宋体" w:cs="宋体"/>
                <w:b/>
                <w:color w:val="000000"/>
                <w:szCs w:val="21"/>
              </w:rPr>
              <w:t>内容</w:t>
            </w:r>
          </w:p>
        </w:tc>
        <w:tc>
          <w:tcPr>
            <w:tcW w:w="2544" w:type="dxa"/>
            <w:vAlign w:val="center"/>
          </w:tcPr>
          <w:p w14:paraId="57C77415">
            <w:pPr>
              <w:snapToGrid w:val="0"/>
              <w:spacing w:line="400" w:lineRule="exact"/>
              <w:jc w:val="center"/>
              <w:rPr>
                <w:rFonts w:hint="eastAsia" w:ascii="宋体" w:hAnsi="宋体" w:cs="宋体"/>
                <w:b/>
                <w:color w:val="000000"/>
                <w:szCs w:val="21"/>
                <w:vertAlign w:val="baseline"/>
              </w:rPr>
            </w:pPr>
            <w:r>
              <w:rPr>
                <w:rFonts w:hint="eastAsia" w:ascii="宋体" w:hAnsi="宋体" w:cs="宋体"/>
                <w:b/>
                <w:color w:val="000000"/>
                <w:szCs w:val="21"/>
              </w:rPr>
              <w:t>数量</w:t>
            </w:r>
          </w:p>
        </w:tc>
      </w:tr>
      <w:tr w14:paraId="7F59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1D8800E9">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上交成果清单</w:t>
            </w:r>
          </w:p>
        </w:tc>
        <w:tc>
          <w:tcPr>
            <w:tcW w:w="2544" w:type="dxa"/>
            <w:vAlign w:val="center"/>
          </w:tcPr>
          <w:p w14:paraId="75E0CBCD">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1</w:t>
            </w:r>
          </w:p>
        </w:tc>
      </w:tr>
      <w:tr w14:paraId="1B6D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074EB1D0">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技术设计书及评审意见</w:t>
            </w:r>
          </w:p>
        </w:tc>
        <w:tc>
          <w:tcPr>
            <w:tcW w:w="2544" w:type="dxa"/>
            <w:vAlign w:val="center"/>
          </w:tcPr>
          <w:p w14:paraId="65D56E4F">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1</w:t>
            </w:r>
          </w:p>
        </w:tc>
      </w:tr>
      <w:tr w14:paraId="2727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1F2926D6">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成果质量检验报告、巡检报告</w:t>
            </w:r>
          </w:p>
        </w:tc>
        <w:tc>
          <w:tcPr>
            <w:tcW w:w="2544" w:type="dxa"/>
            <w:vAlign w:val="center"/>
          </w:tcPr>
          <w:p w14:paraId="67E4D005">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1</w:t>
            </w:r>
          </w:p>
        </w:tc>
      </w:tr>
      <w:tr w14:paraId="1AE1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206E2846">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工作及技术总结</w:t>
            </w:r>
          </w:p>
        </w:tc>
        <w:tc>
          <w:tcPr>
            <w:tcW w:w="2544" w:type="dxa"/>
            <w:vAlign w:val="center"/>
          </w:tcPr>
          <w:p w14:paraId="64B55C05">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1</w:t>
            </w:r>
          </w:p>
        </w:tc>
      </w:tr>
      <w:tr w14:paraId="4CDF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3" w:type="dxa"/>
            <w:vAlign w:val="center"/>
          </w:tcPr>
          <w:p w14:paraId="383FDC73">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验收报告</w:t>
            </w:r>
          </w:p>
        </w:tc>
        <w:tc>
          <w:tcPr>
            <w:tcW w:w="2544" w:type="dxa"/>
            <w:vAlign w:val="center"/>
          </w:tcPr>
          <w:p w14:paraId="74369737">
            <w:pPr>
              <w:snapToGrid w:val="0"/>
              <w:spacing w:line="400" w:lineRule="exact"/>
              <w:jc w:val="center"/>
              <w:rPr>
                <w:rFonts w:hint="eastAsia" w:ascii="宋体" w:hAnsi="宋体" w:cs="宋体"/>
                <w:b/>
                <w:color w:val="000000"/>
                <w:szCs w:val="21"/>
                <w:vertAlign w:val="baseline"/>
              </w:rPr>
            </w:pPr>
            <w:r>
              <w:rPr>
                <w:rFonts w:hint="eastAsia" w:ascii="宋体" w:hAnsi="宋体" w:cs="宋体"/>
                <w:color w:val="000000"/>
                <w:szCs w:val="21"/>
              </w:rPr>
              <w:t>1</w:t>
            </w:r>
          </w:p>
        </w:tc>
      </w:tr>
    </w:tbl>
    <w:p w14:paraId="2BF969BB">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十、商务要求表</w:t>
      </w:r>
    </w:p>
    <w:tbl>
      <w:tblPr>
        <w:tblStyle w:val="18"/>
        <w:tblW w:w="9245" w:type="dxa"/>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9"/>
        <w:gridCol w:w="6636"/>
      </w:tblGrid>
      <w:tr w14:paraId="28050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609" w:type="dxa"/>
            <w:tcBorders>
              <w:top w:val="single" w:color="auto" w:sz="4" w:space="0"/>
              <w:left w:val="single" w:color="auto" w:sz="4" w:space="0"/>
              <w:bottom w:val="single" w:color="auto" w:sz="4" w:space="0"/>
              <w:right w:val="single" w:color="auto" w:sz="4" w:space="0"/>
            </w:tcBorders>
            <w:vAlign w:val="center"/>
          </w:tcPr>
          <w:p w14:paraId="202B6570">
            <w:pPr>
              <w:spacing w:line="380" w:lineRule="exact"/>
              <w:contextualSpacing/>
              <w:jc w:val="center"/>
              <w:rPr>
                <w:rFonts w:ascii="宋体" w:hAnsi="宋体" w:cs="宋体"/>
                <w:b w:val="0"/>
                <w:bCs/>
                <w:color w:val="auto"/>
                <w:kern w:val="0"/>
                <w:szCs w:val="30"/>
              </w:rPr>
            </w:pPr>
            <w:r>
              <w:rPr>
                <w:rFonts w:hint="eastAsia" w:ascii="宋体" w:hAnsi="宋体" w:cs="宋体"/>
                <w:b w:val="0"/>
                <w:bCs/>
                <w:color w:val="auto"/>
              </w:rPr>
              <w:t>▲</w:t>
            </w:r>
            <w:r>
              <w:rPr>
                <w:rFonts w:hint="eastAsia" w:ascii="宋体" w:hAnsi="宋体"/>
                <w:b w:val="0"/>
                <w:bCs/>
                <w:color w:val="auto"/>
              </w:rPr>
              <w:t>项目服务期</w:t>
            </w:r>
          </w:p>
        </w:tc>
        <w:tc>
          <w:tcPr>
            <w:tcW w:w="6636" w:type="dxa"/>
            <w:tcBorders>
              <w:top w:val="single" w:color="auto" w:sz="4" w:space="0"/>
              <w:left w:val="single" w:color="auto" w:sz="4" w:space="0"/>
              <w:bottom w:val="single" w:color="auto" w:sz="4" w:space="0"/>
              <w:right w:val="single" w:color="auto" w:sz="4" w:space="0"/>
            </w:tcBorders>
            <w:vAlign w:val="center"/>
          </w:tcPr>
          <w:p w14:paraId="5410E73F">
            <w:pPr>
              <w:spacing w:line="380" w:lineRule="exact"/>
              <w:contextualSpacing/>
              <w:rPr>
                <w:rFonts w:ascii="宋体" w:hAnsi="宋体" w:cs="宋体"/>
                <w:color w:val="auto"/>
                <w:kern w:val="0"/>
                <w:szCs w:val="30"/>
              </w:rPr>
            </w:pPr>
            <w:r>
              <w:rPr>
                <w:rFonts w:hint="eastAsia" w:ascii="宋体" w:hAnsi="宋体" w:eastAsia="宋体" w:cs="宋体"/>
                <w:color w:val="auto"/>
                <w:sz w:val="21"/>
                <w:szCs w:val="21"/>
                <w:highlight w:val="none"/>
              </w:rPr>
              <w:t>自合同签订后生效日起至</w:t>
            </w:r>
            <w:r>
              <w:rPr>
                <w:rFonts w:hint="eastAsia" w:asciiTheme="minorEastAsia" w:hAnsiTheme="minorEastAsia" w:eastAsiaTheme="minorEastAsia" w:cstheme="minorEastAsia"/>
                <w:b w:val="0"/>
                <w:bCs w:val="0"/>
                <w:color w:val="auto"/>
                <w:szCs w:val="21"/>
                <w:highlight w:val="none"/>
                <w:lang w:val="en-US" w:eastAsia="zh-CN"/>
              </w:rPr>
              <w:t>2026年7月30日前需完成招标文件规定的所有具体工作内容</w:t>
            </w:r>
            <w:r>
              <w:rPr>
                <w:rFonts w:hint="eastAsia" w:ascii="宋体" w:hAnsi="宋体" w:eastAsia="宋体" w:cs="宋体"/>
                <w:b w:val="0"/>
                <w:bCs w:val="0"/>
                <w:color w:val="auto"/>
                <w:kern w:val="0"/>
                <w:sz w:val="21"/>
                <w:szCs w:val="21"/>
                <w:highlight w:val="none"/>
                <w:lang w:val="en-US" w:eastAsia="zh-CN" w:bidi="ar"/>
              </w:rPr>
              <w:t>。</w:t>
            </w:r>
          </w:p>
        </w:tc>
      </w:tr>
      <w:tr w14:paraId="6F2B1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09" w:type="dxa"/>
            <w:tcBorders>
              <w:top w:val="single" w:color="auto" w:sz="4" w:space="0"/>
              <w:left w:val="single" w:color="auto" w:sz="4" w:space="0"/>
              <w:bottom w:val="single" w:color="auto" w:sz="4" w:space="0"/>
              <w:right w:val="single" w:color="auto" w:sz="4" w:space="0"/>
            </w:tcBorders>
            <w:vAlign w:val="center"/>
          </w:tcPr>
          <w:p w14:paraId="347EBBE9">
            <w:pPr>
              <w:spacing w:line="380" w:lineRule="exact"/>
              <w:contextualSpacing/>
              <w:jc w:val="center"/>
              <w:rPr>
                <w:rFonts w:ascii="宋体" w:hAnsi="宋体" w:cs="宋体"/>
                <w:b w:val="0"/>
                <w:bCs/>
                <w:color w:val="auto"/>
                <w:kern w:val="0"/>
                <w:szCs w:val="30"/>
              </w:rPr>
            </w:pPr>
            <w:r>
              <w:rPr>
                <w:rFonts w:hint="eastAsia" w:ascii="宋体" w:hAnsi="宋体" w:cs="宋体"/>
                <w:b w:val="0"/>
                <w:bCs/>
                <w:color w:val="auto"/>
              </w:rPr>
              <w:t>▲</w:t>
            </w:r>
            <w:r>
              <w:rPr>
                <w:rFonts w:hint="eastAsia" w:ascii="宋体" w:hAnsi="宋体"/>
                <w:b w:val="0"/>
                <w:bCs/>
                <w:color w:val="auto"/>
              </w:rPr>
              <w:t>服务地点</w:t>
            </w:r>
          </w:p>
        </w:tc>
        <w:tc>
          <w:tcPr>
            <w:tcW w:w="6636" w:type="dxa"/>
            <w:tcBorders>
              <w:top w:val="single" w:color="auto" w:sz="4" w:space="0"/>
              <w:left w:val="single" w:color="auto" w:sz="4" w:space="0"/>
              <w:bottom w:val="single" w:color="auto" w:sz="4" w:space="0"/>
              <w:right w:val="single" w:color="auto" w:sz="4" w:space="0"/>
            </w:tcBorders>
            <w:vAlign w:val="center"/>
          </w:tcPr>
          <w:p w14:paraId="29ADDFFB">
            <w:pPr>
              <w:snapToGrid w:val="0"/>
              <w:spacing w:line="400" w:lineRule="exact"/>
              <w:jc w:val="left"/>
              <w:rPr>
                <w:rFonts w:hint="default" w:ascii="宋体" w:hAnsi="宋体" w:eastAsia="宋体" w:cs="宋体"/>
                <w:color w:val="auto"/>
                <w:sz w:val="27"/>
                <w:szCs w:val="27"/>
                <w:shd w:val="clear" w:color="auto" w:fill="FFFFFF"/>
                <w:lang w:val="en-US" w:eastAsia="zh-CN"/>
              </w:rPr>
            </w:pPr>
            <w:r>
              <w:rPr>
                <w:rFonts w:hint="eastAsia" w:ascii="宋体" w:hAnsi="宋体"/>
                <w:color w:val="auto"/>
                <w:szCs w:val="21"/>
              </w:rPr>
              <w:t>以</w:t>
            </w:r>
            <w:r>
              <w:rPr>
                <w:rFonts w:hint="eastAsia" w:ascii="宋体" w:hAnsi="宋体"/>
                <w:color w:val="auto"/>
                <w:szCs w:val="21"/>
                <w:lang w:val="en-US" w:eastAsia="zh-CN"/>
              </w:rPr>
              <w:t>投标企业所在具体位置为出发地，以</w:t>
            </w:r>
            <w:r>
              <w:rPr>
                <w:rFonts w:hint="eastAsia" w:ascii="宋体" w:hAnsi="宋体"/>
                <w:color w:val="auto"/>
                <w:szCs w:val="21"/>
              </w:rPr>
              <w:t>安吉县自然资源和规划局（龙山御园14幢）为导航目的地</w:t>
            </w:r>
            <w:r>
              <w:rPr>
                <w:rFonts w:hint="eastAsia" w:ascii="宋体" w:hAnsi="宋体"/>
                <w:color w:val="auto"/>
                <w:szCs w:val="21"/>
                <w:lang w:eastAsia="zh-CN"/>
              </w:rPr>
              <w:t>，</w:t>
            </w:r>
            <w:r>
              <w:rPr>
                <w:rFonts w:hint="eastAsia" w:ascii="宋体" w:hAnsi="宋体"/>
                <w:color w:val="auto"/>
                <w:szCs w:val="21"/>
              </w:rPr>
              <w:t>驾车导航最短路径超过</w:t>
            </w:r>
            <w:r>
              <w:rPr>
                <w:rFonts w:hint="eastAsia" w:ascii="宋体" w:hAnsi="宋体"/>
                <w:color w:val="auto"/>
                <w:szCs w:val="21"/>
                <w:lang w:val="en-US" w:eastAsia="zh-CN"/>
              </w:rPr>
              <w:t>100</w:t>
            </w:r>
            <w:r>
              <w:rPr>
                <w:rFonts w:hint="eastAsia" w:ascii="宋体" w:hAnsi="宋体"/>
                <w:color w:val="auto"/>
                <w:szCs w:val="21"/>
              </w:rPr>
              <w:t>公里的企业投标，须提供中标后在安吉县设立服务网点的书面承诺（建筑面积不少于</w:t>
            </w:r>
            <w:r>
              <w:rPr>
                <w:rFonts w:hint="eastAsia" w:ascii="宋体" w:hAnsi="宋体"/>
                <w:color w:val="auto"/>
                <w:szCs w:val="21"/>
                <w:lang w:val="en-US" w:eastAsia="zh-CN"/>
              </w:rPr>
              <w:t>50</w:t>
            </w:r>
            <w:r>
              <w:rPr>
                <w:rFonts w:hint="eastAsia" w:ascii="宋体" w:hAnsi="宋体"/>
                <w:color w:val="auto"/>
                <w:szCs w:val="21"/>
              </w:rPr>
              <w:t>平方米、租赁时间不少于</w:t>
            </w:r>
            <w:r>
              <w:rPr>
                <w:rFonts w:hint="eastAsia" w:ascii="宋体" w:hAnsi="宋体"/>
                <w:color w:val="auto"/>
                <w:szCs w:val="21"/>
                <w:lang w:val="en-US" w:eastAsia="zh-CN"/>
              </w:rPr>
              <w:t>5</w:t>
            </w:r>
            <w:r>
              <w:rPr>
                <w:rFonts w:hint="eastAsia" w:ascii="宋体" w:hAnsi="宋体"/>
                <w:color w:val="auto"/>
                <w:szCs w:val="21"/>
              </w:rPr>
              <w:t>个月，加盖单位公章）</w:t>
            </w:r>
            <w:r>
              <w:rPr>
                <w:rFonts w:hint="eastAsia" w:ascii="宋体" w:hAnsi="宋体"/>
                <w:color w:val="auto"/>
                <w:szCs w:val="21"/>
                <w:lang w:eastAsia="zh-CN"/>
              </w:rPr>
              <w:t>；</w:t>
            </w:r>
            <w:r>
              <w:rPr>
                <w:rFonts w:hint="eastAsia" w:ascii="宋体" w:hAnsi="宋体"/>
                <w:color w:val="auto"/>
                <w:szCs w:val="21"/>
              </w:rPr>
              <w:t>驾车导航最短路径</w:t>
            </w:r>
            <w:r>
              <w:rPr>
                <w:rFonts w:hint="eastAsia" w:ascii="宋体" w:hAnsi="宋体"/>
                <w:color w:val="auto"/>
                <w:szCs w:val="21"/>
                <w:lang w:val="en-US" w:eastAsia="zh-CN"/>
              </w:rPr>
              <w:t>不</w:t>
            </w:r>
            <w:r>
              <w:rPr>
                <w:rFonts w:hint="eastAsia" w:ascii="宋体" w:hAnsi="宋体"/>
                <w:color w:val="auto"/>
                <w:szCs w:val="21"/>
              </w:rPr>
              <w:t>超过</w:t>
            </w:r>
            <w:r>
              <w:rPr>
                <w:rFonts w:hint="eastAsia" w:ascii="宋体" w:hAnsi="宋体"/>
                <w:color w:val="auto"/>
                <w:szCs w:val="21"/>
                <w:lang w:val="en-US" w:eastAsia="zh-CN"/>
              </w:rPr>
              <w:t>100</w:t>
            </w:r>
            <w:r>
              <w:rPr>
                <w:rFonts w:hint="eastAsia" w:ascii="宋体" w:hAnsi="宋体"/>
                <w:color w:val="auto"/>
                <w:szCs w:val="21"/>
              </w:rPr>
              <w:t>公里的企业</w:t>
            </w:r>
            <w:r>
              <w:rPr>
                <w:rFonts w:hint="eastAsia" w:ascii="宋体" w:hAnsi="宋体"/>
                <w:color w:val="auto"/>
                <w:szCs w:val="21"/>
                <w:lang w:val="en-US" w:eastAsia="zh-CN"/>
              </w:rPr>
              <w:t>应提供真实导航截图打印件。</w:t>
            </w:r>
          </w:p>
        </w:tc>
      </w:tr>
      <w:tr w14:paraId="7DC5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609" w:type="dxa"/>
            <w:tcBorders>
              <w:top w:val="single" w:color="auto" w:sz="4" w:space="0"/>
              <w:left w:val="single" w:color="auto" w:sz="4" w:space="0"/>
              <w:bottom w:val="single" w:color="auto" w:sz="4" w:space="0"/>
              <w:right w:val="single" w:color="auto" w:sz="4" w:space="0"/>
            </w:tcBorders>
            <w:vAlign w:val="center"/>
          </w:tcPr>
          <w:p w14:paraId="5EB947BB">
            <w:pPr>
              <w:snapToGrid w:val="0"/>
              <w:spacing w:line="380" w:lineRule="exact"/>
              <w:contextualSpacing/>
              <w:jc w:val="center"/>
              <w:rPr>
                <w:rFonts w:ascii="宋体" w:hAnsi="宋体" w:cs="宋体"/>
                <w:b w:val="0"/>
                <w:bCs/>
                <w:color w:val="auto"/>
              </w:rPr>
            </w:pPr>
            <w:r>
              <w:rPr>
                <w:rFonts w:hint="eastAsia" w:ascii="宋体" w:hAnsi="宋体"/>
                <w:b w:val="0"/>
                <w:bCs/>
                <w:color w:val="auto"/>
                <w:lang w:val="en-US" w:eastAsia="zh-CN"/>
              </w:rPr>
              <w:t>质量巡检、</w:t>
            </w:r>
            <w:r>
              <w:rPr>
                <w:rFonts w:hint="eastAsia" w:ascii="宋体" w:hAnsi="宋体"/>
                <w:b w:val="0"/>
                <w:bCs/>
                <w:color w:val="auto"/>
              </w:rPr>
              <w:t>验收标准</w:t>
            </w:r>
          </w:p>
        </w:tc>
        <w:tc>
          <w:tcPr>
            <w:tcW w:w="6636" w:type="dxa"/>
            <w:tcBorders>
              <w:top w:val="single" w:color="auto" w:sz="4" w:space="0"/>
              <w:left w:val="single" w:color="auto" w:sz="4" w:space="0"/>
              <w:bottom w:val="single" w:color="auto" w:sz="4" w:space="0"/>
              <w:right w:val="single" w:color="auto" w:sz="4" w:space="0"/>
            </w:tcBorders>
            <w:vAlign w:val="center"/>
          </w:tcPr>
          <w:p w14:paraId="0F07F442">
            <w:pPr>
              <w:snapToGrid w:val="0"/>
              <w:spacing w:line="400" w:lineRule="exact"/>
              <w:jc w:val="left"/>
              <w:rPr>
                <w:rFonts w:ascii="宋体" w:hAnsi="宋体" w:cs="宋体"/>
                <w:color w:val="auto"/>
                <w:szCs w:val="21"/>
              </w:rPr>
            </w:pPr>
            <w:r>
              <w:rPr>
                <w:rFonts w:hint="eastAsia" w:ascii="宋体" w:hAnsi="宋体" w:cs="宋体"/>
                <w:color w:val="auto"/>
                <w:szCs w:val="21"/>
              </w:rPr>
              <w:t>1、成果满足采购人要求，符合我国国家、地方、行业有关技术规范要求和技术标准。</w:t>
            </w:r>
          </w:p>
          <w:p w14:paraId="570DD758">
            <w:pPr>
              <w:spacing w:line="380" w:lineRule="exact"/>
              <w:contextualSpacing/>
              <w:rPr>
                <w:rFonts w:ascii="宋体" w:hAnsi="宋体" w:cs="宋体"/>
                <w:color w:val="auto"/>
              </w:rPr>
            </w:pPr>
            <w:r>
              <w:rPr>
                <w:rFonts w:hint="eastAsia" w:ascii="宋体" w:hAnsi="宋体" w:cs="宋体"/>
                <w:color w:val="auto"/>
                <w:szCs w:val="21"/>
              </w:rPr>
              <w:t>2、</w:t>
            </w:r>
            <w:r>
              <w:rPr>
                <w:rFonts w:hint="eastAsia" w:ascii="宋体" w:hAnsi="宋体" w:cs="宋体"/>
                <w:color w:val="auto"/>
                <w:szCs w:val="21"/>
                <w:lang w:val="en-US" w:eastAsia="zh-CN"/>
              </w:rPr>
              <w:t>质量巡检、</w:t>
            </w:r>
            <w:r>
              <w:rPr>
                <w:rFonts w:hint="eastAsia" w:ascii="宋体" w:hAnsi="宋体" w:cs="宋体"/>
                <w:color w:val="auto"/>
                <w:szCs w:val="21"/>
              </w:rPr>
              <w:t>验收费用由供应商承担。</w:t>
            </w:r>
          </w:p>
        </w:tc>
      </w:tr>
      <w:tr w14:paraId="728D8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2609" w:type="dxa"/>
            <w:tcBorders>
              <w:top w:val="single" w:color="auto" w:sz="4" w:space="0"/>
              <w:left w:val="single" w:color="auto" w:sz="4" w:space="0"/>
              <w:bottom w:val="single" w:color="auto" w:sz="4" w:space="0"/>
              <w:right w:val="single" w:color="auto" w:sz="4" w:space="0"/>
            </w:tcBorders>
            <w:vAlign w:val="center"/>
          </w:tcPr>
          <w:p w14:paraId="70C9C5B8">
            <w:pPr>
              <w:snapToGrid w:val="0"/>
              <w:spacing w:line="380" w:lineRule="exact"/>
              <w:contextualSpacing/>
              <w:jc w:val="center"/>
              <w:rPr>
                <w:rFonts w:ascii="宋体" w:hAnsi="宋体" w:cs="宋体"/>
                <w:b w:val="0"/>
                <w:bCs/>
                <w:color w:val="auto"/>
              </w:rPr>
            </w:pPr>
            <w:r>
              <w:rPr>
                <w:rFonts w:hint="eastAsia" w:ascii="宋体" w:hAnsi="宋体" w:cs="宋体"/>
                <w:b w:val="0"/>
                <w:bCs/>
                <w:color w:val="auto"/>
              </w:rPr>
              <w:t>▲付款条件</w:t>
            </w:r>
          </w:p>
        </w:tc>
        <w:tc>
          <w:tcPr>
            <w:tcW w:w="6636" w:type="dxa"/>
            <w:tcBorders>
              <w:top w:val="single" w:color="auto" w:sz="4" w:space="0"/>
              <w:left w:val="single" w:color="auto" w:sz="4" w:space="0"/>
              <w:bottom w:val="single" w:color="auto" w:sz="4" w:space="0"/>
              <w:right w:val="single" w:color="auto" w:sz="4" w:space="0"/>
            </w:tcBorders>
            <w:vAlign w:val="center"/>
          </w:tcPr>
          <w:p w14:paraId="02FA28E7">
            <w:pPr>
              <w:numPr>
                <w:ilvl w:val="0"/>
                <w:numId w:val="3"/>
              </w:numPr>
              <w:spacing w:line="380" w:lineRule="exact"/>
              <w:rPr>
                <w:color w:val="auto"/>
              </w:rPr>
            </w:pPr>
            <w:r>
              <w:rPr>
                <w:rFonts w:hint="eastAsia" w:ascii="宋体" w:hAnsi="宋体" w:cs="宋体"/>
                <w:color w:val="auto"/>
              </w:rPr>
              <w:t>合同签订生效</w:t>
            </w:r>
            <w:r>
              <w:rPr>
                <w:rFonts w:hint="eastAsia" w:ascii="宋体" w:hAnsi="宋体" w:cs="宋体"/>
                <w:color w:val="auto"/>
                <w:lang w:val="en-US" w:eastAsia="zh-CN"/>
              </w:rPr>
              <w:t>并</w:t>
            </w:r>
            <w:r>
              <w:rPr>
                <w:rFonts w:hint="eastAsia" w:ascii="宋体" w:hAnsi="宋体" w:cs="宋体"/>
                <w:color w:val="auto"/>
              </w:rPr>
              <w:t>具备实施条件后</w:t>
            </w:r>
            <w:r>
              <w:rPr>
                <w:rFonts w:hint="eastAsia" w:ascii="宋体" w:hAnsi="宋体" w:cs="宋体"/>
                <w:color w:val="auto"/>
                <w:lang w:val="en-US" w:eastAsia="zh-CN"/>
              </w:rPr>
              <w:t>7</w:t>
            </w:r>
            <w:r>
              <w:rPr>
                <w:rFonts w:hint="eastAsia" w:ascii="宋体" w:hAnsi="宋体" w:cs="宋体"/>
                <w:color w:val="auto"/>
              </w:rPr>
              <w:t>个工作日内，支付本项目合同金额的40%作为预付款；</w:t>
            </w:r>
          </w:p>
          <w:p w14:paraId="3E8D4584">
            <w:pPr>
              <w:pStyle w:val="2"/>
              <w:ind w:left="0" w:leftChars="0" w:firstLine="0" w:firstLineChars="0"/>
              <w:rPr>
                <w:rFonts w:hint="eastAsia" w:eastAsia="宋体"/>
                <w:color w:val="auto"/>
                <w:lang w:val="en-US" w:eastAsia="zh-CN"/>
              </w:rPr>
            </w:pPr>
            <w:r>
              <w:rPr>
                <w:rFonts w:hint="eastAsia" w:ascii="宋体" w:hAnsi="宋体" w:cs="宋体"/>
                <w:color w:val="auto"/>
                <w:lang w:val="en-US" w:eastAsia="zh-CN"/>
              </w:rPr>
              <w:t>2、</w:t>
            </w:r>
            <w:r>
              <w:rPr>
                <w:rFonts w:hint="eastAsia" w:ascii="宋体" w:hAnsi="宋体"/>
                <w:color w:val="auto"/>
                <w:kern w:val="0"/>
                <w:lang w:val="en-US" w:eastAsia="zh-CN"/>
              </w:rPr>
              <w:t>安吉县“一张图”地理底图之</w:t>
            </w:r>
            <w:bookmarkStart w:id="274" w:name="_GoBack"/>
            <w:bookmarkEnd w:id="274"/>
            <w:r>
              <w:rPr>
                <w:rFonts w:hint="eastAsia" w:ascii="宋体" w:hAnsi="宋体"/>
                <w:color w:val="auto"/>
                <w:kern w:val="0"/>
              </w:rPr>
              <w:t>院落、建筑、交通、水系要素</w:t>
            </w:r>
            <w:r>
              <w:rPr>
                <w:rFonts w:hint="eastAsia" w:ascii="宋体" w:hAnsi="宋体"/>
                <w:color w:val="auto"/>
                <w:kern w:val="0"/>
                <w:lang w:val="en-US" w:eastAsia="zh-CN"/>
              </w:rPr>
              <w:t>建设完成并提供正式巡检报告后支付项目合同金额的40%；</w:t>
            </w:r>
          </w:p>
          <w:p w14:paraId="1E135962">
            <w:pPr>
              <w:spacing w:line="380" w:lineRule="exact"/>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color w:val="auto"/>
              </w:rPr>
              <w:t>数字线划图更新及天地图融合成果质检</w:t>
            </w:r>
            <w:r>
              <w:rPr>
                <w:rFonts w:hint="eastAsia" w:ascii="宋体" w:hAnsi="宋体"/>
                <w:color w:val="auto"/>
                <w:lang w:val="en-US" w:eastAsia="zh-CN"/>
              </w:rPr>
              <w:t>合格，</w:t>
            </w:r>
            <w:r>
              <w:rPr>
                <w:rFonts w:hint="eastAsia" w:ascii="宋体" w:hAnsi="宋体" w:cs="宋体"/>
                <w:color w:val="auto"/>
                <w:szCs w:val="21"/>
              </w:rPr>
              <w:t>项目验收通过后支付</w:t>
            </w:r>
            <w:r>
              <w:rPr>
                <w:rFonts w:hint="eastAsia" w:ascii="宋体" w:hAnsi="宋体" w:cs="宋体"/>
                <w:color w:val="auto"/>
                <w:szCs w:val="21"/>
                <w:lang w:val="en-US" w:eastAsia="zh-CN"/>
              </w:rPr>
              <w:t>尾款（</w:t>
            </w:r>
            <w:r>
              <w:rPr>
                <w:rFonts w:hint="eastAsia" w:ascii="宋体" w:hAnsi="宋体" w:cs="宋体"/>
                <w:color w:val="auto"/>
                <w:szCs w:val="21"/>
              </w:rPr>
              <w:t>合同金额的</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w:t>
            </w:r>
            <w:r>
              <w:rPr>
                <w:rFonts w:hint="eastAsia" w:ascii="宋体" w:hAnsi="宋体" w:cs="宋体"/>
                <w:color w:val="auto"/>
                <w:szCs w:val="21"/>
                <w:lang w:eastAsia="zh-CN"/>
              </w:rPr>
              <w:t>；</w:t>
            </w:r>
          </w:p>
          <w:p w14:paraId="7ACE6A8A">
            <w:pPr>
              <w:spacing w:line="380" w:lineRule="exac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lang w:eastAsia="zh-CN"/>
              </w:rPr>
              <w:t>、</w:t>
            </w:r>
            <w:r>
              <w:rPr>
                <w:rFonts w:hint="eastAsia" w:ascii="宋体" w:hAnsi="宋体" w:cs="宋体"/>
                <w:color w:val="auto"/>
              </w:rPr>
              <w:t>在签订合同时，中标人明确表示无需预付款或者主动要求降低预付款比例的，采购单位可不适用前述规定；</w:t>
            </w:r>
          </w:p>
          <w:p w14:paraId="6FF84613">
            <w:pPr>
              <w:spacing w:line="380" w:lineRule="exact"/>
              <w:contextualSpacing/>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lang w:eastAsia="zh-CN"/>
              </w:rPr>
              <w:t>、</w:t>
            </w:r>
            <w:r>
              <w:rPr>
                <w:rFonts w:hint="eastAsia" w:ascii="宋体" w:hAnsi="宋体" w:eastAsia="宋体" w:cs="宋体"/>
                <w:color w:val="auto"/>
                <w:sz w:val="21"/>
                <w:szCs w:val="21"/>
                <w:highlight w:val="none"/>
                <w:lang w:bidi="ar"/>
              </w:rPr>
              <w:t>以上款项支付均不计息</w:t>
            </w:r>
            <w:r>
              <w:rPr>
                <w:rFonts w:hint="eastAsia" w:ascii="宋体" w:hAnsi="宋体" w:eastAsia="宋体" w:cs="宋体"/>
                <w:color w:val="auto"/>
                <w:sz w:val="21"/>
                <w:szCs w:val="21"/>
                <w:highlight w:val="none"/>
                <w:lang w:eastAsia="zh-CN" w:bidi="ar"/>
              </w:rPr>
              <w:t>，</w:t>
            </w:r>
            <w:r>
              <w:rPr>
                <w:rFonts w:hint="eastAsia" w:ascii="宋体" w:hAnsi="宋体" w:cs="宋体"/>
                <w:color w:val="auto"/>
              </w:rPr>
              <w:t xml:space="preserve">中标人每次提请支付时必须提供等额税务发票。 </w:t>
            </w:r>
          </w:p>
        </w:tc>
      </w:tr>
      <w:tr w14:paraId="35D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609" w:type="dxa"/>
            <w:tcBorders>
              <w:top w:val="single" w:color="auto" w:sz="4" w:space="0"/>
              <w:left w:val="single" w:color="auto" w:sz="4" w:space="0"/>
              <w:bottom w:val="single" w:color="auto" w:sz="4" w:space="0"/>
              <w:right w:val="single" w:color="auto" w:sz="4" w:space="0"/>
            </w:tcBorders>
            <w:vAlign w:val="center"/>
          </w:tcPr>
          <w:p w14:paraId="47FA54A2">
            <w:pPr>
              <w:spacing w:line="380" w:lineRule="exact"/>
              <w:jc w:val="center"/>
              <w:rPr>
                <w:rFonts w:ascii="宋体" w:hAnsi="宋体" w:cs="宋体"/>
                <w:b w:val="0"/>
                <w:bCs/>
              </w:rPr>
            </w:pPr>
            <w:r>
              <w:rPr>
                <w:rFonts w:hint="eastAsia" w:ascii="宋体" w:hAnsi="宋体" w:cs="宋体"/>
                <w:b w:val="0"/>
                <w:bCs/>
              </w:rPr>
              <w:t>履约保证金</w:t>
            </w:r>
          </w:p>
        </w:tc>
        <w:tc>
          <w:tcPr>
            <w:tcW w:w="6636" w:type="dxa"/>
            <w:tcBorders>
              <w:top w:val="single" w:color="auto" w:sz="4" w:space="0"/>
              <w:left w:val="single" w:color="auto" w:sz="4" w:space="0"/>
              <w:bottom w:val="single" w:color="auto" w:sz="4" w:space="0"/>
              <w:right w:val="single" w:color="auto" w:sz="4" w:space="0"/>
            </w:tcBorders>
            <w:vAlign w:val="center"/>
          </w:tcPr>
          <w:p w14:paraId="0C1DC8A1">
            <w:pPr>
              <w:adjustRightInd w:val="0"/>
              <w:snapToGrid w:val="0"/>
              <w:spacing w:line="360" w:lineRule="exact"/>
              <w:rPr>
                <w:rFonts w:ascii="宋体" w:hAnsi="宋体" w:cs="宋体"/>
              </w:rPr>
            </w:pPr>
            <w:r>
              <w:rPr>
                <w:rFonts w:hint="eastAsia" w:ascii="宋体" w:hAnsi="宋体" w:cs="宋体"/>
              </w:rPr>
              <w:t>不收取。</w:t>
            </w:r>
          </w:p>
        </w:tc>
      </w:tr>
      <w:tr w14:paraId="335BE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2609" w:type="dxa"/>
            <w:tcBorders>
              <w:top w:val="single" w:color="auto" w:sz="4" w:space="0"/>
              <w:left w:val="single" w:color="auto" w:sz="4" w:space="0"/>
              <w:bottom w:val="single" w:color="auto" w:sz="4" w:space="0"/>
              <w:right w:val="single" w:color="auto" w:sz="4" w:space="0"/>
            </w:tcBorders>
            <w:vAlign w:val="center"/>
          </w:tcPr>
          <w:p w14:paraId="52AA8295">
            <w:pPr>
              <w:pStyle w:val="2"/>
              <w:spacing w:line="360" w:lineRule="exact"/>
              <w:ind w:firstLine="0"/>
              <w:jc w:val="center"/>
              <w:rPr>
                <w:rFonts w:ascii="宋体" w:hAnsi="宋体" w:cs="宋体"/>
                <w:b w:val="0"/>
                <w:bCs/>
                <w:sz w:val="22"/>
                <w:szCs w:val="22"/>
              </w:rPr>
            </w:pPr>
            <w:r>
              <w:rPr>
                <w:rFonts w:hint="eastAsia" w:ascii="宋体" w:hAnsi="宋体" w:cs="宋体"/>
                <w:b w:val="0"/>
                <w:bCs/>
                <w:szCs w:val="24"/>
              </w:rPr>
              <w:t>专利及知识产权</w:t>
            </w:r>
          </w:p>
        </w:tc>
        <w:tc>
          <w:tcPr>
            <w:tcW w:w="6636" w:type="dxa"/>
            <w:tcBorders>
              <w:top w:val="single" w:color="auto" w:sz="4" w:space="0"/>
              <w:left w:val="single" w:color="auto" w:sz="4" w:space="0"/>
              <w:bottom w:val="single" w:color="auto" w:sz="4" w:space="0"/>
              <w:right w:val="single" w:color="auto" w:sz="4" w:space="0"/>
            </w:tcBorders>
          </w:tcPr>
          <w:p w14:paraId="795FA91C">
            <w:pPr>
              <w:pStyle w:val="2"/>
              <w:spacing w:line="360" w:lineRule="exact"/>
              <w:ind w:firstLine="0"/>
              <w:rPr>
                <w:rFonts w:ascii="宋体" w:hAnsi="宋体" w:cs="宋体"/>
                <w:sz w:val="22"/>
                <w:szCs w:val="22"/>
              </w:rPr>
            </w:pPr>
            <w:r>
              <w:rPr>
                <w:rFonts w:hint="eastAsia" w:ascii="宋体" w:hAnsi="宋体" w:cs="宋体"/>
                <w:szCs w:val="24"/>
              </w:rPr>
              <w:t>投标人需对产品的著作权、知识产权、及所有权负责，并保证不伤害采购人的利益。在法律范围内，所有文字、商标和技术侵权造成的相关费用，采购人概不负责。</w:t>
            </w:r>
          </w:p>
        </w:tc>
      </w:tr>
    </w:tbl>
    <w:p w14:paraId="7E867CFC">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bCs w:val="0"/>
          <w:sz w:val="21"/>
          <w:szCs w:val="21"/>
          <w:lang w:val="en-US" w:eastAsia="zh-CN"/>
        </w:rPr>
      </w:pPr>
      <w:r>
        <w:rPr>
          <w:rFonts w:hint="eastAsia" w:ascii="宋体" w:hAnsi="宋体" w:cs="宋体"/>
          <w:b/>
        </w:rPr>
        <w:t>注：</w:t>
      </w:r>
      <w:r>
        <w:rPr>
          <w:rFonts w:hint="eastAsia" w:ascii="宋体" w:hAnsi="宋体" w:eastAsia="宋体" w:cs="宋体"/>
          <w:b/>
          <w:bCs w:val="0"/>
          <w:sz w:val="21"/>
          <w:szCs w:val="21"/>
          <w:u w:val="none"/>
          <w:lang w:val="en-US" w:eastAsia="zh-CN"/>
        </w:rPr>
        <w:t>1、招标</w:t>
      </w:r>
      <w:r>
        <w:rPr>
          <w:rFonts w:hint="eastAsia" w:ascii="宋体" w:hAnsi="宋体" w:eastAsia="宋体" w:cs="宋体"/>
          <w:b/>
          <w:bCs w:val="0"/>
          <w:sz w:val="21"/>
          <w:szCs w:val="21"/>
          <w:lang w:val="en-US" w:eastAsia="zh-CN"/>
        </w:rPr>
        <w:t>需求是采购人为本项目提出的最低要求，投标人</w:t>
      </w:r>
      <w:r>
        <w:rPr>
          <w:rFonts w:hint="eastAsia" w:ascii="宋体" w:hAnsi="宋体" w:eastAsia="宋体" w:cs="宋体"/>
          <w:b/>
          <w:bCs w:val="0"/>
          <w:sz w:val="21"/>
          <w:szCs w:val="21"/>
        </w:rPr>
        <w:t>所投服务</w:t>
      </w:r>
      <w:r>
        <w:rPr>
          <w:rFonts w:hint="eastAsia" w:ascii="宋体" w:hAnsi="宋体" w:eastAsia="宋体" w:cs="宋体"/>
          <w:b/>
          <w:bCs w:val="0"/>
          <w:sz w:val="21"/>
          <w:szCs w:val="21"/>
          <w:lang w:val="en-US" w:eastAsia="zh-CN"/>
        </w:rPr>
        <w:t>内容标准</w:t>
      </w:r>
      <w:r>
        <w:rPr>
          <w:rFonts w:hint="eastAsia" w:ascii="宋体" w:hAnsi="宋体" w:eastAsia="宋体" w:cs="宋体"/>
          <w:b/>
          <w:bCs w:val="0"/>
          <w:sz w:val="21"/>
          <w:szCs w:val="21"/>
        </w:rPr>
        <w:t>不得低于本项目的要求和档次</w:t>
      </w:r>
      <w:r>
        <w:rPr>
          <w:rFonts w:hint="eastAsia" w:ascii="宋体" w:hAnsi="宋体" w:eastAsia="宋体" w:cs="宋体"/>
          <w:b/>
          <w:bCs w:val="0"/>
          <w:sz w:val="21"/>
          <w:szCs w:val="21"/>
          <w:lang w:eastAsia="zh-CN"/>
        </w:rPr>
        <w:t>。</w:t>
      </w:r>
    </w:p>
    <w:p w14:paraId="598DC84A">
      <w:pPr>
        <w:spacing w:line="400" w:lineRule="exact"/>
        <w:rPr>
          <w:rFonts w:ascii="宋体" w:hAnsi="宋体" w:cs="宋体"/>
          <w:b/>
        </w:rPr>
      </w:pPr>
      <w:r>
        <w:rPr>
          <w:rFonts w:hint="eastAsia" w:ascii="宋体" w:hAnsi="宋体" w:eastAsia="宋体" w:cs="宋体"/>
          <w:b/>
          <w:bCs w:val="0"/>
          <w:sz w:val="21"/>
          <w:szCs w:val="21"/>
          <w:u w:val="none"/>
          <w:lang w:val="en-US" w:eastAsia="zh-CN"/>
        </w:rPr>
        <w:t xml:space="preserve">2、本招标文件中带 “▲”的有关技术和商务条款为实质性条款，投标人必须在投标文件中作出实质性响应，否则投标无效。 </w:t>
      </w:r>
    </w:p>
    <w:p w14:paraId="2606716F">
      <w:pPr>
        <w:rPr>
          <w:rFonts w:hint="eastAsia" w:ascii="宋体" w:hAnsi="宋体" w:cs="宋体"/>
          <w:snapToGrid w:val="0"/>
          <w:sz w:val="36"/>
          <w:szCs w:val="36"/>
        </w:rPr>
      </w:pPr>
      <w:r>
        <w:rPr>
          <w:rFonts w:hint="eastAsia" w:ascii="宋体" w:hAnsi="宋体" w:cs="宋体"/>
          <w:snapToGrid w:val="0"/>
          <w:sz w:val="36"/>
          <w:szCs w:val="36"/>
        </w:rPr>
        <w:br w:type="page"/>
      </w:r>
    </w:p>
    <w:bookmarkEnd w:id="3"/>
    <w:bookmarkEnd w:id="4"/>
    <w:bookmarkEnd w:id="5"/>
    <w:p w14:paraId="64B04D77">
      <w:pPr>
        <w:pStyle w:val="3"/>
        <w:spacing w:after="0" w:line="480" w:lineRule="exact"/>
        <w:jc w:val="center"/>
        <w:rPr>
          <w:rFonts w:ascii="宋体" w:hAnsi="宋体" w:cs="宋体"/>
          <w:snapToGrid w:val="0"/>
          <w:sz w:val="36"/>
          <w:szCs w:val="36"/>
        </w:rPr>
      </w:pPr>
      <w:bookmarkStart w:id="6" w:name="_Toc8498"/>
      <w:bookmarkStart w:id="7" w:name="_Toc12907"/>
      <w:bookmarkStart w:id="8" w:name="_Toc32276"/>
      <w:r>
        <w:rPr>
          <w:rFonts w:hint="eastAsia" w:ascii="宋体" w:hAnsi="宋体" w:cs="宋体"/>
          <w:snapToGrid w:val="0"/>
          <w:sz w:val="36"/>
          <w:szCs w:val="36"/>
        </w:rPr>
        <w:t>第三章  投标人须知</w:t>
      </w:r>
      <w:bookmarkEnd w:id="6"/>
      <w:bookmarkEnd w:id="7"/>
      <w:bookmarkEnd w:id="8"/>
    </w:p>
    <w:p w14:paraId="58BBBDA7">
      <w:pPr>
        <w:pStyle w:val="4"/>
        <w:spacing w:line="480" w:lineRule="exact"/>
        <w:rPr>
          <w:rFonts w:ascii="宋体" w:hAnsi="宋体" w:eastAsia="宋体" w:cs="宋体"/>
          <w:sz w:val="24"/>
          <w:szCs w:val="24"/>
        </w:rPr>
      </w:pPr>
      <w:bookmarkStart w:id="9" w:name="_Toc15132"/>
      <w:bookmarkStart w:id="10" w:name="_Toc2847"/>
      <w:bookmarkStart w:id="11" w:name="_Toc4375"/>
      <w:bookmarkStart w:id="12" w:name="_Toc1552"/>
      <w:bookmarkStart w:id="13" w:name="_Toc12354"/>
      <w:bookmarkStart w:id="14" w:name="_Toc31768"/>
      <w:bookmarkStart w:id="15" w:name="_Toc31607"/>
      <w:bookmarkStart w:id="16" w:name="_Toc22877"/>
      <w:bookmarkStart w:id="17" w:name="_Toc317341937"/>
      <w:bookmarkStart w:id="18" w:name="_Toc222632753"/>
      <w:r>
        <w:rPr>
          <w:rFonts w:hint="eastAsia" w:ascii="宋体" w:hAnsi="宋体" w:eastAsia="宋体" w:cs="宋体"/>
          <w:sz w:val="24"/>
          <w:szCs w:val="24"/>
        </w:rPr>
        <w:t>前   附  表</w:t>
      </w:r>
      <w:bookmarkEnd w:id="9"/>
      <w:bookmarkEnd w:id="10"/>
      <w:bookmarkEnd w:id="11"/>
      <w:bookmarkEnd w:id="12"/>
      <w:bookmarkEnd w:id="13"/>
      <w:bookmarkEnd w:id="14"/>
      <w:bookmarkEnd w:id="15"/>
      <w:bookmarkEnd w:id="16"/>
      <w:bookmarkEnd w:id="17"/>
      <w:bookmarkEnd w:id="18"/>
    </w:p>
    <w:tbl>
      <w:tblPr>
        <w:tblStyle w:val="18"/>
        <w:tblW w:w="9432" w:type="dxa"/>
        <w:jc w:val="center"/>
        <w:tblLayout w:type="fixed"/>
        <w:tblCellMar>
          <w:top w:w="0" w:type="dxa"/>
          <w:left w:w="108" w:type="dxa"/>
          <w:bottom w:w="0" w:type="dxa"/>
          <w:right w:w="108" w:type="dxa"/>
        </w:tblCellMar>
      </w:tblPr>
      <w:tblGrid>
        <w:gridCol w:w="600"/>
        <w:gridCol w:w="8832"/>
      </w:tblGrid>
      <w:tr w14:paraId="797DFC31">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239AE523">
            <w:pPr>
              <w:autoSpaceDE w:val="0"/>
              <w:autoSpaceDN w:val="0"/>
              <w:adjustRightInd w:val="0"/>
              <w:spacing w:line="400" w:lineRule="exact"/>
              <w:ind w:right="-359"/>
              <w:rPr>
                <w:rFonts w:ascii="宋体" w:hAnsi="宋体" w:cs="宋体"/>
                <w:lang w:val="zh-CN"/>
              </w:rPr>
            </w:pPr>
            <w:r>
              <w:rPr>
                <w:rFonts w:hint="eastAsia" w:ascii="宋体" w:hAnsi="宋体" w:cs="宋体"/>
                <w:cs/>
                <w:lang w:val="zh-CN"/>
              </w:rPr>
              <w:t>序号</w:t>
            </w:r>
          </w:p>
        </w:tc>
        <w:tc>
          <w:tcPr>
            <w:tcW w:w="8832" w:type="dxa"/>
            <w:tcBorders>
              <w:top w:val="single" w:color="auto" w:sz="6" w:space="0"/>
              <w:left w:val="single" w:color="auto" w:sz="6" w:space="0"/>
              <w:bottom w:val="single" w:color="auto" w:sz="6" w:space="0"/>
              <w:right w:val="single" w:color="auto" w:sz="6" w:space="0"/>
            </w:tcBorders>
            <w:vAlign w:val="center"/>
          </w:tcPr>
          <w:p w14:paraId="02AB758E">
            <w:pPr>
              <w:autoSpaceDE w:val="0"/>
              <w:autoSpaceDN w:val="0"/>
              <w:adjustRightInd w:val="0"/>
              <w:spacing w:line="400" w:lineRule="exact"/>
              <w:ind w:left="71" w:right="-263" w:firstLine="105"/>
              <w:jc w:val="center"/>
              <w:rPr>
                <w:rFonts w:ascii="宋体" w:hAnsi="宋体" w:cs="宋体"/>
                <w:lang w:val="zh-CN"/>
              </w:rPr>
            </w:pPr>
            <w:r>
              <w:rPr>
                <w:rFonts w:hint="eastAsia" w:ascii="宋体" w:hAnsi="宋体" w:cs="宋体"/>
                <w:lang w:val="zh-CN"/>
              </w:rPr>
              <w:t>内容及相关规定</w:t>
            </w:r>
          </w:p>
        </w:tc>
      </w:tr>
      <w:tr w14:paraId="3C0655C7">
        <w:tblPrEx>
          <w:tblCellMar>
            <w:top w:w="0" w:type="dxa"/>
            <w:left w:w="108" w:type="dxa"/>
            <w:bottom w:w="0" w:type="dxa"/>
            <w:right w:w="108" w:type="dxa"/>
          </w:tblCellMar>
        </w:tblPrEx>
        <w:trPr>
          <w:jc w:val="center"/>
        </w:trPr>
        <w:tc>
          <w:tcPr>
            <w:tcW w:w="600" w:type="dxa"/>
            <w:tcBorders>
              <w:top w:val="single" w:color="auto" w:sz="6" w:space="0"/>
              <w:left w:val="single" w:color="auto" w:sz="6" w:space="0"/>
              <w:right w:val="single" w:color="auto" w:sz="6" w:space="0"/>
            </w:tcBorders>
            <w:vAlign w:val="center"/>
          </w:tcPr>
          <w:p w14:paraId="08920C24">
            <w:pPr>
              <w:autoSpaceDE w:val="0"/>
              <w:autoSpaceDN w:val="0"/>
              <w:adjustRightInd w:val="0"/>
              <w:spacing w:line="400" w:lineRule="exact"/>
              <w:ind w:right="-359" w:firstLine="105"/>
              <w:rPr>
                <w:rFonts w:ascii="宋体" w:hAnsi="宋体" w:cs="宋体"/>
                <w:lang w:val="zh-CN"/>
              </w:rPr>
            </w:pPr>
            <w:r>
              <w:rPr>
                <w:rFonts w:hint="eastAsia" w:ascii="宋体" w:hAnsi="宋体" w:cs="宋体"/>
                <w:lang w:val="zh-CN"/>
              </w:rPr>
              <w:t>1</w:t>
            </w:r>
          </w:p>
        </w:tc>
        <w:tc>
          <w:tcPr>
            <w:tcW w:w="8832" w:type="dxa"/>
            <w:tcBorders>
              <w:top w:val="single" w:color="auto" w:sz="6" w:space="0"/>
              <w:left w:val="single" w:color="auto" w:sz="6" w:space="0"/>
              <w:right w:val="single" w:color="auto" w:sz="6" w:space="0"/>
            </w:tcBorders>
            <w:vAlign w:val="center"/>
          </w:tcPr>
          <w:p w14:paraId="06BAFD25">
            <w:pPr>
              <w:adjustRightInd w:val="0"/>
              <w:snapToGrid w:val="0"/>
              <w:spacing w:line="400" w:lineRule="exact"/>
              <w:rPr>
                <w:rFonts w:hint="eastAsia" w:ascii="宋体" w:hAnsi="宋体" w:eastAsia="宋体" w:cs="宋体"/>
                <w:lang w:eastAsia="zh-CN"/>
              </w:rPr>
            </w:pPr>
            <w:r>
              <w:rPr>
                <w:rFonts w:hint="eastAsia" w:ascii="宋体" w:hAnsi="宋体" w:cs="宋体"/>
              </w:rPr>
              <w:t>项目名称：</w:t>
            </w:r>
            <w:r>
              <w:rPr>
                <w:rFonts w:hint="eastAsia" w:ascii="宋体" w:hAnsi="宋体" w:cs="宋体"/>
                <w:lang w:eastAsia="zh-CN"/>
              </w:rPr>
              <w:t>2025年安吉县1:2000数字线划图更新入库与天地图融合项目</w:t>
            </w:r>
          </w:p>
          <w:p w14:paraId="47758C94">
            <w:pPr>
              <w:adjustRightInd w:val="0"/>
              <w:snapToGrid w:val="0"/>
              <w:spacing w:line="400" w:lineRule="exact"/>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ZJZC-AJ2025-003</w:t>
            </w:r>
          </w:p>
          <w:p w14:paraId="7735CC51">
            <w:pPr>
              <w:adjustRightInd w:val="0"/>
              <w:snapToGrid w:val="0"/>
              <w:spacing w:line="400" w:lineRule="exact"/>
              <w:rPr>
                <w:rFonts w:ascii="宋体" w:hAnsi="宋体" w:cs="宋体"/>
              </w:rPr>
            </w:pPr>
            <w:r>
              <w:rPr>
                <w:rFonts w:hint="eastAsia" w:ascii="宋体" w:hAnsi="宋体" w:cs="宋体"/>
              </w:rPr>
              <w:t>项目内容：详见招标文件第二章</w:t>
            </w:r>
          </w:p>
        </w:tc>
      </w:tr>
      <w:tr w14:paraId="6004213B">
        <w:tblPrEx>
          <w:tblCellMar>
            <w:top w:w="0" w:type="dxa"/>
            <w:left w:w="108" w:type="dxa"/>
            <w:bottom w:w="0" w:type="dxa"/>
            <w:right w:w="108" w:type="dxa"/>
          </w:tblCellMar>
        </w:tblPrEx>
        <w:trPr>
          <w:jc w:val="center"/>
        </w:trPr>
        <w:tc>
          <w:tcPr>
            <w:tcW w:w="600" w:type="dxa"/>
            <w:tcBorders>
              <w:top w:val="single" w:color="auto" w:sz="6" w:space="0"/>
              <w:left w:val="single" w:color="auto" w:sz="6" w:space="0"/>
              <w:right w:val="single" w:color="auto" w:sz="6" w:space="0"/>
            </w:tcBorders>
            <w:vAlign w:val="center"/>
          </w:tcPr>
          <w:p w14:paraId="2623047B">
            <w:pPr>
              <w:autoSpaceDE w:val="0"/>
              <w:autoSpaceDN w:val="0"/>
              <w:adjustRightInd w:val="0"/>
              <w:spacing w:line="400" w:lineRule="exact"/>
              <w:ind w:right="-359" w:firstLine="105"/>
              <w:rPr>
                <w:rFonts w:ascii="宋体" w:hAnsi="宋体" w:cs="宋体"/>
              </w:rPr>
            </w:pPr>
            <w:r>
              <w:rPr>
                <w:rFonts w:hint="eastAsia" w:ascii="宋体" w:hAnsi="宋体" w:cs="宋体"/>
              </w:rPr>
              <w:t>2</w:t>
            </w:r>
          </w:p>
        </w:tc>
        <w:tc>
          <w:tcPr>
            <w:tcW w:w="8832" w:type="dxa"/>
            <w:tcBorders>
              <w:top w:val="single" w:color="auto" w:sz="6" w:space="0"/>
              <w:left w:val="single" w:color="auto" w:sz="6" w:space="0"/>
              <w:right w:val="single" w:color="auto" w:sz="6" w:space="0"/>
            </w:tcBorders>
            <w:vAlign w:val="center"/>
          </w:tcPr>
          <w:p w14:paraId="277CC667">
            <w:pPr>
              <w:adjustRightInd w:val="0"/>
              <w:snapToGrid w:val="0"/>
              <w:spacing w:line="400" w:lineRule="exact"/>
              <w:rPr>
                <w:rFonts w:ascii="宋体" w:hAnsi="宋体" w:cs="宋体"/>
              </w:rPr>
            </w:pPr>
            <w:r>
              <w:rPr>
                <w:rFonts w:hint="eastAsia" w:ascii="宋体" w:hAnsi="宋体" w:cs="宋体"/>
              </w:rPr>
              <w:t>采购资金来源：财政预算资金，已落实。</w:t>
            </w:r>
          </w:p>
          <w:p w14:paraId="6A0667A6">
            <w:pPr>
              <w:adjustRightInd w:val="0"/>
              <w:snapToGrid w:val="0"/>
              <w:spacing w:line="400" w:lineRule="exact"/>
              <w:rPr>
                <w:rFonts w:ascii="宋体" w:hAnsi="宋体" w:cs="宋体"/>
              </w:rPr>
            </w:pPr>
            <w:r>
              <w:rPr>
                <w:rFonts w:hint="eastAsia" w:ascii="宋体" w:hAnsi="宋体" w:cs="宋体"/>
              </w:rPr>
              <w:t>付款方式：</w:t>
            </w:r>
            <w:r>
              <w:rPr>
                <w:rFonts w:hint="eastAsia" w:ascii="宋体" w:hAnsi="宋体" w:eastAsia="宋体" w:cs="宋体"/>
                <w:b w:val="0"/>
                <w:bCs w:val="0"/>
                <w:snapToGrid w:val="0"/>
                <w:color w:val="000000"/>
                <w:sz w:val="21"/>
                <w:szCs w:val="21"/>
                <w:lang w:val="en-US" w:eastAsia="zh-CN"/>
              </w:rPr>
              <w:t>采购人自行支付。</w:t>
            </w:r>
          </w:p>
        </w:tc>
      </w:tr>
      <w:tr w14:paraId="11A72D02">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3D0329F8">
            <w:pPr>
              <w:autoSpaceDE w:val="0"/>
              <w:autoSpaceDN w:val="0"/>
              <w:adjustRightInd w:val="0"/>
              <w:spacing w:line="400" w:lineRule="exact"/>
              <w:ind w:right="-359" w:firstLine="105"/>
              <w:rPr>
                <w:rFonts w:ascii="宋体" w:hAnsi="宋体" w:cs="宋体"/>
                <w:lang w:val="zh-CN"/>
              </w:rPr>
            </w:pPr>
            <w:r>
              <w:rPr>
                <w:rFonts w:hint="eastAsia" w:ascii="宋体" w:hAnsi="宋体" w:cs="宋体"/>
              </w:rPr>
              <w:t>3</w:t>
            </w:r>
          </w:p>
        </w:tc>
        <w:tc>
          <w:tcPr>
            <w:tcW w:w="8832" w:type="dxa"/>
            <w:tcBorders>
              <w:top w:val="single" w:color="auto" w:sz="6" w:space="0"/>
              <w:left w:val="single" w:color="auto" w:sz="6" w:space="0"/>
              <w:bottom w:val="single" w:color="auto" w:sz="6" w:space="0"/>
              <w:right w:val="single" w:color="auto" w:sz="6" w:space="0"/>
            </w:tcBorders>
            <w:vAlign w:val="center"/>
          </w:tcPr>
          <w:p w14:paraId="296D8098">
            <w:pPr>
              <w:autoSpaceDE w:val="0"/>
              <w:autoSpaceDN w:val="0"/>
              <w:adjustRightInd w:val="0"/>
              <w:spacing w:line="400" w:lineRule="exact"/>
              <w:ind w:right="69"/>
              <w:rPr>
                <w:rFonts w:ascii="宋体" w:hAnsi="宋体" w:cs="宋体"/>
                <w:lang w:val="zh-CN"/>
              </w:rPr>
            </w:pPr>
            <w:r>
              <w:rPr>
                <w:rFonts w:hint="eastAsia" w:ascii="宋体" w:hAnsi="宋体" w:cs="宋体"/>
                <w:lang w:val="zh-CN"/>
              </w:rPr>
              <w:t>投标人资格要求：见招标公告第二条</w:t>
            </w:r>
          </w:p>
        </w:tc>
      </w:tr>
      <w:tr w14:paraId="773F1903">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65BBA39B">
            <w:pPr>
              <w:autoSpaceDE w:val="0"/>
              <w:autoSpaceDN w:val="0"/>
              <w:adjustRightInd w:val="0"/>
              <w:spacing w:line="400" w:lineRule="exact"/>
              <w:ind w:right="-359" w:firstLine="105"/>
              <w:rPr>
                <w:rFonts w:ascii="宋体" w:hAnsi="宋体" w:cs="宋体"/>
                <w:lang w:val="zh-CN"/>
              </w:rPr>
            </w:pPr>
            <w:r>
              <w:rPr>
                <w:rFonts w:hint="eastAsia" w:ascii="宋体" w:hAnsi="宋体" w:cs="宋体"/>
              </w:rPr>
              <w:t>4</w:t>
            </w:r>
          </w:p>
        </w:tc>
        <w:tc>
          <w:tcPr>
            <w:tcW w:w="8832" w:type="dxa"/>
            <w:tcBorders>
              <w:top w:val="single" w:color="auto" w:sz="6" w:space="0"/>
              <w:left w:val="single" w:color="auto" w:sz="6" w:space="0"/>
              <w:bottom w:val="single" w:color="auto" w:sz="6" w:space="0"/>
              <w:right w:val="single" w:color="auto" w:sz="6" w:space="0"/>
            </w:tcBorders>
            <w:vAlign w:val="center"/>
          </w:tcPr>
          <w:p w14:paraId="6339AFD6">
            <w:pPr>
              <w:autoSpaceDE w:val="0"/>
              <w:autoSpaceDN w:val="0"/>
              <w:adjustRightInd w:val="0"/>
              <w:spacing w:line="400" w:lineRule="exact"/>
              <w:jc w:val="left"/>
              <w:rPr>
                <w:rFonts w:ascii="宋体" w:hAnsi="宋体" w:cs="宋体"/>
                <w:lang w:val="zh-CN"/>
              </w:rPr>
            </w:pPr>
            <w:r>
              <w:rPr>
                <w:rFonts w:hint="eastAsia" w:ascii="宋体" w:hAnsi="宋体" w:cs="宋体"/>
                <w:lang w:val="zh-CN"/>
              </w:rPr>
              <w:t>投标有效期：</w:t>
            </w:r>
          </w:p>
          <w:p w14:paraId="5EAAC572">
            <w:pPr>
              <w:autoSpaceDE w:val="0"/>
              <w:autoSpaceDN w:val="0"/>
              <w:adjustRightInd w:val="0"/>
              <w:spacing w:line="400" w:lineRule="exact"/>
              <w:jc w:val="left"/>
              <w:rPr>
                <w:rFonts w:ascii="宋体" w:hAnsi="宋体" w:cs="宋体"/>
                <w:lang w:val="zh-CN"/>
              </w:rPr>
            </w:pPr>
            <w:r>
              <w:rPr>
                <w:rFonts w:hint="eastAsia" w:ascii="宋体" w:hAnsi="宋体" w:cs="宋体"/>
                <w:lang w:val="zh-CN"/>
              </w:rPr>
              <w:t>自投标截止日起90天。</w:t>
            </w:r>
          </w:p>
          <w:p w14:paraId="06F7A0AE">
            <w:pPr>
              <w:autoSpaceDE w:val="0"/>
              <w:autoSpaceDN w:val="0"/>
              <w:adjustRightInd w:val="0"/>
              <w:spacing w:line="400" w:lineRule="exact"/>
              <w:jc w:val="left"/>
              <w:rPr>
                <w:rFonts w:ascii="宋体" w:hAnsi="宋体" w:cs="宋体"/>
                <w:lang w:val="zh-CN"/>
              </w:rPr>
            </w:pPr>
            <w:r>
              <w:rPr>
                <w:rFonts w:hint="eastAsia" w:ascii="宋体" w:hAnsi="宋体" w:cs="宋体"/>
                <w:lang w:bidi="ar"/>
              </w:rPr>
              <w:t>投标截止后，在投标有效期内，投标人不能撤销投标文件。投标人强行撤销投标文件的，应按预算金额的2%赔偿对招标代理机构造成的损失。</w:t>
            </w:r>
          </w:p>
        </w:tc>
      </w:tr>
      <w:tr w14:paraId="356DE265">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68CA5832">
            <w:pPr>
              <w:autoSpaceDE w:val="0"/>
              <w:autoSpaceDN w:val="0"/>
              <w:adjustRightInd w:val="0"/>
              <w:spacing w:line="400" w:lineRule="exact"/>
              <w:ind w:right="-359" w:firstLine="105"/>
              <w:jc w:val="left"/>
              <w:rPr>
                <w:rFonts w:ascii="宋体" w:hAnsi="宋体" w:cs="宋体"/>
                <w:lang w:val="zh-CN"/>
              </w:rPr>
            </w:pPr>
            <w:r>
              <w:rPr>
                <w:rFonts w:hint="eastAsia" w:ascii="宋体" w:hAnsi="宋体" w:cs="宋体"/>
              </w:rPr>
              <w:t>5</w:t>
            </w:r>
          </w:p>
        </w:tc>
        <w:tc>
          <w:tcPr>
            <w:tcW w:w="8832" w:type="dxa"/>
            <w:tcBorders>
              <w:top w:val="single" w:color="auto" w:sz="6" w:space="0"/>
              <w:left w:val="single" w:color="auto" w:sz="6" w:space="0"/>
              <w:bottom w:val="single" w:color="auto" w:sz="6" w:space="0"/>
              <w:right w:val="single" w:color="auto" w:sz="6" w:space="0"/>
            </w:tcBorders>
            <w:vAlign w:val="center"/>
          </w:tcPr>
          <w:p w14:paraId="357ACE06">
            <w:pPr>
              <w:autoSpaceDE w:val="0"/>
              <w:autoSpaceDN w:val="0"/>
              <w:snapToGrid w:val="0"/>
              <w:spacing w:line="400" w:lineRule="exact"/>
              <w:ind w:left="1"/>
              <w:jc w:val="left"/>
              <w:textAlignment w:val="bottom"/>
              <w:rPr>
                <w:rFonts w:ascii="宋体" w:hAnsi="宋体" w:cs="宋体"/>
                <w:lang w:val="zh-CN"/>
              </w:rPr>
            </w:pPr>
            <w:r>
              <w:rPr>
                <w:rFonts w:hint="eastAsia" w:ascii="宋体" w:hAnsi="宋体" w:cs="宋体"/>
                <w:lang w:val="zh-CN"/>
              </w:rPr>
              <w:t>投标保证金：</w:t>
            </w:r>
            <w:r>
              <w:rPr>
                <w:rFonts w:hint="eastAsia" w:ascii="宋体" w:hAnsi="宋体" w:cs="宋体"/>
              </w:rPr>
              <w:t>无。</w:t>
            </w:r>
          </w:p>
        </w:tc>
      </w:tr>
      <w:tr w14:paraId="5D1C3392">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6868FAF8">
            <w:pPr>
              <w:autoSpaceDE w:val="0"/>
              <w:autoSpaceDN w:val="0"/>
              <w:adjustRightInd w:val="0"/>
              <w:spacing w:line="400" w:lineRule="exact"/>
              <w:ind w:right="-359" w:firstLine="105"/>
              <w:rPr>
                <w:rFonts w:ascii="宋体" w:hAnsi="宋体" w:cs="宋体"/>
              </w:rPr>
            </w:pPr>
            <w:r>
              <w:rPr>
                <w:rFonts w:hint="eastAsia" w:ascii="宋体" w:hAnsi="宋体" w:cs="宋体"/>
              </w:rPr>
              <w:t>6</w:t>
            </w:r>
          </w:p>
        </w:tc>
        <w:tc>
          <w:tcPr>
            <w:tcW w:w="8832" w:type="dxa"/>
            <w:tcBorders>
              <w:top w:val="single" w:color="auto" w:sz="6" w:space="0"/>
              <w:left w:val="single" w:color="auto" w:sz="6" w:space="0"/>
              <w:bottom w:val="single" w:color="auto" w:sz="6" w:space="0"/>
              <w:right w:val="single" w:color="auto" w:sz="6" w:space="0"/>
            </w:tcBorders>
            <w:vAlign w:val="center"/>
          </w:tcPr>
          <w:p w14:paraId="08633371">
            <w:pPr>
              <w:autoSpaceDE w:val="0"/>
              <w:autoSpaceDN w:val="0"/>
              <w:adjustRightInd w:val="0"/>
              <w:snapToGrid w:val="0"/>
              <w:spacing w:line="400" w:lineRule="exact"/>
              <w:rPr>
                <w:rFonts w:ascii="宋体" w:hAnsi="宋体" w:cs="宋体"/>
                <w:lang w:val="zh-CN"/>
              </w:rPr>
            </w:pPr>
            <w:r>
              <w:rPr>
                <w:rFonts w:hint="eastAsia" w:ascii="宋体" w:hAnsi="宋体" w:cs="宋体"/>
                <w:lang w:val="zh-CN"/>
              </w:rPr>
              <w:t>投标报价及费用：</w:t>
            </w:r>
          </w:p>
          <w:p w14:paraId="7BD23E10">
            <w:pPr>
              <w:pStyle w:val="2"/>
              <w:spacing w:line="400" w:lineRule="exact"/>
              <w:ind w:firstLine="0"/>
              <w:rPr>
                <w:rFonts w:ascii="宋体" w:hAnsi="宋体" w:cs="宋体"/>
                <w:szCs w:val="21"/>
              </w:rPr>
            </w:pPr>
            <w:r>
              <w:rPr>
                <w:rFonts w:hint="eastAsia" w:ascii="宋体" w:hAnsi="宋体" w:cs="宋体"/>
                <w:szCs w:val="21"/>
              </w:rPr>
              <w:t>1.本项目投标应以人民币报价；</w:t>
            </w:r>
          </w:p>
          <w:p w14:paraId="09255C21">
            <w:pPr>
              <w:pStyle w:val="2"/>
              <w:spacing w:line="400" w:lineRule="exact"/>
              <w:ind w:firstLine="0"/>
              <w:rPr>
                <w:rFonts w:ascii="宋体" w:hAnsi="宋体" w:cs="宋体"/>
                <w:szCs w:val="21"/>
              </w:rPr>
            </w:pPr>
            <w:r>
              <w:rPr>
                <w:rFonts w:hint="eastAsia" w:ascii="宋体" w:hAnsi="宋体" w:cs="宋体"/>
                <w:szCs w:val="21"/>
              </w:rPr>
              <w:t>2.不论投标结果如何，投标人均应自行承担所有与投标有关的全部费用；</w:t>
            </w:r>
          </w:p>
          <w:p w14:paraId="11739B4F">
            <w:pPr>
              <w:pStyle w:val="2"/>
              <w:spacing w:line="400" w:lineRule="exact"/>
              <w:ind w:firstLine="0"/>
              <w:rPr>
                <w:rFonts w:ascii="宋体" w:hAnsi="宋体" w:cs="宋体"/>
                <w:szCs w:val="21"/>
              </w:rPr>
            </w:pPr>
            <w:r>
              <w:rPr>
                <w:rFonts w:hint="eastAsia" w:ascii="宋体" w:hAnsi="宋体" w:cs="宋体"/>
                <w:szCs w:val="21"/>
              </w:rPr>
              <w:t>3</w:t>
            </w:r>
            <w:r>
              <w:rPr>
                <w:rFonts w:hint="eastAsia" w:ascii="宋体" w:hAnsi="宋体" w:cs="宋体"/>
                <w:szCs w:val="21"/>
                <w:highlight w:val="none"/>
              </w:rPr>
              <w:t>.采购代理费用由中标人支付（收费标准为：按中标价0-100万元（含）的按1.5%，100万-500万按</w:t>
            </w:r>
            <w:r>
              <w:rPr>
                <w:rFonts w:hint="eastAsia" w:ascii="宋体" w:hAnsi="宋体" w:cs="宋体"/>
                <w:szCs w:val="21"/>
                <w:highlight w:val="none"/>
                <w:lang w:val="en-US" w:eastAsia="zh-CN"/>
              </w:rPr>
              <w:t>0.8</w:t>
            </w:r>
            <w:r>
              <w:rPr>
                <w:rFonts w:hint="eastAsia" w:ascii="宋体" w:hAnsi="宋体" w:cs="宋体"/>
                <w:szCs w:val="21"/>
                <w:highlight w:val="none"/>
              </w:rPr>
              <w:t>%，差额定率累进法计算。</w:t>
            </w:r>
            <w:r>
              <w:rPr>
                <w:rFonts w:hint="eastAsia" w:ascii="宋体" w:hAnsi="宋体" w:cs="宋体"/>
                <w:szCs w:val="21"/>
              </w:rPr>
              <w:t>结算方式时间为：中标人领取中标通知书时以转账、银行汇票或现金缴入代理公司账户为准）。</w:t>
            </w:r>
            <w:r>
              <w:rPr>
                <w:rFonts w:hint="eastAsia" w:ascii="宋体" w:hAnsi="宋体" w:cs="宋体"/>
                <w:szCs w:val="21"/>
                <w:highlight w:val="none"/>
              </w:rPr>
              <w:t>帐户名称：</w:t>
            </w:r>
            <w:r>
              <w:rPr>
                <w:rFonts w:hint="eastAsia" w:ascii="宋体" w:hAnsi="宋体" w:cs="宋体"/>
                <w:szCs w:val="21"/>
                <w:highlight w:val="none"/>
                <w:lang w:eastAsia="zh-CN"/>
              </w:rPr>
              <w:t>浙江至诚工程咨询有限责任公司</w:t>
            </w:r>
            <w:r>
              <w:rPr>
                <w:rFonts w:hint="eastAsia" w:ascii="宋体" w:hAnsi="宋体" w:cs="宋体"/>
                <w:szCs w:val="21"/>
                <w:highlight w:val="none"/>
              </w:rPr>
              <w:t xml:space="preserve">，开户银行：浙江安吉农村商业银行营业部，帐号：201 000 </w:t>
            </w:r>
            <w:r>
              <w:rPr>
                <w:rFonts w:hint="eastAsia" w:ascii="宋体" w:hAnsi="宋体" w:cs="宋体"/>
                <w:szCs w:val="21"/>
                <w:highlight w:val="none"/>
                <w:lang w:val="en-US" w:eastAsia="zh-CN"/>
              </w:rPr>
              <w:t>259</w:t>
            </w:r>
            <w:r>
              <w:rPr>
                <w:rFonts w:hint="eastAsia" w:ascii="宋体" w:hAnsi="宋体" w:cs="宋体"/>
                <w:szCs w:val="21"/>
                <w:highlight w:val="none"/>
              </w:rPr>
              <w:t xml:space="preserve"> </w:t>
            </w:r>
            <w:r>
              <w:rPr>
                <w:rFonts w:hint="eastAsia" w:ascii="宋体" w:hAnsi="宋体" w:cs="宋体"/>
                <w:szCs w:val="21"/>
                <w:highlight w:val="none"/>
                <w:lang w:val="en-US" w:eastAsia="zh-CN"/>
              </w:rPr>
              <w:t>134</w:t>
            </w:r>
            <w:r>
              <w:rPr>
                <w:rFonts w:hint="eastAsia" w:ascii="宋体" w:hAnsi="宋体" w:cs="宋体"/>
                <w:szCs w:val="21"/>
                <w:highlight w:val="none"/>
              </w:rPr>
              <w:t xml:space="preserve"> </w:t>
            </w:r>
            <w:r>
              <w:rPr>
                <w:rFonts w:hint="eastAsia" w:ascii="宋体" w:hAnsi="宋体" w:cs="宋体"/>
                <w:szCs w:val="21"/>
                <w:highlight w:val="none"/>
                <w:lang w:val="en-US" w:eastAsia="zh-CN"/>
              </w:rPr>
              <w:t>266</w:t>
            </w:r>
          </w:p>
        </w:tc>
      </w:tr>
      <w:tr w14:paraId="5AC20350">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35EB5EFF">
            <w:pPr>
              <w:autoSpaceDE w:val="0"/>
              <w:autoSpaceDN w:val="0"/>
              <w:adjustRightInd w:val="0"/>
              <w:spacing w:line="400" w:lineRule="exact"/>
              <w:ind w:right="-359" w:firstLine="105"/>
              <w:rPr>
                <w:rFonts w:ascii="宋体" w:hAnsi="宋体" w:cs="宋体"/>
              </w:rPr>
            </w:pPr>
            <w:r>
              <w:rPr>
                <w:rFonts w:hint="eastAsia" w:ascii="宋体" w:hAnsi="宋体" w:cs="宋体"/>
              </w:rPr>
              <w:t>7</w:t>
            </w:r>
          </w:p>
        </w:tc>
        <w:tc>
          <w:tcPr>
            <w:tcW w:w="8832" w:type="dxa"/>
            <w:tcBorders>
              <w:top w:val="single" w:color="auto" w:sz="6" w:space="0"/>
              <w:left w:val="single" w:color="auto" w:sz="6" w:space="0"/>
              <w:bottom w:val="single" w:color="auto" w:sz="6" w:space="0"/>
              <w:right w:val="single" w:color="auto" w:sz="6" w:space="0"/>
            </w:tcBorders>
            <w:vAlign w:val="center"/>
          </w:tcPr>
          <w:p w14:paraId="067601D1">
            <w:pPr>
              <w:autoSpaceDE w:val="0"/>
              <w:autoSpaceDN w:val="0"/>
              <w:adjustRightInd w:val="0"/>
              <w:spacing w:line="400" w:lineRule="exact"/>
              <w:ind w:left="71" w:right="69"/>
              <w:rPr>
                <w:rFonts w:ascii="宋体" w:hAnsi="宋体" w:cs="宋体"/>
                <w:u w:val="single"/>
              </w:rPr>
            </w:pPr>
            <w:r>
              <w:rPr>
                <w:rFonts w:hint="eastAsia" w:ascii="宋体" w:hAnsi="宋体" w:cs="宋体"/>
                <w:lang w:val="zh-CN"/>
              </w:rPr>
              <w:t>本项目投标报价上限：</w:t>
            </w:r>
          </w:p>
          <w:p w14:paraId="0D31782F">
            <w:pPr>
              <w:autoSpaceDE w:val="0"/>
              <w:autoSpaceDN w:val="0"/>
              <w:adjustRightInd w:val="0"/>
              <w:spacing w:line="400" w:lineRule="exact"/>
              <w:ind w:left="71" w:right="69"/>
              <w:rPr>
                <w:rFonts w:ascii="宋体" w:hAnsi="宋体" w:cs="宋体"/>
              </w:rPr>
            </w:pPr>
            <w:r>
              <w:rPr>
                <w:rFonts w:hint="eastAsia" w:ascii="宋体" w:hAnsi="宋体" w:cs="宋体"/>
              </w:rPr>
              <w:t>报价不得超最高限价，否则投标无效。</w:t>
            </w:r>
          </w:p>
        </w:tc>
      </w:tr>
      <w:tr w14:paraId="60E99694">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286B27B2">
            <w:pPr>
              <w:autoSpaceDE w:val="0"/>
              <w:autoSpaceDN w:val="0"/>
              <w:adjustRightInd w:val="0"/>
              <w:spacing w:line="400" w:lineRule="exact"/>
              <w:ind w:right="-359" w:firstLine="105"/>
              <w:rPr>
                <w:rFonts w:ascii="宋体" w:hAnsi="宋体" w:cs="宋体"/>
              </w:rPr>
            </w:pPr>
            <w:r>
              <w:rPr>
                <w:rFonts w:hint="eastAsia" w:ascii="宋体" w:hAnsi="宋体" w:cs="宋体"/>
              </w:rPr>
              <w:t>8</w:t>
            </w:r>
          </w:p>
        </w:tc>
        <w:tc>
          <w:tcPr>
            <w:tcW w:w="8832" w:type="dxa"/>
            <w:tcBorders>
              <w:top w:val="single" w:color="auto" w:sz="6" w:space="0"/>
              <w:left w:val="single" w:color="auto" w:sz="6" w:space="0"/>
              <w:bottom w:val="single" w:color="auto" w:sz="6" w:space="0"/>
              <w:right w:val="single" w:color="auto" w:sz="6" w:space="0"/>
            </w:tcBorders>
            <w:vAlign w:val="center"/>
          </w:tcPr>
          <w:p w14:paraId="422DFDB0">
            <w:pPr>
              <w:pStyle w:val="2"/>
              <w:spacing w:line="400" w:lineRule="exact"/>
              <w:ind w:firstLine="0"/>
              <w:rPr>
                <w:rFonts w:ascii="宋体" w:hAnsi="宋体" w:cs="宋体"/>
                <w:szCs w:val="21"/>
              </w:rPr>
            </w:pPr>
            <w:r>
              <w:rPr>
                <w:rFonts w:hint="eastAsia" w:ascii="宋体" w:hAnsi="宋体" w:cs="宋体"/>
                <w:szCs w:val="21"/>
              </w:rPr>
              <w:t>现场踏勘：</w:t>
            </w:r>
          </w:p>
          <w:p w14:paraId="6EDE7EC4">
            <w:pPr>
              <w:pStyle w:val="2"/>
              <w:spacing w:line="400" w:lineRule="exact"/>
              <w:ind w:firstLine="0"/>
              <w:rPr>
                <w:rFonts w:ascii="宋体" w:hAnsi="宋体" w:cs="宋体"/>
                <w:szCs w:val="21"/>
              </w:rPr>
            </w:pPr>
            <w:r>
              <w:rPr>
                <w:rFonts w:hint="eastAsia" w:ascii="宋体" w:hAnsi="宋体" w:cs="宋体"/>
                <w:szCs w:val="21"/>
              </w:rPr>
              <w:t>不集中组织，投标人可自行前往，踏勘现场所发生的费用由投标人自己承担。</w:t>
            </w:r>
          </w:p>
        </w:tc>
      </w:tr>
      <w:tr w14:paraId="3D4AD8CC">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27A06BEA">
            <w:pPr>
              <w:autoSpaceDE w:val="0"/>
              <w:autoSpaceDN w:val="0"/>
              <w:adjustRightInd w:val="0"/>
              <w:spacing w:line="400" w:lineRule="exact"/>
              <w:ind w:right="-359" w:firstLine="105"/>
              <w:rPr>
                <w:rFonts w:ascii="宋体" w:hAnsi="宋体" w:cs="宋体"/>
              </w:rPr>
            </w:pPr>
            <w:r>
              <w:rPr>
                <w:rFonts w:hint="eastAsia" w:ascii="宋体" w:hAnsi="宋体" w:cs="宋体"/>
              </w:rPr>
              <w:t>9</w:t>
            </w:r>
          </w:p>
        </w:tc>
        <w:tc>
          <w:tcPr>
            <w:tcW w:w="8832" w:type="dxa"/>
            <w:tcBorders>
              <w:top w:val="single" w:color="auto" w:sz="6" w:space="0"/>
              <w:left w:val="single" w:color="auto" w:sz="6" w:space="0"/>
              <w:bottom w:val="single" w:color="auto" w:sz="6" w:space="0"/>
              <w:right w:val="single" w:color="auto" w:sz="6" w:space="0"/>
            </w:tcBorders>
            <w:vAlign w:val="center"/>
          </w:tcPr>
          <w:p w14:paraId="5B24F6CC">
            <w:pPr>
              <w:autoSpaceDE w:val="0"/>
              <w:autoSpaceDN w:val="0"/>
              <w:adjustRightInd w:val="0"/>
              <w:spacing w:line="400" w:lineRule="exact"/>
              <w:jc w:val="left"/>
            </w:pPr>
            <w:r>
              <w:rPr>
                <w:rFonts w:hint="eastAsia"/>
              </w:rPr>
              <w:t>答疑与澄清：</w:t>
            </w:r>
          </w:p>
          <w:p w14:paraId="6BD7AFA1">
            <w:pPr>
              <w:autoSpaceDE w:val="0"/>
              <w:autoSpaceDN w:val="0"/>
              <w:adjustRightInd w:val="0"/>
              <w:spacing w:line="400" w:lineRule="exact"/>
              <w:jc w:val="left"/>
              <w:rPr>
                <w:rFonts w:ascii="宋体" w:hAnsi="宋体" w:cs="宋体"/>
              </w:rPr>
            </w:pPr>
            <w:r>
              <w:rPr>
                <w:rFonts w:hint="eastAsia" w:ascii="宋体" w:hAnsi="宋体" w:cs="宋体"/>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4F3153A8">
            <w:pPr>
              <w:autoSpaceDE w:val="0"/>
              <w:autoSpaceDN w:val="0"/>
              <w:adjustRightInd w:val="0"/>
              <w:spacing w:line="400" w:lineRule="exact"/>
              <w:jc w:val="left"/>
              <w:rPr>
                <w:rFonts w:ascii="宋体" w:hAnsi="宋体" w:cs="宋体"/>
              </w:rPr>
            </w:pPr>
            <w:r>
              <w:rPr>
                <w:rFonts w:hint="eastAsia" w:ascii="宋体" w:hAnsi="宋体" w:cs="宋体"/>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3A49DBF1">
            <w:pPr>
              <w:autoSpaceDE w:val="0"/>
              <w:autoSpaceDN w:val="0"/>
              <w:adjustRightInd w:val="0"/>
              <w:spacing w:line="400" w:lineRule="exact"/>
              <w:jc w:val="left"/>
              <w:rPr>
                <w:rFonts w:ascii="宋体" w:hAnsi="宋体" w:cs="宋体"/>
              </w:rPr>
            </w:pPr>
            <w:r>
              <w:rPr>
                <w:rFonts w:hint="eastAsia" w:ascii="宋体" w:hAnsi="宋体" w:cs="宋体"/>
              </w:rPr>
              <w:t>3.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w:t>
            </w:r>
            <w:r>
              <w:rPr>
                <w:rFonts w:hint="eastAsia" w:ascii="宋体" w:hAnsi="宋体" w:eastAsia="宋体" w:cs="宋体"/>
              </w:rPr>
              <w:t>在线办理。</w:t>
            </w:r>
          </w:p>
          <w:p w14:paraId="318787F8">
            <w:pPr>
              <w:autoSpaceDE w:val="0"/>
              <w:autoSpaceDN w:val="0"/>
              <w:adjustRightInd w:val="0"/>
              <w:spacing w:line="400" w:lineRule="exact"/>
              <w:jc w:val="left"/>
              <w:rPr>
                <w:rFonts w:ascii="宋体" w:hAnsi="宋体" w:cs="宋体"/>
              </w:rPr>
            </w:pPr>
            <w:r>
              <w:rPr>
                <w:rFonts w:hint="eastAsia" w:ascii="宋体" w:hAnsi="宋体" w:cs="宋体"/>
              </w:rPr>
              <w:t>4.</w:t>
            </w:r>
            <w:r>
              <w:rPr>
                <w:rFonts w:hint="eastAsia" w:ascii="宋体" w:hAnsi="宋体" w:eastAsia="宋体" w:cs="宋体"/>
                <w:sz w:val="21"/>
                <w:szCs w:val="21"/>
                <w:highlight w:val="none"/>
              </w:rPr>
              <w:t>供应商应将书面质疑函邮寄至</w:t>
            </w:r>
            <w:r>
              <w:rPr>
                <w:rFonts w:hint="eastAsia" w:ascii="宋体" w:hAnsi="宋体" w:cs="宋体"/>
                <w:szCs w:val="21"/>
                <w:highlight w:val="none"/>
              </w:rPr>
              <w:t>浙江省安吉县昌硕街道</w:t>
            </w:r>
            <w:r>
              <w:rPr>
                <w:rFonts w:hint="eastAsia" w:ascii="宋体" w:hAnsi="宋体" w:cs="宋体"/>
                <w:szCs w:val="21"/>
                <w:highlight w:val="none"/>
                <w:lang w:val="en-US" w:eastAsia="zh-CN"/>
              </w:rPr>
              <w:t>后寨路东城花园北门（</w:t>
            </w:r>
            <w:r>
              <w:rPr>
                <w:rFonts w:hint="eastAsia" w:ascii="宋体" w:hAnsi="宋体" w:cs="宋体"/>
                <w:szCs w:val="21"/>
                <w:highlight w:val="none"/>
                <w:lang w:eastAsia="zh-CN"/>
              </w:rPr>
              <w:t>浙江至诚工程咨询有限责任公司）</w:t>
            </w:r>
            <w:r>
              <w:rPr>
                <w:rFonts w:hint="eastAsia" w:ascii="宋体" w:hAnsi="宋体" w:eastAsia="宋体" w:cs="宋体"/>
                <w:sz w:val="21"/>
                <w:szCs w:val="21"/>
                <w:highlight w:val="none"/>
              </w:rPr>
              <w:t>，质疑受理人：</w:t>
            </w:r>
            <w:r>
              <w:rPr>
                <w:rFonts w:hint="eastAsia" w:ascii="宋体" w:hAnsi="宋体" w:eastAsia="宋体" w:cs="宋体"/>
                <w:sz w:val="21"/>
                <w:szCs w:val="21"/>
                <w:highlight w:val="none"/>
                <w:lang w:val="en-US" w:eastAsia="zh-CN"/>
              </w:rPr>
              <w:t>何贝</w:t>
            </w:r>
            <w:r>
              <w:rPr>
                <w:rFonts w:hint="eastAsia" w:ascii="宋体" w:hAnsi="宋体" w:eastAsia="宋体" w:cs="宋体"/>
                <w:sz w:val="21"/>
                <w:szCs w:val="21"/>
                <w:highlight w:val="none"/>
              </w:rPr>
              <w:t>，联系方式：</w:t>
            </w:r>
            <w:r>
              <w:rPr>
                <w:rFonts w:hint="eastAsia" w:ascii="宋体" w:hAnsi="宋体" w:cs="宋体"/>
                <w:szCs w:val="21"/>
                <w:highlight w:val="none"/>
              </w:rPr>
              <w:t>0572-</w:t>
            </w:r>
            <w:r>
              <w:rPr>
                <w:rFonts w:hint="eastAsia" w:ascii="宋体" w:hAnsi="宋体" w:cs="宋体"/>
                <w:szCs w:val="21"/>
                <w:highlight w:val="none"/>
                <w:lang w:val="en-US" w:eastAsia="zh-CN"/>
              </w:rPr>
              <w:t>5022166</w:t>
            </w:r>
            <w:r>
              <w:rPr>
                <w:rFonts w:hint="eastAsia" w:ascii="宋体" w:hAnsi="宋体" w:eastAsia="宋体" w:cs="宋体"/>
                <w:sz w:val="21"/>
                <w:szCs w:val="21"/>
                <w:highlight w:val="none"/>
              </w:rPr>
              <w:t>，</w:t>
            </w:r>
            <w:r>
              <w:rPr>
                <w:rFonts w:hint="eastAsia" w:ascii="宋体" w:hAnsi="宋体" w:cs="宋体"/>
                <w:szCs w:val="21"/>
                <w:highlight w:val="none"/>
              </w:rPr>
              <w:t>同时将质疑函扫描件以电子邮件形式发送至电子邮箱</w:t>
            </w:r>
            <w:r>
              <w:rPr>
                <w:rFonts w:hint="eastAsia" w:ascii="宋体" w:hAnsi="宋体" w:cs="宋体"/>
                <w:szCs w:val="21"/>
                <w:highlight w:val="none"/>
                <w:lang w:val="en-US" w:eastAsia="zh-CN"/>
              </w:rPr>
              <w:t>anjibicheng</w:t>
            </w:r>
            <w:r>
              <w:rPr>
                <w:rFonts w:hint="eastAsia" w:ascii="宋体" w:hAnsi="宋体" w:cs="宋体"/>
                <w:szCs w:val="21"/>
                <w:highlight w:val="none"/>
              </w:rPr>
              <w:t>@</w:t>
            </w:r>
            <w:r>
              <w:rPr>
                <w:rFonts w:hint="eastAsia" w:ascii="宋体" w:hAnsi="宋体" w:cs="宋体"/>
                <w:szCs w:val="21"/>
                <w:highlight w:val="none"/>
                <w:lang w:val="en-US" w:eastAsia="zh-CN"/>
              </w:rPr>
              <w:t>163</w:t>
            </w:r>
            <w:r>
              <w:rPr>
                <w:rFonts w:hint="eastAsia" w:ascii="宋体" w:hAnsi="宋体" w:cs="宋体"/>
                <w:szCs w:val="21"/>
                <w:highlight w:val="none"/>
              </w:rPr>
              <w:t>.com</w:t>
            </w:r>
            <w:r>
              <w:rPr>
                <w:rFonts w:hint="eastAsia" w:ascii="宋体" w:hAnsi="宋体" w:cs="宋体"/>
                <w:szCs w:val="21"/>
                <w:highlight w:val="none"/>
                <w:lang w:eastAsia="zh-CN"/>
              </w:rPr>
              <w:t>。</w:t>
            </w:r>
          </w:p>
        </w:tc>
      </w:tr>
      <w:tr w14:paraId="0022EC0F">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1A507E5F">
            <w:pPr>
              <w:autoSpaceDE w:val="0"/>
              <w:autoSpaceDN w:val="0"/>
              <w:adjustRightInd w:val="0"/>
              <w:spacing w:line="400" w:lineRule="exact"/>
              <w:ind w:right="-359" w:firstLine="105"/>
              <w:rPr>
                <w:rFonts w:ascii="宋体" w:hAnsi="宋体" w:cs="宋体"/>
              </w:rPr>
            </w:pPr>
            <w:r>
              <w:rPr>
                <w:rFonts w:hint="eastAsia" w:ascii="宋体" w:hAnsi="宋体" w:cs="宋体"/>
              </w:rPr>
              <w:t>10</w:t>
            </w:r>
          </w:p>
        </w:tc>
        <w:tc>
          <w:tcPr>
            <w:tcW w:w="8832" w:type="dxa"/>
            <w:tcBorders>
              <w:top w:val="single" w:color="auto" w:sz="6" w:space="0"/>
              <w:left w:val="single" w:color="auto" w:sz="6" w:space="0"/>
              <w:bottom w:val="single" w:color="auto" w:sz="6" w:space="0"/>
              <w:right w:val="single" w:color="auto" w:sz="6" w:space="0"/>
            </w:tcBorders>
            <w:vAlign w:val="center"/>
          </w:tcPr>
          <w:p w14:paraId="7CC1695E">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投标文件的制作及组成：</w:t>
            </w:r>
          </w:p>
          <w:p w14:paraId="760C44EE">
            <w:pPr>
              <w:autoSpaceDE w:val="0"/>
              <w:autoSpaceDN w:val="0"/>
              <w:adjustRightInd w:val="0"/>
              <w:spacing w:line="400" w:lineRule="exact"/>
              <w:jc w:val="left"/>
              <w:rPr>
                <w:rFonts w:hint="eastAsia" w:ascii="宋体" w:hAnsi="宋体" w:eastAsia="宋体" w:cs="宋体"/>
                <w:lang w:val="zh-CN"/>
              </w:rPr>
            </w:pPr>
            <w:r>
              <w:rPr>
                <w:rFonts w:hint="eastAsia" w:ascii="宋体" w:hAnsi="宋体" w:eastAsia="宋体" w:cs="宋体"/>
              </w:rPr>
              <w:t>1.</w:t>
            </w:r>
            <w:r>
              <w:rPr>
                <w:rFonts w:hint="eastAsia" w:ascii="宋体" w:hAnsi="宋体" w:eastAsia="宋体" w:cs="宋体"/>
                <w:lang w:val="zh-CN"/>
              </w:rPr>
              <w:t>投标文件组成：</w:t>
            </w:r>
          </w:p>
          <w:p w14:paraId="4FBD8915">
            <w:pPr>
              <w:autoSpaceDE w:val="0"/>
              <w:autoSpaceDN w:val="0"/>
              <w:adjustRightInd w:val="0"/>
              <w:spacing w:line="400" w:lineRule="exact"/>
              <w:jc w:val="left"/>
              <w:rPr>
                <w:rFonts w:hint="eastAsia" w:ascii="宋体" w:hAnsi="宋体" w:eastAsia="宋体" w:cs="宋体"/>
                <w:lang w:val="zh-CN"/>
              </w:rPr>
            </w:pPr>
            <w:r>
              <w:rPr>
                <w:rFonts w:hint="eastAsia" w:ascii="宋体" w:hAnsi="宋体" w:eastAsia="宋体" w:cs="宋体"/>
                <w:lang w:val="zh-CN"/>
              </w:rPr>
              <w:t>资格证明文件、报价文件、技术资信文件。</w:t>
            </w:r>
          </w:p>
          <w:p w14:paraId="18F40458">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2.投标文件编制：</w:t>
            </w:r>
          </w:p>
          <w:p w14:paraId="64CCA81C">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投标人应先安装“政采云电子交易客户端”，并按照本招标文件和“政采云平台”的要求，通过“政采云电子交易客户端”编制并加密投标文件。</w:t>
            </w:r>
          </w:p>
          <w:p w14:paraId="68122D00">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3.投标文件的形式：</w:t>
            </w:r>
          </w:p>
          <w:p w14:paraId="7C7DD2B1">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☑电子投标文件（包括“电子加密投标文件”和“备份投标文件”，在投标文件编制完成后同时生成）。</w:t>
            </w:r>
          </w:p>
          <w:p w14:paraId="547167D8">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6B4BDF27">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4.投标文件份数：</w:t>
            </w:r>
          </w:p>
          <w:p w14:paraId="42B2575E">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“电子加密投标文件”(必须提交）：在线上传递交一份。</w:t>
            </w:r>
          </w:p>
          <w:p w14:paraId="0D416709">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“备份投标文件”（不强制提交）：密封包装后在投标截止时间前邮寄至</w:t>
            </w:r>
            <w:r>
              <w:rPr>
                <w:rFonts w:hint="eastAsia" w:ascii="宋体" w:hAnsi="宋体" w:eastAsia="宋体" w:cs="宋体"/>
                <w:lang w:eastAsia="zh-CN"/>
              </w:rPr>
              <w:t>安吉县昌硕街道后寨路东城花园北门浙江至诚工程咨询有限责任公司</w:t>
            </w:r>
            <w:r>
              <w:rPr>
                <w:rFonts w:hint="eastAsia" w:ascii="宋体" w:hAnsi="宋体" w:eastAsia="宋体" w:cs="宋体"/>
              </w:rPr>
              <w:t>，联系人</w:t>
            </w:r>
            <w:r>
              <w:rPr>
                <w:rFonts w:hint="eastAsia" w:ascii="宋体" w:hAnsi="宋体" w:eastAsia="宋体" w:cs="宋体"/>
                <w:lang w:eastAsia="zh-CN"/>
              </w:rPr>
              <w:t>何贝</w:t>
            </w:r>
            <w:r>
              <w:rPr>
                <w:rFonts w:hint="eastAsia" w:ascii="宋体" w:hAnsi="宋体" w:eastAsia="宋体" w:cs="宋体"/>
              </w:rPr>
              <w:t>，联系电话</w:t>
            </w:r>
            <w:r>
              <w:rPr>
                <w:rFonts w:hint="eastAsia" w:ascii="宋体" w:hAnsi="宋体" w:eastAsia="宋体" w:cs="宋体"/>
                <w:lang w:eastAsia="zh-CN"/>
              </w:rPr>
              <w:t>0572-5022166</w:t>
            </w:r>
            <w:r>
              <w:rPr>
                <w:rFonts w:hint="eastAsia" w:ascii="宋体" w:hAnsi="宋体" w:eastAsia="宋体" w:cs="宋体"/>
              </w:rPr>
              <w:t>，数量为U盘一份。</w:t>
            </w:r>
          </w:p>
        </w:tc>
      </w:tr>
      <w:tr w14:paraId="3EE807D7">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5B0EC16D">
            <w:pPr>
              <w:autoSpaceDE w:val="0"/>
              <w:autoSpaceDN w:val="0"/>
              <w:adjustRightInd w:val="0"/>
              <w:spacing w:line="400" w:lineRule="exact"/>
              <w:ind w:right="-359" w:firstLine="105"/>
              <w:rPr>
                <w:rFonts w:ascii="宋体" w:hAnsi="宋体" w:cs="宋体"/>
              </w:rPr>
            </w:pPr>
            <w:r>
              <w:rPr>
                <w:rFonts w:hint="eastAsia" w:ascii="宋体" w:hAnsi="宋体" w:cs="宋体"/>
              </w:rPr>
              <w:t>11</w:t>
            </w:r>
          </w:p>
        </w:tc>
        <w:tc>
          <w:tcPr>
            <w:tcW w:w="8832" w:type="dxa"/>
            <w:tcBorders>
              <w:top w:val="single" w:color="auto" w:sz="6" w:space="0"/>
              <w:left w:val="single" w:color="auto" w:sz="6" w:space="0"/>
              <w:bottom w:val="single" w:color="auto" w:sz="6" w:space="0"/>
              <w:right w:val="single" w:color="auto" w:sz="6" w:space="0"/>
            </w:tcBorders>
            <w:vAlign w:val="center"/>
          </w:tcPr>
          <w:p w14:paraId="2DAACD9A">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投标文件的上传和递交：</w:t>
            </w:r>
          </w:p>
          <w:p w14:paraId="3548E432">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1.“电子加密投标文件”的上传、递交：</w:t>
            </w:r>
          </w:p>
          <w:p w14:paraId="65171172">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投标人应在投标截止时间前将“电子加密投标文件”成功上传递交至“政采云平台”，否则投标无效。</w:t>
            </w:r>
          </w:p>
          <w:p w14:paraId="708A0736">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“电子加密投标文件”成功上传递交后，投标人可自行打印投标文件接收回执。</w:t>
            </w:r>
          </w:p>
          <w:p w14:paraId="3F734F43">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2.“备份投标文件”的密封包装、递交：</w:t>
            </w:r>
          </w:p>
          <w:p w14:paraId="17383994">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投标人在“政采云平台”完成“电子加密投标文件”的上传递交后，还可以在投标截止时间前递交以介质（U盘）存储的 “备份投标文件”（一份）；</w:t>
            </w:r>
          </w:p>
          <w:p w14:paraId="3B26AE0E">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“备份投标文件”应当密封包装，并在包装上标注投标项目名称、投标单位名称并加盖公章。没有密封包装或者逾期送达的“备份投标文件”无效；</w:t>
            </w:r>
          </w:p>
          <w:p w14:paraId="1264002D">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56D295D6">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209D1287">
            <w:pPr>
              <w:autoSpaceDE w:val="0"/>
              <w:autoSpaceDN w:val="0"/>
              <w:adjustRightInd w:val="0"/>
              <w:spacing w:line="400" w:lineRule="exact"/>
              <w:ind w:right="-359" w:firstLine="105"/>
              <w:rPr>
                <w:rFonts w:ascii="宋体" w:hAnsi="宋体" w:cs="宋体"/>
              </w:rPr>
            </w:pPr>
            <w:r>
              <w:rPr>
                <w:rFonts w:hint="eastAsia" w:ascii="宋体" w:hAnsi="宋体" w:cs="宋体"/>
              </w:rPr>
              <w:t>12</w:t>
            </w:r>
          </w:p>
        </w:tc>
        <w:tc>
          <w:tcPr>
            <w:tcW w:w="8832" w:type="dxa"/>
            <w:tcBorders>
              <w:top w:val="single" w:color="auto" w:sz="6" w:space="0"/>
              <w:left w:val="single" w:color="auto" w:sz="6" w:space="0"/>
              <w:bottom w:val="single" w:color="auto" w:sz="6" w:space="0"/>
              <w:right w:val="single" w:color="auto" w:sz="6" w:space="0"/>
            </w:tcBorders>
            <w:vAlign w:val="center"/>
          </w:tcPr>
          <w:p w14:paraId="32120B45">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投标文件递交地点及截止时间：</w:t>
            </w:r>
          </w:p>
          <w:p w14:paraId="4E31C782">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地点：</w:t>
            </w:r>
            <w:r>
              <w:rPr>
                <w:rFonts w:hint="eastAsia" w:ascii="宋体" w:hAnsi="宋体" w:eastAsia="宋体" w:cs="宋体"/>
                <w:highlight w:val="none"/>
              </w:rPr>
              <w:t>通过“政采云平台（www.zcygov.cn）”实行在线投标响应</w:t>
            </w:r>
          </w:p>
          <w:p w14:paraId="226E9228">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lang w:val="zh-CN"/>
              </w:rPr>
              <w:t>时间：2025年07月</w:t>
            </w:r>
            <w:r>
              <w:rPr>
                <w:rFonts w:hint="eastAsia" w:ascii="宋体" w:hAnsi="宋体" w:cs="宋体"/>
                <w:highlight w:val="none"/>
                <w:lang w:val="en-US" w:eastAsia="zh-CN"/>
              </w:rPr>
              <w:t>22</w:t>
            </w:r>
            <w:r>
              <w:rPr>
                <w:rFonts w:hint="eastAsia" w:ascii="宋体" w:hAnsi="宋体" w:eastAsia="宋体" w:cs="宋体"/>
                <w:highlight w:val="none"/>
                <w:lang w:val="zh-CN"/>
              </w:rPr>
              <w:t>日09:00</w:t>
            </w:r>
            <w:r>
              <w:rPr>
                <w:rFonts w:hint="eastAsia" w:ascii="宋体" w:hAnsi="宋体" w:cs="宋体"/>
                <w:highlight w:val="none"/>
                <w:lang w:val="zh-CN"/>
              </w:rPr>
              <w:t>（</w:t>
            </w:r>
            <w:r>
              <w:rPr>
                <w:rFonts w:hint="eastAsia" w:ascii="宋体" w:hAnsi="宋体" w:cs="宋体"/>
                <w:highlight w:val="none"/>
                <w:lang w:val="en-US" w:eastAsia="zh-CN"/>
              </w:rPr>
              <w:t>北京时间</w:t>
            </w:r>
            <w:r>
              <w:rPr>
                <w:rFonts w:hint="eastAsia" w:ascii="宋体" w:hAnsi="宋体" w:cs="宋体"/>
                <w:highlight w:val="none"/>
                <w:lang w:val="zh-CN"/>
              </w:rPr>
              <w:t>）</w:t>
            </w:r>
          </w:p>
        </w:tc>
      </w:tr>
      <w:tr w14:paraId="7E344A2A">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3F3A1D47">
            <w:pPr>
              <w:autoSpaceDE w:val="0"/>
              <w:autoSpaceDN w:val="0"/>
              <w:adjustRightInd w:val="0"/>
              <w:spacing w:line="400" w:lineRule="exact"/>
              <w:ind w:right="-359" w:firstLine="105"/>
              <w:rPr>
                <w:rFonts w:ascii="宋体" w:hAnsi="宋体" w:cs="宋体"/>
              </w:rPr>
            </w:pPr>
            <w:r>
              <w:rPr>
                <w:rFonts w:hint="eastAsia" w:ascii="宋体" w:hAnsi="宋体" w:cs="宋体"/>
              </w:rPr>
              <w:t>13</w:t>
            </w:r>
          </w:p>
        </w:tc>
        <w:tc>
          <w:tcPr>
            <w:tcW w:w="8832" w:type="dxa"/>
            <w:tcBorders>
              <w:top w:val="single" w:color="auto" w:sz="6" w:space="0"/>
              <w:left w:val="single" w:color="auto" w:sz="6" w:space="0"/>
              <w:bottom w:val="single" w:color="auto" w:sz="6" w:space="0"/>
              <w:right w:val="single" w:color="auto" w:sz="6" w:space="0"/>
            </w:tcBorders>
            <w:vAlign w:val="center"/>
          </w:tcPr>
          <w:p w14:paraId="41B81595">
            <w:pPr>
              <w:autoSpaceDE w:val="0"/>
              <w:autoSpaceDN w:val="0"/>
              <w:adjustRightInd w:val="0"/>
              <w:spacing w:line="400" w:lineRule="exact"/>
              <w:ind w:right="69"/>
              <w:rPr>
                <w:rFonts w:hint="eastAsia" w:ascii="宋体" w:hAnsi="宋体" w:eastAsia="宋体" w:cs="宋体"/>
                <w:highlight w:val="none"/>
              </w:rPr>
            </w:pPr>
            <w:r>
              <w:rPr>
                <w:rFonts w:hint="eastAsia" w:ascii="宋体" w:hAnsi="宋体" w:eastAsia="宋体" w:cs="宋体"/>
                <w:highlight w:val="none"/>
                <w:lang w:val="zh-CN"/>
              </w:rPr>
              <w:t>开标会议时间和地点</w:t>
            </w:r>
            <w:r>
              <w:rPr>
                <w:rFonts w:hint="eastAsia" w:ascii="宋体" w:hAnsi="宋体" w:eastAsia="宋体" w:cs="宋体"/>
                <w:highlight w:val="none"/>
              </w:rPr>
              <w:t>：</w:t>
            </w:r>
          </w:p>
          <w:p w14:paraId="7B807105">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lang w:val="zh-CN"/>
              </w:rPr>
              <w:t>地点</w:t>
            </w:r>
            <w:r>
              <w:rPr>
                <w:rFonts w:hint="eastAsia" w:ascii="宋体" w:hAnsi="宋体" w:eastAsia="宋体" w:cs="宋体"/>
                <w:highlight w:val="none"/>
              </w:rPr>
              <w:t>：通过“政采云平台（www.zcygov.cn）”实行在线开标</w:t>
            </w:r>
          </w:p>
          <w:p w14:paraId="10FF9E73">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时间：2025年07月</w:t>
            </w:r>
            <w:r>
              <w:rPr>
                <w:rFonts w:hint="eastAsia" w:ascii="宋体" w:hAnsi="宋体" w:cs="宋体"/>
                <w:highlight w:val="none"/>
                <w:lang w:val="en-US" w:eastAsia="zh-CN"/>
              </w:rPr>
              <w:t>22</w:t>
            </w:r>
            <w:r>
              <w:rPr>
                <w:rFonts w:hint="eastAsia" w:ascii="宋体" w:hAnsi="宋体" w:eastAsia="宋体" w:cs="宋体"/>
                <w:highlight w:val="none"/>
                <w:lang w:val="zh-CN"/>
              </w:rPr>
              <w:t>日09:00</w:t>
            </w:r>
            <w:r>
              <w:rPr>
                <w:rFonts w:hint="eastAsia" w:ascii="宋体" w:hAnsi="宋体" w:cs="宋体"/>
                <w:highlight w:val="none"/>
                <w:lang w:val="zh-CN"/>
              </w:rPr>
              <w:t>（</w:t>
            </w:r>
            <w:r>
              <w:rPr>
                <w:rFonts w:hint="eastAsia" w:ascii="宋体" w:hAnsi="宋体" w:cs="宋体"/>
                <w:highlight w:val="none"/>
                <w:lang w:val="en-US" w:eastAsia="zh-CN"/>
              </w:rPr>
              <w:t>北京时间</w:t>
            </w:r>
            <w:r>
              <w:rPr>
                <w:rFonts w:hint="eastAsia" w:ascii="宋体" w:hAnsi="宋体" w:cs="宋体"/>
                <w:highlight w:val="none"/>
                <w:lang w:val="zh-CN"/>
              </w:rPr>
              <w:t>）</w:t>
            </w:r>
          </w:p>
          <w:p w14:paraId="3490C5F4">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投标人应准时在线参加。</w:t>
            </w:r>
          </w:p>
        </w:tc>
      </w:tr>
      <w:tr w14:paraId="54E768F9">
        <w:tblPrEx>
          <w:tblCellMar>
            <w:top w:w="0" w:type="dxa"/>
            <w:left w:w="108" w:type="dxa"/>
            <w:bottom w:w="0" w:type="dxa"/>
            <w:right w:w="108" w:type="dxa"/>
          </w:tblCellMar>
        </w:tblPrEx>
        <w:trPr>
          <w:trHeight w:val="90" w:hRule="atLeast"/>
          <w:jc w:val="center"/>
        </w:trPr>
        <w:tc>
          <w:tcPr>
            <w:tcW w:w="600" w:type="dxa"/>
            <w:tcBorders>
              <w:top w:val="single" w:color="auto" w:sz="6" w:space="0"/>
              <w:left w:val="single" w:color="auto" w:sz="6" w:space="0"/>
              <w:bottom w:val="single" w:color="auto" w:sz="6" w:space="0"/>
              <w:right w:val="single" w:color="auto" w:sz="6" w:space="0"/>
            </w:tcBorders>
            <w:vAlign w:val="center"/>
          </w:tcPr>
          <w:p w14:paraId="7BF41734">
            <w:pPr>
              <w:autoSpaceDE w:val="0"/>
              <w:autoSpaceDN w:val="0"/>
              <w:adjustRightInd w:val="0"/>
              <w:spacing w:line="400" w:lineRule="exact"/>
              <w:ind w:right="-359" w:firstLine="105"/>
              <w:rPr>
                <w:rFonts w:ascii="宋体" w:hAnsi="宋体" w:cs="宋体"/>
              </w:rPr>
            </w:pPr>
            <w:r>
              <w:rPr>
                <w:rFonts w:hint="eastAsia" w:ascii="宋体" w:hAnsi="宋体" w:cs="宋体"/>
              </w:rPr>
              <w:t>14</w:t>
            </w:r>
          </w:p>
        </w:tc>
        <w:tc>
          <w:tcPr>
            <w:tcW w:w="8832" w:type="dxa"/>
            <w:tcBorders>
              <w:top w:val="single" w:color="auto" w:sz="6" w:space="0"/>
              <w:left w:val="single" w:color="auto" w:sz="6" w:space="0"/>
              <w:bottom w:val="single" w:color="auto" w:sz="6" w:space="0"/>
              <w:right w:val="single" w:color="auto" w:sz="6" w:space="0"/>
            </w:tcBorders>
            <w:vAlign w:val="center"/>
          </w:tcPr>
          <w:p w14:paraId="4DC8FF68">
            <w:pPr>
              <w:autoSpaceDE w:val="0"/>
              <w:autoSpaceDN w:val="0"/>
              <w:adjustRightInd w:val="0"/>
              <w:spacing w:line="400" w:lineRule="exact"/>
              <w:jc w:val="left"/>
              <w:rPr>
                <w:rFonts w:ascii="宋体" w:hAnsi="宋体" w:cs="宋体"/>
                <w:lang w:bidi="ar"/>
              </w:rPr>
            </w:pPr>
            <w:r>
              <w:rPr>
                <w:rFonts w:hint="eastAsia" w:ascii="宋体" w:hAnsi="宋体" w:cs="宋体"/>
                <w:lang w:bidi="ar"/>
              </w:rPr>
              <w:t>电子加密投标文件的解密和异常情况处理：</w:t>
            </w:r>
          </w:p>
          <w:p w14:paraId="437DBD66">
            <w:pPr>
              <w:autoSpaceDE w:val="0"/>
              <w:autoSpaceDN w:val="0"/>
              <w:adjustRightInd w:val="0"/>
              <w:spacing w:line="400" w:lineRule="exact"/>
              <w:jc w:val="left"/>
              <w:rPr>
                <w:rFonts w:ascii="宋体" w:hAnsi="宋体" w:cs="宋体"/>
              </w:rPr>
            </w:pPr>
            <w:r>
              <w:rPr>
                <w:rFonts w:hint="eastAsia" w:ascii="宋体" w:hAnsi="宋体" w:cs="宋体"/>
              </w:rPr>
              <w:t>1.开标后，采购组织机构将向各投标人发出“电子加密投标文件”的解密通知，各投标人代表应当在接到解密通知后30分钟内自行完成“电子加密投标文件”的在线解密。</w:t>
            </w:r>
          </w:p>
          <w:p w14:paraId="0A7936C5">
            <w:pPr>
              <w:autoSpaceDE w:val="0"/>
              <w:autoSpaceDN w:val="0"/>
              <w:adjustRightInd w:val="0"/>
              <w:spacing w:line="400" w:lineRule="exact"/>
              <w:jc w:val="left"/>
              <w:rPr>
                <w:rFonts w:ascii="宋体" w:hAnsi="宋体" w:cs="宋体"/>
              </w:rPr>
            </w:pPr>
            <w:r>
              <w:rPr>
                <w:rFonts w:hint="eastAsia" w:ascii="宋体" w:hAnsi="宋体" w:cs="宋体"/>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5AC9D6B3">
            <w:pPr>
              <w:autoSpaceDE w:val="0"/>
              <w:autoSpaceDN w:val="0"/>
              <w:adjustRightInd w:val="0"/>
              <w:spacing w:line="400" w:lineRule="exact"/>
              <w:jc w:val="left"/>
              <w:rPr>
                <w:rFonts w:ascii="宋体" w:hAnsi="宋体" w:cs="宋体"/>
                <w:lang w:bidi="ar"/>
              </w:rPr>
            </w:pPr>
            <w:r>
              <w:rPr>
                <w:rFonts w:hint="eastAsia" w:ascii="宋体" w:hAnsi="宋体" w:cs="宋体"/>
              </w:rPr>
              <w:t>3.投标截止时间前，投标人仅递交了“备份投标文件”而未将电子加密投标文件上传至“政府采购云平台”的，投标无效。</w:t>
            </w:r>
          </w:p>
        </w:tc>
      </w:tr>
      <w:tr w14:paraId="4D670299">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72856D7D">
            <w:pPr>
              <w:autoSpaceDE w:val="0"/>
              <w:autoSpaceDN w:val="0"/>
              <w:adjustRightInd w:val="0"/>
              <w:spacing w:line="400" w:lineRule="exact"/>
              <w:ind w:right="-359" w:firstLine="105"/>
              <w:rPr>
                <w:rFonts w:ascii="宋体" w:hAnsi="宋体" w:cs="宋体"/>
              </w:rPr>
            </w:pPr>
            <w:r>
              <w:rPr>
                <w:rFonts w:hint="eastAsia" w:ascii="宋体" w:hAnsi="宋体" w:cs="宋体"/>
              </w:rPr>
              <w:t>15</w:t>
            </w:r>
          </w:p>
        </w:tc>
        <w:tc>
          <w:tcPr>
            <w:tcW w:w="8832" w:type="dxa"/>
            <w:tcBorders>
              <w:top w:val="single" w:color="auto" w:sz="6" w:space="0"/>
              <w:left w:val="single" w:color="auto" w:sz="6" w:space="0"/>
              <w:bottom w:val="single" w:color="auto" w:sz="6" w:space="0"/>
              <w:right w:val="single" w:color="auto" w:sz="6" w:space="0"/>
            </w:tcBorders>
            <w:vAlign w:val="center"/>
          </w:tcPr>
          <w:p w14:paraId="026526DC">
            <w:pPr>
              <w:autoSpaceDE w:val="0"/>
              <w:autoSpaceDN w:val="0"/>
              <w:adjustRightInd w:val="0"/>
              <w:spacing w:line="400" w:lineRule="exact"/>
              <w:jc w:val="left"/>
              <w:rPr>
                <w:rFonts w:ascii="宋体" w:hAnsi="宋体" w:cs="宋体"/>
                <w:lang w:bidi="ar"/>
              </w:rPr>
            </w:pPr>
            <w:r>
              <w:rPr>
                <w:rFonts w:hint="eastAsia" w:ascii="宋体" w:hAnsi="宋体" w:cs="宋体"/>
                <w:lang w:bidi="ar"/>
              </w:rPr>
              <w:t>可中止电子交易活动的情形</w:t>
            </w:r>
          </w:p>
          <w:p w14:paraId="7C163D21">
            <w:pPr>
              <w:autoSpaceDE w:val="0"/>
              <w:autoSpaceDN w:val="0"/>
              <w:adjustRightInd w:val="0"/>
              <w:spacing w:line="400" w:lineRule="exact"/>
              <w:jc w:val="left"/>
              <w:rPr>
                <w:rFonts w:ascii="宋体" w:hAnsi="宋体" w:cs="宋体"/>
                <w:lang w:bidi="ar"/>
              </w:rPr>
            </w:pPr>
            <w:r>
              <w:rPr>
                <w:rFonts w:hint="eastAsia" w:ascii="宋体" w:hAnsi="宋体" w:cs="宋体"/>
                <w:lang w:bidi="ar"/>
              </w:rPr>
              <w:t>采购过程中出现以下情形，导致电子交易平台无法正常运行，或者无法保证电子交易的公平、公正和安全时，采购组织机构可中止电子交易活动：</w:t>
            </w:r>
          </w:p>
          <w:p w14:paraId="748FE034">
            <w:pPr>
              <w:autoSpaceDE w:val="0"/>
              <w:autoSpaceDN w:val="0"/>
              <w:adjustRightInd w:val="0"/>
              <w:spacing w:line="400" w:lineRule="exact"/>
              <w:jc w:val="left"/>
              <w:rPr>
                <w:rFonts w:ascii="宋体" w:hAnsi="宋体" w:cs="宋体"/>
                <w:lang w:bidi="ar"/>
              </w:rPr>
            </w:pPr>
            <w:r>
              <w:rPr>
                <w:rFonts w:hint="eastAsia" w:ascii="宋体" w:hAnsi="宋体" w:cs="宋体"/>
                <w:lang w:bidi="ar"/>
              </w:rPr>
              <w:t>（1）电子交易平台发生故障而无法登录访问的；</w:t>
            </w:r>
          </w:p>
          <w:p w14:paraId="10508996">
            <w:pPr>
              <w:autoSpaceDE w:val="0"/>
              <w:autoSpaceDN w:val="0"/>
              <w:adjustRightInd w:val="0"/>
              <w:spacing w:line="400" w:lineRule="exact"/>
              <w:jc w:val="left"/>
              <w:rPr>
                <w:rFonts w:ascii="宋体" w:hAnsi="宋体" w:cs="宋体"/>
                <w:lang w:bidi="ar"/>
              </w:rPr>
            </w:pPr>
            <w:r>
              <w:rPr>
                <w:rFonts w:hint="eastAsia" w:ascii="宋体" w:hAnsi="宋体" w:cs="宋体"/>
                <w:lang w:bidi="ar"/>
              </w:rPr>
              <w:t>（2）电子交易平台应用或数据库出现错误，不能进行正常操作的；</w:t>
            </w:r>
          </w:p>
          <w:p w14:paraId="16276376">
            <w:pPr>
              <w:autoSpaceDE w:val="0"/>
              <w:autoSpaceDN w:val="0"/>
              <w:adjustRightInd w:val="0"/>
              <w:spacing w:line="400" w:lineRule="exact"/>
              <w:jc w:val="left"/>
              <w:rPr>
                <w:rFonts w:ascii="宋体" w:hAnsi="宋体" w:cs="宋体"/>
                <w:lang w:bidi="ar"/>
              </w:rPr>
            </w:pPr>
            <w:r>
              <w:rPr>
                <w:rFonts w:hint="eastAsia" w:ascii="宋体" w:hAnsi="宋体" w:cs="宋体"/>
                <w:lang w:bidi="ar"/>
              </w:rPr>
              <w:t>（3）电子交易平台发现严重安全漏洞，有潜在泄密危险的；</w:t>
            </w:r>
          </w:p>
          <w:p w14:paraId="32DD1D25">
            <w:pPr>
              <w:autoSpaceDE w:val="0"/>
              <w:autoSpaceDN w:val="0"/>
              <w:adjustRightInd w:val="0"/>
              <w:spacing w:line="400" w:lineRule="exact"/>
              <w:jc w:val="left"/>
              <w:rPr>
                <w:rFonts w:ascii="宋体" w:hAnsi="宋体" w:cs="宋体"/>
                <w:lang w:bidi="ar"/>
              </w:rPr>
            </w:pPr>
            <w:r>
              <w:rPr>
                <w:rFonts w:hint="eastAsia" w:ascii="宋体" w:hAnsi="宋体" w:cs="宋体"/>
                <w:lang w:bidi="ar"/>
              </w:rPr>
              <w:t>（4）病毒发作导致不能进行正常操作的；</w:t>
            </w:r>
          </w:p>
          <w:p w14:paraId="20B9245A">
            <w:pPr>
              <w:autoSpaceDE w:val="0"/>
              <w:autoSpaceDN w:val="0"/>
              <w:adjustRightInd w:val="0"/>
              <w:spacing w:line="400" w:lineRule="exact"/>
              <w:jc w:val="left"/>
              <w:rPr>
                <w:rFonts w:ascii="宋体" w:hAnsi="宋体" w:cs="宋体"/>
                <w:lang w:bidi="ar"/>
              </w:rPr>
            </w:pPr>
            <w:r>
              <w:rPr>
                <w:rFonts w:hint="eastAsia" w:ascii="宋体" w:hAnsi="宋体" w:cs="宋体"/>
                <w:lang w:bidi="ar"/>
              </w:rPr>
              <w:t>（5）其他无法保证电子交易的公平、公正和安全的情况。</w:t>
            </w:r>
          </w:p>
          <w:p w14:paraId="409B200E">
            <w:pPr>
              <w:autoSpaceDE w:val="0"/>
              <w:autoSpaceDN w:val="0"/>
              <w:adjustRightInd w:val="0"/>
              <w:spacing w:line="400" w:lineRule="exact"/>
              <w:jc w:val="left"/>
              <w:rPr>
                <w:rFonts w:ascii="宋体" w:hAnsi="宋体" w:cs="宋体"/>
                <w:lang w:bidi="ar"/>
              </w:rPr>
            </w:pPr>
            <w:r>
              <w:rPr>
                <w:rFonts w:hint="eastAsia" w:ascii="宋体" w:hAnsi="宋体" w:cs="宋体"/>
                <w:lang w:bidi="ar"/>
              </w:rPr>
              <w:t>出现上述情形，不影响采购公平、公正性的，采购组织机构可以待上述情形消除后继续组织电子交易活动，也可以决定某些环节以纸质形式进行；影响或可能影响采购公平、公正性的，应当重新采购。</w:t>
            </w:r>
          </w:p>
        </w:tc>
      </w:tr>
      <w:tr w14:paraId="1C1D5060">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6431CE4E">
            <w:pPr>
              <w:autoSpaceDE w:val="0"/>
              <w:autoSpaceDN w:val="0"/>
              <w:adjustRightInd w:val="0"/>
              <w:spacing w:line="400" w:lineRule="exact"/>
              <w:ind w:right="-359" w:firstLine="105"/>
              <w:rPr>
                <w:rFonts w:ascii="宋体" w:hAnsi="宋体" w:cs="宋体"/>
              </w:rPr>
            </w:pPr>
            <w:r>
              <w:rPr>
                <w:rFonts w:hint="eastAsia" w:ascii="宋体" w:hAnsi="宋体" w:cs="宋体"/>
              </w:rPr>
              <w:t>16</w:t>
            </w:r>
          </w:p>
        </w:tc>
        <w:tc>
          <w:tcPr>
            <w:tcW w:w="8832" w:type="dxa"/>
            <w:tcBorders>
              <w:top w:val="single" w:color="auto" w:sz="6" w:space="0"/>
              <w:left w:val="single" w:color="auto" w:sz="6" w:space="0"/>
              <w:bottom w:val="single" w:color="auto" w:sz="6" w:space="0"/>
              <w:right w:val="single" w:color="auto" w:sz="6" w:space="0"/>
            </w:tcBorders>
            <w:vAlign w:val="center"/>
          </w:tcPr>
          <w:p w14:paraId="57969D2E">
            <w:pPr>
              <w:autoSpaceDE w:val="0"/>
              <w:autoSpaceDN w:val="0"/>
              <w:adjustRightInd w:val="0"/>
              <w:snapToGrid w:val="0"/>
              <w:spacing w:line="400" w:lineRule="exact"/>
              <w:textAlignment w:val="bottom"/>
              <w:rPr>
                <w:rFonts w:ascii="宋体" w:hAnsi="宋体" w:cs="宋体"/>
              </w:rPr>
            </w:pPr>
            <w:r>
              <w:rPr>
                <w:rFonts w:hint="eastAsia" w:ascii="宋体" w:hAnsi="宋体" w:cs="宋体"/>
              </w:rPr>
              <w:t>评标办法及标准：</w:t>
            </w:r>
          </w:p>
          <w:p w14:paraId="15687B6F">
            <w:pPr>
              <w:autoSpaceDE w:val="0"/>
              <w:autoSpaceDN w:val="0"/>
              <w:adjustRightInd w:val="0"/>
              <w:snapToGrid w:val="0"/>
              <w:spacing w:line="400" w:lineRule="exact"/>
              <w:textAlignment w:val="bottom"/>
              <w:rPr>
                <w:rFonts w:ascii="宋体" w:hAnsi="宋体" w:cs="宋体"/>
              </w:rPr>
            </w:pPr>
            <w:r>
              <w:rPr>
                <w:rFonts w:hint="eastAsia" w:ascii="宋体" w:hAnsi="宋体" w:cs="宋体"/>
              </w:rPr>
              <w:t>综合评分法，按照招标文件第四章评标办法及标准。</w:t>
            </w:r>
          </w:p>
        </w:tc>
      </w:tr>
      <w:tr w14:paraId="7E39ECF1">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00CF70FD">
            <w:pPr>
              <w:autoSpaceDE w:val="0"/>
              <w:autoSpaceDN w:val="0"/>
              <w:adjustRightInd w:val="0"/>
              <w:spacing w:line="400" w:lineRule="exact"/>
              <w:ind w:right="-359" w:firstLine="105"/>
              <w:rPr>
                <w:rFonts w:ascii="宋体" w:hAnsi="宋体" w:cs="宋体"/>
              </w:rPr>
            </w:pPr>
            <w:r>
              <w:rPr>
                <w:rFonts w:hint="eastAsia" w:ascii="宋体" w:hAnsi="宋体" w:cs="宋体"/>
              </w:rPr>
              <w:t>17</w:t>
            </w:r>
          </w:p>
        </w:tc>
        <w:tc>
          <w:tcPr>
            <w:tcW w:w="8832" w:type="dxa"/>
            <w:tcBorders>
              <w:top w:val="single" w:color="auto" w:sz="6" w:space="0"/>
              <w:left w:val="single" w:color="auto" w:sz="6" w:space="0"/>
              <w:bottom w:val="single" w:color="auto" w:sz="6" w:space="0"/>
              <w:right w:val="single" w:color="auto" w:sz="6" w:space="0"/>
            </w:tcBorders>
            <w:vAlign w:val="center"/>
          </w:tcPr>
          <w:p w14:paraId="12E0AC34">
            <w:pPr>
              <w:autoSpaceDE w:val="0"/>
              <w:autoSpaceDN w:val="0"/>
              <w:adjustRightInd w:val="0"/>
              <w:spacing w:line="400" w:lineRule="exact"/>
              <w:ind w:left="71" w:right="69"/>
              <w:rPr>
                <w:rFonts w:ascii="宋体" w:hAnsi="宋体" w:cs="宋体"/>
              </w:rPr>
            </w:pPr>
            <w:r>
              <w:rPr>
                <w:rFonts w:hint="eastAsia" w:ascii="宋体" w:hAnsi="宋体" w:cs="宋体"/>
              </w:rPr>
              <w:t>中标候选人:</w:t>
            </w:r>
          </w:p>
          <w:p w14:paraId="5B651575">
            <w:pPr>
              <w:autoSpaceDE w:val="0"/>
              <w:autoSpaceDN w:val="0"/>
              <w:adjustRightInd w:val="0"/>
              <w:snapToGrid w:val="0"/>
              <w:spacing w:line="400" w:lineRule="exact"/>
              <w:textAlignment w:val="bottom"/>
              <w:rPr>
                <w:rFonts w:ascii="宋体" w:hAnsi="宋体" w:cs="宋体"/>
              </w:rPr>
            </w:pPr>
            <w:r>
              <w:rPr>
                <w:rFonts w:hint="eastAsia" w:ascii="宋体" w:hAnsi="宋体" w:cs="宋体"/>
              </w:rPr>
              <w:t>经评审排名第一的投标人即为第一中标候选人，排名第二的为第二中标候选人……其他投标人中标候选资格依此类推。</w:t>
            </w:r>
          </w:p>
        </w:tc>
      </w:tr>
      <w:tr w14:paraId="6E49F184">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4831D467">
            <w:pPr>
              <w:autoSpaceDE w:val="0"/>
              <w:autoSpaceDN w:val="0"/>
              <w:adjustRightInd w:val="0"/>
              <w:spacing w:line="400" w:lineRule="exact"/>
              <w:ind w:right="-359" w:firstLine="105"/>
              <w:rPr>
                <w:rFonts w:ascii="宋体" w:hAnsi="宋体" w:cs="宋体"/>
              </w:rPr>
            </w:pPr>
            <w:r>
              <w:rPr>
                <w:rFonts w:hint="eastAsia" w:ascii="宋体" w:hAnsi="宋体" w:cs="宋体"/>
              </w:rPr>
              <w:t>18</w:t>
            </w:r>
          </w:p>
        </w:tc>
        <w:tc>
          <w:tcPr>
            <w:tcW w:w="8832" w:type="dxa"/>
            <w:tcBorders>
              <w:top w:val="single" w:color="auto" w:sz="6" w:space="0"/>
              <w:left w:val="single" w:color="auto" w:sz="6" w:space="0"/>
              <w:bottom w:val="single" w:color="auto" w:sz="6" w:space="0"/>
              <w:right w:val="single" w:color="auto" w:sz="6" w:space="0"/>
            </w:tcBorders>
            <w:vAlign w:val="center"/>
          </w:tcPr>
          <w:p w14:paraId="45D85F37">
            <w:pPr>
              <w:autoSpaceDE w:val="0"/>
              <w:autoSpaceDN w:val="0"/>
              <w:adjustRightInd w:val="0"/>
              <w:snapToGrid w:val="0"/>
              <w:spacing w:line="400" w:lineRule="exact"/>
              <w:textAlignment w:val="bottom"/>
              <w:rPr>
                <w:rFonts w:ascii="宋体" w:hAnsi="宋体" w:cs="宋体"/>
              </w:rPr>
            </w:pPr>
            <w:r>
              <w:rPr>
                <w:rFonts w:hint="eastAsia" w:ascii="宋体" w:hAnsi="宋体" w:cs="宋体"/>
              </w:rPr>
              <w:t>中标公告及中标通知书：</w:t>
            </w:r>
          </w:p>
          <w:p w14:paraId="7EA6DDEB">
            <w:pPr>
              <w:autoSpaceDE w:val="0"/>
              <w:autoSpaceDN w:val="0"/>
              <w:adjustRightInd w:val="0"/>
              <w:snapToGrid w:val="0"/>
              <w:spacing w:line="400" w:lineRule="exact"/>
              <w:textAlignment w:val="bottom"/>
              <w:rPr>
                <w:rFonts w:ascii="宋体" w:hAnsi="宋体" w:cs="宋体"/>
              </w:rPr>
            </w:pPr>
            <w:r>
              <w:rPr>
                <w:rFonts w:hint="eastAsia" w:ascii="宋体" w:hAnsi="宋体" w:cs="宋体"/>
              </w:rPr>
              <w:t>采购人依法确定中标人2个工作日内，发出中标通知书。</w:t>
            </w:r>
          </w:p>
          <w:p w14:paraId="126BD0CA">
            <w:pPr>
              <w:autoSpaceDE w:val="0"/>
              <w:autoSpaceDN w:val="0"/>
              <w:adjustRightInd w:val="0"/>
              <w:snapToGrid w:val="0"/>
              <w:spacing w:line="400" w:lineRule="exact"/>
              <w:textAlignment w:val="bottom"/>
              <w:rPr>
                <w:rFonts w:ascii="宋体" w:hAnsi="宋体" w:cs="宋体"/>
              </w:rPr>
            </w:pPr>
            <w:r>
              <w:rPr>
                <w:rFonts w:hint="eastAsia" w:ascii="宋体" w:hAnsi="宋体" w:cs="宋体"/>
              </w:rPr>
              <w:t>同时中标公告发布于浙江政府采购网  (http://zfcg.czt.zj.gov.cn/) 、安吉县公共资源交易网（http://www.ajztb.com），中标公告期限为1个工作日。</w:t>
            </w:r>
          </w:p>
        </w:tc>
      </w:tr>
      <w:tr w14:paraId="65E99C48">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49478EBB">
            <w:pPr>
              <w:autoSpaceDE w:val="0"/>
              <w:autoSpaceDN w:val="0"/>
              <w:adjustRightInd w:val="0"/>
              <w:spacing w:line="400" w:lineRule="exact"/>
              <w:ind w:right="-359" w:firstLine="105"/>
              <w:rPr>
                <w:rFonts w:ascii="宋体" w:hAnsi="宋体" w:cs="宋体"/>
              </w:rPr>
            </w:pPr>
            <w:r>
              <w:rPr>
                <w:rFonts w:hint="eastAsia" w:ascii="宋体" w:hAnsi="宋体" w:cs="宋体"/>
              </w:rPr>
              <w:t>19</w:t>
            </w:r>
          </w:p>
        </w:tc>
        <w:tc>
          <w:tcPr>
            <w:tcW w:w="8832" w:type="dxa"/>
            <w:tcBorders>
              <w:top w:val="single" w:color="auto" w:sz="6" w:space="0"/>
              <w:left w:val="single" w:color="auto" w:sz="6" w:space="0"/>
              <w:bottom w:val="single" w:color="auto" w:sz="6" w:space="0"/>
              <w:right w:val="single" w:color="auto" w:sz="6" w:space="0"/>
            </w:tcBorders>
            <w:vAlign w:val="center"/>
          </w:tcPr>
          <w:p w14:paraId="6222A7A7">
            <w:pPr>
              <w:autoSpaceDE w:val="0"/>
              <w:autoSpaceDN w:val="0"/>
              <w:adjustRightInd w:val="0"/>
              <w:snapToGrid w:val="0"/>
              <w:spacing w:line="400" w:lineRule="exact"/>
              <w:textAlignment w:val="bottom"/>
              <w:rPr>
                <w:rFonts w:ascii="宋体" w:hAnsi="宋体" w:cs="宋体"/>
                <w:lang w:val="zh-CN"/>
              </w:rPr>
            </w:pPr>
            <w:r>
              <w:rPr>
                <w:rFonts w:hint="eastAsia" w:ascii="宋体" w:hAnsi="宋体" w:cs="宋体"/>
                <w:lang w:val="zh-CN"/>
              </w:rPr>
              <w:t>履约保证金：</w:t>
            </w:r>
          </w:p>
          <w:p w14:paraId="32009404">
            <w:pPr>
              <w:autoSpaceDE w:val="0"/>
              <w:autoSpaceDN w:val="0"/>
              <w:adjustRightInd w:val="0"/>
              <w:snapToGrid w:val="0"/>
              <w:spacing w:line="400" w:lineRule="exact"/>
              <w:textAlignment w:val="bottom"/>
              <w:rPr>
                <w:rFonts w:ascii="宋体" w:hAnsi="宋体" w:cs="宋体"/>
              </w:rPr>
            </w:pPr>
            <w:r>
              <w:rPr>
                <w:rFonts w:hint="eastAsia" w:ascii="宋体" w:hAnsi="宋体" w:cs="宋体"/>
              </w:rPr>
              <w:t>不收取</w:t>
            </w:r>
          </w:p>
        </w:tc>
      </w:tr>
      <w:tr w14:paraId="0E706AE4">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6851B8E3">
            <w:pPr>
              <w:autoSpaceDE w:val="0"/>
              <w:autoSpaceDN w:val="0"/>
              <w:adjustRightInd w:val="0"/>
              <w:spacing w:line="400" w:lineRule="exact"/>
              <w:ind w:right="-359" w:firstLine="105"/>
              <w:rPr>
                <w:rFonts w:ascii="宋体" w:hAnsi="宋体" w:cs="宋体"/>
              </w:rPr>
            </w:pPr>
            <w:r>
              <w:rPr>
                <w:rFonts w:hint="eastAsia" w:ascii="宋体" w:hAnsi="宋体" w:cs="宋体"/>
              </w:rPr>
              <w:t>20</w:t>
            </w:r>
          </w:p>
        </w:tc>
        <w:tc>
          <w:tcPr>
            <w:tcW w:w="8832" w:type="dxa"/>
            <w:tcBorders>
              <w:top w:val="single" w:color="auto" w:sz="6" w:space="0"/>
              <w:left w:val="single" w:color="auto" w:sz="6" w:space="0"/>
              <w:bottom w:val="single" w:color="auto" w:sz="6" w:space="0"/>
              <w:right w:val="single" w:color="auto" w:sz="6" w:space="0"/>
            </w:tcBorders>
            <w:vAlign w:val="center"/>
          </w:tcPr>
          <w:p w14:paraId="1787237C">
            <w:pPr>
              <w:autoSpaceDE w:val="0"/>
              <w:autoSpaceDN w:val="0"/>
              <w:adjustRightInd w:val="0"/>
              <w:snapToGrid w:val="0"/>
              <w:spacing w:line="400" w:lineRule="exact"/>
              <w:jc w:val="left"/>
              <w:textAlignment w:val="bottom"/>
            </w:pPr>
            <w:r>
              <w:rPr>
                <w:rFonts w:hint="eastAsia"/>
              </w:rPr>
              <w:t>签订合同：</w:t>
            </w:r>
          </w:p>
          <w:p w14:paraId="7017F262">
            <w:pPr>
              <w:autoSpaceDE w:val="0"/>
              <w:autoSpaceDN w:val="0"/>
              <w:adjustRightInd w:val="0"/>
              <w:snapToGrid w:val="0"/>
              <w:spacing w:line="400" w:lineRule="exact"/>
              <w:jc w:val="left"/>
              <w:textAlignment w:val="bottom"/>
            </w:pPr>
            <w:r>
              <w:rPr>
                <w:rFonts w:hint="eastAsia"/>
              </w:rPr>
              <w:t>根据《中华人民共和国政府采购法》第四十六条规定，采购人与中标（成交）供应商应当在中标（成交）通知书</w:t>
            </w:r>
            <w:r>
              <w:rPr>
                <w:rFonts w:hint="eastAsia" w:ascii="宋体" w:hAnsi="宋体" w:eastAsia="宋体" w:cs="宋体"/>
              </w:rPr>
              <w:t>发出后30天内</w:t>
            </w:r>
            <w:r>
              <w:rPr>
                <w:rFonts w:hint="eastAsia"/>
              </w:rPr>
              <w:t>，按照采购文件确定的事项签订政府采购合同。</w:t>
            </w:r>
          </w:p>
        </w:tc>
      </w:tr>
      <w:tr w14:paraId="3397B7F9">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6" w:space="0"/>
              <w:right w:val="single" w:color="auto" w:sz="6" w:space="0"/>
            </w:tcBorders>
            <w:vAlign w:val="center"/>
          </w:tcPr>
          <w:p w14:paraId="3B697F9D">
            <w:pPr>
              <w:autoSpaceDE w:val="0"/>
              <w:autoSpaceDN w:val="0"/>
              <w:adjustRightInd w:val="0"/>
              <w:spacing w:line="400" w:lineRule="exact"/>
              <w:ind w:right="-359" w:firstLine="105"/>
              <w:rPr>
                <w:rFonts w:ascii="宋体" w:hAnsi="宋体" w:cs="宋体"/>
              </w:rPr>
            </w:pPr>
            <w:r>
              <w:rPr>
                <w:rFonts w:hint="eastAsia" w:ascii="宋体" w:hAnsi="宋体" w:cs="宋体"/>
              </w:rPr>
              <w:t>21</w:t>
            </w:r>
          </w:p>
        </w:tc>
        <w:tc>
          <w:tcPr>
            <w:tcW w:w="8832" w:type="dxa"/>
            <w:tcBorders>
              <w:top w:val="single" w:color="auto" w:sz="6" w:space="0"/>
              <w:left w:val="single" w:color="auto" w:sz="6" w:space="0"/>
              <w:bottom w:val="single" w:color="auto" w:sz="6" w:space="0"/>
              <w:right w:val="single" w:color="auto" w:sz="6" w:space="0"/>
            </w:tcBorders>
            <w:vAlign w:val="center"/>
          </w:tcPr>
          <w:p w14:paraId="06B8C47A">
            <w:pPr>
              <w:pStyle w:val="9"/>
              <w:spacing w:beforeLines="0" w:afterLines="0"/>
              <w:rPr>
                <w:rFonts w:hAnsi="宋体" w:cs="宋体"/>
                <w:sz w:val="21"/>
              </w:rPr>
            </w:pPr>
            <w:r>
              <w:rPr>
                <w:rFonts w:hint="eastAsia" w:hAnsi="宋体" w:cs="宋体"/>
                <w:sz w:val="21"/>
              </w:rPr>
              <w:t>信用记录查询：依据财库[2016]125号文件执行</w:t>
            </w:r>
          </w:p>
          <w:p w14:paraId="32463B9F">
            <w:pPr>
              <w:pStyle w:val="9"/>
              <w:spacing w:beforeLines="0" w:afterLines="0"/>
              <w:rPr>
                <w:rFonts w:hAnsi="宋体" w:cs="宋体"/>
                <w:sz w:val="21"/>
              </w:rPr>
            </w:pPr>
            <w:r>
              <w:rPr>
                <w:rFonts w:hint="eastAsia" w:hAnsi="宋体" w:cs="宋体"/>
                <w:sz w:val="21"/>
              </w:rPr>
              <w:t>查询渠道：信用中国（www.creditchina.gov.cn）、中国政府采购网（www.ccgp.gov.cn）；</w:t>
            </w:r>
          </w:p>
          <w:p w14:paraId="65D984D8">
            <w:pPr>
              <w:pStyle w:val="9"/>
              <w:spacing w:beforeLines="0" w:afterLines="0"/>
              <w:rPr>
                <w:rFonts w:hAnsi="宋体" w:cs="宋体"/>
                <w:sz w:val="21"/>
              </w:rPr>
            </w:pPr>
            <w:r>
              <w:rPr>
                <w:rFonts w:hint="eastAsia" w:hAnsi="宋体" w:cs="宋体"/>
                <w:sz w:val="21"/>
              </w:rPr>
              <w:t>时间：提交首次投标文件截止时间前3年内；</w:t>
            </w:r>
          </w:p>
          <w:p w14:paraId="1B5B1C3B">
            <w:pPr>
              <w:spacing w:line="400" w:lineRule="exact"/>
              <w:rPr>
                <w:rFonts w:ascii="宋体" w:hAnsi="宋体" w:cs="宋体"/>
              </w:rPr>
            </w:pPr>
            <w:r>
              <w:rPr>
                <w:rFonts w:hint="eastAsia" w:ascii="宋体" w:hAnsi="宋体" w:cs="宋体"/>
              </w:rPr>
              <w:t>查询记录和证据的留存：网站查询，打印留存。</w:t>
            </w:r>
          </w:p>
          <w:p w14:paraId="38606EE0">
            <w:pPr>
              <w:autoSpaceDE w:val="0"/>
              <w:autoSpaceDN w:val="0"/>
              <w:adjustRightInd w:val="0"/>
              <w:spacing w:line="400" w:lineRule="exact"/>
              <w:rPr>
                <w:rFonts w:ascii="宋体" w:hAnsi="宋体" w:cs="宋体"/>
                <w:kern w:val="0"/>
                <w:lang w:val="zh-CN"/>
              </w:rPr>
            </w:pPr>
            <w:r>
              <w:rPr>
                <w:rFonts w:hint="eastAsia" w:ascii="宋体" w:hAnsi="宋体" w:cs="宋体"/>
              </w:rPr>
              <w:t>使用规则：被列入失信被执行人、重大税收违法案件当事人名单、政府采购严重违法失信行为记录名单及其它不符合《中华人民共和国政府采购法》第二十二条规定条件的，其投标将被拒绝。</w:t>
            </w:r>
          </w:p>
        </w:tc>
      </w:tr>
      <w:tr w14:paraId="222EE782">
        <w:tblPrEx>
          <w:tblCellMar>
            <w:top w:w="0" w:type="dxa"/>
            <w:left w:w="108" w:type="dxa"/>
            <w:bottom w:w="0" w:type="dxa"/>
            <w:right w:w="108" w:type="dxa"/>
          </w:tblCellMar>
        </w:tblPrEx>
        <w:trPr>
          <w:jc w:val="center"/>
        </w:trPr>
        <w:tc>
          <w:tcPr>
            <w:tcW w:w="600" w:type="dxa"/>
            <w:tcBorders>
              <w:top w:val="single" w:color="auto" w:sz="6" w:space="0"/>
              <w:left w:val="single" w:color="auto" w:sz="6" w:space="0"/>
              <w:bottom w:val="single" w:color="auto" w:sz="4" w:space="0"/>
              <w:right w:val="single" w:color="auto" w:sz="6" w:space="0"/>
            </w:tcBorders>
            <w:vAlign w:val="center"/>
          </w:tcPr>
          <w:p w14:paraId="7F017D67">
            <w:pPr>
              <w:autoSpaceDE w:val="0"/>
              <w:autoSpaceDN w:val="0"/>
              <w:adjustRightInd w:val="0"/>
              <w:spacing w:line="400" w:lineRule="exact"/>
              <w:ind w:right="-359" w:firstLine="105"/>
              <w:rPr>
                <w:rFonts w:ascii="宋体" w:hAnsi="宋体" w:cs="宋体"/>
              </w:rPr>
            </w:pPr>
            <w:r>
              <w:rPr>
                <w:rFonts w:hint="eastAsia" w:ascii="宋体" w:hAnsi="宋体" w:cs="宋体"/>
              </w:rPr>
              <w:t>22</w:t>
            </w:r>
          </w:p>
        </w:tc>
        <w:tc>
          <w:tcPr>
            <w:tcW w:w="8832" w:type="dxa"/>
            <w:tcBorders>
              <w:top w:val="single" w:color="auto" w:sz="6" w:space="0"/>
              <w:left w:val="single" w:color="auto" w:sz="6" w:space="0"/>
              <w:bottom w:val="single" w:color="auto" w:sz="4" w:space="0"/>
              <w:right w:val="single" w:color="auto" w:sz="6" w:space="0"/>
            </w:tcBorders>
            <w:vAlign w:val="center"/>
          </w:tcPr>
          <w:p w14:paraId="121FD4E8">
            <w:pPr>
              <w:spacing w:line="400" w:lineRule="exact"/>
              <w:rPr>
                <w:rFonts w:hint="eastAsia" w:ascii="宋体" w:hAnsi="宋体" w:eastAsia="宋体" w:cs="宋体"/>
              </w:rPr>
            </w:pPr>
            <w:r>
              <w:rPr>
                <w:rFonts w:hint="eastAsia" w:ascii="宋体" w:hAnsi="宋体" w:eastAsia="宋体" w:cs="宋体"/>
              </w:rPr>
              <w:t>政府采购政策执行：</w:t>
            </w:r>
          </w:p>
          <w:p w14:paraId="69F36048">
            <w:pPr>
              <w:spacing w:line="400" w:lineRule="exact"/>
              <w:rPr>
                <w:rFonts w:hint="eastAsia" w:ascii="宋体" w:hAnsi="宋体" w:eastAsia="宋体" w:cs="宋体"/>
              </w:rPr>
            </w:pPr>
            <w:r>
              <w:rPr>
                <w:rFonts w:hint="eastAsia" w:ascii="宋体" w:hAnsi="宋体" w:eastAsia="宋体" w:cs="宋体"/>
              </w:rPr>
              <w:t>（1）采购本国生产的货物、工程和服务（经审批允许进口产品投标的除外）</w:t>
            </w:r>
          </w:p>
          <w:p w14:paraId="7BB42476">
            <w:pPr>
              <w:spacing w:line="400" w:lineRule="exact"/>
              <w:rPr>
                <w:rFonts w:hint="eastAsia" w:ascii="宋体" w:hAnsi="宋体" w:eastAsia="宋体" w:cs="宋体"/>
              </w:rPr>
            </w:pPr>
            <w:r>
              <w:rPr>
                <w:rFonts w:hint="eastAsia" w:ascii="宋体" w:hAnsi="宋体" w:eastAsia="宋体" w:cs="宋体"/>
              </w:rPr>
              <w:t>（2）支持绿色采购</w:t>
            </w:r>
          </w:p>
          <w:p w14:paraId="18E36FD7">
            <w:pPr>
              <w:spacing w:line="400" w:lineRule="exact"/>
              <w:rPr>
                <w:rFonts w:hint="eastAsia" w:ascii="宋体" w:hAnsi="宋体" w:eastAsia="宋体" w:cs="宋体"/>
              </w:rPr>
            </w:pPr>
            <w:r>
              <w:rPr>
                <w:rFonts w:hint="eastAsia" w:ascii="宋体" w:hAnsi="宋体" w:eastAsia="宋体" w:cs="宋体"/>
              </w:rPr>
              <w:t>（3）支持科技创新</w:t>
            </w:r>
          </w:p>
          <w:p w14:paraId="313A5464">
            <w:pPr>
              <w:spacing w:line="400" w:lineRule="exact"/>
              <w:rPr>
                <w:rFonts w:hint="eastAsia" w:ascii="宋体" w:hAnsi="宋体" w:eastAsia="宋体" w:cs="宋体"/>
              </w:rPr>
            </w:pPr>
            <w:r>
              <w:rPr>
                <w:rFonts w:hint="eastAsia" w:ascii="宋体" w:hAnsi="宋体" w:eastAsia="宋体" w:cs="宋体"/>
              </w:rPr>
              <w:t>（4）中小企业信用融资</w:t>
            </w:r>
          </w:p>
          <w:p w14:paraId="272EFBA5">
            <w:pPr>
              <w:spacing w:line="400" w:lineRule="exact"/>
            </w:pPr>
            <w:r>
              <w:rPr>
                <w:rFonts w:hint="eastAsia" w:ascii="宋体" w:hAnsi="宋体" w:eastAsia="宋体" w:cs="宋体"/>
              </w:rPr>
              <w:t>（5</w:t>
            </w:r>
            <w:r>
              <w:rPr>
                <w:rFonts w:hint="eastAsia"/>
              </w:rPr>
              <w:t>）支持中小企业发展</w:t>
            </w:r>
          </w:p>
        </w:tc>
      </w:tr>
      <w:tr w14:paraId="74178C1A">
        <w:tblPrEx>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E554B21">
            <w:pPr>
              <w:autoSpaceDE w:val="0"/>
              <w:autoSpaceDN w:val="0"/>
              <w:adjustRightInd w:val="0"/>
              <w:spacing w:line="400" w:lineRule="exact"/>
              <w:ind w:right="-359" w:firstLine="105"/>
              <w:rPr>
                <w:rFonts w:ascii="宋体" w:hAnsi="宋体" w:cs="宋体"/>
              </w:rPr>
            </w:pPr>
            <w:r>
              <w:rPr>
                <w:rFonts w:hint="eastAsia" w:ascii="宋体" w:hAnsi="宋体" w:cs="宋体"/>
              </w:rPr>
              <w:t>23</w:t>
            </w:r>
          </w:p>
        </w:tc>
        <w:tc>
          <w:tcPr>
            <w:tcW w:w="8832" w:type="dxa"/>
            <w:tcBorders>
              <w:top w:val="single" w:color="auto" w:sz="4" w:space="0"/>
              <w:left w:val="single" w:color="auto" w:sz="4" w:space="0"/>
              <w:bottom w:val="single" w:color="auto" w:sz="4" w:space="0"/>
              <w:right w:val="single" w:color="auto" w:sz="4" w:space="0"/>
            </w:tcBorders>
            <w:vAlign w:val="center"/>
          </w:tcPr>
          <w:p w14:paraId="74FF54D4">
            <w:pPr>
              <w:autoSpaceDE w:val="0"/>
              <w:autoSpaceDN w:val="0"/>
              <w:adjustRightInd w:val="0"/>
              <w:spacing w:line="400" w:lineRule="exact"/>
              <w:jc w:val="left"/>
              <w:rPr>
                <w:rFonts w:ascii="宋体" w:hAnsi="宋体" w:cs="宋体"/>
                <w:lang w:bidi="ar"/>
              </w:rPr>
            </w:pPr>
            <w:r>
              <w:rPr>
                <w:rFonts w:hint="eastAsia" w:ascii="宋体" w:hAnsi="宋体" w:cs="宋体"/>
                <w:lang w:bidi="ar"/>
              </w:rPr>
              <w:t>投标注意事项：</w:t>
            </w:r>
          </w:p>
          <w:p w14:paraId="3396D606">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1.中标后，投标人拒绝签订合同的，采购人可以依法按照评审报告推荐的中标候选人名单排序，确定下一候选人为中标人，也可以重新开展政府采购活动。投标人中标后拒绝签订合同的，应按预算金额的2%对采购人进行赔偿；赔偿金额不足以弥补采购人损失的，投标人应继续承担超过部分的损失。</w:t>
            </w:r>
          </w:p>
          <w:p w14:paraId="7A6CFC76">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2.存在下列行为的，采购人将其失信行为上报政府采购主管部门，由主管部门按有关规定对其违法失信行为记录进行公开：</w:t>
            </w:r>
          </w:p>
          <w:p w14:paraId="2EC2E8F1">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中标或者成交后，拒绝签订政府采购合同的；</w:t>
            </w:r>
          </w:p>
          <w:p w14:paraId="2EFF1260">
            <w:pPr>
              <w:autoSpaceDE w:val="0"/>
              <w:autoSpaceDN w:val="0"/>
              <w:adjustRightInd w:val="0"/>
              <w:spacing w:line="400" w:lineRule="exact"/>
              <w:ind w:left="71" w:right="69"/>
              <w:rPr>
                <w:rFonts w:ascii="宋体" w:hAnsi="宋体" w:cs="宋体"/>
                <w:kern w:val="0"/>
              </w:rPr>
            </w:pPr>
            <w:r>
              <w:rPr>
                <w:rFonts w:hint="eastAsia" w:ascii="宋体" w:hAnsi="宋体" w:cs="宋体"/>
                <w:shd w:val="clear" w:color="auto" w:fill="FFFFFF"/>
              </w:rPr>
              <w:t>投标有效期内撤销投标文件的。</w:t>
            </w:r>
          </w:p>
        </w:tc>
      </w:tr>
      <w:tr w14:paraId="1CDC9A1E">
        <w:tblPrEx>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9EAF9ED">
            <w:pPr>
              <w:autoSpaceDE w:val="0"/>
              <w:autoSpaceDN w:val="0"/>
              <w:adjustRightInd w:val="0"/>
              <w:spacing w:line="400" w:lineRule="exact"/>
              <w:ind w:right="-359" w:firstLine="105"/>
              <w:rPr>
                <w:rFonts w:ascii="宋体" w:hAnsi="宋体" w:cs="宋体"/>
              </w:rPr>
            </w:pPr>
            <w:r>
              <w:rPr>
                <w:rFonts w:hint="eastAsia" w:ascii="宋体" w:hAnsi="宋体" w:cs="宋体"/>
              </w:rPr>
              <w:t>24</w:t>
            </w:r>
          </w:p>
        </w:tc>
        <w:tc>
          <w:tcPr>
            <w:tcW w:w="8832" w:type="dxa"/>
            <w:tcBorders>
              <w:top w:val="single" w:color="auto" w:sz="4" w:space="0"/>
              <w:left w:val="single" w:color="auto" w:sz="4" w:space="0"/>
              <w:bottom w:val="single" w:color="auto" w:sz="4" w:space="0"/>
              <w:right w:val="single" w:color="auto" w:sz="4" w:space="0"/>
            </w:tcBorders>
            <w:vAlign w:val="center"/>
          </w:tcPr>
          <w:p w14:paraId="516A3D12">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b/>
                <w:bCs/>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shd w:val="clear" w:color="auto" w:fill="FFFFFF"/>
              </w:rPr>
              <w:t>。</w:t>
            </w:r>
          </w:p>
        </w:tc>
      </w:tr>
      <w:tr w14:paraId="349AFB4D">
        <w:tblPrEx>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CBF172A">
            <w:pPr>
              <w:autoSpaceDE w:val="0"/>
              <w:autoSpaceDN w:val="0"/>
              <w:adjustRightInd w:val="0"/>
              <w:spacing w:line="400" w:lineRule="exact"/>
              <w:ind w:right="-359" w:firstLine="105"/>
              <w:rPr>
                <w:rFonts w:ascii="宋体" w:hAnsi="宋体" w:cs="宋体"/>
              </w:rPr>
            </w:pPr>
            <w:r>
              <w:rPr>
                <w:rFonts w:hint="eastAsia" w:ascii="宋体" w:hAnsi="宋体" w:cs="宋体"/>
              </w:rPr>
              <w:t>25</w:t>
            </w:r>
          </w:p>
        </w:tc>
        <w:tc>
          <w:tcPr>
            <w:tcW w:w="8832" w:type="dxa"/>
            <w:tcBorders>
              <w:top w:val="single" w:color="auto" w:sz="4" w:space="0"/>
              <w:left w:val="single" w:color="auto" w:sz="4" w:space="0"/>
              <w:bottom w:val="single" w:color="auto" w:sz="4" w:space="0"/>
              <w:right w:val="single" w:color="auto" w:sz="4" w:space="0"/>
            </w:tcBorders>
            <w:vAlign w:val="center"/>
          </w:tcPr>
          <w:p w14:paraId="6BEBF427">
            <w:pPr>
              <w:autoSpaceDE w:val="0"/>
              <w:autoSpaceDN w:val="0"/>
              <w:adjustRightInd w:val="0"/>
              <w:spacing w:line="400" w:lineRule="exact"/>
              <w:ind w:left="71" w:right="69"/>
              <w:rPr>
                <w:rFonts w:ascii="宋体" w:hAnsi="宋体" w:cs="宋体"/>
              </w:rPr>
            </w:pPr>
            <w:r>
              <w:rPr>
                <w:rFonts w:hint="eastAsia" w:ascii="宋体" w:hAnsi="宋体" w:cs="宋体"/>
              </w:rPr>
              <w:t>特别说明：</w:t>
            </w:r>
          </w:p>
          <w:p w14:paraId="3C0D46E3">
            <w:pPr>
              <w:autoSpaceDE w:val="0"/>
              <w:autoSpaceDN w:val="0"/>
              <w:adjustRightInd w:val="0"/>
              <w:spacing w:line="400" w:lineRule="exact"/>
              <w:ind w:left="71" w:right="69"/>
              <w:rPr>
                <w:rFonts w:ascii="宋体" w:hAnsi="宋体" w:cs="宋体"/>
              </w:rPr>
            </w:pPr>
            <w:r>
              <w:rPr>
                <w:rFonts w:hint="eastAsia" w:ascii="宋体" w:hAnsi="宋体" w:cs="宋体"/>
              </w:rPr>
              <w:t>本表与招标文件其他部分内容不一致的，以本表为准。本招标文件的解释权属于采购人和采购代理机构。</w:t>
            </w:r>
          </w:p>
        </w:tc>
      </w:tr>
    </w:tbl>
    <w:p w14:paraId="67259C8E">
      <w:pPr>
        <w:rPr>
          <w:rFonts w:ascii="宋体" w:hAnsi="宋体" w:cs="宋体"/>
          <w:sz w:val="24"/>
        </w:rPr>
      </w:pPr>
    </w:p>
    <w:p w14:paraId="5970A7D9">
      <w:pPr>
        <w:pStyle w:val="4"/>
        <w:spacing w:line="240" w:lineRule="auto"/>
        <w:rPr>
          <w:rFonts w:ascii="宋体" w:hAnsi="宋体" w:eastAsia="宋体" w:cs="宋体"/>
          <w:sz w:val="24"/>
          <w:szCs w:val="24"/>
        </w:rPr>
      </w:pPr>
      <w:bookmarkStart w:id="19" w:name="_Toc3646"/>
      <w:bookmarkStart w:id="20" w:name="_Toc222632754"/>
      <w:bookmarkStart w:id="21" w:name="_Toc27142"/>
      <w:bookmarkStart w:id="22" w:name="_Toc1651"/>
      <w:bookmarkStart w:id="23" w:name="_Toc9657"/>
      <w:bookmarkStart w:id="24" w:name="_Toc317341938"/>
      <w:bookmarkStart w:id="25" w:name="_Toc22569"/>
      <w:bookmarkStart w:id="26" w:name="_Toc7984"/>
      <w:bookmarkStart w:id="27" w:name="_Toc4588"/>
      <w:bookmarkStart w:id="28" w:name="_Toc18381"/>
      <w:r>
        <w:rPr>
          <w:rFonts w:hint="eastAsia" w:ascii="宋体" w:hAnsi="宋体" w:eastAsia="宋体" w:cs="宋体"/>
          <w:sz w:val="24"/>
          <w:szCs w:val="24"/>
        </w:rPr>
        <w:t>一、总  则</w:t>
      </w:r>
      <w:bookmarkEnd w:id="19"/>
      <w:bookmarkEnd w:id="20"/>
      <w:bookmarkEnd w:id="21"/>
      <w:bookmarkEnd w:id="22"/>
      <w:bookmarkEnd w:id="23"/>
      <w:bookmarkEnd w:id="24"/>
      <w:bookmarkEnd w:id="25"/>
      <w:bookmarkEnd w:id="26"/>
      <w:bookmarkEnd w:id="27"/>
      <w:bookmarkEnd w:id="28"/>
    </w:p>
    <w:p w14:paraId="7721E78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bookmarkStart w:id="29" w:name="_Toc177870537"/>
      <w:bookmarkStart w:id="30" w:name="_Toc177824872"/>
      <w:bookmarkStart w:id="31" w:name="_Toc177824939"/>
      <w:bookmarkStart w:id="32" w:name="_Toc177825120"/>
      <w:r>
        <w:rPr>
          <w:rFonts w:hint="eastAsia" w:ascii="宋体" w:hAnsi="宋体" w:cs="宋体"/>
          <w:b/>
        </w:rPr>
        <w:t>（一） 适用范围</w:t>
      </w:r>
      <w:bookmarkEnd w:id="29"/>
      <w:bookmarkEnd w:id="30"/>
      <w:bookmarkEnd w:id="31"/>
      <w:bookmarkEnd w:id="32"/>
    </w:p>
    <w:p w14:paraId="04BA1C2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 xml:space="preserve">本招标文件适用于 </w:t>
      </w:r>
      <w:r>
        <w:rPr>
          <w:rFonts w:hint="eastAsia" w:ascii="宋体" w:hAnsi="宋体" w:cs="宋体"/>
          <w:u w:val="single"/>
          <w:lang w:eastAsia="zh-CN"/>
        </w:rPr>
        <w:t>2025年安吉县1:2000数字线划图更新入库与天地图融合项目</w:t>
      </w:r>
      <w:r>
        <w:rPr>
          <w:rFonts w:hint="eastAsia" w:ascii="宋体" w:hAnsi="宋体" w:cs="宋体"/>
        </w:rPr>
        <w:t>的招标、评标、定标、验收、合同履约、付款等（法律、法规另有规定的，从其规定）。</w:t>
      </w:r>
    </w:p>
    <w:p w14:paraId="56AC3CC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bookmarkStart w:id="33" w:name="_Toc177824940"/>
      <w:bookmarkStart w:id="34" w:name="_Toc177824873"/>
      <w:bookmarkStart w:id="35" w:name="_Toc177870538"/>
      <w:bookmarkStart w:id="36" w:name="_Toc177825121"/>
      <w:r>
        <w:rPr>
          <w:rFonts w:hint="eastAsia" w:ascii="宋体" w:hAnsi="宋体" w:cs="宋体"/>
          <w:b/>
        </w:rPr>
        <w:t>（二）定义</w:t>
      </w:r>
      <w:bookmarkEnd w:id="33"/>
      <w:bookmarkEnd w:id="34"/>
      <w:bookmarkEnd w:id="35"/>
      <w:bookmarkEnd w:id="36"/>
    </w:p>
    <w:p w14:paraId="24ED09C3">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bookmarkStart w:id="37" w:name="_Toc293916005"/>
      <w:bookmarkStart w:id="38" w:name="_Toc293916356"/>
      <w:r>
        <w:rPr>
          <w:rFonts w:hint="eastAsia" w:ascii="宋体" w:hAnsi="宋体" w:cs="宋体"/>
        </w:rPr>
        <w:t>1.“采购人”系指</w:t>
      </w:r>
      <w:r>
        <w:rPr>
          <w:rFonts w:hint="eastAsia" w:ascii="宋体" w:hAnsi="宋体" w:cs="宋体"/>
          <w:lang w:eastAsia="zh-CN"/>
        </w:rPr>
        <w:t>安吉县自然资源和规划局</w:t>
      </w:r>
      <w:r>
        <w:rPr>
          <w:rFonts w:hint="eastAsia" w:ascii="宋体" w:hAnsi="宋体" w:cs="宋体"/>
        </w:rPr>
        <w:t>。</w:t>
      </w:r>
    </w:p>
    <w:p w14:paraId="71E2A7E5">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r>
        <w:rPr>
          <w:rFonts w:hint="eastAsia" w:ascii="宋体" w:hAnsi="宋体" w:cs="宋体"/>
        </w:rPr>
        <w:t>2.“采购代理机构”系指</w:t>
      </w:r>
      <w:r>
        <w:rPr>
          <w:rFonts w:hint="eastAsia" w:ascii="宋体" w:hAnsi="宋体" w:cs="宋体"/>
          <w:lang w:eastAsia="zh-CN"/>
        </w:rPr>
        <w:t>浙江至诚工程咨询有限责任公司</w:t>
      </w:r>
      <w:r>
        <w:rPr>
          <w:rFonts w:hint="eastAsia" w:ascii="宋体" w:hAnsi="宋体" w:cs="宋体"/>
        </w:rPr>
        <w:t>。</w:t>
      </w:r>
    </w:p>
    <w:p w14:paraId="36C1FE9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b/>
        </w:rPr>
      </w:pPr>
      <w:r>
        <w:rPr>
          <w:rFonts w:hint="eastAsia" w:ascii="宋体" w:hAnsi="宋体" w:cs="宋体"/>
        </w:rPr>
        <w:t>3.“投标人”系指向采购人和采购代理机构提交投标文件的单位或个人。</w:t>
      </w:r>
      <w:bookmarkEnd w:id="37"/>
      <w:bookmarkEnd w:id="38"/>
    </w:p>
    <w:p w14:paraId="1D683E6F">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r>
        <w:rPr>
          <w:rFonts w:hint="eastAsia" w:ascii="宋体" w:hAnsi="宋体" w:cs="宋体"/>
        </w:rPr>
        <w:t>4.“产品”系指供方按招标文件规定，须向采购人提供的一切有关设备、软件、设施以及技术资料和材料。</w:t>
      </w:r>
    </w:p>
    <w:p w14:paraId="63BCC7A8">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r>
        <w:rPr>
          <w:rFonts w:hint="eastAsia" w:ascii="宋体" w:hAnsi="宋体" w:cs="宋体"/>
        </w:rPr>
        <w:t>5.“服务”系指招标文件规定投标人须承担的安装、调试、技术服务、校准、培训、售后以及其他类似的义务。</w:t>
      </w:r>
    </w:p>
    <w:p w14:paraId="01F16D2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6.“项目”系指投标人按招标文件规定向采购人提供的产品和服务。</w:t>
      </w:r>
    </w:p>
    <w:p w14:paraId="6F394E68">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r>
        <w:rPr>
          <w:rFonts w:hint="eastAsia" w:ascii="宋体" w:hAnsi="宋体" w:cs="宋体"/>
        </w:rPr>
        <w:t>7.“书面形式”包括信函、传真、电子文档、电子邮件等。</w:t>
      </w:r>
    </w:p>
    <w:p w14:paraId="338F53A0">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hAnsi="宋体" w:cs="宋体"/>
        </w:rPr>
      </w:pPr>
      <w:r>
        <w:rPr>
          <w:rFonts w:hint="eastAsia" w:ascii="宋体" w:hAnsi="宋体" w:cs="宋体"/>
        </w:rPr>
        <w:t>8.“▲”系指实质性要求条款。</w:t>
      </w:r>
    </w:p>
    <w:p w14:paraId="591D874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bookmarkStart w:id="39" w:name="_Toc177870539"/>
      <w:r>
        <w:rPr>
          <w:rFonts w:hint="eastAsia" w:ascii="宋体" w:hAnsi="宋体" w:cs="宋体"/>
          <w:b/>
        </w:rPr>
        <w:t>（三）招标方式</w:t>
      </w:r>
      <w:bookmarkEnd w:id="39"/>
      <w:r>
        <w:rPr>
          <w:rFonts w:hint="eastAsia" w:ascii="宋体" w:hAnsi="宋体" w:cs="宋体"/>
          <w:b/>
        </w:rPr>
        <w:t>：</w:t>
      </w:r>
    </w:p>
    <w:p w14:paraId="425B9EC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1.本次招标采用公开招标方式进行。</w:t>
      </w:r>
    </w:p>
    <w:p w14:paraId="0DB5B3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2.本次招标设定上限价，上限价详见前附表。</w:t>
      </w:r>
    </w:p>
    <w:p w14:paraId="28C7531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bookmarkStart w:id="40" w:name="_Toc177824941"/>
      <w:bookmarkStart w:id="41" w:name="_Toc177825122"/>
      <w:bookmarkStart w:id="42" w:name="_Toc177870540"/>
      <w:bookmarkStart w:id="43" w:name="_Toc177824874"/>
      <w:r>
        <w:rPr>
          <w:rFonts w:hint="eastAsia" w:ascii="宋体" w:hAnsi="宋体" w:cs="宋体"/>
          <w:b/>
        </w:rPr>
        <w:t>（四）投标委托</w:t>
      </w:r>
      <w:bookmarkEnd w:id="40"/>
      <w:bookmarkEnd w:id="41"/>
      <w:bookmarkEnd w:id="42"/>
      <w:bookmarkEnd w:id="43"/>
    </w:p>
    <w:p w14:paraId="18B171AF">
      <w:pPr>
        <w:pStyle w:val="7"/>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ascii="宋体" w:eastAsia="宋体" w:cs="宋体"/>
          <w:sz w:val="21"/>
        </w:rPr>
      </w:pPr>
      <w:r>
        <w:rPr>
          <w:rFonts w:hint="eastAsia" w:ascii="宋体" w:eastAsia="宋体" w:cs="宋体"/>
          <w:sz w:val="21"/>
        </w:rPr>
        <w:t>投标人代表须携带居民身份证，如投标人代表不是法定代表人，须有法定代表人出具的授权委托书（格式见第六章）。</w:t>
      </w:r>
    </w:p>
    <w:p w14:paraId="226B826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bookmarkStart w:id="44" w:name="_Toc177870541"/>
      <w:bookmarkStart w:id="45" w:name="_Toc177825123"/>
      <w:bookmarkStart w:id="46" w:name="_Toc177824942"/>
      <w:bookmarkStart w:id="47" w:name="_Toc177824875"/>
      <w:r>
        <w:rPr>
          <w:rFonts w:hint="eastAsia" w:ascii="宋体" w:hAnsi="宋体" w:cs="宋体"/>
          <w:b/>
        </w:rPr>
        <w:t>（五）投标费用</w:t>
      </w:r>
      <w:bookmarkEnd w:id="44"/>
      <w:bookmarkEnd w:id="45"/>
      <w:bookmarkEnd w:id="46"/>
      <w:bookmarkEnd w:id="47"/>
    </w:p>
    <w:p w14:paraId="521F8C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不论投标结果如何，投标人均应自行承担所有与投标有关的全部费用。</w:t>
      </w:r>
    </w:p>
    <w:p w14:paraId="48E0F11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rPr>
      </w:pPr>
      <w:r>
        <w:rPr>
          <w:rFonts w:hint="eastAsia" w:ascii="宋体" w:hAnsi="宋体" w:cs="宋体"/>
          <w:b/>
        </w:rPr>
        <w:t>（六）合格投标人的资格要求</w:t>
      </w:r>
    </w:p>
    <w:p w14:paraId="1D18845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符合第一章第二条的规定。</w:t>
      </w:r>
    </w:p>
    <w:p w14:paraId="6A15CD2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rPr>
      </w:pPr>
      <w:r>
        <w:rPr>
          <w:rFonts w:hint="eastAsia" w:ascii="宋体" w:hAnsi="宋体" w:cs="宋体"/>
          <w:b/>
        </w:rPr>
        <w:t>（七）转包与分包</w:t>
      </w:r>
    </w:p>
    <w:p w14:paraId="35C6DC8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本项目不接受联合体投标，禁止转包，未经采购人同意不允许分包。</w:t>
      </w:r>
    </w:p>
    <w:p w14:paraId="0B40FD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rPr>
      </w:pPr>
      <w:r>
        <w:rPr>
          <w:rFonts w:hint="eastAsia" w:ascii="宋体" w:hAnsi="宋体" w:cs="宋体"/>
          <w:b/>
        </w:rPr>
        <w:t>（八）</w:t>
      </w:r>
      <w:bookmarkStart w:id="48" w:name="_Toc177870542"/>
      <w:r>
        <w:rPr>
          <w:rFonts w:hint="eastAsia" w:ascii="宋体" w:hAnsi="宋体" w:cs="宋体"/>
          <w:b/>
        </w:rPr>
        <w:t>特别说明：</w:t>
      </w:r>
      <w:bookmarkEnd w:id="48"/>
    </w:p>
    <w:p w14:paraId="0784B1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D197C6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多家代理商或经销商参加投标，如其中两家或两家以上投标人存在分级代理或代销关系，且提供的是其所代理品牌产品的，评审时，按上述规定确定其中一家为有效投标人。</w:t>
      </w:r>
    </w:p>
    <w:p w14:paraId="3FCDC3D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2.除招标文件另有规定外，投标人投标所使用的资格、信誉、荣誉、业绩与企业认证必须为本法人所拥有。投标人投标所使用的采购项目实施人员必须为本法人员工或其控股公司正式员工。</w:t>
      </w:r>
    </w:p>
    <w:p w14:paraId="501AE5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3.投标人在投标活动中提供任何虚假材料或从事其他违法活动的，其投标无效，并报监管部门查处；中标后发现的,中标人须依照《中华人民共和国消费者权益保护法》第</w:t>
      </w:r>
      <w:r>
        <w:rPr>
          <w:rFonts w:hint="eastAsia" w:ascii="宋体" w:hAnsi="宋体" w:cs="宋体"/>
          <w:lang w:val="en-US" w:eastAsia="zh-CN"/>
        </w:rPr>
        <w:t>55</w:t>
      </w:r>
      <w:r>
        <w:rPr>
          <w:rFonts w:hint="eastAsia" w:ascii="宋体" w:hAnsi="宋体" w:cs="宋体"/>
        </w:rPr>
        <w:t>条之规定双倍赔偿采购人，且民事赔偿并不免除违法投标人的行政与刑事责任。</w:t>
      </w:r>
    </w:p>
    <w:p w14:paraId="77CE278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4.投标人应仔细阅读招标文件所有内容，对招标文件的要求作出实质性响应，按照招标文件的要求提交投标文件，并对所提供的全部资料的真实性承担法律责任。</w:t>
      </w:r>
    </w:p>
    <w:p w14:paraId="7D317F4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5.投标人一旦递交了投标（响应）文件，即被视为接受了本招标文件的所有内容，如有任何异议，均应在答疑截止时间前提出。</w:t>
      </w:r>
    </w:p>
    <w:p w14:paraId="709136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rPr>
      </w:pPr>
      <w:r>
        <w:rPr>
          <w:rFonts w:hint="eastAsia" w:ascii="宋体" w:hAnsi="宋体" w:cs="宋体"/>
        </w:rPr>
        <w:t>6.投标文件前后描述不一，评审时将按不利于投标人的一种描述进行评审（评标委员会按招标文件规定允许投标人予以澄清的除外）。</w:t>
      </w:r>
    </w:p>
    <w:p w14:paraId="373330F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rPr>
      </w:pPr>
      <w:bookmarkStart w:id="49" w:name="_Toc177870543"/>
      <w:r>
        <w:rPr>
          <w:rFonts w:hint="eastAsia" w:ascii="宋体" w:hAnsi="宋体" w:cs="宋体"/>
          <w:b/>
        </w:rPr>
        <w:t>（九）质疑</w:t>
      </w:r>
      <w:bookmarkEnd w:id="49"/>
      <w:r>
        <w:rPr>
          <w:rFonts w:hint="eastAsia" w:ascii="宋体" w:hAnsi="宋体" w:cs="宋体"/>
          <w:b/>
        </w:rPr>
        <w:t>和投诉</w:t>
      </w:r>
    </w:p>
    <w:p w14:paraId="764E43AD">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snapToGrid w:val="0"/>
          <w:kern w:val="0"/>
        </w:rPr>
      </w:pPr>
      <w:r>
        <w:rPr>
          <w:rFonts w:hint="eastAsia" w:ascii="宋体" w:hAnsi="宋体" w:cs="宋体"/>
          <w:snapToGrid w:val="0"/>
          <w:kern w:val="0"/>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5248B687">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rPr>
      </w:pPr>
      <w:r>
        <w:rPr>
          <w:rFonts w:hint="eastAsia" w:ascii="宋体" w:hAnsi="宋体" w:cs="宋体"/>
          <w:snapToGrid w:val="0"/>
          <w:kern w:val="0"/>
        </w:rPr>
        <w:t>1.</w:t>
      </w:r>
      <w:r>
        <w:rPr>
          <w:rFonts w:hint="eastAsia" w:ascii="宋体" w:hAnsi="宋体" w:cs="宋体"/>
        </w:rPr>
        <w:t>投标人认为招标文件、采购过程和中标、中标结果使自己的权益受到损害的，应当在知道或者应知其权益受到损害之日起七个工作日内，以书面形式向采购人、采购代理机构提出质疑。质疑起算日期如下：</w:t>
      </w:r>
    </w:p>
    <w:p w14:paraId="7B01A7CA">
      <w:pPr>
        <w:keepNext w:val="0"/>
        <w:keepLines w:val="0"/>
        <w:pageBreakBefore w:val="0"/>
        <w:widowControl w:val="0"/>
        <w:kinsoku/>
        <w:wordWrap/>
        <w:overflowPunct/>
        <w:topLinePunct w:val="0"/>
        <w:autoSpaceDE/>
        <w:autoSpaceDN/>
        <w:bidi w:val="0"/>
        <w:snapToGrid w:val="0"/>
        <w:spacing w:line="400" w:lineRule="exact"/>
        <w:ind w:firstLine="315" w:firstLineChars="150"/>
        <w:textAlignment w:val="auto"/>
        <w:rPr>
          <w:rFonts w:ascii="宋体" w:hAnsi="宋体" w:cs="宋体"/>
        </w:rPr>
      </w:pPr>
      <w:r>
        <w:rPr>
          <w:rFonts w:hint="eastAsia" w:ascii="宋体" w:hAnsi="宋体" w:cs="宋体"/>
        </w:rPr>
        <w:t>（1）对可以质疑的招标文件提出质疑的，为收到招标文件之日或者招标文件公告期限届满之日（公告期限届满后获取招标文件的，以公告期限届满之日为准）；</w:t>
      </w:r>
    </w:p>
    <w:p w14:paraId="0A04472E">
      <w:pPr>
        <w:keepNext w:val="0"/>
        <w:keepLines w:val="0"/>
        <w:pageBreakBefore w:val="0"/>
        <w:widowControl w:val="0"/>
        <w:kinsoku/>
        <w:wordWrap/>
        <w:overflowPunct/>
        <w:topLinePunct w:val="0"/>
        <w:autoSpaceDE/>
        <w:autoSpaceDN/>
        <w:bidi w:val="0"/>
        <w:snapToGrid w:val="0"/>
        <w:spacing w:line="400" w:lineRule="exact"/>
        <w:ind w:firstLine="315" w:firstLineChars="150"/>
        <w:textAlignment w:val="auto"/>
        <w:rPr>
          <w:rFonts w:ascii="宋体" w:hAnsi="宋体" w:cs="宋体"/>
        </w:rPr>
      </w:pPr>
      <w:r>
        <w:rPr>
          <w:rFonts w:hint="eastAsia" w:ascii="宋体" w:hAnsi="宋体" w:cs="宋体"/>
        </w:rPr>
        <w:t>（2）对采购过程提出质疑的，为各采购程序环节结束之日；</w:t>
      </w:r>
    </w:p>
    <w:p w14:paraId="780D5A62">
      <w:pPr>
        <w:keepNext w:val="0"/>
        <w:keepLines w:val="0"/>
        <w:pageBreakBefore w:val="0"/>
        <w:widowControl w:val="0"/>
        <w:kinsoku/>
        <w:wordWrap/>
        <w:overflowPunct/>
        <w:topLinePunct w:val="0"/>
        <w:autoSpaceDE/>
        <w:autoSpaceDN/>
        <w:bidi w:val="0"/>
        <w:snapToGrid w:val="0"/>
        <w:spacing w:line="400" w:lineRule="exact"/>
        <w:ind w:firstLine="315" w:firstLineChars="150"/>
        <w:textAlignment w:val="auto"/>
        <w:rPr>
          <w:rFonts w:ascii="宋体" w:hAnsi="宋体" w:cs="宋体"/>
        </w:rPr>
      </w:pPr>
      <w:r>
        <w:rPr>
          <w:rFonts w:hint="eastAsia" w:ascii="宋体" w:hAnsi="宋体" w:cs="宋体"/>
        </w:rPr>
        <w:t>（3）对中标结果提出质疑的，为中标结果公告期限届满之日。</w:t>
      </w:r>
    </w:p>
    <w:p w14:paraId="2D03EC5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rPr>
      </w:pPr>
      <w:r>
        <w:rPr>
          <w:rFonts w:hint="eastAsia" w:ascii="宋体" w:hAnsi="宋体" w:cs="宋体"/>
          <w:snapToGrid w:val="0"/>
          <w:kern w:val="0"/>
        </w:rPr>
        <w:t>2.</w:t>
      </w:r>
      <w:r>
        <w:rPr>
          <w:rFonts w:hint="eastAsia" w:ascii="宋体" w:hAnsi="宋体" w:cs="宋体"/>
        </w:rPr>
        <w:t>质疑投标人对采购人、采购代理机构的答复不满意或者采购人、采购代理机构未在规定时间内作出答复的，可以在答复期满后十五个工作日内向同级政府采购监管部门投诉。</w:t>
      </w:r>
    </w:p>
    <w:p w14:paraId="4413E4A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rPr>
      </w:pPr>
      <w:r>
        <w:rPr>
          <w:rFonts w:hint="eastAsia" w:ascii="宋体" w:hAnsi="宋体" w:cs="宋体"/>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3F2B982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rPr>
      </w:pPr>
      <w:r>
        <w:rPr>
          <w:rFonts w:hint="eastAsia" w:ascii="宋体" w:hAnsi="宋体" w:cs="宋体"/>
        </w:rPr>
        <w:t>质疑书、投诉书均应明确阐述招标文件、招标过程和中标结果中使自己合法权益受到损害的实质性内容，提供相关事实、依据和证据及其来源或线索，便于有关单位调查、答复和处理。</w:t>
      </w:r>
    </w:p>
    <w:p w14:paraId="5D77BF7B">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snapToGrid w:val="0"/>
          <w:kern w:val="0"/>
        </w:rPr>
      </w:pPr>
      <w:r>
        <w:rPr>
          <w:rFonts w:hint="eastAsia" w:ascii="宋体" w:hAnsi="宋体" w:cs="宋体"/>
        </w:rPr>
        <w:t>4</w:t>
      </w:r>
      <w:r>
        <w:rPr>
          <w:rFonts w:hint="eastAsia" w:ascii="宋体" w:hAnsi="宋体" w:cs="宋体"/>
          <w:snapToGrid w:val="0"/>
          <w:kern w:val="0"/>
        </w:rPr>
        <w:t>.对于询问的处理：采购人或者采购代理机构应当在3个工作日内对投标人依法提出的询问作出答复。</w:t>
      </w:r>
    </w:p>
    <w:p w14:paraId="249DCCF7">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宋体" w:hAnsi="宋体" w:cs="宋体"/>
          <w:snapToGrid w:val="0"/>
          <w:kern w:val="0"/>
        </w:rPr>
      </w:pPr>
      <w:r>
        <w:rPr>
          <w:rFonts w:hint="eastAsia" w:ascii="宋体" w:hAnsi="宋体" w:cs="宋体"/>
          <w:snapToGrid w:val="0"/>
          <w:kern w:val="0"/>
        </w:rPr>
        <w:t>投标人提出的询问或者质疑超出采购人对采购代理机构委托授权范围的，采购代理机构应当告知投标人向采购人提出。</w:t>
      </w:r>
    </w:p>
    <w:p w14:paraId="06E46AC9">
      <w:pPr>
        <w:pStyle w:val="4"/>
        <w:spacing w:line="240" w:lineRule="auto"/>
        <w:rPr>
          <w:rFonts w:ascii="宋体" w:hAnsi="宋体" w:eastAsia="宋体" w:cs="宋体"/>
          <w:sz w:val="24"/>
          <w:szCs w:val="24"/>
        </w:rPr>
      </w:pPr>
      <w:bookmarkStart w:id="50" w:name="_Toc30237"/>
      <w:bookmarkStart w:id="51" w:name="_Toc18204"/>
      <w:bookmarkStart w:id="52" w:name="_Toc10398"/>
      <w:bookmarkStart w:id="53" w:name="_Toc21697"/>
      <w:bookmarkStart w:id="54" w:name="_Toc6470"/>
      <w:bookmarkStart w:id="55" w:name="_Toc19577"/>
      <w:bookmarkStart w:id="56" w:name="_Toc30463"/>
      <w:bookmarkStart w:id="57" w:name="_Toc28609"/>
      <w:r>
        <w:rPr>
          <w:rFonts w:hint="eastAsia" w:ascii="宋体" w:hAnsi="宋体" w:eastAsia="宋体" w:cs="宋体"/>
          <w:sz w:val="24"/>
          <w:szCs w:val="24"/>
        </w:rPr>
        <w:t>二、招标文件</w:t>
      </w:r>
      <w:bookmarkEnd w:id="50"/>
      <w:bookmarkEnd w:id="51"/>
      <w:bookmarkEnd w:id="52"/>
      <w:bookmarkEnd w:id="53"/>
      <w:bookmarkEnd w:id="54"/>
      <w:bookmarkEnd w:id="55"/>
      <w:bookmarkEnd w:id="56"/>
      <w:bookmarkEnd w:id="57"/>
    </w:p>
    <w:p w14:paraId="5CC9D39A">
      <w:pPr>
        <w:adjustRightInd w:val="0"/>
        <w:snapToGrid w:val="0"/>
        <w:spacing w:line="360" w:lineRule="exact"/>
        <w:rPr>
          <w:rFonts w:ascii="宋体" w:hAnsi="宋体" w:cs="宋体"/>
          <w:b/>
        </w:rPr>
      </w:pPr>
      <w:r>
        <w:rPr>
          <w:rFonts w:hint="eastAsia" w:ascii="宋体" w:hAnsi="宋体" w:cs="宋体"/>
          <w:b/>
        </w:rPr>
        <w:t>（一）招标文件的构成。本招标文件由以下部份组成：</w:t>
      </w:r>
    </w:p>
    <w:p w14:paraId="4BFA314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1.招标公告；</w:t>
      </w:r>
    </w:p>
    <w:p w14:paraId="1E87D3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2.招标需求；</w:t>
      </w:r>
    </w:p>
    <w:p w14:paraId="7BA2F1C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3.投标人须知；</w:t>
      </w:r>
    </w:p>
    <w:p w14:paraId="5A6A193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4.评标办法及标准；</w:t>
      </w:r>
    </w:p>
    <w:p w14:paraId="7D0412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5.合同主要条款；</w:t>
      </w:r>
    </w:p>
    <w:p w14:paraId="734AD8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6.投标文件格式；</w:t>
      </w:r>
    </w:p>
    <w:p w14:paraId="75FCA34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7.本项目招标文件的澄清、答复、修改、补充的内容。</w:t>
      </w:r>
    </w:p>
    <w:p w14:paraId="2BD8A0F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rPr>
      </w:pPr>
      <w:r>
        <w:rPr>
          <w:rFonts w:hint="eastAsia" w:ascii="宋体" w:hAnsi="宋体" w:cs="宋体"/>
          <w:b/>
        </w:rPr>
        <w:t>（二）投标人的风险</w:t>
      </w:r>
    </w:p>
    <w:p w14:paraId="2C2DE47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投标人没有按照招标文件要求提供全部资料，或者投标人没有对招标文件在各方面作出实质性响应是投标人的风险，并可能导致其投标被拒绝。</w:t>
      </w:r>
    </w:p>
    <w:p w14:paraId="4AE610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rPr>
      </w:pPr>
      <w:r>
        <w:rPr>
          <w:rFonts w:hint="eastAsia" w:ascii="宋体" w:hAnsi="宋体" w:cs="宋体"/>
          <w:b/>
        </w:rPr>
        <w:t xml:space="preserve">（三）招标文件的澄清与修改 </w:t>
      </w:r>
    </w:p>
    <w:p w14:paraId="7EFDA9F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1.投标人应认真阅读本招标文件，发现其中有误或有要求不合理的，投标人必须在投标须知前附表规定的招标文件答疑与澄清截止时间前以书面形式要求采购人和采购代理机构澄清。</w:t>
      </w:r>
    </w:p>
    <w:p w14:paraId="0C2E1E5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2.采购人和采购代理机构必须以书面形式答复投标人要求澄清的问题，并将不包含问题来源的答复书面通知所有购买招标文件的投标人；除书面答复以外的其他澄清方式及澄清内容均无效。</w:t>
      </w:r>
    </w:p>
    <w:p w14:paraId="269C935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3.采购人和采购代理机构对已发出的招标文件进行必要澄清、答复、修改或补充的，应在浙江政府采购网（http://zfcg.czt.zj.gov.cn/）上发布公告，并以书面形式通知所有招标文件收受人。</w:t>
      </w:r>
    </w:p>
    <w:p w14:paraId="5EAF163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4.为保证投标人有足够的时间按修改、补充后的招标文件的要求编制和修正其投标文件，采购人和采购代理机构可依法酌情推迟投标截止时间和开标时间。</w:t>
      </w:r>
    </w:p>
    <w:p w14:paraId="42294DC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5.招标文件澄清、答复、修改、补充的内容为招标文件的组成部分。当招标文件与招标文件的答复、澄清、修改、补充通知就同一内容的表述不一致时，以最后发出的书面文件为准。</w:t>
      </w:r>
    </w:p>
    <w:p w14:paraId="353C9E9F">
      <w:pPr>
        <w:pStyle w:val="4"/>
        <w:keepNext/>
        <w:keepLines/>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bookmarkStart w:id="58" w:name="_Toc222632756"/>
      <w:bookmarkStart w:id="59" w:name="_Toc18130"/>
      <w:bookmarkStart w:id="60" w:name="_Toc6078"/>
      <w:bookmarkStart w:id="61" w:name="_Toc317341940"/>
      <w:bookmarkStart w:id="62" w:name="_Toc16999"/>
      <w:bookmarkStart w:id="63" w:name="_Toc19450"/>
      <w:bookmarkStart w:id="64" w:name="_Toc13474"/>
      <w:bookmarkStart w:id="65" w:name="_Toc23678"/>
      <w:bookmarkStart w:id="66" w:name="_Toc28607"/>
      <w:bookmarkStart w:id="67" w:name="_Toc26384"/>
      <w:r>
        <w:rPr>
          <w:rFonts w:hint="eastAsia" w:ascii="宋体" w:hAnsi="宋体" w:eastAsia="宋体" w:cs="宋体"/>
          <w:sz w:val="24"/>
          <w:szCs w:val="24"/>
        </w:rPr>
        <w:t>三、投标文件的编制</w:t>
      </w:r>
      <w:bookmarkEnd w:id="58"/>
      <w:bookmarkEnd w:id="59"/>
      <w:bookmarkEnd w:id="60"/>
      <w:bookmarkEnd w:id="61"/>
      <w:r>
        <w:rPr>
          <w:rFonts w:hint="eastAsia" w:ascii="宋体" w:hAnsi="宋体" w:eastAsia="宋体" w:cs="宋体"/>
          <w:sz w:val="24"/>
          <w:szCs w:val="24"/>
        </w:rPr>
        <w:t>及递交</w:t>
      </w:r>
      <w:bookmarkEnd w:id="62"/>
      <w:bookmarkEnd w:id="63"/>
      <w:bookmarkEnd w:id="64"/>
      <w:bookmarkEnd w:id="65"/>
      <w:bookmarkEnd w:id="66"/>
      <w:bookmarkEnd w:id="67"/>
    </w:p>
    <w:p w14:paraId="5AB592F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宋体"/>
          <w:b/>
        </w:rPr>
      </w:pPr>
      <w:bookmarkStart w:id="68" w:name="_Toc177870546"/>
      <w:bookmarkStart w:id="69" w:name="_Toc177824943"/>
      <w:bookmarkStart w:id="70" w:name="_Toc177824876"/>
      <w:bookmarkStart w:id="71" w:name="_Toc177825124"/>
      <w:r>
        <w:rPr>
          <w:rFonts w:hint="eastAsia" w:ascii="宋体" w:hAnsi="宋体" w:cs="宋体"/>
          <w:b/>
        </w:rPr>
        <w:t>（一）投标文件的组成</w:t>
      </w:r>
      <w:bookmarkEnd w:id="68"/>
      <w:bookmarkEnd w:id="69"/>
      <w:bookmarkEnd w:id="70"/>
      <w:bookmarkEnd w:id="71"/>
      <w:r>
        <w:rPr>
          <w:rFonts w:hint="eastAsia" w:ascii="宋体" w:hAnsi="宋体" w:cs="宋体"/>
          <w:sz w:val="32"/>
        </w:rPr>
        <w:t xml:space="preserve"> </w:t>
      </w:r>
    </w:p>
    <w:p w14:paraId="0642838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ascii="宋体" w:hAnsi="宋体" w:cs="宋体"/>
        </w:rPr>
      </w:pPr>
      <w:r>
        <w:rPr>
          <w:rFonts w:hint="eastAsia" w:ascii="宋体" w:hAnsi="宋体" w:cs="宋体"/>
        </w:rPr>
        <w:t>投标文件由</w:t>
      </w:r>
      <w:r>
        <w:rPr>
          <w:rFonts w:hint="eastAsia" w:ascii="宋体" w:hAnsi="宋体" w:cs="宋体"/>
          <w:b/>
        </w:rPr>
        <w:t>资格证明文件</w:t>
      </w:r>
      <w:r>
        <w:rPr>
          <w:rFonts w:hint="eastAsia" w:ascii="宋体" w:hAnsi="宋体" w:cs="宋体"/>
        </w:rPr>
        <w:t>、</w:t>
      </w:r>
      <w:r>
        <w:rPr>
          <w:rFonts w:hint="eastAsia" w:ascii="宋体" w:hAnsi="宋体" w:cs="宋体"/>
          <w:b/>
        </w:rPr>
        <w:t>技术资信文件、报价文件</w:t>
      </w:r>
      <w:r>
        <w:rPr>
          <w:rFonts w:hint="eastAsia" w:ascii="宋体" w:hAnsi="宋体" w:cs="宋体"/>
        </w:rPr>
        <w:t>组成。</w:t>
      </w:r>
    </w:p>
    <w:p w14:paraId="03081F22">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ascii="宋体" w:hAnsi="宋体" w:cs="宋体"/>
          <w:b/>
        </w:rPr>
      </w:pPr>
      <w:r>
        <w:rPr>
          <w:rFonts w:hint="eastAsia" w:ascii="宋体" w:hAnsi="宋体" w:cs="宋体"/>
          <w:b/>
        </w:rPr>
        <w:t>1.资格证明文件包括：</w:t>
      </w:r>
    </w:p>
    <w:p w14:paraId="60FCCBC5">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投标资格声明书（格式见第六章）；</w:t>
      </w:r>
    </w:p>
    <w:p w14:paraId="2123EBD4">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营业执照副本复印件；</w:t>
      </w:r>
    </w:p>
    <w:p w14:paraId="1A144523">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lang w:eastAsia="zh-CN"/>
        </w:rPr>
        <w:t>法定代表人身份证明书、法定代表人授权委托书（格式见第六章）；</w:t>
      </w:r>
    </w:p>
    <w:p w14:paraId="08310F50">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中小企业声明函（格式见第六章）；</w:t>
      </w:r>
    </w:p>
    <w:p w14:paraId="41F3AE2F">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残疾人福利性单位声明函（如投标人为残疾人福利性单位）； 提供社保缴纳人员名单、录用的残疾人的《中华人民共和国残疾人证》或者《中华人民共和国残疾军人证(1至8级)》复印件；</w:t>
      </w:r>
    </w:p>
    <w:p w14:paraId="24FA3BB0">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监狱企业相关证明材料（如投标人为监狱企业）；</w:t>
      </w:r>
    </w:p>
    <w:p w14:paraId="525B6414">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投标人最近依法缴纳税收的完税凭证复印件或不征（免征）税收证明书；或承诺函；</w:t>
      </w:r>
    </w:p>
    <w:p w14:paraId="4DF92FE5">
      <w:pPr>
        <w:keepNext w:val="0"/>
        <w:keepLines w:val="0"/>
        <w:pageBreakBefore w:val="0"/>
        <w:widowControl w:val="0"/>
        <w:numPr>
          <w:ilvl w:val="0"/>
          <w:numId w:val="4"/>
        </w:numPr>
        <w:tabs>
          <w:tab w:val="clear" w:pos="533"/>
        </w:tabs>
        <w:kinsoku/>
        <w:wordWrap/>
        <w:overflowPunct/>
        <w:topLinePunct w:val="0"/>
        <w:autoSpaceDE/>
        <w:autoSpaceDN/>
        <w:bidi w:val="0"/>
        <w:adjustRightInd w:val="0"/>
        <w:snapToGrid w:val="0"/>
        <w:spacing w:line="400" w:lineRule="exact"/>
        <w:ind w:left="839" w:leftChars="0" w:hanging="420" w:firstLineChars="0"/>
        <w:jc w:val="left"/>
        <w:textAlignment w:val="auto"/>
        <w:rPr>
          <w:rFonts w:ascii="宋体" w:hAnsi="宋体" w:cs="宋体"/>
        </w:rPr>
      </w:pPr>
      <w:r>
        <w:rPr>
          <w:rFonts w:hint="eastAsia" w:ascii="宋体" w:hAnsi="宋体" w:cs="宋体"/>
        </w:rPr>
        <w:t>投标人最近依法缴纳社保费的凭证复印件或不征（免征）社保证明书；或承诺函；</w:t>
      </w:r>
    </w:p>
    <w:p w14:paraId="5F4EC320">
      <w:pPr>
        <w:keepNext w:val="0"/>
        <w:keepLines w:val="0"/>
        <w:pageBreakBefore w:val="0"/>
        <w:widowControl w:val="0"/>
        <w:tabs>
          <w:tab w:val="left" w:pos="533"/>
        </w:tabs>
        <w:kinsoku/>
        <w:wordWrap/>
        <w:overflowPunct/>
        <w:topLinePunct w:val="0"/>
        <w:autoSpaceDE/>
        <w:autoSpaceDN/>
        <w:bidi w:val="0"/>
        <w:adjustRightInd w:val="0"/>
        <w:snapToGrid w:val="0"/>
        <w:spacing w:line="440" w:lineRule="exact"/>
        <w:ind w:firstLine="422" w:firstLineChars="200"/>
        <w:jc w:val="left"/>
        <w:textAlignment w:val="auto"/>
        <w:rPr>
          <w:rFonts w:ascii="宋体" w:hAnsi="宋体" w:cs="宋体"/>
        </w:rPr>
      </w:pPr>
      <w:r>
        <w:rPr>
          <w:rFonts w:hint="eastAsia" w:ascii="宋体" w:hAnsi="宋体" w:cs="宋体"/>
          <w:b/>
        </w:rPr>
        <w:t>2.技术资信文件包括：</w:t>
      </w:r>
    </w:p>
    <w:p w14:paraId="15B0E110">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投标函（格式见第六章）；</w:t>
      </w:r>
    </w:p>
    <w:p w14:paraId="3A020CFD">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投标单位情况表（格式见第六章）；</w:t>
      </w:r>
    </w:p>
    <w:p w14:paraId="23A35835">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Style w:val="23"/>
          <w:rFonts w:hint="eastAsia" w:ascii="宋体" w:hAnsi="宋体" w:cs="宋体"/>
          <w:color w:val="auto"/>
          <w:highlight w:val="none"/>
          <w:u w:val="none"/>
        </w:rPr>
        <w:t>项目理解；</w:t>
      </w:r>
    </w:p>
    <w:p w14:paraId="5C91B80E">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Style w:val="23"/>
          <w:rFonts w:hint="eastAsia" w:ascii="宋体" w:hAnsi="宋体" w:cs="宋体"/>
          <w:color w:val="auto"/>
          <w:highlight w:val="none"/>
          <w:u w:val="none"/>
        </w:rPr>
        <w:t>重难点分析及对策措施；</w:t>
      </w:r>
    </w:p>
    <w:p w14:paraId="0DC3375D">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技术方案；</w:t>
      </w:r>
    </w:p>
    <w:p w14:paraId="016D118E">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进度保障措施；</w:t>
      </w:r>
    </w:p>
    <w:p w14:paraId="1ACCB45B">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质量保障措施</w:t>
      </w:r>
      <w:r>
        <w:rPr>
          <w:rFonts w:hint="eastAsia" w:ascii="宋体" w:hAnsi="宋体" w:cs="宋体"/>
          <w:highlight w:val="none"/>
          <w:lang w:eastAsia="zh-CN"/>
        </w:rPr>
        <w:t>；</w:t>
      </w:r>
    </w:p>
    <w:p w14:paraId="5E7109BB">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安全保障措施；</w:t>
      </w:r>
    </w:p>
    <w:p w14:paraId="31C5CD54">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保密措施；</w:t>
      </w:r>
    </w:p>
    <w:p w14:paraId="79CA479D">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合理化建议；</w:t>
      </w:r>
    </w:p>
    <w:p w14:paraId="72712C11">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投入设备；</w:t>
      </w:r>
    </w:p>
    <w:p w14:paraId="06267A4C">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体系认证；</w:t>
      </w:r>
    </w:p>
    <w:p w14:paraId="51FA567A">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相关科研能力；</w:t>
      </w:r>
    </w:p>
    <w:p w14:paraId="7DC00121">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服务承诺；</w:t>
      </w:r>
    </w:p>
    <w:p w14:paraId="422A44F1">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项目负责人一览表（格式见第六章）；</w:t>
      </w:r>
    </w:p>
    <w:p w14:paraId="1BDE59B1">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拟投入实施的团队人员配置（格式见第六章）；</w:t>
      </w:r>
    </w:p>
    <w:p w14:paraId="589B18BA">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技术响应表（格式见第六章）；</w:t>
      </w:r>
    </w:p>
    <w:p w14:paraId="089EAADF">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Style w:val="27"/>
          <w:rFonts w:ascii="宋体" w:hAnsi="宋体" w:cs="Times New Roman"/>
          <w:highlight w:val="none"/>
        </w:rPr>
      </w:pPr>
      <w:r>
        <w:rPr>
          <w:rStyle w:val="27"/>
          <w:rFonts w:hint="eastAsia" w:ascii="宋体" w:hAnsi="宋体" w:cs="Times New Roman"/>
          <w:highlight w:val="none"/>
        </w:rPr>
        <w:t>商务响应表（格式见第六章）；</w:t>
      </w:r>
    </w:p>
    <w:p w14:paraId="5B197B3A">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firstLine="420" w:firstLineChars="200"/>
        <w:jc w:val="left"/>
        <w:textAlignment w:val="auto"/>
        <w:rPr>
          <w:rStyle w:val="27"/>
          <w:rFonts w:ascii="宋体" w:hAnsi="宋体" w:cs="Times New Roman"/>
          <w:highlight w:val="none"/>
        </w:rPr>
      </w:pPr>
      <w:r>
        <w:rPr>
          <w:rStyle w:val="27"/>
          <w:rFonts w:hint="eastAsia" w:ascii="宋体" w:hAnsi="宋体" w:cs="Times New Roman"/>
          <w:highlight w:val="none"/>
          <w:lang w:val="en-US" w:eastAsia="zh-CN"/>
        </w:rPr>
        <w:t>类似</w:t>
      </w:r>
      <w:r>
        <w:rPr>
          <w:rStyle w:val="27"/>
          <w:rFonts w:hint="eastAsia" w:ascii="宋体" w:hAnsi="宋体" w:cs="Times New Roman"/>
          <w:highlight w:val="none"/>
        </w:rPr>
        <w:t>项目实施情况一览表（格式见第六章）；</w:t>
      </w:r>
    </w:p>
    <w:p w14:paraId="2CB7BD34">
      <w:pPr>
        <w:numPr>
          <w:ilvl w:val="0"/>
          <w:numId w:val="5"/>
        </w:numPr>
        <w:adjustRightInd w:val="0"/>
        <w:snapToGrid w:val="0"/>
        <w:spacing w:line="360" w:lineRule="exact"/>
        <w:ind w:left="840" w:leftChars="0" w:firstLineChars="0"/>
        <w:jc w:val="left"/>
        <w:rPr>
          <w:rStyle w:val="27"/>
          <w:rFonts w:ascii="宋体" w:hAnsi="宋体" w:cs="Times New Roman"/>
          <w:highlight w:val="none"/>
        </w:rPr>
      </w:pPr>
      <w:r>
        <w:rPr>
          <w:rStyle w:val="27"/>
          <w:rFonts w:hint="eastAsia" w:ascii="宋体" w:hAnsi="宋体" w:cs="Times New Roman"/>
          <w:highlight w:val="none"/>
        </w:rPr>
        <w:t>根据评分表及项目需求情况，自行添加相关表格及资料。</w:t>
      </w:r>
    </w:p>
    <w:p w14:paraId="0C56A613">
      <w:pPr>
        <w:tabs>
          <w:tab w:val="left" w:pos="533"/>
        </w:tabs>
        <w:adjustRightInd w:val="0"/>
        <w:snapToGrid w:val="0"/>
        <w:spacing w:line="360" w:lineRule="exact"/>
        <w:ind w:firstLine="422" w:firstLineChars="200"/>
        <w:jc w:val="left"/>
        <w:rPr>
          <w:rFonts w:ascii="宋体" w:hAnsi="宋体" w:cs="宋体"/>
        </w:rPr>
      </w:pPr>
      <w:r>
        <w:rPr>
          <w:rFonts w:hint="eastAsia" w:ascii="宋体" w:hAnsi="宋体" w:cs="宋体"/>
          <w:b/>
        </w:rPr>
        <w:t>3.报价文件包括：</w:t>
      </w:r>
    </w:p>
    <w:p w14:paraId="1332F80D">
      <w:pPr>
        <w:numPr>
          <w:ilvl w:val="0"/>
          <w:numId w:val="6"/>
        </w:numPr>
        <w:snapToGrid w:val="0"/>
        <w:spacing w:line="360" w:lineRule="exact"/>
        <w:ind w:left="840" w:leftChars="0" w:firstLineChars="0"/>
        <w:jc w:val="left"/>
        <w:rPr>
          <w:rFonts w:ascii="宋体" w:hAnsi="宋体" w:cs="宋体"/>
        </w:rPr>
      </w:pPr>
      <w:r>
        <w:rPr>
          <w:rFonts w:hint="eastAsia" w:ascii="宋体" w:hAnsi="宋体" w:cs="宋体"/>
        </w:rPr>
        <w:t>开标一览表（格式见第六章）；</w:t>
      </w:r>
    </w:p>
    <w:p w14:paraId="7971FE1A">
      <w:pPr>
        <w:numPr>
          <w:ilvl w:val="0"/>
          <w:numId w:val="6"/>
        </w:numPr>
        <w:snapToGrid w:val="0"/>
        <w:spacing w:line="360" w:lineRule="exact"/>
        <w:ind w:left="840" w:leftChars="0" w:firstLineChars="0"/>
        <w:jc w:val="left"/>
        <w:rPr>
          <w:rFonts w:ascii="宋体" w:hAnsi="宋体" w:cs="宋体"/>
        </w:rPr>
      </w:pPr>
      <w:r>
        <w:rPr>
          <w:rFonts w:hint="eastAsia" w:ascii="宋体" w:hAnsi="宋体" w:cs="宋体"/>
        </w:rPr>
        <w:t>报价明细表（格式见第六章）；</w:t>
      </w:r>
    </w:p>
    <w:p w14:paraId="3F42EB1B">
      <w:pPr>
        <w:numPr>
          <w:ilvl w:val="0"/>
          <w:numId w:val="6"/>
        </w:numPr>
        <w:snapToGrid w:val="0"/>
        <w:spacing w:line="360" w:lineRule="exact"/>
        <w:ind w:left="840" w:leftChars="0" w:firstLineChars="0"/>
        <w:jc w:val="left"/>
        <w:rPr>
          <w:rFonts w:ascii="宋体" w:hAnsi="宋体" w:cs="宋体"/>
        </w:rPr>
      </w:pPr>
      <w:r>
        <w:rPr>
          <w:rFonts w:hint="eastAsia" w:ascii="宋体" w:hAnsi="宋体" w:cs="宋体"/>
        </w:rPr>
        <w:t>投标人针对报价的说明或证明材料。</w:t>
      </w:r>
    </w:p>
    <w:p w14:paraId="453FFF5B">
      <w:pPr>
        <w:pageBreakBefore w:val="0"/>
        <w:kinsoku/>
        <w:wordWrap/>
        <w:overflowPunct/>
        <w:topLinePunct w:val="0"/>
        <w:bidi w:val="0"/>
        <w:adjustRightInd w:val="0"/>
        <w:snapToGrid w:val="0"/>
        <w:spacing w:line="400" w:lineRule="exact"/>
        <w:ind w:left="0" w:right="0"/>
        <w:jc w:val="left"/>
        <w:rPr>
          <w:rFonts w:ascii="宋体" w:hAnsi="宋体" w:cs="宋体"/>
          <w:b/>
        </w:rPr>
      </w:pPr>
      <w:r>
        <w:rPr>
          <w:rFonts w:hint="eastAsia" w:ascii="宋体" w:hAnsi="宋体" w:cs="宋体"/>
          <w:b/>
        </w:rPr>
        <w:t>（二）投标文件的语言及度量衡单位</w:t>
      </w:r>
    </w:p>
    <w:p w14:paraId="49825569">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▲1.投标文件以及投标人与采购人和采购代理机构就有关投标事宜的所有来往函电，均应以中文书写。</w:t>
      </w:r>
    </w:p>
    <w:p w14:paraId="19917397">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▲2.投标文件所使用的度量衡单位，均采用我国法定计量单位。</w:t>
      </w:r>
      <w:bookmarkStart w:id="72" w:name="_Toc177870548"/>
      <w:bookmarkStart w:id="73" w:name="_Toc177824945"/>
      <w:bookmarkStart w:id="74" w:name="_Toc177825126"/>
      <w:bookmarkStart w:id="75" w:name="_Toc177824878"/>
    </w:p>
    <w:p w14:paraId="7C2EBAF3">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3.对不同文字文本投标文件的解释发生异议的，以中文文本为准。</w:t>
      </w:r>
    </w:p>
    <w:bookmarkEnd w:id="72"/>
    <w:bookmarkEnd w:id="73"/>
    <w:bookmarkEnd w:id="74"/>
    <w:bookmarkEnd w:id="75"/>
    <w:p w14:paraId="09DC80DE">
      <w:pPr>
        <w:pageBreakBefore w:val="0"/>
        <w:kinsoku/>
        <w:wordWrap/>
        <w:overflowPunct/>
        <w:topLinePunct w:val="0"/>
        <w:bidi w:val="0"/>
        <w:adjustRightInd w:val="0"/>
        <w:snapToGrid w:val="0"/>
        <w:spacing w:line="400" w:lineRule="exact"/>
        <w:ind w:left="0" w:right="0"/>
        <w:jc w:val="left"/>
        <w:rPr>
          <w:rFonts w:ascii="宋体" w:hAnsi="宋体" w:cs="宋体"/>
          <w:b/>
        </w:rPr>
      </w:pPr>
      <w:r>
        <w:rPr>
          <w:rFonts w:hint="eastAsia" w:ascii="宋体" w:hAnsi="宋体" w:cs="宋体"/>
          <w:b/>
        </w:rPr>
        <w:t>（三）投标报价</w:t>
      </w:r>
    </w:p>
    <w:p w14:paraId="25BDDBB5">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1.投标报价应按招标文件中相关附表格式填写。</w:t>
      </w:r>
    </w:p>
    <w:p w14:paraId="21AC7F1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▲2.招标采购单位不接受备选方案。</w:t>
      </w:r>
    </w:p>
    <w:p w14:paraId="778E3434">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▲3.投标文件只允许有一个报价，有选择的报价将不予接受。</w:t>
      </w:r>
    </w:p>
    <w:p w14:paraId="6B33D08A">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投标人应充分考虑因各种原因可能发生的费用。对没有填报的费用，采购人认为所有费用已包含在报价中，除合同条款另有规定外，不得进行调整。</w:t>
      </w:r>
    </w:p>
    <w:p w14:paraId="36ED3A14">
      <w:pPr>
        <w:pageBreakBefore w:val="0"/>
        <w:kinsoku/>
        <w:wordWrap/>
        <w:overflowPunct/>
        <w:topLinePunct w:val="0"/>
        <w:bidi w:val="0"/>
        <w:adjustRightInd w:val="0"/>
        <w:snapToGrid w:val="0"/>
        <w:spacing w:line="400" w:lineRule="exact"/>
        <w:ind w:left="0" w:right="0"/>
        <w:jc w:val="left"/>
        <w:rPr>
          <w:rFonts w:ascii="宋体" w:hAnsi="宋体" w:cs="宋体"/>
          <w:b/>
        </w:rPr>
      </w:pPr>
      <w:r>
        <w:rPr>
          <w:rFonts w:hint="eastAsia" w:ascii="宋体" w:hAnsi="宋体" w:cs="宋体"/>
          <w:b/>
        </w:rPr>
        <w:t>（四）投标文件的有效期</w:t>
      </w:r>
    </w:p>
    <w:p w14:paraId="699C6D6F">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▲1.自投标截止日起</w:t>
      </w:r>
      <w:r>
        <w:rPr>
          <w:rFonts w:hint="eastAsia" w:ascii="宋体" w:hAnsi="宋体" w:cs="宋体"/>
          <w:u w:val="single"/>
        </w:rPr>
        <w:t>90天</w:t>
      </w:r>
      <w:r>
        <w:rPr>
          <w:rFonts w:hint="eastAsia" w:ascii="宋体" w:hAnsi="宋体" w:cs="宋体"/>
        </w:rPr>
        <w:t>投标书应保持有效。有效期短于这个规定期限的投标将被拒绝。</w:t>
      </w:r>
    </w:p>
    <w:p w14:paraId="1BF2A87F">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2.在特殊情况下，采购人可与投标人协商延长投标书的有效期，这种要求和答复均以书面形式进行。</w:t>
      </w:r>
      <w:bookmarkStart w:id="76" w:name="_Toc177870549"/>
      <w:bookmarkStart w:id="77" w:name="_Toc177824946"/>
      <w:bookmarkStart w:id="78" w:name="_Toc177825127"/>
      <w:bookmarkStart w:id="79" w:name="_Toc177824879"/>
    </w:p>
    <w:p w14:paraId="2E024154">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3.投标人可拒绝接受延期要求而不会导致投标保证金被不予返还。同意延长有效期的投标人需要相应延长投标保证金的有效期，但不能修改投标文件。</w:t>
      </w:r>
      <w:bookmarkEnd w:id="76"/>
      <w:bookmarkEnd w:id="77"/>
      <w:bookmarkEnd w:id="78"/>
      <w:bookmarkEnd w:id="79"/>
      <w:r>
        <w:rPr>
          <w:rFonts w:hint="eastAsia" w:ascii="宋体" w:hAnsi="宋体" w:cs="宋体"/>
        </w:rPr>
        <w:t xml:space="preserve"> </w:t>
      </w:r>
    </w:p>
    <w:p w14:paraId="74CBE9E7">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4.中标人的投标文件自开标之日起至合同履行完毕止均应保持有效。</w:t>
      </w:r>
    </w:p>
    <w:p w14:paraId="444CF636">
      <w:pPr>
        <w:pageBreakBefore w:val="0"/>
        <w:kinsoku/>
        <w:wordWrap/>
        <w:overflowPunct/>
        <w:topLinePunct w:val="0"/>
        <w:bidi w:val="0"/>
        <w:adjustRightInd w:val="0"/>
        <w:snapToGrid w:val="0"/>
        <w:spacing w:line="400" w:lineRule="exact"/>
        <w:ind w:left="0" w:right="0"/>
        <w:jc w:val="left"/>
        <w:rPr>
          <w:rFonts w:ascii="宋体" w:hAnsi="宋体" w:cs="宋体"/>
          <w:b/>
        </w:rPr>
      </w:pPr>
      <w:bookmarkStart w:id="80" w:name="_Toc177870550"/>
      <w:bookmarkStart w:id="81" w:name="_Toc177824880"/>
      <w:bookmarkStart w:id="82" w:name="_Toc177825128"/>
      <w:bookmarkStart w:id="83" w:name="_Toc177824947"/>
      <w:r>
        <w:rPr>
          <w:rFonts w:hint="eastAsia" w:ascii="宋体" w:hAnsi="宋体" w:cs="宋体"/>
          <w:b/>
        </w:rPr>
        <w:t>（五）投标保证金</w:t>
      </w:r>
      <w:bookmarkEnd w:id="80"/>
      <w:bookmarkEnd w:id="81"/>
      <w:bookmarkEnd w:id="82"/>
      <w:bookmarkEnd w:id="83"/>
    </w:p>
    <w:p w14:paraId="0BDA7E15">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无。</w:t>
      </w:r>
    </w:p>
    <w:p w14:paraId="3E174AE1">
      <w:pPr>
        <w:pageBreakBefore w:val="0"/>
        <w:kinsoku/>
        <w:wordWrap/>
        <w:overflowPunct/>
        <w:topLinePunct w:val="0"/>
        <w:bidi w:val="0"/>
        <w:spacing w:line="400" w:lineRule="exact"/>
        <w:ind w:left="0" w:right="0"/>
        <w:rPr>
          <w:rFonts w:ascii="宋体" w:hAnsi="宋体" w:cs="宋体"/>
          <w:b/>
          <w:szCs w:val="20"/>
        </w:rPr>
      </w:pPr>
      <w:bookmarkStart w:id="84" w:name="_Toc177824881"/>
      <w:bookmarkStart w:id="85" w:name="_Toc177825129"/>
      <w:bookmarkStart w:id="86" w:name="_Toc177870551"/>
      <w:bookmarkStart w:id="87" w:name="_Toc177824948"/>
      <w:r>
        <w:rPr>
          <w:rFonts w:hint="eastAsia" w:ascii="宋体" w:hAnsi="宋体" w:cs="宋体"/>
          <w:b/>
        </w:rPr>
        <w:t>（六）</w:t>
      </w:r>
      <w:r>
        <w:rPr>
          <w:rFonts w:hint="eastAsia" w:ascii="宋体" w:hAnsi="宋体" w:cs="宋体"/>
          <w:b/>
          <w:szCs w:val="20"/>
        </w:rPr>
        <w:t>投标文件编制</w:t>
      </w:r>
    </w:p>
    <w:p w14:paraId="6783FFF4">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1.本项目通过“政采云平台（www.zcygov.cn）”实行在线投标响应（电子投标）。投标人应通过“政采云电子交易客户端”，并按照本招标文件和“政府采购云平台”的要求编制并加密投标文件。</w:t>
      </w:r>
    </w:p>
    <w:p w14:paraId="643208B1">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73594D33">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1ED7B1D2">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4.投标文件内容不完整、编排混乱导致投标文件被误读、漏读或者查找不到相关内容的，是投标人的责任。</w:t>
      </w:r>
    </w:p>
    <w:p w14:paraId="52068573">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5.投标文件因字迹潦草或表达不清所引起的后果由投标人负责。</w:t>
      </w:r>
    </w:p>
    <w:p w14:paraId="5731B74D">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39BE6F79">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7.投标文件的签章</w:t>
      </w:r>
    </w:p>
    <w:p w14:paraId="6C4EC911">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7.1 投标文件的签章见《前附表》；</w:t>
      </w:r>
    </w:p>
    <w:p w14:paraId="2E0D52F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7.2 投标文件应由投标人法定代表人或其授权代表签字（或盖章），并时加盖投标人公章。</w:t>
      </w:r>
    </w:p>
    <w:p w14:paraId="5E559CE9">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7.3 参与在线投标时如遇平台技术问题详询400-881-7190。</w:t>
      </w:r>
    </w:p>
    <w:p w14:paraId="1449C473">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8.投标文件的形式</w:t>
      </w:r>
    </w:p>
    <w:p w14:paraId="1F43AE78">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8.1 投标文件的形式：见《前附表》；</w:t>
      </w:r>
    </w:p>
    <w:p w14:paraId="52F717CE">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8.2 “电子加密投标文件”：“电子加密投标文件”是指通过“政采云电子交易客户端”完成投标文件编制后生成并加密的数据电文形式的投标文件。</w:t>
      </w:r>
    </w:p>
    <w:p w14:paraId="218A7597">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8.3 “备份投标文件”：“备份投标文件”是指与“电子加密投标文件”同时生成的数据电文形式的电子文件（备份标书），其他方式编制的“备份投标文件”视为无效的“备份投标文件”。</w:t>
      </w:r>
    </w:p>
    <w:p w14:paraId="5A8ABC7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9.投标文件的份数</w:t>
      </w:r>
    </w:p>
    <w:p w14:paraId="72C60713">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投标文件的份数：见《前附表》。</w:t>
      </w:r>
    </w:p>
    <w:p w14:paraId="1464FC37">
      <w:pPr>
        <w:pageBreakBefore w:val="0"/>
        <w:kinsoku/>
        <w:wordWrap/>
        <w:overflowPunct/>
        <w:topLinePunct w:val="0"/>
        <w:bidi w:val="0"/>
        <w:spacing w:line="400" w:lineRule="exact"/>
        <w:ind w:left="0" w:right="0"/>
        <w:rPr>
          <w:rFonts w:ascii="宋体" w:hAnsi="宋体" w:cs="宋体"/>
          <w:b/>
          <w:szCs w:val="20"/>
        </w:rPr>
      </w:pPr>
      <w:r>
        <w:rPr>
          <w:rFonts w:hint="eastAsia" w:ascii="宋体" w:hAnsi="宋体" w:cs="宋体"/>
          <w:b/>
          <w:szCs w:val="20"/>
        </w:rPr>
        <w:t>（七）投标文件的递交</w:t>
      </w:r>
    </w:p>
    <w:p w14:paraId="4E0B5339">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1.投标文件的上传、递交</w:t>
      </w:r>
    </w:p>
    <w:p w14:paraId="3E624071">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“投标文件”的上传、递交：见《前附表》。</w:t>
      </w:r>
    </w:p>
    <w:p w14:paraId="1D306529">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2.“电子加密投标文件”解密和异常情况处理</w:t>
      </w:r>
    </w:p>
    <w:p w14:paraId="40CCC028">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“电子加密投标文件”解密：见《前附表》。</w:t>
      </w:r>
    </w:p>
    <w:p w14:paraId="7E5BDBA1">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3.投标文件的补充、修改或撤回</w:t>
      </w:r>
    </w:p>
    <w:p w14:paraId="225FFAEF">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161BC1D5">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3.2 投标截止时间后，投标人不得撤回、修改《投标文件》。</w:t>
      </w:r>
    </w:p>
    <w:p w14:paraId="43D7367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4.投标文件的备选方案</w:t>
      </w:r>
    </w:p>
    <w:p w14:paraId="39D2409F">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投标人不得递交任何的投标备选（替代）方案，否则其投标文件将作无效标处理。与“电子加密投标文件”同时生成的“备份投标文件”不是投标备选方案。</w:t>
      </w:r>
    </w:p>
    <w:bookmarkEnd w:id="84"/>
    <w:bookmarkEnd w:id="85"/>
    <w:bookmarkEnd w:id="86"/>
    <w:bookmarkEnd w:id="87"/>
    <w:p w14:paraId="4CD5D173">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bookmarkStart w:id="88" w:name="_Toc177870552"/>
      <w:r>
        <w:rPr>
          <w:rFonts w:hint="eastAsia" w:ascii="宋体" w:hAnsi="宋体" w:cs="宋体"/>
        </w:rPr>
        <w:t>5.投标截止期</w:t>
      </w:r>
    </w:p>
    <w:p w14:paraId="42ED297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5.1投标人应按前附表规定的时间、地点将投标文件递交给采购代理机构，采购代理机构将拒绝接受逾期送达的投标文件。</w:t>
      </w:r>
    </w:p>
    <w:p w14:paraId="0BF4A3CD">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5.2 采购人可以按本须知规定以补充通知的方式，酌情延长递交投标文件的截止日期。在上述情况下，采购人与投标人以前在投标截止期方面的全部权利、责任和义务，将适用于延长至新的投标截止期。</w:t>
      </w:r>
      <w:bookmarkEnd w:id="88"/>
      <w:bookmarkStart w:id="89" w:name="_Toc107820050"/>
      <w:bookmarkStart w:id="90" w:name="_Toc170792769"/>
    </w:p>
    <w:bookmarkEnd w:id="89"/>
    <w:bookmarkEnd w:id="90"/>
    <w:p w14:paraId="2A0DD88D">
      <w:pPr>
        <w:pStyle w:val="4"/>
        <w:keepNext/>
        <w:keepLines/>
        <w:pageBreakBefore w:val="0"/>
        <w:widowControl w:val="0"/>
        <w:kinsoku/>
        <w:wordWrap/>
        <w:overflowPunct/>
        <w:topLinePunct w:val="0"/>
        <w:autoSpaceDE/>
        <w:autoSpaceDN/>
        <w:bidi w:val="0"/>
        <w:adjustRightInd/>
        <w:snapToGrid/>
        <w:spacing w:line="440" w:lineRule="exact"/>
        <w:ind w:left="0" w:right="0"/>
        <w:textAlignment w:val="auto"/>
        <w:rPr>
          <w:rFonts w:ascii="宋体" w:hAnsi="宋体" w:eastAsia="宋体" w:cs="宋体"/>
          <w:sz w:val="24"/>
          <w:szCs w:val="24"/>
        </w:rPr>
      </w:pPr>
      <w:bookmarkStart w:id="91" w:name="_Toc17117"/>
      <w:bookmarkStart w:id="92" w:name="_Toc4085"/>
      <w:bookmarkStart w:id="93" w:name="_Toc1990"/>
      <w:bookmarkStart w:id="94" w:name="_Toc9358"/>
      <w:bookmarkStart w:id="95" w:name="_Toc4662"/>
      <w:bookmarkStart w:id="96" w:name="_Toc317341941"/>
      <w:bookmarkStart w:id="97" w:name="_Toc20939"/>
      <w:bookmarkStart w:id="98" w:name="_Toc12638"/>
      <w:bookmarkStart w:id="99" w:name="_Toc222632758"/>
      <w:bookmarkStart w:id="100" w:name="_Toc15896"/>
      <w:r>
        <w:rPr>
          <w:rFonts w:hint="eastAsia" w:ascii="宋体" w:hAnsi="宋体" w:eastAsia="宋体" w:cs="宋体"/>
          <w:sz w:val="24"/>
          <w:szCs w:val="24"/>
        </w:rPr>
        <w:t>四、开标</w:t>
      </w:r>
      <w:bookmarkEnd w:id="91"/>
      <w:bookmarkEnd w:id="92"/>
      <w:bookmarkEnd w:id="93"/>
      <w:bookmarkEnd w:id="94"/>
      <w:bookmarkEnd w:id="95"/>
      <w:bookmarkEnd w:id="96"/>
      <w:bookmarkEnd w:id="97"/>
      <w:bookmarkEnd w:id="98"/>
      <w:bookmarkEnd w:id="99"/>
      <w:bookmarkEnd w:id="100"/>
    </w:p>
    <w:p w14:paraId="71421D1C">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bookmarkStart w:id="101" w:name="_Toc317341942"/>
      <w:bookmarkStart w:id="102" w:name="_Toc222632759"/>
      <w:r>
        <w:rPr>
          <w:rFonts w:hint="eastAsia" w:ascii="宋体" w:hAnsi="宋体" w:cs="宋体"/>
        </w:rPr>
        <w:t>（一）开标形式</w:t>
      </w:r>
    </w:p>
    <w:p w14:paraId="77D05826">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 xml:space="preserve"> 采购组织机构将按照招标文件规定的时间通过“政采云平台”组织开标、开启投标文件，所有投标人均应当准时在线参加。</w:t>
      </w:r>
    </w:p>
    <w:p w14:paraId="5C86EC97">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（二） 开标准备</w:t>
      </w:r>
    </w:p>
    <w:p w14:paraId="764D661A">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1.开标的准备工作由采购组织机构负责落实；</w:t>
      </w:r>
    </w:p>
    <w:p w14:paraId="52118392">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858B2F0">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（三）开标流程</w:t>
      </w:r>
    </w:p>
    <w:p w14:paraId="65E67E6A">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1.开标、开启投标文件时，电子交易平台自动提取所有投标、投标文件，提示采购组织机构和投标人按招标文件规定的方式和时间在线解密。给予投标人在线解密的时间为30分钟。</w:t>
      </w:r>
    </w:p>
    <w:p w14:paraId="402F9047">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68A81026">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3.投标文件解密后，采购人及采购代理机构将对依法对投标人的资格进行审查，资格审查结束后进入符合性审查和资信技术的评审工作。</w:t>
      </w:r>
    </w:p>
    <w:p w14:paraId="7D1F67A8">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4.符合性审查、资信技术评审结束后，开启报价文件。</w:t>
      </w:r>
    </w:p>
    <w:p w14:paraId="67875AE2">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5.评标委员会对报价的合理性、准确性等进行审查核实。</w:t>
      </w:r>
    </w:p>
    <w:p w14:paraId="47F61D6F">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6.评标委员会完成评审后，通过电子交易平台向采购人及其委托的代理机构提交评审报告。同时打印纸质评审报告签署后由采购代理机构保存。</w:t>
      </w:r>
    </w:p>
    <w:p w14:paraId="6EE6D044">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7.评审结束后，代理机构通过电子交易平台或发送邮件形式向各投标人公布中标（成交）候选投标人名单，及采购人最终确定中标或中标人名单的时间和公告方式等。</w:t>
      </w:r>
    </w:p>
    <w:p w14:paraId="1C2CF7A4">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8.开标会议结束。</w:t>
      </w:r>
    </w:p>
    <w:p w14:paraId="249203DE">
      <w:pPr>
        <w:pageBreakBefore w:val="0"/>
        <w:kinsoku/>
        <w:wordWrap/>
        <w:overflowPunct/>
        <w:topLinePunct w:val="0"/>
        <w:bidi w:val="0"/>
        <w:spacing w:line="400" w:lineRule="exact"/>
        <w:ind w:left="0" w:right="0" w:firstLine="373" w:firstLineChars="177"/>
        <w:jc w:val="left"/>
        <w:rPr>
          <w:rFonts w:ascii="宋体" w:hAnsi="宋体" w:cs="宋体"/>
          <w:b/>
        </w:rPr>
      </w:pPr>
      <w:r>
        <w:rPr>
          <w:rFonts w:hint="eastAsia" w:ascii="宋体" w:hAnsi="宋体" w:cs="宋体"/>
          <w:b/>
          <w:kern w:val="0"/>
        </w:rPr>
        <w:t>特别说明：如遇“政府采购云平台”电子化开标或评审程序调整的，按调整后程序执行。</w:t>
      </w:r>
    </w:p>
    <w:p w14:paraId="16A63648">
      <w:pPr>
        <w:pStyle w:val="4"/>
        <w:keepNext/>
        <w:keepLines/>
        <w:pageBreakBefore w:val="0"/>
        <w:widowControl w:val="0"/>
        <w:numPr>
          <w:ilvl w:val="0"/>
          <w:numId w:val="7"/>
        </w:numPr>
        <w:kinsoku/>
        <w:wordWrap/>
        <w:overflowPunct/>
        <w:topLinePunct w:val="0"/>
        <w:autoSpaceDE/>
        <w:autoSpaceDN/>
        <w:bidi w:val="0"/>
        <w:adjustRightInd/>
        <w:snapToGrid/>
        <w:spacing w:line="440" w:lineRule="exact"/>
        <w:ind w:left="0" w:right="0"/>
        <w:textAlignment w:val="auto"/>
        <w:rPr>
          <w:rFonts w:ascii="宋体" w:hAnsi="宋体" w:eastAsia="宋体" w:cs="宋体"/>
          <w:sz w:val="24"/>
          <w:szCs w:val="24"/>
        </w:rPr>
      </w:pPr>
      <w:bookmarkStart w:id="103" w:name="_Toc25724"/>
      <w:bookmarkStart w:id="104" w:name="_Toc26351"/>
      <w:bookmarkStart w:id="105" w:name="_Toc13947"/>
      <w:bookmarkStart w:id="106" w:name="_Toc13446"/>
      <w:bookmarkStart w:id="107" w:name="_Toc17668"/>
      <w:bookmarkStart w:id="108" w:name="_Toc24057"/>
      <w:bookmarkStart w:id="109" w:name="_Toc2638"/>
      <w:bookmarkStart w:id="110" w:name="_Toc29731"/>
      <w:r>
        <w:rPr>
          <w:rFonts w:hint="eastAsia" w:ascii="宋体" w:hAnsi="宋体" w:eastAsia="宋体" w:cs="宋体"/>
          <w:sz w:val="24"/>
          <w:szCs w:val="24"/>
        </w:rPr>
        <w:t>资格审查</w:t>
      </w:r>
      <w:bookmarkEnd w:id="103"/>
      <w:bookmarkEnd w:id="104"/>
      <w:bookmarkEnd w:id="105"/>
      <w:bookmarkEnd w:id="106"/>
      <w:bookmarkEnd w:id="107"/>
      <w:bookmarkEnd w:id="108"/>
      <w:bookmarkEnd w:id="109"/>
    </w:p>
    <w:p w14:paraId="13870979">
      <w:pPr>
        <w:pStyle w:val="9"/>
        <w:pageBreakBefore w:val="0"/>
        <w:numPr>
          <w:ilvl w:val="0"/>
          <w:numId w:val="8"/>
        </w:numPr>
        <w:kinsoku/>
        <w:wordWrap/>
        <w:overflowPunct/>
        <w:topLinePunct w:val="0"/>
        <w:bidi w:val="0"/>
        <w:adjustRightInd w:val="0"/>
        <w:snapToGrid w:val="0"/>
        <w:spacing w:beforeLines="0" w:afterLines="0" w:line="400" w:lineRule="exact"/>
        <w:ind w:left="0" w:right="0"/>
        <w:rPr>
          <w:rFonts w:hAnsi="宋体" w:cs="宋体"/>
          <w:bCs/>
          <w:sz w:val="21"/>
        </w:rPr>
      </w:pPr>
      <w:r>
        <w:rPr>
          <w:rFonts w:hint="eastAsia" w:hAnsi="宋体" w:cs="宋体"/>
          <w:bCs/>
          <w:sz w:val="21"/>
        </w:rPr>
        <w:t>资格审查人员</w:t>
      </w:r>
    </w:p>
    <w:p w14:paraId="430A263F">
      <w:pPr>
        <w:pStyle w:val="9"/>
        <w:pageBreakBefore w:val="0"/>
        <w:kinsoku/>
        <w:wordWrap/>
        <w:overflowPunct/>
        <w:topLinePunct w:val="0"/>
        <w:bidi w:val="0"/>
        <w:adjustRightInd w:val="0"/>
        <w:snapToGrid w:val="0"/>
        <w:spacing w:beforeLines="0" w:afterLines="0" w:line="400" w:lineRule="exact"/>
        <w:ind w:left="0" w:right="0" w:firstLine="420" w:firstLineChars="200"/>
        <w:rPr>
          <w:rFonts w:hAnsi="宋体" w:cs="宋体"/>
          <w:bCs/>
          <w:sz w:val="21"/>
        </w:rPr>
      </w:pPr>
      <w:r>
        <w:rPr>
          <w:rFonts w:hint="eastAsia" w:hAnsi="宋体" w:cs="宋体"/>
          <w:bCs/>
          <w:sz w:val="21"/>
        </w:rPr>
        <w:t>由采购人及采购代理机构负责。</w:t>
      </w:r>
    </w:p>
    <w:p w14:paraId="15455500">
      <w:pPr>
        <w:pStyle w:val="9"/>
        <w:pageBreakBefore w:val="0"/>
        <w:numPr>
          <w:ilvl w:val="0"/>
          <w:numId w:val="8"/>
        </w:numPr>
        <w:kinsoku/>
        <w:wordWrap/>
        <w:overflowPunct/>
        <w:topLinePunct w:val="0"/>
        <w:bidi w:val="0"/>
        <w:adjustRightInd w:val="0"/>
        <w:snapToGrid w:val="0"/>
        <w:spacing w:beforeLines="0" w:afterLines="0" w:line="400" w:lineRule="exact"/>
        <w:ind w:left="0" w:right="0"/>
        <w:rPr>
          <w:rFonts w:hAnsi="宋体" w:cs="宋体"/>
          <w:bCs/>
          <w:sz w:val="21"/>
        </w:rPr>
      </w:pPr>
      <w:r>
        <w:rPr>
          <w:rFonts w:hint="eastAsia" w:hAnsi="宋体" w:cs="宋体"/>
          <w:bCs/>
          <w:sz w:val="21"/>
        </w:rPr>
        <w:t>资格审查依据</w:t>
      </w:r>
    </w:p>
    <w:p w14:paraId="31C7ECF7">
      <w:pPr>
        <w:pStyle w:val="9"/>
        <w:pageBreakBefore w:val="0"/>
        <w:kinsoku/>
        <w:wordWrap/>
        <w:overflowPunct/>
        <w:topLinePunct w:val="0"/>
        <w:bidi w:val="0"/>
        <w:adjustRightInd w:val="0"/>
        <w:snapToGrid w:val="0"/>
        <w:spacing w:beforeLines="0" w:afterLines="0" w:line="400" w:lineRule="exact"/>
        <w:ind w:left="0" w:right="0" w:firstLine="420"/>
        <w:rPr>
          <w:rFonts w:hAnsi="宋体" w:cs="宋体"/>
          <w:bCs/>
          <w:sz w:val="21"/>
        </w:rPr>
      </w:pPr>
      <w:r>
        <w:rPr>
          <w:rFonts w:hint="eastAsia" w:hAnsi="宋体" w:cs="宋体"/>
          <w:bCs/>
          <w:sz w:val="21"/>
        </w:rPr>
        <w:t>招标文件、投标人的资格证明文件、“信用中国”网站www.creditchina.gov.cn及“中国政府采购网”www.ccgp.gov.cn查询结果。</w:t>
      </w:r>
    </w:p>
    <w:p w14:paraId="44A2E447">
      <w:pPr>
        <w:pStyle w:val="9"/>
        <w:pageBreakBefore w:val="0"/>
        <w:numPr>
          <w:ilvl w:val="0"/>
          <w:numId w:val="8"/>
        </w:numPr>
        <w:kinsoku/>
        <w:wordWrap/>
        <w:overflowPunct/>
        <w:topLinePunct w:val="0"/>
        <w:bidi w:val="0"/>
        <w:adjustRightInd w:val="0"/>
        <w:snapToGrid w:val="0"/>
        <w:spacing w:beforeLines="0" w:afterLines="0" w:line="400" w:lineRule="exact"/>
        <w:ind w:left="0" w:right="0"/>
        <w:rPr>
          <w:rFonts w:hAnsi="宋体" w:cs="宋体"/>
          <w:bCs/>
          <w:sz w:val="21"/>
        </w:rPr>
      </w:pPr>
      <w:r>
        <w:rPr>
          <w:rFonts w:hint="eastAsia" w:hAnsi="宋体" w:cs="宋体"/>
          <w:bCs/>
          <w:sz w:val="21"/>
        </w:rPr>
        <w:t>资格审查方法</w:t>
      </w:r>
    </w:p>
    <w:p w14:paraId="59535142">
      <w:pPr>
        <w:pageBreakBefore w:val="0"/>
        <w:numPr>
          <w:ilvl w:val="255"/>
          <w:numId w:val="0"/>
        </w:numPr>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1.审查投标人资格证明文件的完整性、符合性。</w:t>
      </w:r>
    </w:p>
    <w:p w14:paraId="4DEE580E">
      <w:pPr>
        <w:pageBreakBefore w:val="0"/>
        <w:kinsoku/>
        <w:wordWrap/>
        <w:overflowPunct/>
        <w:topLinePunct w:val="0"/>
        <w:bidi w:val="0"/>
        <w:spacing w:line="400" w:lineRule="exact"/>
        <w:ind w:left="0" w:right="0" w:firstLine="420"/>
        <w:rPr>
          <w:rFonts w:ascii="宋体" w:hAnsi="宋体" w:cs="宋体"/>
          <w:b/>
          <w:bCs/>
        </w:rPr>
      </w:pPr>
      <w:r>
        <w:rPr>
          <w:rFonts w:hint="eastAsia" w:ascii="宋体" w:hAnsi="宋体" w:cs="宋体"/>
          <w:b/>
          <w:bCs/>
          <w:kern w:val="0"/>
        </w:rPr>
        <w:t>2.</w:t>
      </w:r>
      <w:r>
        <w:rPr>
          <w:rFonts w:hint="eastAsia" w:ascii="宋体" w:hAnsi="宋体" w:cs="宋体"/>
          <w:b/>
          <w:bCs/>
        </w:rPr>
        <w:t>审查投标人的中小企业声明函时，出现填写错误的，按以下情形处理：</w:t>
      </w:r>
    </w:p>
    <w:p w14:paraId="0EB0854E">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25AC3FC7">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（2）投标人填写的行业不是采购文件明确的行业的，如采购文件明确的行业类型是租赁和商务服务业，投标人填写为制造业或其他行业，则</w:t>
      </w:r>
      <w:r>
        <w:rPr>
          <w:rFonts w:hint="eastAsia" w:ascii="宋体" w:hAnsi="宋体" w:cs="宋体"/>
          <w:b/>
          <w:bCs/>
          <w:kern w:val="0"/>
        </w:rPr>
        <w:t>作资格审查不通过处理（无效投标）</w:t>
      </w:r>
      <w:r>
        <w:rPr>
          <w:rFonts w:hint="eastAsia" w:ascii="宋体" w:hAnsi="宋体" w:cs="宋体"/>
          <w:b/>
          <w:bCs/>
        </w:rPr>
        <w:t>。</w:t>
      </w:r>
    </w:p>
    <w:p w14:paraId="0C023A27">
      <w:pPr>
        <w:pageBreakBefore w:val="0"/>
        <w:widowControl/>
        <w:kinsoku/>
        <w:wordWrap/>
        <w:overflowPunct/>
        <w:topLinePunct w:val="0"/>
        <w:bidi w:val="0"/>
        <w:spacing w:line="400" w:lineRule="exact"/>
        <w:ind w:left="0" w:right="0" w:firstLine="422" w:firstLineChars="200"/>
        <w:jc w:val="left"/>
        <w:rPr>
          <w:rFonts w:ascii="宋体" w:hAnsi="宋体" w:cs="宋体"/>
          <w:b/>
          <w:bCs/>
          <w:color w:val="000000"/>
          <w:kern w:val="0"/>
          <w:lang w:bidi="ar"/>
        </w:rPr>
      </w:pPr>
      <w:r>
        <w:rPr>
          <w:rFonts w:hint="eastAsia" w:ascii="宋体" w:hAnsi="宋体" w:cs="宋体"/>
          <w:b/>
          <w:bCs/>
        </w:rPr>
        <w:t>（3）中小企业声明函的类型和数据有矛盾，</w:t>
      </w:r>
      <w:r>
        <w:rPr>
          <w:rFonts w:hint="eastAsia" w:ascii="宋体" w:hAnsi="宋体" w:cs="宋体"/>
          <w:b/>
          <w:bCs/>
          <w:color w:val="000000"/>
          <w:kern w:val="0"/>
          <w:lang w:bidi="ar"/>
        </w:rPr>
        <w:t>类型正确但数据错误的，</w:t>
      </w:r>
      <w:r>
        <w:rPr>
          <w:rFonts w:hint="eastAsia" w:ascii="宋体" w:hAnsi="宋体" w:cs="宋体"/>
          <w:b/>
          <w:bCs/>
        </w:rPr>
        <w:t>投标人</w:t>
      </w:r>
      <w:r>
        <w:rPr>
          <w:rFonts w:hint="eastAsia" w:ascii="宋体" w:hAnsi="宋体" w:cs="宋体"/>
          <w:b/>
          <w:bCs/>
          <w:color w:val="000000"/>
          <w:kern w:val="0"/>
          <w:lang w:bidi="ar"/>
        </w:rPr>
        <w:t>对填报的数据来源能作出合理解释的，</w:t>
      </w:r>
      <w:r>
        <w:rPr>
          <w:rFonts w:hint="eastAsia" w:ascii="宋体" w:hAnsi="宋体" w:cs="宋体"/>
          <w:b/>
          <w:bCs/>
        </w:rPr>
        <w:t>可予以认定为中小企业：</w:t>
      </w:r>
    </w:p>
    <w:p w14:paraId="5571BF67">
      <w:pPr>
        <w:pageBreakBefore w:val="0"/>
        <w:widowControl/>
        <w:kinsoku/>
        <w:wordWrap/>
        <w:overflowPunct/>
        <w:topLinePunct w:val="0"/>
        <w:bidi w:val="0"/>
        <w:spacing w:line="400" w:lineRule="exact"/>
        <w:ind w:left="0" w:right="0" w:firstLine="422" w:firstLineChars="200"/>
        <w:jc w:val="left"/>
        <w:rPr>
          <w:rFonts w:ascii="宋体" w:hAnsi="宋体" w:cs="宋体"/>
          <w:b/>
          <w:bCs/>
          <w:color w:val="000000"/>
          <w:kern w:val="0"/>
          <w:lang w:bidi="ar"/>
        </w:rPr>
      </w:pPr>
      <w:r>
        <w:rPr>
          <w:rFonts w:hint="eastAsia" w:ascii="宋体" w:hAnsi="宋体" w:cs="宋体"/>
          <w:b/>
          <w:bCs/>
          <w:color w:val="000000"/>
          <w:kern w:val="0"/>
          <w:lang w:bidi="ar"/>
        </w:rPr>
        <w:t>（4）</w:t>
      </w:r>
      <w:r>
        <w:rPr>
          <w:rFonts w:hint="eastAsia" w:ascii="宋体" w:hAnsi="宋体" w:cs="宋体"/>
          <w:b/>
          <w:bCs/>
        </w:rPr>
        <w:t>投标人</w:t>
      </w:r>
      <w:r>
        <w:rPr>
          <w:rFonts w:hint="eastAsia" w:ascii="宋体" w:hAnsi="宋体" w:cs="宋体"/>
          <w:b/>
          <w:bCs/>
          <w:color w:val="000000"/>
          <w:kern w:val="0"/>
          <w:lang w:bidi="ar"/>
        </w:rPr>
        <w:t>填写的类型错误，大型企业填写为中型、或小型、或微型企业的，中小企业声明函无效；</w:t>
      </w:r>
    </w:p>
    <w:p w14:paraId="143F7BF2">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color w:val="000000"/>
          <w:kern w:val="0"/>
          <w:lang w:bidi="ar"/>
        </w:rPr>
        <w:t>（5）</w:t>
      </w:r>
      <w:r>
        <w:rPr>
          <w:rFonts w:hint="eastAsia" w:ascii="宋体" w:hAnsi="宋体" w:cs="宋体"/>
          <w:b/>
          <w:bCs/>
        </w:rPr>
        <w:t>投标人</w:t>
      </w:r>
      <w:r>
        <w:rPr>
          <w:rFonts w:hint="eastAsia" w:ascii="宋体" w:hAnsi="宋体" w:cs="宋体"/>
          <w:b/>
          <w:bCs/>
          <w:color w:val="000000"/>
          <w:kern w:val="0"/>
          <w:lang w:bidi="ar"/>
        </w:rPr>
        <w:t>填写的类型错误，小型企业填写为中型（或微型）企业的但不影响中小企业政策的，</w:t>
      </w:r>
      <w:r>
        <w:rPr>
          <w:rFonts w:hint="eastAsia" w:ascii="宋体" w:hAnsi="宋体" w:cs="宋体"/>
          <w:b/>
          <w:bCs/>
        </w:rPr>
        <w:t>可以要求投标人在一定的时间内进行澄清，澄清后符合中小企业情形的，可予以认定为中小企业：</w:t>
      </w:r>
    </w:p>
    <w:p w14:paraId="0AED7E71">
      <w:pPr>
        <w:pageBreakBefore w:val="0"/>
        <w:kinsoku/>
        <w:wordWrap/>
        <w:overflowPunct/>
        <w:topLinePunct w:val="0"/>
        <w:bidi w:val="0"/>
        <w:spacing w:line="400" w:lineRule="exact"/>
        <w:ind w:left="0" w:right="0" w:firstLine="422" w:firstLineChars="200"/>
        <w:jc w:val="left"/>
        <w:rPr>
          <w:rFonts w:ascii="宋体" w:hAnsi="宋体" w:cs="宋体"/>
          <w:kern w:val="0"/>
        </w:rPr>
      </w:pPr>
      <w:r>
        <w:rPr>
          <w:rFonts w:hint="eastAsia" w:ascii="宋体" w:hAnsi="宋体" w:cs="宋体"/>
          <w:b/>
          <w:bCs/>
        </w:rPr>
        <w:t>除上述情形外的其他错误情形，由资格审查小组按以上处理方式集体讨论决定。</w:t>
      </w:r>
    </w:p>
    <w:p w14:paraId="11D5525A">
      <w:pPr>
        <w:pageBreakBefore w:val="0"/>
        <w:kinsoku/>
        <w:wordWrap/>
        <w:overflowPunct/>
        <w:topLinePunct w:val="0"/>
        <w:bidi w:val="0"/>
        <w:spacing w:line="400" w:lineRule="exact"/>
        <w:ind w:left="0" w:right="0" w:firstLine="371" w:firstLineChars="177"/>
        <w:jc w:val="left"/>
        <w:rPr>
          <w:rFonts w:ascii="宋体" w:hAnsi="宋体" w:cs="宋体"/>
          <w:kern w:val="0"/>
        </w:rPr>
      </w:pPr>
      <w:r>
        <w:rPr>
          <w:rFonts w:hint="eastAsia" w:ascii="宋体" w:hAnsi="宋体" w:cs="宋体"/>
          <w:kern w:val="0"/>
        </w:rPr>
        <w:t>3.登录“信用中国”网站www.creditchina.gov.cn、“中国政府采购网”www.ccgp.gov.cn查询截止投标时间前的各投标人信用记录，打印相关网页页面留存。</w:t>
      </w:r>
    </w:p>
    <w:p w14:paraId="0D981AFB">
      <w:pPr>
        <w:pageBreakBefore w:val="0"/>
        <w:kinsoku/>
        <w:wordWrap/>
        <w:overflowPunct/>
        <w:topLinePunct w:val="0"/>
        <w:bidi w:val="0"/>
        <w:spacing w:line="400" w:lineRule="exact"/>
        <w:ind w:left="0" w:right="0" w:firstLine="371" w:firstLineChars="177"/>
        <w:jc w:val="left"/>
        <w:rPr>
          <w:rFonts w:ascii="宋体" w:hAnsi="宋体" w:cs="宋体"/>
          <w:kern w:val="0"/>
        </w:rPr>
      </w:pPr>
      <w:r>
        <w:rPr>
          <w:rFonts w:hint="eastAsia" w:ascii="宋体" w:hAnsi="宋体" w:cs="宋体"/>
          <w:kern w:val="0"/>
        </w:rPr>
        <w:t>4.打印纸质资格审查表并签字确认。</w:t>
      </w:r>
    </w:p>
    <w:p w14:paraId="105D1914">
      <w:pPr>
        <w:pageBreakBefore w:val="0"/>
        <w:kinsoku/>
        <w:wordWrap/>
        <w:overflowPunct/>
        <w:topLinePunct w:val="0"/>
        <w:bidi w:val="0"/>
        <w:spacing w:line="400" w:lineRule="exact"/>
        <w:ind w:left="0" w:right="0" w:firstLine="371" w:firstLineChars="177"/>
        <w:jc w:val="left"/>
        <w:rPr>
          <w:rFonts w:ascii="宋体" w:hAnsi="宋体" w:cs="宋体"/>
          <w:kern w:val="0"/>
        </w:rPr>
      </w:pPr>
      <w:r>
        <w:rPr>
          <w:rFonts w:hint="eastAsia" w:ascii="宋体" w:hAnsi="宋体" w:cs="宋体"/>
          <w:kern w:val="0"/>
        </w:rPr>
        <w:t>5.采购人或采购代理机构对投标人所提交的资格证明材料仅负审核的责任。如发现投标人所提交的资格证明材料不合法或与事实不符，采购人可取消其中标资格并追究投标人的法律责任。</w:t>
      </w:r>
    </w:p>
    <w:p w14:paraId="4B7B9ECB">
      <w:pPr>
        <w:pageBreakBefore w:val="0"/>
        <w:kinsoku/>
        <w:wordWrap/>
        <w:overflowPunct/>
        <w:topLinePunct w:val="0"/>
        <w:bidi w:val="0"/>
        <w:spacing w:line="400" w:lineRule="exact"/>
        <w:ind w:left="0" w:right="0" w:firstLine="371" w:firstLineChars="177"/>
        <w:jc w:val="left"/>
        <w:rPr>
          <w:rFonts w:ascii="宋体" w:hAnsi="宋体" w:cs="宋体"/>
          <w:kern w:val="0"/>
        </w:rPr>
      </w:pPr>
      <w:r>
        <w:rPr>
          <w:rFonts w:hint="eastAsia" w:ascii="宋体" w:hAnsi="宋体" w:cs="宋体"/>
          <w:kern w:val="0"/>
        </w:rPr>
        <w:t>6.投标人提交的资格证明材料无法证明其符合招标文件规定的“投标人资格要求”的，采购人或采购代理机构将对其作资格审查不通过处理（无效投标），并不再将其投标提交评标委员会进行后续评审。</w:t>
      </w:r>
    </w:p>
    <w:p w14:paraId="29F49193">
      <w:pPr>
        <w:pageBreakBefore w:val="0"/>
        <w:kinsoku/>
        <w:wordWrap/>
        <w:overflowPunct/>
        <w:topLinePunct w:val="0"/>
        <w:bidi w:val="0"/>
        <w:spacing w:line="400" w:lineRule="exact"/>
        <w:ind w:left="0" w:right="0" w:firstLine="371" w:firstLineChars="177"/>
        <w:jc w:val="left"/>
        <w:rPr>
          <w:rFonts w:ascii="宋体" w:hAnsi="宋体" w:cs="宋体"/>
          <w:kern w:val="0"/>
        </w:rPr>
      </w:pPr>
      <w:r>
        <w:rPr>
          <w:rFonts w:hint="eastAsia" w:ascii="宋体" w:hAnsi="宋体" w:cs="宋体"/>
          <w:kern w:val="0"/>
        </w:rPr>
        <w:t>7.单位负责人为同一人或者存在直接控股、管理关系的不同投标人参加同一合同项下的政府采购活动的，相关投标人均作资格无效处理。</w:t>
      </w:r>
    </w:p>
    <w:p w14:paraId="747DD509">
      <w:pPr>
        <w:pageBreakBefore w:val="0"/>
        <w:kinsoku/>
        <w:wordWrap/>
        <w:overflowPunct/>
        <w:topLinePunct w:val="0"/>
        <w:bidi w:val="0"/>
        <w:spacing w:line="400" w:lineRule="exact"/>
        <w:ind w:left="0" w:right="0" w:firstLine="371" w:firstLineChars="177"/>
        <w:jc w:val="left"/>
        <w:rPr>
          <w:rFonts w:ascii="宋体" w:hAnsi="宋体" w:cs="宋体"/>
          <w:kern w:val="0"/>
        </w:rPr>
      </w:pPr>
    </w:p>
    <w:p w14:paraId="0243EE2E">
      <w:pPr>
        <w:pStyle w:val="4"/>
        <w:pageBreakBefore w:val="0"/>
        <w:numPr>
          <w:ilvl w:val="0"/>
          <w:numId w:val="7"/>
        </w:numPr>
        <w:kinsoku/>
        <w:wordWrap/>
        <w:overflowPunct/>
        <w:topLinePunct w:val="0"/>
        <w:bidi w:val="0"/>
        <w:spacing w:line="400" w:lineRule="exact"/>
        <w:ind w:left="0" w:right="0"/>
        <w:rPr>
          <w:rFonts w:ascii="宋体" w:hAnsi="宋体" w:eastAsia="宋体" w:cs="宋体"/>
          <w:sz w:val="24"/>
          <w:szCs w:val="24"/>
        </w:rPr>
      </w:pPr>
      <w:bookmarkStart w:id="111" w:name="_Toc16490"/>
      <w:bookmarkStart w:id="112" w:name="_Toc28298"/>
      <w:bookmarkStart w:id="113" w:name="_Toc11885"/>
      <w:bookmarkStart w:id="114" w:name="_Toc27733"/>
      <w:bookmarkStart w:id="115" w:name="_Toc12798"/>
      <w:bookmarkStart w:id="116" w:name="_Toc27533"/>
      <w:bookmarkStart w:id="117" w:name="_Toc8265"/>
      <w:r>
        <w:rPr>
          <w:rFonts w:hint="eastAsia" w:ascii="宋体" w:hAnsi="宋体" w:eastAsia="宋体" w:cs="宋体"/>
          <w:sz w:val="24"/>
          <w:szCs w:val="24"/>
        </w:rPr>
        <w:t>评标</w:t>
      </w:r>
      <w:bookmarkEnd w:id="101"/>
      <w:bookmarkEnd w:id="102"/>
      <w:bookmarkEnd w:id="110"/>
      <w:bookmarkEnd w:id="111"/>
      <w:bookmarkEnd w:id="112"/>
      <w:bookmarkEnd w:id="113"/>
      <w:bookmarkEnd w:id="114"/>
      <w:bookmarkEnd w:id="115"/>
      <w:bookmarkEnd w:id="116"/>
      <w:bookmarkEnd w:id="117"/>
    </w:p>
    <w:p w14:paraId="75D7B4AC">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bookmarkStart w:id="118" w:name="_Toc317341943"/>
      <w:r>
        <w:rPr>
          <w:rFonts w:hint="eastAsia" w:hAnsi="宋体" w:cs="宋体"/>
          <w:b/>
          <w:sz w:val="21"/>
        </w:rPr>
        <w:t>（一）评审工作的组织</w:t>
      </w:r>
    </w:p>
    <w:p w14:paraId="01C72742">
      <w:pPr>
        <w:pageBreakBefore w:val="0"/>
        <w:kinsoku/>
        <w:wordWrap/>
        <w:overflowPunct/>
        <w:topLinePunct w:val="0"/>
        <w:bidi w:val="0"/>
        <w:spacing w:line="400" w:lineRule="exact"/>
        <w:ind w:left="0" w:right="0" w:firstLine="369" w:firstLineChars="176"/>
        <w:rPr>
          <w:rFonts w:ascii="宋体" w:hAnsi="宋体" w:cs="宋体"/>
          <w:b/>
        </w:rPr>
      </w:pPr>
      <w:r>
        <w:rPr>
          <w:rFonts w:hint="eastAsia" w:ascii="宋体" w:hAnsi="宋体" w:cs="宋体"/>
          <w:kern w:val="0"/>
        </w:rPr>
        <w:t>采购人或采购代理机构负责组织本项目的评审工作，并依据政府采购法的相关规定履行职责。</w:t>
      </w:r>
    </w:p>
    <w:p w14:paraId="539DFA10">
      <w:pPr>
        <w:pStyle w:val="9"/>
        <w:pageBreakBefore w:val="0"/>
        <w:kinsoku/>
        <w:wordWrap/>
        <w:overflowPunct/>
        <w:topLinePunct w:val="0"/>
        <w:bidi w:val="0"/>
        <w:adjustRightInd w:val="0"/>
        <w:snapToGrid w:val="0"/>
        <w:spacing w:beforeLines="0" w:afterLines="0" w:line="400" w:lineRule="exact"/>
        <w:ind w:left="0" w:right="0"/>
        <w:rPr>
          <w:rFonts w:hAnsi="宋体" w:cs="宋体"/>
          <w:b/>
          <w:sz w:val="21"/>
        </w:rPr>
      </w:pPr>
      <w:r>
        <w:rPr>
          <w:rFonts w:hint="eastAsia" w:hAnsi="宋体" w:cs="宋体"/>
          <w:b/>
          <w:sz w:val="21"/>
        </w:rPr>
        <w:t>（二）组建评标委员会</w:t>
      </w:r>
    </w:p>
    <w:p w14:paraId="2965F167">
      <w:pPr>
        <w:pStyle w:val="9"/>
        <w:pageBreakBefore w:val="0"/>
        <w:kinsoku/>
        <w:wordWrap/>
        <w:overflowPunct/>
        <w:topLinePunct w:val="0"/>
        <w:bidi w:val="0"/>
        <w:adjustRightInd w:val="0"/>
        <w:snapToGrid w:val="0"/>
        <w:spacing w:beforeLines="0" w:afterLines="0" w:line="400" w:lineRule="exact"/>
        <w:ind w:left="0" w:right="0" w:firstLine="420" w:firstLineChars="200"/>
        <w:rPr>
          <w:rFonts w:hAnsi="宋体" w:cs="宋体"/>
          <w:sz w:val="21"/>
        </w:rPr>
      </w:pPr>
      <w:r>
        <w:rPr>
          <w:rFonts w:hint="eastAsia" w:hAnsi="宋体" w:cs="宋体"/>
          <w:sz w:val="21"/>
        </w:rPr>
        <w:t>本项目评标委员会由合法组建的5人（含）以上单数组成。评标委员会成员名单在评审结果（采购结果）公告前保密。</w:t>
      </w:r>
    </w:p>
    <w:p w14:paraId="0F1DE6CE">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r>
        <w:rPr>
          <w:rFonts w:hint="eastAsia" w:hAnsi="宋体" w:cs="宋体"/>
          <w:b/>
          <w:sz w:val="21"/>
        </w:rPr>
        <w:t>（三）评标委员会的职责</w:t>
      </w:r>
    </w:p>
    <w:p w14:paraId="0E51E0BD">
      <w:pPr>
        <w:pageBreakBefore w:val="0"/>
        <w:kinsoku/>
        <w:wordWrap/>
        <w:overflowPunct/>
        <w:topLinePunct w:val="0"/>
        <w:bidi w:val="0"/>
        <w:spacing w:line="400" w:lineRule="exact"/>
        <w:ind w:left="0" w:right="0" w:firstLine="371" w:firstLineChars="176"/>
        <w:rPr>
          <w:rFonts w:ascii="宋体" w:hAnsi="宋体" w:cs="宋体"/>
          <w:b/>
          <w:kern w:val="0"/>
        </w:rPr>
      </w:pPr>
      <w:r>
        <w:rPr>
          <w:rFonts w:hint="eastAsia" w:ascii="宋体" w:hAnsi="宋体" w:cs="宋体"/>
          <w:b/>
          <w:kern w:val="0"/>
        </w:rPr>
        <w:t>评标委员会负责具体评审事务，并独立履行下列职责：</w:t>
      </w:r>
    </w:p>
    <w:p w14:paraId="667AD6DD">
      <w:pPr>
        <w:pageBreakBefore w:val="0"/>
        <w:kinsoku/>
        <w:wordWrap/>
        <w:overflowPunct/>
        <w:topLinePunct w:val="0"/>
        <w:bidi w:val="0"/>
        <w:spacing w:line="400" w:lineRule="exact"/>
        <w:ind w:left="0" w:right="0" w:firstLine="369" w:firstLineChars="176"/>
        <w:rPr>
          <w:rFonts w:ascii="宋体" w:hAnsi="宋体" w:cs="宋体"/>
          <w:kern w:val="0"/>
        </w:rPr>
      </w:pPr>
      <w:r>
        <w:rPr>
          <w:rFonts w:hint="eastAsia" w:ascii="宋体" w:hAnsi="宋体" w:cs="宋体"/>
          <w:kern w:val="0"/>
        </w:rPr>
        <w:t>1.审查、评价投标文件是否符合招标文件的资信、技术等实质性要求；</w:t>
      </w:r>
    </w:p>
    <w:p w14:paraId="4FE5F57B">
      <w:pPr>
        <w:pageBreakBefore w:val="0"/>
        <w:kinsoku/>
        <w:wordWrap/>
        <w:overflowPunct/>
        <w:topLinePunct w:val="0"/>
        <w:bidi w:val="0"/>
        <w:spacing w:line="400" w:lineRule="exact"/>
        <w:ind w:left="0" w:right="0" w:firstLine="369" w:firstLineChars="176"/>
        <w:rPr>
          <w:rFonts w:ascii="宋体" w:hAnsi="宋体" w:cs="宋体"/>
          <w:kern w:val="0"/>
        </w:rPr>
      </w:pPr>
      <w:r>
        <w:rPr>
          <w:rFonts w:hint="eastAsia" w:ascii="宋体" w:hAnsi="宋体" w:cs="宋体"/>
          <w:kern w:val="0"/>
        </w:rPr>
        <w:t>2.要求投标人对投标文件有关事项作出澄清或者说明；</w:t>
      </w:r>
    </w:p>
    <w:p w14:paraId="2AA35263">
      <w:pPr>
        <w:pageBreakBefore w:val="0"/>
        <w:kinsoku/>
        <w:wordWrap/>
        <w:overflowPunct/>
        <w:topLinePunct w:val="0"/>
        <w:bidi w:val="0"/>
        <w:spacing w:line="400" w:lineRule="exact"/>
        <w:ind w:left="0" w:right="0" w:firstLine="369" w:firstLineChars="176"/>
        <w:rPr>
          <w:rFonts w:ascii="宋体" w:hAnsi="宋体" w:cs="宋体"/>
          <w:kern w:val="0"/>
        </w:rPr>
      </w:pPr>
      <w:r>
        <w:rPr>
          <w:rFonts w:hint="eastAsia" w:ascii="宋体" w:hAnsi="宋体" w:cs="宋体"/>
          <w:kern w:val="0"/>
        </w:rPr>
        <w:t>3.对投标文件进行比较和评价；</w:t>
      </w:r>
    </w:p>
    <w:p w14:paraId="2EFC1FCC">
      <w:pPr>
        <w:pageBreakBefore w:val="0"/>
        <w:kinsoku/>
        <w:wordWrap/>
        <w:overflowPunct/>
        <w:topLinePunct w:val="0"/>
        <w:bidi w:val="0"/>
        <w:spacing w:line="400" w:lineRule="exact"/>
        <w:ind w:left="0" w:right="0" w:firstLine="369" w:firstLineChars="176"/>
        <w:rPr>
          <w:rFonts w:ascii="宋体" w:hAnsi="宋体" w:cs="宋体"/>
          <w:kern w:val="0"/>
        </w:rPr>
      </w:pPr>
      <w:r>
        <w:rPr>
          <w:rFonts w:hint="eastAsia" w:ascii="宋体" w:hAnsi="宋体" w:cs="宋体"/>
          <w:kern w:val="0"/>
        </w:rPr>
        <w:t>4.确定中标候选人名单，以及根据采购人委托直接确定中标人；</w:t>
      </w:r>
    </w:p>
    <w:p w14:paraId="418A7901">
      <w:pPr>
        <w:pageBreakBefore w:val="0"/>
        <w:kinsoku/>
        <w:wordWrap/>
        <w:overflowPunct/>
        <w:topLinePunct w:val="0"/>
        <w:bidi w:val="0"/>
        <w:spacing w:line="400" w:lineRule="exact"/>
        <w:ind w:left="0" w:right="0" w:firstLine="369" w:firstLineChars="176"/>
        <w:rPr>
          <w:rFonts w:ascii="宋体" w:hAnsi="宋体" w:cs="宋体"/>
          <w:kern w:val="0"/>
        </w:rPr>
      </w:pPr>
      <w:r>
        <w:rPr>
          <w:rFonts w:hint="eastAsia" w:ascii="宋体" w:hAnsi="宋体" w:cs="宋体"/>
          <w:kern w:val="0"/>
        </w:rPr>
        <w:t>5.向采购人、采购代理机构或者有关部门报告评审中发现的违法行为。</w:t>
      </w:r>
    </w:p>
    <w:p w14:paraId="2A725ED2">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r>
        <w:rPr>
          <w:rFonts w:hint="eastAsia" w:hAnsi="宋体" w:cs="宋体"/>
          <w:b/>
          <w:sz w:val="21"/>
        </w:rPr>
        <w:t>（四）评审原则和评标办法</w:t>
      </w:r>
    </w:p>
    <w:p w14:paraId="0B6A85FB">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1.评审原则：</w:t>
      </w:r>
      <w:r>
        <w:rPr>
          <w:rFonts w:hint="eastAsia" w:ascii="宋体" w:hAnsi="宋体" w:cs="宋体"/>
          <w:kern w:val="0"/>
        </w:rPr>
        <w:t>评标委员会</w:t>
      </w:r>
      <w:r>
        <w:rPr>
          <w:rFonts w:hint="eastAsia" w:ascii="宋体" w:hAnsi="宋体" w:cs="宋体"/>
        </w:rPr>
        <w:t>按照客观、公正、审慎、择优的原则，根据招标文件规定的评审程序、评审方法和评审标准进行独立评审。</w:t>
      </w:r>
    </w:p>
    <w:p w14:paraId="5A1E37C6">
      <w:pPr>
        <w:pageBreakBefore w:val="0"/>
        <w:kinsoku/>
        <w:wordWrap/>
        <w:overflowPunct/>
        <w:topLinePunct w:val="0"/>
        <w:bidi w:val="0"/>
        <w:spacing w:line="400" w:lineRule="exact"/>
        <w:ind w:left="0" w:right="0" w:firstLine="371" w:firstLineChars="177"/>
        <w:rPr>
          <w:rFonts w:ascii="宋体" w:hAnsi="宋体" w:cs="宋体"/>
          <w:kern w:val="0"/>
        </w:rPr>
      </w:pPr>
      <w:r>
        <w:rPr>
          <w:rFonts w:hint="eastAsia" w:ascii="宋体" w:hAnsi="宋体" w:cs="宋体"/>
        </w:rPr>
        <w:t>2.评审工作将依据</w:t>
      </w:r>
      <w:r>
        <w:rPr>
          <w:rFonts w:hint="eastAsia" w:ascii="宋体" w:hAnsi="宋体" w:cs="宋体"/>
          <w:kern w:val="0"/>
        </w:rPr>
        <w:t>招标文件、投标文件及招标文件中事先已列明的内容进行。</w:t>
      </w:r>
    </w:p>
    <w:p w14:paraId="2B4F747A">
      <w:pPr>
        <w:pageBreakBefore w:val="0"/>
        <w:kinsoku/>
        <w:wordWrap/>
        <w:overflowPunct/>
        <w:topLinePunct w:val="0"/>
        <w:bidi w:val="0"/>
        <w:spacing w:line="400" w:lineRule="exact"/>
        <w:ind w:left="0" w:right="0" w:firstLine="371" w:firstLineChars="177"/>
        <w:rPr>
          <w:rFonts w:ascii="宋体" w:hAnsi="宋体" w:cs="宋体"/>
          <w:kern w:val="0"/>
        </w:rPr>
      </w:pPr>
      <w:r>
        <w:rPr>
          <w:rFonts w:hint="eastAsia" w:ascii="宋体" w:hAnsi="宋体" w:cs="宋体"/>
        </w:rPr>
        <w:t>3.评标办法。本项目采用综合评分法，详见《第四章：评标办法及标准》。</w:t>
      </w:r>
    </w:p>
    <w:p w14:paraId="74AB89BA">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r>
        <w:rPr>
          <w:rFonts w:hint="eastAsia" w:hAnsi="宋体" w:cs="宋体"/>
          <w:b/>
          <w:sz w:val="21"/>
        </w:rPr>
        <w:t>（五）评审意见的争议处理</w:t>
      </w:r>
    </w:p>
    <w:p w14:paraId="32DCBEE1">
      <w:pPr>
        <w:pageBreakBefore w:val="0"/>
        <w:kinsoku/>
        <w:wordWrap/>
        <w:overflowPunct/>
        <w:topLinePunct w:val="0"/>
        <w:bidi w:val="0"/>
        <w:spacing w:line="400" w:lineRule="exact"/>
        <w:ind w:left="0" w:right="0" w:firstLine="371" w:firstLineChars="177"/>
        <w:rPr>
          <w:rFonts w:ascii="宋体" w:hAnsi="宋体" w:cs="宋体"/>
          <w:bCs/>
        </w:rPr>
      </w:pPr>
      <w:r>
        <w:rPr>
          <w:rFonts w:hint="eastAsia" w:ascii="宋体" w:hAnsi="宋体" w:cs="宋体"/>
          <w:bCs/>
        </w:rPr>
        <w:t>评标委员会成员对需要共同认定的事项存在争议的，按照少数服从多数的原则作出结论。持不同意见的评标委员会成员应当在评审报告上签署不同意见及理由，否则视为同意评审报告。</w:t>
      </w:r>
    </w:p>
    <w:p w14:paraId="5FC09033">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r>
        <w:rPr>
          <w:rFonts w:hint="eastAsia" w:hAnsi="宋体" w:cs="宋体"/>
          <w:b/>
          <w:sz w:val="21"/>
        </w:rPr>
        <w:t>（六）评审纪律</w:t>
      </w:r>
    </w:p>
    <w:p w14:paraId="516E45E6">
      <w:pPr>
        <w:pageBreakBefore w:val="0"/>
        <w:kinsoku/>
        <w:wordWrap/>
        <w:overflowPunct/>
        <w:topLinePunct w:val="0"/>
        <w:bidi w:val="0"/>
        <w:spacing w:line="400" w:lineRule="exact"/>
        <w:ind w:left="0" w:right="0" w:firstLine="371" w:firstLineChars="177"/>
        <w:rPr>
          <w:rFonts w:ascii="宋体" w:hAnsi="宋体" w:cs="宋体"/>
          <w:b/>
        </w:rPr>
      </w:pPr>
      <w:r>
        <w:rPr>
          <w:rFonts w:hint="eastAsia" w:ascii="宋体" w:hAnsi="宋体" w:cs="宋体"/>
        </w:rPr>
        <w:t>评标委员会成员必须严格遵守保密规定，不得泄露评审的有关情况</w:t>
      </w:r>
      <w:r>
        <w:rPr>
          <w:rFonts w:hint="eastAsia" w:ascii="宋体" w:hAnsi="宋体" w:cs="宋体"/>
          <w:kern w:val="0"/>
        </w:rPr>
        <w:t>，任何单位和个人不得干扰、影响评标的正常进行，评标委员会成员不得私下与投标人接触，不得出现浙江省政府采购活动现场组织管理办法中规定的其他禁止行为。</w:t>
      </w:r>
    </w:p>
    <w:p w14:paraId="6D2032BC">
      <w:pPr>
        <w:pStyle w:val="9"/>
        <w:pageBreakBefore w:val="0"/>
        <w:tabs>
          <w:tab w:val="left" w:pos="720"/>
        </w:tabs>
        <w:kinsoku/>
        <w:wordWrap/>
        <w:overflowPunct/>
        <w:topLinePunct w:val="0"/>
        <w:bidi w:val="0"/>
        <w:adjustRightInd w:val="0"/>
        <w:snapToGrid w:val="0"/>
        <w:spacing w:beforeLines="0" w:afterLines="0" w:line="400" w:lineRule="exact"/>
        <w:ind w:left="0" w:right="0"/>
        <w:rPr>
          <w:rFonts w:hAnsi="宋体" w:cs="宋体"/>
          <w:b/>
          <w:sz w:val="21"/>
        </w:rPr>
      </w:pPr>
      <w:bookmarkStart w:id="119" w:name="_Toc24550043"/>
      <w:bookmarkStart w:id="120" w:name="_Toc33194395"/>
      <w:r>
        <w:rPr>
          <w:rFonts w:hint="eastAsia" w:hAnsi="宋体" w:cs="宋体"/>
          <w:b/>
          <w:sz w:val="21"/>
        </w:rPr>
        <w:t>（七）</w:t>
      </w:r>
      <w:bookmarkEnd w:id="119"/>
      <w:bookmarkStart w:id="121" w:name="_Toc24550044"/>
      <w:r>
        <w:rPr>
          <w:rFonts w:hint="eastAsia" w:hAnsi="宋体" w:cs="宋体"/>
          <w:b/>
          <w:sz w:val="21"/>
        </w:rPr>
        <w:t>评审流程及内容</w:t>
      </w:r>
      <w:bookmarkEnd w:id="120"/>
      <w:bookmarkEnd w:id="121"/>
    </w:p>
    <w:p w14:paraId="1D37057B">
      <w:pPr>
        <w:pageBreakBefore w:val="0"/>
        <w:kinsoku/>
        <w:wordWrap/>
        <w:overflowPunct/>
        <w:topLinePunct w:val="0"/>
        <w:bidi w:val="0"/>
        <w:spacing w:line="400" w:lineRule="exact"/>
        <w:ind w:left="0" w:right="0" w:firstLine="371" w:firstLineChars="176"/>
        <w:rPr>
          <w:rFonts w:ascii="宋体" w:hAnsi="宋体" w:cs="宋体"/>
        </w:rPr>
      </w:pPr>
      <w:r>
        <w:rPr>
          <w:rFonts w:hint="eastAsia" w:ascii="宋体" w:hAnsi="宋体" w:cs="宋体"/>
          <w:b/>
          <w:kern w:val="0"/>
        </w:rPr>
        <w:t>本项目具体的评审事务由评标委员会负责，评审流程及内容如下：</w:t>
      </w:r>
    </w:p>
    <w:p w14:paraId="1D8DE8F9">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1. 评审前准备</w:t>
      </w:r>
    </w:p>
    <w:p w14:paraId="30FDE38A">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1.1由评审专家推选评审小组组长，采购人代表不得担任评审小组组长。</w:t>
      </w:r>
    </w:p>
    <w:p w14:paraId="570607AB">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593FCC71">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2.投标文件的初步审查、符合性审查</w:t>
      </w:r>
    </w:p>
    <w:p w14:paraId="3D8FC20D">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对所有通过资格审查的投标人的投标文件进行初步审查，审查、评价投标文件是否符合招标文件的资信、技术、服务等实质性要求。</w:t>
      </w:r>
    </w:p>
    <w:p w14:paraId="1F8D0346">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E255903">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3.投标文件的澄清、说明或补正</w:t>
      </w:r>
    </w:p>
    <w:p w14:paraId="59D6DCFD">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531C3CAE">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BC8C954">
      <w:pPr>
        <w:pageBreakBefore w:val="0"/>
        <w:kinsoku/>
        <w:wordWrap/>
        <w:overflowPunct/>
        <w:topLinePunct w:val="0"/>
        <w:bidi w:val="0"/>
        <w:spacing w:line="400" w:lineRule="exact"/>
        <w:ind w:left="0" w:right="0" w:firstLine="367" w:firstLineChars="175"/>
        <w:jc w:val="left"/>
        <w:rPr>
          <w:rFonts w:ascii="宋体" w:hAnsi="宋体" w:cs="宋体"/>
          <w:b/>
          <w:bCs/>
        </w:rPr>
      </w:pPr>
      <w:r>
        <w:rPr>
          <w:rFonts w:hint="eastAsia" w:ascii="宋体" w:hAnsi="宋体" w:cs="宋体"/>
        </w:rPr>
        <w:t>3.3</w:t>
      </w:r>
      <w:r>
        <w:rPr>
          <w:rFonts w:hint="eastAsia" w:ascii="宋体" w:hAnsi="宋体" w:cs="宋体"/>
          <w:b/>
          <w:bCs/>
        </w:rPr>
        <w:t>评审中出现以下情形之一的，评审委员会应当启动异常低价投标(响应)审查程序:</w:t>
      </w:r>
    </w:p>
    <w:p w14:paraId="74C41B63">
      <w:pPr>
        <w:pageBreakBefore w:val="0"/>
        <w:kinsoku/>
        <w:wordWrap/>
        <w:overflowPunct/>
        <w:topLinePunct w:val="0"/>
        <w:bidi w:val="0"/>
        <w:spacing w:line="400" w:lineRule="exact"/>
        <w:ind w:left="0" w:right="0" w:firstLine="369" w:firstLineChars="175"/>
        <w:jc w:val="left"/>
        <w:rPr>
          <w:rFonts w:ascii="宋体" w:hAnsi="宋体" w:cs="宋体"/>
          <w:b/>
          <w:bCs/>
        </w:rPr>
      </w:pPr>
      <w:r>
        <w:rPr>
          <w:rFonts w:ascii="宋体" w:hAnsi="宋体" w:cs="宋体"/>
          <w:b/>
          <w:bCs/>
        </w:rPr>
        <w:t>(</w:t>
      </w:r>
      <w:r>
        <w:rPr>
          <w:rFonts w:hint="eastAsia" w:ascii="宋体" w:hAnsi="宋体" w:cs="宋体"/>
          <w:b/>
          <w:bCs/>
        </w:rPr>
        <w:t>1</w:t>
      </w:r>
      <w:r>
        <w:rPr>
          <w:rFonts w:ascii="宋体" w:hAnsi="宋体" w:cs="宋体"/>
          <w:b/>
          <w:bCs/>
        </w:rPr>
        <w:t>)</w:t>
      </w:r>
      <w:r>
        <w:rPr>
          <w:rFonts w:hint="eastAsia" w:ascii="宋体" w:hAnsi="宋体" w:cs="宋体"/>
          <w:b/>
          <w:bCs/>
        </w:rPr>
        <w:t>投标(响应)报价低于全部通过符合性审查供应商投标(响应)报价平均值50%的，即投标(响应)报价&lt;全部通过符合性审查供应商投标(响应)报价平均值x50%；</w:t>
      </w:r>
    </w:p>
    <w:p w14:paraId="3D42F64C">
      <w:pPr>
        <w:pageBreakBefore w:val="0"/>
        <w:kinsoku/>
        <w:wordWrap/>
        <w:overflowPunct/>
        <w:topLinePunct w:val="0"/>
        <w:bidi w:val="0"/>
        <w:spacing w:line="400" w:lineRule="exact"/>
        <w:ind w:left="0" w:right="0" w:firstLine="369" w:firstLineChars="175"/>
        <w:jc w:val="left"/>
        <w:rPr>
          <w:rFonts w:ascii="宋体" w:hAnsi="宋体" w:cs="宋体"/>
          <w:b/>
          <w:bCs/>
        </w:rPr>
      </w:pPr>
      <w:r>
        <w:rPr>
          <w:rFonts w:ascii="宋体" w:hAnsi="宋体" w:cs="宋体"/>
          <w:b/>
          <w:bCs/>
        </w:rPr>
        <w:t>(</w:t>
      </w:r>
      <w:r>
        <w:rPr>
          <w:rFonts w:hint="eastAsia" w:ascii="宋体" w:hAnsi="宋体" w:cs="宋体"/>
          <w:b/>
          <w:bCs/>
        </w:rPr>
        <w:t>2</w:t>
      </w:r>
      <w:r>
        <w:rPr>
          <w:rFonts w:ascii="宋体" w:hAnsi="宋体" w:cs="宋体"/>
          <w:b/>
          <w:bCs/>
        </w:rPr>
        <w:t>)投标(响应)报价低于通过符合性</w:t>
      </w:r>
      <w:r>
        <w:rPr>
          <w:rFonts w:hint="eastAsia" w:ascii="宋体" w:hAnsi="宋体" w:cs="宋体"/>
          <w:b/>
          <w:bCs/>
        </w:rPr>
        <w:t>审查</w:t>
      </w:r>
      <w:r>
        <w:rPr>
          <w:rFonts w:ascii="宋体" w:hAnsi="宋体" w:cs="宋体"/>
          <w:b/>
          <w:bCs/>
        </w:rPr>
        <w:t>且报价次低供应商投标(响应)报价50%的，即投标(响应)报价&lt;通过符合性审查且报价次低供应商投标(响应)报价x50%</w:t>
      </w:r>
      <w:r>
        <w:rPr>
          <w:rFonts w:hint="eastAsia" w:ascii="宋体" w:hAnsi="宋体" w:cs="宋体"/>
          <w:b/>
          <w:bCs/>
        </w:rPr>
        <w:t>；</w:t>
      </w:r>
    </w:p>
    <w:p w14:paraId="2E2AE365">
      <w:pPr>
        <w:pageBreakBefore w:val="0"/>
        <w:kinsoku/>
        <w:wordWrap/>
        <w:overflowPunct/>
        <w:topLinePunct w:val="0"/>
        <w:bidi w:val="0"/>
        <w:spacing w:line="400" w:lineRule="exact"/>
        <w:ind w:left="0" w:right="0" w:firstLine="369" w:firstLineChars="175"/>
        <w:jc w:val="left"/>
        <w:rPr>
          <w:rFonts w:ascii="宋体" w:hAnsi="宋体" w:cs="宋体"/>
          <w:b/>
          <w:bCs/>
        </w:rPr>
      </w:pPr>
      <w:r>
        <w:rPr>
          <w:rFonts w:ascii="宋体" w:hAnsi="宋体" w:cs="宋体"/>
          <w:b/>
          <w:bCs/>
        </w:rPr>
        <w:t>(3)投标(响应)报价低于采购项目最高限价 45%的，即投标(响应)报价&lt;采购项目最高限价x45%;</w:t>
      </w:r>
    </w:p>
    <w:p w14:paraId="59F70BB8">
      <w:pPr>
        <w:pageBreakBefore w:val="0"/>
        <w:kinsoku/>
        <w:wordWrap/>
        <w:overflowPunct/>
        <w:topLinePunct w:val="0"/>
        <w:bidi w:val="0"/>
        <w:spacing w:line="400" w:lineRule="exact"/>
        <w:ind w:left="0" w:right="0" w:firstLine="369" w:firstLineChars="175"/>
        <w:jc w:val="left"/>
        <w:rPr>
          <w:rFonts w:ascii="宋体" w:hAnsi="宋体" w:cs="宋体"/>
          <w:b/>
          <w:bCs/>
        </w:rPr>
      </w:pPr>
      <w:r>
        <w:rPr>
          <w:rFonts w:ascii="宋体" w:hAnsi="宋体" w:cs="宋体"/>
          <w:b/>
          <w:bCs/>
        </w:rPr>
        <w:t>(4)其他评审委员会认为供应商报价过低，有可能影响产品质量或者不能诚信履约的</w:t>
      </w:r>
      <w:r>
        <w:rPr>
          <w:rFonts w:hint="eastAsia" w:ascii="宋体" w:hAnsi="宋体" w:cs="宋体"/>
          <w:b/>
          <w:bCs/>
        </w:rPr>
        <w:t>情</w:t>
      </w:r>
      <w:r>
        <w:rPr>
          <w:rFonts w:ascii="宋体" w:hAnsi="宋体" w:cs="宋体"/>
          <w:b/>
          <w:bCs/>
        </w:rPr>
        <w:t>形。</w:t>
      </w:r>
    </w:p>
    <w:p w14:paraId="01F039C8">
      <w:pPr>
        <w:pageBreakBefore w:val="0"/>
        <w:kinsoku/>
        <w:wordWrap/>
        <w:overflowPunct/>
        <w:topLinePunct w:val="0"/>
        <w:bidi w:val="0"/>
        <w:spacing w:line="400" w:lineRule="exact"/>
        <w:ind w:left="0" w:right="0" w:firstLine="369" w:firstLineChars="175"/>
        <w:jc w:val="left"/>
        <w:rPr>
          <w:rFonts w:ascii="宋体" w:hAnsi="宋体" w:cs="宋体"/>
          <w:b/>
          <w:bCs/>
        </w:rPr>
      </w:pPr>
      <w:r>
        <w:rPr>
          <w:rFonts w:ascii="宋体" w:hAnsi="宋体" w:cs="宋体"/>
          <w:b/>
          <w:bCs/>
        </w:rPr>
        <w:t>评审委员会启动异常低价投标(响应)审查后，应当要求相关供应商在评审现场合理的时间内(30 分钟内)提供书面说明及必要的证明材料，对投标(响应)价格作出解释。书面说明、证明材料主要是项目具体成本测算等与报价合理性相关的说明、材料。</w:t>
      </w:r>
    </w:p>
    <w:p w14:paraId="663DCF5B">
      <w:pPr>
        <w:pageBreakBefore w:val="0"/>
        <w:kinsoku/>
        <w:wordWrap/>
        <w:overflowPunct/>
        <w:topLinePunct w:val="0"/>
        <w:bidi w:val="0"/>
        <w:spacing w:line="400" w:lineRule="exact"/>
        <w:ind w:left="0" w:right="0" w:firstLine="369" w:firstLineChars="175"/>
        <w:jc w:val="left"/>
      </w:pPr>
      <w:r>
        <w:rPr>
          <w:rFonts w:ascii="宋体" w:hAnsi="宋体" w:cs="宋体"/>
          <w:b/>
          <w:bCs/>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801026A">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4.投标文件的错误修正</w:t>
      </w:r>
    </w:p>
    <w:p w14:paraId="1F0C6801">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4.1投标文件如果出现计算或表达上的错误，修正错误的原则如下：</w:t>
      </w:r>
    </w:p>
    <w:p w14:paraId="74BF4CF2">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（1）投标文件中开标一览表（报价表）内容与投标文件中相应内容不一致的，以开标一览表（报价表）为准。</w:t>
      </w:r>
    </w:p>
    <w:p w14:paraId="471AC1C7">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（2）投标文件的大写金额和小写金额不一致的，以大写金额为准；</w:t>
      </w:r>
    </w:p>
    <w:p w14:paraId="58E5C94E">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（3）单价金额小数点或者百分比有明显错位的，应以开标一览表（报价表）的总价为准，并修改单价；</w:t>
      </w:r>
    </w:p>
    <w:p w14:paraId="3115B639">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（4）总价金额与按单价汇总金额不一致的，以单价金额计算结果为准。</w:t>
      </w:r>
    </w:p>
    <w:p w14:paraId="7E4AC3A8">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同时出现两种以上不一致的，按照上述规定的顺序修正。投标人按照澄清投标文件的形式同意并确认后，调整后的投标报价对投标人具有约束作用。如果投标人不接受修正后的报价，则其投标无效。</w:t>
      </w:r>
    </w:p>
    <w:p w14:paraId="5CD3B025">
      <w:pPr>
        <w:pageBreakBefore w:val="0"/>
        <w:kinsoku/>
        <w:wordWrap/>
        <w:overflowPunct/>
        <w:topLinePunct w:val="0"/>
        <w:bidi w:val="0"/>
        <w:spacing w:line="400" w:lineRule="exact"/>
        <w:ind w:left="0" w:right="0" w:firstLine="371" w:firstLineChars="177"/>
        <w:rPr>
          <w:rFonts w:ascii="宋体" w:hAnsi="宋体" w:cs="宋体"/>
        </w:rPr>
      </w:pPr>
      <w:r>
        <w:rPr>
          <w:rFonts w:hint="eastAsia" w:ascii="宋体" w:hAnsi="宋体" w:cs="宋体"/>
        </w:rPr>
        <w:t>4.2对不同文字文本投标文件的解释发生异议的，以中文文本为准。</w:t>
      </w:r>
    </w:p>
    <w:p w14:paraId="53091A5E">
      <w:pPr>
        <w:pageBreakBefore w:val="0"/>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（八）投标文件有下列情况之一者将视为无效：</w:t>
      </w:r>
    </w:p>
    <w:p w14:paraId="1460371A">
      <w:pPr>
        <w:pageBreakBefore w:val="0"/>
        <w:kinsoku/>
        <w:wordWrap/>
        <w:overflowPunct/>
        <w:topLinePunct w:val="0"/>
        <w:bidi w:val="0"/>
        <w:spacing w:line="400" w:lineRule="exact"/>
        <w:ind w:left="0" w:right="0" w:firstLine="367" w:firstLineChars="175"/>
        <w:rPr>
          <w:rFonts w:ascii="宋体" w:hAnsi="宋体" w:cs="宋体"/>
          <w:kern w:val="0"/>
        </w:rPr>
      </w:pPr>
      <w:bookmarkStart w:id="122" w:name="_Hlk33211013"/>
      <w:r>
        <w:rPr>
          <w:rFonts w:hint="eastAsia" w:ascii="宋体" w:hAnsi="宋体" w:cs="宋体"/>
          <w:kern w:val="0"/>
        </w:rPr>
        <w:t>1.资信、技术文件符合性审查中，存在下列情形之一的，经评标委员会认定后作无效标处理：</w:t>
      </w:r>
    </w:p>
    <w:p w14:paraId="2FCA0014">
      <w:pPr>
        <w:pageBreakBefore w:val="0"/>
        <w:tabs>
          <w:tab w:val="left" w:pos="1110"/>
        </w:tabs>
        <w:kinsoku/>
        <w:wordWrap/>
        <w:overflowPunct/>
        <w:topLinePunct w:val="0"/>
        <w:bidi w:val="0"/>
        <w:spacing w:line="400" w:lineRule="exact"/>
        <w:ind w:left="0" w:right="0" w:firstLine="367" w:firstLineChars="175"/>
        <w:rPr>
          <w:rFonts w:ascii="宋体" w:hAnsi="宋体" w:cs="宋体"/>
          <w:kern w:val="0"/>
        </w:rPr>
      </w:pPr>
      <w:bookmarkStart w:id="123" w:name="_Toc33194396"/>
      <w:r>
        <w:rPr>
          <w:rFonts w:hint="eastAsia" w:ascii="宋体" w:hAnsi="宋体" w:cs="宋体"/>
          <w:kern w:val="0"/>
        </w:rPr>
        <w:t>（1）投标文件未有效授权，法定代表人授权委托书等填写不完整或有涂改的；</w:t>
      </w:r>
      <w:bookmarkEnd w:id="123"/>
    </w:p>
    <w:p w14:paraId="09636B3D">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（2）投标文件没有对本招标文件作出实质性响应的，或不满足（不响应）本招标文件中标注“▲”的实质性要求条款的，或存在招标文件中明确规定的其他无效标情形的；</w:t>
      </w:r>
    </w:p>
    <w:p w14:paraId="74238DC3">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（3）投标文件存在一个或一个以上备选（替代）投标方案的；</w:t>
      </w:r>
    </w:p>
    <w:p w14:paraId="0AAFB9C7">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（4）仅提交“备份投标文件”的；</w:t>
      </w:r>
    </w:p>
    <w:p w14:paraId="61C1BC08">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（5）文件组成内容不齐全，本招标文件规定必须提供而未提供的（属于资格审查范围的除外）；</w:t>
      </w:r>
    </w:p>
    <w:p w14:paraId="65789B87">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（6）投标文件标注的响应或偏离情况与事实不符，或提供了虚假材料的；</w:t>
      </w:r>
    </w:p>
    <w:p w14:paraId="3E3D6A31">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（7）不响应或擅自改变本招标文件要求或投标文件有采购人不能接受的附加条件的；</w:t>
      </w:r>
    </w:p>
    <w:p w14:paraId="2C0156FC">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（8）违反国家或政府部门相关法律、法规、文件规定的。</w:t>
      </w:r>
      <w:bookmarkEnd w:id="122"/>
    </w:p>
    <w:p w14:paraId="78B64418">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2.报价文件符合性审查中，存在下列情形之一的，经评标委员会认定后作无效标处理：</w:t>
      </w:r>
    </w:p>
    <w:p w14:paraId="3F639D96">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（1）未按照招标文件标明的币种报价的，或者投标报价涵盖的内容不符合招标文件要求的；</w:t>
      </w:r>
    </w:p>
    <w:p w14:paraId="43F86796">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（2）投标报价出现前后不一致且不同意按照招标文件规定的方法进行修正的；</w:t>
      </w:r>
    </w:p>
    <w:p w14:paraId="6452B0F1">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（3）投标报价具有选择性，且未注明哪个有效的；</w:t>
      </w:r>
    </w:p>
    <w:p w14:paraId="67057874">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（4）投标报价超过采购预算（或最高限价）的；</w:t>
      </w:r>
    </w:p>
    <w:p w14:paraId="2E7A29B0">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662742B4">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（6）违反国家或政府部门相关法律、法规、文件规定的。</w:t>
      </w:r>
    </w:p>
    <w:p w14:paraId="3F8671FF">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3.投标人串通投标的，投标无效。</w:t>
      </w:r>
    </w:p>
    <w:p w14:paraId="44D0E587">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投标人有以下情形之一的，视为投标人串通投标：</w:t>
      </w:r>
    </w:p>
    <w:p w14:paraId="38EF50AE">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（1）不同投标人的投标文件由同一单位或者个人编制；</w:t>
      </w:r>
    </w:p>
    <w:p w14:paraId="2CCA2814">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（2）不同投标人委托同一单位或者个人办理投标事宜；</w:t>
      </w:r>
    </w:p>
    <w:p w14:paraId="5F920173">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（3）不同投标人的投标文件载明的项目管理成员或者联系人员为同一人；</w:t>
      </w:r>
    </w:p>
    <w:p w14:paraId="00A8377B">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（4）不同投标人的投标文件异常一致或者投标报价呈规律性差异；</w:t>
      </w:r>
    </w:p>
    <w:p w14:paraId="0B70A50F">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（5）不同投标人的投标文件相互混装；</w:t>
      </w:r>
    </w:p>
    <w:p w14:paraId="55E3A79C">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4.根据浙财采监(2025)2号《浙江省财政厅关于进一步规范政府采购秩序促进公平竞争的通知》规定，供应商存在下列情形之一且无法合理解释的，其投标(响应)文件无效:</w:t>
      </w:r>
    </w:p>
    <w:p w14:paraId="679FB9EC">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(1)不同供应商的电子投标(响应)文件上传计算机的网卡MAC 地址或硬盘序列号等硬件信息相同的；</w:t>
      </w:r>
    </w:p>
    <w:p w14:paraId="08BF11C4">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(2)上传的电子投标(响应)文件若出现使用本项目其他投标(响应)供应商的数字证书加密的，或者加盖本项目其他投标(响应)供应商的电子印章的；</w:t>
      </w:r>
    </w:p>
    <w:p w14:paraId="0FAC0457">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(3)不同供应商的投标(响应)文件的内容存在3处(含)以上错误一致的；</w:t>
      </w:r>
    </w:p>
    <w:p w14:paraId="6322D24D">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(4)不同供应商联系人为同一人或不同联系人的联系电话一致的。</w:t>
      </w:r>
    </w:p>
    <w:p w14:paraId="2054074A">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5.法律、法规和招标文件规定的其他无效标情形。</w:t>
      </w:r>
    </w:p>
    <w:p w14:paraId="5C2B963F">
      <w:pPr>
        <w:pageBreakBefore w:val="0"/>
        <w:kinsoku/>
        <w:wordWrap/>
        <w:overflowPunct/>
        <w:topLinePunct w:val="0"/>
        <w:bidi w:val="0"/>
        <w:adjustRightInd w:val="0"/>
        <w:snapToGrid w:val="0"/>
        <w:spacing w:line="400" w:lineRule="exact"/>
        <w:ind w:left="0" w:right="0" w:firstLine="422" w:firstLineChars="200"/>
        <w:jc w:val="left"/>
      </w:pPr>
      <w:r>
        <w:rPr>
          <w:rFonts w:hint="eastAsia" w:ascii="宋体" w:hAnsi="宋体" w:cs="宋体"/>
          <w:b/>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785C86D8">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6.《中小企业声明函》填写出现以下错误的，投标文件无效：</w:t>
      </w:r>
    </w:p>
    <w:p w14:paraId="66E8392F">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（1）中小企业声明函的行业填写错误（错填为“采购文件确定的行业”、或未填写行业全称经评标委员会认定为明显笔误的除外）或者未填写行业的；</w:t>
      </w:r>
    </w:p>
    <w:p w14:paraId="57FED987">
      <w:pPr>
        <w:pageBreakBefore w:val="0"/>
        <w:kinsoku/>
        <w:wordWrap/>
        <w:overflowPunct/>
        <w:topLinePunct w:val="0"/>
        <w:bidi w:val="0"/>
        <w:spacing w:line="400" w:lineRule="exact"/>
        <w:ind w:left="0" w:right="0" w:firstLine="422" w:firstLineChars="200"/>
        <w:rPr>
          <w:rFonts w:ascii="宋体" w:hAnsi="宋体" w:cs="宋体"/>
          <w:b/>
          <w:bCs/>
        </w:rPr>
      </w:pPr>
      <w:r>
        <w:rPr>
          <w:rFonts w:hint="eastAsia" w:ascii="宋体" w:hAnsi="宋体" w:cs="宋体"/>
          <w:b/>
          <w:bCs/>
        </w:rPr>
        <w:t>（2）</w:t>
      </w:r>
      <w:r>
        <w:rPr>
          <w:rFonts w:hint="eastAsia" w:ascii="宋体" w:hAnsi="宋体" w:cs="宋体"/>
          <w:b/>
          <w:bCs/>
          <w:kern w:val="0"/>
        </w:rPr>
        <w:t>投标人</w:t>
      </w:r>
      <w:r>
        <w:rPr>
          <w:rFonts w:hint="eastAsia" w:ascii="宋体" w:hAnsi="宋体" w:cs="宋体"/>
          <w:b/>
          <w:bCs/>
        </w:rPr>
        <w:t>填写的行业不是采购文件明确的行业的（如采购文件明确的行业类型是软件和信息技术服务业，</w:t>
      </w:r>
      <w:r>
        <w:rPr>
          <w:rFonts w:hint="eastAsia" w:ascii="宋体" w:hAnsi="宋体" w:cs="宋体"/>
          <w:b/>
          <w:bCs/>
          <w:kern w:val="0"/>
        </w:rPr>
        <w:t>投标人</w:t>
      </w:r>
      <w:r>
        <w:rPr>
          <w:rFonts w:hint="eastAsia" w:ascii="宋体" w:hAnsi="宋体" w:cs="宋体"/>
          <w:b/>
          <w:bCs/>
        </w:rPr>
        <w:t>填写为制造业或其他行业的）；</w:t>
      </w:r>
    </w:p>
    <w:p w14:paraId="7E88F6A4">
      <w:pPr>
        <w:pageBreakBefore w:val="0"/>
        <w:widowControl/>
        <w:kinsoku/>
        <w:wordWrap/>
        <w:overflowPunct/>
        <w:topLinePunct w:val="0"/>
        <w:bidi w:val="0"/>
        <w:spacing w:line="400" w:lineRule="exact"/>
        <w:ind w:left="0" w:right="0" w:firstLine="422" w:firstLineChars="200"/>
        <w:jc w:val="left"/>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kern w:val="0"/>
        </w:rPr>
        <w:t>投标人</w:t>
      </w:r>
      <w:r>
        <w:rPr>
          <w:rFonts w:hint="eastAsia" w:ascii="宋体" w:hAnsi="宋体" w:cs="宋体"/>
          <w:b/>
          <w:bCs/>
          <w:color w:val="000000"/>
          <w:kern w:val="0"/>
        </w:rPr>
        <w:t>填写的类型正确、但数据错误的，且</w:t>
      </w:r>
      <w:r>
        <w:rPr>
          <w:rFonts w:hint="eastAsia" w:ascii="宋体" w:hAnsi="宋体" w:cs="宋体"/>
          <w:b/>
          <w:bCs/>
          <w:kern w:val="0"/>
        </w:rPr>
        <w:t>投标人</w:t>
      </w:r>
      <w:r>
        <w:rPr>
          <w:rFonts w:hint="eastAsia" w:ascii="宋体" w:hAnsi="宋体" w:cs="宋体"/>
          <w:b/>
          <w:bCs/>
          <w:color w:val="000000"/>
          <w:kern w:val="0"/>
        </w:rPr>
        <w:t>对填报的数据来源不能作出合理解释或解释不合理评标委员会不认可的；</w:t>
      </w:r>
    </w:p>
    <w:p w14:paraId="02A56C8E">
      <w:pPr>
        <w:pageBreakBefore w:val="0"/>
        <w:widowControl/>
        <w:kinsoku/>
        <w:wordWrap/>
        <w:overflowPunct/>
        <w:topLinePunct w:val="0"/>
        <w:bidi w:val="0"/>
        <w:spacing w:line="400" w:lineRule="exact"/>
        <w:ind w:left="0" w:right="0" w:firstLine="422" w:firstLineChars="200"/>
        <w:jc w:val="left"/>
        <w:rPr>
          <w:rFonts w:ascii="宋体" w:hAnsi="宋体" w:cs="宋体"/>
          <w:b/>
          <w:bCs/>
          <w:kern w:val="0"/>
        </w:rPr>
      </w:pPr>
      <w:r>
        <w:rPr>
          <w:rFonts w:hint="eastAsia" w:ascii="宋体" w:hAnsi="宋体" w:cs="宋体"/>
          <w:b/>
          <w:bCs/>
          <w:color w:val="000000"/>
          <w:kern w:val="0"/>
        </w:rPr>
        <w:t>（4）</w:t>
      </w:r>
      <w:r>
        <w:rPr>
          <w:rFonts w:hint="eastAsia" w:ascii="宋体" w:hAnsi="宋体" w:cs="宋体"/>
          <w:b/>
          <w:bCs/>
          <w:kern w:val="0"/>
        </w:rPr>
        <w:t>投标人</w:t>
      </w:r>
      <w:r>
        <w:rPr>
          <w:rFonts w:hint="eastAsia" w:ascii="宋体" w:hAnsi="宋体" w:cs="宋体"/>
          <w:b/>
          <w:bCs/>
          <w:color w:val="000000"/>
          <w:kern w:val="0"/>
        </w:rPr>
        <w:t>填写的类型错误，大型企业填写为中型、或小型、或微型企业的。</w:t>
      </w:r>
    </w:p>
    <w:p w14:paraId="4E74A601">
      <w:pPr>
        <w:pageBreakBefore w:val="0"/>
        <w:tabs>
          <w:tab w:val="left" w:pos="720"/>
        </w:tabs>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（九）投标文件的评估、比较、评分</w:t>
      </w:r>
    </w:p>
    <w:p w14:paraId="501E6CC8">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0E081065">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692E6523">
      <w:pPr>
        <w:pageBreakBefore w:val="0"/>
        <w:tabs>
          <w:tab w:val="left" w:pos="720"/>
        </w:tabs>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（十）修改评审结果</w:t>
      </w:r>
    </w:p>
    <w:p w14:paraId="2BECB749">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1.评标结果汇总完成后，除下列情形外，任何人不得修改评标结果：</w:t>
      </w:r>
    </w:p>
    <w:p w14:paraId="1054A626">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1.1 分值汇总计算错误的；</w:t>
      </w:r>
    </w:p>
    <w:p w14:paraId="6C55347E">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1.2 分项评分超出评分标准范围的；</w:t>
      </w:r>
    </w:p>
    <w:p w14:paraId="68E97803">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1.3 评标委员会成员对客观评审因素评分不一致的；</w:t>
      </w:r>
    </w:p>
    <w:p w14:paraId="73FD6126">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1.4 经评标委员会认定评分畸高、畸低的。</w:t>
      </w:r>
    </w:p>
    <w:p w14:paraId="4AB3A560">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2.评标报告签署前，经复核发现存在以上情形之一的，评标委员会将当场修改评标结果，并在评标报告中记载。</w:t>
      </w:r>
    </w:p>
    <w:p w14:paraId="6D9CE9CA">
      <w:pPr>
        <w:pageBreakBefore w:val="0"/>
        <w:tabs>
          <w:tab w:val="left" w:pos="720"/>
        </w:tabs>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（十一）投标人排序及推荐中标（成交）候选投标人</w:t>
      </w:r>
    </w:p>
    <w:p w14:paraId="215F1396">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评标委员会根据以下规定确定投标人排名并推荐中标（成交）候选投标人。评标委员会根据各投标人的综合得分（技术资信分与报价得分之和）从高到低依次进行排名排序。特殊情形按以下原则处理：</w:t>
      </w:r>
    </w:p>
    <w:p w14:paraId="598E81D1">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1.综合得分相同的，按投标报价低的优先原则确定排名；</w:t>
      </w:r>
    </w:p>
    <w:p w14:paraId="60C97232">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2.综合得分和投标报价均相同的，按技术资信得分从高到低确定排名；</w:t>
      </w:r>
    </w:p>
    <w:p w14:paraId="5F61277C">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3.综合得分、投标报价和技术资信得分均相同的由评标委员会全体成员记名投票按少数服从多数的原则确定排名。</w:t>
      </w:r>
    </w:p>
    <w:p w14:paraId="67EE7793">
      <w:pPr>
        <w:pageBreakBefore w:val="0"/>
        <w:kinsoku/>
        <w:wordWrap/>
        <w:overflowPunct/>
        <w:topLinePunct w:val="0"/>
        <w:bidi w:val="0"/>
        <w:spacing w:line="400" w:lineRule="exact"/>
        <w:ind w:left="0" w:right="0" w:firstLine="373" w:firstLineChars="177"/>
        <w:rPr>
          <w:rFonts w:ascii="宋体" w:hAnsi="宋体" w:cs="宋体"/>
          <w:b/>
        </w:rPr>
      </w:pPr>
      <w:r>
        <w:rPr>
          <w:rFonts w:hint="eastAsia" w:ascii="宋体" w:hAnsi="宋体" w:cs="宋体"/>
          <w:b/>
        </w:rPr>
        <w:t>4.根据最终得分排序，通过书面评审报告的形式，向采购人推荐</w:t>
      </w:r>
      <w:r>
        <w:rPr>
          <w:rFonts w:hint="eastAsia" w:ascii="宋体" w:hAnsi="宋体" w:cs="宋体"/>
          <w:b/>
          <w:kern w:val="0"/>
        </w:rPr>
        <w:t>排名第一的投标人为第一中标候选人，排名第二的为第二中标候选人</w:t>
      </w:r>
      <w:r>
        <w:rPr>
          <w:rFonts w:hint="eastAsia" w:ascii="宋体" w:hAnsi="宋体" w:cs="宋体"/>
          <w:b/>
        </w:rPr>
        <w:t>。</w:t>
      </w:r>
    </w:p>
    <w:p w14:paraId="5ED083E8">
      <w:pPr>
        <w:pageBreakBefore w:val="0"/>
        <w:tabs>
          <w:tab w:val="left" w:pos="720"/>
        </w:tabs>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（十二）起草、签署评审报告</w:t>
      </w:r>
    </w:p>
    <w:p w14:paraId="35E136DA">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评审结束后，评标委员会将通过“政采云平台”起草评审报告，并书面打印签字，对自己的评审意见承担法律责任。对评审报告有异议的，应当在评审报告上签署不同意见，并说明理由，否则视为同意评审报告。</w:t>
      </w:r>
    </w:p>
    <w:p w14:paraId="3C21C17C">
      <w:pPr>
        <w:pageBreakBefore w:val="0"/>
        <w:tabs>
          <w:tab w:val="left" w:pos="630"/>
        </w:tabs>
        <w:kinsoku/>
        <w:wordWrap/>
        <w:overflowPunct/>
        <w:topLinePunct w:val="0"/>
        <w:bidi w:val="0"/>
        <w:spacing w:line="400" w:lineRule="exact"/>
        <w:ind w:left="0" w:right="0" w:firstLine="369" w:firstLineChars="175"/>
        <w:rPr>
          <w:rFonts w:ascii="宋体" w:hAnsi="宋体" w:cs="宋体"/>
          <w:b/>
          <w:bCs/>
          <w:kern w:val="0"/>
        </w:rPr>
      </w:pPr>
      <w:r>
        <w:rPr>
          <w:rFonts w:hint="eastAsia" w:ascii="宋体" w:hAnsi="宋体" w:cs="宋体"/>
          <w:b/>
          <w:bCs/>
          <w:kern w:val="0"/>
        </w:rPr>
        <w:t>（十三）评标过程的保密</w:t>
      </w:r>
    </w:p>
    <w:p w14:paraId="3157BF01">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凡是属于审查、澄清、评审和比较的有关资料以及授标建议，任何人均不得向投标人或其他无关的人员透露。</w:t>
      </w:r>
    </w:p>
    <w:p w14:paraId="4CF27A3B">
      <w:pPr>
        <w:pageBreakBefore w:val="0"/>
        <w:kinsoku/>
        <w:wordWrap/>
        <w:overflowPunct/>
        <w:topLinePunct w:val="0"/>
        <w:bidi w:val="0"/>
        <w:spacing w:line="400" w:lineRule="exact"/>
        <w:ind w:left="0" w:right="0" w:firstLine="367" w:firstLineChars="175"/>
        <w:rPr>
          <w:rFonts w:ascii="宋体" w:hAnsi="宋体" w:cs="宋体"/>
          <w:kern w:val="0"/>
        </w:rPr>
      </w:pPr>
      <w:r>
        <w:rPr>
          <w:rFonts w:hint="eastAsia" w:ascii="宋体" w:hAnsi="宋体" w:cs="宋体"/>
          <w:kern w:val="0"/>
        </w:rPr>
        <w:t>本项目评标过程实行全程录音、录像监控，投标人在评标过程中所进行的力图影响评标结果的不公正活动，可能导致其投标被拒绝。</w:t>
      </w:r>
    </w:p>
    <w:p w14:paraId="7F35B08B">
      <w:pPr>
        <w:pageBreakBefore w:val="0"/>
        <w:kinsoku/>
        <w:wordWrap/>
        <w:overflowPunct/>
        <w:topLinePunct w:val="0"/>
        <w:bidi w:val="0"/>
        <w:spacing w:line="400" w:lineRule="exact"/>
        <w:ind w:left="0" w:right="0" w:firstLine="369" w:firstLineChars="175"/>
        <w:jc w:val="left"/>
        <w:rPr>
          <w:rFonts w:ascii="宋体" w:hAnsi="宋体" w:cs="宋体"/>
          <w:b/>
          <w:bCs/>
          <w:kern w:val="0"/>
        </w:rPr>
      </w:pPr>
      <w:r>
        <w:rPr>
          <w:rFonts w:hint="eastAsia" w:ascii="宋体" w:hAnsi="宋体" w:cs="宋体"/>
          <w:b/>
          <w:bCs/>
          <w:kern w:val="0"/>
        </w:rPr>
        <w:t>（十四）废标的情形</w:t>
      </w:r>
    </w:p>
    <w:p w14:paraId="02146C9E">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在招标采购中，出现下列情形之一的，应予废标：</w:t>
      </w:r>
    </w:p>
    <w:p w14:paraId="4005C117">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1.符合专业条件的投标人或者对招标文件作实质性响应的投标人不足三家的；</w:t>
      </w:r>
    </w:p>
    <w:p w14:paraId="0625C4E3">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2.出现影响采购公正的违法、违规行为的；</w:t>
      </w:r>
    </w:p>
    <w:p w14:paraId="5C70D40A">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3.投标人的报价均超过了采购预算，采购人不能支付的；</w:t>
      </w:r>
    </w:p>
    <w:p w14:paraId="24CA5E0B">
      <w:pPr>
        <w:pageBreakBefore w:val="0"/>
        <w:kinsoku/>
        <w:wordWrap/>
        <w:overflowPunct/>
        <w:topLinePunct w:val="0"/>
        <w:bidi w:val="0"/>
        <w:spacing w:line="400" w:lineRule="exact"/>
        <w:ind w:left="0" w:right="0" w:firstLine="367" w:firstLineChars="175"/>
        <w:jc w:val="left"/>
        <w:rPr>
          <w:rFonts w:ascii="宋体" w:hAnsi="宋体" w:cs="宋体"/>
          <w:kern w:val="0"/>
        </w:rPr>
      </w:pPr>
      <w:r>
        <w:rPr>
          <w:rFonts w:hint="eastAsia" w:ascii="宋体" w:hAnsi="宋体" w:cs="宋体"/>
          <w:kern w:val="0"/>
        </w:rPr>
        <w:t>4.因重大变故，采购任务取消的。</w:t>
      </w:r>
    </w:p>
    <w:p w14:paraId="3C98B7E7">
      <w:pPr>
        <w:pageBreakBefore w:val="0"/>
        <w:tabs>
          <w:tab w:val="left" w:pos="720"/>
        </w:tabs>
        <w:kinsoku/>
        <w:wordWrap/>
        <w:overflowPunct/>
        <w:topLinePunct w:val="0"/>
        <w:bidi w:val="0"/>
        <w:spacing w:line="400" w:lineRule="exact"/>
        <w:ind w:left="0" w:right="0" w:firstLine="369" w:firstLineChars="175"/>
        <w:jc w:val="left"/>
        <w:rPr>
          <w:rFonts w:ascii="宋体" w:hAnsi="宋体" w:cs="宋体"/>
          <w:b/>
          <w:bCs/>
          <w:kern w:val="0"/>
        </w:rPr>
      </w:pPr>
      <w:r>
        <w:rPr>
          <w:rFonts w:hint="eastAsia" w:ascii="宋体" w:hAnsi="宋体" w:cs="宋体"/>
          <w:b/>
          <w:bCs/>
          <w:kern w:val="0"/>
        </w:rPr>
        <w:t>（十五）可中止电子交易活动的情形</w:t>
      </w:r>
    </w:p>
    <w:p w14:paraId="3B518F50">
      <w:pPr>
        <w:pageBreakBefore w:val="0"/>
        <w:kinsoku/>
        <w:wordWrap/>
        <w:overflowPunct/>
        <w:topLinePunct w:val="0"/>
        <w:bidi w:val="0"/>
        <w:spacing w:line="400" w:lineRule="exact"/>
        <w:ind w:left="0" w:right="0" w:firstLine="371" w:firstLineChars="176"/>
        <w:rPr>
          <w:rFonts w:ascii="宋体" w:hAnsi="宋体" w:cs="宋体"/>
        </w:rPr>
      </w:pPr>
      <w:r>
        <w:rPr>
          <w:rFonts w:hint="eastAsia" w:ascii="宋体" w:hAnsi="宋体" w:cs="宋体"/>
          <w:b/>
        </w:rPr>
        <w:t>采购过程中出现以下情形，导致电子交易平台无法正常运行，或者无法保证电子交易的公平、公正和安全时，采购组织机构可中止电子交易活动：</w:t>
      </w:r>
    </w:p>
    <w:p w14:paraId="36985D50">
      <w:pPr>
        <w:pageBreakBefore w:val="0"/>
        <w:kinsoku/>
        <w:wordWrap/>
        <w:overflowPunct/>
        <w:topLinePunct w:val="0"/>
        <w:bidi w:val="0"/>
        <w:spacing w:line="400" w:lineRule="exact"/>
        <w:ind w:left="0" w:right="0" w:firstLine="369" w:firstLineChars="176"/>
        <w:rPr>
          <w:rFonts w:ascii="宋体" w:hAnsi="宋体" w:cs="宋体"/>
        </w:rPr>
      </w:pPr>
      <w:r>
        <w:rPr>
          <w:rFonts w:hint="eastAsia" w:ascii="宋体" w:hAnsi="宋体" w:cs="宋体"/>
        </w:rPr>
        <w:t>1.电子交易平台发生故障而无法登录访问的；</w:t>
      </w:r>
    </w:p>
    <w:p w14:paraId="6D8C364E">
      <w:pPr>
        <w:pageBreakBefore w:val="0"/>
        <w:kinsoku/>
        <w:wordWrap/>
        <w:overflowPunct/>
        <w:topLinePunct w:val="0"/>
        <w:bidi w:val="0"/>
        <w:spacing w:line="400" w:lineRule="exact"/>
        <w:ind w:left="0" w:right="0" w:firstLine="369" w:firstLineChars="176"/>
        <w:rPr>
          <w:rFonts w:ascii="宋体" w:hAnsi="宋体" w:cs="宋体"/>
        </w:rPr>
      </w:pPr>
      <w:r>
        <w:rPr>
          <w:rFonts w:hint="eastAsia" w:ascii="宋体" w:hAnsi="宋体" w:cs="宋体"/>
        </w:rPr>
        <w:t>2.电子交易平台应用或数据库出现错误，不能进行正常操作的；</w:t>
      </w:r>
    </w:p>
    <w:p w14:paraId="4344ED81">
      <w:pPr>
        <w:pageBreakBefore w:val="0"/>
        <w:kinsoku/>
        <w:wordWrap/>
        <w:overflowPunct/>
        <w:topLinePunct w:val="0"/>
        <w:bidi w:val="0"/>
        <w:spacing w:line="400" w:lineRule="exact"/>
        <w:ind w:left="0" w:right="0" w:firstLine="369" w:firstLineChars="176"/>
        <w:rPr>
          <w:rFonts w:ascii="宋体" w:hAnsi="宋体" w:cs="宋体"/>
        </w:rPr>
      </w:pPr>
      <w:r>
        <w:rPr>
          <w:rFonts w:hint="eastAsia" w:ascii="宋体" w:hAnsi="宋体" w:cs="宋体"/>
        </w:rPr>
        <w:t>3.电子交易平台发现严重安全漏洞，有潜在泄密危险的；</w:t>
      </w:r>
    </w:p>
    <w:p w14:paraId="2726EA6C">
      <w:pPr>
        <w:pageBreakBefore w:val="0"/>
        <w:kinsoku/>
        <w:wordWrap/>
        <w:overflowPunct/>
        <w:topLinePunct w:val="0"/>
        <w:bidi w:val="0"/>
        <w:spacing w:line="400" w:lineRule="exact"/>
        <w:ind w:left="0" w:right="0" w:firstLine="369" w:firstLineChars="176"/>
        <w:rPr>
          <w:rFonts w:ascii="宋体" w:hAnsi="宋体" w:cs="宋体"/>
        </w:rPr>
      </w:pPr>
      <w:r>
        <w:rPr>
          <w:rFonts w:hint="eastAsia" w:ascii="宋体" w:hAnsi="宋体" w:cs="宋体"/>
        </w:rPr>
        <w:t>4.病毒发作导致不能进行正常操作的；</w:t>
      </w:r>
    </w:p>
    <w:p w14:paraId="60D2C687">
      <w:pPr>
        <w:pageBreakBefore w:val="0"/>
        <w:kinsoku/>
        <w:wordWrap/>
        <w:overflowPunct/>
        <w:topLinePunct w:val="0"/>
        <w:bidi w:val="0"/>
        <w:spacing w:line="400" w:lineRule="exact"/>
        <w:ind w:left="0" w:right="0" w:firstLine="369" w:firstLineChars="176"/>
        <w:rPr>
          <w:rFonts w:ascii="宋体" w:hAnsi="宋体" w:cs="宋体"/>
        </w:rPr>
      </w:pPr>
      <w:r>
        <w:rPr>
          <w:rFonts w:hint="eastAsia" w:ascii="宋体" w:hAnsi="宋体" w:cs="宋体"/>
        </w:rPr>
        <w:t>5.其他无法保证电子交易的公平、公正和安全的情况。</w:t>
      </w:r>
    </w:p>
    <w:p w14:paraId="6227D71F">
      <w:pPr>
        <w:pageBreakBefore w:val="0"/>
        <w:kinsoku/>
        <w:wordWrap/>
        <w:overflowPunct/>
        <w:topLinePunct w:val="0"/>
        <w:bidi w:val="0"/>
        <w:spacing w:line="400" w:lineRule="exact"/>
        <w:ind w:left="0" w:right="0" w:firstLine="422" w:firstLineChars="200"/>
        <w:rPr>
          <w:rFonts w:ascii="宋体" w:hAnsi="宋体" w:cs="宋体"/>
          <w:b/>
        </w:rPr>
      </w:pPr>
      <w:r>
        <w:rPr>
          <w:rFonts w:hint="eastAsia" w:ascii="宋体" w:hAnsi="宋体" w:cs="宋体"/>
          <w:b/>
        </w:rPr>
        <w:t>出现上述情形，不影响采购公平、公正性的，采购组织机构可以待上述情形消除后继续组织电子交易活动；影响或可能影响采购公平、公正性的，应当重新采购。</w:t>
      </w:r>
    </w:p>
    <w:p w14:paraId="2561C3DB">
      <w:pPr>
        <w:pageBreakBefore w:val="0"/>
        <w:kinsoku/>
        <w:wordWrap/>
        <w:overflowPunct/>
        <w:topLinePunct w:val="0"/>
        <w:bidi w:val="0"/>
        <w:spacing w:line="400" w:lineRule="exact"/>
        <w:ind w:left="0" w:right="0"/>
      </w:pPr>
    </w:p>
    <w:p w14:paraId="29B44F8F">
      <w:pPr>
        <w:pStyle w:val="4"/>
        <w:pageBreakBefore w:val="0"/>
        <w:numPr>
          <w:ilvl w:val="0"/>
          <w:numId w:val="7"/>
        </w:numPr>
        <w:kinsoku/>
        <w:wordWrap/>
        <w:overflowPunct/>
        <w:topLinePunct w:val="0"/>
        <w:bidi w:val="0"/>
        <w:spacing w:line="400" w:lineRule="exact"/>
        <w:ind w:left="0" w:right="0"/>
        <w:rPr>
          <w:rFonts w:ascii="宋体" w:hAnsi="宋体" w:eastAsia="宋体" w:cs="宋体"/>
          <w:sz w:val="24"/>
          <w:szCs w:val="24"/>
        </w:rPr>
      </w:pPr>
      <w:bookmarkStart w:id="124" w:name="_Toc23374"/>
      <w:bookmarkStart w:id="125" w:name="_Toc30968"/>
      <w:bookmarkStart w:id="126" w:name="_Toc26661"/>
      <w:bookmarkStart w:id="127" w:name="_Toc10758"/>
      <w:bookmarkStart w:id="128" w:name="_Toc11475"/>
      <w:bookmarkStart w:id="129" w:name="_Toc32265"/>
      <w:bookmarkStart w:id="130" w:name="_Toc28539"/>
      <w:bookmarkStart w:id="131" w:name="_Toc9635"/>
      <w:r>
        <w:rPr>
          <w:rFonts w:hint="eastAsia" w:ascii="宋体" w:hAnsi="宋体" w:eastAsia="宋体" w:cs="宋体"/>
          <w:sz w:val="24"/>
          <w:szCs w:val="24"/>
        </w:rPr>
        <w:t>定标</w:t>
      </w:r>
      <w:bookmarkEnd w:id="118"/>
      <w:bookmarkEnd w:id="124"/>
      <w:bookmarkEnd w:id="125"/>
      <w:bookmarkEnd w:id="126"/>
      <w:bookmarkEnd w:id="127"/>
      <w:bookmarkEnd w:id="128"/>
      <w:bookmarkEnd w:id="129"/>
      <w:bookmarkEnd w:id="130"/>
      <w:bookmarkEnd w:id="131"/>
    </w:p>
    <w:p w14:paraId="2433DF6A">
      <w:pPr>
        <w:pageBreakBefore w:val="0"/>
        <w:kinsoku/>
        <w:wordWrap/>
        <w:overflowPunct/>
        <w:topLinePunct w:val="0"/>
        <w:bidi w:val="0"/>
        <w:adjustRightInd w:val="0"/>
        <w:snapToGrid w:val="0"/>
        <w:spacing w:line="400" w:lineRule="exact"/>
        <w:ind w:left="0" w:right="0"/>
        <w:jc w:val="left"/>
        <w:rPr>
          <w:rFonts w:ascii="宋体" w:hAnsi="宋体" w:cs="宋体"/>
        </w:rPr>
      </w:pPr>
      <w:bookmarkStart w:id="132" w:name="_Toc317341944"/>
      <w:bookmarkStart w:id="133" w:name="_Toc222632760"/>
      <w:r>
        <w:rPr>
          <w:rFonts w:hint="eastAsia" w:ascii="宋体" w:hAnsi="宋体" w:cs="宋体"/>
        </w:rPr>
        <w:t>（一）确定中标人。本项目由采购单位确定中标人。</w:t>
      </w:r>
    </w:p>
    <w:p w14:paraId="0694E9B0">
      <w:pPr>
        <w:pageBreakBefore w:val="0"/>
        <w:kinsoku/>
        <w:wordWrap/>
        <w:overflowPunct/>
        <w:topLinePunct w:val="0"/>
        <w:bidi w:val="0"/>
        <w:adjustRightInd w:val="0"/>
        <w:snapToGrid w:val="0"/>
        <w:spacing w:line="400" w:lineRule="exact"/>
        <w:ind w:left="0" w:right="0"/>
        <w:jc w:val="left"/>
        <w:rPr>
          <w:rFonts w:ascii="宋体" w:hAnsi="宋体" w:cs="宋体"/>
        </w:rPr>
      </w:pPr>
      <w:r>
        <w:rPr>
          <w:rFonts w:hint="eastAsia" w:ascii="宋体" w:hAnsi="宋体" w:cs="宋体"/>
        </w:rPr>
        <w:t>（二）采购代理机构在评标结束后2个工作日内将评标报告交采购单位。</w:t>
      </w:r>
    </w:p>
    <w:p w14:paraId="597B7185">
      <w:pPr>
        <w:pageBreakBefore w:val="0"/>
        <w:kinsoku/>
        <w:wordWrap/>
        <w:overflowPunct/>
        <w:topLinePunct w:val="0"/>
        <w:bidi w:val="0"/>
        <w:adjustRightInd w:val="0"/>
        <w:snapToGrid w:val="0"/>
        <w:spacing w:line="400" w:lineRule="exact"/>
        <w:ind w:left="0" w:right="0"/>
        <w:jc w:val="left"/>
        <w:rPr>
          <w:rFonts w:ascii="宋体" w:hAnsi="宋体" w:cs="宋体"/>
        </w:rPr>
      </w:pPr>
      <w:r>
        <w:rPr>
          <w:rFonts w:hint="eastAsia" w:ascii="宋体" w:hAnsi="宋体" w:cs="宋体"/>
        </w:rPr>
        <w:t>（三）采购人在收到评标报告后5个工作日内按照评标报告推荐的顺序确定中标人。中标候选人顺序并列的，由采购人采购小组成员集体讨论确定。</w:t>
      </w:r>
    </w:p>
    <w:p w14:paraId="14503D2C">
      <w:pPr>
        <w:pageBreakBefore w:val="0"/>
        <w:kinsoku/>
        <w:wordWrap/>
        <w:overflowPunct/>
        <w:topLinePunct w:val="0"/>
        <w:bidi w:val="0"/>
        <w:adjustRightInd w:val="0"/>
        <w:snapToGrid w:val="0"/>
        <w:spacing w:line="400" w:lineRule="exact"/>
        <w:ind w:left="0" w:right="0"/>
        <w:jc w:val="left"/>
        <w:rPr>
          <w:rFonts w:ascii="宋体" w:hAnsi="宋体" w:cs="宋体"/>
        </w:rPr>
      </w:pPr>
      <w:r>
        <w:rPr>
          <w:rFonts w:hint="eastAsia" w:ascii="宋体" w:hAnsi="宋体" w:cs="宋体"/>
        </w:rPr>
        <w:t>（四）采购人依法确定中标人后2个工作日内，采购人和采购代理机构以书面形式发出《中标通知书》，并同时在相关网站发布中标公告。中标公告期限为1个工作日。</w:t>
      </w:r>
    </w:p>
    <w:p w14:paraId="6479536F">
      <w:pPr>
        <w:pageBreakBefore w:val="0"/>
        <w:kinsoku/>
        <w:wordWrap/>
        <w:overflowPunct/>
        <w:topLinePunct w:val="0"/>
        <w:bidi w:val="0"/>
        <w:adjustRightInd w:val="0"/>
        <w:snapToGrid w:val="0"/>
        <w:spacing w:line="400" w:lineRule="exact"/>
        <w:ind w:left="0" w:right="0"/>
        <w:jc w:val="left"/>
        <w:rPr>
          <w:rFonts w:ascii="宋体" w:hAnsi="宋体" w:cs="宋体"/>
        </w:rPr>
      </w:pPr>
      <w:r>
        <w:rPr>
          <w:rFonts w:hint="eastAsia" w:ascii="宋体" w:hAnsi="宋体" w:cs="宋体"/>
        </w:rPr>
        <w:t xml:space="preserve">     采购代理机构对未通过资格审查的投标人，告知其未通过的原因。对未中标人，告知其本人的评审得分和排序。</w:t>
      </w:r>
    </w:p>
    <w:p w14:paraId="0CF113F8">
      <w:pPr>
        <w:pageBreakBefore w:val="0"/>
        <w:kinsoku/>
        <w:wordWrap/>
        <w:overflowPunct/>
        <w:topLinePunct w:val="0"/>
        <w:bidi w:val="0"/>
        <w:spacing w:line="400" w:lineRule="exact"/>
        <w:ind w:left="0" w:right="0"/>
        <w:jc w:val="left"/>
      </w:pPr>
    </w:p>
    <w:p w14:paraId="2A24E89C">
      <w:pPr>
        <w:pStyle w:val="4"/>
        <w:pageBreakBefore w:val="0"/>
        <w:numPr>
          <w:ilvl w:val="0"/>
          <w:numId w:val="7"/>
        </w:numPr>
        <w:kinsoku/>
        <w:wordWrap/>
        <w:overflowPunct/>
        <w:topLinePunct w:val="0"/>
        <w:bidi w:val="0"/>
        <w:spacing w:line="400" w:lineRule="exact"/>
        <w:ind w:left="0" w:right="0"/>
        <w:rPr>
          <w:rFonts w:ascii="宋体" w:hAnsi="宋体" w:eastAsia="宋体" w:cs="宋体"/>
          <w:sz w:val="24"/>
          <w:szCs w:val="24"/>
        </w:rPr>
      </w:pPr>
      <w:bookmarkStart w:id="134" w:name="_Toc18937"/>
      <w:bookmarkStart w:id="135" w:name="_Toc15751"/>
      <w:bookmarkStart w:id="136" w:name="_Toc23493"/>
      <w:bookmarkStart w:id="137" w:name="_Toc29128"/>
      <w:bookmarkStart w:id="138" w:name="_Toc22818"/>
      <w:bookmarkStart w:id="139" w:name="_Toc16672"/>
      <w:bookmarkStart w:id="140" w:name="_Toc675"/>
      <w:bookmarkStart w:id="141" w:name="_Toc10354"/>
      <w:r>
        <w:rPr>
          <w:rFonts w:hint="eastAsia" w:ascii="宋体" w:hAnsi="宋体" w:eastAsia="宋体" w:cs="宋体"/>
          <w:sz w:val="24"/>
          <w:szCs w:val="24"/>
        </w:rPr>
        <w:t>合同的授予</w:t>
      </w:r>
      <w:bookmarkEnd w:id="132"/>
      <w:bookmarkEnd w:id="133"/>
      <w:bookmarkEnd w:id="134"/>
      <w:bookmarkEnd w:id="135"/>
      <w:bookmarkEnd w:id="136"/>
      <w:bookmarkEnd w:id="137"/>
      <w:bookmarkEnd w:id="138"/>
      <w:bookmarkEnd w:id="139"/>
      <w:bookmarkEnd w:id="140"/>
      <w:bookmarkEnd w:id="141"/>
    </w:p>
    <w:p w14:paraId="62875170">
      <w:pPr>
        <w:pageBreakBefore w:val="0"/>
        <w:kinsoku/>
        <w:wordWrap/>
        <w:overflowPunct/>
        <w:topLinePunct w:val="0"/>
        <w:bidi w:val="0"/>
        <w:adjustRightInd w:val="0"/>
        <w:snapToGrid w:val="0"/>
        <w:spacing w:line="400" w:lineRule="exact"/>
        <w:ind w:left="0" w:right="0"/>
        <w:rPr>
          <w:rFonts w:ascii="宋体" w:hAnsi="宋体" w:cs="宋体"/>
          <w:b/>
        </w:rPr>
      </w:pPr>
      <w:r>
        <w:rPr>
          <w:rFonts w:hint="eastAsia" w:ascii="宋体" w:hAnsi="宋体" w:cs="宋体"/>
          <w:b/>
        </w:rPr>
        <w:t>（一）授予合同的依据</w:t>
      </w:r>
    </w:p>
    <w:p w14:paraId="54ED88D4">
      <w:pPr>
        <w:pageBreakBefore w:val="0"/>
        <w:kinsoku/>
        <w:wordWrap/>
        <w:overflowPunct/>
        <w:topLinePunct w:val="0"/>
        <w:autoSpaceDE w:val="0"/>
        <w:autoSpaceDN w:val="0"/>
        <w:bidi w:val="0"/>
        <w:adjustRightInd w:val="0"/>
        <w:spacing w:line="400" w:lineRule="exact"/>
        <w:ind w:left="0" w:right="0" w:firstLine="420" w:firstLineChars="200"/>
        <w:jc w:val="left"/>
        <w:rPr>
          <w:rFonts w:ascii="宋体" w:hAnsi="宋体"/>
          <w:color w:val="000000"/>
          <w:kern w:val="0"/>
        </w:rPr>
      </w:pPr>
      <w:r>
        <w:rPr>
          <w:rFonts w:hint="eastAsia" w:ascii="宋体" w:hAnsi="宋体"/>
          <w:bCs/>
          <w:color w:val="000000"/>
          <w:kern w:val="0"/>
        </w:rPr>
        <w:t>1.</w:t>
      </w:r>
      <w:r>
        <w:rPr>
          <w:rFonts w:hint="eastAsia" w:ascii="宋体" w:hAnsi="宋体"/>
          <w:color w:val="000000"/>
          <w:kern w:val="0"/>
        </w:rPr>
        <w:t>根据浙财采监(2025)2号《浙江省财政厅关于进一步规范政府采购秩序促进公平竞争的通知》要求，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本项目要求成交供应商在领取成交通知书时提供上述资料的原件供采购人和采购代理机构复核。如发现供应商提供虚假材料的，将及时书面报告本级财政部门；</w:t>
      </w:r>
    </w:p>
    <w:p w14:paraId="6A2B11C9">
      <w:pPr>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ottom"/>
        <w:rPr>
          <w:rFonts w:ascii="宋体" w:hAnsi="宋体" w:cs="宋体"/>
        </w:rPr>
      </w:pPr>
      <w:r>
        <w:rPr>
          <w:rFonts w:hint="eastAsia" w:ascii="宋体" w:hAnsi="宋体" w:cs="Times New Roman"/>
          <w:color w:val="000000"/>
          <w:kern w:val="0"/>
        </w:rPr>
        <w:t>2.经资料复核无误，采购人与中标人按照中标通知书的规定时间、地点签订书面合同；</w:t>
      </w:r>
    </w:p>
    <w:p w14:paraId="147EA370">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3.所签订的采购合同内容不得对招标文件和中标人的投标文件作实质性修改；</w:t>
      </w:r>
    </w:p>
    <w:p w14:paraId="1BD44075">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4.采购人不得向中标人提出任何不合理的要求，作为签订合同的条件，不得与中标人私下订立背离合同实质性内容的协议；</w:t>
      </w:r>
    </w:p>
    <w:p w14:paraId="73443848">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5.自合同签订之日起二个工作日内，采购人应将合同进行网上公告。</w:t>
      </w:r>
    </w:p>
    <w:p w14:paraId="34228F0E">
      <w:pPr>
        <w:pageBreakBefore w:val="0"/>
        <w:kinsoku/>
        <w:wordWrap/>
        <w:overflowPunct/>
        <w:topLinePunct w:val="0"/>
        <w:bidi w:val="0"/>
        <w:adjustRightInd w:val="0"/>
        <w:snapToGrid w:val="0"/>
        <w:spacing w:line="400" w:lineRule="exact"/>
        <w:ind w:left="0" w:right="0"/>
        <w:rPr>
          <w:rFonts w:ascii="宋体" w:hAnsi="宋体" w:cs="宋体"/>
          <w:b/>
        </w:rPr>
      </w:pPr>
      <w:r>
        <w:rPr>
          <w:rFonts w:hint="eastAsia" w:ascii="宋体" w:hAnsi="宋体" w:cs="宋体"/>
          <w:b/>
        </w:rPr>
        <w:t>（二）签署合同的要求</w:t>
      </w:r>
    </w:p>
    <w:p w14:paraId="3E3EE795">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1.采购人与中标人按照中标通知书的规定时间、地点签订书面合同；</w:t>
      </w:r>
    </w:p>
    <w:p w14:paraId="09699F5A">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2.签订合同的时间（以前附表为准）；</w:t>
      </w:r>
    </w:p>
    <w:p w14:paraId="730C89F8">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3.所签订的采购合同内容不得对招标文件和中标人的投标文件作实质性修改；</w:t>
      </w:r>
    </w:p>
    <w:p w14:paraId="4264520C">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4.采购人不得向中标人提出任何不合理的要求，作为签订合同的条件，不得与中标人私下订立背离合同实质性内容的协议；</w:t>
      </w:r>
    </w:p>
    <w:p w14:paraId="4493CF8A">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5.自合同签订之日起二个工作日内，采购人应将合同进行网上公告。</w:t>
      </w:r>
    </w:p>
    <w:p w14:paraId="6FACF076">
      <w:pPr>
        <w:pageBreakBefore w:val="0"/>
        <w:kinsoku/>
        <w:wordWrap/>
        <w:overflowPunct/>
        <w:topLinePunct w:val="0"/>
        <w:bidi w:val="0"/>
        <w:adjustRightInd w:val="0"/>
        <w:snapToGrid w:val="0"/>
        <w:spacing w:line="400" w:lineRule="exact"/>
        <w:ind w:left="0" w:right="0"/>
        <w:rPr>
          <w:rFonts w:ascii="宋体" w:hAnsi="宋体" w:cs="宋体"/>
          <w:b/>
        </w:rPr>
      </w:pPr>
      <w:r>
        <w:rPr>
          <w:rFonts w:hint="eastAsia" w:ascii="宋体" w:hAnsi="宋体" w:cs="宋体"/>
          <w:b/>
        </w:rPr>
        <w:t>（三）中标通知书</w:t>
      </w:r>
    </w:p>
    <w:p w14:paraId="176B3BF2">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1.确定中标人后，采购人和采购代理机构将以书面形式发出中标通知书；</w:t>
      </w:r>
    </w:p>
    <w:p w14:paraId="1C162873">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2.中标通知书为双方签订采购合同的依据；</w:t>
      </w:r>
    </w:p>
    <w:p w14:paraId="72C65A36">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3.中标人应根据中标通知书中规定的时间内，由法定代表人或其授权代理人与采购人签订合同。</w:t>
      </w:r>
    </w:p>
    <w:p w14:paraId="289370D1">
      <w:pPr>
        <w:pageBreakBefore w:val="0"/>
        <w:kinsoku/>
        <w:wordWrap/>
        <w:overflowPunct/>
        <w:topLinePunct w:val="0"/>
        <w:bidi w:val="0"/>
        <w:adjustRightInd w:val="0"/>
        <w:snapToGrid w:val="0"/>
        <w:spacing w:line="400" w:lineRule="exact"/>
        <w:ind w:left="0" w:right="0" w:firstLine="420" w:firstLineChars="200"/>
        <w:jc w:val="left"/>
        <w:rPr>
          <w:rFonts w:ascii="宋体" w:hAnsi="宋体" w:cs="宋体"/>
        </w:rPr>
      </w:pPr>
      <w:r>
        <w:rPr>
          <w:rFonts w:hint="eastAsia" w:ascii="宋体" w:hAnsi="宋体" w:cs="宋体"/>
        </w:rPr>
        <w:t>4.中标通知书发出后，采购人改变中标结果，或者中标人放弃中标，应当承担相应的法律责任。</w:t>
      </w:r>
    </w:p>
    <w:p w14:paraId="4597A099">
      <w:pPr>
        <w:pageBreakBefore w:val="0"/>
        <w:kinsoku/>
        <w:wordWrap/>
        <w:overflowPunct/>
        <w:topLinePunct w:val="0"/>
        <w:bidi w:val="0"/>
        <w:adjustRightInd w:val="0"/>
        <w:snapToGrid w:val="0"/>
        <w:spacing w:line="400" w:lineRule="exact"/>
        <w:ind w:left="0" w:right="0"/>
        <w:rPr>
          <w:rFonts w:ascii="宋体" w:hAnsi="宋体" w:cs="宋体"/>
          <w:b/>
        </w:rPr>
      </w:pPr>
      <w:r>
        <w:rPr>
          <w:rFonts w:hint="eastAsia" w:ascii="宋体" w:hAnsi="宋体" w:cs="宋体"/>
          <w:b/>
        </w:rPr>
        <w:t>（四）履约保证金</w:t>
      </w:r>
    </w:p>
    <w:p w14:paraId="6C8911EA">
      <w:pPr>
        <w:pageBreakBefore w:val="0"/>
        <w:kinsoku/>
        <w:wordWrap/>
        <w:overflowPunct/>
        <w:topLinePunct w:val="0"/>
        <w:bidi w:val="0"/>
        <w:adjustRightInd w:val="0"/>
        <w:snapToGrid w:val="0"/>
        <w:spacing w:line="400" w:lineRule="exact"/>
        <w:ind w:left="0" w:right="0" w:firstLine="420" w:firstLineChars="200"/>
        <w:rPr>
          <w:rFonts w:ascii="宋体" w:hAnsi="宋体" w:cs="宋体"/>
          <w:bCs/>
        </w:rPr>
      </w:pPr>
      <w:r>
        <w:rPr>
          <w:rFonts w:hint="eastAsia" w:ascii="宋体" w:hAnsi="宋体" w:cs="宋体"/>
          <w:bCs/>
        </w:rPr>
        <w:t>不收取。</w:t>
      </w:r>
    </w:p>
    <w:p w14:paraId="289815B8">
      <w:pPr>
        <w:pageBreakBefore w:val="0"/>
        <w:kinsoku/>
        <w:wordWrap/>
        <w:overflowPunct/>
        <w:topLinePunct w:val="0"/>
        <w:bidi w:val="0"/>
        <w:adjustRightInd w:val="0"/>
        <w:snapToGrid w:val="0"/>
        <w:spacing w:line="400" w:lineRule="exact"/>
        <w:ind w:left="0" w:right="0"/>
        <w:rPr>
          <w:rFonts w:ascii="宋体" w:hAnsi="宋体" w:cs="宋体"/>
          <w:b/>
        </w:rPr>
      </w:pPr>
      <w:r>
        <w:rPr>
          <w:rFonts w:hint="eastAsia" w:ascii="宋体" w:hAnsi="宋体" w:cs="宋体"/>
          <w:b/>
        </w:rPr>
        <w:t>（五）合同签订</w:t>
      </w:r>
    </w:p>
    <w:p w14:paraId="239C3007">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1.采购人与中标人依据招标文件和中标人的投标文件签订书面合同；</w:t>
      </w:r>
    </w:p>
    <w:p w14:paraId="5AF5716C">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2.采购人如不与中标人订立协议的，或者采购人、中标人订立背离实质性内容的协议，由政府有关部门责令改正，同时依法承担相应法律责任；</w:t>
      </w:r>
    </w:p>
    <w:p w14:paraId="5EBEB844">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3.中标人如不按规定与采购人订立协议的，则采购人将取消其中标资格，并向其要求以预算金额2%额度的赔偿；</w:t>
      </w:r>
    </w:p>
    <w:p w14:paraId="200621A6">
      <w:pPr>
        <w:pageBreakBefore w:val="0"/>
        <w:kinsoku/>
        <w:wordWrap/>
        <w:overflowPunct/>
        <w:topLinePunct w:val="0"/>
        <w:bidi w:val="0"/>
        <w:adjustRightInd w:val="0"/>
        <w:snapToGrid w:val="0"/>
        <w:spacing w:line="400" w:lineRule="exact"/>
        <w:ind w:left="0" w:right="0" w:firstLine="420" w:firstLineChars="200"/>
        <w:rPr>
          <w:rFonts w:ascii="宋体" w:hAnsi="宋体" w:cs="宋体"/>
        </w:rPr>
      </w:pPr>
      <w:r>
        <w:rPr>
          <w:rFonts w:hint="eastAsia" w:ascii="宋体" w:hAnsi="宋体" w:cs="宋体"/>
        </w:rPr>
        <w:t>4. 中标人应当按照协议约定履行义务，完成项目各项工作，不得将中标项目违法转让（转包）给他人。</w:t>
      </w:r>
    </w:p>
    <w:p w14:paraId="325A17F9">
      <w:pPr>
        <w:pStyle w:val="4"/>
        <w:pageBreakBefore w:val="0"/>
        <w:numPr>
          <w:ilvl w:val="0"/>
          <w:numId w:val="7"/>
        </w:numPr>
        <w:kinsoku/>
        <w:wordWrap/>
        <w:overflowPunct/>
        <w:topLinePunct w:val="0"/>
        <w:bidi w:val="0"/>
        <w:spacing w:line="400" w:lineRule="exact"/>
        <w:ind w:left="0" w:right="0"/>
        <w:rPr>
          <w:rFonts w:ascii="宋体" w:hAnsi="宋体" w:eastAsia="宋体" w:cs="宋体"/>
          <w:sz w:val="24"/>
          <w:szCs w:val="24"/>
        </w:rPr>
      </w:pPr>
      <w:bookmarkStart w:id="142" w:name="_Toc13149"/>
      <w:bookmarkStart w:id="143" w:name="_Toc28331"/>
      <w:bookmarkStart w:id="144" w:name="_Toc23166"/>
      <w:bookmarkStart w:id="145" w:name="_Toc23673"/>
      <w:bookmarkStart w:id="146" w:name="_Toc30933"/>
      <w:r>
        <w:rPr>
          <w:rFonts w:hint="eastAsia" w:ascii="宋体" w:hAnsi="宋体" w:eastAsia="宋体" w:cs="宋体"/>
          <w:sz w:val="24"/>
          <w:szCs w:val="24"/>
        </w:rPr>
        <w:t>采购项目需要落实的政府采购政策</w:t>
      </w:r>
      <w:bookmarkEnd w:id="142"/>
      <w:bookmarkEnd w:id="143"/>
      <w:bookmarkEnd w:id="144"/>
      <w:bookmarkEnd w:id="145"/>
      <w:bookmarkEnd w:id="146"/>
    </w:p>
    <w:p w14:paraId="0C4D32C2">
      <w:pPr>
        <w:pageBreakBefore w:val="0"/>
        <w:numPr>
          <w:ilvl w:val="0"/>
          <w:numId w:val="9"/>
        </w:numPr>
        <w:kinsoku/>
        <w:wordWrap/>
        <w:overflowPunct/>
        <w:topLinePunct w:val="0"/>
        <w:autoSpaceDE w:val="0"/>
        <w:autoSpaceDN w:val="0"/>
        <w:bidi w:val="0"/>
        <w:adjustRightInd w:val="0"/>
        <w:snapToGrid w:val="0"/>
        <w:spacing w:line="400" w:lineRule="exact"/>
        <w:ind w:left="0" w:right="0"/>
        <w:rPr>
          <w:rFonts w:ascii="宋体" w:hAnsi="宋体" w:cs="宋体"/>
          <w:b/>
          <w:bCs/>
          <w:shd w:val="clear" w:color="auto" w:fill="FFFFFF"/>
        </w:rPr>
      </w:pPr>
      <w:r>
        <w:rPr>
          <w:rFonts w:hint="eastAsia" w:ascii="宋体" w:hAnsi="宋体" w:cs="宋体"/>
          <w:b/>
          <w:bCs/>
          <w:shd w:val="clear" w:color="auto" w:fill="FFFFFF"/>
        </w:rPr>
        <w:t>采购本国生产的货物、工程和服务（经审批允许进口产品投标的除外）</w:t>
      </w:r>
    </w:p>
    <w:p w14:paraId="474B0173">
      <w:pPr>
        <w:pageBreakBefore w:val="0"/>
        <w:kinsoku/>
        <w:wordWrap/>
        <w:overflowPunct/>
        <w:topLinePunct w:val="0"/>
        <w:bidi w:val="0"/>
        <w:spacing w:line="400" w:lineRule="exact"/>
        <w:ind w:left="0" w:right="0" w:firstLine="210" w:firstLineChars="100"/>
        <w:rPr>
          <w:rFonts w:ascii="宋体" w:hAnsi="宋体" w:cs="宋体"/>
        </w:rPr>
      </w:pPr>
      <w:r>
        <w:rPr>
          <w:rFonts w:hint="eastAsia" w:ascii="宋体" w:hAnsi="宋体" w:cs="宋体"/>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3584B77">
      <w:pPr>
        <w:pageBreakBefore w:val="0"/>
        <w:numPr>
          <w:ilvl w:val="0"/>
          <w:numId w:val="9"/>
        </w:numPr>
        <w:kinsoku/>
        <w:wordWrap/>
        <w:overflowPunct/>
        <w:topLinePunct w:val="0"/>
        <w:autoSpaceDE w:val="0"/>
        <w:autoSpaceDN w:val="0"/>
        <w:bidi w:val="0"/>
        <w:adjustRightInd w:val="0"/>
        <w:spacing w:line="400" w:lineRule="exact"/>
        <w:ind w:left="0" w:right="0"/>
        <w:rPr>
          <w:rFonts w:ascii="宋体" w:hAnsi="宋体" w:cs="宋体"/>
          <w:b/>
          <w:bCs/>
          <w:shd w:val="clear" w:color="auto" w:fill="FFFFFF"/>
        </w:rPr>
      </w:pPr>
      <w:r>
        <w:rPr>
          <w:rFonts w:hint="eastAsia" w:ascii="宋体" w:hAnsi="宋体" w:cs="宋体"/>
          <w:b/>
          <w:bCs/>
          <w:shd w:val="clear" w:color="auto" w:fill="FFFFFF"/>
        </w:rPr>
        <w:t>支持绿色采购</w:t>
      </w:r>
    </w:p>
    <w:p w14:paraId="5FE3AC41">
      <w:pPr>
        <w:pageBreakBefore w:val="0"/>
        <w:kinsoku/>
        <w:wordWrap/>
        <w:overflowPunct/>
        <w:topLinePunct w:val="0"/>
        <w:autoSpaceDE w:val="0"/>
        <w:autoSpaceDN w:val="0"/>
        <w:bidi w:val="0"/>
        <w:adjustRightInd w:val="0"/>
        <w:spacing w:line="400" w:lineRule="exact"/>
        <w:ind w:left="0" w:right="0" w:firstLine="210" w:firstLineChars="100"/>
        <w:rPr>
          <w:rFonts w:ascii="宋体" w:hAnsi="宋体" w:cs="宋体"/>
          <w:shd w:val="clear" w:color="auto" w:fill="FFFFFF"/>
        </w:rPr>
      </w:pPr>
      <w:r>
        <w:rPr>
          <w:rFonts w:hint="eastAsia" w:ascii="宋体" w:hAnsi="宋体" w:cs="宋体"/>
          <w:shd w:val="clear" w:color="auto" w:fill="FFFFFF"/>
        </w:rPr>
        <w:t>1.节能环保产品</w:t>
      </w:r>
    </w:p>
    <w:p w14:paraId="3C941814">
      <w:pPr>
        <w:pageBreakBefore w:val="0"/>
        <w:kinsoku/>
        <w:wordWrap/>
        <w:overflowPunct/>
        <w:topLinePunct w:val="0"/>
        <w:autoSpaceDE w:val="0"/>
        <w:autoSpaceDN w:val="0"/>
        <w:bidi w:val="0"/>
        <w:adjustRightInd w:val="0"/>
        <w:spacing w:line="400" w:lineRule="exact"/>
        <w:ind w:left="0" w:right="0" w:firstLine="210" w:firstLineChars="100"/>
        <w:rPr>
          <w:rFonts w:ascii="宋体" w:hAnsi="宋体" w:cs="宋体"/>
          <w:shd w:val="clear" w:color="auto" w:fill="FFFFFF"/>
        </w:rPr>
      </w:pPr>
      <w:r>
        <w:rPr>
          <w:rFonts w:hint="eastAsia" w:ascii="宋体" w:hAnsi="宋体" w:cs="宋体"/>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10FF78F1">
      <w:pPr>
        <w:pageBreakBefore w:val="0"/>
        <w:kinsoku/>
        <w:wordWrap/>
        <w:overflowPunct/>
        <w:topLinePunct w:val="0"/>
        <w:autoSpaceDE w:val="0"/>
        <w:autoSpaceDN w:val="0"/>
        <w:bidi w:val="0"/>
        <w:adjustRightInd w:val="0"/>
        <w:spacing w:line="400" w:lineRule="exact"/>
        <w:ind w:left="0" w:right="0" w:firstLine="210" w:firstLineChars="100"/>
        <w:rPr>
          <w:rFonts w:hAnsi="宋体" w:cs="宋体"/>
        </w:rPr>
      </w:pPr>
      <w:r>
        <w:rPr>
          <w:rFonts w:hint="eastAsia" w:ascii="宋体" w:hAnsi="宋体" w:cs="宋体"/>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8B35B37">
      <w:pPr>
        <w:pStyle w:val="9"/>
        <w:pageBreakBefore w:val="0"/>
        <w:numPr>
          <w:ilvl w:val="255"/>
          <w:numId w:val="0"/>
        </w:numPr>
        <w:kinsoku/>
        <w:wordWrap/>
        <w:overflowPunct/>
        <w:topLinePunct w:val="0"/>
        <w:bidi w:val="0"/>
        <w:spacing w:beforeLines="0" w:afterLines="0" w:line="400" w:lineRule="exact"/>
        <w:ind w:left="0" w:right="0" w:firstLine="210" w:firstLineChars="100"/>
        <w:rPr>
          <w:rFonts w:hAnsi="宋体" w:cs="宋体"/>
          <w:sz w:val="21"/>
        </w:rPr>
      </w:pPr>
      <w:r>
        <w:rPr>
          <w:rFonts w:hint="eastAsia" w:hAnsi="宋体" w:cs="宋体"/>
          <w:sz w:val="21"/>
        </w:rPr>
        <w:t>2.对于采购货物的配置中，优先采购绿色低碳产品。</w:t>
      </w:r>
    </w:p>
    <w:p w14:paraId="5929D770">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修缮、装修类项目采购建材的，采购人应将绿色建筑和绿色建材性能、指标等作为实质性条件纳入招标文件和合同。</w:t>
      </w:r>
    </w:p>
    <w:p w14:paraId="4106DDC7">
      <w:pPr>
        <w:pStyle w:val="9"/>
        <w:pageBreakBefore w:val="0"/>
        <w:numPr>
          <w:ilvl w:val="255"/>
          <w:numId w:val="0"/>
        </w:numPr>
        <w:kinsoku/>
        <w:wordWrap/>
        <w:overflowPunct/>
        <w:topLinePunct w:val="0"/>
        <w:bidi w:val="0"/>
        <w:spacing w:beforeLines="0" w:afterLines="0" w:line="400" w:lineRule="exact"/>
        <w:ind w:left="0" w:right="0" w:firstLine="210" w:firstLineChars="100"/>
        <w:rPr>
          <w:rFonts w:hAnsi="宋体" w:cs="宋体"/>
          <w:sz w:val="21"/>
        </w:rPr>
      </w:pPr>
      <w:r>
        <w:rPr>
          <w:rFonts w:hint="eastAsia" w:hAnsi="宋体" w:cs="宋体"/>
          <w:sz w:val="21"/>
        </w:rPr>
        <w:t>3.优先采购绿色包装产品、绿色物流配送服务以及循环利用产品。</w:t>
      </w:r>
    </w:p>
    <w:p w14:paraId="236B08CA">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政府采购货物、工程和服务项目中涉及商品包装和快递包装的，供应商提供产品及相关快递服务的具体包装要求要参考《商品包装政府采购需求标准（试行）》、《快递包装政府采购需求标准（试行）》</w:t>
      </w:r>
    </w:p>
    <w:p w14:paraId="520D8D21">
      <w:pPr>
        <w:pStyle w:val="9"/>
        <w:pageBreakBefore w:val="0"/>
        <w:kinsoku/>
        <w:wordWrap/>
        <w:overflowPunct/>
        <w:topLinePunct w:val="0"/>
        <w:bidi w:val="0"/>
        <w:spacing w:beforeLines="0" w:afterLines="0" w:line="400" w:lineRule="exact"/>
        <w:ind w:left="0" w:right="0" w:firstLine="420" w:firstLineChars="200"/>
        <w:rPr>
          <w:rFonts w:hAnsi="宋体" w:cs="宋体"/>
          <w:sz w:val="21"/>
        </w:rPr>
      </w:pPr>
      <w:r>
        <w:rPr>
          <w:rFonts w:hint="eastAsia" w:hAnsi="宋体" w:cs="宋体"/>
          <w:sz w:val="21"/>
          <w:shd w:val="clear" w:color="auto" w:fill="FFFFFF"/>
        </w:rPr>
        <w:t>选择合理运输路线，有效利用车辆，科学配装，提高运输效率，降低物流成本和资源消耗，并降低尾气排放。</w:t>
      </w:r>
    </w:p>
    <w:p w14:paraId="521FDBB1">
      <w:pPr>
        <w:pStyle w:val="9"/>
        <w:pageBreakBefore w:val="0"/>
        <w:numPr>
          <w:ilvl w:val="255"/>
          <w:numId w:val="0"/>
        </w:numPr>
        <w:kinsoku/>
        <w:wordWrap/>
        <w:overflowPunct/>
        <w:topLinePunct w:val="0"/>
        <w:bidi w:val="0"/>
        <w:spacing w:beforeLines="0" w:afterLines="0" w:line="400" w:lineRule="exact"/>
        <w:ind w:left="0" w:right="0" w:firstLine="210" w:firstLineChars="100"/>
        <w:rPr>
          <w:rFonts w:hAnsi="宋体" w:cs="宋体"/>
          <w:sz w:val="21"/>
        </w:rPr>
      </w:pPr>
      <w:r>
        <w:rPr>
          <w:rFonts w:hint="eastAsia" w:hAnsi="宋体" w:cs="宋体"/>
          <w:sz w:val="21"/>
        </w:rPr>
        <w:t>4.加大新能源、清洁能源公务交通工具政府采购力度，机要通信等公务用车除特殊地理环境等因素外原则上采购新能源汽车，优先采购提供新能源交通工具的租赁服务。</w:t>
      </w:r>
    </w:p>
    <w:p w14:paraId="54C7F289">
      <w:pPr>
        <w:pageBreakBefore w:val="0"/>
        <w:numPr>
          <w:ilvl w:val="0"/>
          <w:numId w:val="9"/>
        </w:numPr>
        <w:kinsoku/>
        <w:wordWrap/>
        <w:overflowPunct/>
        <w:topLinePunct w:val="0"/>
        <w:autoSpaceDE w:val="0"/>
        <w:autoSpaceDN w:val="0"/>
        <w:bidi w:val="0"/>
        <w:adjustRightInd w:val="0"/>
        <w:spacing w:line="400" w:lineRule="exact"/>
        <w:ind w:left="0" w:right="0"/>
        <w:rPr>
          <w:rFonts w:ascii="宋体" w:hAnsi="宋体" w:cs="宋体"/>
          <w:b/>
          <w:bCs/>
          <w:shd w:val="clear" w:color="auto" w:fill="FFFFFF"/>
        </w:rPr>
      </w:pPr>
      <w:r>
        <w:rPr>
          <w:rFonts w:hint="eastAsia" w:ascii="宋体" w:hAnsi="宋体" w:cs="宋体"/>
          <w:b/>
          <w:bCs/>
          <w:shd w:val="clear" w:color="auto" w:fill="FFFFFF"/>
        </w:rPr>
        <w:t>支持科技创新</w:t>
      </w:r>
    </w:p>
    <w:p w14:paraId="7D147E6F">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采购人优先采购被认定为首台套产品和“制造精品”的自主创新产品。</w:t>
      </w:r>
    </w:p>
    <w:p w14:paraId="4C8488E8">
      <w:pPr>
        <w:pageBreakBefore w:val="0"/>
        <w:kinsoku/>
        <w:wordWrap/>
        <w:overflowPunct/>
        <w:topLinePunct w:val="0"/>
        <w:bidi w:val="0"/>
        <w:spacing w:line="400" w:lineRule="exact"/>
        <w:ind w:left="0" w:right="0" w:firstLine="420" w:firstLineChars="200"/>
        <w:rPr>
          <w:rFonts w:ascii="宋体" w:hAnsi="宋体" w:cs="宋体"/>
          <w:shd w:val="clear" w:color="auto" w:fill="FFFFFF"/>
        </w:rPr>
      </w:pPr>
      <w:r>
        <w:rPr>
          <w:rFonts w:hint="eastAsia" w:ascii="宋体" w:hAnsi="宋体" w:cs="宋体"/>
        </w:rPr>
        <w:t>对省级以上主管部门认定的首台套产品，自纳入《省推广应用指导目录》起三年内参加政府采购活动，视同已具备相应销售业绩，业绩分为满分。</w:t>
      </w:r>
    </w:p>
    <w:p w14:paraId="290B7B6C">
      <w:pPr>
        <w:pageBreakBefore w:val="0"/>
        <w:kinsoku/>
        <w:wordWrap/>
        <w:overflowPunct/>
        <w:topLinePunct w:val="0"/>
        <w:bidi w:val="0"/>
        <w:spacing w:line="400" w:lineRule="exact"/>
        <w:ind w:left="0" w:right="0"/>
        <w:rPr>
          <w:rFonts w:ascii="宋体" w:hAnsi="宋体" w:cs="宋体"/>
          <w:b/>
          <w:bCs/>
        </w:rPr>
      </w:pPr>
      <w:r>
        <w:rPr>
          <w:rFonts w:hint="eastAsia" w:ascii="宋体" w:hAnsi="宋体" w:cs="宋体"/>
          <w:b/>
          <w:bCs/>
        </w:rPr>
        <w:t>（四）中小企业信用融资</w:t>
      </w:r>
    </w:p>
    <w:p w14:paraId="2A6B5E9D">
      <w:pPr>
        <w:pageBreakBefore w:val="0"/>
        <w:kinsoku/>
        <w:wordWrap/>
        <w:overflowPunct/>
        <w:topLinePunct w:val="0"/>
        <w:bidi w:val="0"/>
        <w:spacing w:line="400" w:lineRule="exact"/>
        <w:ind w:left="0" w:right="0" w:firstLine="210" w:firstLineChars="100"/>
        <w:rPr>
          <w:rFonts w:ascii="宋体" w:hAnsi="宋体" w:cs="宋体"/>
        </w:rPr>
      </w:pPr>
      <w:r>
        <w:rPr>
          <w:rFonts w:hint="eastAsia" w:ascii="宋体" w:hAnsi="宋体" w:cs="宋体"/>
        </w:rPr>
        <w:t>本采购项目中标单位与采购单位签订的政府采购合同适用于浙江省政府采购贷款政策，简称“政采贷”，具体内容可参阅《安吉财政“政采贷”办理指引》。网址：</w:t>
      </w:r>
      <w:r>
        <w:fldChar w:fldCharType="begin"/>
      </w:r>
      <w:r>
        <w:instrText xml:space="preserve"> HYPERLINK "http://www.anji.gov.cn/hzgov/front/s553/zwgk/gggs/20231228/i3691136.html" </w:instrText>
      </w:r>
      <w:r>
        <w:fldChar w:fldCharType="separate"/>
      </w:r>
      <w:r>
        <w:rPr>
          <w:rFonts w:hint="eastAsia" w:ascii="宋体" w:hAnsi="宋体" w:cs="宋体"/>
        </w:rPr>
        <w:t>http://www.anji.gov.cn/hzgov/front/s553/zwgk/gggs/20231228/i3691136.html</w:t>
      </w:r>
      <w:r>
        <w:rPr>
          <w:rFonts w:hint="eastAsia" w:ascii="宋体" w:hAnsi="宋体" w:cs="宋体"/>
        </w:rPr>
        <w:fldChar w:fldCharType="end"/>
      </w:r>
      <w:r>
        <w:rPr>
          <w:rFonts w:hint="eastAsia" w:ascii="宋体" w:hAnsi="宋体" w:cs="宋体"/>
        </w:rPr>
        <w:t xml:space="preserve">。 </w:t>
      </w:r>
    </w:p>
    <w:p w14:paraId="6D3C8D4F">
      <w:pPr>
        <w:pageBreakBefore w:val="0"/>
        <w:kinsoku/>
        <w:wordWrap/>
        <w:overflowPunct/>
        <w:topLinePunct w:val="0"/>
        <w:bidi w:val="0"/>
        <w:spacing w:line="400" w:lineRule="exact"/>
        <w:ind w:left="0" w:right="0"/>
        <w:rPr>
          <w:rFonts w:ascii="宋体" w:hAnsi="宋体" w:cs="宋体"/>
          <w:b/>
          <w:bCs/>
          <w:shd w:val="clear" w:color="auto" w:fill="FFFFFF"/>
        </w:rPr>
      </w:pPr>
      <w:r>
        <w:rPr>
          <w:rFonts w:hint="eastAsia" w:ascii="宋体" w:hAnsi="宋体" w:cs="宋体"/>
          <w:b/>
          <w:bCs/>
          <w:shd w:val="clear" w:color="auto" w:fill="FFFFFF"/>
        </w:rPr>
        <w:t>（五）支持中小企业发展</w:t>
      </w:r>
    </w:p>
    <w:p w14:paraId="1F55D04C">
      <w:pPr>
        <w:pageBreakBefore w:val="0"/>
        <w:widowControl/>
        <w:kinsoku/>
        <w:wordWrap/>
        <w:overflowPunct/>
        <w:topLinePunct w:val="0"/>
        <w:bidi w:val="0"/>
        <w:spacing w:line="400" w:lineRule="exact"/>
        <w:ind w:left="0" w:right="0" w:firstLine="632" w:firstLineChars="300"/>
        <w:jc w:val="left"/>
        <w:rPr>
          <w:rFonts w:ascii="宋体" w:hAnsi="宋体" w:cs="宋体"/>
        </w:rPr>
      </w:pPr>
      <w:r>
        <w:rPr>
          <w:rFonts w:hint="eastAsia" w:ascii="宋体" w:hAnsi="宋体" w:cs="宋体"/>
          <w:b/>
          <w:bCs/>
        </w:rPr>
        <w:t>本项目为专门面向中小企业采购</w:t>
      </w:r>
      <w:r>
        <w:rPr>
          <w:rFonts w:hint="eastAsia" w:ascii="宋体" w:hAnsi="宋体" w:cs="宋体"/>
        </w:rPr>
        <w:t>，</w:t>
      </w:r>
      <w:r>
        <w:rPr>
          <w:rFonts w:hint="eastAsia" w:ascii="宋体" w:hAnsi="宋体" w:cs="宋体"/>
          <w:kern w:val="0"/>
        </w:rPr>
        <w:t>为本项目提供货物的企业按照《关于印发中小企业划型标准规定的通知》（工信部联企业〔2011〕300 号）的所属行业分类为</w:t>
      </w:r>
      <w:r>
        <w:rPr>
          <w:rStyle w:val="21"/>
          <w:rFonts w:hint="eastAsia" w:ascii="宋体" w:hAnsi="宋体" w:cs="宋体"/>
          <w:shd w:val="clear" w:color="auto" w:fill="FFFFFF"/>
          <w:lang w:eastAsia="zh-CN"/>
        </w:rPr>
        <w:t>其他未列明行业</w:t>
      </w:r>
      <w:r>
        <w:rPr>
          <w:rFonts w:hint="eastAsia" w:ascii="宋体" w:hAnsi="宋体" w:cs="宋体"/>
          <w:b/>
          <w:bCs/>
          <w:kern w:val="0"/>
        </w:rPr>
        <w:t>。</w:t>
      </w:r>
      <w:r>
        <w:rPr>
          <w:rFonts w:hint="eastAsia" w:ascii="宋体" w:hAnsi="宋体" w:cs="宋体"/>
        </w:rPr>
        <w:t>符合以下条件的中小微型企业应按照采购文件附件的格式要求在资格证明文件中提供《中小企业声明函》。</w:t>
      </w:r>
    </w:p>
    <w:p w14:paraId="57E37A2E">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E172F78">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符合中小企业划分标准的个体工商户，在政府采购活动中视同中小企业。</w:t>
      </w:r>
    </w:p>
    <w:p w14:paraId="62B36393">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bCs/>
        </w:rPr>
        <w:t>2.</w:t>
      </w:r>
      <w:r>
        <w:rPr>
          <w:rFonts w:hint="eastAsia" w:ascii="宋体" w:hAnsi="宋体" w:cs="宋体"/>
          <w:kern w:val="0"/>
        </w:rPr>
        <w:t>在政府采购活动中，投标人提供的货物、工程或者服务符合下列情形的，享受中小企业扶持政策：</w:t>
      </w:r>
    </w:p>
    <w:p w14:paraId="7EEA17EB">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2.1在货物采购项目中，货物由中小企业制造，即货物由中小企业生产且使用该中小企业商号或者注册商标；</w:t>
      </w:r>
    </w:p>
    <w:p w14:paraId="73DDD842">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2.2在工程采购项目中，工程由中小企业承建，即工程施工单位为中小企业；</w:t>
      </w:r>
    </w:p>
    <w:p w14:paraId="76BF754A">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2.3在服务采购项目中，服务由中小企业承接，即提供服务的人员为中小企业依照《中华人民共和国劳动合同法》订立劳动合同的从业人员。</w:t>
      </w:r>
    </w:p>
    <w:p w14:paraId="7627796F">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在货物采购项目中，投标人提供的货物既有中小企业制造货物，也有大型企业制造货物的，不享受中小企业扶持政策。</w:t>
      </w:r>
    </w:p>
    <w:p w14:paraId="2154E288">
      <w:pPr>
        <w:pageBreakBefore w:val="0"/>
        <w:widowControl/>
        <w:kinsoku/>
        <w:wordWrap/>
        <w:overflowPunct/>
        <w:topLinePunct w:val="0"/>
        <w:bidi w:val="0"/>
        <w:spacing w:line="400" w:lineRule="exact"/>
        <w:ind w:left="0" w:right="0" w:firstLine="42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F26594F">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75BA00">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4.符合《关于促进残疾人就业政府采购政策的通知》（财库〔2017〕141号）规定的条件并提供《残疾人福利性单位声明函》（附件1）的残疾人福利性单位视同小型、微型企业；</w:t>
      </w:r>
    </w:p>
    <w:p w14:paraId="618F9979">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6D3F097">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1AE657">
      <w:pPr>
        <w:pageBreakBefore w:val="0"/>
        <w:kinsoku/>
        <w:wordWrap/>
        <w:overflowPunct/>
        <w:topLinePunct w:val="0"/>
        <w:bidi w:val="0"/>
        <w:spacing w:line="400" w:lineRule="exact"/>
        <w:ind w:left="0" w:right="0" w:firstLine="420" w:firstLineChars="200"/>
        <w:rPr>
          <w:rFonts w:ascii="宋体" w:hAnsi="宋体" w:cs="宋体"/>
        </w:rPr>
      </w:pPr>
      <w:r>
        <w:rPr>
          <w:rFonts w:hint="eastAsia" w:ascii="宋体" w:hAnsi="宋体" w:cs="宋体"/>
        </w:rPr>
        <w:t>7.中小企业享受扶持政策获得政府采购合同的，小微企业不得将合同分包给大中型企业，中型企业不得将合同分包给大型企业。</w:t>
      </w:r>
    </w:p>
    <w:p w14:paraId="193C308B">
      <w:r>
        <w:br w:type="page"/>
      </w:r>
    </w:p>
    <w:p w14:paraId="7187C10E">
      <w:pPr>
        <w:pStyle w:val="3"/>
        <w:spacing w:after="0" w:line="240" w:lineRule="auto"/>
        <w:jc w:val="center"/>
        <w:rPr>
          <w:rFonts w:ascii="宋体" w:hAnsi="宋体" w:cs="宋体"/>
          <w:snapToGrid w:val="0"/>
          <w:sz w:val="40"/>
          <w:szCs w:val="36"/>
        </w:rPr>
      </w:pPr>
      <w:bookmarkStart w:id="147" w:name="_Toc9865"/>
      <w:bookmarkStart w:id="148" w:name="_Toc743"/>
      <w:bookmarkStart w:id="149" w:name="_Toc7590"/>
      <w:r>
        <w:rPr>
          <w:rFonts w:hint="eastAsia" w:ascii="宋体" w:hAnsi="宋体" w:cs="宋体"/>
          <w:snapToGrid w:val="0"/>
          <w:sz w:val="40"/>
          <w:szCs w:val="36"/>
        </w:rPr>
        <w:t>第四章  评标办法及标准</w:t>
      </w:r>
      <w:bookmarkEnd w:id="147"/>
      <w:bookmarkEnd w:id="148"/>
      <w:bookmarkEnd w:id="149"/>
    </w:p>
    <w:p w14:paraId="02622B2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ascii="宋体" w:hAnsi="宋体" w:cs="宋体"/>
        </w:rPr>
      </w:pPr>
      <w:r>
        <w:rPr>
          <w:rFonts w:hint="eastAsia" w:ascii="宋体" w:hAnsi="宋体" w:cs="宋体"/>
        </w:rPr>
        <w:t>为公正、公平、科学地选择中标人，根据《中华人民共和国政府采购法》《政府采购货物服务招标投标管理办法》等有关法律法规的规定，并结合本项目的实际，制定本办法。</w:t>
      </w:r>
    </w:p>
    <w:p w14:paraId="6C5F7BDF">
      <w:pPr>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本办法适用于</w:t>
      </w:r>
      <w:r>
        <w:rPr>
          <w:rFonts w:hint="eastAsia" w:ascii="宋体" w:hAnsi="宋体" w:cs="宋体"/>
          <w:b/>
          <w:bCs/>
          <w:u w:val="single"/>
          <w:lang w:eastAsia="zh-CN"/>
        </w:rPr>
        <w:t>2025年安吉县1:2000数字线划图更新入库与天地图融合项目</w:t>
      </w:r>
      <w:r>
        <w:rPr>
          <w:rFonts w:hint="eastAsia" w:ascii="宋体" w:hAnsi="宋体" w:cs="宋体"/>
        </w:rPr>
        <w:t>的评标。</w:t>
      </w:r>
    </w:p>
    <w:p w14:paraId="397A3AF5">
      <w:pPr>
        <w:pStyle w:val="4"/>
        <w:keepNext/>
        <w:keepLines/>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bookmarkStart w:id="150" w:name="_Toc14879"/>
      <w:bookmarkStart w:id="151" w:name="_Toc20405"/>
      <w:bookmarkStart w:id="152" w:name="_Toc15059"/>
      <w:bookmarkStart w:id="153" w:name="_Toc27962"/>
      <w:bookmarkStart w:id="154" w:name="_Toc22762"/>
      <w:bookmarkStart w:id="155" w:name="_Toc4155"/>
      <w:bookmarkStart w:id="156" w:name="_Toc18753"/>
      <w:bookmarkStart w:id="157" w:name="_Toc317341947"/>
      <w:bookmarkStart w:id="158" w:name="_Toc294470144"/>
      <w:bookmarkStart w:id="159" w:name="_Toc300812053"/>
      <w:r>
        <w:rPr>
          <w:rFonts w:hint="eastAsia" w:ascii="宋体" w:hAnsi="宋体" w:eastAsia="宋体" w:cs="宋体"/>
          <w:sz w:val="24"/>
          <w:szCs w:val="24"/>
        </w:rPr>
        <w:t>一、评标程序与方法</w:t>
      </w:r>
      <w:bookmarkEnd w:id="150"/>
      <w:bookmarkEnd w:id="151"/>
      <w:bookmarkEnd w:id="152"/>
      <w:bookmarkEnd w:id="153"/>
      <w:bookmarkEnd w:id="154"/>
      <w:bookmarkEnd w:id="155"/>
      <w:bookmarkEnd w:id="156"/>
    </w:p>
    <w:p w14:paraId="474E70CE">
      <w:pPr>
        <w:pageBreakBefore w:val="0"/>
        <w:kinsoku/>
        <w:wordWrap/>
        <w:overflowPunct/>
        <w:topLinePunct w:val="0"/>
        <w:autoSpaceDE/>
        <w:autoSpaceDN/>
        <w:bidi w:val="0"/>
        <w:spacing w:line="400" w:lineRule="exact"/>
        <w:ind w:firstLine="420" w:firstLineChars="200"/>
        <w:textAlignment w:val="auto"/>
        <w:rPr>
          <w:rFonts w:ascii="宋体" w:hAnsi="宋体" w:cs="宋体"/>
        </w:rPr>
      </w:pPr>
      <w:r>
        <w:rPr>
          <w:rFonts w:hint="eastAsia" w:ascii="宋体" w:hAnsi="宋体" w:cs="宋体"/>
        </w:rPr>
        <w:t>1.评标委员会对通过资格性检查的投标人进行符合性检查。依据招标文件的规定，从投标文件的有效性、完整性和对招标文件的响应程度进行审查，以确定是否对招标文件的实质性要求做出响应。</w:t>
      </w:r>
    </w:p>
    <w:p w14:paraId="7D4987DA">
      <w:pPr>
        <w:pageBreakBefore w:val="0"/>
        <w:kinsoku/>
        <w:wordWrap/>
        <w:overflowPunct/>
        <w:topLinePunct w:val="0"/>
        <w:autoSpaceDE/>
        <w:autoSpaceDN/>
        <w:bidi w:val="0"/>
        <w:spacing w:line="400" w:lineRule="exact"/>
        <w:ind w:firstLine="420" w:firstLineChars="200"/>
        <w:textAlignment w:val="auto"/>
        <w:rPr>
          <w:rFonts w:ascii="宋体" w:hAnsi="宋体" w:cs="宋体"/>
        </w:rPr>
      </w:pPr>
      <w:r>
        <w:rPr>
          <w:rFonts w:hint="eastAsia" w:ascii="宋体" w:hAnsi="宋体" w:cs="宋体"/>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35E16047">
      <w:pPr>
        <w:pageBreakBefore w:val="0"/>
        <w:kinsoku/>
        <w:wordWrap/>
        <w:overflowPunct/>
        <w:topLinePunct w:val="0"/>
        <w:autoSpaceDE/>
        <w:autoSpaceDN/>
        <w:bidi w:val="0"/>
        <w:spacing w:line="400" w:lineRule="exact"/>
        <w:ind w:firstLine="420" w:firstLineChars="200"/>
        <w:textAlignment w:val="auto"/>
        <w:rPr>
          <w:rFonts w:ascii="宋体" w:hAnsi="宋体" w:cs="宋体"/>
        </w:rPr>
      </w:pPr>
      <w:r>
        <w:rPr>
          <w:rFonts w:hint="eastAsia" w:ascii="宋体" w:hAnsi="宋体" w:cs="宋体"/>
        </w:rPr>
        <w:t>3.比较与评价。评标委员会按上述规定的评标内容和标准，对符合性检查合格的投标文件进行综合比较与独立评分。</w:t>
      </w:r>
    </w:p>
    <w:p w14:paraId="19357806">
      <w:pPr>
        <w:pStyle w:val="4"/>
        <w:keepNext/>
        <w:keepLines/>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bookmarkStart w:id="160" w:name="_Toc31225"/>
      <w:bookmarkStart w:id="161" w:name="_Toc7267"/>
      <w:bookmarkStart w:id="162" w:name="_Toc2491"/>
      <w:bookmarkStart w:id="163" w:name="_Toc8192"/>
      <w:bookmarkStart w:id="164" w:name="_Toc5142"/>
      <w:bookmarkStart w:id="165" w:name="_Toc26404"/>
      <w:bookmarkStart w:id="166" w:name="_Toc2990"/>
      <w:r>
        <w:rPr>
          <w:rFonts w:hint="eastAsia" w:ascii="宋体" w:hAnsi="宋体" w:eastAsia="宋体" w:cs="宋体"/>
          <w:sz w:val="24"/>
          <w:szCs w:val="24"/>
        </w:rPr>
        <w:t>二、综合评分法</w:t>
      </w:r>
      <w:bookmarkEnd w:id="160"/>
      <w:bookmarkEnd w:id="161"/>
      <w:bookmarkEnd w:id="162"/>
      <w:bookmarkEnd w:id="163"/>
      <w:bookmarkEnd w:id="164"/>
      <w:bookmarkEnd w:id="165"/>
      <w:bookmarkEnd w:id="166"/>
    </w:p>
    <w:p w14:paraId="47F655E3">
      <w:pPr>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rPr>
      </w:pPr>
      <w:r>
        <w:rPr>
          <w:rFonts w:hint="eastAsia" w:ascii="宋体" w:hAnsi="宋体" w:cs="宋体"/>
        </w:rPr>
        <w:t>本次评标采用综合评分法，总分为100分，其中价格分</w:t>
      </w:r>
      <w:r>
        <w:rPr>
          <w:rFonts w:hint="eastAsia" w:ascii="宋体" w:hAnsi="宋体" w:cs="宋体"/>
          <w:lang w:val="en-US" w:eastAsia="zh-CN"/>
        </w:rPr>
        <w:t>10</w:t>
      </w:r>
      <w:r>
        <w:rPr>
          <w:rFonts w:hint="eastAsia" w:ascii="宋体" w:hAnsi="宋体" w:cs="宋体"/>
        </w:rPr>
        <w:t>分、技术资信分</w:t>
      </w:r>
      <w:r>
        <w:rPr>
          <w:rFonts w:hint="eastAsia" w:ascii="宋体" w:hAnsi="宋体" w:cs="宋体"/>
          <w:lang w:val="en-US" w:eastAsia="zh-CN"/>
        </w:rPr>
        <w:t>90</w:t>
      </w:r>
      <w:r>
        <w:rPr>
          <w:rFonts w:hint="eastAsia" w:ascii="宋体" w:hAnsi="宋体" w:cs="宋体"/>
        </w:rPr>
        <w:t>分。合格投标人的评标得分为各项目汇总得分，中标候选资格按评标综合得分由高到低顺序排列，推荐中标候选人；得分相同的，按投标报价由低到高顺序排列；得分且投标报价相同</w:t>
      </w:r>
      <w:r>
        <w:rPr>
          <w:rFonts w:hint="eastAsia" w:ascii="宋体" w:hAnsi="宋体" w:cs="宋体"/>
          <w:lang w:eastAsia="zh-CN"/>
        </w:rPr>
        <w:t>的从并列的投标人中由评标委员会推选的评标组长现场随机抽取。</w:t>
      </w:r>
    </w:p>
    <w:p w14:paraId="2D111E9C">
      <w:pPr>
        <w:pStyle w:val="4"/>
        <w:pageBreakBefore w:val="0"/>
        <w:kinsoku/>
        <w:wordWrap/>
        <w:overflowPunct/>
        <w:topLinePunct w:val="0"/>
        <w:autoSpaceDE/>
        <w:autoSpaceDN/>
        <w:bidi w:val="0"/>
        <w:spacing w:line="400" w:lineRule="exact"/>
        <w:textAlignment w:val="auto"/>
        <w:rPr>
          <w:rFonts w:ascii="宋体" w:hAnsi="宋体" w:eastAsia="宋体" w:cs="宋体"/>
          <w:sz w:val="24"/>
          <w:szCs w:val="24"/>
        </w:rPr>
      </w:pPr>
      <w:bookmarkStart w:id="167" w:name="_Toc5130"/>
      <w:bookmarkStart w:id="168" w:name="_Toc3993"/>
      <w:bookmarkStart w:id="169" w:name="_Toc15668"/>
      <w:bookmarkStart w:id="170" w:name="_Toc5280"/>
      <w:bookmarkStart w:id="171" w:name="_Toc14114"/>
      <w:bookmarkStart w:id="172" w:name="_Toc26255"/>
      <w:bookmarkStart w:id="173" w:name="_Toc20012"/>
      <w:bookmarkStart w:id="174" w:name="_Toc23186"/>
      <w:r>
        <w:rPr>
          <w:rFonts w:hint="eastAsia" w:ascii="宋体" w:hAnsi="宋体" w:eastAsia="宋体" w:cs="宋体"/>
          <w:sz w:val="24"/>
          <w:szCs w:val="24"/>
        </w:rPr>
        <w:t>三、评标内容及标准</w:t>
      </w:r>
      <w:bookmarkEnd w:id="157"/>
      <w:bookmarkEnd w:id="158"/>
      <w:bookmarkEnd w:id="159"/>
      <w:bookmarkEnd w:id="167"/>
      <w:bookmarkEnd w:id="168"/>
      <w:bookmarkEnd w:id="169"/>
      <w:bookmarkEnd w:id="170"/>
      <w:bookmarkEnd w:id="171"/>
      <w:bookmarkEnd w:id="172"/>
      <w:bookmarkEnd w:id="173"/>
      <w:bookmarkEnd w:id="174"/>
    </w:p>
    <w:p w14:paraId="1EF3836E">
      <w:pPr>
        <w:pageBreakBefore w:val="0"/>
        <w:kinsoku/>
        <w:wordWrap/>
        <w:overflowPunct/>
        <w:topLinePunct w:val="0"/>
        <w:autoSpaceDE/>
        <w:autoSpaceDN/>
        <w:bidi w:val="0"/>
        <w:spacing w:line="400" w:lineRule="exact"/>
        <w:ind w:firstLine="105" w:firstLineChars="50"/>
        <w:textAlignment w:val="auto"/>
        <w:rPr>
          <w:rFonts w:ascii="宋体" w:hAnsi="宋体" w:cs="宋体"/>
          <w:b/>
        </w:rPr>
      </w:pPr>
      <w:r>
        <w:rPr>
          <w:rFonts w:hint="eastAsia" w:ascii="宋体" w:hAnsi="宋体" w:cs="宋体"/>
          <w:b/>
        </w:rPr>
        <w:t>（一）价格分（</w:t>
      </w:r>
      <w:r>
        <w:rPr>
          <w:rFonts w:hint="eastAsia" w:ascii="宋体" w:hAnsi="宋体" w:cs="宋体"/>
          <w:b/>
          <w:lang w:val="en-US" w:eastAsia="zh-CN"/>
        </w:rPr>
        <w:t>10</w:t>
      </w:r>
      <w:r>
        <w:rPr>
          <w:rFonts w:hint="eastAsia" w:ascii="宋体" w:hAnsi="宋体" w:cs="宋体"/>
          <w:b/>
        </w:rPr>
        <w:t>分）</w:t>
      </w:r>
    </w:p>
    <w:p w14:paraId="1806EDC4">
      <w:pPr>
        <w:pStyle w:val="28"/>
        <w:pageBreakBefore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1.价格分采用低价优先法计算，即满足招标文件要求且投标报价最低的价格为评标基准价，其他投标人的价格分按照下列公式计算：</w:t>
      </w:r>
    </w:p>
    <w:p w14:paraId="10690801">
      <w:pPr>
        <w:pageBreakBefore w:val="0"/>
        <w:kinsoku/>
        <w:wordWrap/>
        <w:overflowPunct/>
        <w:topLinePunct w:val="0"/>
        <w:autoSpaceDE/>
        <w:autoSpaceDN/>
        <w:bidi w:val="0"/>
        <w:spacing w:line="400" w:lineRule="exact"/>
        <w:ind w:firstLine="420" w:firstLineChars="200"/>
        <w:jc w:val="left"/>
        <w:textAlignment w:val="auto"/>
        <w:rPr>
          <w:rFonts w:ascii="宋体" w:hAnsi="宋体" w:cs="宋体"/>
        </w:rPr>
      </w:pPr>
      <w:r>
        <w:rPr>
          <w:rFonts w:hint="eastAsia" w:ascii="宋体" w:hAnsi="宋体" w:cs="宋体"/>
        </w:rPr>
        <w:t>其他投标人的价格分=评标基准价/投标报价×</w:t>
      </w:r>
      <w:r>
        <w:rPr>
          <w:rFonts w:hint="eastAsia" w:ascii="宋体" w:hAnsi="宋体" w:cs="宋体"/>
          <w:lang w:val="en-US" w:eastAsia="zh-CN"/>
        </w:rPr>
        <w:t>1</w:t>
      </w:r>
      <w:r>
        <w:rPr>
          <w:rFonts w:hint="eastAsia" w:ascii="宋体" w:hAnsi="宋体" w:cs="宋体"/>
        </w:rPr>
        <w:t>0%×100</w:t>
      </w:r>
    </w:p>
    <w:p w14:paraId="3A8BD3B1">
      <w:pPr>
        <w:pageBreakBefore w:val="0"/>
        <w:kinsoku/>
        <w:wordWrap/>
        <w:overflowPunct/>
        <w:topLinePunct w:val="0"/>
        <w:autoSpaceDE/>
        <w:autoSpaceDN/>
        <w:bidi w:val="0"/>
        <w:adjustRightInd w:val="0"/>
        <w:snapToGrid w:val="0"/>
        <w:spacing w:line="400" w:lineRule="exact"/>
        <w:ind w:left="420"/>
        <w:textAlignment w:val="auto"/>
        <w:rPr>
          <w:rFonts w:ascii="宋体" w:hAnsi="宋体" w:cs="宋体"/>
        </w:rPr>
      </w:pPr>
      <w:r>
        <w:rPr>
          <w:rFonts w:hint="eastAsia" w:ascii="宋体" w:hAnsi="宋体" w:cs="宋体"/>
        </w:rPr>
        <w:t>2.中小企业政策执行：</w:t>
      </w:r>
      <w:r>
        <w:rPr>
          <w:b/>
          <w:bCs/>
        </w:rPr>
        <w:t>中小企业政策执行以下第</w:t>
      </w:r>
      <w:r>
        <w:rPr>
          <w:rFonts w:hint="eastAsia"/>
          <w:b/>
          <w:bCs/>
        </w:rPr>
        <w:t>2.1</w:t>
      </w:r>
      <w:r>
        <w:rPr>
          <w:b/>
          <w:bCs/>
        </w:rPr>
        <w:t>条</w:t>
      </w:r>
    </w:p>
    <w:p w14:paraId="2CFCF359">
      <w:pPr>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rPr>
      </w:pPr>
      <w:r>
        <w:rPr>
          <w:rFonts w:hint="eastAsia" w:ascii="宋体" w:hAnsi="宋体" w:cs="宋体"/>
          <w:bCs/>
        </w:rPr>
        <w:t>2.1 本项目为专门面向中小企业采购，提</w:t>
      </w:r>
      <w:r>
        <w:rPr>
          <w:rFonts w:hint="eastAsia" w:ascii="宋体" w:hAnsi="宋体" w:cs="宋体"/>
        </w:rPr>
        <w:t>供服务的供应商非中小企业的，资格审查不通过；符合上述条件的中小微型企业应按照招标文件附件的格式要求在资格文件中提供《中小企业声明函》</w:t>
      </w:r>
      <w:r>
        <w:rPr>
          <w:rFonts w:hint="eastAsia"/>
        </w:rPr>
        <w:t>；</w:t>
      </w:r>
    </w:p>
    <w:p w14:paraId="7018FC9F">
      <w:pPr>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rPr>
      </w:pPr>
      <w:r>
        <w:rPr>
          <w:rFonts w:hint="eastAsia" w:ascii="宋体" w:hAnsi="宋体" w:cs="宋体"/>
          <w:bCs/>
        </w:rPr>
        <w:t>2.2根据</w:t>
      </w:r>
      <w:r>
        <w:rPr>
          <w:rFonts w:hint="eastAsia"/>
        </w:rPr>
        <w:t>《政府采购促进中小</w:t>
      </w:r>
      <w:r>
        <w:t>企业发展管理办法》（财库﹝2020﹞46 号）</w:t>
      </w:r>
      <w:r>
        <w:rPr>
          <w:rFonts w:hint="eastAsia" w:ascii="宋体" w:hAnsi="宋体" w:cs="宋体"/>
          <w:bCs/>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4A0946B0">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投标产品生产企业（提供服务的企业）按照《关于印发中小企业划型标准规定的通知》（工信部联企业〔2011〕300 号）的所属行业规定为小型、微型企业。投标文件中必须提供《中小企业声明函》；</w:t>
      </w:r>
    </w:p>
    <w:p w14:paraId="734326C5">
      <w:pPr>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bCs/>
        </w:rPr>
      </w:pPr>
      <w:r>
        <w:rPr>
          <w:rFonts w:hint="eastAsia" w:ascii="宋体" w:hAnsi="宋体" w:cs="宋体"/>
          <w:bCs/>
        </w:rPr>
        <w:t>符合中小企业划分标准的个体工商户，视同中小企业。</w:t>
      </w:r>
    </w:p>
    <w:p w14:paraId="409207B7">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3.残疾人福利性单位视同小微企业，其产品参加本项目投标的，享受小微企业同等的价格扣除。</w:t>
      </w:r>
    </w:p>
    <w:p w14:paraId="1B815DA7">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3.1残疾人福利性单位应当同时满足以下条件：</w:t>
      </w:r>
    </w:p>
    <w:p w14:paraId="03F56180">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① 安置的残疾人占本单位在职职工人数的比例不低于 25%（含 25%），并且安置的残疾人人数不少于 10 人（含 10 人）；</w:t>
      </w:r>
    </w:p>
    <w:p w14:paraId="3EC44657">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②依法与安置的每位残疾人签订了一年以上（含一年）的劳动合同或服务协议；</w:t>
      </w:r>
    </w:p>
    <w:p w14:paraId="4ECE35AA">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③为安置的每位残疾人按月足额缴纳了基本养老保险、基本医疗保险、失业保险、工伤保险和生育保险等社会保险费；</w:t>
      </w:r>
    </w:p>
    <w:p w14:paraId="36EE911F">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④通过银行等金融机构向安置的每位残疾人，按月支付了不低于单位所在区县适用的经省级人民政府批准的月最低工资标准的工资；</w:t>
      </w:r>
    </w:p>
    <w:p w14:paraId="73521B70">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⑤提供本单位制造的货物、承担的工程或者服务（以下简称产品），或者提供其他残疾人福利性单位制造的货物（不包括使用非残疾人福利性单位注册商标的货物）。</w:t>
      </w:r>
    </w:p>
    <w:p w14:paraId="653CA027">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3.2 同时提供以下所有证明材料的投标人被认定为残疾人福利性单位：</w:t>
      </w:r>
    </w:p>
    <w:p w14:paraId="0EA0398F">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① 提供《残疾人福利性单位声明函》；</w:t>
      </w:r>
    </w:p>
    <w:p w14:paraId="0D70321B">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② 提供社保缴纳人员名单、录用的残疾人的《中华人民共和国残疾人证》或者《中华人民共和国残疾军人证(1至8级)》复印件。</w:t>
      </w:r>
    </w:p>
    <w:p w14:paraId="31965C57">
      <w:pPr>
        <w:pageBreakBefore w:val="0"/>
        <w:kinsoku/>
        <w:wordWrap/>
        <w:overflowPunct/>
        <w:topLinePunct w:val="0"/>
        <w:autoSpaceDE/>
        <w:autoSpaceDN/>
        <w:bidi w:val="0"/>
        <w:adjustRightInd w:val="0"/>
        <w:snapToGrid w:val="0"/>
        <w:spacing w:line="400" w:lineRule="exact"/>
        <w:textAlignment w:val="auto"/>
        <w:rPr>
          <w:rFonts w:ascii="宋体" w:hAnsi="宋体" w:cs="宋体"/>
          <w:bCs/>
        </w:rPr>
      </w:pPr>
      <w:r>
        <w:rPr>
          <w:rFonts w:hint="eastAsia" w:ascii="宋体" w:hAnsi="宋体" w:cs="宋体"/>
          <w:bCs/>
        </w:rPr>
        <w:t>4.监狱企业视同小微企业，其产品参加本项目投标的，享受小微企业同等的价格扣除。</w:t>
      </w:r>
    </w:p>
    <w:p w14:paraId="4C03B27C">
      <w:pPr>
        <w:pageBreakBefore w:val="0"/>
        <w:kinsoku/>
        <w:wordWrap/>
        <w:overflowPunct/>
        <w:topLinePunct w:val="0"/>
        <w:autoSpaceDE/>
        <w:autoSpaceDN/>
        <w:bidi w:val="0"/>
        <w:adjustRightInd w:val="0"/>
        <w:snapToGrid w:val="0"/>
        <w:spacing w:line="400" w:lineRule="exact"/>
        <w:textAlignment w:val="auto"/>
        <w:rPr>
          <w:rFonts w:ascii="宋体" w:hAnsi="宋体" w:cs="宋体"/>
        </w:rPr>
      </w:pPr>
      <w:r>
        <w:rPr>
          <w:rFonts w:hint="eastAsia" w:ascii="宋体" w:hAnsi="宋体" w:cs="宋体"/>
          <w:bCs/>
        </w:rPr>
        <w:t>提供以下证明材料的投标人被认定为监狱企业：省级以上监狱管理局、戒毒管理局（含新疆生产建设兵团）出具的属于监狱企业的证明文件复印件。</w:t>
      </w:r>
    </w:p>
    <w:p w14:paraId="2F56C9E5">
      <w:pPr>
        <w:numPr>
          <w:ilvl w:val="0"/>
          <w:numId w:val="0"/>
        </w:numPr>
        <w:tabs>
          <w:tab w:val="center" w:pos="4706"/>
        </w:tabs>
        <w:spacing w:line="440" w:lineRule="exact"/>
        <w:rPr>
          <w:rFonts w:hint="eastAsia" w:ascii="宋体" w:hAnsi="宋体" w:cs="宋体"/>
          <w:b/>
        </w:rPr>
      </w:pPr>
      <w:r>
        <w:rPr>
          <w:rFonts w:hint="eastAsia" w:ascii="宋体" w:hAnsi="宋体" w:eastAsia="宋体" w:cs="宋体"/>
          <w:b/>
          <w:kern w:val="2"/>
          <w:sz w:val="21"/>
          <w:szCs w:val="21"/>
          <w:lang w:val="en-US" w:eastAsia="zh-CN" w:bidi="ar-SA"/>
        </w:rPr>
        <w:t>（二）</w:t>
      </w:r>
      <w:r>
        <w:rPr>
          <w:rFonts w:hint="eastAsia" w:ascii="宋体" w:hAnsi="宋体" w:cs="宋体"/>
          <w:b/>
        </w:rPr>
        <w:t>技术、商务资信分细则（</w:t>
      </w:r>
      <w:r>
        <w:rPr>
          <w:rFonts w:hint="eastAsia" w:ascii="宋体" w:hAnsi="宋体" w:cs="宋体"/>
          <w:b/>
          <w:lang w:val="en-US" w:eastAsia="zh-CN"/>
        </w:rPr>
        <w:t>90</w:t>
      </w:r>
      <w:r>
        <w:rPr>
          <w:rFonts w:hint="eastAsia" w:ascii="宋体" w:hAnsi="宋体" w:cs="宋体"/>
          <w:b/>
        </w:rPr>
        <w:t>分）</w:t>
      </w:r>
    </w:p>
    <w:tbl>
      <w:tblPr>
        <w:tblStyle w:val="18"/>
        <w:tblW w:w="931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40"/>
        <w:gridCol w:w="1064"/>
        <w:gridCol w:w="7053"/>
      </w:tblGrid>
      <w:tr w14:paraId="323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6F766DBA">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3A087EA0">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评审项目</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39F6A25F">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kern w:val="0"/>
                <w:sz w:val="21"/>
                <w:szCs w:val="21"/>
              </w:rPr>
              <w:t>评标要点及说明</w:t>
            </w:r>
          </w:p>
        </w:tc>
      </w:tr>
      <w:tr w14:paraId="6537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73782E39">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640" w:type="dxa"/>
            <w:vMerge w:val="restart"/>
            <w:tcBorders>
              <w:top w:val="nil"/>
              <w:left w:val="single" w:color="auto" w:sz="4" w:space="0"/>
              <w:bottom w:val="single" w:color="auto" w:sz="4" w:space="0"/>
              <w:right w:val="single" w:color="auto" w:sz="4" w:space="0"/>
            </w:tcBorders>
            <w:noWrap w:val="0"/>
            <w:vAlign w:val="center"/>
          </w:tcPr>
          <w:p w14:paraId="2C4CB9D0">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p>
          <w:p w14:paraId="3C3880D6">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p>
          <w:p w14:paraId="5230A5C6">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p>
          <w:p w14:paraId="6E45A4EC">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p>
          <w:p w14:paraId="0168DF19">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技</w:t>
            </w:r>
          </w:p>
          <w:p w14:paraId="04C3B098">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术</w:t>
            </w:r>
          </w:p>
          <w:p w14:paraId="57FB2136">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分</w:t>
            </w:r>
            <w:r>
              <w:rPr>
                <w:rFonts w:hint="eastAsia" w:ascii="宋体" w:hAnsi="宋体" w:eastAsia="宋体" w:cs="宋体"/>
                <w:b w:val="0"/>
                <w:bCs/>
                <w:sz w:val="21"/>
                <w:szCs w:val="21"/>
                <w:lang w:val="en-US" w:eastAsia="zh-CN"/>
              </w:rPr>
              <w:t>7</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分</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13C5AC2">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项目理解</w:t>
            </w:r>
          </w:p>
          <w:p w14:paraId="3B9DA48D">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w:t>
            </w:r>
            <w:r>
              <w:rPr>
                <w:rFonts w:hint="eastAsia" w:ascii="宋体" w:hAnsi="宋体" w:eastAsia="宋体" w:cs="宋体"/>
                <w:b w:val="0"/>
                <w:bCs/>
                <w:kern w:val="0"/>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5C01FE5">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根据投标供应商对项目背景、总体要求、工作内容、相关规范、技术规定、项目现状的理解情况进行综合评价：</w:t>
            </w:r>
          </w:p>
          <w:p w14:paraId="7340DB47">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理解全面深刻到位的得5—6分；理解基本到位的得3—5（不含）分；理解不够到位的得1—3（不含）分；理解存在重大缺陷的不得分。</w:t>
            </w:r>
          </w:p>
        </w:tc>
      </w:tr>
      <w:tr w14:paraId="2F10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0C48C118">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640" w:type="dxa"/>
            <w:vMerge w:val="continue"/>
            <w:tcBorders>
              <w:top w:val="nil"/>
              <w:left w:val="single" w:color="auto" w:sz="4" w:space="0"/>
              <w:bottom w:val="single" w:color="auto" w:sz="4" w:space="0"/>
              <w:right w:val="single" w:color="auto" w:sz="4" w:space="0"/>
            </w:tcBorders>
            <w:noWrap w:val="0"/>
            <w:vAlign w:val="center"/>
          </w:tcPr>
          <w:p w14:paraId="0EB9EC36">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12C3DDB">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重难点分析及对策措施</w:t>
            </w:r>
          </w:p>
          <w:p w14:paraId="2CF19C35">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6分</w:t>
            </w:r>
          </w:p>
        </w:tc>
        <w:tc>
          <w:tcPr>
            <w:tcW w:w="7053" w:type="dxa"/>
            <w:tcBorders>
              <w:top w:val="single" w:color="auto" w:sz="4" w:space="0"/>
              <w:left w:val="single" w:color="auto" w:sz="4" w:space="0"/>
              <w:bottom w:val="single" w:color="auto" w:sz="4" w:space="0"/>
              <w:right w:val="single" w:color="auto" w:sz="4" w:space="0"/>
            </w:tcBorders>
            <w:noWrap w:val="0"/>
            <w:vAlign w:val="top"/>
          </w:tcPr>
          <w:p w14:paraId="7AF84187">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根据投标供应商对本项目实施重点、难点的分析及针对性提出的对策措施情况进行综合评价：</w:t>
            </w:r>
          </w:p>
          <w:p w14:paraId="51024C5A">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重难点分析详细到位，对策措施全面可行的得5—6分；重难点分析基本到位，对策措施基本可行的得3—5（不含）分；重难点分析不够到位、对策措施可行性不够的得1—3（不含）分；重难点分析、对策措施存在重大缺陷的不得分。</w:t>
            </w:r>
          </w:p>
        </w:tc>
      </w:tr>
      <w:tr w14:paraId="7F5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69849E3D">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640" w:type="dxa"/>
            <w:vMerge w:val="continue"/>
            <w:tcBorders>
              <w:top w:val="nil"/>
              <w:left w:val="single" w:color="auto" w:sz="4" w:space="0"/>
              <w:bottom w:val="single" w:color="auto" w:sz="4" w:space="0"/>
              <w:right w:val="single" w:color="auto" w:sz="4" w:space="0"/>
            </w:tcBorders>
            <w:noWrap w:val="0"/>
            <w:vAlign w:val="center"/>
          </w:tcPr>
          <w:p w14:paraId="7411DE88">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vMerge w:val="restart"/>
            <w:tcBorders>
              <w:top w:val="nil"/>
              <w:left w:val="single" w:color="auto" w:sz="4" w:space="0"/>
              <w:bottom w:val="single" w:color="auto" w:sz="4" w:space="0"/>
              <w:right w:val="single" w:color="auto" w:sz="4" w:space="0"/>
            </w:tcBorders>
            <w:noWrap w:val="0"/>
            <w:vAlign w:val="center"/>
          </w:tcPr>
          <w:p w14:paraId="4076C880">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技术方案</w:t>
            </w:r>
          </w:p>
          <w:p w14:paraId="13010AFE">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eastAsia="宋体" w:cs="宋体"/>
                <w:b w:val="0"/>
                <w:bCs/>
                <w:kern w:val="0"/>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top"/>
          </w:tcPr>
          <w:p w14:paraId="6A3316E7">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根据投标供应商提出的项目技术方案总体思路是否清晰明确、技术实现方法是否科学合理、工作内容是否符合国家和浙江省相关政策规范和技术规定的情况进行综合评价：</w:t>
            </w:r>
          </w:p>
          <w:p w14:paraId="64AF698C">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方案全面、思路清晰、技术实现方法科学合理、工作内容符合政策规范和技术规定的得5—6分；方案较为全面，思路基本清晰，技术实现方法基本合理、工作内容基本符合政策规范和技术规定的得3—5（不含）分；方案思路不够全面、技术实现方法不够科学、工作内容有一定缺陷的得1—3（不含）分；方案思路、技术实现方法、工作内容存在重大缺陷的不得分。</w:t>
            </w:r>
          </w:p>
        </w:tc>
      </w:tr>
      <w:tr w14:paraId="7C6B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494B2705">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640" w:type="dxa"/>
            <w:vMerge w:val="continue"/>
            <w:tcBorders>
              <w:top w:val="nil"/>
              <w:left w:val="single" w:color="auto" w:sz="4" w:space="0"/>
              <w:bottom w:val="single" w:color="auto" w:sz="4" w:space="0"/>
              <w:right w:val="single" w:color="auto" w:sz="4" w:space="0"/>
            </w:tcBorders>
            <w:noWrap w:val="0"/>
            <w:vAlign w:val="center"/>
          </w:tcPr>
          <w:p w14:paraId="762B3C94">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vMerge w:val="continue"/>
            <w:tcBorders>
              <w:top w:val="nil"/>
              <w:left w:val="single" w:color="auto" w:sz="4" w:space="0"/>
              <w:bottom w:val="single" w:color="auto" w:sz="4" w:space="0"/>
              <w:right w:val="single" w:color="auto" w:sz="4" w:space="0"/>
            </w:tcBorders>
            <w:noWrap w:val="0"/>
            <w:vAlign w:val="center"/>
          </w:tcPr>
          <w:p w14:paraId="1CDEFD7C">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7053" w:type="dxa"/>
            <w:tcBorders>
              <w:top w:val="single" w:color="auto" w:sz="4" w:space="0"/>
              <w:left w:val="single" w:color="auto" w:sz="4" w:space="0"/>
              <w:bottom w:val="single" w:color="auto" w:sz="4" w:space="0"/>
              <w:right w:val="single" w:color="auto" w:sz="4" w:space="0"/>
            </w:tcBorders>
            <w:noWrap w:val="0"/>
            <w:vAlign w:val="top"/>
          </w:tcPr>
          <w:p w14:paraId="2305C052">
            <w:pPr>
              <w:keepNext w:val="0"/>
              <w:keepLines w:val="0"/>
              <w:pageBreakBefore w:val="0"/>
              <w:kinsoku/>
              <w:wordWrap/>
              <w:overflowPunct/>
              <w:topLinePunct w:val="0"/>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根据投标供应商提出的工作流程及关键节点细节（内外业、上下工序衔接是否科学合理，是否有针对性和可操作性，是否符合实际）部署情况进行综合评价：</w:t>
            </w:r>
          </w:p>
          <w:p w14:paraId="2F9FD8C9">
            <w:pPr>
              <w:keepNext w:val="0"/>
              <w:keepLines w:val="0"/>
              <w:pageBreakBefore w:val="0"/>
              <w:kinsoku/>
              <w:wordWrap/>
              <w:overflowPunct/>
              <w:topLinePunct w:val="0"/>
              <w:autoSpaceDN/>
              <w:bidi w:val="0"/>
              <w:adjustRightInd/>
              <w:snapToGrid/>
              <w:spacing w:line="360" w:lineRule="exact"/>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工序安排合理紧凑、针对性和可操作性强、符合实际有利于项目快速实施的得5—6分；工序安排较为合理、针对性和可操作性较强、较符合实际的得3—5（不含）分；工序安排不够紧凑、针对性和可操作性一般、可能影响项目快速实施的得1—3（不含）分；工序安排混乱、针对性和可操作性较差、不符合实际不利于项目实施的不得分。</w:t>
            </w:r>
          </w:p>
        </w:tc>
      </w:tr>
      <w:tr w14:paraId="4F65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1F828C09">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640" w:type="dxa"/>
            <w:vMerge w:val="continue"/>
            <w:tcBorders>
              <w:top w:val="nil"/>
              <w:left w:val="single" w:color="auto" w:sz="4" w:space="0"/>
              <w:bottom w:val="single" w:color="auto" w:sz="4" w:space="0"/>
              <w:right w:val="single" w:color="auto" w:sz="4" w:space="0"/>
            </w:tcBorders>
            <w:noWrap w:val="0"/>
            <w:vAlign w:val="center"/>
          </w:tcPr>
          <w:p w14:paraId="40C01EA5">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0A67957">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进度保障措施</w:t>
            </w:r>
          </w:p>
          <w:p w14:paraId="4098AA66">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5E633466">
            <w:pPr>
              <w:keepNext w:val="0"/>
              <w:keepLines w:val="0"/>
              <w:pageBreakBefore w:val="0"/>
              <w:kinsoku/>
              <w:wordWrap/>
              <w:overflowPunct/>
              <w:topLinePunct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根据投标供应商提出的项目进度保障措施的科学性、合理性、完整性、可行性、有力性等情况进行综合评价：</w:t>
            </w:r>
          </w:p>
          <w:p w14:paraId="0577BF9B">
            <w:pPr>
              <w:keepNext w:val="0"/>
              <w:keepLines w:val="0"/>
              <w:pageBreakBefore w:val="0"/>
              <w:kinsoku/>
              <w:wordWrap/>
              <w:overflowPunct/>
              <w:topLinePunct w:val="0"/>
              <w:autoSpaceDN/>
              <w:bidi w:val="0"/>
              <w:adjustRightInd/>
              <w:snapToGrid/>
              <w:spacing w:line="360" w:lineRule="exact"/>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sz w:val="21"/>
                <w:szCs w:val="21"/>
              </w:rPr>
              <w:t>措施科学合理、完整可行、非常有力的得5—6分；措施较为合理、基本可行、较为有力的得3—5（不含）分；措施不够合理、完整、可行、有力的得1—3（不含）分；措施混乱、缺失、无力的不得分。</w:t>
            </w:r>
          </w:p>
        </w:tc>
      </w:tr>
      <w:tr w14:paraId="0E45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3379DC35">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640" w:type="dxa"/>
            <w:vMerge w:val="continue"/>
            <w:tcBorders>
              <w:top w:val="nil"/>
              <w:left w:val="single" w:color="auto" w:sz="4" w:space="0"/>
              <w:bottom w:val="single" w:color="auto" w:sz="4" w:space="0"/>
              <w:right w:val="single" w:color="auto" w:sz="4" w:space="0"/>
            </w:tcBorders>
            <w:noWrap w:val="0"/>
            <w:vAlign w:val="center"/>
          </w:tcPr>
          <w:p w14:paraId="44372208">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F55E573">
            <w:pPr>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质量保障措施</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47FD8A6">
            <w:pPr>
              <w:keepNext w:val="0"/>
              <w:keepLines w:val="0"/>
              <w:pageBreakBefore w:val="0"/>
              <w:kinsoku/>
              <w:wordWrap/>
              <w:overflowPunct/>
              <w:topLinePunct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根据投标供应商提出的质量保障措施的科学性、合理性、完整性、可行性、有效性等情况进行综合评价：</w:t>
            </w:r>
          </w:p>
          <w:p w14:paraId="5F92EB2A">
            <w:pPr>
              <w:keepNext w:val="0"/>
              <w:keepLines w:val="0"/>
              <w:pageBreakBefore w:val="0"/>
              <w:widowControl/>
              <w:tabs>
                <w:tab w:val="center" w:pos="4153"/>
                <w:tab w:val="right" w:pos="8306"/>
              </w:tabs>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sz w:val="21"/>
                <w:szCs w:val="21"/>
              </w:rPr>
              <w:t>措施科学合理、完整可行、非常有效的得</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分；措施较为合理、较为完整可行、比较有效的得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（不含）分；措施不够合理、完整、可行、有效的得1—</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（不含）分；措施混乱、缺失、无效的不得分。</w:t>
            </w:r>
          </w:p>
        </w:tc>
      </w:tr>
      <w:tr w14:paraId="7019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1F59821D">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7</w:t>
            </w:r>
          </w:p>
        </w:tc>
        <w:tc>
          <w:tcPr>
            <w:tcW w:w="640" w:type="dxa"/>
            <w:vMerge w:val="continue"/>
            <w:tcBorders>
              <w:top w:val="nil"/>
              <w:left w:val="single" w:color="auto" w:sz="4" w:space="0"/>
              <w:bottom w:val="single" w:color="auto" w:sz="4" w:space="0"/>
              <w:right w:val="single" w:color="auto" w:sz="4" w:space="0"/>
            </w:tcBorders>
            <w:noWrap w:val="0"/>
            <w:vAlign w:val="center"/>
          </w:tcPr>
          <w:p w14:paraId="400A412D">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0C05D3C">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安全保障措施</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2914B3EF">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根据投标供应商提出的项目安全生产、文明施工等措施是否全面、可行、有力等情况进行综合评价：</w:t>
            </w:r>
          </w:p>
          <w:p w14:paraId="7A5C01D3">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措施科学合理、完整可行、非常有效的得</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分；措施较为合理、较为完整可行、比较有效的得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（不含）分；措施不够合理、完整、可行、有效的得1—</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（不含）分；措施混乱、缺失、无效的不得分措施有重大缺陷的不得分。</w:t>
            </w:r>
          </w:p>
        </w:tc>
      </w:tr>
      <w:tr w14:paraId="4BE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4344E6C7">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w:t>
            </w:r>
          </w:p>
        </w:tc>
        <w:tc>
          <w:tcPr>
            <w:tcW w:w="640" w:type="dxa"/>
            <w:vMerge w:val="continue"/>
            <w:tcBorders>
              <w:top w:val="nil"/>
              <w:left w:val="single" w:color="auto" w:sz="4" w:space="0"/>
              <w:bottom w:val="single" w:color="auto" w:sz="4" w:space="0"/>
              <w:right w:val="single" w:color="auto" w:sz="4" w:space="0"/>
            </w:tcBorders>
            <w:noWrap w:val="0"/>
            <w:vAlign w:val="center"/>
          </w:tcPr>
          <w:p w14:paraId="18DA5987">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08FB1E2">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保密措施</w:t>
            </w:r>
          </w:p>
          <w:p w14:paraId="2C8B4A48">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67D0D3A3">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根据投标供应商提出的测绘成果保密措施情况进行综合评价：</w:t>
            </w:r>
          </w:p>
          <w:p w14:paraId="42371732">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措施科学合理、完整可行、非常有效的得</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分；措施较为合理、较为完整可行、比较有效的得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（不含）分；措施不够合理、完整、可行、有效的得1—</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（不含）分；措施混乱、缺失、无效的不得分措施有重大缺陷的不得分。</w:t>
            </w:r>
          </w:p>
        </w:tc>
      </w:tr>
      <w:tr w14:paraId="6B2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261A46A9">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9</w:t>
            </w:r>
          </w:p>
        </w:tc>
        <w:tc>
          <w:tcPr>
            <w:tcW w:w="640" w:type="dxa"/>
            <w:vMerge w:val="continue"/>
            <w:tcBorders>
              <w:top w:val="nil"/>
              <w:left w:val="single" w:color="auto" w:sz="4" w:space="0"/>
              <w:bottom w:val="single" w:color="auto" w:sz="4" w:space="0"/>
              <w:right w:val="single" w:color="auto" w:sz="4" w:space="0"/>
            </w:tcBorders>
            <w:noWrap w:val="0"/>
            <w:vAlign w:val="center"/>
          </w:tcPr>
          <w:p w14:paraId="2448FF48">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62E23BB">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合理化建议</w:t>
            </w:r>
          </w:p>
          <w:p w14:paraId="2B4AB0D1">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960C6DF">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根据投标供应商对本项目又好又快推进提出的合理化建议情况进行综合评价：</w:t>
            </w:r>
          </w:p>
          <w:p w14:paraId="53CECAB0">
            <w:pPr>
              <w:pStyle w:val="26"/>
              <w:keepNext w:val="0"/>
              <w:keepLines w:val="0"/>
              <w:pageBreakBefore w:val="0"/>
              <w:kinsoku/>
              <w:wordWrap/>
              <w:overflowPunct/>
              <w:topLinePunct w:val="0"/>
              <w:autoSpaceDN/>
              <w:bidi w:val="0"/>
              <w:adjustRightInd/>
              <w:snapToGrid/>
              <w:spacing w:line="360" w:lineRule="exact"/>
              <w:textAlignment w:val="auto"/>
              <w:rPr>
                <w:rFonts w:hint="eastAsia" w:ascii="宋体" w:hAnsi="宋体" w:eastAsia="宋体" w:cs="宋体"/>
                <w:b w:val="0"/>
                <w:bCs/>
                <w:color w:val="auto"/>
                <w:sz w:val="21"/>
                <w:szCs w:val="21"/>
              </w:rPr>
            </w:pPr>
          </w:p>
          <w:p w14:paraId="2C6C1F78">
            <w:pPr>
              <w:keepNext w:val="0"/>
              <w:keepLines w:val="0"/>
              <w:pageBreakBefore w:val="0"/>
              <w:kinsoku/>
              <w:wordWrap/>
              <w:overflowPunct/>
              <w:topLinePunct w:val="0"/>
              <w:autoSpaceDN/>
              <w:bidi w:val="0"/>
              <w:adjustRightInd/>
              <w:snapToGrid/>
              <w:spacing w:line="36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建议有创新性、合理可行，对本项目又好又快推进有明显作用的得</w:t>
            </w:r>
            <w:r>
              <w:rPr>
                <w:rFonts w:hint="eastAsia" w:ascii="宋体" w:hAnsi="宋体" w:cs="宋体"/>
                <w:b w:val="0"/>
                <w:bCs/>
                <w:color w:val="auto"/>
                <w:sz w:val="21"/>
                <w:szCs w:val="21"/>
                <w:lang w:val="en-US" w:eastAsia="zh-CN"/>
              </w:rPr>
              <w:t>2</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分；建议有一定参考价值、对本项目又好又快推进有一定帮助的得1</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2（不含）</w:t>
            </w:r>
            <w:r>
              <w:rPr>
                <w:rFonts w:hint="eastAsia" w:ascii="宋体" w:hAnsi="宋体" w:eastAsia="宋体" w:cs="宋体"/>
                <w:b w:val="0"/>
                <w:bCs/>
                <w:color w:val="auto"/>
                <w:sz w:val="21"/>
                <w:szCs w:val="21"/>
              </w:rPr>
              <w:t>分；建议没价值的不得分。</w:t>
            </w:r>
          </w:p>
        </w:tc>
      </w:tr>
      <w:tr w14:paraId="0D46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19FB2AE4">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 xml:space="preserve"> </w:t>
            </w:r>
            <w:r>
              <w:rPr>
                <w:rFonts w:hint="eastAsia" w:ascii="宋体" w:hAnsi="宋体" w:eastAsia="宋体" w:cs="宋体"/>
                <w:b w:val="0"/>
                <w:bCs/>
                <w:color w:val="auto"/>
                <w:sz w:val="21"/>
                <w:szCs w:val="21"/>
                <w:highlight w:val="none"/>
              </w:rPr>
              <w:t>10</w:t>
            </w:r>
          </w:p>
        </w:tc>
        <w:tc>
          <w:tcPr>
            <w:tcW w:w="640" w:type="dxa"/>
            <w:vMerge w:val="continue"/>
            <w:tcBorders>
              <w:top w:val="nil"/>
              <w:left w:val="single" w:color="auto" w:sz="4" w:space="0"/>
              <w:bottom w:val="single" w:color="auto" w:sz="4" w:space="0"/>
              <w:right w:val="single" w:color="auto" w:sz="4" w:space="0"/>
            </w:tcBorders>
            <w:noWrap w:val="0"/>
            <w:vAlign w:val="center"/>
          </w:tcPr>
          <w:p w14:paraId="63DCEDB6">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C86AD11">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投入设备</w:t>
            </w:r>
            <w:r>
              <w:rPr>
                <w:rFonts w:hint="eastAsia" w:ascii="宋体"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66FF498A">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1、全数字摄影测量工作站每一台得1分，最高得4分，没有不得分；</w:t>
            </w:r>
          </w:p>
          <w:p w14:paraId="2A634B8B">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2、GPS-RTK每一台得1分，最高得4分，没有不得分；</w:t>
            </w:r>
          </w:p>
          <w:p w14:paraId="2803D21B">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、摄影测量无人机每一台得1分，最高得2分，没有不得分；</w:t>
            </w:r>
          </w:p>
          <w:p w14:paraId="62215F97">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rPr>
              <w:t>、全站仪、水准仪每一类提供一台得1分，最高得2分，没有不得分。</w:t>
            </w:r>
          </w:p>
          <w:p w14:paraId="6413E2FD">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（提供设备采购发票及相关清单清晰扫描件，发票购买方和投标人名称必须一致，未提供不得分）</w:t>
            </w:r>
          </w:p>
        </w:tc>
      </w:tr>
      <w:tr w14:paraId="1F19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3B3159F0">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w:t>
            </w:r>
          </w:p>
        </w:tc>
        <w:tc>
          <w:tcPr>
            <w:tcW w:w="640" w:type="dxa"/>
            <w:vMerge w:val="continue"/>
            <w:tcBorders>
              <w:top w:val="nil"/>
              <w:left w:val="single" w:color="auto" w:sz="4" w:space="0"/>
              <w:bottom w:val="single" w:color="auto" w:sz="4" w:space="0"/>
              <w:right w:val="single" w:color="auto" w:sz="4" w:space="0"/>
            </w:tcBorders>
            <w:noWrap w:val="0"/>
            <w:vAlign w:val="center"/>
          </w:tcPr>
          <w:p w14:paraId="640BB2A5">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2E1EA95">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项目负责人</w:t>
            </w:r>
          </w:p>
          <w:p w14:paraId="2929CC96">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652B92F1">
            <w:pPr>
              <w:keepNext w:val="0"/>
              <w:keepLines w:val="0"/>
              <w:pageBreakBefore w:val="0"/>
              <w:numPr>
                <w:ilvl w:val="0"/>
                <w:numId w:val="10"/>
              </w:numPr>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具有测绘</w:t>
            </w:r>
            <w:r>
              <w:rPr>
                <w:rFonts w:hint="eastAsia" w:ascii="宋体" w:hAnsi="宋体" w:cs="宋体"/>
                <w:b w:val="0"/>
                <w:bCs/>
                <w:color w:val="auto"/>
                <w:sz w:val="21"/>
                <w:szCs w:val="21"/>
                <w:lang w:val="en-US" w:eastAsia="zh-CN"/>
              </w:rPr>
              <w:t>正</w:t>
            </w:r>
            <w:r>
              <w:rPr>
                <w:rFonts w:hint="eastAsia" w:ascii="宋体" w:hAnsi="宋体" w:eastAsia="宋体" w:cs="宋体"/>
                <w:b w:val="0"/>
                <w:bCs/>
                <w:color w:val="auto"/>
                <w:sz w:val="21"/>
                <w:szCs w:val="21"/>
              </w:rPr>
              <w:t>高级工程师职称的得2分</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副高级工程师职称的得1分</w:t>
            </w:r>
            <w:r>
              <w:rPr>
                <w:rFonts w:hint="eastAsia" w:ascii="宋体" w:hAnsi="宋体" w:eastAsia="宋体" w:cs="宋体"/>
                <w:b w:val="0"/>
                <w:bCs/>
                <w:color w:val="auto"/>
                <w:sz w:val="21"/>
                <w:szCs w:val="21"/>
              </w:rPr>
              <w:t>；</w:t>
            </w:r>
          </w:p>
          <w:p w14:paraId="7659089E">
            <w:pPr>
              <w:keepNext w:val="0"/>
              <w:keepLines w:val="0"/>
              <w:pageBreakBefore w:val="0"/>
              <w:numPr>
                <w:ilvl w:val="0"/>
                <w:numId w:val="10"/>
              </w:numPr>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具有注册测绘师证书的得</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分</w:t>
            </w:r>
            <w:r>
              <w:rPr>
                <w:rFonts w:hint="eastAsia" w:ascii="宋体" w:hAnsi="宋体" w:cs="宋体"/>
                <w:b w:val="0"/>
                <w:bCs/>
                <w:color w:val="auto"/>
                <w:sz w:val="21"/>
                <w:szCs w:val="21"/>
                <w:lang w:eastAsia="zh-CN"/>
              </w:rPr>
              <w:t>；</w:t>
            </w:r>
          </w:p>
          <w:p w14:paraId="7E1B6003">
            <w:pPr>
              <w:keepNext w:val="0"/>
              <w:keepLines w:val="0"/>
              <w:pageBreakBefore w:val="0"/>
              <w:numPr>
                <w:ilvl w:val="0"/>
                <w:numId w:val="10"/>
              </w:numPr>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个人</w:t>
            </w:r>
            <w:r>
              <w:rPr>
                <w:rFonts w:hint="eastAsia" w:ascii="宋体" w:hAnsi="宋体" w:eastAsia="宋体" w:cs="宋体"/>
                <w:b w:val="0"/>
                <w:bCs/>
                <w:color w:val="auto"/>
                <w:sz w:val="21"/>
                <w:szCs w:val="21"/>
              </w:rPr>
              <w:t>获得</w:t>
            </w:r>
            <w:r>
              <w:rPr>
                <w:rFonts w:hint="eastAsia" w:ascii="宋体" w:hAnsi="宋体" w:cs="宋体"/>
                <w:b w:val="0"/>
                <w:bCs/>
                <w:color w:val="auto"/>
                <w:sz w:val="21"/>
                <w:szCs w:val="21"/>
                <w:lang w:val="en-US" w:eastAsia="zh-CN"/>
              </w:rPr>
              <w:t>测绘地理信息行业</w:t>
            </w:r>
            <w:r>
              <w:rPr>
                <w:rFonts w:hint="eastAsia" w:ascii="宋体" w:hAnsi="宋体" w:eastAsia="宋体" w:cs="宋体"/>
                <w:b w:val="0"/>
                <w:bCs/>
                <w:color w:val="auto"/>
                <w:sz w:val="21"/>
                <w:szCs w:val="21"/>
              </w:rPr>
              <w:t>国家级奖的1个得2分，省级奖的1个得1分，最高得2分</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团队获奖的则项目负责人必须排名第一</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w:t>
            </w:r>
          </w:p>
          <w:p w14:paraId="08A25CAC">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（提供相关人员证书扫描件和近三个月中任意一个月的社保缴纳证明材料，未提供不得分）</w:t>
            </w:r>
          </w:p>
        </w:tc>
      </w:tr>
      <w:tr w14:paraId="4EB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14:paraId="301AF4CB">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w:t>
            </w:r>
          </w:p>
        </w:tc>
        <w:tc>
          <w:tcPr>
            <w:tcW w:w="640" w:type="dxa"/>
            <w:vMerge w:val="continue"/>
            <w:tcBorders>
              <w:top w:val="nil"/>
              <w:left w:val="single" w:color="auto" w:sz="4" w:space="0"/>
              <w:bottom w:val="single" w:color="auto" w:sz="4" w:space="0"/>
              <w:right w:val="single" w:color="auto" w:sz="4" w:space="0"/>
            </w:tcBorders>
            <w:noWrap w:val="0"/>
            <w:vAlign w:val="center"/>
          </w:tcPr>
          <w:p w14:paraId="17AC701F">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17BFCB8">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项目组成员（不含项目负责人）</w:t>
            </w:r>
          </w:p>
          <w:p w14:paraId="50AF35E8">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59D80D8">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项目组成员（不含项目负责人）</w:t>
            </w:r>
          </w:p>
          <w:p w14:paraId="0940F5BC">
            <w:pPr>
              <w:keepNext w:val="0"/>
              <w:keepLines w:val="0"/>
              <w:pageBreakBefore w:val="0"/>
              <w:numPr>
                <w:ilvl w:val="0"/>
                <w:numId w:val="11"/>
              </w:numPr>
              <w:kinsoku/>
              <w:wordWrap/>
              <w:overflowPunct/>
              <w:topLinePunct w:val="0"/>
              <w:autoSpaceDE w:val="0"/>
              <w:autoSpaceDN/>
              <w:bidi w:val="0"/>
              <w:adjustRightInd/>
              <w:snapToGrid/>
              <w:spacing w:line="360" w:lineRule="exact"/>
              <w:jc w:val="left"/>
              <w:textAlignment w:val="auto"/>
              <w:rPr>
                <w:rFonts w:hint="eastAsia" w:ascii="宋体" w:hAnsi="宋体" w:cs="宋体"/>
                <w:b w:val="0"/>
                <w:bCs/>
                <w:color w:val="auto"/>
                <w:sz w:val="21"/>
                <w:szCs w:val="21"/>
                <w:lang w:eastAsia="zh-CN"/>
              </w:rPr>
            </w:pPr>
            <w:r>
              <w:rPr>
                <w:rFonts w:hint="eastAsia" w:ascii="宋体" w:hAnsi="宋体" w:eastAsia="宋体" w:cs="宋体"/>
                <w:b w:val="0"/>
                <w:bCs/>
                <w:color w:val="auto"/>
                <w:sz w:val="21"/>
                <w:szCs w:val="21"/>
              </w:rPr>
              <w:t>具有测绘副高级工程师及以上职称的每人得1分，最高得2分</w:t>
            </w:r>
            <w:r>
              <w:rPr>
                <w:rFonts w:hint="eastAsia" w:ascii="宋体" w:hAnsi="宋体" w:cs="宋体"/>
                <w:b w:val="0"/>
                <w:bCs/>
                <w:color w:val="auto"/>
                <w:sz w:val="21"/>
                <w:szCs w:val="21"/>
                <w:lang w:eastAsia="zh-CN"/>
              </w:rPr>
              <w:t>；</w:t>
            </w:r>
          </w:p>
          <w:p w14:paraId="5C6C08C8">
            <w:pPr>
              <w:keepNext w:val="0"/>
              <w:keepLines w:val="0"/>
              <w:pageBreakBefore w:val="0"/>
              <w:numPr>
                <w:ilvl w:val="0"/>
                <w:numId w:val="11"/>
              </w:numPr>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具有注册测绘师证书的每人得1分，最高得2分</w:t>
            </w:r>
            <w:r>
              <w:rPr>
                <w:rFonts w:hint="eastAsia" w:ascii="宋体" w:hAnsi="宋体" w:cs="宋体"/>
                <w:b w:val="0"/>
                <w:bCs/>
                <w:color w:val="auto"/>
                <w:sz w:val="21"/>
                <w:szCs w:val="21"/>
                <w:lang w:eastAsia="zh-CN"/>
              </w:rPr>
              <w:t>；</w:t>
            </w:r>
          </w:p>
          <w:p w14:paraId="3CC9932E">
            <w:pPr>
              <w:keepNext w:val="0"/>
              <w:keepLines w:val="0"/>
              <w:pageBreakBefore w:val="0"/>
              <w:numPr>
                <w:ilvl w:val="0"/>
                <w:numId w:val="11"/>
              </w:numPr>
              <w:kinsoku/>
              <w:wordWrap/>
              <w:overflowPunct/>
              <w:topLinePunct w:val="0"/>
              <w:autoSpaceDE w:val="0"/>
              <w:autoSpaceDN/>
              <w:bidi w:val="0"/>
              <w:adjustRightInd/>
              <w:snapToGrid/>
              <w:spacing w:line="360" w:lineRule="exact"/>
              <w:ind w:left="0" w:leftChars="0" w:firstLine="0" w:firstLineChars="0"/>
              <w:jc w:val="left"/>
              <w:textAlignment w:val="auto"/>
              <w:rPr>
                <w:rFonts w:hint="eastAsia" w:ascii="宋体" w:hAnsi="宋体" w:cs="宋体"/>
                <w:b w:val="0"/>
                <w:bCs/>
                <w:color w:val="auto"/>
                <w:sz w:val="21"/>
                <w:szCs w:val="21"/>
                <w:lang w:eastAsia="zh-CN"/>
              </w:rPr>
            </w:pPr>
            <w:r>
              <w:rPr>
                <w:rFonts w:hint="eastAsia" w:ascii="宋体" w:hAnsi="宋体" w:eastAsia="宋体" w:cs="宋体"/>
                <w:b w:val="0"/>
                <w:bCs/>
                <w:color w:val="auto"/>
                <w:sz w:val="21"/>
                <w:szCs w:val="21"/>
              </w:rPr>
              <w:t>具有测绘中级工程师及以上职称的每人得0.5分，最高得4分</w:t>
            </w:r>
            <w:r>
              <w:rPr>
                <w:rFonts w:hint="eastAsia" w:ascii="宋体" w:hAnsi="宋体" w:cs="宋体"/>
                <w:b w:val="0"/>
                <w:bCs/>
                <w:color w:val="auto"/>
                <w:sz w:val="21"/>
                <w:szCs w:val="21"/>
                <w:lang w:eastAsia="zh-CN"/>
              </w:rPr>
              <w:t>；</w:t>
            </w:r>
          </w:p>
          <w:p w14:paraId="1BD0FA26">
            <w:pPr>
              <w:keepNext w:val="0"/>
              <w:keepLines w:val="0"/>
              <w:pageBreakBefore w:val="0"/>
              <w:numPr>
                <w:ilvl w:val="0"/>
                <w:numId w:val="11"/>
              </w:numPr>
              <w:kinsoku/>
              <w:wordWrap/>
              <w:overflowPunct/>
              <w:topLinePunct w:val="0"/>
              <w:autoSpaceDE w:val="0"/>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具有测绘初级工程师及以上职称的每人得 0.5分，最高得2分。</w:t>
            </w:r>
          </w:p>
          <w:p w14:paraId="71363FFD">
            <w:pPr>
              <w:keepNext w:val="0"/>
              <w:keepLines w:val="0"/>
              <w:pageBreakBefore w:val="0"/>
              <w:numPr>
                <w:ilvl w:val="0"/>
                <w:numId w:val="0"/>
              </w:numPr>
              <w:kinsoku/>
              <w:wordWrap/>
              <w:overflowPunct/>
              <w:topLinePunct w:val="0"/>
              <w:autoSpaceDE w:val="0"/>
              <w:autoSpaceDN/>
              <w:bidi w:val="0"/>
              <w:adjustRightInd/>
              <w:snapToGrid/>
              <w:spacing w:line="360" w:lineRule="exact"/>
              <w:ind w:leftChars="0"/>
              <w:jc w:val="left"/>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第 2条人员可与第 1、3、4 条人员重复，第3条人员不可与第 1条已计分人员重复，第 4条人员不可与第 1、3条已计分人员重复，提供相关人员证书扫描件和近三个月中任意一个月的社保缴纳证明材料，未提供不得分)</w:t>
            </w:r>
          </w:p>
        </w:tc>
      </w:tr>
      <w:tr w14:paraId="1DF6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Borders>
              <w:top w:val="single" w:color="auto" w:sz="4" w:space="0"/>
              <w:left w:val="single" w:color="auto" w:sz="4" w:space="0"/>
              <w:bottom w:val="single" w:color="auto" w:sz="4" w:space="0"/>
              <w:right w:val="single" w:color="auto" w:sz="4" w:space="0"/>
            </w:tcBorders>
            <w:noWrap w:val="0"/>
            <w:vAlign w:val="center"/>
          </w:tcPr>
          <w:p w14:paraId="78B02A1E">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w:t>
            </w:r>
          </w:p>
        </w:tc>
        <w:tc>
          <w:tcPr>
            <w:tcW w:w="640" w:type="dxa"/>
            <w:vMerge w:val="restart"/>
            <w:tcBorders>
              <w:top w:val="nil"/>
              <w:left w:val="single" w:color="auto" w:sz="4" w:space="0"/>
              <w:bottom w:val="single" w:color="auto" w:sz="4" w:space="0"/>
              <w:right w:val="single" w:color="auto" w:sz="4" w:space="0"/>
            </w:tcBorders>
            <w:noWrap w:val="0"/>
            <w:vAlign w:val="center"/>
          </w:tcPr>
          <w:p w14:paraId="00A16E1E">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kern w:val="0"/>
                <w:sz w:val="21"/>
                <w:szCs w:val="21"/>
              </w:rPr>
              <w:t>商务资信及其他</w:t>
            </w:r>
            <w:r>
              <w:rPr>
                <w:rFonts w:hint="eastAsia" w:ascii="宋体" w:hAnsi="宋体" w:cs="宋体"/>
                <w:b w:val="0"/>
                <w:bCs/>
                <w:kern w:val="0"/>
                <w:sz w:val="21"/>
                <w:szCs w:val="21"/>
                <w:lang w:val="en-US" w:eastAsia="zh-CN"/>
              </w:rPr>
              <w:t>12</w:t>
            </w:r>
            <w:r>
              <w:rPr>
                <w:rFonts w:hint="eastAsia" w:ascii="宋体" w:hAnsi="宋体" w:eastAsia="宋体" w:cs="宋体"/>
                <w:b w:val="0"/>
                <w:bCs/>
                <w:kern w:val="0"/>
                <w:sz w:val="21"/>
                <w:szCs w:val="21"/>
              </w:rPr>
              <w:t>分</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49D3BA1">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体系认证</w:t>
            </w:r>
          </w:p>
          <w:p w14:paraId="5BC4C884">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2B75A103">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投标供应商通过质量管理体系认证、环境管理体系认证、职业健康与安全管理体系认证、</w:t>
            </w:r>
            <w:bookmarkStart w:id="175" w:name="OLE_LINK19"/>
            <w:bookmarkStart w:id="176" w:name="OLE_LINK20"/>
            <w:r>
              <w:rPr>
                <w:rFonts w:hint="eastAsia" w:ascii="宋体" w:hAnsi="宋体" w:eastAsia="宋体" w:cs="宋体"/>
                <w:i w:val="0"/>
                <w:iCs w:val="0"/>
                <w:color w:val="000000"/>
                <w:kern w:val="0"/>
                <w:sz w:val="21"/>
                <w:szCs w:val="21"/>
                <w:highlight w:val="none"/>
                <w:u w:val="none"/>
                <w:lang w:val="en-US" w:eastAsia="zh-CN" w:bidi="ar"/>
              </w:rPr>
              <w:t>信息安全管理体系认证</w:t>
            </w:r>
            <w:r>
              <w:rPr>
                <w:rFonts w:hint="eastAsia" w:ascii="宋体" w:hAnsi="宋体" w:eastAsia="宋体" w:cs="宋体"/>
                <w:b w:val="0"/>
                <w:bCs/>
                <w:sz w:val="21"/>
                <w:szCs w:val="21"/>
                <w:highlight w:val="none"/>
              </w:rPr>
              <w:t>、</w:t>
            </w:r>
            <w:bookmarkEnd w:id="175"/>
            <w:bookmarkEnd w:id="176"/>
            <w:r>
              <w:rPr>
                <w:rFonts w:hint="eastAsia" w:ascii="宋体" w:hAnsi="宋体" w:eastAsia="宋体" w:cs="宋体"/>
                <w:i w:val="0"/>
                <w:iCs w:val="0"/>
                <w:color w:val="000000"/>
                <w:kern w:val="0"/>
                <w:sz w:val="21"/>
                <w:szCs w:val="21"/>
                <w:highlight w:val="none"/>
                <w:u w:val="none"/>
                <w:lang w:val="en-US" w:eastAsia="zh-CN" w:bidi="ar"/>
              </w:rPr>
              <w:t>信息技术服务管理体系认证</w:t>
            </w:r>
            <w:r>
              <w:rPr>
                <w:rFonts w:hint="eastAsia" w:ascii="宋体" w:hAnsi="宋体" w:eastAsia="宋体" w:cs="宋体"/>
                <w:b w:val="0"/>
                <w:bCs/>
                <w:sz w:val="21"/>
                <w:szCs w:val="21"/>
                <w:highlight w:val="none"/>
              </w:rPr>
              <w:t>，每类证书得1分，最多得5分。</w:t>
            </w:r>
          </w:p>
          <w:p w14:paraId="0D814DF1">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（提供有效期内的体系认证证书扫描件或复印件并加盖公章，未提供不得分)。</w:t>
            </w:r>
          </w:p>
        </w:tc>
      </w:tr>
      <w:tr w14:paraId="06F2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Borders>
              <w:top w:val="single" w:color="auto" w:sz="4" w:space="0"/>
              <w:left w:val="single" w:color="auto" w:sz="4" w:space="0"/>
              <w:bottom w:val="single" w:color="auto" w:sz="4" w:space="0"/>
              <w:right w:val="single" w:color="auto" w:sz="4" w:space="0"/>
            </w:tcBorders>
            <w:noWrap w:val="0"/>
            <w:vAlign w:val="center"/>
          </w:tcPr>
          <w:p w14:paraId="56F3B8EC">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w:t>
            </w:r>
          </w:p>
        </w:tc>
        <w:tc>
          <w:tcPr>
            <w:tcW w:w="640" w:type="dxa"/>
            <w:vMerge w:val="continue"/>
            <w:tcBorders>
              <w:top w:val="nil"/>
              <w:left w:val="single" w:color="auto" w:sz="4" w:space="0"/>
              <w:bottom w:val="single" w:color="auto" w:sz="4" w:space="0"/>
              <w:right w:val="single" w:color="auto" w:sz="4" w:space="0"/>
            </w:tcBorders>
            <w:noWrap w:val="0"/>
            <w:vAlign w:val="center"/>
          </w:tcPr>
          <w:p w14:paraId="3743039F">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778E8FA">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相关科研能力</w:t>
            </w:r>
          </w:p>
          <w:p w14:paraId="23A56F11">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ECAFEBB">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投标供应商具有与本项目相关</w:t>
            </w:r>
            <w:bookmarkStart w:id="177" w:name="OLE_LINK22"/>
            <w:bookmarkStart w:id="178" w:name="OLE_LINK21"/>
            <w:r>
              <w:rPr>
                <w:rFonts w:hint="eastAsia" w:ascii="宋体" w:hAnsi="宋体" w:eastAsia="宋体" w:cs="宋体"/>
                <w:b w:val="0"/>
                <w:bCs/>
                <w:sz w:val="21"/>
                <w:szCs w:val="21"/>
                <w:highlight w:val="none"/>
              </w:rPr>
              <w:t>发明专利或者地理信息软著</w:t>
            </w:r>
            <w:bookmarkEnd w:id="177"/>
            <w:bookmarkEnd w:id="178"/>
            <w:r>
              <w:rPr>
                <w:rFonts w:hint="eastAsia" w:ascii="宋体" w:hAnsi="宋体" w:eastAsia="宋体" w:cs="宋体"/>
                <w:b w:val="0"/>
                <w:bCs/>
                <w:sz w:val="21"/>
                <w:szCs w:val="21"/>
                <w:highlight w:val="none"/>
              </w:rPr>
              <w:t>的每个得2分，最高得4分。</w:t>
            </w:r>
          </w:p>
          <w:p w14:paraId="479F2047">
            <w:pPr>
              <w:keepNext w:val="0"/>
              <w:keepLines w:val="0"/>
              <w:pageBreakBefore w:val="0"/>
              <w:kinsoku/>
              <w:wordWrap/>
              <w:overflowPunct/>
              <w:topLinePunct w:val="0"/>
              <w:autoSpaceDE w:val="0"/>
              <w:autoSpaceDN/>
              <w:bidi w:val="0"/>
              <w:adjustRightInd/>
              <w:snapToGrid/>
              <w:spacing w:line="36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（提供有效证明材料，未提供不得分）</w:t>
            </w:r>
          </w:p>
        </w:tc>
      </w:tr>
      <w:tr w14:paraId="2EEB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Borders>
              <w:top w:val="single" w:color="auto" w:sz="4" w:space="0"/>
              <w:left w:val="single" w:color="auto" w:sz="4" w:space="0"/>
              <w:bottom w:val="single" w:color="auto" w:sz="4" w:space="0"/>
              <w:right w:val="single" w:color="auto" w:sz="4" w:space="0"/>
            </w:tcBorders>
            <w:noWrap w:val="0"/>
            <w:vAlign w:val="center"/>
          </w:tcPr>
          <w:p w14:paraId="085EEABC">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w:t>
            </w:r>
          </w:p>
        </w:tc>
        <w:tc>
          <w:tcPr>
            <w:tcW w:w="640" w:type="dxa"/>
            <w:vMerge w:val="continue"/>
            <w:tcBorders>
              <w:top w:val="nil"/>
              <w:left w:val="single" w:color="auto" w:sz="4" w:space="0"/>
              <w:bottom w:val="single" w:color="auto" w:sz="4" w:space="0"/>
              <w:right w:val="single" w:color="auto" w:sz="4" w:space="0"/>
            </w:tcBorders>
            <w:noWrap w:val="0"/>
            <w:vAlign w:val="center"/>
          </w:tcPr>
          <w:p w14:paraId="5B60C17C">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EB171D5">
            <w:pPr>
              <w:keepNext w:val="0"/>
              <w:keepLines w:val="0"/>
              <w:pageBreakBefore w:val="0"/>
              <w:widowControl w:val="0"/>
              <w:kinsoku/>
              <w:wordWrap/>
              <w:overflowPunct/>
              <w:topLinePunct w:val="0"/>
              <w:autoSpaceDE w:val="0"/>
              <w:autoSpaceDN/>
              <w:bidi w:val="0"/>
              <w:adjustRightInd/>
              <w:snapToGrid/>
              <w:spacing w:line="38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服务承诺</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142679D">
            <w:pPr>
              <w:keepNext w:val="0"/>
              <w:keepLines w:val="0"/>
              <w:pageBreakBefore w:val="0"/>
              <w:widowControl w:val="0"/>
              <w:kinsoku/>
              <w:wordWrap/>
              <w:overflowPunct/>
              <w:topLinePunct w:val="0"/>
              <w:autoSpaceDE w:val="0"/>
              <w:autoSpaceDN/>
              <w:bidi w:val="0"/>
              <w:adjustRightInd/>
              <w:snapToGrid/>
              <w:spacing w:line="38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投标供应商接到业主某项具体工作通知后1小时内作出明确响应和安排，如需现场服务的在2小时内到达现场，如需限时完成某项具体工作的确保在限时内完成任务。有以上承诺的得</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w:t>
            </w:r>
          </w:p>
          <w:p w14:paraId="58B1EE7E">
            <w:pPr>
              <w:keepNext w:val="0"/>
              <w:keepLines w:val="0"/>
              <w:pageBreakBefore w:val="0"/>
              <w:widowControl w:val="0"/>
              <w:kinsoku/>
              <w:wordWrap/>
              <w:overflowPunct/>
              <w:topLinePunct w:val="0"/>
              <w:autoSpaceDE w:val="0"/>
              <w:autoSpaceDN/>
              <w:bidi w:val="0"/>
              <w:adjustRightInd/>
              <w:snapToGrid/>
              <w:spacing w:line="38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（需提供加盖公章承诺函，格式自拟，未提供不得分）</w:t>
            </w:r>
          </w:p>
        </w:tc>
      </w:tr>
      <w:tr w14:paraId="5BA9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Borders>
              <w:top w:val="single" w:color="auto" w:sz="4" w:space="0"/>
              <w:left w:val="single" w:color="auto" w:sz="4" w:space="0"/>
              <w:bottom w:val="single" w:color="auto" w:sz="4" w:space="0"/>
              <w:right w:val="single" w:color="auto" w:sz="4" w:space="0"/>
            </w:tcBorders>
            <w:noWrap w:val="0"/>
            <w:vAlign w:val="center"/>
          </w:tcPr>
          <w:p w14:paraId="42A1D18C">
            <w:pPr>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16</w:t>
            </w:r>
          </w:p>
        </w:tc>
        <w:tc>
          <w:tcPr>
            <w:tcW w:w="640" w:type="dxa"/>
            <w:vMerge w:val="continue"/>
            <w:tcBorders>
              <w:top w:val="nil"/>
              <w:left w:val="single" w:color="auto" w:sz="4" w:space="0"/>
              <w:bottom w:val="single" w:color="auto" w:sz="4" w:space="0"/>
              <w:right w:val="single" w:color="auto" w:sz="4" w:space="0"/>
            </w:tcBorders>
            <w:noWrap w:val="0"/>
            <w:vAlign w:val="center"/>
          </w:tcPr>
          <w:p w14:paraId="3C8D4924">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宋体" w:hAnsi="宋体" w:eastAsia="宋体" w:cs="宋体"/>
                <w:b w:val="0"/>
                <w:bCs/>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E54EEF3">
            <w:pPr>
              <w:keepNext w:val="0"/>
              <w:keepLines w:val="0"/>
              <w:pageBreakBefore w:val="0"/>
              <w:widowControl w:val="0"/>
              <w:kinsoku/>
              <w:wordWrap/>
              <w:overflowPunct/>
              <w:topLinePunct w:val="0"/>
              <w:autoSpaceDE w:val="0"/>
              <w:autoSpaceDN/>
              <w:bidi w:val="0"/>
              <w:adjustRightInd/>
              <w:snapToGrid/>
              <w:spacing w:line="38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kern w:val="0"/>
                <w:sz w:val="21"/>
                <w:szCs w:val="21"/>
              </w:rPr>
              <w:t>类似项目业绩1分</w:t>
            </w:r>
          </w:p>
        </w:tc>
        <w:tc>
          <w:tcPr>
            <w:tcW w:w="7053" w:type="dxa"/>
            <w:tcBorders>
              <w:top w:val="single" w:color="auto" w:sz="4" w:space="0"/>
              <w:left w:val="single" w:color="auto" w:sz="4" w:space="0"/>
              <w:bottom w:val="single" w:color="auto" w:sz="4" w:space="0"/>
              <w:right w:val="single" w:color="auto" w:sz="4" w:space="0"/>
            </w:tcBorders>
            <w:noWrap w:val="0"/>
            <w:vAlign w:val="center"/>
          </w:tcPr>
          <w:p w14:paraId="4C50008E">
            <w:pPr>
              <w:keepNext w:val="0"/>
              <w:keepLines w:val="0"/>
              <w:pageBreakBefore w:val="0"/>
              <w:widowControl w:val="0"/>
              <w:kinsoku/>
              <w:wordWrap/>
              <w:overflowPunct/>
              <w:topLinePunct w:val="0"/>
              <w:autoSpaceDE w:val="0"/>
              <w:autoSpaceDN/>
              <w:bidi w:val="0"/>
              <w:adjustRightInd/>
              <w:snapToGrid/>
              <w:spacing w:line="38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2022年1月1日以来承担过类似项目业绩的，每个得0.5分，最高得1分。</w:t>
            </w:r>
          </w:p>
          <w:p w14:paraId="1BDA8D64">
            <w:pPr>
              <w:keepNext w:val="0"/>
              <w:keepLines w:val="0"/>
              <w:pageBreakBefore w:val="0"/>
              <w:widowControl w:val="0"/>
              <w:kinsoku/>
              <w:wordWrap/>
              <w:overflowPunct/>
              <w:topLinePunct w:val="0"/>
              <w:autoSpaceDE w:val="0"/>
              <w:autoSpaceDN/>
              <w:bidi w:val="0"/>
              <w:adjustRightInd/>
              <w:snapToGrid/>
              <w:spacing w:line="38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（提供项目合同扫描件或复印件，未提供不得分）</w:t>
            </w:r>
          </w:p>
        </w:tc>
      </w:tr>
    </w:tbl>
    <w:p w14:paraId="6D7CD126">
      <w:pPr>
        <w:numPr>
          <w:ilvl w:val="0"/>
          <w:numId w:val="0"/>
        </w:numPr>
        <w:tabs>
          <w:tab w:val="center" w:pos="4706"/>
        </w:tabs>
        <w:spacing w:line="440" w:lineRule="exact"/>
        <w:rPr>
          <w:rFonts w:ascii="宋体" w:hAnsi="宋体" w:cs="宋体"/>
          <w:b/>
        </w:rPr>
      </w:pPr>
      <w:r>
        <w:rPr>
          <w:rFonts w:hint="eastAsia" w:ascii="宋体" w:hAnsi="宋体" w:eastAsia="宋体" w:cs="宋体"/>
          <w:b/>
          <w:kern w:val="2"/>
          <w:sz w:val="21"/>
          <w:szCs w:val="21"/>
          <w:lang w:val="en-US" w:eastAsia="zh-CN" w:bidi="ar-SA"/>
        </w:rPr>
        <w:t>（</w:t>
      </w:r>
      <w:r>
        <w:rPr>
          <w:rFonts w:hint="eastAsia" w:ascii="宋体" w:hAnsi="宋体" w:cs="宋体"/>
          <w:b/>
          <w:kern w:val="2"/>
          <w:sz w:val="21"/>
          <w:szCs w:val="21"/>
          <w:lang w:val="en-US" w:eastAsia="zh-CN" w:bidi="ar-SA"/>
        </w:rPr>
        <w:t>三</w:t>
      </w:r>
      <w:r>
        <w:rPr>
          <w:rFonts w:hint="eastAsia" w:ascii="宋体" w:hAnsi="宋体" w:eastAsia="宋体" w:cs="宋体"/>
          <w:b/>
          <w:kern w:val="2"/>
          <w:sz w:val="21"/>
          <w:szCs w:val="21"/>
          <w:lang w:val="en-US" w:eastAsia="zh-CN" w:bidi="ar-SA"/>
        </w:rPr>
        <w:t>）</w:t>
      </w:r>
      <w:r>
        <w:rPr>
          <w:rFonts w:hint="eastAsia" w:ascii="宋体" w:hAnsi="宋体" w:cs="宋体"/>
          <w:b/>
        </w:rPr>
        <w:t>分值计算</w:t>
      </w:r>
    </w:p>
    <w:p w14:paraId="5CB98EDC">
      <w:pPr>
        <w:keepNext w:val="0"/>
        <w:keepLines w:val="0"/>
        <w:pageBreakBefore w:val="0"/>
        <w:widowControl w:val="0"/>
        <w:numPr>
          <w:ilvl w:val="255"/>
          <w:numId w:val="0"/>
        </w:numPr>
        <w:tabs>
          <w:tab w:val="center" w:pos="4706"/>
        </w:tabs>
        <w:kinsoku/>
        <w:wordWrap/>
        <w:overflowPunct/>
        <w:topLinePunct w:val="0"/>
        <w:autoSpaceDE/>
        <w:autoSpaceDN/>
        <w:bidi w:val="0"/>
        <w:spacing w:line="400" w:lineRule="exact"/>
        <w:textAlignment w:val="auto"/>
        <w:rPr>
          <w:rFonts w:ascii="宋体" w:hAnsi="宋体" w:cs="宋体"/>
          <w:bCs/>
        </w:rPr>
      </w:pPr>
      <w:r>
        <w:rPr>
          <w:rFonts w:hint="eastAsia" w:ascii="宋体" w:hAnsi="宋体" w:cs="宋体"/>
          <w:bCs/>
        </w:rPr>
        <w:t>1.价格分</w:t>
      </w:r>
    </w:p>
    <w:p w14:paraId="01DAE598">
      <w:pPr>
        <w:keepNext w:val="0"/>
        <w:keepLines w:val="0"/>
        <w:pageBreakBefore w:val="0"/>
        <w:widowControl w:val="0"/>
        <w:tabs>
          <w:tab w:val="center" w:pos="4706"/>
        </w:tabs>
        <w:kinsoku/>
        <w:wordWrap/>
        <w:overflowPunct/>
        <w:topLinePunct w:val="0"/>
        <w:autoSpaceDE/>
        <w:autoSpaceDN/>
        <w:bidi w:val="0"/>
        <w:spacing w:line="400" w:lineRule="exact"/>
        <w:ind w:firstLine="420" w:firstLineChars="200"/>
        <w:textAlignment w:val="auto"/>
        <w:rPr>
          <w:rFonts w:ascii="宋体" w:hAnsi="宋体" w:cs="宋体"/>
          <w:bCs/>
        </w:rPr>
      </w:pPr>
      <w:r>
        <w:rPr>
          <w:rFonts w:hint="eastAsia" w:ascii="宋体" w:hAnsi="宋体" w:cs="宋体"/>
          <w:bCs/>
        </w:rPr>
        <w:t>调整错误、并执行支付采购政策后按评分细则中的公式计算。</w:t>
      </w:r>
    </w:p>
    <w:p w14:paraId="3C5B1900">
      <w:pPr>
        <w:keepNext w:val="0"/>
        <w:keepLines w:val="0"/>
        <w:pageBreakBefore w:val="0"/>
        <w:widowControl w:val="0"/>
        <w:tabs>
          <w:tab w:val="center" w:pos="4706"/>
        </w:tabs>
        <w:kinsoku/>
        <w:wordWrap/>
        <w:overflowPunct/>
        <w:topLinePunct w:val="0"/>
        <w:autoSpaceDE/>
        <w:autoSpaceDN/>
        <w:bidi w:val="0"/>
        <w:spacing w:line="400" w:lineRule="exact"/>
        <w:textAlignment w:val="auto"/>
        <w:rPr>
          <w:rFonts w:ascii="宋体" w:hAnsi="宋体" w:cs="宋体"/>
          <w:bCs/>
        </w:rPr>
      </w:pPr>
      <w:r>
        <w:rPr>
          <w:rFonts w:hint="eastAsia" w:ascii="宋体" w:hAnsi="宋体" w:cs="宋体"/>
          <w:bCs/>
        </w:rPr>
        <w:t>2.技术、商务资信及其他分</w:t>
      </w:r>
    </w:p>
    <w:p w14:paraId="04215B9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bCs/>
        </w:rPr>
      </w:pPr>
      <w:r>
        <w:rPr>
          <w:rFonts w:hint="eastAsia" w:ascii="宋体" w:hAnsi="宋体" w:cs="宋体"/>
          <w:bCs/>
        </w:rPr>
        <w:t>技术、商务资信及其他分按照评标委员会成员的独立评分结果汇总数算术平均分计算，计算公式为：</w:t>
      </w:r>
    </w:p>
    <w:p w14:paraId="67F9F5B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bCs/>
        </w:rPr>
      </w:pPr>
      <w:r>
        <w:rPr>
          <w:rFonts w:hint="eastAsia" w:ascii="宋体" w:hAnsi="宋体" w:cs="宋体"/>
          <w:bCs/>
        </w:rPr>
        <w:t>技术、商务资信及其他分=（评标委员会所有成员评分合计数）/（评标委员会组成人员数）</w:t>
      </w:r>
      <w:bookmarkStart w:id="179" w:name="_Toc317341948"/>
    </w:p>
    <w:p w14:paraId="4C086CF5">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bCs/>
        </w:rPr>
      </w:pPr>
      <w:r>
        <w:rPr>
          <w:rFonts w:hint="eastAsia" w:ascii="宋体" w:hAnsi="宋体" w:cs="宋体"/>
          <w:bCs/>
        </w:rPr>
        <w:t>3.综合得分</w:t>
      </w:r>
    </w:p>
    <w:p w14:paraId="48E8DA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rPr>
      </w:pPr>
      <w:r>
        <w:rPr>
          <w:rFonts w:hint="eastAsia" w:ascii="宋体" w:hAnsi="宋体" w:cs="宋体"/>
          <w:bCs/>
        </w:rPr>
        <w:t>投标人评标综合得分=技术、商务资信及其他分+价格得分</w:t>
      </w:r>
    </w:p>
    <w:p w14:paraId="289F7E7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rPr>
      </w:pPr>
      <w:r>
        <w:rPr>
          <w:rFonts w:hint="eastAsia" w:ascii="宋体" w:hAnsi="宋体" w:cs="宋体"/>
          <w:bCs/>
        </w:rPr>
        <w:t>评分过程中采用四舍五入法，并保留小数2位。</w:t>
      </w:r>
    </w:p>
    <w:p w14:paraId="59600D4E">
      <w:pPr>
        <w:keepNext w:val="0"/>
        <w:keepLines w:val="0"/>
        <w:pageBreakBefore w:val="0"/>
        <w:widowControl w:val="0"/>
        <w:kinsoku/>
        <w:wordWrap/>
        <w:overflowPunct/>
        <w:topLinePunct w:val="0"/>
        <w:autoSpaceDE/>
        <w:autoSpaceDN/>
        <w:bidi w:val="0"/>
        <w:spacing w:line="400" w:lineRule="exact"/>
        <w:textAlignment w:val="auto"/>
      </w:pPr>
    </w:p>
    <w:bookmarkEnd w:id="179"/>
    <w:p w14:paraId="1578AC8F">
      <w:pPr>
        <w:pStyle w:val="4"/>
        <w:spacing w:line="240" w:lineRule="auto"/>
        <w:rPr>
          <w:rFonts w:ascii="宋体" w:hAnsi="宋体" w:eastAsia="宋体" w:cs="宋体"/>
          <w:sz w:val="24"/>
          <w:szCs w:val="24"/>
        </w:rPr>
      </w:pPr>
      <w:bookmarkStart w:id="180" w:name="_Toc4136"/>
      <w:bookmarkStart w:id="181" w:name="_Toc27862"/>
      <w:bookmarkStart w:id="182" w:name="_Toc317341949"/>
      <w:bookmarkStart w:id="183" w:name="_Toc19139"/>
      <w:bookmarkStart w:id="184" w:name="_Toc2756"/>
      <w:bookmarkStart w:id="185" w:name="_Toc27495"/>
      <w:bookmarkStart w:id="186" w:name="_Toc6478"/>
      <w:bookmarkStart w:id="187" w:name="_Toc11437"/>
      <w:bookmarkStart w:id="188" w:name="_Toc22162"/>
      <w:r>
        <w:rPr>
          <w:rFonts w:hint="eastAsia" w:ascii="宋体" w:hAnsi="宋体" w:eastAsia="宋体" w:cs="宋体"/>
          <w:sz w:val="24"/>
          <w:szCs w:val="24"/>
        </w:rPr>
        <w:t>四、监督管理</w:t>
      </w:r>
      <w:bookmarkEnd w:id="180"/>
      <w:bookmarkEnd w:id="181"/>
      <w:bookmarkEnd w:id="182"/>
      <w:bookmarkEnd w:id="183"/>
      <w:bookmarkEnd w:id="184"/>
      <w:bookmarkEnd w:id="185"/>
      <w:bookmarkEnd w:id="186"/>
      <w:bookmarkEnd w:id="187"/>
      <w:bookmarkEnd w:id="188"/>
    </w:p>
    <w:p w14:paraId="190B4F1B">
      <w:pPr>
        <w:spacing w:line="480" w:lineRule="exact"/>
        <w:rPr>
          <w:rFonts w:ascii="宋体" w:hAnsi="宋体" w:cs="宋体"/>
          <w:u w:val="single"/>
        </w:rPr>
      </w:pPr>
      <w:r>
        <w:rPr>
          <w:rFonts w:hint="eastAsia" w:ascii="宋体" w:hAnsi="宋体" w:cs="宋体"/>
        </w:rPr>
        <w:t>本项目评审全程录音录像，监督管理部门为</w:t>
      </w:r>
      <w:r>
        <w:rPr>
          <w:rFonts w:hint="eastAsia" w:ascii="宋体" w:hAnsi="宋体" w:cs="宋体"/>
          <w:u w:val="single"/>
        </w:rPr>
        <w:t>安吉县财政局。</w:t>
      </w:r>
    </w:p>
    <w:p w14:paraId="123CAFFC">
      <w:r>
        <w:br w:type="page"/>
      </w:r>
    </w:p>
    <w:p w14:paraId="66ECF2CE">
      <w:pPr>
        <w:pStyle w:val="3"/>
        <w:spacing w:line="240" w:lineRule="auto"/>
        <w:jc w:val="center"/>
        <w:rPr>
          <w:rFonts w:ascii="宋体" w:hAnsi="宋体" w:cs="宋体"/>
          <w:snapToGrid w:val="0"/>
          <w:szCs w:val="36"/>
        </w:rPr>
      </w:pPr>
      <w:bookmarkStart w:id="189" w:name="_Toc23024"/>
      <w:bookmarkStart w:id="190" w:name="_Toc21450"/>
      <w:bookmarkStart w:id="191" w:name="_Toc25477"/>
      <w:bookmarkStart w:id="192" w:name="_Toc317341950"/>
      <w:bookmarkStart w:id="193" w:name="_Toc16366"/>
      <w:bookmarkStart w:id="194" w:name="_Toc2987"/>
      <w:bookmarkStart w:id="195" w:name="_Toc4813"/>
      <w:bookmarkStart w:id="196" w:name="_Toc19324"/>
      <w:r>
        <w:rPr>
          <w:rFonts w:hint="eastAsia" w:ascii="宋体" w:hAnsi="宋体" w:cs="宋体"/>
          <w:snapToGrid w:val="0"/>
          <w:sz w:val="40"/>
          <w:szCs w:val="36"/>
        </w:rPr>
        <w:t>第五章 合同主要条款</w:t>
      </w:r>
      <w:bookmarkEnd w:id="189"/>
      <w:bookmarkEnd w:id="190"/>
      <w:bookmarkEnd w:id="191"/>
      <w:bookmarkEnd w:id="192"/>
      <w:bookmarkEnd w:id="193"/>
      <w:bookmarkEnd w:id="194"/>
      <w:bookmarkEnd w:id="195"/>
      <w:bookmarkEnd w:id="196"/>
    </w:p>
    <w:p w14:paraId="5CA82E9F">
      <w:pPr>
        <w:spacing w:line="480" w:lineRule="exact"/>
        <w:jc w:val="center"/>
        <w:rPr>
          <w:rFonts w:hint="eastAsia" w:ascii="宋体" w:hAnsi="宋体" w:eastAsia="宋体" w:cs="宋体"/>
          <w:b/>
          <w:sz w:val="28"/>
          <w:szCs w:val="28"/>
        </w:rPr>
      </w:pPr>
      <w:r>
        <w:rPr>
          <w:rFonts w:hint="eastAsia" w:ascii="宋体" w:hAnsi="宋体" w:cs="宋体"/>
          <w:b/>
          <w:sz w:val="28"/>
          <w:szCs w:val="28"/>
        </w:rPr>
        <w:t>安吉县政府采购合同书</w:t>
      </w:r>
      <w:r>
        <w:rPr>
          <w:rFonts w:hint="eastAsia" w:ascii="宋体" w:hAnsi="宋体" w:eastAsia="宋体" w:cs="宋体"/>
          <w:b/>
          <w:sz w:val="28"/>
          <w:szCs w:val="28"/>
        </w:rPr>
        <w:t>（仅供参考，</w:t>
      </w:r>
      <w:r>
        <w:rPr>
          <w:rFonts w:hint="eastAsia" w:ascii="宋体" w:hAnsi="宋体" w:eastAsia="宋体" w:cs="宋体"/>
          <w:b/>
          <w:sz w:val="28"/>
          <w:szCs w:val="28"/>
          <w:lang w:val="en-US" w:eastAsia="zh-CN"/>
        </w:rPr>
        <w:t>中标</w:t>
      </w:r>
      <w:r>
        <w:rPr>
          <w:rFonts w:hint="eastAsia" w:ascii="宋体" w:hAnsi="宋体" w:eastAsia="宋体" w:cs="宋体"/>
          <w:b/>
          <w:sz w:val="28"/>
          <w:szCs w:val="28"/>
        </w:rPr>
        <w:t>后完善）</w:t>
      </w:r>
    </w:p>
    <w:p w14:paraId="5F4421F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项目名称：</w:t>
      </w:r>
    </w:p>
    <w:p w14:paraId="65318B6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项目编号：</w:t>
      </w:r>
    </w:p>
    <w:p w14:paraId="159443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p>
    <w:p w14:paraId="323653A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sz w:val="21"/>
          <w:szCs w:val="21"/>
          <w:lang w:val="en-US" w:eastAsia="zh-CN"/>
        </w:rPr>
        <w:t xml:space="preserve">浙江至诚工程咨询有限责任公司关于               </w:t>
      </w:r>
      <w:r>
        <w:rPr>
          <w:rFonts w:hint="eastAsia" w:ascii="宋体" w:hAnsi="宋体" w:eastAsia="宋体" w:cs="宋体"/>
          <w:sz w:val="21"/>
          <w:szCs w:val="21"/>
        </w:rPr>
        <w:t>的采购结果，甲乙双方本着既严格执行国家有关政策，又兼顾双方利益的原则，经协商，特签订本合同书。</w:t>
      </w:r>
    </w:p>
    <w:p w14:paraId="24D3A26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服务</w:t>
      </w:r>
      <w:r>
        <w:rPr>
          <w:rFonts w:hint="eastAsia" w:ascii="宋体" w:hAnsi="宋体" w:eastAsia="宋体" w:cs="宋体"/>
          <w:sz w:val="21"/>
          <w:szCs w:val="21"/>
        </w:rPr>
        <w:t>内容</w:t>
      </w:r>
    </w:p>
    <w:p w14:paraId="0A3CBA1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二、合同金额</w:t>
      </w:r>
    </w:p>
    <w:p w14:paraId="1D8961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本合同金额为（大写）：_________________（￥___________元/年）人民币。</w:t>
      </w:r>
    </w:p>
    <w:p w14:paraId="7EB5F52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三、采购清单</w:t>
      </w:r>
    </w:p>
    <w:p w14:paraId="2FF8BBF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四、技术资料</w:t>
      </w:r>
    </w:p>
    <w:p w14:paraId="566E625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197" w:name="_Toc15960"/>
      <w:bookmarkStart w:id="198" w:name="_Toc14045"/>
      <w:bookmarkStart w:id="199" w:name="_Toc14669"/>
      <w:bookmarkStart w:id="200" w:name="_Toc7548"/>
      <w:bookmarkStart w:id="201" w:name="_Toc23837"/>
      <w:r>
        <w:rPr>
          <w:rFonts w:hint="eastAsia" w:ascii="宋体" w:hAnsi="宋体" w:eastAsia="宋体" w:cs="宋体"/>
          <w:sz w:val="21"/>
          <w:szCs w:val="21"/>
        </w:rPr>
        <w:t>1.乙方应按采购文件规定的时间向甲方提供服务的有关技术资料。</w:t>
      </w:r>
      <w:bookmarkEnd w:id="197"/>
      <w:bookmarkEnd w:id="198"/>
      <w:bookmarkEnd w:id="199"/>
      <w:bookmarkEnd w:id="200"/>
      <w:bookmarkEnd w:id="201"/>
    </w:p>
    <w:p w14:paraId="7B9D4E6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5D9DE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02" w:name="_Toc1419"/>
      <w:r>
        <w:rPr>
          <w:rFonts w:hint="eastAsia" w:ascii="宋体" w:hAnsi="宋体" w:eastAsia="宋体" w:cs="宋体"/>
          <w:sz w:val="21"/>
          <w:szCs w:val="21"/>
        </w:rPr>
        <w:t>五、知识产权</w:t>
      </w:r>
      <w:bookmarkEnd w:id="202"/>
    </w:p>
    <w:p w14:paraId="776EB81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乙方应保证所提供的货物或其任何一部分均不会侵犯任何第三方的知识产权。</w:t>
      </w:r>
    </w:p>
    <w:p w14:paraId="506ABCD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03" w:name="_Toc13407"/>
      <w:r>
        <w:rPr>
          <w:rFonts w:hint="eastAsia" w:ascii="宋体" w:hAnsi="宋体" w:eastAsia="宋体" w:cs="宋体"/>
          <w:sz w:val="21"/>
          <w:szCs w:val="21"/>
        </w:rPr>
        <w:t>六、产权担保</w:t>
      </w:r>
      <w:bookmarkEnd w:id="203"/>
    </w:p>
    <w:p w14:paraId="1C6F10A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乙方应保证提供服务过程中不会侵犯任何第三方的知识产权。</w:t>
      </w:r>
    </w:p>
    <w:p w14:paraId="73D8A72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04" w:name="_Toc12282"/>
      <w:r>
        <w:rPr>
          <w:rFonts w:hint="eastAsia" w:ascii="宋体" w:hAnsi="宋体" w:eastAsia="宋体" w:cs="宋体"/>
          <w:sz w:val="21"/>
          <w:szCs w:val="21"/>
        </w:rPr>
        <w:t>履约保证金</w:t>
      </w:r>
      <w:bookmarkEnd w:id="204"/>
    </w:p>
    <w:p w14:paraId="27D8AFAC">
      <w:pPr>
        <w:pStyle w:val="26"/>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outlineLvl w:val="9"/>
        <w:rPr>
          <w:rFonts w:hint="eastAsia"/>
        </w:rPr>
      </w:pPr>
    </w:p>
    <w:p w14:paraId="379C9A0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05" w:name="_Toc23258"/>
      <w:r>
        <w:rPr>
          <w:rFonts w:hint="eastAsia" w:ascii="宋体" w:hAnsi="宋体" w:eastAsia="宋体" w:cs="宋体"/>
          <w:sz w:val="21"/>
          <w:szCs w:val="21"/>
        </w:rPr>
        <w:t>八、转包或分包</w:t>
      </w:r>
      <w:bookmarkEnd w:id="205"/>
    </w:p>
    <w:p w14:paraId="36BA401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06" w:name="_Toc27655"/>
      <w:bookmarkStart w:id="207" w:name="_Toc10190"/>
      <w:bookmarkStart w:id="208" w:name="_Toc29095"/>
      <w:bookmarkStart w:id="209" w:name="_Toc8021"/>
      <w:bookmarkStart w:id="210" w:name="_Toc27931"/>
      <w:r>
        <w:rPr>
          <w:rFonts w:hint="eastAsia" w:ascii="宋体" w:hAnsi="宋体" w:eastAsia="宋体" w:cs="宋体"/>
          <w:sz w:val="21"/>
          <w:szCs w:val="21"/>
        </w:rPr>
        <w:t>1.本合同范围的服务，应由乙方直接供应，不得转让他人供应；</w:t>
      </w:r>
      <w:bookmarkEnd w:id="206"/>
      <w:bookmarkEnd w:id="207"/>
      <w:bookmarkEnd w:id="208"/>
      <w:bookmarkEnd w:id="209"/>
      <w:bookmarkEnd w:id="210"/>
    </w:p>
    <w:p w14:paraId="67A7780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2.除非得到甲方的书面同意，乙方不得将本合同范围的服务全部或部分分包给他人供应；</w:t>
      </w:r>
    </w:p>
    <w:p w14:paraId="29DAAAF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3.如有转让和未经甲方同意的分包行为，甲方有权解除合同，并追究乙方的违约责任。</w:t>
      </w:r>
    </w:p>
    <w:p w14:paraId="5DA6BEC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11" w:name="_Toc26628"/>
      <w:r>
        <w:rPr>
          <w:rFonts w:hint="eastAsia" w:ascii="宋体" w:hAnsi="宋体" w:eastAsia="宋体" w:cs="宋体"/>
          <w:sz w:val="21"/>
          <w:szCs w:val="21"/>
        </w:rPr>
        <w:t>九、服务费支付</w:t>
      </w:r>
      <w:bookmarkEnd w:id="211"/>
    </w:p>
    <w:p w14:paraId="0FDFD26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12" w:name="_Toc24746"/>
      <w:bookmarkStart w:id="213" w:name="_Toc26553"/>
      <w:bookmarkStart w:id="214" w:name="_Toc23365"/>
      <w:bookmarkStart w:id="215" w:name="_Toc3090"/>
      <w:bookmarkStart w:id="216" w:name="_Toc26276"/>
      <w:r>
        <w:rPr>
          <w:rFonts w:hint="eastAsia" w:ascii="宋体" w:hAnsi="宋体" w:eastAsia="宋体" w:cs="宋体"/>
          <w:sz w:val="21"/>
          <w:szCs w:val="21"/>
        </w:rPr>
        <w:t>1. 付款方式：</w:t>
      </w:r>
      <w:bookmarkEnd w:id="212"/>
      <w:bookmarkEnd w:id="213"/>
      <w:bookmarkEnd w:id="214"/>
      <w:bookmarkEnd w:id="215"/>
      <w:bookmarkEnd w:id="216"/>
    </w:p>
    <w:p w14:paraId="5042154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cs="宋体"/>
          <w:sz w:val="21"/>
          <w:szCs w:val="21"/>
          <w:lang w:val="en-US" w:eastAsia="zh-CN"/>
        </w:rPr>
      </w:pPr>
      <w:bookmarkStart w:id="217" w:name="_Toc10885"/>
      <w:r>
        <w:rPr>
          <w:rFonts w:hint="eastAsia" w:ascii="宋体" w:hAnsi="宋体" w:cs="宋体"/>
          <w:sz w:val="21"/>
          <w:szCs w:val="21"/>
          <w:lang w:val="en-US" w:eastAsia="zh-CN"/>
        </w:rPr>
        <w:t>（签订合同时，</w:t>
      </w:r>
      <w:r>
        <w:rPr>
          <w:rFonts w:hint="eastAsia" w:ascii="宋体" w:hAnsi="宋体"/>
          <w:b w:val="0"/>
          <w:bCs w:val="0"/>
          <w:color w:val="auto"/>
          <w:szCs w:val="21"/>
          <w:highlight w:val="none"/>
        </w:rPr>
        <w:t>供应商明确表示无需预付款或者主动要求降低预付款比例的</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可不适用前述规定</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具体以合同签订为准</w:t>
      </w:r>
      <w:r>
        <w:rPr>
          <w:rFonts w:hint="eastAsia" w:ascii="宋体" w:hAnsi="宋体"/>
          <w:b w:val="0"/>
          <w:bCs w:val="0"/>
          <w:color w:val="auto"/>
          <w:szCs w:val="21"/>
          <w:highlight w:val="none"/>
        </w:rPr>
        <w:t>。</w:t>
      </w:r>
      <w:r>
        <w:rPr>
          <w:rFonts w:hint="eastAsia" w:ascii="宋体" w:hAnsi="宋体" w:cs="宋体"/>
          <w:sz w:val="21"/>
          <w:szCs w:val="21"/>
          <w:lang w:val="en-US" w:eastAsia="zh-CN"/>
        </w:rPr>
        <w:t>）</w:t>
      </w:r>
    </w:p>
    <w:p w14:paraId="003C9B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十、税费</w:t>
      </w:r>
      <w:bookmarkEnd w:id="217"/>
    </w:p>
    <w:p w14:paraId="1D160BC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14:paraId="3B46257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18" w:name="_Toc20207"/>
      <w:r>
        <w:rPr>
          <w:rFonts w:hint="eastAsia" w:ascii="宋体" w:hAnsi="宋体" w:eastAsia="宋体" w:cs="宋体"/>
          <w:sz w:val="21"/>
          <w:szCs w:val="21"/>
        </w:rPr>
        <w:t>十一、质量保证及后续服务</w:t>
      </w:r>
      <w:bookmarkEnd w:id="218"/>
    </w:p>
    <w:p w14:paraId="500CB0B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19" w:name="_Toc21121"/>
      <w:bookmarkStart w:id="220" w:name="_Toc25190"/>
      <w:bookmarkStart w:id="221" w:name="_Toc17311"/>
      <w:bookmarkStart w:id="222" w:name="_Toc30997"/>
      <w:bookmarkStart w:id="223" w:name="_Toc29931"/>
      <w:r>
        <w:rPr>
          <w:rFonts w:hint="eastAsia" w:ascii="宋体" w:hAnsi="宋体" w:eastAsia="宋体" w:cs="宋体"/>
          <w:sz w:val="21"/>
          <w:szCs w:val="21"/>
        </w:rPr>
        <w:t>1、乙方应按采购文件规定向甲方提供服务。</w:t>
      </w:r>
      <w:bookmarkEnd w:id="219"/>
      <w:bookmarkEnd w:id="220"/>
      <w:bookmarkEnd w:id="221"/>
      <w:bookmarkEnd w:id="222"/>
      <w:bookmarkEnd w:id="223"/>
    </w:p>
    <w:p w14:paraId="0D598F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2、乙方提供的服务成果在服务质量保证期内发生故障，乙方应负责免费提供后续服务。对达不到要求者，根据实际情况，经双方协商，可按照以下办法处理：</w:t>
      </w:r>
    </w:p>
    <w:p w14:paraId="0D754EA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1）重做：由乙方承担所发生的全部费用。</w:t>
      </w:r>
    </w:p>
    <w:p w14:paraId="73D64AD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2）贬值处理：由甲乙双方合议定价。</w:t>
      </w:r>
    </w:p>
    <w:p w14:paraId="523DB7E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3）解除合同。</w:t>
      </w:r>
    </w:p>
    <w:p w14:paraId="5218E53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3、如在使用过程中发生问题，乙方接到甲方通知后在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小时内到达甲方现场。</w:t>
      </w:r>
    </w:p>
    <w:p w14:paraId="5E97F44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4、在服务质量保证期内，乙方应对出现的质量问题和安全问题负责处理并承担一切费用。</w:t>
      </w:r>
    </w:p>
    <w:p w14:paraId="75A140C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十二、验收标准</w:t>
      </w:r>
    </w:p>
    <w:p w14:paraId="0A69A51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十三、违约责任</w:t>
      </w:r>
    </w:p>
    <w:p w14:paraId="2F38D66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 甲方无正当理由拒收服务计划，甲方向乙方偿付拒收服务总值的百分之五违约金。</w:t>
      </w:r>
    </w:p>
    <w:p w14:paraId="33B10EF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 甲方无故逾期验收和办理服务期限支付手续的,甲方应按逾期付款总额每日万分之五向乙方支付违约金。</w:t>
      </w:r>
    </w:p>
    <w:p w14:paraId="57459AD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FAA8D9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 乙方所提供的服务质量不符合合同规定及采购文件规定标准的，甲方有权拒收该继续服务，乙方愿意调整服务质量，按乙方部分悔约行为处理。乙方拒绝改进服务的，甲方可单方面解除合同。</w:t>
      </w:r>
    </w:p>
    <w:p w14:paraId="03FE1D0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24" w:name="_Toc13941"/>
      <w:r>
        <w:rPr>
          <w:rFonts w:hint="eastAsia" w:ascii="宋体" w:hAnsi="宋体" w:eastAsia="宋体" w:cs="宋体"/>
          <w:sz w:val="21"/>
          <w:szCs w:val="21"/>
        </w:rPr>
        <w:t>十四、不可抗力事件处理</w:t>
      </w:r>
      <w:bookmarkEnd w:id="224"/>
    </w:p>
    <w:p w14:paraId="3416FA7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 在合同有效期内，任何一方因不可抗力事件导致不能履行合同，则合同履行期可延长，其延长期与不可抗力影响期相同。</w:t>
      </w:r>
    </w:p>
    <w:p w14:paraId="2FEFAF0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14:paraId="4BAFA14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 不可抗力事件延续120天以上，双方应通过友好协商，确定是否继续履行合同。</w:t>
      </w:r>
    </w:p>
    <w:p w14:paraId="0A34E7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25" w:name="_Toc18225"/>
      <w:r>
        <w:rPr>
          <w:rFonts w:hint="eastAsia" w:ascii="宋体" w:hAnsi="宋体" w:eastAsia="宋体" w:cs="宋体"/>
          <w:sz w:val="21"/>
          <w:szCs w:val="21"/>
        </w:rPr>
        <w:t>十五、诉讼</w:t>
      </w:r>
      <w:bookmarkEnd w:id="225"/>
    </w:p>
    <w:p w14:paraId="0DC1B7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双方在执行合同中所发生的一切争议，应通过协商解决。如协商不成，可向甲方所在地法院起诉。</w:t>
      </w:r>
    </w:p>
    <w:p w14:paraId="2B90874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bookmarkStart w:id="226" w:name="_Toc1397"/>
      <w:r>
        <w:rPr>
          <w:rFonts w:hint="eastAsia" w:ascii="宋体" w:hAnsi="宋体" w:eastAsia="宋体" w:cs="宋体"/>
          <w:sz w:val="21"/>
          <w:szCs w:val="21"/>
        </w:rPr>
        <w:t>十六、合同生效及其它</w:t>
      </w:r>
      <w:bookmarkEnd w:id="226"/>
    </w:p>
    <w:p w14:paraId="191A50A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 合同经双方法定代表人或授权代表签字并加盖单位公章后生效。</w:t>
      </w:r>
    </w:p>
    <w:p w14:paraId="410A71B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2.合同执行中涉及采购资金和采购内容修改或补充的，须经财政部门审批，并签书面补充协议报采购代理机构及安吉县政府采购管理部门备案，方可作为主合同不可分割的一部分。</w:t>
      </w:r>
    </w:p>
    <w:p w14:paraId="30FDC8D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3.本合同未尽事宜，遵照《中华人民共和国民法典》有关条文执行。</w:t>
      </w:r>
    </w:p>
    <w:p w14:paraId="55E7B8D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4.本合同正本一式四份，具有同等法律效力，甲乙双方各执一份；采购代理机构及安吉县政府采购管理部门各执一份。</w:t>
      </w:r>
    </w:p>
    <w:p w14:paraId="17D5E5CE">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p>
    <w:p w14:paraId="226BB8F1">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rPr>
      </w:pPr>
    </w:p>
    <w:p w14:paraId="3885D7E5">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p>
    <w:p w14:paraId="235FA10E">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地址：</w:t>
      </w:r>
    </w:p>
    <w:p w14:paraId="14CD8876">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法定（授权）代表人：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法定（授权）代表人：</w:t>
      </w:r>
    </w:p>
    <w:p w14:paraId="26C06EA7">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签字日期：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签字日期：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2E3213A">
      <w:pPr>
        <w:outlineLvl w:val="9"/>
        <w:rPr>
          <w:rFonts w:hint="eastAsia" w:ascii="宋体" w:hAnsi="宋体" w:cs="宋体"/>
          <w:b/>
          <w:color w:val="auto"/>
          <w:sz w:val="24"/>
          <w:highlight w:val="none"/>
        </w:rPr>
      </w:pPr>
    </w:p>
    <w:p w14:paraId="782626DA">
      <w:pPr>
        <w:outlineLvl w:val="9"/>
        <w:rPr>
          <w:rFonts w:hint="eastAsia" w:ascii="宋体" w:hAnsi="宋体" w:cs="宋体"/>
          <w:color w:val="auto"/>
          <w:sz w:val="24"/>
          <w:highlight w:val="none"/>
        </w:rPr>
      </w:pPr>
      <w:r>
        <w:rPr>
          <w:rFonts w:hint="eastAsia" w:ascii="宋体" w:hAnsi="宋体" w:cs="宋体"/>
          <w:b/>
          <w:color w:val="auto"/>
          <w:sz w:val="24"/>
          <w:highlight w:val="none"/>
        </w:rPr>
        <w:t>注：本合同作为示范文本，具体以</w:t>
      </w:r>
      <w:r>
        <w:rPr>
          <w:rFonts w:hint="eastAsia" w:ascii="宋体" w:hAnsi="宋体" w:cs="宋体"/>
          <w:b/>
          <w:color w:val="auto"/>
          <w:sz w:val="24"/>
          <w:highlight w:val="none"/>
          <w:lang w:eastAsia="zh-CN"/>
        </w:rPr>
        <w:t>中标</w:t>
      </w:r>
      <w:r>
        <w:rPr>
          <w:rFonts w:hint="eastAsia" w:ascii="宋体" w:hAnsi="宋体" w:cs="宋体"/>
          <w:b/>
          <w:color w:val="auto"/>
          <w:sz w:val="24"/>
          <w:highlight w:val="none"/>
          <w:lang w:val="en-US" w:eastAsia="zh-CN"/>
        </w:rPr>
        <w:t>单位</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成交供应商</w:t>
      </w:r>
      <w:r>
        <w:rPr>
          <w:rFonts w:hint="eastAsia" w:ascii="宋体" w:hAnsi="宋体" w:cs="宋体"/>
          <w:b/>
          <w:color w:val="auto"/>
          <w:sz w:val="24"/>
          <w:highlight w:val="none"/>
          <w:lang w:eastAsia="zh-CN"/>
        </w:rPr>
        <w:t>）</w:t>
      </w:r>
      <w:r>
        <w:rPr>
          <w:rFonts w:hint="eastAsia" w:ascii="宋体" w:hAnsi="宋体" w:cs="宋体"/>
          <w:b/>
          <w:color w:val="auto"/>
          <w:sz w:val="24"/>
          <w:highlight w:val="none"/>
        </w:rPr>
        <w:t>与</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人所签定正式合同为准。</w:t>
      </w:r>
      <w:r>
        <w:rPr>
          <w:rFonts w:hint="eastAsia" w:ascii="宋体" w:hAnsi="宋体" w:cs="宋体"/>
          <w:color w:val="auto"/>
          <w:sz w:val="24"/>
          <w:highlight w:val="none"/>
        </w:rPr>
        <w:t xml:space="preserve"> </w:t>
      </w:r>
    </w:p>
    <w:p w14:paraId="74904BDD">
      <w:pPr>
        <w:outlineLvl w:val="9"/>
      </w:pPr>
      <w:r>
        <w:br w:type="page"/>
      </w:r>
    </w:p>
    <w:p w14:paraId="30B3BC0B">
      <w:pPr>
        <w:pStyle w:val="3"/>
        <w:spacing w:line="240" w:lineRule="auto"/>
        <w:jc w:val="center"/>
        <w:rPr>
          <w:rFonts w:ascii="宋体" w:hAnsi="宋体" w:cs="宋体"/>
          <w:snapToGrid w:val="0"/>
          <w:sz w:val="36"/>
          <w:szCs w:val="36"/>
        </w:rPr>
      </w:pPr>
      <w:bookmarkStart w:id="227" w:name="_Toc14306"/>
      <w:bookmarkStart w:id="228" w:name="_Toc10647"/>
      <w:bookmarkStart w:id="229" w:name="_Toc24008"/>
      <w:bookmarkStart w:id="230" w:name="_Toc31832"/>
      <w:r>
        <w:rPr>
          <w:rFonts w:hint="eastAsia" w:ascii="宋体" w:hAnsi="宋体" w:cs="宋体"/>
          <w:snapToGrid w:val="0"/>
          <w:sz w:val="36"/>
          <w:szCs w:val="36"/>
        </w:rPr>
        <w:t>第六章  投标文件的格式</w:t>
      </w:r>
      <w:bookmarkEnd w:id="227"/>
      <w:bookmarkEnd w:id="228"/>
      <w:bookmarkEnd w:id="229"/>
      <w:bookmarkEnd w:id="230"/>
    </w:p>
    <w:p w14:paraId="2559E554">
      <w:pPr>
        <w:spacing w:line="320" w:lineRule="exact"/>
        <w:jc w:val="right"/>
        <w:rPr>
          <w:rFonts w:ascii="宋体" w:hAnsi="宋体" w:cs="宋体"/>
        </w:rPr>
      </w:pPr>
      <w:bookmarkStart w:id="231" w:name="_Toc286416745"/>
    </w:p>
    <w:p w14:paraId="0D6EF027">
      <w:pPr>
        <w:spacing w:line="320" w:lineRule="exact"/>
        <w:rPr>
          <w:rFonts w:ascii="宋体" w:hAnsi="宋体" w:cs="宋体"/>
        </w:rPr>
      </w:pPr>
    </w:p>
    <w:p w14:paraId="7E95912A">
      <w:pPr>
        <w:pStyle w:val="4"/>
        <w:pageBreakBefore w:val="0"/>
        <w:widowControl w:val="0"/>
        <w:kinsoku/>
        <w:wordWrap/>
        <w:overflowPunct/>
        <w:topLinePunct w:val="0"/>
        <w:autoSpaceDE/>
        <w:autoSpaceDN/>
        <w:bidi w:val="0"/>
        <w:spacing w:line="700" w:lineRule="exact"/>
        <w:jc w:val="center"/>
        <w:textAlignment w:val="auto"/>
        <w:rPr>
          <w:rFonts w:ascii="宋体" w:hAnsi="宋体" w:eastAsia="宋体" w:cs="宋体"/>
          <w:sz w:val="24"/>
        </w:rPr>
      </w:pPr>
      <w:bookmarkStart w:id="232" w:name="_Toc26573"/>
      <w:bookmarkStart w:id="233" w:name="_Toc22205"/>
      <w:bookmarkStart w:id="234" w:name="_Toc32480"/>
      <w:bookmarkStart w:id="235" w:name="_Toc32085"/>
      <w:bookmarkStart w:id="236" w:name="_Toc318084367"/>
      <w:bookmarkStart w:id="237" w:name="_Toc30403"/>
      <w:bookmarkStart w:id="238" w:name="_Toc4567"/>
      <w:bookmarkStart w:id="239" w:name="_Toc16810"/>
      <w:bookmarkStart w:id="240" w:name="_Toc15744"/>
      <w:bookmarkStart w:id="241" w:name="_Toc14259"/>
      <w:bookmarkStart w:id="242" w:name="_Toc2236"/>
      <w:bookmarkStart w:id="243" w:name="_Toc95211197"/>
      <w:r>
        <w:rPr>
          <w:rFonts w:hint="eastAsia" w:ascii="宋体" w:hAnsi="宋体" w:eastAsia="宋体" w:cs="宋体"/>
          <w:sz w:val="28"/>
          <w:szCs w:val="28"/>
        </w:rPr>
        <w:t>一、资格证明文件格式</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20E4A3E5">
      <w:pPr>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r>
        <w:rPr>
          <w:rFonts w:hint="eastAsia" w:ascii="宋体" w:hAnsi="宋体" w:cs="宋体"/>
          <w:sz w:val="24"/>
        </w:rPr>
        <w:t xml:space="preserve">1.资格证明文件封面格式： </w:t>
      </w:r>
    </w:p>
    <w:p w14:paraId="45141040">
      <w:pPr>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b/>
          <w:bCs/>
          <w:sz w:val="24"/>
        </w:rPr>
      </w:pPr>
    </w:p>
    <w:p w14:paraId="3C6D5373">
      <w:pPr>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Cs/>
          <w:sz w:val="30"/>
          <w:szCs w:val="30"/>
        </w:rPr>
      </w:pPr>
      <w:r>
        <w:rPr>
          <w:rFonts w:hint="eastAsia" w:ascii="宋体" w:hAnsi="宋体" w:cs="宋体"/>
          <w:bCs/>
          <w:sz w:val="30"/>
          <w:szCs w:val="30"/>
        </w:rPr>
        <w:t>×××（投标人名称）</w:t>
      </w:r>
    </w:p>
    <w:p w14:paraId="67377B30">
      <w:pPr>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Cs/>
          <w:sz w:val="30"/>
          <w:szCs w:val="30"/>
        </w:rPr>
      </w:pPr>
    </w:p>
    <w:p w14:paraId="1D08A6FE">
      <w:pPr>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sz w:val="48"/>
          <w:szCs w:val="48"/>
        </w:rPr>
      </w:pPr>
      <w:r>
        <w:rPr>
          <w:rFonts w:hint="eastAsia" w:ascii="宋体" w:hAnsi="宋体" w:cs="宋体"/>
          <w:b/>
          <w:bCs/>
          <w:sz w:val="48"/>
          <w:szCs w:val="48"/>
        </w:rPr>
        <w:t>资格证明文件</w:t>
      </w:r>
    </w:p>
    <w:p w14:paraId="2C3BD78F">
      <w:pPr>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sz w:val="44"/>
          <w:szCs w:val="44"/>
        </w:rPr>
      </w:pPr>
    </w:p>
    <w:p w14:paraId="352C0C4C">
      <w:pPr>
        <w:pageBreakBefore w:val="0"/>
        <w:widowControl w:val="0"/>
        <w:kinsoku/>
        <w:wordWrap/>
        <w:overflowPunct/>
        <w:topLinePunct w:val="0"/>
        <w:autoSpaceDE/>
        <w:autoSpaceDN/>
        <w:bidi w:val="0"/>
        <w:adjustRightInd w:val="0"/>
        <w:snapToGrid w:val="0"/>
        <w:spacing w:line="700" w:lineRule="exact"/>
        <w:ind w:firstLine="960" w:firstLineChars="400"/>
        <w:textAlignment w:val="auto"/>
        <w:rPr>
          <w:rFonts w:ascii="宋体" w:hAnsi="宋体" w:cs="宋体"/>
          <w:bCs/>
          <w:sz w:val="24"/>
        </w:rPr>
      </w:pPr>
      <w:r>
        <w:rPr>
          <w:rFonts w:hint="eastAsia" w:ascii="宋体" w:hAnsi="宋体" w:cs="宋体"/>
          <w:bCs/>
          <w:sz w:val="24"/>
        </w:rPr>
        <w:t xml:space="preserve">项目名称： </w:t>
      </w:r>
    </w:p>
    <w:p w14:paraId="7EF4EEE1">
      <w:pPr>
        <w:pageBreakBefore w:val="0"/>
        <w:widowControl w:val="0"/>
        <w:kinsoku/>
        <w:wordWrap/>
        <w:overflowPunct/>
        <w:topLinePunct w:val="0"/>
        <w:autoSpaceDE/>
        <w:autoSpaceDN/>
        <w:bidi w:val="0"/>
        <w:adjustRightInd w:val="0"/>
        <w:snapToGrid w:val="0"/>
        <w:spacing w:line="700" w:lineRule="exact"/>
        <w:ind w:firstLine="960" w:firstLineChars="400"/>
        <w:textAlignment w:val="auto"/>
        <w:rPr>
          <w:rFonts w:ascii="宋体" w:hAnsi="宋体" w:cs="宋体"/>
          <w:bCs/>
          <w:sz w:val="24"/>
        </w:rPr>
      </w:pPr>
      <w:r>
        <w:rPr>
          <w:rFonts w:hint="eastAsia" w:ascii="宋体" w:hAnsi="宋体" w:cs="宋体"/>
          <w:bCs/>
          <w:sz w:val="24"/>
        </w:rPr>
        <w:t>项目编号：</w:t>
      </w:r>
    </w:p>
    <w:p w14:paraId="4FA4C046">
      <w:pPr>
        <w:pageBreakBefore w:val="0"/>
        <w:widowControl w:val="0"/>
        <w:kinsoku/>
        <w:wordWrap/>
        <w:overflowPunct/>
        <w:topLinePunct w:val="0"/>
        <w:autoSpaceDE/>
        <w:autoSpaceDN/>
        <w:bidi w:val="0"/>
        <w:adjustRightInd w:val="0"/>
        <w:snapToGrid w:val="0"/>
        <w:spacing w:line="700" w:lineRule="exact"/>
        <w:ind w:firstLine="960" w:firstLineChars="400"/>
        <w:textAlignment w:val="auto"/>
        <w:rPr>
          <w:rFonts w:ascii="宋体" w:hAnsi="宋体" w:cs="宋体"/>
          <w:bCs/>
          <w:sz w:val="24"/>
        </w:rPr>
      </w:pPr>
      <w:r>
        <w:rPr>
          <w:rFonts w:hint="eastAsia" w:ascii="宋体" w:hAnsi="宋体" w:cs="宋体"/>
          <w:bCs/>
          <w:sz w:val="24"/>
        </w:rPr>
        <w:t>标项：</w:t>
      </w:r>
    </w:p>
    <w:p w14:paraId="483944E5">
      <w:pPr>
        <w:pageBreakBefore w:val="0"/>
        <w:widowControl w:val="0"/>
        <w:kinsoku/>
        <w:wordWrap/>
        <w:overflowPunct/>
        <w:topLinePunct w:val="0"/>
        <w:autoSpaceDE/>
        <w:autoSpaceDN/>
        <w:bidi w:val="0"/>
        <w:adjustRightInd w:val="0"/>
        <w:snapToGrid w:val="0"/>
        <w:spacing w:line="700" w:lineRule="exact"/>
        <w:ind w:firstLine="960" w:firstLineChars="400"/>
        <w:textAlignment w:val="auto"/>
        <w:rPr>
          <w:rFonts w:ascii="宋体" w:hAnsi="宋体" w:cs="宋体"/>
          <w:sz w:val="24"/>
        </w:rPr>
      </w:pPr>
      <w:r>
        <w:rPr>
          <w:rFonts w:hint="eastAsia" w:ascii="宋体" w:hAnsi="宋体" w:cs="宋体"/>
          <w:sz w:val="24"/>
        </w:rPr>
        <w:t>投标人名称（盖章）：</w:t>
      </w:r>
    </w:p>
    <w:p w14:paraId="5CD4C459">
      <w:pPr>
        <w:pageBreakBefore w:val="0"/>
        <w:widowControl w:val="0"/>
        <w:kinsoku/>
        <w:wordWrap/>
        <w:overflowPunct/>
        <w:topLinePunct w:val="0"/>
        <w:autoSpaceDE/>
        <w:autoSpaceDN/>
        <w:bidi w:val="0"/>
        <w:adjustRightInd w:val="0"/>
        <w:snapToGrid w:val="0"/>
        <w:spacing w:line="700" w:lineRule="exact"/>
        <w:ind w:firstLine="960" w:firstLineChars="400"/>
        <w:textAlignment w:val="auto"/>
        <w:rPr>
          <w:rFonts w:ascii="宋体" w:hAnsi="宋体" w:cs="宋体"/>
          <w:sz w:val="24"/>
        </w:rPr>
      </w:pPr>
      <w:r>
        <w:rPr>
          <w:rFonts w:hint="eastAsia" w:ascii="宋体" w:hAnsi="宋体" w:cs="宋体"/>
          <w:sz w:val="24"/>
        </w:rPr>
        <w:t>投标人地址：</w:t>
      </w:r>
    </w:p>
    <w:p w14:paraId="5542FA7B">
      <w:pPr>
        <w:pageBreakBefore w:val="0"/>
        <w:widowControl w:val="0"/>
        <w:kinsoku/>
        <w:wordWrap/>
        <w:overflowPunct/>
        <w:topLinePunct w:val="0"/>
        <w:autoSpaceDE/>
        <w:autoSpaceDN/>
        <w:bidi w:val="0"/>
        <w:adjustRightInd w:val="0"/>
        <w:snapToGrid w:val="0"/>
        <w:spacing w:line="700" w:lineRule="exact"/>
        <w:ind w:firstLine="6240" w:firstLineChars="2600"/>
        <w:textAlignment w:val="auto"/>
        <w:rPr>
          <w:rFonts w:ascii="宋体" w:hAnsi="宋体" w:cs="宋体"/>
          <w:sz w:val="24"/>
        </w:rPr>
      </w:pPr>
      <w:r>
        <w:rPr>
          <w:rFonts w:hint="eastAsia" w:ascii="宋体" w:hAnsi="宋体" w:cs="宋体"/>
          <w:sz w:val="24"/>
        </w:rPr>
        <w:t>授权代表签名或盖章：</w:t>
      </w:r>
    </w:p>
    <w:p w14:paraId="645085AC">
      <w:pPr>
        <w:pageBreakBefore w:val="0"/>
        <w:widowControl w:val="0"/>
        <w:kinsoku/>
        <w:wordWrap/>
        <w:overflowPunct/>
        <w:topLinePunct w:val="0"/>
        <w:autoSpaceDE/>
        <w:autoSpaceDN/>
        <w:bidi w:val="0"/>
        <w:adjustRightInd w:val="0"/>
        <w:snapToGrid w:val="0"/>
        <w:spacing w:line="700" w:lineRule="exact"/>
        <w:ind w:firstLine="645"/>
        <w:jc w:val="right"/>
        <w:textAlignment w:val="auto"/>
        <w:rPr>
          <w:rFonts w:ascii="宋体" w:hAnsi="宋体" w:cs="宋体"/>
          <w:sz w:val="24"/>
        </w:rPr>
      </w:pPr>
      <w:r>
        <w:rPr>
          <w:rFonts w:hint="eastAsia" w:ascii="宋体" w:hAnsi="宋体" w:cs="宋体"/>
          <w:sz w:val="24"/>
        </w:rPr>
        <w:t xml:space="preserve">                        年  月  日</w:t>
      </w:r>
    </w:p>
    <w:p w14:paraId="0F691D1E">
      <w:pPr>
        <w:adjustRightInd w:val="0"/>
        <w:snapToGrid w:val="0"/>
        <w:ind w:firstLine="645"/>
        <w:jc w:val="right"/>
        <w:rPr>
          <w:rFonts w:ascii="宋体" w:hAnsi="宋体" w:cs="宋体"/>
          <w:sz w:val="24"/>
        </w:rPr>
      </w:pPr>
    </w:p>
    <w:p w14:paraId="41EBE8BD">
      <w:pPr>
        <w:adjustRightInd w:val="0"/>
        <w:snapToGrid w:val="0"/>
        <w:ind w:firstLine="645"/>
        <w:jc w:val="right"/>
        <w:rPr>
          <w:rFonts w:ascii="宋体" w:hAnsi="宋体" w:cs="宋体"/>
          <w:sz w:val="24"/>
        </w:rPr>
      </w:pPr>
    </w:p>
    <w:p w14:paraId="1DD47841">
      <w:pPr>
        <w:adjustRightInd w:val="0"/>
        <w:snapToGrid w:val="0"/>
        <w:ind w:firstLine="645"/>
        <w:jc w:val="right"/>
        <w:rPr>
          <w:rFonts w:ascii="宋体" w:hAnsi="宋体" w:cs="宋体"/>
          <w:sz w:val="24"/>
        </w:rPr>
      </w:pPr>
    </w:p>
    <w:p w14:paraId="09752528">
      <w:pPr>
        <w:pStyle w:val="17"/>
        <w:ind w:firstLine="240"/>
        <w:rPr>
          <w:rFonts w:ascii="宋体" w:hAnsi="宋体" w:cs="宋体"/>
          <w:sz w:val="24"/>
        </w:rPr>
      </w:pPr>
    </w:p>
    <w:p w14:paraId="3E7EA673">
      <w:pPr>
        <w:rPr>
          <w:rFonts w:ascii="宋体" w:hAnsi="宋体" w:cs="宋体"/>
          <w:sz w:val="24"/>
        </w:rPr>
      </w:pPr>
    </w:p>
    <w:p w14:paraId="11AA3DA4">
      <w:pPr>
        <w:pStyle w:val="17"/>
        <w:ind w:firstLine="240"/>
        <w:rPr>
          <w:rFonts w:ascii="宋体" w:hAnsi="宋体" w:cs="宋体"/>
          <w:sz w:val="24"/>
        </w:rPr>
      </w:pPr>
    </w:p>
    <w:p w14:paraId="44A8D400">
      <w:pPr>
        <w:rPr>
          <w:rFonts w:ascii="宋体" w:hAnsi="宋体" w:cs="宋体"/>
          <w:sz w:val="24"/>
        </w:rPr>
      </w:pPr>
    </w:p>
    <w:p w14:paraId="72EBD1F2">
      <w:pPr>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2.目录</w:t>
      </w:r>
    </w:p>
    <w:p w14:paraId="1B0427F4">
      <w:pPr>
        <w:adjustRightInd w:val="0"/>
        <w:snapToGrid w:val="0"/>
        <w:spacing w:line="360" w:lineRule="exact"/>
        <w:ind w:firstLine="422" w:firstLineChars="200"/>
        <w:jc w:val="left"/>
        <w:rPr>
          <w:rFonts w:ascii="宋体" w:hAnsi="宋体" w:cs="宋体"/>
          <w:b/>
        </w:rPr>
      </w:pPr>
      <w:r>
        <w:rPr>
          <w:rFonts w:hint="eastAsia" w:ascii="宋体" w:hAnsi="宋体" w:cs="宋体"/>
          <w:b/>
        </w:rPr>
        <w:t>资格证明文件包括：</w:t>
      </w:r>
    </w:p>
    <w:p w14:paraId="1849936B">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投标资格声明书（格式见第六章）；</w:t>
      </w:r>
    </w:p>
    <w:p w14:paraId="15297829">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营业执照副本复印件；</w:t>
      </w:r>
    </w:p>
    <w:p w14:paraId="61337A98">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lang w:eastAsia="zh-CN"/>
        </w:rPr>
        <w:t>法定代表人身份证明书、法定代表人授权委托书（格式见第六章）；</w:t>
      </w:r>
    </w:p>
    <w:p w14:paraId="477C49A6">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中小企业声明函（格式见第六章）；</w:t>
      </w:r>
    </w:p>
    <w:p w14:paraId="5FB1F69B">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残疾人福利性单位声明函（如投标人为残疾人福利性单位）； 提供社保缴纳人员名单、录用的残疾人的《中华人民共和国残疾人证》或者《中华人民共和国残疾军人证(1至8级)》复印件；</w:t>
      </w:r>
    </w:p>
    <w:p w14:paraId="52D3EF95">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监狱企业相关证明材料（如投标人为监狱企业）；</w:t>
      </w:r>
    </w:p>
    <w:p w14:paraId="3036A01F">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投标人最近依法缴纳税收的完税凭证复印件或不征（免征）税收证明书；或承诺函；</w:t>
      </w:r>
    </w:p>
    <w:p w14:paraId="5FED8850">
      <w:pPr>
        <w:numPr>
          <w:ilvl w:val="0"/>
          <w:numId w:val="13"/>
        </w:numPr>
        <w:tabs>
          <w:tab w:val="clear" w:pos="533"/>
        </w:tabs>
        <w:adjustRightInd w:val="0"/>
        <w:snapToGrid w:val="0"/>
        <w:spacing w:line="360" w:lineRule="exact"/>
        <w:ind w:left="840" w:leftChars="0" w:firstLineChars="0"/>
        <w:jc w:val="left"/>
        <w:rPr>
          <w:rFonts w:ascii="宋体" w:hAnsi="宋体" w:cs="宋体"/>
        </w:rPr>
      </w:pPr>
      <w:r>
        <w:rPr>
          <w:rFonts w:hint="eastAsia" w:ascii="宋体" w:hAnsi="宋体" w:cs="宋体"/>
        </w:rPr>
        <w:t>投标人最近依法缴纳社保费的凭证复印件或不征（免征）社保证明书；或承诺函；</w:t>
      </w:r>
    </w:p>
    <w:p w14:paraId="2D34A14A"/>
    <w:p w14:paraId="0FE40CC4"/>
    <w:p w14:paraId="39089058">
      <w:pPr>
        <w:pStyle w:val="17"/>
        <w:ind w:firstLine="210"/>
      </w:pPr>
    </w:p>
    <w:p w14:paraId="1437A7E8"/>
    <w:p w14:paraId="7541A6B4">
      <w:pPr>
        <w:pStyle w:val="17"/>
        <w:ind w:firstLine="210"/>
      </w:pPr>
    </w:p>
    <w:p w14:paraId="09D012F6"/>
    <w:p w14:paraId="04E7C435">
      <w:pPr>
        <w:pStyle w:val="17"/>
        <w:ind w:firstLine="210"/>
      </w:pPr>
    </w:p>
    <w:p w14:paraId="355BB9B0"/>
    <w:p w14:paraId="7C74C0D7">
      <w:pPr>
        <w:pStyle w:val="17"/>
        <w:ind w:firstLine="210"/>
      </w:pPr>
    </w:p>
    <w:p w14:paraId="50ABA939"/>
    <w:p w14:paraId="319ED56D">
      <w:pPr>
        <w:pStyle w:val="17"/>
        <w:ind w:firstLine="210"/>
      </w:pPr>
    </w:p>
    <w:p w14:paraId="5839C92B"/>
    <w:p w14:paraId="36D66B7E">
      <w:pPr>
        <w:pStyle w:val="17"/>
        <w:ind w:firstLine="210"/>
      </w:pPr>
    </w:p>
    <w:p w14:paraId="386BE0ED"/>
    <w:p w14:paraId="2CFF3AF7">
      <w:pPr>
        <w:pStyle w:val="17"/>
        <w:ind w:firstLine="210"/>
      </w:pPr>
    </w:p>
    <w:p w14:paraId="34E6E554"/>
    <w:p w14:paraId="72FA377B">
      <w:pPr>
        <w:pStyle w:val="17"/>
        <w:ind w:firstLine="210"/>
      </w:pPr>
    </w:p>
    <w:p w14:paraId="373EBD67"/>
    <w:p w14:paraId="085456A8">
      <w:pPr>
        <w:pStyle w:val="17"/>
        <w:ind w:firstLine="210"/>
      </w:pPr>
    </w:p>
    <w:p w14:paraId="0308FC91"/>
    <w:p w14:paraId="129DFDB1">
      <w:pPr>
        <w:pStyle w:val="17"/>
        <w:ind w:firstLine="210"/>
      </w:pPr>
    </w:p>
    <w:p w14:paraId="1144BF38"/>
    <w:p w14:paraId="71D90A51">
      <w:pPr>
        <w:pStyle w:val="17"/>
        <w:ind w:firstLine="210"/>
      </w:pPr>
    </w:p>
    <w:p w14:paraId="4BCF8DBC"/>
    <w:p w14:paraId="7E8E3F64">
      <w:pPr>
        <w:pStyle w:val="17"/>
        <w:ind w:firstLine="210"/>
      </w:pPr>
    </w:p>
    <w:p w14:paraId="1F1727C0"/>
    <w:p w14:paraId="29003352">
      <w:pPr>
        <w:pStyle w:val="17"/>
        <w:ind w:firstLine="210"/>
      </w:pPr>
    </w:p>
    <w:p w14:paraId="75BF6112">
      <w:pPr>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3.投标资格声明书格式：</w:t>
      </w:r>
    </w:p>
    <w:p w14:paraId="2F4119C8"/>
    <w:p w14:paraId="6AF2458F">
      <w:pPr>
        <w:adjustRightInd w:val="0"/>
        <w:snapToGrid w:val="0"/>
        <w:jc w:val="center"/>
        <w:rPr>
          <w:rFonts w:ascii="宋体" w:hAnsi="宋体" w:cs="宋体"/>
          <w:b/>
          <w:sz w:val="44"/>
          <w:szCs w:val="44"/>
        </w:rPr>
      </w:pPr>
      <w:r>
        <w:rPr>
          <w:rFonts w:hint="eastAsia" w:ascii="宋体" w:hAnsi="宋体" w:cs="宋体"/>
          <w:b/>
          <w:sz w:val="36"/>
          <w:szCs w:val="36"/>
        </w:rPr>
        <w:t>投标资格声明书</w:t>
      </w:r>
    </w:p>
    <w:p w14:paraId="281710A5">
      <w:pPr>
        <w:adjustRightInd w:val="0"/>
        <w:snapToGrid w:val="0"/>
        <w:spacing w:line="400" w:lineRule="exact"/>
        <w:rPr>
          <w:rFonts w:ascii="宋体" w:hAnsi="宋体" w:cs="宋体"/>
          <w:spacing w:val="8"/>
          <w:kern w:val="0"/>
        </w:rPr>
      </w:pPr>
      <w:r>
        <w:rPr>
          <w:rFonts w:hint="eastAsia" w:ascii="宋体" w:hAnsi="宋体" w:cs="宋体"/>
        </w:rPr>
        <w:t>致：</w:t>
      </w:r>
      <w:r>
        <w:rPr>
          <w:rFonts w:hint="eastAsia" w:ascii="宋体" w:hAnsi="宋体" w:cs="宋体"/>
          <w:u w:val="single"/>
          <w:lang w:eastAsia="zh-CN"/>
        </w:rPr>
        <w:t>安吉县自然资源和规划局</w:t>
      </w:r>
      <w:r>
        <w:rPr>
          <w:rFonts w:hint="eastAsia" w:ascii="宋体" w:hAnsi="宋体" w:cs="宋体"/>
          <w:u w:val="single"/>
        </w:rPr>
        <w:t>：</w:t>
      </w:r>
    </w:p>
    <w:p w14:paraId="6657A347">
      <w:pPr>
        <w:adjustRightInd w:val="0"/>
        <w:snapToGrid w:val="0"/>
        <w:spacing w:line="400" w:lineRule="exact"/>
        <w:ind w:firstLine="315" w:firstLineChars="150"/>
        <w:rPr>
          <w:rFonts w:ascii="宋体" w:hAnsi="宋体" w:cs="宋体"/>
        </w:rPr>
      </w:pPr>
      <w:r>
        <w:rPr>
          <w:rFonts w:hint="eastAsia" w:ascii="宋体" w:hAnsi="宋体" w:cs="宋体"/>
          <w:u w:val="single"/>
          <w:lang w:eastAsia="zh-CN"/>
        </w:rPr>
        <w:t>浙江至诚工程咨询有限责任公司</w:t>
      </w:r>
      <w:r>
        <w:rPr>
          <w:rFonts w:hint="eastAsia" w:ascii="宋体" w:hAnsi="宋体" w:cs="宋体"/>
        </w:rPr>
        <w:t>：</w:t>
      </w:r>
    </w:p>
    <w:p w14:paraId="503165CB">
      <w:pPr>
        <w:tabs>
          <w:tab w:val="left" w:pos="1418"/>
        </w:tabs>
        <w:snapToGrid w:val="0"/>
        <w:spacing w:before="50" w:after="50" w:line="400" w:lineRule="exact"/>
        <w:ind w:firstLine="420" w:firstLineChars="200"/>
        <w:rPr>
          <w:rFonts w:ascii="宋体" w:hAnsi="宋体" w:cs="宋体"/>
        </w:rPr>
      </w:pPr>
      <w:r>
        <w:rPr>
          <w:rFonts w:hint="eastAsia" w:ascii="宋体" w:hAnsi="宋体" w:cs="宋体"/>
        </w:rPr>
        <w:t>（投标人名称）系中华人民共和国合法企业，经营地址。</w:t>
      </w:r>
    </w:p>
    <w:p w14:paraId="627B7ACD">
      <w:pPr>
        <w:tabs>
          <w:tab w:val="left" w:pos="1418"/>
        </w:tabs>
        <w:snapToGrid w:val="0"/>
        <w:spacing w:before="50" w:after="50" w:line="400" w:lineRule="exact"/>
        <w:ind w:firstLine="420" w:firstLineChars="200"/>
        <w:rPr>
          <w:rFonts w:ascii="宋体" w:hAnsi="宋体" w:cs="宋体"/>
        </w:rPr>
      </w:pPr>
      <w:r>
        <w:rPr>
          <w:rFonts w:hint="eastAsia" w:ascii="宋体" w:hAnsi="宋体" w:cs="宋体"/>
        </w:rPr>
        <w:t>我（姓名）系（投标人名称）的法定代表人，我方愿意参加贵方组织的</w:t>
      </w:r>
      <w:r>
        <w:rPr>
          <w:rFonts w:hint="eastAsia" w:ascii="宋体" w:hAnsi="宋体" w:cs="宋体"/>
          <w:u w:val="single"/>
        </w:rPr>
        <w:t xml:space="preserve">        </w:t>
      </w:r>
      <w:r>
        <w:rPr>
          <w:rFonts w:hint="eastAsia" w:ascii="宋体" w:hAnsi="宋体" w:cs="宋体"/>
        </w:rPr>
        <w:t>项目的投标，为便于贵方公正、择优地确定中标人及其投标项目的服务，我方就本次投标有关事项郑重声明如下：</w:t>
      </w:r>
    </w:p>
    <w:p w14:paraId="7C8402D6">
      <w:pPr>
        <w:adjustRightInd w:val="0"/>
        <w:snapToGrid w:val="0"/>
        <w:spacing w:line="400" w:lineRule="exact"/>
        <w:ind w:firstLine="420" w:firstLineChars="200"/>
        <w:rPr>
          <w:rFonts w:ascii="宋体" w:hAnsi="宋体" w:cs="宋体"/>
        </w:rPr>
      </w:pPr>
      <w:r>
        <w:rPr>
          <w:rFonts w:hint="eastAsia" w:ascii="宋体" w:hAnsi="宋体" w:cs="宋体"/>
        </w:rPr>
        <w:t>1.我方向贵方提交的所有投标文件、资料都是准确的和真实的；</w:t>
      </w:r>
    </w:p>
    <w:p w14:paraId="3BEFA10F">
      <w:pPr>
        <w:adjustRightInd w:val="0"/>
        <w:snapToGrid w:val="0"/>
        <w:spacing w:line="400" w:lineRule="exact"/>
        <w:ind w:firstLine="420" w:firstLineChars="200"/>
        <w:rPr>
          <w:rFonts w:ascii="宋体" w:hAnsi="宋体" w:cs="宋体"/>
        </w:rPr>
      </w:pPr>
      <w:r>
        <w:rPr>
          <w:rFonts w:hint="eastAsia" w:ascii="宋体" w:hAnsi="宋体" w:cs="宋体"/>
        </w:rPr>
        <w:t>2.我方不是采购人的附属机构；在获知本项目采购信息后，与采购人聘请的为此项目提供咨询服务的公司及其附属机构没有任何联系。</w:t>
      </w:r>
    </w:p>
    <w:p w14:paraId="1E524CF2">
      <w:pPr>
        <w:adjustRightInd w:val="0"/>
        <w:snapToGrid w:val="0"/>
        <w:spacing w:line="400" w:lineRule="exact"/>
        <w:ind w:firstLine="420" w:firstLineChars="200"/>
        <w:rPr>
          <w:rFonts w:ascii="宋体" w:hAnsi="宋体" w:cs="宋体"/>
        </w:rPr>
      </w:pPr>
      <w:r>
        <w:rPr>
          <w:rFonts w:hint="eastAsia" w:ascii="宋体" w:hAnsi="宋体" w:cs="宋体"/>
        </w:rPr>
        <w:t>3.我方承诺已经具备招标文件规定的参加本项目政府采购活动的投标人应当具备的条件：</w:t>
      </w:r>
    </w:p>
    <w:p w14:paraId="7AC3923C">
      <w:pPr>
        <w:spacing w:line="340" w:lineRule="exact"/>
        <w:ind w:firstLine="420" w:firstLineChars="200"/>
        <w:rPr>
          <w:rFonts w:ascii="宋体" w:hAnsi="宋体" w:cs="宋体"/>
        </w:rPr>
      </w:pPr>
      <w:r>
        <w:rPr>
          <w:rFonts w:hint="eastAsia" w:ascii="宋体" w:hAnsi="宋体" w:cs="宋体"/>
        </w:rPr>
        <w:t>（1）具有独立承担民事责任的能力；</w:t>
      </w:r>
    </w:p>
    <w:p w14:paraId="1DD9CFE6">
      <w:pPr>
        <w:spacing w:line="340" w:lineRule="exact"/>
        <w:ind w:firstLine="420" w:firstLineChars="200"/>
        <w:rPr>
          <w:rFonts w:ascii="宋体" w:hAnsi="宋体" w:cs="宋体"/>
        </w:rPr>
      </w:pPr>
      <w:r>
        <w:rPr>
          <w:rFonts w:hint="eastAsia" w:ascii="宋体" w:hAnsi="宋体" w:cs="宋体"/>
        </w:rPr>
        <w:t>（2）具有良好的商业信誉和健全的财务会计制度；</w:t>
      </w:r>
    </w:p>
    <w:p w14:paraId="101677FA">
      <w:pPr>
        <w:spacing w:line="340" w:lineRule="exact"/>
        <w:ind w:firstLine="420" w:firstLineChars="200"/>
        <w:rPr>
          <w:rFonts w:ascii="宋体" w:hAnsi="宋体" w:cs="宋体"/>
        </w:rPr>
      </w:pPr>
      <w:r>
        <w:rPr>
          <w:rFonts w:hint="eastAsia" w:ascii="宋体" w:hAnsi="宋体" w:cs="宋体"/>
        </w:rPr>
        <w:t>（3）具有履行合同所必需的设备和专业技术能力；</w:t>
      </w:r>
    </w:p>
    <w:p w14:paraId="30045E70">
      <w:pPr>
        <w:spacing w:line="340" w:lineRule="exact"/>
        <w:ind w:firstLine="420" w:firstLineChars="200"/>
        <w:rPr>
          <w:rFonts w:ascii="宋体" w:hAnsi="宋体" w:cs="宋体"/>
        </w:rPr>
      </w:pPr>
      <w:r>
        <w:rPr>
          <w:rFonts w:hint="eastAsia" w:ascii="宋体" w:hAnsi="宋体" w:cs="宋体"/>
        </w:rPr>
        <w:t>（4）有依法缴纳税收和社会保障资金的良好记录；</w:t>
      </w:r>
    </w:p>
    <w:p w14:paraId="3AB33EF8">
      <w:pPr>
        <w:spacing w:line="340" w:lineRule="exact"/>
        <w:ind w:firstLine="420" w:firstLineChars="200"/>
        <w:rPr>
          <w:rFonts w:ascii="宋体" w:hAnsi="宋体" w:cs="宋体"/>
        </w:rPr>
      </w:pPr>
      <w:r>
        <w:rPr>
          <w:rFonts w:hint="eastAsia" w:ascii="宋体" w:hAnsi="宋体" w:cs="宋体"/>
        </w:rPr>
        <w:t>（5）参加本次政府采购活动前三年内，在经营活动中没有重大违法记录；</w:t>
      </w:r>
    </w:p>
    <w:p w14:paraId="3F207452">
      <w:pPr>
        <w:spacing w:line="340" w:lineRule="exact"/>
        <w:ind w:firstLine="420" w:firstLineChars="200"/>
        <w:rPr>
          <w:rFonts w:ascii="宋体" w:hAnsi="宋体" w:cs="宋体"/>
        </w:rPr>
      </w:pPr>
      <w:r>
        <w:rPr>
          <w:rFonts w:hint="eastAsia" w:ascii="宋体" w:hAnsi="宋体" w:cs="宋体"/>
        </w:rPr>
        <w:t>（6）至本项目投标截止时间前，我方未列入失信被执行人、重大税收违法失信主体、政府采购严重违法失信行为记录名单；</w:t>
      </w:r>
    </w:p>
    <w:p w14:paraId="677E752D">
      <w:pPr>
        <w:adjustRightInd w:val="0"/>
        <w:snapToGrid w:val="0"/>
        <w:spacing w:line="400" w:lineRule="exact"/>
        <w:ind w:firstLine="420" w:firstLineChars="200"/>
        <w:rPr>
          <w:rFonts w:hint="eastAsia" w:ascii="宋体" w:hAnsi="宋体" w:eastAsia="宋体" w:cs="宋体"/>
          <w:lang w:val="en-US" w:eastAsia="zh-CN"/>
        </w:rPr>
      </w:pPr>
      <w:r>
        <w:rPr>
          <w:rFonts w:hint="eastAsia" w:ascii="宋体" w:hAnsi="宋体" w:cs="宋体"/>
        </w:rPr>
        <w:t>（</w:t>
      </w: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满足</w:t>
      </w:r>
      <w:r>
        <w:rPr>
          <w:rFonts w:hint="eastAsia" w:ascii="宋体" w:hAnsi="宋体" w:eastAsia="宋体" w:cs="宋体"/>
        </w:rPr>
        <w:t>本项目的特定资格要求</w:t>
      </w:r>
      <w:r>
        <w:rPr>
          <w:rFonts w:hint="eastAsia" w:ascii="宋体" w:hAnsi="宋体" w:cs="宋体"/>
          <w:lang w:eastAsia="zh-CN"/>
        </w:rPr>
        <w:t>（</w:t>
      </w:r>
      <w:r>
        <w:rPr>
          <w:rFonts w:hint="eastAsia" w:ascii="宋体" w:hAnsi="宋体" w:cs="宋体"/>
          <w:lang w:val="en-US" w:eastAsia="zh-CN"/>
        </w:rPr>
        <w:t>如有</w:t>
      </w:r>
      <w:r>
        <w:rPr>
          <w:rFonts w:hint="eastAsia" w:ascii="宋体" w:hAnsi="宋体" w:cs="宋体"/>
          <w:lang w:eastAsia="zh-CN"/>
        </w:rPr>
        <w:t>）。</w:t>
      </w:r>
    </w:p>
    <w:p w14:paraId="17D93247">
      <w:pPr>
        <w:adjustRightInd w:val="0"/>
        <w:snapToGrid w:val="0"/>
        <w:spacing w:line="400" w:lineRule="exact"/>
        <w:ind w:firstLine="420" w:firstLineChars="200"/>
        <w:rPr>
          <w:rFonts w:ascii="宋体" w:hAnsi="宋体" w:cs="宋体"/>
        </w:rPr>
      </w:pPr>
      <w:r>
        <w:rPr>
          <w:rFonts w:hint="eastAsia" w:ascii="宋体" w:hAnsi="宋体" w:cs="宋体"/>
        </w:rPr>
        <w:t>4.以上事项如有虚假或隐瞒，我方愿意承担一切后果和责任。</w:t>
      </w:r>
    </w:p>
    <w:p w14:paraId="2083CB74">
      <w:pPr>
        <w:adjustRightInd w:val="0"/>
        <w:snapToGrid w:val="0"/>
        <w:spacing w:line="400" w:lineRule="exact"/>
        <w:ind w:firstLine="420" w:firstLineChars="200"/>
        <w:rPr>
          <w:rFonts w:ascii="宋体" w:hAnsi="宋体" w:cs="宋体"/>
          <w:u w:val="single"/>
        </w:rPr>
      </w:pPr>
    </w:p>
    <w:p w14:paraId="484C354A">
      <w:pPr>
        <w:adjustRightInd w:val="0"/>
        <w:snapToGrid w:val="0"/>
        <w:spacing w:line="400" w:lineRule="exact"/>
        <w:ind w:firstLine="420" w:firstLineChars="200"/>
        <w:rPr>
          <w:rFonts w:ascii="宋体" w:hAnsi="宋体" w:cs="宋体"/>
          <w:u w:val="single"/>
        </w:rPr>
      </w:pPr>
      <w:r>
        <w:rPr>
          <w:rFonts w:hint="eastAsia" w:ascii="宋体" w:hAnsi="宋体" w:cs="宋体"/>
        </w:rPr>
        <w:t>法定代表人签字：</w:t>
      </w:r>
    </w:p>
    <w:p w14:paraId="776942C4">
      <w:pPr>
        <w:adjustRightInd w:val="0"/>
        <w:snapToGrid w:val="0"/>
        <w:spacing w:line="400" w:lineRule="exact"/>
        <w:ind w:firstLine="420" w:firstLineChars="200"/>
        <w:rPr>
          <w:rFonts w:ascii="宋体" w:hAnsi="宋体" w:cs="宋体"/>
          <w:u w:val="single"/>
        </w:rPr>
      </w:pPr>
    </w:p>
    <w:p w14:paraId="15062CBF">
      <w:pPr>
        <w:adjustRightInd w:val="0"/>
        <w:snapToGrid w:val="0"/>
        <w:spacing w:line="400" w:lineRule="exact"/>
        <w:ind w:firstLine="420" w:firstLineChars="200"/>
        <w:rPr>
          <w:rFonts w:ascii="宋体" w:hAnsi="宋体" w:cs="宋体"/>
          <w:u w:val="single"/>
        </w:rPr>
      </w:pPr>
      <w:r>
        <w:rPr>
          <w:rFonts w:hint="eastAsia" w:ascii="宋体" w:hAnsi="宋体" w:cs="宋体"/>
        </w:rPr>
        <w:t>投标人全称（盖章）：</w:t>
      </w:r>
    </w:p>
    <w:p w14:paraId="4F45C4FD">
      <w:pPr>
        <w:adjustRightInd w:val="0"/>
        <w:snapToGrid w:val="0"/>
        <w:spacing w:line="400" w:lineRule="exact"/>
        <w:ind w:firstLine="210" w:firstLineChars="100"/>
        <w:jc w:val="right"/>
        <w:rPr>
          <w:rFonts w:ascii="宋体" w:hAnsi="宋体" w:cs="宋体"/>
        </w:rPr>
      </w:pPr>
      <w:r>
        <w:rPr>
          <w:rFonts w:hint="eastAsia" w:ascii="宋体" w:hAnsi="宋体" w:cs="宋体"/>
        </w:rPr>
        <w:t>年    月    日</w:t>
      </w:r>
    </w:p>
    <w:p w14:paraId="5CDC075C"/>
    <w:p w14:paraId="377F5675">
      <w:pPr>
        <w:adjustRightInd w:val="0"/>
        <w:snapToGrid w:val="0"/>
        <w:spacing w:line="400" w:lineRule="exact"/>
        <w:ind w:firstLine="420" w:firstLineChars="200"/>
        <w:rPr>
          <w:rFonts w:ascii="宋体" w:hAnsi="宋体" w:cs="宋体"/>
        </w:rPr>
      </w:pPr>
      <w:r>
        <w:rPr>
          <w:rFonts w:hint="eastAsia" w:ascii="宋体" w:hAnsi="宋体" w:cs="宋体"/>
        </w:rPr>
        <w:t>说明：重大违法记录是指因违法经营受到刑事处罚或者责令停产停业、吊销许可证或者执照、较大数额罚款（200万元及以上金额）等行政处罚。</w:t>
      </w:r>
    </w:p>
    <w:p w14:paraId="65557E9F">
      <w:pPr>
        <w:rPr>
          <w:rFonts w:hint="eastAsia" w:ascii="宋体" w:hAnsi="宋体" w:cs="宋体"/>
        </w:rPr>
      </w:pPr>
      <w:r>
        <w:rPr>
          <w:rFonts w:hint="eastAsia" w:ascii="宋体" w:hAnsi="宋体" w:cs="宋体"/>
        </w:rPr>
        <w:br w:type="page"/>
      </w:r>
    </w:p>
    <w:p w14:paraId="72D720DD">
      <w:pPr>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4.中小/小微企业声明函：</w:t>
      </w:r>
    </w:p>
    <w:p w14:paraId="4A431964">
      <w:pPr>
        <w:spacing w:line="588" w:lineRule="exact"/>
        <w:jc w:val="center"/>
        <w:rPr>
          <w:rFonts w:ascii="宋体" w:hAnsi="宋体" w:cs="宋体"/>
          <w:b/>
          <w:spacing w:val="6"/>
          <w:sz w:val="32"/>
          <w:szCs w:val="32"/>
        </w:rPr>
      </w:pPr>
    </w:p>
    <w:p w14:paraId="65013409">
      <w:pPr>
        <w:snapToGrid w:val="0"/>
        <w:spacing w:before="50" w:after="50"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中小企业声明函</w:t>
      </w:r>
    </w:p>
    <w:p w14:paraId="2CA11D5B">
      <w:pPr>
        <w:rPr>
          <w:rFonts w:hint="eastAsia" w:ascii="宋体" w:hAnsi="宋体" w:eastAsia="宋体" w:cs="宋体"/>
          <w:highlight w:val="none"/>
        </w:rPr>
      </w:pPr>
    </w:p>
    <w:p w14:paraId="6BFF91C8">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kern w:val="0"/>
          <w:sz w:val="21"/>
          <w:szCs w:val="21"/>
          <w:highlight w:val="none"/>
          <w:lang w:bidi="ar"/>
        </w:rPr>
        <w:t>本公司（联合体）郑重声明，根据《政府采购促进中小企业发展管理办法》（财库﹝2020﹞46 号）的规定，本公司（联合</w:t>
      </w:r>
      <w:r>
        <w:rPr>
          <w:rFonts w:hint="eastAsia" w:ascii="宋体" w:hAnsi="宋体" w:eastAsia="宋体" w:cs="宋体"/>
          <w:b w:val="0"/>
          <w:bCs w:val="0"/>
          <w:kern w:val="0"/>
          <w:sz w:val="21"/>
          <w:szCs w:val="21"/>
          <w:highlight w:val="none"/>
          <w:lang w:bidi="ar"/>
        </w:rPr>
        <w:t>体）参加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b w:val="0"/>
          <w:bCs w:val="0"/>
          <w:kern w:val="0"/>
          <w:sz w:val="21"/>
          <w:szCs w:val="21"/>
          <w:highlight w:val="none"/>
          <w:lang w:bidi="ar"/>
        </w:rPr>
        <w:t>采购活动，服务全部由符合政策要求的中小企业承接）。相关企业（含联合体中的中小企业、签订分包意向协议的中小企业）的具体情况如下：</w:t>
      </w:r>
    </w:p>
    <w:p w14:paraId="1C495262">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 （</w:t>
      </w:r>
      <w:r>
        <w:rPr>
          <w:rFonts w:hint="eastAsia" w:ascii="宋体" w:hAnsi="宋体" w:eastAsia="宋体" w:cs="宋体"/>
          <w:color w:val="000000"/>
          <w:sz w:val="21"/>
          <w:szCs w:val="21"/>
          <w:u w:val="single"/>
        </w:rPr>
        <w:t>项目名称</w:t>
      </w:r>
      <w:r>
        <w:rPr>
          <w:rFonts w:hint="eastAsia" w:ascii="宋体" w:hAnsi="宋体" w:eastAsia="宋体" w:cs="宋体"/>
          <w:b w:val="0"/>
          <w:bCs w:val="0"/>
          <w:kern w:val="0"/>
          <w:sz w:val="21"/>
          <w:szCs w:val="21"/>
          <w:highlight w:val="none"/>
          <w:lang w:bidi="ar"/>
        </w:rPr>
        <w:t>） ，属于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b w:val="0"/>
          <w:bCs w:val="0"/>
          <w:kern w:val="0"/>
          <w:sz w:val="21"/>
          <w:szCs w:val="21"/>
          <w:highlight w:val="none"/>
          <w:lang w:bidi="ar"/>
        </w:rPr>
        <w:t>； 承建（承接）企业为</w:t>
      </w:r>
      <w:r>
        <w:rPr>
          <w:rFonts w:hint="eastAsia" w:ascii="宋体" w:hAnsi="宋体" w:eastAsia="宋体" w:cs="宋体"/>
          <w:b w:val="0"/>
          <w:bCs w:val="0"/>
          <w:kern w:val="0"/>
          <w:sz w:val="21"/>
          <w:szCs w:val="21"/>
          <w:highlight w:val="none"/>
          <w:u w:val="single"/>
          <w:lang w:bidi="ar"/>
        </w:rPr>
        <w:t>（企业名称）</w:t>
      </w:r>
      <w:r>
        <w:rPr>
          <w:rFonts w:hint="eastAsia" w:ascii="宋体" w:hAnsi="宋体" w:eastAsia="宋体" w:cs="宋体"/>
          <w:b w:val="0"/>
          <w:bCs w:val="0"/>
          <w:kern w:val="0"/>
          <w:sz w:val="21"/>
          <w:szCs w:val="21"/>
          <w:highlight w:val="none"/>
          <w:lang w:bidi="ar"/>
        </w:rPr>
        <w:t>，从业人员</w:t>
      </w:r>
      <w:r>
        <w:rPr>
          <w:rFonts w:hint="eastAsia" w:ascii="宋体" w:hAnsi="宋体" w:eastAsia="宋体" w:cs="宋体"/>
          <w:b w:val="0"/>
          <w:bCs w:val="0"/>
          <w:kern w:val="0"/>
          <w:sz w:val="21"/>
          <w:szCs w:val="21"/>
          <w:highlight w:val="none"/>
          <w:u w:val="single"/>
          <w:lang w:bidi="ar"/>
        </w:rPr>
        <w:t xml:space="preserve">   </w:t>
      </w:r>
      <w:r>
        <w:rPr>
          <w:rFonts w:hint="eastAsia" w:ascii="宋体" w:hAnsi="宋体" w:eastAsia="宋体" w:cs="宋体"/>
          <w:b w:val="0"/>
          <w:bCs w:val="0"/>
          <w:kern w:val="0"/>
          <w:sz w:val="21"/>
          <w:szCs w:val="21"/>
          <w:highlight w:val="none"/>
          <w:lang w:bidi="ar"/>
        </w:rPr>
        <w:t>人，营业收入为</w:t>
      </w:r>
      <w:r>
        <w:rPr>
          <w:rFonts w:hint="eastAsia" w:ascii="宋体" w:hAnsi="宋体" w:eastAsia="宋体" w:cs="宋体"/>
          <w:b w:val="0"/>
          <w:bCs w:val="0"/>
          <w:kern w:val="0"/>
          <w:sz w:val="21"/>
          <w:szCs w:val="21"/>
          <w:highlight w:val="none"/>
          <w:u w:val="single"/>
          <w:lang w:bidi="ar"/>
        </w:rPr>
        <w:t xml:space="preserve">   </w:t>
      </w:r>
      <w:r>
        <w:rPr>
          <w:rFonts w:hint="eastAsia" w:ascii="宋体" w:hAnsi="宋体" w:eastAsia="宋体" w:cs="宋体"/>
          <w:b w:val="0"/>
          <w:bCs w:val="0"/>
          <w:kern w:val="0"/>
          <w:sz w:val="21"/>
          <w:szCs w:val="21"/>
          <w:highlight w:val="none"/>
          <w:lang w:bidi="ar"/>
        </w:rPr>
        <w:t>万元，资产总额为</w:t>
      </w:r>
      <w:r>
        <w:rPr>
          <w:rFonts w:hint="eastAsia" w:ascii="宋体" w:hAnsi="宋体" w:eastAsia="宋体" w:cs="宋体"/>
          <w:b w:val="0"/>
          <w:bCs w:val="0"/>
          <w:kern w:val="0"/>
          <w:sz w:val="21"/>
          <w:szCs w:val="21"/>
          <w:highlight w:val="none"/>
          <w:u w:val="single"/>
          <w:lang w:bidi="ar"/>
        </w:rPr>
        <w:t xml:space="preserve">   </w:t>
      </w:r>
      <w:r>
        <w:rPr>
          <w:rFonts w:hint="eastAsia" w:ascii="宋体" w:hAnsi="宋体" w:eastAsia="宋体" w:cs="宋体"/>
          <w:b w:val="0"/>
          <w:bCs w:val="0"/>
          <w:kern w:val="0"/>
          <w:sz w:val="21"/>
          <w:szCs w:val="21"/>
          <w:highlight w:val="none"/>
          <w:lang w:bidi="ar"/>
        </w:rPr>
        <w:t>万元，属于</w:t>
      </w:r>
      <w:r>
        <w:rPr>
          <w:rFonts w:hint="eastAsia" w:ascii="宋体" w:hAnsi="宋体" w:eastAsia="宋体" w:cs="宋体"/>
          <w:b w:val="0"/>
          <w:bCs w:val="0"/>
          <w:kern w:val="0"/>
          <w:sz w:val="21"/>
          <w:szCs w:val="21"/>
          <w:highlight w:val="none"/>
          <w:u w:val="single"/>
          <w:lang w:bidi="ar"/>
        </w:rPr>
        <w:t>（中型企业、小型企业、微型企业）</w:t>
      </w:r>
      <w:r>
        <w:rPr>
          <w:rFonts w:hint="eastAsia" w:ascii="宋体" w:hAnsi="宋体" w:eastAsia="宋体" w:cs="宋体"/>
          <w:b w:val="0"/>
          <w:bCs w:val="0"/>
          <w:kern w:val="0"/>
          <w:sz w:val="21"/>
          <w:szCs w:val="21"/>
          <w:highlight w:val="none"/>
          <w:lang w:bidi="ar"/>
        </w:rPr>
        <w:t xml:space="preserve">； </w:t>
      </w:r>
    </w:p>
    <w:p w14:paraId="4FFACCAB">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以上企业，不属于大企业的分支机构，不存在控股股东为大企业的情形，也不存在与大企业的负责人为同一人的情形。</w:t>
      </w:r>
    </w:p>
    <w:p w14:paraId="120BE1FB">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 xml:space="preserve">本企业对上述声明内容的真实性负责。如有虚假，将依法承担相应责任。 </w:t>
      </w:r>
    </w:p>
    <w:p w14:paraId="6BABFF2A">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right"/>
        <w:textAlignment w:val="auto"/>
        <w:rPr>
          <w:rFonts w:hint="eastAsia" w:ascii="宋体" w:hAnsi="宋体" w:eastAsia="宋体" w:cs="宋体"/>
          <w:kern w:val="0"/>
          <w:sz w:val="21"/>
          <w:szCs w:val="21"/>
          <w:highlight w:val="none"/>
          <w:lang w:bidi="ar"/>
        </w:rPr>
      </w:pPr>
    </w:p>
    <w:p w14:paraId="6388A98D">
      <w:pPr>
        <w:keepNext w:val="0"/>
        <w:keepLines w:val="0"/>
        <w:pageBreakBefore w:val="0"/>
        <w:widowControl/>
        <w:kinsoku/>
        <w:wordWrap/>
        <w:overflowPunct/>
        <w:topLinePunct w:val="0"/>
        <w:autoSpaceDE/>
        <w:autoSpaceDN/>
        <w:bidi w:val="0"/>
        <w:adjustRightInd/>
        <w:spacing w:line="500" w:lineRule="exact"/>
        <w:ind w:right="0" w:rightChars="0" w:firstLine="420" w:firstLineChars="200"/>
        <w:jc w:val="center"/>
        <w:textAlignment w:val="auto"/>
        <w:rPr>
          <w:rFonts w:hint="eastAsia" w:ascii="宋体" w:hAnsi="宋体" w:eastAsia="宋体" w:cs="宋体"/>
          <w:sz w:val="21"/>
          <w:szCs w:val="21"/>
          <w:highlight w:val="none"/>
        </w:rPr>
      </w:pPr>
      <w:r>
        <w:rPr>
          <w:rFonts w:hint="eastAsia" w:ascii="宋体" w:hAnsi="宋体" w:cs="宋体"/>
          <w:kern w:val="0"/>
          <w:sz w:val="21"/>
          <w:szCs w:val="21"/>
          <w:highlight w:val="none"/>
          <w:lang w:val="en-US" w:eastAsia="zh-CN" w:bidi="ar"/>
        </w:rPr>
        <w:t xml:space="preserve">                                                              </w:t>
      </w:r>
      <w:r>
        <w:rPr>
          <w:rFonts w:hint="eastAsia" w:ascii="宋体" w:hAnsi="宋体" w:eastAsia="宋体" w:cs="宋体"/>
          <w:kern w:val="0"/>
          <w:sz w:val="21"/>
          <w:szCs w:val="21"/>
          <w:highlight w:val="none"/>
          <w:lang w:bidi="ar"/>
        </w:rPr>
        <w:t xml:space="preserve">企业名称（盖章）： </w:t>
      </w:r>
    </w:p>
    <w:p w14:paraId="7FEF8FC4">
      <w:pPr>
        <w:keepNext w:val="0"/>
        <w:keepLines w:val="0"/>
        <w:pageBreakBefore w:val="0"/>
        <w:kinsoku/>
        <w:wordWrap/>
        <w:overflowPunct/>
        <w:topLinePunct w:val="0"/>
        <w:autoSpaceDE/>
        <w:autoSpaceDN/>
        <w:bidi w:val="0"/>
        <w:adjustRightInd/>
        <w:snapToGrid w:val="0"/>
        <w:spacing w:line="500" w:lineRule="exact"/>
        <w:ind w:right="0" w:rightChars="0" w:firstLine="420" w:firstLineChars="200"/>
        <w:jc w:val="center"/>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lang w:bidi="ar"/>
        </w:rPr>
        <w:t xml:space="preserve">                                 </w:t>
      </w:r>
      <w:r>
        <w:rPr>
          <w:rFonts w:hint="eastAsia" w:ascii="宋体" w:hAnsi="宋体" w:eastAsia="宋体" w:cs="宋体"/>
          <w:kern w:val="0"/>
          <w:sz w:val="21"/>
          <w:szCs w:val="21"/>
          <w:highlight w:val="none"/>
          <w:lang w:val="en-US" w:eastAsia="zh-CN" w:bidi="ar"/>
        </w:rPr>
        <w:t xml:space="preserve">                    </w:t>
      </w:r>
      <w:r>
        <w:rPr>
          <w:rFonts w:hint="eastAsia" w:ascii="宋体" w:hAnsi="宋体" w:eastAsia="宋体" w:cs="宋体"/>
          <w:kern w:val="0"/>
          <w:sz w:val="21"/>
          <w:szCs w:val="21"/>
          <w:highlight w:val="none"/>
          <w:lang w:bidi="ar"/>
        </w:rPr>
        <w:t xml:space="preserve">日 </w:t>
      </w:r>
      <w:r>
        <w:rPr>
          <w:rFonts w:hint="eastAsia" w:ascii="宋体" w:hAnsi="宋体" w:cs="宋体"/>
          <w:kern w:val="0"/>
          <w:sz w:val="21"/>
          <w:szCs w:val="21"/>
          <w:highlight w:val="none"/>
          <w:lang w:val="en-US" w:eastAsia="zh-CN" w:bidi="ar"/>
        </w:rPr>
        <w:t xml:space="preserve"> </w:t>
      </w:r>
      <w:r>
        <w:rPr>
          <w:rFonts w:hint="eastAsia" w:ascii="宋体" w:hAnsi="宋体" w:eastAsia="宋体" w:cs="宋体"/>
          <w:kern w:val="0"/>
          <w:sz w:val="21"/>
          <w:szCs w:val="21"/>
          <w:highlight w:val="none"/>
          <w:lang w:bidi="ar"/>
        </w:rPr>
        <w:t xml:space="preserve">期： </w:t>
      </w:r>
    </w:p>
    <w:p w14:paraId="7A045B8C">
      <w:pPr>
        <w:widowControl/>
        <w:spacing w:line="400" w:lineRule="exact"/>
        <w:jc w:val="left"/>
        <w:rPr>
          <w:rFonts w:hint="eastAsia" w:ascii="宋体" w:hAnsi="宋体" w:cs="宋体"/>
          <w:kern w:val="0"/>
          <w:szCs w:val="21"/>
          <w:highlight w:val="none"/>
          <w:lang w:bidi="ar"/>
        </w:rPr>
      </w:pPr>
    </w:p>
    <w:p w14:paraId="522452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bidi="ar"/>
        </w:rPr>
        <w:t>说明：1、</w:t>
      </w:r>
      <w:r>
        <w:rPr>
          <w:rFonts w:hint="eastAsia" w:ascii="宋体" w:hAnsi="宋体" w:eastAsia="宋体" w:cs="宋体"/>
          <w:kern w:val="0"/>
          <w:szCs w:val="21"/>
          <w:highlight w:val="none"/>
          <w:lang w:val="en-US" w:eastAsia="zh-CN" w:bidi="ar"/>
        </w:rPr>
        <w:t>新成立企业也需要提供声明函，在声明函中对营业收入、资产总额、从业人员的数据不填写，对企业类型以及是</w:t>
      </w:r>
      <w:r>
        <w:rPr>
          <w:rFonts w:hint="eastAsia" w:ascii="宋体" w:hAnsi="宋体" w:eastAsia="宋体" w:cs="宋体"/>
          <w:kern w:val="0"/>
          <w:szCs w:val="21"/>
          <w:highlight w:val="none"/>
          <w:lang w:bidi="ar"/>
        </w:rPr>
        <w:t>与大企业的负责人为同一人，或者与大企业存在直接控股、管理关系</w:t>
      </w:r>
      <w:r>
        <w:rPr>
          <w:rFonts w:hint="eastAsia" w:ascii="宋体" w:hAnsi="宋体" w:eastAsia="宋体" w:cs="宋体"/>
          <w:kern w:val="0"/>
          <w:szCs w:val="21"/>
          <w:highlight w:val="none"/>
          <w:lang w:val="en-US" w:eastAsia="zh-CN" w:bidi="ar"/>
        </w:rPr>
        <w:t>进行声明，否则声明函无效。</w:t>
      </w:r>
    </w:p>
    <w:p w14:paraId="49BF04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Cs w:val="21"/>
          <w:highlight w:val="none"/>
          <w:lang w:bidi="ar"/>
        </w:rPr>
      </w:pPr>
      <w:r>
        <w:rPr>
          <w:rFonts w:hint="eastAsia" w:ascii="宋体" w:hAnsi="宋体" w:eastAsia="宋体" w:cs="宋体"/>
          <w:kern w:val="0"/>
          <w:szCs w:val="21"/>
          <w:highlight w:val="none"/>
          <w:lang w:val="en-US" w:eastAsia="zh-CN" w:bidi="ar"/>
        </w:rPr>
        <w:t>2、</w:t>
      </w:r>
      <w:r>
        <w:rPr>
          <w:rFonts w:hint="eastAsia" w:ascii="宋体" w:hAnsi="宋体" w:eastAsia="宋体" w:cs="宋体"/>
          <w:kern w:val="0"/>
          <w:szCs w:val="21"/>
          <w:highlight w:val="none"/>
          <w:lang w:bidi="ar"/>
        </w:rPr>
        <w:t>为本项目提供服</w:t>
      </w:r>
      <w:r>
        <w:rPr>
          <w:rFonts w:hint="eastAsia" w:ascii="宋体" w:hAnsi="宋体" w:cs="宋体"/>
          <w:kern w:val="0"/>
          <w:szCs w:val="21"/>
          <w:highlight w:val="none"/>
          <w:lang w:bidi="ar"/>
        </w:rPr>
        <w:t>务的企业按照《关于印发中小企业划型标准规定的通知》（工信部联企业〔2011〕300 号）的所属行业分类为</w:t>
      </w:r>
      <w:r>
        <w:rPr>
          <w:rFonts w:hint="eastAsia" w:ascii="宋体" w:eastAsia="宋体" w:cs="宋体"/>
          <w:b/>
          <w:bCs/>
          <w:sz w:val="21"/>
          <w:szCs w:val="21"/>
          <w:highlight w:val="none"/>
          <w:lang w:val="en-US" w:eastAsia="zh-CN"/>
        </w:rPr>
        <w:t>其他未列明行业</w:t>
      </w:r>
      <w:r>
        <w:rPr>
          <w:rFonts w:hint="eastAsia" w:ascii="宋体" w:hAnsi="宋体" w:cs="宋体"/>
          <w:kern w:val="0"/>
          <w:szCs w:val="21"/>
          <w:highlight w:val="none"/>
          <w:lang w:bidi="ar"/>
        </w:rPr>
        <w:t>。</w:t>
      </w:r>
    </w:p>
    <w:p w14:paraId="31B57C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kern w:val="0"/>
          <w:szCs w:val="21"/>
          <w:highlight w:val="none"/>
          <w:lang w:bidi="ar"/>
        </w:rPr>
      </w:pPr>
      <w:r>
        <w:rPr>
          <w:rFonts w:hint="eastAsia" w:ascii="宋体" w:hAnsi="宋体" w:cs="宋体"/>
          <w:b/>
          <w:bCs/>
          <w:kern w:val="0"/>
          <w:szCs w:val="21"/>
          <w:highlight w:val="none"/>
          <w:lang w:val="en-US" w:eastAsia="zh-CN" w:bidi="ar"/>
        </w:rPr>
        <w:t>3</w:t>
      </w:r>
      <w:r>
        <w:rPr>
          <w:rFonts w:hint="eastAsia" w:ascii="宋体" w:hAnsi="宋体" w:cs="宋体"/>
          <w:b/>
          <w:bCs/>
          <w:kern w:val="0"/>
          <w:szCs w:val="21"/>
          <w:highlight w:val="none"/>
          <w:lang w:bidi="ar"/>
        </w:rPr>
        <w:t>、此表格非常重要，供应商必须如实且规范填写本表格。</w:t>
      </w:r>
    </w:p>
    <w:p w14:paraId="08BF9E9E">
      <w:pPr>
        <w:widowControl/>
        <w:numPr>
          <w:ilvl w:val="0"/>
          <w:numId w:val="0"/>
        </w:numPr>
        <w:shd w:val="clear" w:color="auto" w:fill="auto"/>
        <w:spacing w:before="0" w:after="0" w:line="320" w:lineRule="exact"/>
        <w:ind w:firstLine="0" w:firstLineChars="0"/>
        <w:jc w:val="left"/>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4</w:t>
      </w:r>
      <w:r>
        <w:rPr>
          <w:rFonts w:hint="eastAsia" w:ascii="宋体" w:hAnsi="宋体" w:eastAsia="宋体" w:cs="宋体"/>
          <w:b/>
          <w:bCs/>
          <w:color w:val="000000"/>
          <w:kern w:val="0"/>
          <w:highlight w:val="none"/>
          <w:lang w:bidi="ar"/>
        </w:rPr>
        <w:t>、各供应商应认真仔细填写中小企业声明函，如出现以下情况，响应文件无效:</w:t>
      </w:r>
    </w:p>
    <w:p w14:paraId="4169D254">
      <w:pPr>
        <w:widowControl/>
        <w:numPr>
          <w:ilvl w:val="0"/>
          <w:numId w:val="0"/>
        </w:numPr>
        <w:shd w:val="clear" w:color="auto" w:fill="auto"/>
        <w:spacing w:before="0" w:after="0" w:line="320" w:lineRule="exact"/>
        <w:ind w:firstLine="0" w:firstLineChars="0"/>
        <w:jc w:val="left"/>
        <w:rPr>
          <w:rFonts w:hint="eastAsia" w:ascii="宋体" w:hAnsi="宋体" w:eastAsia="宋体" w:cs="宋体"/>
          <w:b/>
          <w:bCs/>
          <w:color w:val="000000"/>
          <w:kern w:val="0"/>
          <w:highlight w:val="none"/>
          <w:lang w:val="en-US" w:eastAsia="zh-CN" w:bidi="ar"/>
        </w:rPr>
      </w:pPr>
      <w:r>
        <w:rPr>
          <w:rFonts w:hint="eastAsia" w:ascii="宋体" w:hAnsi="宋体" w:eastAsia="宋体" w:cs="宋体"/>
          <w:b/>
          <w:bCs/>
          <w:color w:val="000000"/>
          <w:kern w:val="0"/>
          <w:highlight w:val="none"/>
          <w:lang w:val="en-US" w:eastAsia="zh-CN" w:bidi="ar"/>
        </w:rPr>
        <w:t>4.1中小企业声明函的行业填写错误(错填为“采购文件确定的行业”类似瑕疵或未填写行业全称经评审小组认定为明显笔误的除外）或者未填写行业的；</w:t>
      </w:r>
    </w:p>
    <w:p w14:paraId="2C2CFE66">
      <w:pPr>
        <w:widowControl/>
        <w:numPr>
          <w:ilvl w:val="0"/>
          <w:numId w:val="0"/>
        </w:numPr>
        <w:shd w:val="clear" w:color="auto" w:fill="auto"/>
        <w:spacing w:before="0" w:after="0" w:line="320" w:lineRule="exact"/>
        <w:ind w:firstLine="0" w:firstLineChars="0"/>
        <w:jc w:val="left"/>
        <w:rPr>
          <w:rFonts w:hint="eastAsia" w:ascii="宋体" w:hAnsi="宋体" w:eastAsia="宋体" w:cs="宋体"/>
          <w:b/>
          <w:bCs/>
          <w:color w:val="000000"/>
          <w:kern w:val="0"/>
          <w:highlight w:val="none"/>
          <w:lang w:val="en-US" w:eastAsia="zh-CN" w:bidi="ar"/>
        </w:rPr>
      </w:pPr>
      <w:r>
        <w:rPr>
          <w:rFonts w:hint="eastAsia" w:ascii="宋体" w:hAnsi="宋体" w:eastAsia="宋体" w:cs="宋体"/>
          <w:b/>
          <w:bCs/>
          <w:color w:val="000000"/>
          <w:kern w:val="0"/>
          <w:highlight w:val="none"/>
          <w:lang w:val="en-US" w:eastAsia="zh-CN" w:bidi="ar"/>
        </w:rPr>
        <w:t>4.2供应商填写的行业不是采购文件明确的行业的（例：采购文件明确的行业类型为其他未列明行业，供应商填写为建筑业或其他行业的）</w:t>
      </w:r>
    </w:p>
    <w:p w14:paraId="2E99B7C0">
      <w:pPr>
        <w:widowControl/>
        <w:numPr>
          <w:ilvl w:val="0"/>
          <w:numId w:val="0"/>
        </w:numPr>
        <w:shd w:val="clear" w:color="auto" w:fill="auto"/>
        <w:spacing w:before="0" w:after="0" w:line="320" w:lineRule="exact"/>
        <w:ind w:firstLine="0" w:firstLineChars="0"/>
        <w:jc w:val="left"/>
        <w:rPr>
          <w:rFonts w:hint="eastAsia" w:ascii="宋体" w:hAnsi="宋体" w:eastAsia="宋体" w:cs="宋体"/>
          <w:b/>
          <w:bCs/>
          <w:color w:val="000000"/>
          <w:kern w:val="0"/>
          <w:highlight w:val="none"/>
          <w:lang w:val="en-US" w:eastAsia="zh-CN" w:bidi="ar"/>
        </w:rPr>
      </w:pPr>
      <w:r>
        <w:rPr>
          <w:rFonts w:hint="eastAsia" w:ascii="宋体" w:hAnsi="宋体" w:eastAsia="宋体" w:cs="宋体"/>
          <w:b/>
          <w:bCs/>
          <w:color w:val="000000"/>
          <w:kern w:val="0"/>
          <w:highlight w:val="none"/>
          <w:lang w:val="en-US" w:eastAsia="zh-CN" w:bidi="ar"/>
        </w:rPr>
        <w:t>4.3供应商填写的类型正确、但数据错误的，供应商对填报的数据来源不能作出合理解释或解释不合理评审小组不认可的；</w:t>
      </w:r>
    </w:p>
    <w:p w14:paraId="710E7604">
      <w:pPr>
        <w:widowControl/>
        <w:numPr>
          <w:ilvl w:val="0"/>
          <w:numId w:val="0"/>
        </w:numPr>
        <w:shd w:val="clear" w:color="auto" w:fill="auto"/>
        <w:spacing w:before="0" w:after="0" w:line="320" w:lineRule="exact"/>
        <w:ind w:firstLine="0" w:firstLineChars="0"/>
        <w:jc w:val="left"/>
        <w:rPr>
          <w:rFonts w:hint="eastAsia" w:ascii="宋体" w:hAnsi="宋体" w:eastAsia="宋体" w:cs="宋体"/>
          <w:b/>
          <w:bCs/>
          <w:color w:val="000000"/>
          <w:kern w:val="0"/>
          <w:highlight w:val="none"/>
          <w:lang w:val="en-US" w:eastAsia="zh-CN" w:bidi="ar"/>
        </w:rPr>
      </w:pPr>
      <w:r>
        <w:rPr>
          <w:rFonts w:hint="eastAsia" w:ascii="宋体" w:hAnsi="宋体" w:eastAsia="宋体" w:cs="宋体"/>
          <w:b/>
          <w:bCs/>
          <w:color w:val="000000"/>
          <w:kern w:val="0"/>
          <w:highlight w:val="none"/>
          <w:lang w:val="en-US" w:eastAsia="zh-CN" w:bidi="ar"/>
        </w:rPr>
        <w:t>4.4供应商填写的类型错误，例：大型企业填写为中型、或小微、微型企业的。</w:t>
      </w:r>
    </w:p>
    <w:p w14:paraId="6DBA752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w:t>
      </w:r>
      <w:r>
        <w:rPr>
          <w:rStyle w:val="21"/>
          <w:rFonts w:hint="eastAsia" w:ascii="宋体" w:hAnsi="宋体" w:cs="宋体"/>
          <w:b w:val="0"/>
          <w:color w:val="000000"/>
          <w:kern w:val="0"/>
          <w:szCs w:val="21"/>
          <w:highlight w:val="none"/>
          <w:lang w:bidi="ar"/>
        </w:rPr>
        <w:t>中小企业划分为中型、小型、微型三种类型，具体标准根据企业从业人员、营业收入、资产总额等指标，结合行业特点制定。各行业划型标准为：</w:t>
      </w:r>
    </w:p>
    <w:p w14:paraId="3F8FC34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（一）农、林、牧、渔业</w:t>
      </w:r>
    </w:p>
    <w:p w14:paraId="199617EF">
      <w:pPr>
        <w:pStyle w:val="16"/>
        <w:shd w:val="clear" w:color="auto" w:fill="FFFFFF"/>
        <w:spacing w:before="0" w:beforeAutospacing="0" w:after="0" w:afterAutospacing="0"/>
        <w:ind w:firstLine="630" w:firstLineChars="3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6089E90A">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（二）工业</w:t>
      </w:r>
    </w:p>
    <w:p w14:paraId="037D7FA8">
      <w:pPr>
        <w:pStyle w:val="16"/>
        <w:shd w:val="clear" w:color="auto" w:fill="FFFFFF"/>
        <w:spacing w:before="0" w:beforeAutospacing="0" w:after="0" w:afterAutospacing="0"/>
        <w:ind w:firstLine="630" w:firstLineChars="3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w:t>
      </w:r>
      <w:r>
        <w:rPr>
          <w:rFonts w:hint="eastAsia" w:cs="宋体"/>
          <w:color w:val="191919"/>
          <w:sz w:val="21"/>
          <w:szCs w:val="21"/>
          <w:highlight w:val="none"/>
          <w:shd w:val="clear" w:color="auto" w:fill="FFFFFF"/>
          <w:lang w:eastAsia="zh-CN"/>
        </w:rPr>
        <w:t>；</w:t>
      </w:r>
      <w:r>
        <w:rPr>
          <w:rFonts w:hint="eastAsia" w:hAnsi="宋体" w:cs="宋体"/>
          <w:color w:val="191919"/>
          <w:sz w:val="21"/>
          <w:szCs w:val="21"/>
          <w:highlight w:val="none"/>
          <w:shd w:val="clear" w:color="auto" w:fill="FFFFFF"/>
        </w:rPr>
        <w:t>从业人员20人以下或营业收入300万元以下的为微型企业。</w:t>
      </w:r>
    </w:p>
    <w:p w14:paraId="7FA798C8">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（三）建筑业</w:t>
      </w:r>
    </w:p>
    <w:p w14:paraId="4A5395E0">
      <w:pPr>
        <w:pStyle w:val="16"/>
        <w:shd w:val="clear" w:color="auto" w:fill="FFFFFF"/>
        <w:spacing w:before="0" w:beforeAutospacing="0" w:after="0" w:afterAutospacing="0"/>
        <w:ind w:firstLine="630" w:firstLineChars="3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711B55">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（四）批发业</w:t>
      </w:r>
    </w:p>
    <w:p w14:paraId="45FE0C6D">
      <w:pPr>
        <w:pStyle w:val="16"/>
        <w:shd w:val="clear" w:color="auto" w:fill="FFFFFF"/>
        <w:spacing w:before="0" w:beforeAutospacing="0" w:after="0" w:afterAutospacing="0"/>
        <w:ind w:firstLine="630" w:firstLineChars="3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w:t>
      </w:r>
      <w:r>
        <w:rPr>
          <w:rFonts w:hint="eastAsia" w:cs="宋体"/>
          <w:color w:val="191919"/>
          <w:sz w:val="21"/>
          <w:szCs w:val="21"/>
          <w:highlight w:val="none"/>
          <w:shd w:val="clear" w:color="auto" w:fill="FFFFFF"/>
          <w:lang w:eastAsia="zh-CN"/>
        </w:rPr>
        <w:t>；</w:t>
      </w:r>
      <w:r>
        <w:rPr>
          <w:rFonts w:hint="eastAsia" w:hAnsi="宋体" w:cs="宋体"/>
          <w:color w:val="191919"/>
          <w:sz w:val="21"/>
          <w:szCs w:val="21"/>
          <w:highlight w:val="none"/>
          <w:shd w:val="clear" w:color="auto" w:fill="FFFFFF"/>
        </w:rPr>
        <w:t>从业人员5人以下或营业收入1000万元以下的为微型企业。</w:t>
      </w:r>
    </w:p>
    <w:p w14:paraId="22D96386">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（五）零售业</w:t>
      </w:r>
    </w:p>
    <w:p w14:paraId="0875679B">
      <w:pPr>
        <w:pStyle w:val="16"/>
        <w:shd w:val="clear" w:color="auto" w:fill="FFFFFF"/>
        <w:spacing w:before="0" w:beforeAutospacing="0" w:after="0" w:afterAutospacing="0"/>
        <w:ind w:firstLine="630" w:firstLineChars="3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w:t>
      </w:r>
      <w:r>
        <w:rPr>
          <w:rFonts w:hint="eastAsia" w:cs="宋体"/>
          <w:color w:val="191919"/>
          <w:sz w:val="21"/>
          <w:szCs w:val="21"/>
          <w:highlight w:val="none"/>
          <w:shd w:val="clear" w:color="auto" w:fill="FFFFFF"/>
          <w:lang w:eastAsia="zh-CN"/>
        </w:rPr>
        <w:t>；</w:t>
      </w:r>
      <w:r>
        <w:rPr>
          <w:rFonts w:hint="eastAsia" w:hAnsi="宋体" w:cs="宋体"/>
          <w:color w:val="191919"/>
          <w:sz w:val="21"/>
          <w:szCs w:val="21"/>
          <w:highlight w:val="none"/>
          <w:shd w:val="clear" w:color="auto" w:fill="FFFFFF"/>
        </w:rPr>
        <w:t>从业人员10人以下或营业收入100万元以下的为微型企业。</w:t>
      </w:r>
    </w:p>
    <w:p w14:paraId="5DC1F72D">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（六）交通运输业</w:t>
      </w:r>
    </w:p>
    <w:p w14:paraId="41803E59">
      <w:pPr>
        <w:pStyle w:val="16"/>
        <w:shd w:val="clear" w:color="auto" w:fill="FFFFFF"/>
        <w:spacing w:before="0" w:beforeAutospacing="0" w:after="0" w:afterAutospacing="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从业人员1000人以下或营业收入30000万元以下的为中小微型企业。</w:t>
      </w:r>
    </w:p>
    <w:p w14:paraId="7031D80E">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（七）仓储业</w:t>
      </w:r>
    </w:p>
    <w:p w14:paraId="7E1B4656">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537B31">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（八）邮政业</w:t>
      </w:r>
    </w:p>
    <w:p w14:paraId="7818D030">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4CC001">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（九）住宿业</w:t>
      </w:r>
    </w:p>
    <w:p w14:paraId="7F2AFC84">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0541E6">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（十）餐饮业</w:t>
      </w:r>
    </w:p>
    <w:p w14:paraId="08B5A214">
      <w:pPr>
        <w:pStyle w:val="16"/>
        <w:shd w:val="clear" w:color="auto" w:fill="FFFFFF"/>
        <w:spacing w:before="0" w:beforeAutospacing="0" w:after="0" w:afterAutospacing="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719240">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（十一）信息传输业</w:t>
      </w:r>
    </w:p>
    <w:p w14:paraId="1629F8A0">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CBAEAC">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（十二）软件和信息技术服务业</w:t>
      </w:r>
    </w:p>
    <w:p w14:paraId="273631F2">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C675CD">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（十三）房地产开发经营</w:t>
      </w:r>
    </w:p>
    <w:p w14:paraId="16E59797">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A30921">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（十四）物业管理</w:t>
      </w:r>
    </w:p>
    <w:p w14:paraId="5500C51E">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A42645">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（十五）租赁和商务服务业</w:t>
      </w:r>
    </w:p>
    <w:p w14:paraId="0D37C7AE">
      <w:pPr>
        <w:pStyle w:val="16"/>
        <w:shd w:val="clear" w:color="auto" w:fill="FFFFFF"/>
        <w:spacing w:before="0" w:beforeAutospacing="0" w:after="0" w:afterAutospacing="0"/>
        <w:ind w:firstLine="420" w:firstLineChars="2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B660FC">
      <w:pPr>
        <w:pStyle w:val="16"/>
        <w:shd w:val="clear" w:color="auto" w:fill="FFFFFF"/>
        <w:spacing w:before="0" w:beforeAutospacing="0" w:after="0" w:afterAutospacing="0"/>
        <w:rPr>
          <w:rFonts w:hint="eastAsia" w:hAnsi="宋体" w:cs="宋体"/>
          <w:color w:val="191919"/>
          <w:sz w:val="21"/>
          <w:szCs w:val="21"/>
          <w:highlight w:val="none"/>
        </w:rPr>
      </w:pPr>
      <w:r>
        <w:rPr>
          <w:rStyle w:val="21"/>
          <w:rFonts w:hint="eastAsia" w:hAnsi="宋体" w:cs="宋体"/>
          <w:color w:val="191919"/>
          <w:sz w:val="21"/>
          <w:szCs w:val="21"/>
          <w:highlight w:val="none"/>
          <w:shd w:val="clear" w:color="auto" w:fill="FFFFFF"/>
        </w:rPr>
        <w:t>（十六）其他未列明行业</w:t>
      </w:r>
    </w:p>
    <w:p w14:paraId="5D5BB8D7">
      <w:pPr>
        <w:pStyle w:val="16"/>
        <w:shd w:val="clear" w:color="auto" w:fill="FFFFFF"/>
        <w:spacing w:before="0" w:beforeAutospacing="0" w:after="0" w:afterAutospacing="0"/>
        <w:ind w:firstLine="210" w:firstLineChars="100"/>
        <w:jc w:val="both"/>
        <w:rPr>
          <w:rFonts w:hint="eastAsia"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19880842">
      <w:r>
        <w:br w:type="page"/>
      </w:r>
    </w:p>
    <w:p w14:paraId="018B0D48">
      <w:pPr>
        <w:pStyle w:val="4"/>
        <w:jc w:val="center"/>
        <w:rPr>
          <w:rFonts w:ascii="宋体" w:hAnsi="宋体" w:eastAsia="宋体" w:cs="宋体"/>
          <w:sz w:val="28"/>
          <w:szCs w:val="28"/>
        </w:rPr>
      </w:pPr>
      <w:bookmarkStart w:id="244" w:name="_Toc32031"/>
      <w:bookmarkStart w:id="245" w:name="_Toc7577"/>
      <w:bookmarkStart w:id="246" w:name="_Toc8549"/>
      <w:bookmarkStart w:id="247" w:name="_Toc17582"/>
      <w:bookmarkStart w:id="248" w:name="_Toc6173"/>
      <w:bookmarkStart w:id="249" w:name="_Toc19603"/>
      <w:bookmarkStart w:id="250" w:name="_Toc5664"/>
      <w:bookmarkStart w:id="251" w:name="_Toc95211198"/>
      <w:bookmarkStart w:id="252" w:name="_Toc24255"/>
      <w:bookmarkStart w:id="253" w:name="_Toc5786"/>
      <w:r>
        <w:rPr>
          <w:rFonts w:hint="eastAsia" w:ascii="宋体" w:hAnsi="宋体" w:eastAsia="宋体" w:cs="宋体"/>
          <w:sz w:val="28"/>
          <w:szCs w:val="28"/>
        </w:rPr>
        <w:t>二、技术资信文件格式</w:t>
      </w:r>
      <w:bookmarkEnd w:id="244"/>
      <w:bookmarkEnd w:id="245"/>
      <w:bookmarkEnd w:id="246"/>
      <w:bookmarkEnd w:id="247"/>
      <w:bookmarkEnd w:id="248"/>
      <w:bookmarkEnd w:id="249"/>
      <w:bookmarkEnd w:id="250"/>
      <w:bookmarkEnd w:id="251"/>
      <w:bookmarkEnd w:id="252"/>
      <w:bookmarkEnd w:id="253"/>
    </w:p>
    <w:p w14:paraId="2F563AA9">
      <w:pPr>
        <w:adjustRightInd w:val="0"/>
        <w:snapToGrid w:val="0"/>
        <w:rPr>
          <w:rFonts w:ascii="宋体" w:hAnsi="宋体" w:cs="宋体"/>
          <w:sz w:val="24"/>
        </w:rPr>
      </w:pPr>
    </w:p>
    <w:p w14:paraId="2E1BB608">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r>
        <w:rPr>
          <w:rFonts w:hint="eastAsia" w:ascii="宋体" w:hAnsi="宋体" w:cs="宋体"/>
          <w:sz w:val="24"/>
        </w:rPr>
        <w:t xml:space="preserve">1.技术资信文件封面格式： </w:t>
      </w:r>
    </w:p>
    <w:p w14:paraId="5E519CC2">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p>
    <w:p w14:paraId="0A644D51">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Cs/>
          <w:sz w:val="30"/>
          <w:szCs w:val="30"/>
        </w:rPr>
      </w:pPr>
      <w:r>
        <w:rPr>
          <w:rFonts w:hint="eastAsia" w:ascii="宋体" w:hAnsi="宋体" w:cs="宋体"/>
          <w:bCs/>
          <w:sz w:val="30"/>
          <w:szCs w:val="30"/>
        </w:rPr>
        <w:t>×××（投标人名称）</w:t>
      </w:r>
    </w:p>
    <w:p w14:paraId="2A629411">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Cs/>
          <w:sz w:val="30"/>
          <w:szCs w:val="30"/>
        </w:rPr>
      </w:pPr>
    </w:p>
    <w:p w14:paraId="35948C9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sz w:val="48"/>
          <w:szCs w:val="48"/>
        </w:rPr>
      </w:pPr>
      <w:r>
        <w:rPr>
          <w:rFonts w:hint="eastAsia" w:ascii="宋体" w:hAnsi="宋体" w:cs="宋体"/>
          <w:b/>
          <w:bCs/>
          <w:sz w:val="48"/>
          <w:szCs w:val="48"/>
        </w:rPr>
        <w:t>技术资信文件</w:t>
      </w:r>
    </w:p>
    <w:p w14:paraId="26C4DCB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sz w:val="44"/>
          <w:szCs w:val="44"/>
        </w:rPr>
      </w:pPr>
    </w:p>
    <w:p w14:paraId="6F1A4FED">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bCs/>
          <w:sz w:val="24"/>
        </w:rPr>
      </w:pPr>
      <w:r>
        <w:rPr>
          <w:rFonts w:hint="eastAsia" w:ascii="宋体" w:hAnsi="宋体" w:cs="宋体"/>
          <w:bCs/>
          <w:sz w:val="24"/>
        </w:rPr>
        <w:t xml:space="preserve">项目名称： </w:t>
      </w:r>
    </w:p>
    <w:p w14:paraId="175E7EED">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bCs/>
          <w:sz w:val="24"/>
        </w:rPr>
      </w:pPr>
      <w:r>
        <w:rPr>
          <w:rFonts w:hint="eastAsia" w:ascii="宋体" w:hAnsi="宋体" w:cs="宋体"/>
          <w:bCs/>
          <w:sz w:val="24"/>
        </w:rPr>
        <w:t>项目编号：</w:t>
      </w:r>
    </w:p>
    <w:p w14:paraId="6F2D6389">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bCs/>
          <w:sz w:val="24"/>
        </w:rPr>
      </w:pPr>
      <w:r>
        <w:rPr>
          <w:rFonts w:hint="eastAsia" w:ascii="宋体" w:hAnsi="宋体" w:cs="宋体"/>
          <w:bCs/>
          <w:sz w:val="24"/>
        </w:rPr>
        <w:t>标项：</w:t>
      </w:r>
    </w:p>
    <w:p w14:paraId="0EE9189F">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r>
        <w:rPr>
          <w:rFonts w:hint="eastAsia" w:ascii="宋体" w:hAnsi="宋体" w:cs="宋体"/>
          <w:sz w:val="24"/>
        </w:rPr>
        <w:t>投标人名称（盖章）：</w:t>
      </w:r>
    </w:p>
    <w:p w14:paraId="39BD4C54">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r>
        <w:rPr>
          <w:rFonts w:hint="eastAsia" w:ascii="宋体" w:hAnsi="宋体" w:cs="宋体"/>
          <w:sz w:val="24"/>
        </w:rPr>
        <w:t>投标人地址：</w:t>
      </w:r>
    </w:p>
    <w:p w14:paraId="717B6D81">
      <w:pPr>
        <w:keepNext w:val="0"/>
        <w:keepLines w:val="0"/>
        <w:pageBreakBefore w:val="0"/>
        <w:widowControl w:val="0"/>
        <w:kinsoku/>
        <w:wordWrap/>
        <w:overflowPunct/>
        <w:topLinePunct w:val="0"/>
        <w:autoSpaceDE/>
        <w:autoSpaceDN/>
        <w:bidi w:val="0"/>
        <w:adjustRightInd w:val="0"/>
        <w:snapToGrid w:val="0"/>
        <w:spacing w:line="700" w:lineRule="exact"/>
        <w:ind w:firstLine="6000" w:firstLineChars="2500"/>
        <w:textAlignment w:val="auto"/>
        <w:rPr>
          <w:rFonts w:ascii="宋体" w:hAnsi="宋体" w:cs="宋体"/>
          <w:sz w:val="24"/>
        </w:rPr>
      </w:pPr>
      <w:r>
        <w:rPr>
          <w:rFonts w:hint="eastAsia" w:ascii="宋体" w:hAnsi="宋体" w:cs="宋体"/>
          <w:sz w:val="24"/>
        </w:rPr>
        <w:t>授权代表签名或盖章：</w:t>
      </w:r>
    </w:p>
    <w:p w14:paraId="461810C7">
      <w:pPr>
        <w:keepNext w:val="0"/>
        <w:keepLines w:val="0"/>
        <w:pageBreakBefore w:val="0"/>
        <w:widowControl w:val="0"/>
        <w:kinsoku/>
        <w:wordWrap/>
        <w:overflowPunct/>
        <w:topLinePunct w:val="0"/>
        <w:autoSpaceDE/>
        <w:autoSpaceDN/>
        <w:bidi w:val="0"/>
        <w:adjustRightInd w:val="0"/>
        <w:snapToGrid w:val="0"/>
        <w:spacing w:line="700" w:lineRule="exact"/>
        <w:ind w:firstLine="645"/>
        <w:jc w:val="right"/>
        <w:textAlignment w:val="auto"/>
        <w:rPr>
          <w:rFonts w:ascii="宋体" w:hAnsi="宋体" w:cs="宋体"/>
          <w:sz w:val="24"/>
        </w:rPr>
      </w:pPr>
      <w:r>
        <w:rPr>
          <w:rFonts w:hint="eastAsia" w:ascii="宋体" w:hAnsi="宋体" w:cs="宋体"/>
          <w:sz w:val="24"/>
        </w:rPr>
        <w:t xml:space="preserve">                        年  月  日</w:t>
      </w:r>
    </w:p>
    <w:p w14:paraId="35EBAD6D">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p>
    <w:p w14:paraId="61A68547">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ascii="宋体" w:hAnsi="宋体" w:cs="宋体"/>
          <w:sz w:val="24"/>
        </w:rPr>
      </w:pPr>
    </w:p>
    <w:p w14:paraId="710A14B3">
      <w:pPr>
        <w:adjustRightInd w:val="0"/>
        <w:snapToGrid w:val="0"/>
        <w:rPr>
          <w:rFonts w:ascii="宋体" w:hAnsi="宋体" w:cs="宋体"/>
          <w:sz w:val="24"/>
        </w:rPr>
      </w:pPr>
    </w:p>
    <w:p w14:paraId="6321AFD1">
      <w:pPr>
        <w:adjustRightInd w:val="0"/>
        <w:snapToGrid w:val="0"/>
        <w:rPr>
          <w:rFonts w:ascii="宋体" w:hAnsi="宋体" w:cs="宋体"/>
          <w:sz w:val="24"/>
        </w:rPr>
      </w:pPr>
    </w:p>
    <w:p w14:paraId="6D9D48D0">
      <w:pPr>
        <w:adjustRightInd w:val="0"/>
        <w:snapToGrid w:val="0"/>
        <w:rPr>
          <w:rFonts w:ascii="宋体" w:hAnsi="宋体" w:cs="宋体"/>
          <w:sz w:val="24"/>
        </w:rPr>
      </w:pPr>
    </w:p>
    <w:p w14:paraId="0ABCD42A">
      <w:pPr>
        <w:adjustRightInd w:val="0"/>
        <w:snapToGrid w:val="0"/>
        <w:rPr>
          <w:rFonts w:ascii="宋体" w:hAnsi="宋体" w:cs="宋体"/>
          <w:sz w:val="24"/>
        </w:rPr>
      </w:pPr>
    </w:p>
    <w:p w14:paraId="452C5754">
      <w:pPr>
        <w:adjustRightInd w:val="0"/>
        <w:snapToGrid w:val="0"/>
        <w:rPr>
          <w:rFonts w:ascii="宋体" w:hAnsi="宋体" w:cs="宋体"/>
          <w:sz w:val="24"/>
        </w:rPr>
      </w:pPr>
    </w:p>
    <w:p w14:paraId="43ECAA84">
      <w:pPr>
        <w:adjustRightInd w:val="0"/>
        <w:snapToGrid w:val="0"/>
        <w:rPr>
          <w:rFonts w:ascii="宋体" w:hAnsi="宋体" w:cs="宋体"/>
          <w:sz w:val="24"/>
        </w:rPr>
      </w:pPr>
    </w:p>
    <w:p w14:paraId="0CF6E577">
      <w:pPr>
        <w:adjustRightInd w:val="0"/>
        <w:snapToGrid w:val="0"/>
        <w:rPr>
          <w:rFonts w:ascii="宋体" w:hAnsi="宋体" w:cs="宋体"/>
          <w:sz w:val="24"/>
        </w:rPr>
      </w:pPr>
    </w:p>
    <w:p w14:paraId="3736A5CF">
      <w:pPr>
        <w:adjustRightInd w:val="0"/>
        <w:snapToGrid w:val="0"/>
        <w:rPr>
          <w:rFonts w:ascii="宋体" w:hAnsi="宋体" w:cs="宋体"/>
          <w:sz w:val="24"/>
        </w:rPr>
      </w:pPr>
    </w:p>
    <w:p w14:paraId="2A615D2C">
      <w:pPr>
        <w:adjustRightInd w:val="0"/>
        <w:snapToGrid w:val="0"/>
        <w:rPr>
          <w:rFonts w:ascii="宋体" w:hAnsi="宋体" w:cs="宋体"/>
          <w:sz w:val="24"/>
        </w:rPr>
      </w:pPr>
    </w:p>
    <w:p w14:paraId="73682ACA">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2.目录</w:t>
      </w:r>
    </w:p>
    <w:p w14:paraId="323EBE95">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投标函（格式见第六章）；</w:t>
      </w:r>
    </w:p>
    <w:p w14:paraId="3AED27DE">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投标单位情况表（格式见第六章）；</w:t>
      </w:r>
    </w:p>
    <w:p w14:paraId="0BBF8224">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Style w:val="23"/>
          <w:rFonts w:hint="eastAsia" w:ascii="宋体" w:hAnsi="宋体" w:cs="宋体"/>
          <w:color w:val="auto"/>
          <w:highlight w:val="none"/>
          <w:u w:val="none"/>
        </w:rPr>
        <w:t>项目理解；</w:t>
      </w:r>
    </w:p>
    <w:p w14:paraId="302701FD">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Style w:val="23"/>
          <w:rFonts w:hint="eastAsia" w:ascii="宋体" w:hAnsi="宋体" w:cs="宋体"/>
          <w:color w:val="auto"/>
          <w:highlight w:val="none"/>
          <w:u w:val="none"/>
        </w:rPr>
        <w:t>重难点分析及对策措施；</w:t>
      </w:r>
    </w:p>
    <w:p w14:paraId="73DA901F">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技术方案；</w:t>
      </w:r>
    </w:p>
    <w:p w14:paraId="28FD79B7">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进度保障措施；</w:t>
      </w:r>
    </w:p>
    <w:p w14:paraId="19E91571">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质量保障措施</w:t>
      </w:r>
      <w:r>
        <w:rPr>
          <w:rFonts w:hint="eastAsia" w:ascii="宋体" w:hAnsi="宋体" w:cs="宋体"/>
          <w:highlight w:val="none"/>
          <w:lang w:eastAsia="zh-CN"/>
        </w:rPr>
        <w:t>；</w:t>
      </w:r>
    </w:p>
    <w:p w14:paraId="4B85F113">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安全保障措施；</w:t>
      </w:r>
    </w:p>
    <w:p w14:paraId="2AD63B12">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保密措施；</w:t>
      </w:r>
    </w:p>
    <w:p w14:paraId="50C684E0">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合理化建议；</w:t>
      </w:r>
    </w:p>
    <w:p w14:paraId="0399B265">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投入设备；</w:t>
      </w:r>
    </w:p>
    <w:p w14:paraId="029632A3">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体系认证；</w:t>
      </w:r>
    </w:p>
    <w:p w14:paraId="4FC38DDA">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相关科研能力；</w:t>
      </w:r>
    </w:p>
    <w:p w14:paraId="50161F3E">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lang w:eastAsia="zh-CN"/>
        </w:rPr>
        <w:t>服务承诺；</w:t>
      </w:r>
    </w:p>
    <w:p w14:paraId="3CBCF005">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项目负责人一览表（格式见第六章）；</w:t>
      </w:r>
    </w:p>
    <w:p w14:paraId="761CF8A1">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拟投入实施的团队人员配置（格式见第六章）；</w:t>
      </w:r>
    </w:p>
    <w:p w14:paraId="743CC631">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highlight w:val="none"/>
        </w:rPr>
      </w:pPr>
      <w:r>
        <w:rPr>
          <w:rFonts w:hint="eastAsia" w:ascii="宋体" w:hAnsi="宋体" w:cs="宋体"/>
          <w:highlight w:val="none"/>
        </w:rPr>
        <w:t>技术响应表（格式见第六章）；</w:t>
      </w:r>
    </w:p>
    <w:p w14:paraId="69ECDC9C">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Style w:val="27"/>
          <w:rFonts w:ascii="宋体" w:hAnsi="宋体" w:cs="Times New Roman"/>
          <w:highlight w:val="none"/>
        </w:rPr>
      </w:pPr>
      <w:r>
        <w:rPr>
          <w:rStyle w:val="27"/>
          <w:rFonts w:hint="eastAsia" w:ascii="宋体" w:hAnsi="宋体" w:cs="Times New Roman"/>
          <w:highlight w:val="none"/>
        </w:rPr>
        <w:t>商务响应表（格式见第六章）；</w:t>
      </w:r>
    </w:p>
    <w:p w14:paraId="746A4F6D">
      <w:pPr>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firstLineChars="200"/>
        <w:jc w:val="left"/>
        <w:textAlignment w:val="auto"/>
        <w:rPr>
          <w:rStyle w:val="27"/>
          <w:rFonts w:ascii="宋体" w:hAnsi="宋体" w:cs="Times New Roman"/>
          <w:highlight w:val="none"/>
        </w:rPr>
      </w:pPr>
      <w:r>
        <w:rPr>
          <w:rStyle w:val="27"/>
          <w:rFonts w:hint="eastAsia" w:ascii="宋体" w:hAnsi="宋体" w:cs="Times New Roman"/>
          <w:highlight w:val="none"/>
          <w:lang w:val="en-US" w:eastAsia="zh-CN"/>
        </w:rPr>
        <w:t>类似</w:t>
      </w:r>
      <w:r>
        <w:rPr>
          <w:rStyle w:val="27"/>
          <w:rFonts w:hint="eastAsia" w:ascii="宋体" w:hAnsi="宋体" w:cs="Times New Roman"/>
          <w:highlight w:val="none"/>
        </w:rPr>
        <w:t>项目实施情况一览表（格式见第六章）；</w:t>
      </w:r>
    </w:p>
    <w:p w14:paraId="399C2BA8">
      <w:pPr>
        <w:numPr>
          <w:ilvl w:val="0"/>
          <w:numId w:val="14"/>
        </w:numPr>
        <w:adjustRightInd w:val="0"/>
        <w:snapToGrid w:val="0"/>
        <w:spacing w:line="360" w:lineRule="exact"/>
        <w:ind w:left="840" w:leftChars="0" w:firstLineChars="0"/>
        <w:jc w:val="left"/>
        <w:rPr>
          <w:rStyle w:val="27"/>
          <w:rFonts w:ascii="宋体" w:hAnsi="宋体" w:cs="Times New Roman"/>
          <w:highlight w:val="none"/>
        </w:rPr>
      </w:pPr>
      <w:r>
        <w:rPr>
          <w:rStyle w:val="27"/>
          <w:rFonts w:hint="eastAsia" w:ascii="宋体" w:hAnsi="宋体" w:cs="Times New Roman"/>
          <w:highlight w:val="none"/>
        </w:rPr>
        <w:t>根据评分表及项目需求情况，自行添加相关表格及资料。</w:t>
      </w:r>
    </w:p>
    <w:p w14:paraId="435B6C8D">
      <w:pPr>
        <w:tabs>
          <w:tab w:val="left" w:pos="533"/>
        </w:tabs>
        <w:adjustRightInd w:val="0"/>
        <w:snapToGrid w:val="0"/>
        <w:spacing w:line="360" w:lineRule="exact"/>
        <w:ind w:left="113"/>
        <w:jc w:val="left"/>
        <w:rPr>
          <w:rFonts w:ascii="宋体" w:hAnsi="宋体" w:cs="宋体"/>
          <w:b/>
          <w:bCs/>
          <w:sz w:val="24"/>
        </w:rPr>
      </w:pPr>
    </w:p>
    <w:p w14:paraId="630A21BD">
      <w:pPr>
        <w:pStyle w:val="2"/>
      </w:pPr>
    </w:p>
    <w:p w14:paraId="60F0EB8B">
      <w:pPr>
        <w:adjustRightInd w:val="0"/>
        <w:snapToGrid w:val="0"/>
        <w:rPr>
          <w:rFonts w:ascii="宋体" w:hAnsi="宋体" w:cs="宋体"/>
          <w:sz w:val="24"/>
        </w:rPr>
      </w:pPr>
    </w:p>
    <w:p w14:paraId="12DC254B">
      <w:pPr>
        <w:adjustRightInd w:val="0"/>
        <w:snapToGrid w:val="0"/>
        <w:rPr>
          <w:rFonts w:ascii="宋体" w:hAnsi="宋体" w:cs="宋体"/>
          <w:sz w:val="24"/>
        </w:rPr>
      </w:pPr>
    </w:p>
    <w:p w14:paraId="7E13B98B">
      <w:pPr>
        <w:adjustRightInd w:val="0"/>
        <w:snapToGrid w:val="0"/>
        <w:rPr>
          <w:rFonts w:ascii="宋体" w:hAnsi="宋体" w:cs="宋体"/>
          <w:sz w:val="24"/>
        </w:rPr>
      </w:pPr>
    </w:p>
    <w:p w14:paraId="7B27D34D">
      <w:pPr>
        <w:adjustRightInd w:val="0"/>
        <w:snapToGrid w:val="0"/>
        <w:rPr>
          <w:rFonts w:ascii="宋体" w:hAnsi="宋体" w:cs="宋体"/>
          <w:sz w:val="24"/>
        </w:rPr>
      </w:pPr>
    </w:p>
    <w:p w14:paraId="769301C6">
      <w:r>
        <w:br w:type="page"/>
      </w:r>
    </w:p>
    <w:p w14:paraId="567B3A06">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3.投标函格式</w:t>
      </w:r>
    </w:p>
    <w:p w14:paraId="4632563C">
      <w:pPr>
        <w:spacing w:line="360" w:lineRule="auto"/>
        <w:jc w:val="center"/>
        <w:rPr>
          <w:rFonts w:ascii="宋体" w:hAnsi="宋体" w:cs="宋体"/>
          <w:b/>
          <w:sz w:val="30"/>
          <w:szCs w:val="30"/>
        </w:rPr>
      </w:pPr>
      <w:r>
        <w:rPr>
          <w:rFonts w:hint="eastAsia" w:ascii="宋体" w:hAnsi="宋体" w:cs="宋体"/>
          <w:b/>
          <w:sz w:val="30"/>
          <w:szCs w:val="30"/>
        </w:rPr>
        <w:t>投 标 函</w:t>
      </w:r>
    </w:p>
    <w:p w14:paraId="2F5D15D5">
      <w:pPr>
        <w:spacing w:line="420" w:lineRule="exact"/>
        <w:rPr>
          <w:rFonts w:ascii="宋体" w:hAnsi="宋体" w:cs="宋体"/>
          <w:u w:val="single"/>
        </w:rPr>
      </w:pPr>
      <w:r>
        <w:rPr>
          <w:rFonts w:hint="eastAsia" w:ascii="宋体" w:hAnsi="宋体" w:cs="宋体"/>
          <w:u w:val="single"/>
        </w:rPr>
        <w:t>致：</w:t>
      </w:r>
      <w:r>
        <w:rPr>
          <w:rFonts w:hint="eastAsia" w:ascii="宋体" w:hAnsi="宋体" w:cs="宋体"/>
          <w:u w:val="single"/>
          <w:lang w:eastAsia="zh-CN"/>
        </w:rPr>
        <w:t>安吉县自然资源和规划局</w:t>
      </w:r>
      <w:r>
        <w:rPr>
          <w:rFonts w:hint="eastAsia" w:ascii="宋体" w:hAnsi="宋体" w:cs="宋体"/>
          <w:u w:val="single"/>
        </w:rPr>
        <w:t>：</w:t>
      </w:r>
    </w:p>
    <w:p w14:paraId="34B6D35A">
      <w:pPr>
        <w:spacing w:line="420" w:lineRule="exact"/>
        <w:ind w:firstLine="210" w:firstLineChars="100"/>
        <w:rPr>
          <w:rFonts w:ascii="宋体" w:hAnsi="宋体" w:cs="宋体"/>
          <w:u w:val="single"/>
        </w:rPr>
      </w:pPr>
      <w:r>
        <w:rPr>
          <w:rFonts w:hint="eastAsia" w:ascii="宋体" w:hAnsi="宋体" w:cs="宋体"/>
          <w:u w:val="single"/>
          <w:lang w:eastAsia="zh-CN"/>
        </w:rPr>
        <w:t>浙江至诚工程咨询有限责任公司</w:t>
      </w:r>
      <w:r>
        <w:rPr>
          <w:rFonts w:hint="eastAsia" w:ascii="宋体" w:hAnsi="宋体" w:cs="宋体"/>
          <w:u w:val="single"/>
        </w:rPr>
        <w:t>：</w:t>
      </w:r>
    </w:p>
    <w:p w14:paraId="68D1C5C3">
      <w:pPr>
        <w:spacing w:line="420" w:lineRule="exact"/>
        <w:ind w:firstLine="420" w:firstLineChars="200"/>
        <w:rPr>
          <w:rFonts w:ascii="宋体" w:hAnsi="宋体" w:cs="宋体"/>
        </w:rPr>
      </w:pPr>
      <w:r>
        <w:rPr>
          <w:rFonts w:hint="eastAsia" w:ascii="宋体" w:hAnsi="宋体" w:cs="宋体"/>
        </w:rPr>
        <w:t>根据已收到贵方的招标文件编</w:t>
      </w:r>
      <w:r>
        <w:rPr>
          <w:rFonts w:hint="eastAsia" w:ascii="宋体" w:hAnsi="宋体" w:cs="宋体"/>
          <w:highlight w:val="none"/>
        </w:rPr>
        <w:t>号</w:t>
      </w:r>
      <w:r>
        <w:rPr>
          <w:rFonts w:hint="eastAsia" w:ascii="宋体" w:hAnsi="宋体" w:cs="宋体"/>
          <w:highlight w:val="none"/>
          <w:u w:val="single"/>
          <w:lang w:eastAsia="zh-CN"/>
        </w:rPr>
        <w:t>ZJZC-AJ2025-003</w:t>
      </w:r>
      <w:r>
        <w:rPr>
          <w:rFonts w:hint="eastAsia" w:ascii="宋体" w:hAnsi="宋体" w:cs="宋体"/>
          <w:highlight w:val="none"/>
        </w:rPr>
        <w:t>的</w:t>
      </w:r>
      <w:r>
        <w:rPr>
          <w:rFonts w:hint="eastAsia" w:ascii="宋体" w:hAnsi="宋体" w:cs="宋体"/>
        </w:rPr>
        <w:t xml:space="preserve"> </w:t>
      </w:r>
      <w:r>
        <w:rPr>
          <w:rFonts w:hint="eastAsia" w:ascii="宋体" w:hAnsi="宋体" w:cs="宋体"/>
          <w:u w:val="single"/>
        </w:rPr>
        <w:t>《</w:t>
      </w:r>
      <w:r>
        <w:rPr>
          <w:rFonts w:hint="eastAsia" w:ascii="宋体" w:hAnsi="宋体" w:cs="宋体"/>
          <w:u w:val="single"/>
          <w:lang w:eastAsia="zh-CN"/>
        </w:rPr>
        <w:t>2025年安吉县1:2000数字线划图更新入库与天地图融合项目</w:t>
      </w:r>
      <w:r>
        <w:rPr>
          <w:rFonts w:hint="eastAsia" w:ascii="宋体" w:hAnsi="宋体" w:cs="宋体"/>
          <w:u w:val="single"/>
        </w:rPr>
        <w:t>》</w:t>
      </w:r>
      <w:r>
        <w:rPr>
          <w:rFonts w:hint="eastAsia" w:ascii="宋体" w:hAnsi="宋体" w:cs="宋体"/>
        </w:rPr>
        <w:t>招标文件，正式授权下述签字人：</w:t>
      </w:r>
      <w:r>
        <w:rPr>
          <w:rFonts w:hint="eastAsia" w:ascii="宋体" w:hAnsi="宋体" w:cs="宋体"/>
          <w:u w:val="single"/>
        </w:rPr>
        <w:t>（姓名和职务）</w:t>
      </w:r>
      <w:r>
        <w:rPr>
          <w:rFonts w:hint="eastAsia" w:ascii="宋体" w:hAnsi="宋体" w:cs="宋体"/>
        </w:rPr>
        <w:t>为我公司在职职工，代表</w:t>
      </w:r>
      <w:r>
        <w:rPr>
          <w:rFonts w:hint="eastAsia" w:ascii="宋体" w:hAnsi="宋体" w:cs="宋体"/>
          <w:u w:val="single"/>
        </w:rPr>
        <w:t xml:space="preserve"> 投标人（即投标单位）</w:t>
      </w:r>
      <w:r>
        <w:rPr>
          <w:rFonts w:hint="eastAsia" w:ascii="宋体" w:hAnsi="宋体" w:cs="宋体"/>
        </w:rPr>
        <w:t>，按招标文件要求提交投标文件。</w:t>
      </w:r>
    </w:p>
    <w:p w14:paraId="6D26A9A8">
      <w:pPr>
        <w:spacing w:line="420" w:lineRule="exact"/>
        <w:ind w:firstLine="420" w:firstLineChars="200"/>
        <w:rPr>
          <w:rFonts w:ascii="宋体" w:hAnsi="宋体" w:cs="宋体"/>
        </w:rPr>
      </w:pPr>
      <w:r>
        <w:rPr>
          <w:rFonts w:hint="eastAsia" w:ascii="宋体" w:hAnsi="宋体" w:cs="宋体"/>
        </w:rPr>
        <w:t>据此函，签字人兹宣布同意如下：</w:t>
      </w:r>
    </w:p>
    <w:p w14:paraId="20D6C439">
      <w:pPr>
        <w:spacing w:line="420" w:lineRule="exact"/>
        <w:ind w:firstLine="420" w:firstLineChars="200"/>
        <w:rPr>
          <w:rFonts w:ascii="宋体" w:hAnsi="宋体" w:cs="宋体"/>
        </w:rPr>
      </w:pPr>
      <w:r>
        <w:rPr>
          <w:rFonts w:hint="eastAsia" w:ascii="宋体" w:hAnsi="宋体" w:cs="宋体"/>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31557A43">
      <w:pPr>
        <w:spacing w:line="420" w:lineRule="exact"/>
        <w:ind w:firstLine="420" w:firstLineChars="200"/>
        <w:rPr>
          <w:rFonts w:ascii="宋体" w:hAnsi="宋体" w:cs="宋体"/>
        </w:rPr>
      </w:pPr>
      <w:r>
        <w:rPr>
          <w:rFonts w:hint="eastAsia" w:ascii="宋体" w:hAnsi="宋体" w:cs="宋体"/>
        </w:rPr>
        <w:t>2、投标人在投标之前已经与贵方进行了充分的沟通，完全理解并接受招标文件的各项规定和要求，对招标文件的合理性、合法性不再有异议。</w:t>
      </w:r>
    </w:p>
    <w:p w14:paraId="42533720">
      <w:pPr>
        <w:adjustRightInd w:val="0"/>
        <w:snapToGrid w:val="0"/>
        <w:spacing w:line="420" w:lineRule="exact"/>
        <w:ind w:firstLine="420" w:firstLineChars="200"/>
        <w:rPr>
          <w:rFonts w:ascii="宋体" w:hAnsi="宋体" w:cs="宋体"/>
          <w:sz w:val="24"/>
        </w:rPr>
      </w:pPr>
      <w:r>
        <w:rPr>
          <w:rFonts w:hint="eastAsia" w:ascii="宋体" w:hAnsi="宋体" w:cs="宋体"/>
        </w:rPr>
        <w:t>3. 本投标有效期自开标日起</w:t>
      </w:r>
      <w:r>
        <w:rPr>
          <w:rFonts w:hint="eastAsia" w:ascii="宋体" w:hAnsi="宋体" w:cs="宋体"/>
          <w:u w:val="single"/>
        </w:rPr>
        <w:t xml:space="preserve"> 90个</w:t>
      </w:r>
      <w:r>
        <w:rPr>
          <w:rFonts w:hint="eastAsia" w:ascii="宋体" w:hAnsi="宋体" w:cs="宋体"/>
        </w:rPr>
        <w:t>日历天；</w:t>
      </w:r>
    </w:p>
    <w:p w14:paraId="03B8108E">
      <w:pPr>
        <w:spacing w:line="420" w:lineRule="exact"/>
        <w:ind w:firstLine="420" w:firstLineChars="200"/>
        <w:rPr>
          <w:rFonts w:ascii="宋体" w:hAnsi="宋体" w:cs="宋体"/>
        </w:rPr>
      </w:pPr>
      <w:r>
        <w:rPr>
          <w:rFonts w:hint="eastAsia" w:ascii="宋体" w:hAnsi="宋体" w:cs="宋体"/>
        </w:rPr>
        <w:t>4. 我单位同意提供采购人和采购代理机构可能另外要求的与其招标有关的任何数据或资料；</w:t>
      </w:r>
    </w:p>
    <w:p w14:paraId="6C9D772A">
      <w:pPr>
        <w:spacing w:line="420" w:lineRule="exact"/>
        <w:ind w:firstLine="420" w:firstLineChars="200"/>
        <w:rPr>
          <w:rFonts w:ascii="宋体" w:hAnsi="宋体" w:cs="宋体"/>
        </w:rPr>
      </w:pPr>
      <w:r>
        <w:rPr>
          <w:rFonts w:hint="eastAsia" w:ascii="宋体" w:hAnsi="宋体" w:cs="宋体"/>
        </w:rPr>
        <w:t>5. 我单位同意按照招标文件中规定的服务期限如期提供服务；</w:t>
      </w:r>
    </w:p>
    <w:p w14:paraId="3D32BC9D">
      <w:pPr>
        <w:spacing w:line="420" w:lineRule="exact"/>
        <w:ind w:firstLine="420" w:firstLineChars="200"/>
        <w:rPr>
          <w:rFonts w:ascii="宋体" w:hAnsi="宋体" w:cs="宋体"/>
        </w:rPr>
      </w:pPr>
      <w:r>
        <w:rPr>
          <w:rFonts w:hint="eastAsia" w:ascii="宋体" w:hAnsi="宋体" w:cs="宋体"/>
        </w:rPr>
        <w:t>6. 我单位保证所供服务项目质量符合国家强制性规范和标准，达到招标文件规定的要求；</w:t>
      </w:r>
    </w:p>
    <w:p w14:paraId="11D1EC8A">
      <w:pPr>
        <w:spacing w:line="420" w:lineRule="exact"/>
        <w:ind w:firstLine="420" w:firstLineChars="200"/>
        <w:rPr>
          <w:rFonts w:ascii="宋体" w:hAnsi="宋体" w:cs="宋体"/>
        </w:rPr>
      </w:pPr>
      <w:r>
        <w:rPr>
          <w:rFonts w:hint="eastAsia" w:ascii="宋体" w:hAnsi="宋体" w:cs="宋体"/>
        </w:rPr>
        <w:t>7. 我单位同意所提交的投标文件在招标有效期内有效，在此期间我方的投标有可能中标，我方将受此约束；</w:t>
      </w:r>
    </w:p>
    <w:p w14:paraId="68BE4B16">
      <w:pPr>
        <w:spacing w:line="420" w:lineRule="exact"/>
        <w:ind w:firstLine="420" w:firstLineChars="200"/>
        <w:rPr>
          <w:rFonts w:ascii="宋体" w:hAnsi="宋体" w:cs="宋体"/>
        </w:rPr>
      </w:pPr>
      <w:r>
        <w:rPr>
          <w:rFonts w:hint="eastAsia" w:ascii="宋体" w:hAnsi="宋体" w:cs="宋体"/>
        </w:rPr>
        <w:t>8. 除非另外达成协议并生效，招标文件、招标文件补充、修改通知、技术规范、中标通知书和本投标文件将构成约束我们双方的合同。</w:t>
      </w:r>
    </w:p>
    <w:p w14:paraId="31F05CF6">
      <w:pPr>
        <w:snapToGrid w:val="0"/>
        <w:spacing w:line="420" w:lineRule="exact"/>
        <w:ind w:firstLine="420" w:firstLineChars="200"/>
        <w:rPr>
          <w:rFonts w:ascii="宋体" w:hAnsi="宋体" w:cs="宋体"/>
        </w:rPr>
      </w:pPr>
      <w:r>
        <w:rPr>
          <w:rFonts w:hint="eastAsia" w:ascii="宋体" w:hAnsi="宋体" w:cs="宋体"/>
        </w:rPr>
        <w:t>9. 与本次投标有关的一切正式往来函件信息如下：</w:t>
      </w:r>
    </w:p>
    <w:p w14:paraId="0439362A">
      <w:pPr>
        <w:spacing w:line="420" w:lineRule="exact"/>
        <w:ind w:firstLine="420" w:firstLineChars="200"/>
        <w:rPr>
          <w:rFonts w:ascii="宋体" w:hAnsi="宋体" w:cs="宋体"/>
          <w:u w:val="single"/>
        </w:rPr>
      </w:pPr>
      <w:r>
        <w:rPr>
          <w:rFonts w:hint="eastAsia" w:ascii="宋体" w:hAnsi="宋体" w:cs="宋体"/>
        </w:rPr>
        <w:t>通信地址：               电子邮箱：</w:t>
      </w:r>
    </w:p>
    <w:p w14:paraId="0BFD3E28">
      <w:pPr>
        <w:spacing w:line="420" w:lineRule="exact"/>
        <w:ind w:firstLine="420" w:firstLineChars="200"/>
        <w:rPr>
          <w:rFonts w:ascii="宋体" w:hAnsi="宋体" w:cs="宋体"/>
          <w:u w:val="single"/>
        </w:rPr>
      </w:pPr>
      <w:r>
        <w:rPr>
          <w:rFonts w:hint="eastAsia" w:ascii="宋体" w:hAnsi="宋体" w:cs="宋体"/>
        </w:rPr>
        <w:t xml:space="preserve">邮编：        电话：         传真： </w:t>
      </w:r>
    </w:p>
    <w:p w14:paraId="0ED9DBAF">
      <w:pPr>
        <w:spacing w:line="420" w:lineRule="exact"/>
        <w:ind w:firstLine="420" w:firstLineChars="200"/>
        <w:rPr>
          <w:rFonts w:ascii="宋体" w:hAnsi="宋体" w:cs="宋体"/>
          <w:u w:val="single"/>
        </w:rPr>
      </w:pPr>
      <w:r>
        <w:rPr>
          <w:rFonts w:hint="eastAsia" w:ascii="宋体" w:hAnsi="宋体" w:cs="宋体"/>
        </w:rPr>
        <w:t>开户银行：               银行帐号：</w:t>
      </w:r>
    </w:p>
    <w:p w14:paraId="5EC2245E">
      <w:pPr>
        <w:spacing w:line="420" w:lineRule="exact"/>
        <w:ind w:firstLine="420" w:firstLineChars="200"/>
        <w:rPr>
          <w:rFonts w:ascii="宋体" w:hAnsi="宋体" w:cs="宋体"/>
          <w:u w:val="single"/>
        </w:rPr>
      </w:pPr>
      <w:r>
        <w:rPr>
          <w:rFonts w:hint="eastAsia" w:ascii="宋体" w:hAnsi="宋体" w:cs="宋体"/>
        </w:rPr>
        <w:t>投标人代表姓名               职务：</w:t>
      </w:r>
    </w:p>
    <w:p w14:paraId="49A0A138">
      <w:pPr>
        <w:spacing w:line="420" w:lineRule="exact"/>
        <w:ind w:firstLine="420" w:firstLineChars="200"/>
        <w:rPr>
          <w:rFonts w:ascii="宋体" w:hAnsi="宋体" w:cs="宋体"/>
          <w:u w:val="single"/>
        </w:rPr>
      </w:pPr>
      <w:r>
        <w:rPr>
          <w:rFonts w:hint="eastAsia" w:ascii="宋体" w:hAnsi="宋体" w:cs="宋体"/>
        </w:rPr>
        <w:t>法定代表人签字：</w:t>
      </w:r>
    </w:p>
    <w:p w14:paraId="29897DF6">
      <w:pPr>
        <w:pStyle w:val="8"/>
        <w:tabs>
          <w:tab w:val="left" w:pos="939"/>
        </w:tabs>
        <w:snapToGrid w:val="0"/>
        <w:spacing w:line="420" w:lineRule="exact"/>
        <w:ind w:left="0" w:leftChars="0" w:firstLine="420" w:firstLineChars="200"/>
        <w:rPr>
          <w:rFonts w:ascii="宋体" w:hAnsi="宋体" w:cs="宋体"/>
        </w:rPr>
      </w:pPr>
    </w:p>
    <w:p w14:paraId="7B6610C7">
      <w:pPr>
        <w:pStyle w:val="8"/>
        <w:tabs>
          <w:tab w:val="left" w:pos="939"/>
        </w:tabs>
        <w:snapToGrid w:val="0"/>
        <w:spacing w:line="420" w:lineRule="exact"/>
        <w:ind w:left="0" w:leftChars="0" w:firstLine="420" w:firstLineChars="200"/>
        <w:rPr>
          <w:rFonts w:ascii="宋体" w:hAnsi="宋体" w:cs="宋体"/>
        </w:rPr>
      </w:pPr>
      <w:r>
        <w:rPr>
          <w:rFonts w:hint="eastAsia" w:ascii="宋体" w:hAnsi="宋体" w:cs="宋体"/>
        </w:rPr>
        <w:t>投标人全称（公章）：</w:t>
      </w:r>
    </w:p>
    <w:p w14:paraId="6D0DEC38">
      <w:pPr>
        <w:ind w:firstLine="420" w:firstLineChars="200"/>
        <w:rPr>
          <w:rFonts w:ascii="宋体" w:hAnsi="宋体" w:cs="宋体"/>
        </w:rPr>
      </w:pPr>
      <w:r>
        <w:rPr>
          <w:rFonts w:hint="eastAsia" w:ascii="宋体" w:hAnsi="宋体" w:cs="宋体"/>
        </w:rPr>
        <w:t>日 期：</w:t>
      </w:r>
    </w:p>
    <w:p w14:paraId="6FA71B19">
      <w:r>
        <w:br w:type="page"/>
      </w:r>
    </w:p>
    <w:p w14:paraId="736DAD2A">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宋体" w:hAnsi="宋体" w:cs="宋体"/>
          <w:sz w:val="24"/>
        </w:rPr>
      </w:pPr>
      <w:r>
        <w:rPr>
          <w:rFonts w:hint="eastAsia" w:ascii="宋体" w:hAnsi="宋体" w:cs="宋体"/>
          <w:sz w:val="24"/>
        </w:rPr>
        <w:t>4.法定代表人身份证明书格式</w:t>
      </w:r>
    </w:p>
    <w:p w14:paraId="407AA050">
      <w:pPr>
        <w:adjustRightInd w:val="0"/>
        <w:snapToGrid w:val="0"/>
        <w:jc w:val="center"/>
        <w:rPr>
          <w:rFonts w:ascii="宋体" w:hAnsi="宋体" w:cs="宋体"/>
          <w:b/>
          <w:sz w:val="36"/>
          <w:szCs w:val="36"/>
        </w:rPr>
      </w:pPr>
    </w:p>
    <w:p w14:paraId="16C51DAE">
      <w:pPr>
        <w:adjustRightInd w:val="0"/>
        <w:snapToGrid w:val="0"/>
        <w:jc w:val="center"/>
        <w:rPr>
          <w:rFonts w:ascii="宋体" w:hAnsi="宋体" w:cs="宋体"/>
          <w:b/>
          <w:sz w:val="36"/>
          <w:szCs w:val="36"/>
        </w:rPr>
      </w:pPr>
      <w:r>
        <w:rPr>
          <w:rFonts w:hint="eastAsia" w:ascii="宋体" w:hAnsi="宋体" w:cs="宋体"/>
          <w:b/>
          <w:sz w:val="36"/>
          <w:szCs w:val="36"/>
        </w:rPr>
        <w:t>法定代表人身份证明书</w:t>
      </w:r>
    </w:p>
    <w:p w14:paraId="2C387AFA">
      <w:pPr>
        <w:spacing w:line="480" w:lineRule="auto"/>
        <w:ind w:firstLine="403" w:firstLineChars="192"/>
        <w:rPr>
          <w:rFonts w:ascii="宋体" w:hAnsi="宋体" w:cs="宋体"/>
        </w:rPr>
      </w:pPr>
    </w:p>
    <w:p w14:paraId="26D7B5A2">
      <w:pPr>
        <w:adjustRightInd w:val="0"/>
        <w:snapToGrid w:val="0"/>
        <w:jc w:val="left"/>
        <w:rPr>
          <w:rFonts w:ascii="宋体" w:hAnsi="宋体" w:cs="宋体"/>
          <w:sz w:val="24"/>
        </w:rPr>
      </w:pPr>
      <w:bookmarkStart w:id="254" w:name="_Toc24953114"/>
      <w:r>
        <w:rPr>
          <w:rFonts w:hint="eastAsia" w:ascii="宋体" w:hAnsi="宋体" w:cs="宋体"/>
          <w:sz w:val="24"/>
        </w:rPr>
        <w:t>致</w:t>
      </w:r>
      <w:r>
        <w:rPr>
          <w:rFonts w:hint="eastAsia" w:ascii="宋体" w:hAnsi="宋体" w:cs="宋体"/>
          <w:sz w:val="24"/>
          <w:lang w:eastAsia="zh-CN"/>
        </w:rPr>
        <w:t>安吉县自然资源和规划局</w:t>
      </w:r>
      <w:r>
        <w:rPr>
          <w:rFonts w:hint="eastAsia" w:ascii="宋体" w:hAnsi="宋体" w:cs="宋体"/>
          <w:sz w:val="24"/>
        </w:rPr>
        <w:t>：</w:t>
      </w:r>
    </w:p>
    <w:p w14:paraId="794BC300">
      <w:pPr>
        <w:adjustRightInd w:val="0"/>
        <w:snapToGrid w:val="0"/>
        <w:jc w:val="left"/>
        <w:rPr>
          <w:rFonts w:ascii="宋体" w:hAnsi="宋体" w:cs="宋体"/>
          <w:sz w:val="24"/>
        </w:rPr>
      </w:pPr>
      <w:r>
        <w:rPr>
          <w:rFonts w:hint="eastAsia" w:ascii="宋体" w:hAnsi="宋体" w:cs="宋体"/>
          <w:sz w:val="24"/>
          <w:lang w:eastAsia="zh-CN"/>
        </w:rPr>
        <w:t>浙江至诚工程咨询有限责任公司</w:t>
      </w:r>
      <w:r>
        <w:rPr>
          <w:rFonts w:hint="eastAsia" w:ascii="宋体" w:hAnsi="宋体" w:cs="宋体"/>
          <w:sz w:val="24"/>
        </w:rPr>
        <w:t>：</w:t>
      </w:r>
    </w:p>
    <w:p w14:paraId="6E0B5C0C">
      <w:pPr>
        <w:adjustRightInd w:val="0"/>
        <w:snapToGrid w:val="0"/>
        <w:jc w:val="left"/>
        <w:rPr>
          <w:rFonts w:ascii="宋体" w:hAnsi="宋体" w:cs="宋体"/>
          <w:sz w:val="24"/>
        </w:rPr>
      </w:pPr>
    </w:p>
    <w:p w14:paraId="6544F2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u w:val="single"/>
        </w:rPr>
      </w:pPr>
      <w:r>
        <w:rPr>
          <w:rFonts w:hint="eastAsia" w:ascii="宋体" w:hAnsi="宋体" w:cs="宋体"/>
          <w:sz w:val="24"/>
          <w:u w:val="single"/>
        </w:rPr>
        <w:t xml:space="preserve">      姓名</w:t>
      </w:r>
      <w:r>
        <w:rPr>
          <w:rFonts w:hint="eastAsia" w:ascii="宋体" w:hAnsi="宋体" w:cs="宋体"/>
          <w:sz w:val="24"/>
        </w:rPr>
        <w:t>，</w:t>
      </w:r>
      <w:r>
        <w:rPr>
          <w:rFonts w:hint="eastAsia" w:ascii="宋体" w:hAnsi="宋体" w:cs="宋体"/>
          <w:sz w:val="24"/>
          <w:u w:val="single"/>
        </w:rPr>
        <w:t xml:space="preserve">     性别</w:t>
      </w:r>
      <w:r>
        <w:rPr>
          <w:rFonts w:hint="eastAsia" w:ascii="宋体" w:hAnsi="宋体" w:cs="宋体"/>
          <w:sz w:val="24"/>
        </w:rPr>
        <w:t xml:space="preserve"> ， </w:t>
      </w:r>
      <w:r>
        <w:rPr>
          <w:rFonts w:hint="eastAsia" w:ascii="宋体" w:hAnsi="宋体" w:cs="宋体"/>
          <w:sz w:val="24"/>
          <w:u w:val="single"/>
        </w:rPr>
        <w:t xml:space="preserve">     职务</w:t>
      </w:r>
      <w:r>
        <w:rPr>
          <w:rFonts w:hint="eastAsia" w:ascii="宋体" w:hAnsi="宋体" w:cs="宋体"/>
          <w:sz w:val="24"/>
        </w:rPr>
        <w:t>，是</w:t>
      </w:r>
      <w:r>
        <w:rPr>
          <w:rFonts w:hint="eastAsia" w:ascii="宋体" w:hAnsi="宋体" w:cs="宋体"/>
          <w:sz w:val="24"/>
          <w:u w:val="single"/>
        </w:rPr>
        <w:t xml:space="preserve">        </w:t>
      </w:r>
      <w:r>
        <w:rPr>
          <w:rFonts w:hint="eastAsia" w:ascii="宋体" w:hAnsi="宋体" w:cs="宋体"/>
          <w:sz w:val="24"/>
        </w:rPr>
        <w:t>的法定代表人。联系电话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206E6CA2">
      <w:pPr>
        <w:adjustRightInd w:val="0"/>
        <w:snapToGrid w:val="0"/>
        <w:jc w:val="center"/>
        <w:rPr>
          <w:rFonts w:ascii="宋体" w:hAnsi="宋体" w:cs="宋体"/>
          <w:sz w:val="24"/>
        </w:rPr>
      </w:pPr>
    </w:p>
    <w:p w14:paraId="237F9588">
      <w:pPr>
        <w:adjustRightInd w:val="0"/>
        <w:snapToGrid w:val="0"/>
        <w:jc w:val="center"/>
        <w:rPr>
          <w:rFonts w:ascii="宋体" w:hAnsi="宋体" w:cs="宋体"/>
          <w:sz w:val="24"/>
        </w:rPr>
      </w:pPr>
      <w:r>
        <w:rPr>
          <w:rFonts w:hint="eastAsia" w:ascii="宋体" w:hAnsi="宋体" w:cs="宋体"/>
          <w:sz w:val="24"/>
        </w:rPr>
        <w:t>特此证明</w:t>
      </w:r>
    </w:p>
    <w:p w14:paraId="23C17B38">
      <w:pPr>
        <w:adjustRightInd w:val="0"/>
        <w:snapToGrid w:val="0"/>
        <w:jc w:val="center"/>
        <w:rPr>
          <w:rFonts w:ascii="宋体" w:hAnsi="宋体" w:cs="宋体"/>
          <w:sz w:val="24"/>
        </w:rPr>
      </w:pPr>
    </w:p>
    <w:p w14:paraId="0D6DC4BA">
      <w:pPr>
        <w:adjustRightInd w:val="0"/>
        <w:snapToGrid w:val="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投标人全称：（公章）</w:t>
      </w:r>
    </w:p>
    <w:p w14:paraId="19743B78">
      <w:pPr>
        <w:wordWrap w:val="0"/>
        <w:adjustRightInd w:val="0"/>
        <w:snapToGrid w:val="0"/>
        <w:jc w:val="right"/>
        <w:rPr>
          <w:rFonts w:ascii="宋体" w:hAnsi="宋体" w:cs="宋体"/>
          <w:sz w:val="24"/>
          <w:u w:val="non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none"/>
        </w:rPr>
        <w:t>日</w:t>
      </w:r>
    </w:p>
    <w:p w14:paraId="471DAFA0">
      <w:pPr>
        <w:adjustRightInd w:val="0"/>
        <w:snapToGrid w:val="0"/>
        <w:jc w:val="right"/>
        <w:rPr>
          <w:rFonts w:ascii="宋体" w:hAnsi="宋体" w:cs="宋体"/>
          <w:sz w:val="24"/>
          <w:u w:val="single"/>
        </w:rPr>
      </w:pPr>
    </w:p>
    <w:p w14:paraId="7BFE371F">
      <w:pPr>
        <w:adjustRightInd w:val="0"/>
        <w:snapToGrid w:val="0"/>
        <w:jc w:val="right"/>
        <w:rPr>
          <w:rFonts w:ascii="宋体" w:hAnsi="宋体" w:cs="宋体"/>
          <w:sz w:val="24"/>
          <w:u w:val="single"/>
        </w:rPr>
      </w:pPr>
    </w:p>
    <w:p w14:paraId="719F05B2">
      <w:pPr>
        <w:adjustRightInd w:val="0"/>
        <w:snapToGrid w:val="0"/>
        <w:jc w:val="right"/>
        <w:rPr>
          <w:rFonts w:ascii="宋体" w:hAnsi="宋体" w:cs="宋体"/>
          <w:sz w:val="24"/>
        </w:rPr>
      </w:pPr>
      <w:r>
        <w:rPr>
          <w:rFonts w:hint="eastAsia" w:ascii="宋体" w:hAnsi="宋体" w:cs="宋体"/>
          <w:sz w:val="24"/>
        </w:rPr>
        <w:t>--------------------------------------------------------------------------------</w:t>
      </w:r>
    </w:p>
    <w:p w14:paraId="1694CA1C">
      <w:pPr>
        <w:adjustRightInd w:val="0"/>
        <w:snapToGrid w:val="0"/>
        <w:jc w:val="center"/>
        <w:rPr>
          <w:rFonts w:ascii="宋体" w:hAnsi="宋体" w:cs="宋体"/>
          <w:sz w:val="24"/>
        </w:rPr>
      </w:pPr>
    </w:p>
    <w:p w14:paraId="1FB83F57">
      <w:pPr>
        <w:adjustRightInd w:val="0"/>
        <w:snapToGrid w:val="0"/>
        <w:jc w:val="center"/>
        <w:rPr>
          <w:rFonts w:ascii="宋体" w:hAnsi="宋体" w:cs="宋体"/>
          <w:sz w:val="24"/>
        </w:rPr>
      </w:pPr>
      <w:r>
        <w:rPr>
          <w:rFonts w:hint="eastAsia" w:ascii="宋体" w:hAnsi="宋体" w:cs="宋体"/>
          <w:sz w:val="24"/>
        </w:rPr>
        <w:t>法定代表人身份证复印件黏贴处</w:t>
      </w:r>
    </w:p>
    <w:p w14:paraId="16FDC43F">
      <w:pPr>
        <w:adjustRightInd w:val="0"/>
        <w:snapToGrid w:val="0"/>
        <w:rPr>
          <w:rFonts w:ascii="宋体" w:hAnsi="宋体" w:cs="宋体"/>
          <w:sz w:val="24"/>
          <w:u w:val="single"/>
        </w:rPr>
      </w:pPr>
      <w:r>
        <w:rPr>
          <w:rFonts w:hint="eastAsia" w:ascii="宋体" w:hAnsi="宋体" w:cs="宋体"/>
          <w:bCs/>
          <w:sz w:val="24"/>
        </w:rPr>
        <w:br w:type="page"/>
      </w:r>
      <w:bookmarkEnd w:id="254"/>
      <w:bookmarkStart w:id="255" w:name="_Toc251601951"/>
      <w:bookmarkStart w:id="256" w:name="_Toc251602206"/>
      <w:r>
        <w:rPr>
          <w:rFonts w:hint="eastAsia" w:ascii="宋体" w:hAnsi="宋体" w:cs="宋体"/>
          <w:sz w:val="24"/>
        </w:rPr>
        <w:t>5.法定代表人授权委托书格式：</w:t>
      </w:r>
    </w:p>
    <w:p w14:paraId="134DE4FA">
      <w:pPr>
        <w:spacing w:line="360" w:lineRule="auto"/>
        <w:jc w:val="center"/>
        <w:rPr>
          <w:rFonts w:ascii="宋体" w:hAnsi="宋体" w:cs="宋体"/>
          <w:b/>
          <w:sz w:val="28"/>
          <w:szCs w:val="28"/>
        </w:rPr>
      </w:pPr>
    </w:p>
    <w:p w14:paraId="3FA10DB3">
      <w:pPr>
        <w:adjustRightInd w:val="0"/>
        <w:snapToGrid w:val="0"/>
        <w:jc w:val="center"/>
        <w:rPr>
          <w:rFonts w:ascii="宋体" w:hAnsi="宋体" w:cs="宋体"/>
          <w:b/>
          <w:sz w:val="36"/>
          <w:szCs w:val="36"/>
        </w:rPr>
      </w:pPr>
      <w:r>
        <w:rPr>
          <w:rFonts w:hint="eastAsia" w:ascii="宋体" w:hAnsi="宋体" w:cs="宋体"/>
          <w:b/>
          <w:sz w:val="36"/>
          <w:szCs w:val="36"/>
        </w:rPr>
        <w:t>法定代表人授权委托书</w:t>
      </w:r>
      <w:bookmarkEnd w:id="255"/>
      <w:bookmarkEnd w:id="256"/>
    </w:p>
    <w:p w14:paraId="1FE20F55">
      <w:pPr>
        <w:spacing w:line="360" w:lineRule="auto"/>
        <w:jc w:val="center"/>
        <w:rPr>
          <w:rFonts w:ascii="宋体" w:hAnsi="宋体" w:cs="宋体"/>
          <w:b/>
          <w:sz w:val="28"/>
          <w:szCs w:val="28"/>
        </w:rPr>
      </w:pPr>
    </w:p>
    <w:p w14:paraId="7CDD250A">
      <w:pPr>
        <w:spacing w:line="480" w:lineRule="exact"/>
        <w:ind w:firstLine="420" w:firstLineChars="200"/>
        <w:rPr>
          <w:rFonts w:ascii="宋体" w:hAnsi="宋体" w:cs="宋体"/>
        </w:rPr>
      </w:pPr>
      <w:r>
        <w:rPr>
          <w:rFonts w:hint="eastAsia" w:ascii="宋体" w:hAnsi="宋体" w:cs="宋体"/>
        </w:rPr>
        <w:t xml:space="preserve">本授权委托书声明: 我 </w:t>
      </w:r>
      <w:r>
        <w:rPr>
          <w:rFonts w:hint="eastAsia" w:ascii="宋体" w:hAnsi="宋体" w:cs="宋体"/>
          <w:u w:val="single"/>
        </w:rPr>
        <w:t xml:space="preserve">            （姓名）</w:t>
      </w:r>
      <w:r>
        <w:rPr>
          <w:rFonts w:hint="eastAsia" w:ascii="宋体" w:hAnsi="宋体" w:cs="宋体"/>
        </w:rPr>
        <w:t>系</w:t>
      </w:r>
      <w:r>
        <w:rPr>
          <w:rFonts w:hint="eastAsia" w:ascii="宋体" w:hAnsi="宋体" w:cs="宋体"/>
          <w:u w:val="single"/>
        </w:rPr>
        <w:t xml:space="preserve">               （投标人名称）</w:t>
      </w:r>
      <w:r>
        <w:rPr>
          <w:rFonts w:hint="eastAsia" w:ascii="宋体" w:hAnsi="宋体" w:cs="宋体"/>
        </w:rPr>
        <w:t>的法定代表人，现授权委托</w:t>
      </w:r>
      <w:r>
        <w:rPr>
          <w:rFonts w:hint="eastAsia" w:ascii="宋体" w:hAnsi="宋体" w:cs="宋体"/>
          <w:u w:val="single"/>
        </w:rPr>
        <w:t xml:space="preserve">                    （姓名）</w:t>
      </w:r>
      <w:r>
        <w:rPr>
          <w:rFonts w:hint="eastAsia" w:ascii="宋体" w:hAnsi="宋体" w:cs="宋体"/>
        </w:rPr>
        <w:t>身份证号：为我公司授权代表，以本公司的名义参加</w:t>
      </w:r>
      <w:r>
        <w:rPr>
          <w:rFonts w:hint="eastAsia" w:ascii="宋体" w:hAnsi="宋体" w:cs="宋体"/>
          <w:u w:val="single"/>
          <w:lang w:eastAsia="zh-CN"/>
        </w:rPr>
        <w:t>安吉县自然资源和规划局</w:t>
      </w:r>
      <w:r>
        <w:rPr>
          <w:rFonts w:hint="eastAsia" w:ascii="宋体" w:hAnsi="宋体" w:cs="宋体"/>
        </w:rPr>
        <w:t>的</w:t>
      </w:r>
      <w:r>
        <w:rPr>
          <w:rFonts w:hint="eastAsia" w:ascii="宋体" w:hAnsi="宋体" w:cs="宋体"/>
          <w:u w:val="single"/>
          <w:lang w:eastAsia="zh-CN"/>
        </w:rPr>
        <w:t>2025年安吉县1:2000数字线划图更新入库与天地图融合项目</w:t>
      </w:r>
      <w:r>
        <w:rPr>
          <w:rFonts w:hint="eastAsia" w:ascii="宋体" w:hAnsi="宋体" w:cs="宋体"/>
        </w:rPr>
        <w:t>的投标活动。授权代表在开标、询标、合同招标过程中所签署的一切文件和处理与之有关的一切事务，我均予以承认。</w:t>
      </w:r>
    </w:p>
    <w:p w14:paraId="31732B87">
      <w:pPr>
        <w:spacing w:line="480" w:lineRule="exact"/>
        <w:ind w:firstLine="420" w:firstLineChars="200"/>
        <w:rPr>
          <w:rFonts w:ascii="宋体" w:hAnsi="宋体" w:cs="宋体"/>
        </w:rPr>
      </w:pPr>
      <w:r>
        <w:rPr>
          <w:rFonts w:hint="eastAsia" w:ascii="宋体" w:hAnsi="宋体" w:cs="宋体"/>
        </w:rPr>
        <w:t xml:space="preserve">     授权代表无转委托权。特此委托。</w:t>
      </w:r>
    </w:p>
    <w:p w14:paraId="159E26A3">
      <w:pPr>
        <w:pStyle w:val="10"/>
        <w:spacing w:line="480" w:lineRule="auto"/>
        <w:ind w:left="5250"/>
        <w:rPr>
          <w:rFonts w:ascii="宋体" w:cs="宋体"/>
        </w:rPr>
      </w:pPr>
    </w:p>
    <w:p w14:paraId="6626ACA2">
      <w:pPr>
        <w:spacing w:line="480" w:lineRule="exact"/>
        <w:ind w:firstLine="420" w:firstLineChars="200"/>
        <w:rPr>
          <w:rFonts w:hint="eastAsia" w:ascii="宋体" w:hAnsi="宋体" w:cs="宋体"/>
          <w:u w:val="single"/>
        </w:rPr>
      </w:pPr>
      <w:r>
        <w:rPr>
          <w:rFonts w:hint="eastAsia" w:ascii="宋体" w:hAnsi="宋体" w:cs="宋体"/>
        </w:rPr>
        <w:t xml:space="preserve">授权代表（签字）： </w:t>
      </w:r>
      <w:r>
        <w:rPr>
          <w:rFonts w:hint="eastAsia" w:ascii="宋体" w:hAnsi="宋体" w:cs="宋体"/>
          <w:u w:val="single"/>
        </w:rPr>
        <w:t xml:space="preserve">      　　　     </w:t>
      </w:r>
      <w:r>
        <w:rPr>
          <w:rFonts w:hint="eastAsia" w:ascii="宋体" w:hAnsi="宋体" w:cs="宋体"/>
        </w:rPr>
        <w:t xml:space="preserve">性  别： </w:t>
      </w:r>
      <w:r>
        <w:rPr>
          <w:rFonts w:hint="eastAsia" w:ascii="宋体" w:hAnsi="宋体" w:cs="宋体"/>
          <w:u w:val="single"/>
        </w:rPr>
        <w:t xml:space="preserve">   　　　  </w:t>
      </w:r>
      <w:r>
        <w:rPr>
          <w:rFonts w:hint="eastAsia" w:ascii="宋体" w:hAnsi="宋体" w:cs="宋体"/>
        </w:rPr>
        <w:t>年  龄：</w:t>
      </w:r>
      <w:r>
        <w:rPr>
          <w:rFonts w:hint="eastAsia" w:ascii="宋体" w:hAnsi="宋体" w:cs="宋体"/>
          <w:u w:val="single"/>
        </w:rPr>
        <w:t>　</w:t>
      </w:r>
      <w:r>
        <w:rPr>
          <w:rFonts w:hint="eastAsia" w:ascii="宋体" w:hAnsi="宋体" w:cs="宋体"/>
          <w:u w:val="single"/>
          <w:lang w:val="en-US" w:eastAsia="zh-CN"/>
        </w:rPr>
        <w:t xml:space="preserve"> </w:t>
      </w:r>
      <w:r>
        <w:rPr>
          <w:rFonts w:hint="eastAsia" w:ascii="宋体" w:hAnsi="宋体" w:cs="宋体"/>
          <w:u w:val="single"/>
        </w:rPr>
        <w:t>　　</w:t>
      </w:r>
    </w:p>
    <w:p w14:paraId="1D56F3D8">
      <w:pPr>
        <w:spacing w:line="48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　　　　　　　　　　　　　　　　　　　　　　　</w:t>
      </w:r>
    </w:p>
    <w:p w14:paraId="29A4F092">
      <w:pPr>
        <w:spacing w:line="480" w:lineRule="exact"/>
        <w:ind w:firstLine="420" w:firstLineChars="200"/>
        <w:rPr>
          <w:rFonts w:ascii="宋体" w:hAnsi="宋体" w:cs="宋体"/>
          <w:u w:val="single"/>
        </w:rPr>
      </w:pPr>
      <w:r>
        <w:rPr>
          <w:rFonts w:hint="eastAsia" w:ascii="宋体" w:hAnsi="宋体" w:cs="宋体"/>
        </w:rPr>
        <w:t>部    门：</w:t>
      </w:r>
      <w:r>
        <w:rPr>
          <w:rFonts w:hint="eastAsia" w:ascii="宋体" w:hAnsi="宋体" w:cs="宋体"/>
          <w:u w:val="single"/>
        </w:rPr>
        <w:t xml:space="preserve">       　　　　　   </w:t>
      </w:r>
      <w:r>
        <w:rPr>
          <w:rFonts w:hint="eastAsia" w:ascii="宋体" w:hAnsi="宋体" w:cs="宋体"/>
        </w:rPr>
        <w:t xml:space="preserve"> 职   务： </w:t>
      </w:r>
      <w:r>
        <w:rPr>
          <w:rFonts w:hint="eastAsia" w:ascii="宋体" w:hAnsi="宋体" w:cs="宋体"/>
          <w:u w:val="single"/>
        </w:rPr>
        <w:t xml:space="preserve">  　　　　　　　　　　</w:t>
      </w:r>
    </w:p>
    <w:p w14:paraId="305D36F6">
      <w:pPr>
        <w:spacing w:line="480" w:lineRule="exact"/>
        <w:ind w:firstLine="420" w:firstLineChars="200"/>
        <w:rPr>
          <w:rFonts w:ascii="宋体" w:hAnsi="宋体" w:cs="宋体"/>
          <w:u w:val="single"/>
        </w:rPr>
      </w:pPr>
      <w:r>
        <w:rPr>
          <w:rFonts w:hint="eastAsia" w:ascii="宋体" w:hAnsi="宋体" w:cs="宋体"/>
        </w:rPr>
        <w:t>投标人 (盖章)：</w:t>
      </w:r>
    </w:p>
    <w:p w14:paraId="5563FDA1">
      <w:pPr>
        <w:spacing w:line="480" w:lineRule="exact"/>
        <w:ind w:firstLine="420" w:firstLineChars="200"/>
        <w:rPr>
          <w:rFonts w:ascii="宋体" w:hAnsi="宋体" w:cs="宋体"/>
        </w:rPr>
      </w:pPr>
      <w:r>
        <w:rPr>
          <w:rFonts w:hint="eastAsia" w:ascii="宋体" w:hAnsi="宋体" w:cs="宋体"/>
        </w:rPr>
        <w:t xml:space="preserve">法定代表人(签字)： </w:t>
      </w:r>
    </w:p>
    <w:p w14:paraId="428F8908">
      <w:pPr>
        <w:spacing w:line="480" w:lineRule="exact"/>
        <w:ind w:firstLine="420" w:firstLineChars="200"/>
        <w:rPr>
          <w:rFonts w:ascii="宋体" w:hAnsi="宋体" w:cs="宋体"/>
        </w:rPr>
      </w:pPr>
      <w:r>
        <w:rPr>
          <w:rFonts w:hint="eastAsia" w:ascii="宋体" w:hAnsi="宋体" w:cs="宋体"/>
        </w:rPr>
        <w:t>年 月 日</w:t>
      </w:r>
    </w:p>
    <w:p w14:paraId="54019922">
      <w:pPr>
        <w:adjustRightInd w:val="0"/>
        <w:snapToGrid w:val="0"/>
        <w:jc w:val="right"/>
        <w:rPr>
          <w:rFonts w:ascii="宋体" w:hAnsi="宋体" w:cs="宋体"/>
          <w:sz w:val="24"/>
          <w:u w:val="single"/>
        </w:rPr>
      </w:pPr>
    </w:p>
    <w:p w14:paraId="2325A791">
      <w:pPr>
        <w:adjustRightInd w:val="0"/>
        <w:snapToGrid w:val="0"/>
        <w:jc w:val="right"/>
        <w:rPr>
          <w:rFonts w:ascii="宋体" w:hAnsi="宋体" w:cs="宋体"/>
          <w:sz w:val="24"/>
        </w:rPr>
      </w:pPr>
      <w:r>
        <w:rPr>
          <w:rFonts w:hint="eastAsia" w:ascii="宋体" w:hAnsi="宋体" w:cs="宋体"/>
          <w:sz w:val="24"/>
        </w:rPr>
        <w:t>--------------------------------------------------------------------------------</w:t>
      </w:r>
    </w:p>
    <w:p w14:paraId="3F3D390F">
      <w:pPr>
        <w:spacing w:line="360" w:lineRule="auto"/>
        <w:jc w:val="center"/>
        <w:rPr>
          <w:rFonts w:ascii="宋体" w:hAnsi="宋体" w:cs="宋体"/>
          <w:bCs/>
          <w:sz w:val="24"/>
        </w:rPr>
      </w:pPr>
      <w:r>
        <w:rPr>
          <w:rFonts w:hint="eastAsia" w:ascii="宋体" w:hAnsi="宋体" w:cs="宋体"/>
          <w:bCs/>
          <w:sz w:val="24"/>
        </w:rPr>
        <w:t>被授权人身份证复印件黏贴处</w:t>
      </w:r>
    </w:p>
    <w:p w14:paraId="2F5DFD79">
      <w:pPr>
        <w:spacing w:line="540" w:lineRule="exact"/>
        <w:rPr>
          <w:rFonts w:ascii="宋体" w:hAnsi="宋体" w:cs="宋体"/>
          <w:sz w:val="32"/>
          <w:szCs w:val="32"/>
        </w:rPr>
      </w:pPr>
    </w:p>
    <w:p w14:paraId="081FAC23">
      <w:pPr>
        <w:spacing w:line="540" w:lineRule="exact"/>
        <w:rPr>
          <w:rFonts w:ascii="宋体" w:hAnsi="宋体" w:cs="宋体"/>
          <w:sz w:val="32"/>
          <w:szCs w:val="32"/>
        </w:rPr>
      </w:pPr>
    </w:p>
    <w:p w14:paraId="07F498E4">
      <w:pPr>
        <w:spacing w:line="540" w:lineRule="exact"/>
        <w:rPr>
          <w:rFonts w:ascii="宋体" w:hAnsi="宋体" w:cs="宋体"/>
          <w:sz w:val="32"/>
          <w:szCs w:val="32"/>
        </w:rPr>
      </w:pPr>
    </w:p>
    <w:p w14:paraId="22101A32">
      <w:pPr>
        <w:spacing w:line="540" w:lineRule="exact"/>
        <w:rPr>
          <w:rFonts w:ascii="宋体" w:hAnsi="宋体" w:cs="宋体"/>
          <w:sz w:val="32"/>
          <w:szCs w:val="32"/>
        </w:rPr>
      </w:pPr>
    </w:p>
    <w:p w14:paraId="4161D5AB">
      <w:pPr>
        <w:spacing w:line="540" w:lineRule="exact"/>
        <w:rPr>
          <w:rFonts w:ascii="宋体" w:hAnsi="宋体" w:cs="宋体"/>
          <w:sz w:val="32"/>
          <w:szCs w:val="32"/>
        </w:rPr>
      </w:pPr>
    </w:p>
    <w:p w14:paraId="2AB112DF">
      <w:r>
        <w:br w:type="page"/>
      </w:r>
    </w:p>
    <w:p w14:paraId="4CE97C5E">
      <w:pPr>
        <w:adjustRightInd w:val="0"/>
        <w:snapToGrid w:val="0"/>
        <w:rPr>
          <w:rFonts w:hint="eastAsia" w:ascii="宋体" w:hAnsi="宋体" w:cs="宋体"/>
          <w:sz w:val="24"/>
        </w:rPr>
      </w:pPr>
      <w:r>
        <w:rPr>
          <w:rFonts w:hint="eastAsia" w:ascii="宋体" w:hAnsi="宋体" w:cs="宋体"/>
          <w:sz w:val="24"/>
        </w:rPr>
        <w:t>6.投标单位情况表格式：</w:t>
      </w:r>
    </w:p>
    <w:p w14:paraId="02EC2208">
      <w:pPr>
        <w:spacing w:line="360" w:lineRule="exact"/>
        <w:ind w:firstLine="281" w:firstLineChars="100"/>
        <w:jc w:val="center"/>
        <w:rPr>
          <w:rFonts w:ascii="宋体" w:hAnsi="宋体" w:cs="宋体"/>
          <w:b/>
          <w:sz w:val="28"/>
          <w:szCs w:val="28"/>
        </w:rPr>
      </w:pPr>
    </w:p>
    <w:p w14:paraId="058BDF9F">
      <w:pPr>
        <w:adjustRightInd w:val="0"/>
        <w:snapToGrid w:val="0"/>
        <w:jc w:val="center"/>
        <w:rPr>
          <w:rFonts w:ascii="宋体" w:hAnsi="宋体" w:cs="宋体"/>
          <w:b/>
          <w:sz w:val="36"/>
          <w:szCs w:val="36"/>
        </w:rPr>
      </w:pPr>
      <w:r>
        <w:rPr>
          <w:rFonts w:hint="eastAsia" w:ascii="宋体" w:hAnsi="宋体" w:cs="宋体"/>
          <w:b/>
          <w:sz w:val="36"/>
          <w:szCs w:val="36"/>
        </w:rPr>
        <w:t>投标单位情况表</w:t>
      </w:r>
    </w:p>
    <w:p w14:paraId="71B53E1C">
      <w:pPr>
        <w:spacing w:line="360" w:lineRule="exact"/>
        <w:ind w:firstLine="210" w:firstLineChars="100"/>
        <w:rPr>
          <w:rFonts w:ascii="宋体" w:hAnsi="宋体" w:cs="宋体"/>
        </w:rPr>
      </w:pPr>
      <w:r>
        <w:rPr>
          <w:rFonts w:hint="eastAsia" w:ascii="宋体" w:hAnsi="宋体" w:cs="宋体"/>
        </w:rPr>
        <w:t>项目名称：                                                         项目编号：</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580"/>
        <w:gridCol w:w="1070"/>
        <w:gridCol w:w="1500"/>
        <w:gridCol w:w="1148"/>
        <w:gridCol w:w="1914"/>
      </w:tblGrid>
      <w:tr w14:paraId="6594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3A84B1E0">
            <w:pPr>
              <w:pStyle w:val="2"/>
              <w:ind w:firstLine="0"/>
              <w:jc w:val="center"/>
              <w:rPr>
                <w:rFonts w:ascii="宋体" w:hAnsi="宋体" w:cs="宋体"/>
                <w:szCs w:val="21"/>
              </w:rPr>
            </w:pPr>
            <w:r>
              <w:rPr>
                <w:rFonts w:hint="eastAsia" w:ascii="宋体" w:hAnsi="宋体" w:cs="宋体"/>
                <w:szCs w:val="21"/>
              </w:rPr>
              <w:t>投标单位（盖章）</w:t>
            </w:r>
          </w:p>
        </w:tc>
        <w:tc>
          <w:tcPr>
            <w:tcW w:w="2650" w:type="dxa"/>
            <w:gridSpan w:val="2"/>
            <w:noWrap/>
            <w:vAlign w:val="center"/>
          </w:tcPr>
          <w:p w14:paraId="00ABE15E">
            <w:pPr>
              <w:pStyle w:val="2"/>
              <w:ind w:firstLine="0"/>
              <w:jc w:val="center"/>
              <w:rPr>
                <w:rFonts w:ascii="宋体" w:hAnsi="宋体" w:cs="宋体"/>
                <w:szCs w:val="21"/>
              </w:rPr>
            </w:pPr>
          </w:p>
        </w:tc>
        <w:tc>
          <w:tcPr>
            <w:tcW w:w="1500" w:type="dxa"/>
            <w:noWrap/>
            <w:vAlign w:val="center"/>
          </w:tcPr>
          <w:p w14:paraId="7E950903">
            <w:pPr>
              <w:pStyle w:val="2"/>
              <w:ind w:firstLine="0"/>
              <w:jc w:val="center"/>
              <w:rPr>
                <w:rFonts w:ascii="宋体" w:hAnsi="宋体" w:cs="宋体"/>
                <w:szCs w:val="21"/>
              </w:rPr>
            </w:pPr>
            <w:r>
              <w:rPr>
                <w:rFonts w:hint="eastAsia" w:ascii="宋体" w:hAnsi="宋体" w:cs="宋体"/>
                <w:szCs w:val="21"/>
              </w:rPr>
              <w:t>注册时间</w:t>
            </w:r>
          </w:p>
        </w:tc>
        <w:tc>
          <w:tcPr>
            <w:tcW w:w="3062" w:type="dxa"/>
            <w:gridSpan w:val="2"/>
            <w:noWrap/>
            <w:vAlign w:val="center"/>
          </w:tcPr>
          <w:p w14:paraId="24FE73AF">
            <w:pPr>
              <w:pStyle w:val="2"/>
              <w:ind w:firstLine="0"/>
              <w:jc w:val="center"/>
              <w:rPr>
                <w:rFonts w:ascii="宋体" w:hAnsi="宋体" w:cs="宋体"/>
                <w:szCs w:val="21"/>
              </w:rPr>
            </w:pPr>
          </w:p>
        </w:tc>
      </w:tr>
      <w:tr w14:paraId="49D4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7D39AF9E">
            <w:pPr>
              <w:pStyle w:val="2"/>
              <w:ind w:firstLine="0"/>
              <w:jc w:val="center"/>
              <w:rPr>
                <w:rFonts w:ascii="宋体" w:hAnsi="宋体" w:cs="宋体"/>
                <w:szCs w:val="21"/>
              </w:rPr>
            </w:pPr>
            <w:r>
              <w:rPr>
                <w:rFonts w:hint="eastAsia" w:ascii="宋体" w:hAnsi="宋体" w:cs="宋体"/>
                <w:szCs w:val="21"/>
              </w:rPr>
              <w:t>注册地址</w:t>
            </w:r>
          </w:p>
        </w:tc>
        <w:tc>
          <w:tcPr>
            <w:tcW w:w="2650" w:type="dxa"/>
            <w:gridSpan w:val="2"/>
            <w:noWrap/>
            <w:vAlign w:val="center"/>
          </w:tcPr>
          <w:p w14:paraId="3239B58C">
            <w:pPr>
              <w:pStyle w:val="2"/>
              <w:ind w:firstLine="0"/>
              <w:jc w:val="center"/>
              <w:rPr>
                <w:rFonts w:ascii="宋体" w:hAnsi="宋体" w:cs="宋体"/>
                <w:szCs w:val="21"/>
              </w:rPr>
            </w:pPr>
          </w:p>
        </w:tc>
        <w:tc>
          <w:tcPr>
            <w:tcW w:w="1500" w:type="dxa"/>
            <w:noWrap/>
            <w:vAlign w:val="center"/>
          </w:tcPr>
          <w:p w14:paraId="4F27413C">
            <w:pPr>
              <w:pStyle w:val="2"/>
              <w:ind w:firstLine="0"/>
              <w:jc w:val="center"/>
              <w:rPr>
                <w:rFonts w:ascii="宋体" w:hAnsi="宋体" w:cs="宋体"/>
                <w:szCs w:val="21"/>
              </w:rPr>
            </w:pPr>
            <w:r>
              <w:rPr>
                <w:rFonts w:hint="eastAsia" w:ascii="宋体" w:hAnsi="宋体" w:cs="宋体"/>
                <w:szCs w:val="21"/>
              </w:rPr>
              <w:t>邮政编码</w:t>
            </w:r>
          </w:p>
        </w:tc>
        <w:tc>
          <w:tcPr>
            <w:tcW w:w="3062" w:type="dxa"/>
            <w:gridSpan w:val="2"/>
            <w:noWrap/>
            <w:vAlign w:val="center"/>
          </w:tcPr>
          <w:p w14:paraId="087D7BE0">
            <w:pPr>
              <w:pStyle w:val="2"/>
              <w:ind w:firstLine="0"/>
              <w:jc w:val="center"/>
              <w:rPr>
                <w:rFonts w:ascii="宋体" w:hAnsi="宋体" w:cs="宋体"/>
                <w:szCs w:val="21"/>
              </w:rPr>
            </w:pPr>
          </w:p>
        </w:tc>
      </w:tr>
      <w:tr w14:paraId="73F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7B6CB578">
            <w:pPr>
              <w:pStyle w:val="2"/>
              <w:ind w:firstLine="0"/>
              <w:jc w:val="center"/>
              <w:rPr>
                <w:rFonts w:ascii="宋体" w:hAnsi="宋体" w:cs="宋体"/>
                <w:szCs w:val="21"/>
              </w:rPr>
            </w:pPr>
            <w:r>
              <w:rPr>
                <w:rFonts w:hint="eastAsia" w:ascii="宋体" w:hAnsi="宋体" w:cs="宋体"/>
                <w:szCs w:val="21"/>
              </w:rPr>
              <w:t>资质</w:t>
            </w:r>
          </w:p>
        </w:tc>
        <w:tc>
          <w:tcPr>
            <w:tcW w:w="2650" w:type="dxa"/>
            <w:gridSpan w:val="2"/>
            <w:noWrap/>
            <w:vAlign w:val="center"/>
          </w:tcPr>
          <w:p w14:paraId="3439F965">
            <w:pPr>
              <w:pStyle w:val="2"/>
              <w:ind w:firstLine="0"/>
              <w:jc w:val="center"/>
              <w:rPr>
                <w:rFonts w:ascii="宋体" w:hAnsi="宋体" w:cs="宋体"/>
                <w:szCs w:val="21"/>
              </w:rPr>
            </w:pPr>
          </w:p>
        </w:tc>
        <w:tc>
          <w:tcPr>
            <w:tcW w:w="1500" w:type="dxa"/>
            <w:noWrap/>
            <w:vAlign w:val="center"/>
          </w:tcPr>
          <w:p w14:paraId="05DD6389">
            <w:pPr>
              <w:pStyle w:val="2"/>
              <w:ind w:firstLine="0"/>
              <w:jc w:val="center"/>
              <w:rPr>
                <w:rFonts w:ascii="宋体" w:hAnsi="宋体" w:cs="宋体"/>
                <w:szCs w:val="21"/>
              </w:rPr>
            </w:pPr>
            <w:r>
              <w:rPr>
                <w:rFonts w:hint="eastAsia" w:ascii="宋体" w:hAnsi="宋体" w:cs="宋体"/>
                <w:szCs w:val="21"/>
              </w:rPr>
              <w:t>注册资金</w:t>
            </w:r>
          </w:p>
        </w:tc>
        <w:tc>
          <w:tcPr>
            <w:tcW w:w="3062" w:type="dxa"/>
            <w:gridSpan w:val="2"/>
            <w:noWrap/>
            <w:vAlign w:val="center"/>
          </w:tcPr>
          <w:p w14:paraId="7AB27BD7">
            <w:pPr>
              <w:pStyle w:val="2"/>
              <w:ind w:firstLine="0"/>
              <w:jc w:val="center"/>
              <w:rPr>
                <w:rFonts w:ascii="宋体" w:hAnsi="宋体" w:cs="宋体"/>
                <w:szCs w:val="21"/>
              </w:rPr>
            </w:pPr>
          </w:p>
        </w:tc>
      </w:tr>
      <w:tr w14:paraId="7989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1419EAE5">
            <w:pPr>
              <w:pStyle w:val="2"/>
              <w:ind w:firstLine="0"/>
              <w:jc w:val="center"/>
              <w:rPr>
                <w:rFonts w:ascii="宋体" w:hAnsi="宋体" w:cs="宋体"/>
                <w:szCs w:val="21"/>
              </w:rPr>
            </w:pPr>
            <w:r>
              <w:rPr>
                <w:rFonts w:hint="eastAsia" w:ascii="宋体" w:hAnsi="宋体" w:cs="宋体"/>
                <w:szCs w:val="21"/>
              </w:rPr>
              <w:t>法定代表人</w:t>
            </w:r>
          </w:p>
        </w:tc>
        <w:tc>
          <w:tcPr>
            <w:tcW w:w="1580" w:type="dxa"/>
            <w:noWrap/>
            <w:vAlign w:val="center"/>
          </w:tcPr>
          <w:p w14:paraId="3FBC3FA0">
            <w:pPr>
              <w:pStyle w:val="2"/>
              <w:ind w:firstLine="0"/>
              <w:jc w:val="center"/>
              <w:rPr>
                <w:rFonts w:ascii="宋体" w:hAnsi="宋体" w:cs="宋体"/>
                <w:szCs w:val="21"/>
              </w:rPr>
            </w:pPr>
          </w:p>
        </w:tc>
        <w:tc>
          <w:tcPr>
            <w:tcW w:w="1070" w:type="dxa"/>
            <w:noWrap/>
            <w:vAlign w:val="center"/>
          </w:tcPr>
          <w:p w14:paraId="17F22088">
            <w:pPr>
              <w:pStyle w:val="2"/>
              <w:ind w:firstLine="0"/>
              <w:jc w:val="center"/>
              <w:rPr>
                <w:rFonts w:ascii="宋体" w:hAnsi="宋体" w:cs="宋体"/>
                <w:szCs w:val="21"/>
              </w:rPr>
            </w:pPr>
            <w:r>
              <w:rPr>
                <w:rFonts w:hint="eastAsia" w:ascii="宋体" w:hAnsi="宋体" w:cs="宋体"/>
                <w:szCs w:val="21"/>
              </w:rPr>
              <w:t>电话</w:t>
            </w:r>
          </w:p>
        </w:tc>
        <w:tc>
          <w:tcPr>
            <w:tcW w:w="1500" w:type="dxa"/>
            <w:noWrap/>
            <w:vAlign w:val="center"/>
          </w:tcPr>
          <w:p w14:paraId="1AE3CD22">
            <w:pPr>
              <w:pStyle w:val="2"/>
              <w:ind w:firstLine="0"/>
              <w:jc w:val="center"/>
              <w:rPr>
                <w:rFonts w:ascii="宋体" w:hAnsi="宋体" w:cs="宋体"/>
                <w:szCs w:val="21"/>
              </w:rPr>
            </w:pPr>
          </w:p>
        </w:tc>
        <w:tc>
          <w:tcPr>
            <w:tcW w:w="1148" w:type="dxa"/>
            <w:noWrap/>
            <w:vAlign w:val="center"/>
          </w:tcPr>
          <w:p w14:paraId="78E2F35A">
            <w:pPr>
              <w:pStyle w:val="2"/>
              <w:ind w:firstLine="0"/>
              <w:jc w:val="center"/>
              <w:rPr>
                <w:rFonts w:ascii="宋体" w:hAnsi="宋体" w:cs="宋体"/>
                <w:szCs w:val="21"/>
              </w:rPr>
            </w:pPr>
            <w:r>
              <w:rPr>
                <w:rFonts w:hint="eastAsia" w:ascii="宋体" w:hAnsi="宋体" w:cs="宋体"/>
                <w:szCs w:val="21"/>
              </w:rPr>
              <w:t>传真</w:t>
            </w:r>
          </w:p>
        </w:tc>
        <w:tc>
          <w:tcPr>
            <w:tcW w:w="1914" w:type="dxa"/>
            <w:noWrap/>
            <w:vAlign w:val="center"/>
          </w:tcPr>
          <w:p w14:paraId="1A773720">
            <w:pPr>
              <w:pStyle w:val="2"/>
              <w:ind w:firstLine="0"/>
              <w:jc w:val="center"/>
              <w:rPr>
                <w:rFonts w:ascii="宋体" w:hAnsi="宋体" w:cs="宋体"/>
                <w:szCs w:val="21"/>
              </w:rPr>
            </w:pPr>
          </w:p>
        </w:tc>
      </w:tr>
      <w:tr w14:paraId="3713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543E4FD2">
            <w:pPr>
              <w:pStyle w:val="2"/>
              <w:ind w:firstLine="0"/>
              <w:jc w:val="center"/>
              <w:rPr>
                <w:rFonts w:ascii="宋体" w:hAnsi="宋体" w:cs="宋体"/>
                <w:szCs w:val="21"/>
              </w:rPr>
            </w:pPr>
            <w:r>
              <w:rPr>
                <w:rFonts w:hint="eastAsia" w:ascii="宋体" w:hAnsi="宋体" w:cs="宋体"/>
                <w:szCs w:val="21"/>
              </w:rPr>
              <w:t>项目经理</w:t>
            </w:r>
          </w:p>
        </w:tc>
        <w:tc>
          <w:tcPr>
            <w:tcW w:w="2650" w:type="dxa"/>
            <w:gridSpan w:val="2"/>
            <w:noWrap/>
            <w:vAlign w:val="center"/>
          </w:tcPr>
          <w:p w14:paraId="69FB0718">
            <w:pPr>
              <w:pStyle w:val="2"/>
              <w:ind w:firstLine="0"/>
              <w:jc w:val="center"/>
              <w:rPr>
                <w:rFonts w:ascii="宋体" w:hAnsi="宋体" w:cs="宋体"/>
                <w:szCs w:val="21"/>
              </w:rPr>
            </w:pPr>
          </w:p>
        </w:tc>
        <w:tc>
          <w:tcPr>
            <w:tcW w:w="1500" w:type="dxa"/>
            <w:noWrap/>
            <w:vAlign w:val="center"/>
          </w:tcPr>
          <w:p w14:paraId="3D4B9329">
            <w:pPr>
              <w:pStyle w:val="2"/>
              <w:ind w:firstLine="0"/>
              <w:jc w:val="center"/>
              <w:rPr>
                <w:rFonts w:ascii="宋体" w:hAnsi="宋体" w:cs="宋体"/>
                <w:szCs w:val="21"/>
              </w:rPr>
            </w:pPr>
            <w:r>
              <w:rPr>
                <w:rFonts w:hint="eastAsia" w:ascii="宋体" w:hAnsi="宋体" w:cs="宋体"/>
                <w:szCs w:val="21"/>
              </w:rPr>
              <w:t>电话</w:t>
            </w:r>
          </w:p>
        </w:tc>
        <w:tc>
          <w:tcPr>
            <w:tcW w:w="3062" w:type="dxa"/>
            <w:gridSpan w:val="2"/>
            <w:noWrap/>
            <w:vAlign w:val="center"/>
          </w:tcPr>
          <w:p w14:paraId="39FB98DD">
            <w:pPr>
              <w:pStyle w:val="2"/>
              <w:ind w:firstLine="0"/>
              <w:jc w:val="center"/>
              <w:rPr>
                <w:rFonts w:ascii="宋体" w:hAnsi="宋体" w:cs="宋体"/>
                <w:szCs w:val="21"/>
              </w:rPr>
            </w:pPr>
          </w:p>
        </w:tc>
      </w:tr>
      <w:tr w14:paraId="4574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421279C1">
            <w:pPr>
              <w:pStyle w:val="2"/>
              <w:ind w:firstLine="0"/>
              <w:jc w:val="center"/>
              <w:rPr>
                <w:rFonts w:ascii="宋体" w:hAnsi="宋体" w:cs="宋体"/>
                <w:szCs w:val="21"/>
              </w:rPr>
            </w:pPr>
            <w:r>
              <w:rPr>
                <w:rFonts w:hint="eastAsia" w:ascii="宋体" w:hAnsi="宋体" w:cs="宋体"/>
                <w:szCs w:val="21"/>
              </w:rPr>
              <w:t>职工人数</w:t>
            </w:r>
          </w:p>
        </w:tc>
        <w:tc>
          <w:tcPr>
            <w:tcW w:w="7212" w:type="dxa"/>
            <w:gridSpan w:val="5"/>
            <w:noWrap/>
            <w:vAlign w:val="center"/>
          </w:tcPr>
          <w:p w14:paraId="55642D20">
            <w:pPr>
              <w:pStyle w:val="2"/>
              <w:ind w:firstLine="0"/>
              <w:jc w:val="center"/>
              <w:rPr>
                <w:rFonts w:ascii="宋体" w:hAnsi="宋体" w:cs="宋体"/>
                <w:szCs w:val="21"/>
              </w:rPr>
            </w:pPr>
          </w:p>
        </w:tc>
      </w:tr>
      <w:tr w14:paraId="284C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128082C">
            <w:pPr>
              <w:pStyle w:val="2"/>
              <w:ind w:firstLine="0"/>
              <w:rPr>
                <w:rFonts w:ascii="宋体" w:hAnsi="宋体" w:cs="宋体"/>
                <w:szCs w:val="21"/>
              </w:rPr>
            </w:pPr>
            <w:r>
              <w:rPr>
                <w:rFonts w:hint="eastAsia" w:ascii="宋体" w:hAnsi="宋体" w:cs="宋体"/>
                <w:szCs w:val="21"/>
              </w:rPr>
              <w:t>可从事业务范围</w:t>
            </w:r>
          </w:p>
        </w:tc>
        <w:tc>
          <w:tcPr>
            <w:tcW w:w="7212" w:type="dxa"/>
            <w:gridSpan w:val="5"/>
            <w:noWrap/>
            <w:vAlign w:val="center"/>
          </w:tcPr>
          <w:p w14:paraId="4583F9B0">
            <w:pPr>
              <w:pStyle w:val="2"/>
              <w:ind w:firstLine="0"/>
              <w:jc w:val="center"/>
              <w:rPr>
                <w:rFonts w:ascii="宋体" w:hAnsi="宋体" w:cs="宋体"/>
                <w:szCs w:val="21"/>
              </w:rPr>
            </w:pPr>
          </w:p>
        </w:tc>
      </w:tr>
      <w:tr w14:paraId="56B9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129702C9">
            <w:pPr>
              <w:pStyle w:val="2"/>
              <w:ind w:firstLine="0"/>
              <w:jc w:val="center"/>
              <w:rPr>
                <w:rFonts w:ascii="宋体" w:hAnsi="宋体" w:cs="宋体"/>
                <w:szCs w:val="21"/>
              </w:rPr>
            </w:pPr>
            <w:r>
              <w:rPr>
                <w:rFonts w:hint="eastAsia" w:ascii="宋体" w:hAnsi="宋体" w:cs="宋体"/>
                <w:szCs w:val="21"/>
              </w:rPr>
              <w:t>公司简介</w:t>
            </w:r>
          </w:p>
        </w:tc>
        <w:tc>
          <w:tcPr>
            <w:tcW w:w="7212" w:type="dxa"/>
            <w:gridSpan w:val="5"/>
            <w:noWrap/>
            <w:vAlign w:val="center"/>
          </w:tcPr>
          <w:p w14:paraId="3BC5B1FA">
            <w:pPr>
              <w:pStyle w:val="2"/>
              <w:ind w:firstLine="0"/>
              <w:jc w:val="center"/>
              <w:rPr>
                <w:rFonts w:ascii="宋体" w:hAnsi="宋体" w:cs="宋体"/>
                <w:szCs w:val="21"/>
              </w:rPr>
            </w:pPr>
          </w:p>
        </w:tc>
      </w:tr>
    </w:tbl>
    <w:p w14:paraId="51C24125">
      <w:pPr>
        <w:spacing w:line="360" w:lineRule="exact"/>
        <w:rPr>
          <w:rFonts w:ascii="宋体" w:hAnsi="宋体" w:cs="宋体"/>
        </w:rPr>
      </w:pPr>
    </w:p>
    <w:p w14:paraId="3BC2B4C2">
      <w:pPr>
        <w:spacing w:line="480" w:lineRule="exact"/>
        <w:ind w:firstLine="420" w:firstLineChars="200"/>
        <w:rPr>
          <w:rFonts w:ascii="宋体" w:hAnsi="宋体" w:cs="宋体"/>
        </w:rPr>
      </w:pPr>
      <w:r>
        <w:rPr>
          <w:rFonts w:hint="eastAsia" w:ascii="宋体" w:hAnsi="宋体" w:cs="宋体"/>
        </w:rPr>
        <w:t>注：除此表外，可另附文字和资料加以说明。</w:t>
      </w:r>
    </w:p>
    <w:p w14:paraId="19C719FF">
      <w:pPr>
        <w:tabs>
          <w:tab w:val="left" w:pos="450"/>
          <w:tab w:val="left" w:pos="8280"/>
        </w:tabs>
        <w:spacing w:line="400" w:lineRule="exact"/>
        <w:jc w:val="right"/>
        <w:rPr>
          <w:rFonts w:ascii="宋体" w:hAnsi="宋体" w:cs="宋体"/>
          <w:sz w:val="24"/>
        </w:rPr>
      </w:pPr>
      <w:r>
        <w:rPr>
          <w:rFonts w:hint="eastAsia" w:ascii="宋体" w:hAnsi="宋体" w:cs="宋体"/>
          <w:sz w:val="24"/>
        </w:rPr>
        <w:t>投标人全称：（盖章）</w:t>
      </w:r>
    </w:p>
    <w:p w14:paraId="2B26D3F0">
      <w:pPr>
        <w:tabs>
          <w:tab w:val="left" w:pos="450"/>
          <w:tab w:val="left" w:pos="8280"/>
        </w:tabs>
        <w:spacing w:line="400" w:lineRule="exact"/>
        <w:jc w:val="right"/>
        <w:rPr>
          <w:rFonts w:ascii="宋体" w:hAnsi="宋体" w:cs="宋体"/>
          <w:sz w:val="24"/>
        </w:rPr>
      </w:pPr>
      <w:r>
        <w:rPr>
          <w:rFonts w:hint="eastAsia" w:ascii="宋体" w:hAnsi="宋体" w:cs="宋体"/>
          <w:sz w:val="24"/>
        </w:rPr>
        <w:t>授权代表或法定代表人签名：</w:t>
      </w:r>
    </w:p>
    <w:p w14:paraId="2A5B7903">
      <w:pPr>
        <w:tabs>
          <w:tab w:val="left" w:pos="450"/>
          <w:tab w:val="left" w:pos="8280"/>
        </w:tabs>
        <w:spacing w:line="400" w:lineRule="exact"/>
        <w:jc w:val="right"/>
        <w:rPr>
          <w:rFonts w:ascii="宋体" w:hAnsi="宋体" w:cs="宋体"/>
          <w:sz w:val="24"/>
        </w:rPr>
      </w:pPr>
      <w:r>
        <w:rPr>
          <w:rFonts w:hint="eastAsia" w:ascii="宋体" w:hAnsi="宋体" w:cs="宋体"/>
          <w:sz w:val="24"/>
        </w:rPr>
        <w:t>年     月    日</w:t>
      </w:r>
    </w:p>
    <w:p w14:paraId="7CF6A8BB">
      <w:r>
        <w:br w:type="page"/>
      </w:r>
    </w:p>
    <w:p w14:paraId="6F5EC086">
      <w:pPr>
        <w:adjustRightInd w:val="0"/>
        <w:snapToGrid w:val="0"/>
        <w:rPr>
          <w:rFonts w:hint="eastAsia" w:ascii="宋体" w:hAnsi="宋体" w:cs="宋体"/>
          <w:sz w:val="24"/>
        </w:rPr>
      </w:pPr>
      <w:r>
        <w:rPr>
          <w:rFonts w:hint="eastAsia" w:ascii="宋体" w:hAnsi="宋体" w:cs="宋体"/>
          <w:sz w:val="24"/>
        </w:rPr>
        <w:t>7.同类项目实施情况一览表格式</w:t>
      </w:r>
    </w:p>
    <w:p w14:paraId="032AC0BE"/>
    <w:p w14:paraId="2246279F"/>
    <w:p w14:paraId="17DC0633">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投标人同类项目实施情况一览表</w:t>
      </w:r>
    </w:p>
    <w:p w14:paraId="308EC72E">
      <w:pPr>
        <w:spacing w:line="380" w:lineRule="exact"/>
        <w:rPr>
          <w:rFonts w:ascii="宋体" w:hAnsi="宋体" w:cs="宋体"/>
        </w:rPr>
      </w:pPr>
      <w:r>
        <w:rPr>
          <w:rFonts w:hint="eastAsia" w:ascii="宋体" w:hAnsi="宋体" w:cs="宋体"/>
        </w:rPr>
        <w:t xml:space="preserve">项目名称：  </w:t>
      </w:r>
    </w:p>
    <w:p w14:paraId="00F6E185">
      <w:pPr>
        <w:spacing w:line="380" w:lineRule="exact"/>
        <w:rPr>
          <w:rFonts w:ascii="宋体" w:hAnsi="宋体" w:cs="宋体"/>
        </w:rPr>
      </w:pPr>
      <w:r>
        <w:rPr>
          <w:rFonts w:hint="eastAsia" w:ascii="宋体" w:hAnsi="宋体" w:cs="宋体"/>
        </w:rPr>
        <w:t xml:space="preserve">项目编号： </w:t>
      </w:r>
    </w:p>
    <w:tbl>
      <w:tblPr>
        <w:tblStyle w:val="1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153"/>
        <w:gridCol w:w="1551"/>
        <w:gridCol w:w="1832"/>
        <w:gridCol w:w="1936"/>
        <w:gridCol w:w="1182"/>
      </w:tblGrid>
      <w:tr w14:paraId="0E6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918" w:type="dxa"/>
            <w:noWrap/>
            <w:vAlign w:val="center"/>
          </w:tcPr>
          <w:p w14:paraId="6D902DBB">
            <w:pPr>
              <w:spacing w:line="360" w:lineRule="exact"/>
              <w:jc w:val="center"/>
              <w:rPr>
                <w:rFonts w:ascii="宋体" w:hAnsi="宋体" w:cs="宋体"/>
              </w:rPr>
            </w:pPr>
            <w:r>
              <w:rPr>
                <w:rFonts w:hint="eastAsia" w:ascii="宋体" w:hAnsi="宋体" w:cs="宋体"/>
              </w:rPr>
              <w:t>序号</w:t>
            </w:r>
          </w:p>
        </w:tc>
        <w:tc>
          <w:tcPr>
            <w:tcW w:w="1153" w:type="dxa"/>
            <w:noWrap/>
            <w:vAlign w:val="center"/>
          </w:tcPr>
          <w:p w14:paraId="546A0DBA">
            <w:pPr>
              <w:spacing w:line="360" w:lineRule="exact"/>
              <w:jc w:val="center"/>
              <w:rPr>
                <w:rFonts w:ascii="宋体" w:hAnsi="宋体" w:cs="宋体"/>
              </w:rPr>
            </w:pPr>
            <w:r>
              <w:rPr>
                <w:rFonts w:hint="eastAsia" w:ascii="宋体" w:hAnsi="宋体" w:cs="宋体"/>
              </w:rPr>
              <w:t>项目名称</w:t>
            </w:r>
          </w:p>
        </w:tc>
        <w:tc>
          <w:tcPr>
            <w:tcW w:w="1551" w:type="dxa"/>
            <w:noWrap/>
            <w:vAlign w:val="center"/>
          </w:tcPr>
          <w:p w14:paraId="014E6EA3">
            <w:pPr>
              <w:spacing w:line="360" w:lineRule="exact"/>
              <w:jc w:val="center"/>
              <w:rPr>
                <w:rFonts w:ascii="宋体" w:hAnsi="宋体" w:cs="宋体"/>
              </w:rPr>
            </w:pPr>
            <w:r>
              <w:rPr>
                <w:rFonts w:hint="eastAsia" w:ascii="宋体" w:hAnsi="宋体" w:cs="宋体"/>
              </w:rPr>
              <w:t>项目服务时间</w:t>
            </w:r>
          </w:p>
        </w:tc>
        <w:tc>
          <w:tcPr>
            <w:tcW w:w="1832" w:type="dxa"/>
            <w:noWrap/>
            <w:vAlign w:val="center"/>
          </w:tcPr>
          <w:p w14:paraId="68F2EEB9">
            <w:pPr>
              <w:spacing w:line="360" w:lineRule="exact"/>
              <w:jc w:val="center"/>
              <w:rPr>
                <w:rFonts w:ascii="宋体" w:hAnsi="宋体" w:cs="宋体"/>
              </w:rPr>
            </w:pPr>
            <w:r>
              <w:rPr>
                <w:rFonts w:hint="eastAsia" w:ascii="宋体" w:hAnsi="宋体" w:cs="宋体"/>
              </w:rPr>
              <w:t>采购人名称</w:t>
            </w:r>
          </w:p>
        </w:tc>
        <w:tc>
          <w:tcPr>
            <w:tcW w:w="1936" w:type="dxa"/>
            <w:noWrap/>
            <w:vAlign w:val="center"/>
          </w:tcPr>
          <w:p w14:paraId="491D85FB">
            <w:pPr>
              <w:spacing w:line="360" w:lineRule="exact"/>
              <w:jc w:val="center"/>
              <w:rPr>
                <w:rFonts w:ascii="宋体" w:hAnsi="宋体" w:cs="宋体"/>
              </w:rPr>
            </w:pPr>
            <w:r>
              <w:rPr>
                <w:rFonts w:hint="eastAsia" w:ascii="宋体" w:hAnsi="宋体" w:cs="宋体"/>
              </w:rPr>
              <w:t>联系人</w:t>
            </w:r>
          </w:p>
        </w:tc>
        <w:tc>
          <w:tcPr>
            <w:tcW w:w="1182" w:type="dxa"/>
            <w:noWrap/>
            <w:vAlign w:val="center"/>
          </w:tcPr>
          <w:p w14:paraId="0CCF77B2">
            <w:pPr>
              <w:spacing w:line="360" w:lineRule="exact"/>
              <w:jc w:val="center"/>
              <w:rPr>
                <w:rFonts w:ascii="宋体" w:hAnsi="宋体" w:cs="宋体"/>
              </w:rPr>
            </w:pPr>
            <w:r>
              <w:rPr>
                <w:rFonts w:hint="eastAsia" w:ascii="宋体" w:hAnsi="宋体" w:cs="宋体"/>
              </w:rPr>
              <w:t>联系电话</w:t>
            </w:r>
          </w:p>
        </w:tc>
      </w:tr>
      <w:tr w14:paraId="661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56D503F9">
            <w:pPr>
              <w:spacing w:line="360" w:lineRule="exact"/>
              <w:jc w:val="center"/>
              <w:rPr>
                <w:rFonts w:ascii="宋体" w:hAnsi="宋体" w:cs="宋体"/>
              </w:rPr>
            </w:pPr>
          </w:p>
        </w:tc>
        <w:tc>
          <w:tcPr>
            <w:tcW w:w="1153" w:type="dxa"/>
            <w:noWrap/>
            <w:vAlign w:val="center"/>
          </w:tcPr>
          <w:p w14:paraId="2D820166">
            <w:pPr>
              <w:spacing w:line="360" w:lineRule="exact"/>
              <w:jc w:val="center"/>
              <w:rPr>
                <w:rFonts w:ascii="宋体" w:hAnsi="宋体" w:cs="宋体"/>
              </w:rPr>
            </w:pPr>
          </w:p>
        </w:tc>
        <w:tc>
          <w:tcPr>
            <w:tcW w:w="1551" w:type="dxa"/>
            <w:noWrap/>
            <w:vAlign w:val="center"/>
          </w:tcPr>
          <w:p w14:paraId="7B22D885">
            <w:pPr>
              <w:spacing w:line="360" w:lineRule="exact"/>
              <w:jc w:val="center"/>
              <w:rPr>
                <w:rFonts w:ascii="宋体" w:hAnsi="宋体" w:cs="宋体"/>
              </w:rPr>
            </w:pPr>
          </w:p>
        </w:tc>
        <w:tc>
          <w:tcPr>
            <w:tcW w:w="1832" w:type="dxa"/>
            <w:noWrap/>
            <w:vAlign w:val="center"/>
          </w:tcPr>
          <w:p w14:paraId="4F06F46B">
            <w:pPr>
              <w:spacing w:line="360" w:lineRule="exact"/>
              <w:jc w:val="center"/>
              <w:rPr>
                <w:rFonts w:ascii="宋体" w:hAnsi="宋体" w:cs="宋体"/>
              </w:rPr>
            </w:pPr>
          </w:p>
        </w:tc>
        <w:tc>
          <w:tcPr>
            <w:tcW w:w="1936" w:type="dxa"/>
            <w:noWrap/>
            <w:vAlign w:val="center"/>
          </w:tcPr>
          <w:p w14:paraId="41B07653">
            <w:pPr>
              <w:spacing w:line="360" w:lineRule="exact"/>
              <w:jc w:val="center"/>
              <w:rPr>
                <w:rFonts w:ascii="宋体" w:hAnsi="宋体" w:cs="宋体"/>
              </w:rPr>
            </w:pPr>
          </w:p>
        </w:tc>
        <w:tc>
          <w:tcPr>
            <w:tcW w:w="1182" w:type="dxa"/>
            <w:noWrap/>
            <w:vAlign w:val="center"/>
          </w:tcPr>
          <w:p w14:paraId="2016127F">
            <w:pPr>
              <w:spacing w:line="360" w:lineRule="exact"/>
              <w:jc w:val="center"/>
              <w:rPr>
                <w:rFonts w:ascii="宋体" w:hAnsi="宋体" w:cs="宋体"/>
              </w:rPr>
            </w:pPr>
          </w:p>
        </w:tc>
      </w:tr>
      <w:tr w14:paraId="065D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649FD438">
            <w:pPr>
              <w:spacing w:line="360" w:lineRule="exact"/>
              <w:jc w:val="center"/>
              <w:rPr>
                <w:rFonts w:ascii="宋体" w:hAnsi="宋体" w:cs="宋体"/>
              </w:rPr>
            </w:pPr>
          </w:p>
        </w:tc>
        <w:tc>
          <w:tcPr>
            <w:tcW w:w="1153" w:type="dxa"/>
            <w:noWrap/>
            <w:vAlign w:val="center"/>
          </w:tcPr>
          <w:p w14:paraId="75B272E0">
            <w:pPr>
              <w:spacing w:line="360" w:lineRule="exact"/>
              <w:jc w:val="center"/>
              <w:rPr>
                <w:rFonts w:ascii="宋体" w:hAnsi="宋体" w:cs="宋体"/>
              </w:rPr>
            </w:pPr>
          </w:p>
        </w:tc>
        <w:tc>
          <w:tcPr>
            <w:tcW w:w="1551" w:type="dxa"/>
            <w:noWrap/>
            <w:vAlign w:val="center"/>
          </w:tcPr>
          <w:p w14:paraId="02A118F5">
            <w:pPr>
              <w:spacing w:line="360" w:lineRule="exact"/>
              <w:jc w:val="center"/>
              <w:rPr>
                <w:rFonts w:ascii="宋体" w:hAnsi="宋体" w:cs="宋体"/>
              </w:rPr>
            </w:pPr>
          </w:p>
        </w:tc>
        <w:tc>
          <w:tcPr>
            <w:tcW w:w="1832" w:type="dxa"/>
            <w:noWrap/>
            <w:vAlign w:val="center"/>
          </w:tcPr>
          <w:p w14:paraId="5C020B5D">
            <w:pPr>
              <w:spacing w:line="360" w:lineRule="exact"/>
              <w:jc w:val="center"/>
              <w:rPr>
                <w:rFonts w:ascii="宋体" w:hAnsi="宋体" w:cs="宋体"/>
              </w:rPr>
            </w:pPr>
          </w:p>
        </w:tc>
        <w:tc>
          <w:tcPr>
            <w:tcW w:w="1936" w:type="dxa"/>
            <w:noWrap/>
            <w:vAlign w:val="center"/>
          </w:tcPr>
          <w:p w14:paraId="0F0FE037">
            <w:pPr>
              <w:spacing w:line="360" w:lineRule="exact"/>
              <w:jc w:val="center"/>
              <w:rPr>
                <w:rFonts w:ascii="宋体" w:hAnsi="宋体" w:cs="宋体"/>
              </w:rPr>
            </w:pPr>
          </w:p>
        </w:tc>
        <w:tc>
          <w:tcPr>
            <w:tcW w:w="1182" w:type="dxa"/>
            <w:noWrap/>
            <w:vAlign w:val="center"/>
          </w:tcPr>
          <w:p w14:paraId="40DF819E">
            <w:pPr>
              <w:spacing w:line="360" w:lineRule="exact"/>
              <w:jc w:val="center"/>
              <w:rPr>
                <w:rFonts w:ascii="宋体" w:hAnsi="宋体" w:cs="宋体"/>
              </w:rPr>
            </w:pPr>
          </w:p>
        </w:tc>
      </w:tr>
      <w:tr w14:paraId="4C15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5041A2D3">
            <w:pPr>
              <w:spacing w:line="360" w:lineRule="exact"/>
              <w:jc w:val="center"/>
              <w:rPr>
                <w:rFonts w:ascii="宋体" w:hAnsi="宋体" w:cs="宋体"/>
              </w:rPr>
            </w:pPr>
          </w:p>
        </w:tc>
        <w:tc>
          <w:tcPr>
            <w:tcW w:w="1153" w:type="dxa"/>
            <w:noWrap/>
            <w:vAlign w:val="center"/>
          </w:tcPr>
          <w:p w14:paraId="7492C911">
            <w:pPr>
              <w:spacing w:line="360" w:lineRule="exact"/>
              <w:jc w:val="center"/>
              <w:rPr>
                <w:rFonts w:ascii="宋体" w:hAnsi="宋体" w:cs="宋体"/>
              </w:rPr>
            </w:pPr>
          </w:p>
        </w:tc>
        <w:tc>
          <w:tcPr>
            <w:tcW w:w="1551" w:type="dxa"/>
            <w:noWrap/>
            <w:vAlign w:val="center"/>
          </w:tcPr>
          <w:p w14:paraId="270F8BA2">
            <w:pPr>
              <w:spacing w:line="360" w:lineRule="exact"/>
              <w:jc w:val="center"/>
              <w:rPr>
                <w:rFonts w:ascii="宋体" w:hAnsi="宋体" w:cs="宋体"/>
              </w:rPr>
            </w:pPr>
          </w:p>
        </w:tc>
        <w:tc>
          <w:tcPr>
            <w:tcW w:w="1832" w:type="dxa"/>
            <w:noWrap/>
            <w:vAlign w:val="center"/>
          </w:tcPr>
          <w:p w14:paraId="38A08178">
            <w:pPr>
              <w:spacing w:line="360" w:lineRule="exact"/>
              <w:jc w:val="center"/>
              <w:rPr>
                <w:rFonts w:ascii="宋体" w:hAnsi="宋体" w:cs="宋体"/>
              </w:rPr>
            </w:pPr>
          </w:p>
        </w:tc>
        <w:tc>
          <w:tcPr>
            <w:tcW w:w="1936" w:type="dxa"/>
            <w:noWrap/>
            <w:vAlign w:val="center"/>
          </w:tcPr>
          <w:p w14:paraId="4D8AA1BA">
            <w:pPr>
              <w:spacing w:line="360" w:lineRule="exact"/>
              <w:jc w:val="center"/>
              <w:rPr>
                <w:rFonts w:ascii="宋体" w:hAnsi="宋体" w:cs="宋体"/>
              </w:rPr>
            </w:pPr>
          </w:p>
        </w:tc>
        <w:tc>
          <w:tcPr>
            <w:tcW w:w="1182" w:type="dxa"/>
            <w:noWrap/>
            <w:vAlign w:val="center"/>
          </w:tcPr>
          <w:p w14:paraId="26C602EC">
            <w:pPr>
              <w:spacing w:line="360" w:lineRule="exact"/>
              <w:jc w:val="center"/>
              <w:rPr>
                <w:rFonts w:ascii="宋体" w:hAnsi="宋体" w:cs="宋体"/>
              </w:rPr>
            </w:pPr>
          </w:p>
        </w:tc>
      </w:tr>
      <w:tr w14:paraId="37E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04557A4F">
            <w:pPr>
              <w:spacing w:line="360" w:lineRule="exact"/>
              <w:jc w:val="center"/>
              <w:rPr>
                <w:rFonts w:ascii="宋体" w:hAnsi="宋体" w:cs="宋体"/>
              </w:rPr>
            </w:pPr>
          </w:p>
        </w:tc>
        <w:tc>
          <w:tcPr>
            <w:tcW w:w="1153" w:type="dxa"/>
            <w:noWrap/>
            <w:vAlign w:val="center"/>
          </w:tcPr>
          <w:p w14:paraId="1346D5B9">
            <w:pPr>
              <w:spacing w:line="360" w:lineRule="exact"/>
              <w:jc w:val="center"/>
              <w:rPr>
                <w:rFonts w:ascii="宋体" w:hAnsi="宋体" w:cs="宋体"/>
              </w:rPr>
            </w:pPr>
          </w:p>
        </w:tc>
        <w:tc>
          <w:tcPr>
            <w:tcW w:w="1551" w:type="dxa"/>
            <w:noWrap/>
            <w:vAlign w:val="center"/>
          </w:tcPr>
          <w:p w14:paraId="400ABD3C">
            <w:pPr>
              <w:spacing w:line="360" w:lineRule="exact"/>
              <w:jc w:val="center"/>
              <w:rPr>
                <w:rFonts w:ascii="宋体" w:hAnsi="宋体" w:cs="宋体"/>
              </w:rPr>
            </w:pPr>
          </w:p>
        </w:tc>
        <w:tc>
          <w:tcPr>
            <w:tcW w:w="1832" w:type="dxa"/>
            <w:noWrap/>
            <w:vAlign w:val="center"/>
          </w:tcPr>
          <w:p w14:paraId="35C824B5">
            <w:pPr>
              <w:spacing w:line="360" w:lineRule="exact"/>
              <w:jc w:val="center"/>
              <w:rPr>
                <w:rFonts w:ascii="宋体" w:hAnsi="宋体" w:cs="宋体"/>
              </w:rPr>
            </w:pPr>
          </w:p>
        </w:tc>
        <w:tc>
          <w:tcPr>
            <w:tcW w:w="1936" w:type="dxa"/>
            <w:noWrap/>
            <w:vAlign w:val="center"/>
          </w:tcPr>
          <w:p w14:paraId="0A0BE165">
            <w:pPr>
              <w:spacing w:line="360" w:lineRule="exact"/>
              <w:jc w:val="center"/>
              <w:rPr>
                <w:rFonts w:ascii="宋体" w:hAnsi="宋体" w:cs="宋体"/>
              </w:rPr>
            </w:pPr>
          </w:p>
        </w:tc>
        <w:tc>
          <w:tcPr>
            <w:tcW w:w="1182" w:type="dxa"/>
            <w:noWrap/>
            <w:vAlign w:val="center"/>
          </w:tcPr>
          <w:p w14:paraId="7E196D70">
            <w:pPr>
              <w:spacing w:line="360" w:lineRule="exact"/>
              <w:jc w:val="center"/>
              <w:rPr>
                <w:rFonts w:ascii="宋体" w:hAnsi="宋体" w:cs="宋体"/>
              </w:rPr>
            </w:pPr>
          </w:p>
        </w:tc>
      </w:tr>
      <w:tr w14:paraId="72FE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6FFBEFE2">
            <w:pPr>
              <w:spacing w:line="360" w:lineRule="exact"/>
              <w:jc w:val="center"/>
              <w:rPr>
                <w:rFonts w:ascii="宋体" w:hAnsi="宋体" w:cs="宋体"/>
              </w:rPr>
            </w:pPr>
          </w:p>
        </w:tc>
        <w:tc>
          <w:tcPr>
            <w:tcW w:w="1153" w:type="dxa"/>
            <w:noWrap/>
            <w:vAlign w:val="center"/>
          </w:tcPr>
          <w:p w14:paraId="38604E6D">
            <w:pPr>
              <w:spacing w:line="360" w:lineRule="exact"/>
              <w:jc w:val="center"/>
              <w:rPr>
                <w:rFonts w:ascii="宋体" w:hAnsi="宋体" w:cs="宋体"/>
              </w:rPr>
            </w:pPr>
          </w:p>
        </w:tc>
        <w:tc>
          <w:tcPr>
            <w:tcW w:w="1551" w:type="dxa"/>
            <w:noWrap/>
            <w:vAlign w:val="center"/>
          </w:tcPr>
          <w:p w14:paraId="5FD048FA">
            <w:pPr>
              <w:spacing w:line="360" w:lineRule="exact"/>
              <w:jc w:val="center"/>
              <w:rPr>
                <w:rFonts w:ascii="宋体" w:hAnsi="宋体" w:cs="宋体"/>
              </w:rPr>
            </w:pPr>
          </w:p>
        </w:tc>
        <w:tc>
          <w:tcPr>
            <w:tcW w:w="1832" w:type="dxa"/>
            <w:noWrap/>
            <w:vAlign w:val="center"/>
          </w:tcPr>
          <w:p w14:paraId="74E54CF8">
            <w:pPr>
              <w:spacing w:line="360" w:lineRule="exact"/>
              <w:jc w:val="center"/>
              <w:rPr>
                <w:rFonts w:ascii="宋体" w:hAnsi="宋体" w:cs="宋体"/>
              </w:rPr>
            </w:pPr>
          </w:p>
        </w:tc>
        <w:tc>
          <w:tcPr>
            <w:tcW w:w="1936" w:type="dxa"/>
            <w:noWrap/>
            <w:vAlign w:val="center"/>
          </w:tcPr>
          <w:p w14:paraId="07227851">
            <w:pPr>
              <w:spacing w:line="360" w:lineRule="exact"/>
              <w:jc w:val="center"/>
              <w:rPr>
                <w:rFonts w:ascii="宋体" w:hAnsi="宋体" w:cs="宋体"/>
              </w:rPr>
            </w:pPr>
          </w:p>
        </w:tc>
        <w:tc>
          <w:tcPr>
            <w:tcW w:w="1182" w:type="dxa"/>
            <w:noWrap/>
            <w:vAlign w:val="center"/>
          </w:tcPr>
          <w:p w14:paraId="31EDC71C">
            <w:pPr>
              <w:spacing w:line="360" w:lineRule="exact"/>
              <w:jc w:val="center"/>
              <w:rPr>
                <w:rFonts w:ascii="宋体" w:hAnsi="宋体" w:cs="宋体"/>
              </w:rPr>
            </w:pPr>
          </w:p>
        </w:tc>
      </w:tr>
      <w:tr w14:paraId="17CA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28318A10">
            <w:pPr>
              <w:spacing w:line="360" w:lineRule="exact"/>
              <w:jc w:val="center"/>
              <w:rPr>
                <w:rFonts w:ascii="宋体" w:hAnsi="宋体" w:cs="宋体"/>
              </w:rPr>
            </w:pPr>
          </w:p>
        </w:tc>
        <w:tc>
          <w:tcPr>
            <w:tcW w:w="1153" w:type="dxa"/>
            <w:noWrap/>
            <w:vAlign w:val="center"/>
          </w:tcPr>
          <w:p w14:paraId="30CFCACF">
            <w:pPr>
              <w:spacing w:line="360" w:lineRule="exact"/>
              <w:jc w:val="center"/>
              <w:rPr>
                <w:rFonts w:ascii="宋体" w:hAnsi="宋体" w:cs="宋体"/>
              </w:rPr>
            </w:pPr>
          </w:p>
        </w:tc>
        <w:tc>
          <w:tcPr>
            <w:tcW w:w="1551" w:type="dxa"/>
            <w:noWrap/>
            <w:vAlign w:val="center"/>
          </w:tcPr>
          <w:p w14:paraId="5A7B6371">
            <w:pPr>
              <w:spacing w:line="360" w:lineRule="exact"/>
              <w:jc w:val="center"/>
              <w:rPr>
                <w:rFonts w:ascii="宋体" w:hAnsi="宋体" w:cs="宋体"/>
              </w:rPr>
            </w:pPr>
          </w:p>
        </w:tc>
        <w:tc>
          <w:tcPr>
            <w:tcW w:w="1832" w:type="dxa"/>
            <w:noWrap/>
            <w:vAlign w:val="center"/>
          </w:tcPr>
          <w:p w14:paraId="5C0AC32C">
            <w:pPr>
              <w:spacing w:line="360" w:lineRule="exact"/>
              <w:jc w:val="center"/>
              <w:rPr>
                <w:rFonts w:ascii="宋体" w:hAnsi="宋体" w:cs="宋体"/>
              </w:rPr>
            </w:pPr>
          </w:p>
        </w:tc>
        <w:tc>
          <w:tcPr>
            <w:tcW w:w="1936" w:type="dxa"/>
            <w:noWrap/>
            <w:vAlign w:val="center"/>
          </w:tcPr>
          <w:p w14:paraId="392297E5">
            <w:pPr>
              <w:spacing w:line="360" w:lineRule="exact"/>
              <w:jc w:val="center"/>
              <w:rPr>
                <w:rFonts w:ascii="宋体" w:hAnsi="宋体" w:cs="宋体"/>
              </w:rPr>
            </w:pPr>
          </w:p>
        </w:tc>
        <w:tc>
          <w:tcPr>
            <w:tcW w:w="1182" w:type="dxa"/>
            <w:noWrap/>
            <w:vAlign w:val="center"/>
          </w:tcPr>
          <w:p w14:paraId="4BA01F8C">
            <w:pPr>
              <w:spacing w:line="360" w:lineRule="exact"/>
              <w:jc w:val="center"/>
              <w:rPr>
                <w:rFonts w:ascii="宋体" w:hAnsi="宋体" w:cs="宋体"/>
              </w:rPr>
            </w:pPr>
          </w:p>
        </w:tc>
      </w:tr>
      <w:tr w14:paraId="3D18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5E875AFA">
            <w:pPr>
              <w:spacing w:line="360" w:lineRule="exact"/>
              <w:jc w:val="center"/>
              <w:rPr>
                <w:rFonts w:ascii="宋体" w:hAnsi="宋体" w:cs="宋体"/>
              </w:rPr>
            </w:pPr>
          </w:p>
        </w:tc>
        <w:tc>
          <w:tcPr>
            <w:tcW w:w="1153" w:type="dxa"/>
            <w:noWrap/>
            <w:vAlign w:val="center"/>
          </w:tcPr>
          <w:p w14:paraId="07602E0A">
            <w:pPr>
              <w:spacing w:line="360" w:lineRule="exact"/>
              <w:jc w:val="center"/>
              <w:rPr>
                <w:rFonts w:ascii="宋体" w:hAnsi="宋体" w:cs="宋体"/>
              </w:rPr>
            </w:pPr>
          </w:p>
        </w:tc>
        <w:tc>
          <w:tcPr>
            <w:tcW w:w="1551" w:type="dxa"/>
            <w:noWrap/>
            <w:vAlign w:val="center"/>
          </w:tcPr>
          <w:p w14:paraId="49F2E466">
            <w:pPr>
              <w:spacing w:line="360" w:lineRule="exact"/>
              <w:jc w:val="center"/>
              <w:rPr>
                <w:rFonts w:ascii="宋体" w:hAnsi="宋体" w:cs="宋体"/>
              </w:rPr>
            </w:pPr>
          </w:p>
        </w:tc>
        <w:tc>
          <w:tcPr>
            <w:tcW w:w="1832" w:type="dxa"/>
            <w:noWrap/>
            <w:vAlign w:val="center"/>
          </w:tcPr>
          <w:p w14:paraId="5F8CB6AE">
            <w:pPr>
              <w:spacing w:line="360" w:lineRule="exact"/>
              <w:jc w:val="center"/>
              <w:rPr>
                <w:rFonts w:ascii="宋体" w:hAnsi="宋体" w:cs="宋体"/>
              </w:rPr>
            </w:pPr>
          </w:p>
        </w:tc>
        <w:tc>
          <w:tcPr>
            <w:tcW w:w="1936" w:type="dxa"/>
            <w:noWrap/>
            <w:vAlign w:val="center"/>
          </w:tcPr>
          <w:p w14:paraId="7B7E83A9">
            <w:pPr>
              <w:spacing w:line="360" w:lineRule="exact"/>
              <w:jc w:val="center"/>
              <w:rPr>
                <w:rFonts w:ascii="宋体" w:hAnsi="宋体" w:cs="宋体"/>
              </w:rPr>
            </w:pPr>
          </w:p>
        </w:tc>
        <w:tc>
          <w:tcPr>
            <w:tcW w:w="1182" w:type="dxa"/>
            <w:noWrap/>
            <w:vAlign w:val="center"/>
          </w:tcPr>
          <w:p w14:paraId="30E9A3F0">
            <w:pPr>
              <w:spacing w:line="360" w:lineRule="exact"/>
              <w:jc w:val="center"/>
              <w:rPr>
                <w:rFonts w:ascii="宋体" w:hAnsi="宋体" w:cs="宋体"/>
              </w:rPr>
            </w:pPr>
          </w:p>
        </w:tc>
      </w:tr>
      <w:tr w14:paraId="32EE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71657820">
            <w:pPr>
              <w:spacing w:line="360" w:lineRule="exact"/>
              <w:jc w:val="center"/>
              <w:rPr>
                <w:rFonts w:ascii="宋体" w:hAnsi="宋体" w:cs="宋体"/>
              </w:rPr>
            </w:pPr>
          </w:p>
        </w:tc>
        <w:tc>
          <w:tcPr>
            <w:tcW w:w="1153" w:type="dxa"/>
            <w:noWrap/>
            <w:vAlign w:val="center"/>
          </w:tcPr>
          <w:p w14:paraId="5F27A436">
            <w:pPr>
              <w:spacing w:line="360" w:lineRule="exact"/>
              <w:jc w:val="center"/>
              <w:rPr>
                <w:rFonts w:ascii="宋体" w:hAnsi="宋体" w:cs="宋体"/>
              </w:rPr>
            </w:pPr>
          </w:p>
        </w:tc>
        <w:tc>
          <w:tcPr>
            <w:tcW w:w="1551" w:type="dxa"/>
            <w:noWrap/>
            <w:vAlign w:val="center"/>
          </w:tcPr>
          <w:p w14:paraId="2DD34E09">
            <w:pPr>
              <w:spacing w:line="360" w:lineRule="exact"/>
              <w:jc w:val="center"/>
              <w:rPr>
                <w:rFonts w:ascii="宋体" w:hAnsi="宋体" w:cs="宋体"/>
              </w:rPr>
            </w:pPr>
          </w:p>
        </w:tc>
        <w:tc>
          <w:tcPr>
            <w:tcW w:w="1832" w:type="dxa"/>
            <w:noWrap/>
            <w:vAlign w:val="center"/>
          </w:tcPr>
          <w:p w14:paraId="53E7EB95">
            <w:pPr>
              <w:spacing w:line="360" w:lineRule="exact"/>
              <w:jc w:val="center"/>
              <w:rPr>
                <w:rFonts w:ascii="宋体" w:hAnsi="宋体" w:cs="宋体"/>
              </w:rPr>
            </w:pPr>
          </w:p>
        </w:tc>
        <w:tc>
          <w:tcPr>
            <w:tcW w:w="1936" w:type="dxa"/>
            <w:noWrap/>
            <w:vAlign w:val="center"/>
          </w:tcPr>
          <w:p w14:paraId="0EBBDE85">
            <w:pPr>
              <w:spacing w:line="360" w:lineRule="exact"/>
              <w:jc w:val="center"/>
              <w:rPr>
                <w:rFonts w:ascii="宋体" w:hAnsi="宋体" w:cs="宋体"/>
              </w:rPr>
            </w:pPr>
          </w:p>
        </w:tc>
        <w:tc>
          <w:tcPr>
            <w:tcW w:w="1182" w:type="dxa"/>
            <w:noWrap/>
            <w:vAlign w:val="center"/>
          </w:tcPr>
          <w:p w14:paraId="480D5834">
            <w:pPr>
              <w:spacing w:line="360" w:lineRule="exact"/>
              <w:jc w:val="center"/>
              <w:rPr>
                <w:rFonts w:ascii="宋体" w:hAnsi="宋体" w:cs="宋体"/>
              </w:rPr>
            </w:pPr>
          </w:p>
        </w:tc>
      </w:tr>
      <w:tr w14:paraId="63E6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4864A71E">
            <w:pPr>
              <w:spacing w:line="360" w:lineRule="exact"/>
              <w:jc w:val="center"/>
              <w:rPr>
                <w:rFonts w:ascii="宋体" w:hAnsi="宋体" w:cs="宋体"/>
              </w:rPr>
            </w:pPr>
          </w:p>
        </w:tc>
        <w:tc>
          <w:tcPr>
            <w:tcW w:w="1153" w:type="dxa"/>
            <w:noWrap/>
            <w:vAlign w:val="center"/>
          </w:tcPr>
          <w:p w14:paraId="382077F9">
            <w:pPr>
              <w:spacing w:line="360" w:lineRule="exact"/>
              <w:jc w:val="center"/>
              <w:rPr>
                <w:rFonts w:ascii="宋体" w:hAnsi="宋体" w:cs="宋体"/>
              </w:rPr>
            </w:pPr>
          </w:p>
        </w:tc>
        <w:tc>
          <w:tcPr>
            <w:tcW w:w="1551" w:type="dxa"/>
            <w:noWrap/>
            <w:vAlign w:val="center"/>
          </w:tcPr>
          <w:p w14:paraId="374FEC1A">
            <w:pPr>
              <w:spacing w:line="360" w:lineRule="exact"/>
              <w:jc w:val="center"/>
              <w:rPr>
                <w:rFonts w:ascii="宋体" w:hAnsi="宋体" w:cs="宋体"/>
              </w:rPr>
            </w:pPr>
          </w:p>
        </w:tc>
        <w:tc>
          <w:tcPr>
            <w:tcW w:w="1832" w:type="dxa"/>
            <w:noWrap/>
            <w:vAlign w:val="center"/>
          </w:tcPr>
          <w:p w14:paraId="60BB8E80">
            <w:pPr>
              <w:spacing w:line="360" w:lineRule="exact"/>
              <w:jc w:val="center"/>
              <w:rPr>
                <w:rFonts w:ascii="宋体" w:hAnsi="宋体" w:cs="宋体"/>
              </w:rPr>
            </w:pPr>
          </w:p>
        </w:tc>
        <w:tc>
          <w:tcPr>
            <w:tcW w:w="1936" w:type="dxa"/>
            <w:noWrap/>
            <w:vAlign w:val="center"/>
          </w:tcPr>
          <w:p w14:paraId="7F921B34">
            <w:pPr>
              <w:spacing w:line="360" w:lineRule="exact"/>
              <w:jc w:val="center"/>
              <w:rPr>
                <w:rFonts w:ascii="宋体" w:hAnsi="宋体" w:cs="宋体"/>
              </w:rPr>
            </w:pPr>
          </w:p>
        </w:tc>
        <w:tc>
          <w:tcPr>
            <w:tcW w:w="1182" w:type="dxa"/>
            <w:noWrap/>
            <w:vAlign w:val="center"/>
          </w:tcPr>
          <w:p w14:paraId="3D9B7FD0">
            <w:pPr>
              <w:spacing w:line="360" w:lineRule="exact"/>
              <w:jc w:val="center"/>
              <w:rPr>
                <w:rFonts w:ascii="宋体" w:hAnsi="宋体" w:cs="宋体"/>
              </w:rPr>
            </w:pPr>
          </w:p>
        </w:tc>
      </w:tr>
      <w:tr w14:paraId="797F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5A594815">
            <w:pPr>
              <w:spacing w:line="360" w:lineRule="exact"/>
              <w:jc w:val="center"/>
              <w:rPr>
                <w:rFonts w:ascii="宋体" w:hAnsi="宋体" w:cs="宋体"/>
              </w:rPr>
            </w:pPr>
          </w:p>
        </w:tc>
        <w:tc>
          <w:tcPr>
            <w:tcW w:w="1153" w:type="dxa"/>
            <w:noWrap/>
            <w:vAlign w:val="center"/>
          </w:tcPr>
          <w:p w14:paraId="17ED3240">
            <w:pPr>
              <w:spacing w:line="360" w:lineRule="exact"/>
              <w:jc w:val="center"/>
              <w:rPr>
                <w:rFonts w:ascii="宋体" w:hAnsi="宋体" w:cs="宋体"/>
              </w:rPr>
            </w:pPr>
          </w:p>
        </w:tc>
        <w:tc>
          <w:tcPr>
            <w:tcW w:w="1551" w:type="dxa"/>
            <w:noWrap/>
            <w:vAlign w:val="center"/>
          </w:tcPr>
          <w:p w14:paraId="590D1489">
            <w:pPr>
              <w:spacing w:line="360" w:lineRule="exact"/>
              <w:jc w:val="center"/>
              <w:rPr>
                <w:rFonts w:ascii="宋体" w:hAnsi="宋体" w:cs="宋体"/>
              </w:rPr>
            </w:pPr>
          </w:p>
        </w:tc>
        <w:tc>
          <w:tcPr>
            <w:tcW w:w="1832" w:type="dxa"/>
            <w:noWrap/>
            <w:vAlign w:val="center"/>
          </w:tcPr>
          <w:p w14:paraId="48585968">
            <w:pPr>
              <w:spacing w:line="360" w:lineRule="exact"/>
              <w:jc w:val="center"/>
              <w:rPr>
                <w:rFonts w:ascii="宋体" w:hAnsi="宋体" w:cs="宋体"/>
              </w:rPr>
            </w:pPr>
          </w:p>
        </w:tc>
        <w:tc>
          <w:tcPr>
            <w:tcW w:w="1936" w:type="dxa"/>
            <w:noWrap/>
            <w:vAlign w:val="center"/>
          </w:tcPr>
          <w:p w14:paraId="34A11E71">
            <w:pPr>
              <w:spacing w:line="360" w:lineRule="exact"/>
              <w:jc w:val="center"/>
              <w:rPr>
                <w:rFonts w:ascii="宋体" w:hAnsi="宋体" w:cs="宋体"/>
              </w:rPr>
            </w:pPr>
          </w:p>
        </w:tc>
        <w:tc>
          <w:tcPr>
            <w:tcW w:w="1182" w:type="dxa"/>
            <w:noWrap/>
            <w:vAlign w:val="center"/>
          </w:tcPr>
          <w:p w14:paraId="7D4D10F0">
            <w:pPr>
              <w:spacing w:line="360" w:lineRule="exact"/>
              <w:jc w:val="center"/>
              <w:rPr>
                <w:rFonts w:ascii="宋体" w:hAnsi="宋体" w:cs="宋体"/>
              </w:rPr>
            </w:pPr>
          </w:p>
        </w:tc>
      </w:tr>
      <w:tr w14:paraId="7291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8" w:type="dxa"/>
            <w:noWrap/>
            <w:vAlign w:val="center"/>
          </w:tcPr>
          <w:p w14:paraId="17D4C995">
            <w:pPr>
              <w:spacing w:line="360" w:lineRule="exact"/>
              <w:jc w:val="center"/>
              <w:rPr>
                <w:rFonts w:ascii="宋体" w:hAnsi="宋体" w:cs="宋体"/>
              </w:rPr>
            </w:pPr>
          </w:p>
        </w:tc>
        <w:tc>
          <w:tcPr>
            <w:tcW w:w="1153" w:type="dxa"/>
            <w:noWrap/>
            <w:vAlign w:val="center"/>
          </w:tcPr>
          <w:p w14:paraId="188E1AA8">
            <w:pPr>
              <w:spacing w:line="360" w:lineRule="exact"/>
              <w:jc w:val="center"/>
              <w:rPr>
                <w:rFonts w:ascii="宋体" w:hAnsi="宋体" w:cs="宋体"/>
              </w:rPr>
            </w:pPr>
          </w:p>
        </w:tc>
        <w:tc>
          <w:tcPr>
            <w:tcW w:w="1551" w:type="dxa"/>
            <w:noWrap/>
            <w:vAlign w:val="center"/>
          </w:tcPr>
          <w:p w14:paraId="66C6B5D7">
            <w:pPr>
              <w:spacing w:line="360" w:lineRule="exact"/>
              <w:jc w:val="center"/>
              <w:rPr>
                <w:rFonts w:ascii="宋体" w:hAnsi="宋体" w:cs="宋体"/>
              </w:rPr>
            </w:pPr>
          </w:p>
        </w:tc>
        <w:tc>
          <w:tcPr>
            <w:tcW w:w="1832" w:type="dxa"/>
            <w:noWrap/>
            <w:vAlign w:val="center"/>
          </w:tcPr>
          <w:p w14:paraId="3A3DF239">
            <w:pPr>
              <w:spacing w:line="360" w:lineRule="exact"/>
              <w:jc w:val="center"/>
              <w:rPr>
                <w:rFonts w:ascii="宋体" w:hAnsi="宋体" w:cs="宋体"/>
              </w:rPr>
            </w:pPr>
          </w:p>
        </w:tc>
        <w:tc>
          <w:tcPr>
            <w:tcW w:w="1936" w:type="dxa"/>
            <w:noWrap/>
            <w:vAlign w:val="center"/>
          </w:tcPr>
          <w:p w14:paraId="22A89951">
            <w:pPr>
              <w:spacing w:line="360" w:lineRule="exact"/>
              <w:jc w:val="center"/>
              <w:rPr>
                <w:rFonts w:ascii="宋体" w:hAnsi="宋体" w:cs="宋体"/>
              </w:rPr>
            </w:pPr>
          </w:p>
        </w:tc>
        <w:tc>
          <w:tcPr>
            <w:tcW w:w="1182" w:type="dxa"/>
            <w:noWrap/>
            <w:vAlign w:val="center"/>
          </w:tcPr>
          <w:p w14:paraId="1E73AB38">
            <w:pPr>
              <w:spacing w:line="360" w:lineRule="exact"/>
              <w:jc w:val="center"/>
              <w:rPr>
                <w:rFonts w:ascii="宋体" w:hAnsi="宋体" w:cs="宋体"/>
              </w:rPr>
            </w:pPr>
          </w:p>
        </w:tc>
      </w:tr>
    </w:tbl>
    <w:p w14:paraId="73612AAA">
      <w:pPr>
        <w:snapToGrid w:val="0"/>
        <w:spacing w:line="440" w:lineRule="exact"/>
        <w:rPr>
          <w:rFonts w:ascii="宋体" w:hAnsi="宋体" w:cs="宋体"/>
        </w:rPr>
      </w:pPr>
    </w:p>
    <w:p w14:paraId="19E0D084">
      <w:pPr>
        <w:snapToGrid w:val="0"/>
        <w:spacing w:line="440" w:lineRule="exact"/>
        <w:rPr>
          <w:rFonts w:ascii="宋体" w:hAnsi="宋体" w:cs="宋体"/>
          <w:u w:val="single"/>
        </w:rPr>
      </w:pPr>
      <w:r>
        <w:rPr>
          <w:rFonts w:hint="eastAsia" w:ascii="宋体" w:hAnsi="宋体" w:cs="宋体"/>
        </w:rPr>
        <w:t>授权代表签名：</w:t>
      </w:r>
    </w:p>
    <w:p w14:paraId="719D8050">
      <w:pPr>
        <w:pStyle w:val="6"/>
        <w:adjustRightInd w:val="0"/>
        <w:snapToGrid w:val="0"/>
        <w:spacing w:after="0" w:line="440" w:lineRule="exact"/>
        <w:rPr>
          <w:rFonts w:ascii="宋体" w:hAnsi="宋体" w:cs="宋体"/>
        </w:rPr>
      </w:pPr>
      <w:r>
        <w:rPr>
          <w:rFonts w:hint="eastAsia" w:ascii="宋体" w:hAnsi="宋体" w:cs="宋体"/>
        </w:rPr>
        <w:t>投标人盖章：</w:t>
      </w:r>
    </w:p>
    <w:p w14:paraId="0D967216">
      <w:pPr>
        <w:adjustRightInd w:val="0"/>
        <w:snapToGrid w:val="0"/>
        <w:spacing w:line="440" w:lineRule="exact"/>
        <w:rPr>
          <w:rFonts w:ascii="宋体" w:hAnsi="宋体" w:cs="宋体"/>
          <w:bCs/>
        </w:rPr>
      </w:pPr>
      <w:r>
        <w:rPr>
          <w:rFonts w:hint="eastAsia" w:ascii="宋体" w:hAnsi="宋体" w:cs="宋体"/>
          <w:bCs/>
        </w:rPr>
        <w:t>年月日</w:t>
      </w:r>
    </w:p>
    <w:p w14:paraId="409965B6">
      <w:pPr>
        <w:adjustRightInd w:val="0"/>
        <w:snapToGrid w:val="0"/>
        <w:jc w:val="left"/>
        <w:rPr>
          <w:rFonts w:ascii="宋体" w:hAnsi="宋体" w:cs="宋体"/>
          <w:sz w:val="24"/>
        </w:rPr>
      </w:pPr>
    </w:p>
    <w:p w14:paraId="112FAF39">
      <w:pPr>
        <w:adjustRightInd w:val="0"/>
        <w:snapToGrid w:val="0"/>
        <w:jc w:val="left"/>
        <w:rPr>
          <w:rFonts w:ascii="宋体" w:hAnsi="宋体" w:cs="宋体"/>
          <w:sz w:val="24"/>
        </w:rPr>
      </w:pPr>
    </w:p>
    <w:p w14:paraId="6868BFE5">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注：1、附件资料按评分标准提供。</w:t>
      </w:r>
    </w:p>
    <w:p w14:paraId="110F744F">
      <w:r>
        <w:br w:type="page"/>
      </w:r>
    </w:p>
    <w:p w14:paraId="192CA70B">
      <w:pPr>
        <w:adjustRightInd w:val="0"/>
        <w:snapToGrid w:val="0"/>
        <w:rPr>
          <w:rFonts w:hint="eastAsia" w:ascii="宋体" w:hAnsi="宋体" w:cs="宋体"/>
          <w:sz w:val="24"/>
        </w:rPr>
      </w:pPr>
      <w:r>
        <w:rPr>
          <w:rFonts w:hint="eastAsia" w:ascii="宋体" w:hAnsi="宋体" w:cs="宋体"/>
          <w:sz w:val="24"/>
        </w:rPr>
        <w:t>8.商务响应表格式:</w:t>
      </w:r>
    </w:p>
    <w:p w14:paraId="25BAE797">
      <w:pPr>
        <w:adjustRightInd w:val="0"/>
        <w:snapToGrid w:val="0"/>
        <w:rPr>
          <w:rFonts w:ascii="宋体" w:hAnsi="宋体" w:cs="宋体"/>
          <w:b/>
          <w:sz w:val="44"/>
          <w:szCs w:val="44"/>
        </w:rPr>
      </w:pPr>
    </w:p>
    <w:p w14:paraId="2A6DB9F7">
      <w:pPr>
        <w:adjustRightInd w:val="0"/>
        <w:snapToGrid w:val="0"/>
        <w:jc w:val="center"/>
        <w:rPr>
          <w:rFonts w:ascii="宋体" w:hAnsi="宋体" w:cs="宋体"/>
          <w:b/>
          <w:sz w:val="44"/>
          <w:szCs w:val="44"/>
        </w:rPr>
      </w:pPr>
      <w:r>
        <w:rPr>
          <w:rFonts w:hint="eastAsia" w:ascii="宋体" w:hAnsi="宋体" w:cs="宋体"/>
          <w:b/>
          <w:sz w:val="44"/>
          <w:szCs w:val="44"/>
        </w:rPr>
        <w:t>商务响应表</w:t>
      </w:r>
    </w:p>
    <w:p w14:paraId="00785BB9">
      <w:pPr>
        <w:spacing w:line="380" w:lineRule="exact"/>
        <w:rPr>
          <w:rFonts w:ascii="宋体" w:hAnsi="宋体" w:cs="宋体"/>
        </w:rPr>
      </w:pPr>
      <w:r>
        <w:rPr>
          <w:rFonts w:hint="eastAsia" w:ascii="宋体" w:hAnsi="宋体" w:cs="宋体"/>
        </w:rPr>
        <w:t xml:space="preserve">项目名称：  </w:t>
      </w:r>
    </w:p>
    <w:p w14:paraId="2726B083">
      <w:pPr>
        <w:spacing w:line="380" w:lineRule="exact"/>
        <w:rPr>
          <w:rFonts w:ascii="宋体" w:hAnsi="宋体" w:cs="宋体"/>
        </w:rPr>
      </w:pPr>
      <w:r>
        <w:rPr>
          <w:rFonts w:hint="eastAsia" w:ascii="宋体" w:hAnsi="宋体" w:cs="宋体"/>
        </w:rPr>
        <w:t>项目编号：</w:t>
      </w:r>
    </w:p>
    <w:tbl>
      <w:tblPr>
        <w:tblStyle w:val="18"/>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3563"/>
        <w:gridCol w:w="1200"/>
        <w:gridCol w:w="1200"/>
        <w:gridCol w:w="1487"/>
      </w:tblGrid>
      <w:tr w14:paraId="1501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4DF068BD">
            <w:pPr>
              <w:adjustRightInd w:val="0"/>
              <w:snapToGrid w:val="0"/>
              <w:spacing w:line="300" w:lineRule="exact"/>
              <w:jc w:val="center"/>
              <w:rPr>
                <w:rFonts w:ascii="宋体" w:hAnsi="宋体" w:cs="宋体"/>
                <w:b/>
              </w:rPr>
            </w:pPr>
            <w:r>
              <w:rPr>
                <w:rFonts w:hint="eastAsia" w:ascii="宋体" w:hAnsi="宋体" w:cs="宋体"/>
                <w:b/>
              </w:rPr>
              <w:t>项目</w:t>
            </w:r>
          </w:p>
        </w:tc>
        <w:tc>
          <w:tcPr>
            <w:tcW w:w="3563" w:type="dxa"/>
            <w:noWrap/>
            <w:vAlign w:val="center"/>
          </w:tcPr>
          <w:p w14:paraId="1EBCB5DF">
            <w:pPr>
              <w:adjustRightInd w:val="0"/>
              <w:snapToGrid w:val="0"/>
              <w:spacing w:line="300" w:lineRule="exact"/>
              <w:jc w:val="center"/>
              <w:rPr>
                <w:rFonts w:ascii="宋体" w:hAnsi="宋体" w:cs="宋体"/>
                <w:b/>
              </w:rPr>
            </w:pPr>
            <w:r>
              <w:rPr>
                <w:rFonts w:hint="eastAsia" w:ascii="宋体" w:hAnsi="宋体" w:cs="宋体"/>
                <w:b/>
              </w:rPr>
              <w:t>招标文件要求</w:t>
            </w:r>
          </w:p>
        </w:tc>
        <w:tc>
          <w:tcPr>
            <w:tcW w:w="1200" w:type="dxa"/>
            <w:noWrap/>
            <w:vAlign w:val="center"/>
          </w:tcPr>
          <w:p w14:paraId="7F4FD881">
            <w:pPr>
              <w:adjustRightInd w:val="0"/>
              <w:snapToGrid w:val="0"/>
              <w:spacing w:line="300" w:lineRule="exact"/>
              <w:jc w:val="center"/>
              <w:rPr>
                <w:rFonts w:ascii="宋体" w:hAnsi="宋体" w:cs="宋体"/>
                <w:b/>
              </w:rPr>
            </w:pPr>
            <w:r>
              <w:rPr>
                <w:rFonts w:hint="eastAsia" w:ascii="宋体" w:hAnsi="宋体" w:cs="宋体"/>
                <w:b/>
              </w:rPr>
              <w:t>是否响应</w:t>
            </w:r>
          </w:p>
        </w:tc>
        <w:tc>
          <w:tcPr>
            <w:tcW w:w="1200" w:type="dxa"/>
            <w:noWrap/>
            <w:vAlign w:val="center"/>
          </w:tcPr>
          <w:p w14:paraId="49ED510D">
            <w:pPr>
              <w:adjustRightInd w:val="0"/>
              <w:snapToGrid w:val="0"/>
              <w:spacing w:line="300" w:lineRule="exact"/>
              <w:jc w:val="center"/>
              <w:rPr>
                <w:rFonts w:hint="default" w:ascii="宋体" w:hAnsi="宋体" w:eastAsia="宋体" w:cs="宋体"/>
                <w:b/>
                <w:lang w:val="en-US" w:eastAsia="zh-CN"/>
              </w:rPr>
            </w:pPr>
            <w:r>
              <w:rPr>
                <w:rFonts w:hint="eastAsia" w:ascii="宋体" w:hAnsi="宋体" w:cs="宋体"/>
                <w:b/>
                <w:lang w:val="en-US" w:eastAsia="zh-CN"/>
              </w:rPr>
              <w:t>偏离情况</w:t>
            </w:r>
          </w:p>
        </w:tc>
        <w:tc>
          <w:tcPr>
            <w:tcW w:w="1487" w:type="dxa"/>
            <w:noWrap/>
            <w:vAlign w:val="center"/>
          </w:tcPr>
          <w:p w14:paraId="68B48F80">
            <w:pPr>
              <w:adjustRightInd w:val="0"/>
              <w:snapToGrid w:val="0"/>
              <w:spacing w:line="300" w:lineRule="exact"/>
              <w:jc w:val="center"/>
              <w:rPr>
                <w:rFonts w:ascii="宋体" w:hAnsi="宋体" w:cs="宋体"/>
                <w:b/>
              </w:rPr>
            </w:pPr>
            <w:r>
              <w:rPr>
                <w:rFonts w:hint="eastAsia" w:ascii="宋体" w:hAnsi="宋体" w:cs="宋体"/>
                <w:b/>
              </w:rPr>
              <w:t>投标人的承诺或说明</w:t>
            </w:r>
          </w:p>
        </w:tc>
      </w:tr>
      <w:tr w14:paraId="7AE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0F0367">
            <w:pPr>
              <w:snapToGrid w:val="0"/>
              <w:spacing w:line="360" w:lineRule="exact"/>
              <w:jc w:val="left"/>
              <w:rPr>
                <w:rFonts w:ascii="宋体" w:hAnsi="宋体" w:cs="宋体"/>
                <w:b/>
                <w:sz w:val="18"/>
                <w:szCs w:val="18"/>
              </w:rPr>
            </w:pPr>
          </w:p>
        </w:tc>
        <w:tc>
          <w:tcPr>
            <w:tcW w:w="3563" w:type="dxa"/>
            <w:noWrap/>
          </w:tcPr>
          <w:p w14:paraId="2A2E5DBB">
            <w:pPr>
              <w:snapToGrid w:val="0"/>
              <w:spacing w:line="360" w:lineRule="exact"/>
              <w:rPr>
                <w:rFonts w:ascii="宋体" w:hAnsi="宋体" w:cs="宋体"/>
                <w:sz w:val="18"/>
                <w:szCs w:val="18"/>
              </w:rPr>
            </w:pPr>
          </w:p>
        </w:tc>
        <w:tc>
          <w:tcPr>
            <w:tcW w:w="1200" w:type="dxa"/>
            <w:noWrap/>
            <w:vAlign w:val="center"/>
          </w:tcPr>
          <w:p w14:paraId="2F96615F">
            <w:pPr>
              <w:adjustRightInd w:val="0"/>
              <w:snapToGrid w:val="0"/>
              <w:spacing w:line="240" w:lineRule="exact"/>
              <w:jc w:val="center"/>
              <w:rPr>
                <w:rFonts w:ascii="宋体" w:hAnsi="宋体" w:cs="宋体"/>
                <w:b/>
                <w:sz w:val="18"/>
                <w:szCs w:val="18"/>
              </w:rPr>
            </w:pPr>
          </w:p>
        </w:tc>
        <w:tc>
          <w:tcPr>
            <w:tcW w:w="1200" w:type="dxa"/>
            <w:noWrap/>
            <w:vAlign w:val="center"/>
          </w:tcPr>
          <w:p w14:paraId="1EFEAA36">
            <w:pPr>
              <w:adjustRightInd w:val="0"/>
              <w:snapToGrid w:val="0"/>
              <w:spacing w:line="240" w:lineRule="exact"/>
              <w:jc w:val="center"/>
              <w:rPr>
                <w:rFonts w:ascii="宋体" w:hAnsi="宋体" w:cs="宋体"/>
                <w:b/>
                <w:sz w:val="18"/>
                <w:szCs w:val="18"/>
              </w:rPr>
            </w:pPr>
          </w:p>
        </w:tc>
        <w:tc>
          <w:tcPr>
            <w:tcW w:w="1487" w:type="dxa"/>
            <w:noWrap/>
            <w:vAlign w:val="center"/>
          </w:tcPr>
          <w:p w14:paraId="6855EC9A">
            <w:pPr>
              <w:adjustRightInd w:val="0"/>
              <w:snapToGrid w:val="0"/>
              <w:spacing w:line="240" w:lineRule="exact"/>
              <w:jc w:val="center"/>
              <w:rPr>
                <w:rFonts w:ascii="宋体" w:hAnsi="宋体" w:cs="宋体"/>
                <w:b/>
                <w:sz w:val="18"/>
                <w:szCs w:val="18"/>
              </w:rPr>
            </w:pPr>
          </w:p>
        </w:tc>
      </w:tr>
      <w:tr w14:paraId="796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020" w:type="dxa"/>
            <w:noWrap/>
            <w:vAlign w:val="center"/>
          </w:tcPr>
          <w:p w14:paraId="1143997B">
            <w:pPr>
              <w:snapToGrid w:val="0"/>
              <w:spacing w:line="360" w:lineRule="exact"/>
              <w:jc w:val="left"/>
              <w:rPr>
                <w:rFonts w:ascii="宋体" w:hAnsi="宋体" w:cs="宋体"/>
                <w:b/>
                <w:sz w:val="18"/>
                <w:szCs w:val="18"/>
              </w:rPr>
            </w:pPr>
          </w:p>
        </w:tc>
        <w:tc>
          <w:tcPr>
            <w:tcW w:w="3563" w:type="dxa"/>
            <w:noWrap/>
          </w:tcPr>
          <w:p w14:paraId="2238EA92">
            <w:pPr>
              <w:snapToGrid w:val="0"/>
              <w:spacing w:line="360" w:lineRule="exact"/>
              <w:rPr>
                <w:rFonts w:ascii="宋体" w:hAnsi="宋体" w:cs="宋体"/>
                <w:sz w:val="18"/>
                <w:szCs w:val="18"/>
              </w:rPr>
            </w:pPr>
          </w:p>
        </w:tc>
        <w:tc>
          <w:tcPr>
            <w:tcW w:w="1200" w:type="dxa"/>
            <w:noWrap/>
            <w:vAlign w:val="center"/>
          </w:tcPr>
          <w:p w14:paraId="3EDF475C">
            <w:pPr>
              <w:adjustRightInd w:val="0"/>
              <w:snapToGrid w:val="0"/>
              <w:spacing w:line="240" w:lineRule="exact"/>
              <w:rPr>
                <w:rFonts w:ascii="宋体" w:hAnsi="宋体" w:cs="宋体"/>
                <w:sz w:val="18"/>
                <w:szCs w:val="18"/>
              </w:rPr>
            </w:pPr>
          </w:p>
        </w:tc>
        <w:tc>
          <w:tcPr>
            <w:tcW w:w="1200" w:type="dxa"/>
            <w:noWrap/>
            <w:vAlign w:val="center"/>
          </w:tcPr>
          <w:p w14:paraId="7A362CF5">
            <w:pPr>
              <w:adjustRightInd w:val="0"/>
              <w:snapToGrid w:val="0"/>
              <w:spacing w:line="240" w:lineRule="exact"/>
              <w:rPr>
                <w:rFonts w:ascii="宋体" w:hAnsi="宋体" w:cs="宋体"/>
                <w:sz w:val="18"/>
                <w:szCs w:val="18"/>
              </w:rPr>
            </w:pPr>
          </w:p>
        </w:tc>
        <w:tc>
          <w:tcPr>
            <w:tcW w:w="1487" w:type="dxa"/>
            <w:noWrap/>
            <w:vAlign w:val="center"/>
          </w:tcPr>
          <w:p w14:paraId="3B2E2654">
            <w:pPr>
              <w:adjustRightInd w:val="0"/>
              <w:snapToGrid w:val="0"/>
              <w:spacing w:line="240" w:lineRule="exact"/>
              <w:rPr>
                <w:rFonts w:ascii="宋体" w:hAnsi="宋体" w:cs="宋体"/>
                <w:sz w:val="18"/>
                <w:szCs w:val="18"/>
              </w:rPr>
            </w:pPr>
          </w:p>
        </w:tc>
      </w:tr>
      <w:tr w14:paraId="288C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C8A1C8D">
            <w:pPr>
              <w:snapToGrid w:val="0"/>
              <w:spacing w:line="360" w:lineRule="exact"/>
              <w:jc w:val="left"/>
              <w:rPr>
                <w:rFonts w:ascii="宋体" w:hAnsi="宋体" w:cs="宋体"/>
                <w:b/>
                <w:sz w:val="18"/>
                <w:szCs w:val="18"/>
              </w:rPr>
            </w:pPr>
          </w:p>
        </w:tc>
        <w:tc>
          <w:tcPr>
            <w:tcW w:w="3563" w:type="dxa"/>
            <w:noWrap/>
          </w:tcPr>
          <w:p w14:paraId="71904E1C">
            <w:pPr>
              <w:snapToGrid w:val="0"/>
              <w:spacing w:line="360" w:lineRule="exact"/>
              <w:jc w:val="left"/>
              <w:rPr>
                <w:rFonts w:ascii="宋体" w:hAnsi="宋体" w:cs="宋体"/>
                <w:b/>
                <w:sz w:val="18"/>
                <w:szCs w:val="18"/>
              </w:rPr>
            </w:pPr>
          </w:p>
        </w:tc>
        <w:tc>
          <w:tcPr>
            <w:tcW w:w="1200" w:type="dxa"/>
            <w:noWrap/>
          </w:tcPr>
          <w:p w14:paraId="5F50D714">
            <w:pPr>
              <w:adjustRightInd w:val="0"/>
              <w:snapToGrid w:val="0"/>
              <w:spacing w:line="240" w:lineRule="exact"/>
              <w:rPr>
                <w:rFonts w:ascii="宋体" w:hAnsi="宋体" w:cs="宋体"/>
                <w:sz w:val="18"/>
                <w:szCs w:val="18"/>
              </w:rPr>
            </w:pPr>
          </w:p>
        </w:tc>
        <w:tc>
          <w:tcPr>
            <w:tcW w:w="1200" w:type="dxa"/>
            <w:noWrap/>
          </w:tcPr>
          <w:p w14:paraId="65CD99C4">
            <w:pPr>
              <w:adjustRightInd w:val="0"/>
              <w:snapToGrid w:val="0"/>
              <w:spacing w:line="240" w:lineRule="exact"/>
              <w:rPr>
                <w:rFonts w:ascii="宋体" w:hAnsi="宋体" w:cs="宋体"/>
                <w:sz w:val="18"/>
                <w:szCs w:val="18"/>
              </w:rPr>
            </w:pPr>
          </w:p>
        </w:tc>
        <w:tc>
          <w:tcPr>
            <w:tcW w:w="1487" w:type="dxa"/>
            <w:noWrap/>
          </w:tcPr>
          <w:p w14:paraId="648925B0">
            <w:pPr>
              <w:adjustRightInd w:val="0"/>
              <w:snapToGrid w:val="0"/>
              <w:spacing w:line="240" w:lineRule="exact"/>
              <w:rPr>
                <w:rFonts w:ascii="宋体" w:hAnsi="宋体" w:cs="宋体"/>
                <w:sz w:val="18"/>
                <w:szCs w:val="18"/>
              </w:rPr>
            </w:pPr>
          </w:p>
        </w:tc>
      </w:tr>
      <w:tr w14:paraId="3242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9915557">
            <w:pPr>
              <w:snapToGrid w:val="0"/>
              <w:spacing w:line="360" w:lineRule="exact"/>
              <w:jc w:val="left"/>
              <w:rPr>
                <w:rFonts w:ascii="宋体" w:hAnsi="宋体" w:cs="宋体"/>
                <w:b/>
                <w:sz w:val="18"/>
                <w:szCs w:val="18"/>
              </w:rPr>
            </w:pPr>
          </w:p>
        </w:tc>
        <w:tc>
          <w:tcPr>
            <w:tcW w:w="3563" w:type="dxa"/>
            <w:noWrap/>
          </w:tcPr>
          <w:p w14:paraId="09F452E8">
            <w:pPr>
              <w:snapToGrid w:val="0"/>
              <w:spacing w:line="360" w:lineRule="exact"/>
              <w:rPr>
                <w:rFonts w:ascii="宋体" w:hAnsi="宋体" w:cs="宋体"/>
                <w:sz w:val="18"/>
                <w:szCs w:val="18"/>
              </w:rPr>
            </w:pPr>
          </w:p>
        </w:tc>
        <w:tc>
          <w:tcPr>
            <w:tcW w:w="1200" w:type="dxa"/>
            <w:noWrap/>
          </w:tcPr>
          <w:p w14:paraId="26E7E6FC">
            <w:pPr>
              <w:adjustRightInd w:val="0"/>
              <w:snapToGrid w:val="0"/>
              <w:spacing w:line="240" w:lineRule="exact"/>
              <w:rPr>
                <w:rFonts w:ascii="宋体" w:hAnsi="宋体" w:cs="宋体"/>
                <w:sz w:val="18"/>
                <w:szCs w:val="18"/>
              </w:rPr>
            </w:pPr>
          </w:p>
        </w:tc>
        <w:tc>
          <w:tcPr>
            <w:tcW w:w="1200" w:type="dxa"/>
            <w:noWrap/>
          </w:tcPr>
          <w:p w14:paraId="69E3AD86">
            <w:pPr>
              <w:adjustRightInd w:val="0"/>
              <w:snapToGrid w:val="0"/>
              <w:spacing w:line="240" w:lineRule="exact"/>
              <w:rPr>
                <w:rFonts w:ascii="宋体" w:hAnsi="宋体" w:cs="宋体"/>
                <w:sz w:val="18"/>
                <w:szCs w:val="18"/>
              </w:rPr>
            </w:pPr>
          </w:p>
        </w:tc>
        <w:tc>
          <w:tcPr>
            <w:tcW w:w="1487" w:type="dxa"/>
            <w:noWrap/>
          </w:tcPr>
          <w:p w14:paraId="6340F865">
            <w:pPr>
              <w:adjustRightInd w:val="0"/>
              <w:snapToGrid w:val="0"/>
              <w:spacing w:line="240" w:lineRule="exact"/>
              <w:rPr>
                <w:rFonts w:ascii="宋体" w:hAnsi="宋体" w:cs="宋体"/>
                <w:sz w:val="18"/>
                <w:szCs w:val="18"/>
              </w:rPr>
            </w:pPr>
          </w:p>
        </w:tc>
      </w:tr>
      <w:tr w14:paraId="7DA3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0D895F9">
            <w:pPr>
              <w:autoSpaceDE w:val="0"/>
              <w:autoSpaceDN w:val="0"/>
              <w:snapToGrid w:val="0"/>
              <w:spacing w:line="360" w:lineRule="exact"/>
              <w:jc w:val="left"/>
              <w:rPr>
                <w:rFonts w:ascii="宋体" w:hAnsi="宋体" w:cs="宋体"/>
                <w:b/>
                <w:sz w:val="18"/>
                <w:szCs w:val="18"/>
              </w:rPr>
            </w:pPr>
          </w:p>
        </w:tc>
        <w:tc>
          <w:tcPr>
            <w:tcW w:w="3563" w:type="dxa"/>
            <w:noWrap/>
            <w:vAlign w:val="center"/>
          </w:tcPr>
          <w:p w14:paraId="7CF73FDD">
            <w:pPr>
              <w:snapToGrid w:val="0"/>
              <w:spacing w:line="360" w:lineRule="exact"/>
              <w:rPr>
                <w:rFonts w:ascii="宋体" w:hAnsi="宋体" w:cs="宋体"/>
                <w:kern w:val="0"/>
                <w:sz w:val="18"/>
                <w:szCs w:val="18"/>
              </w:rPr>
            </w:pPr>
          </w:p>
        </w:tc>
        <w:tc>
          <w:tcPr>
            <w:tcW w:w="1200" w:type="dxa"/>
            <w:noWrap/>
          </w:tcPr>
          <w:p w14:paraId="5E872031">
            <w:pPr>
              <w:adjustRightInd w:val="0"/>
              <w:snapToGrid w:val="0"/>
              <w:spacing w:line="240" w:lineRule="exact"/>
              <w:rPr>
                <w:rFonts w:ascii="宋体" w:hAnsi="宋体" w:cs="宋体"/>
                <w:sz w:val="18"/>
                <w:szCs w:val="18"/>
              </w:rPr>
            </w:pPr>
          </w:p>
        </w:tc>
        <w:tc>
          <w:tcPr>
            <w:tcW w:w="1200" w:type="dxa"/>
            <w:noWrap/>
          </w:tcPr>
          <w:p w14:paraId="01BCA8FF">
            <w:pPr>
              <w:adjustRightInd w:val="0"/>
              <w:snapToGrid w:val="0"/>
              <w:spacing w:line="240" w:lineRule="exact"/>
              <w:rPr>
                <w:rFonts w:ascii="宋体" w:hAnsi="宋体" w:cs="宋体"/>
                <w:sz w:val="18"/>
                <w:szCs w:val="18"/>
              </w:rPr>
            </w:pPr>
          </w:p>
        </w:tc>
        <w:tc>
          <w:tcPr>
            <w:tcW w:w="1487" w:type="dxa"/>
            <w:noWrap/>
          </w:tcPr>
          <w:p w14:paraId="3F40B2D2">
            <w:pPr>
              <w:adjustRightInd w:val="0"/>
              <w:snapToGrid w:val="0"/>
              <w:spacing w:line="240" w:lineRule="exact"/>
              <w:rPr>
                <w:rFonts w:ascii="宋体" w:hAnsi="宋体" w:cs="宋体"/>
                <w:sz w:val="18"/>
                <w:szCs w:val="18"/>
              </w:rPr>
            </w:pPr>
          </w:p>
        </w:tc>
      </w:tr>
      <w:tr w14:paraId="12D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7905577">
            <w:pPr>
              <w:snapToGrid w:val="0"/>
              <w:spacing w:line="360" w:lineRule="exact"/>
              <w:jc w:val="left"/>
              <w:rPr>
                <w:rFonts w:ascii="宋体" w:hAnsi="宋体" w:cs="宋体"/>
                <w:b/>
                <w:sz w:val="18"/>
                <w:szCs w:val="18"/>
              </w:rPr>
            </w:pPr>
          </w:p>
        </w:tc>
        <w:tc>
          <w:tcPr>
            <w:tcW w:w="3563" w:type="dxa"/>
            <w:noWrap/>
          </w:tcPr>
          <w:p w14:paraId="4AC34168">
            <w:pPr>
              <w:snapToGrid w:val="0"/>
              <w:spacing w:line="360" w:lineRule="exact"/>
              <w:rPr>
                <w:rFonts w:ascii="宋体" w:hAnsi="宋体" w:cs="宋体"/>
                <w:sz w:val="18"/>
                <w:szCs w:val="18"/>
              </w:rPr>
            </w:pPr>
          </w:p>
        </w:tc>
        <w:tc>
          <w:tcPr>
            <w:tcW w:w="1200" w:type="dxa"/>
            <w:noWrap/>
          </w:tcPr>
          <w:p w14:paraId="12E3FE08">
            <w:pPr>
              <w:adjustRightInd w:val="0"/>
              <w:snapToGrid w:val="0"/>
              <w:spacing w:line="240" w:lineRule="exact"/>
              <w:rPr>
                <w:rFonts w:ascii="宋体" w:hAnsi="宋体" w:cs="宋体"/>
                <w:sz w:val="18"/>
                <w:szCs w:val="18"/>
              </w:rPr>
            </w:pPr>
          </w:p>
        </w:tc>
        <w:tc>
          <w:tcPr>
            <w:tcW w:w="1200" w:type="dxa"/>
            <w:noWrap/>
          </w:tcPr>
          <w:p w14:paraId="666240DA">
            <w:pPr>
              <w:adjustRightInd w:val="0"/>
              <w:snapToGrid w:val="0"/>
              <w:spacing w:line="240" w:lineRule="exact"/>
              <w:rPr>
                <w:rFonts w:ascii="宋体" w:hAnsi="宋体" w:cs="宋体"/>
                <w:sz w:val="18"/>
                <w:szCs w:val="18"/>
              </w:rPr>
            </w:pPr>
          </w:p>
        </w:tc>
        <w:tc>
          <w:tcPr>
            <w:tcW w:w="1487" w:type="dxa"/>
            <w:noWrap/>
          </w:tcPr>
          <w:p w14:paraId="777B9DFB">
            <w:pPr>
              <w:adjustRightInd w:val="0"/>
              <w:snapToGrid w:val="0"/>
              <w:spacing w:line="240" w:lineRule="exact"/>
              <w:rPr>
                <w:rFonts w:ascii="宋体" w:hAnsi="宋体" w:cs="宋体"/>
                <w:sz w:val="18"/>
                <w:szCs w:val="18"/>
              </w:rPr>
            </w:pPr>
          </w:p>
        </w:tc>
      </w:tr>
    </w:tbl>
    <w:p w14:paraId="77380488">
      <w:pPr>
        <w:snapToGrid w:val="0"/>
        <w:spacing w:before="50" w:after="50"/>
        <w:rPr>
          <w:rFonts w:ascii="宋体" w:hAnsi="宋体" w:cs="宋体"/>
          <w:sz w:val="24"/>
          <w:u w:val="single"/>
        </w:rPr>
      </w:pPr>
      <w:r>
        <w:rPr>
          <w:rFonts w:hint="eastAsia" w:ascii="宋体" w:hAnsi="宋体" w:cs="宋体"/>
          <w:sz w:val="24"/>
        </w:rPr>
        <w:t>授权代表签名：</w:t>
      </w:r>
    </w:p>
    <w:p w14:paraId="1111F0FB">
      <w:pPr>
        <w:pStyle w:val="6"/>
        <w:snapToGrid w:val="0"/>
        <w:ind w:right="280"/>
        <w:rPr>
          <w:rFonts w:cs="宋体"/>
          <w:sz w:val="24"/>
        </w:rPr>
      </w:pPr>
      <w:r>
        <w:rPr>
          <w:rFonts w:cs="宋体"/>
          <w:sz w:val="24"/>
        </w:rPr>
        <w:t xml:space="preserve">投标人全称（盖章）：              </w:t>
      </w:r>
    </w:p>
    <w:p w14:paraId="34056F9D">
      <w:pPr>
        <w:pStyle w:val="6"/>
        <w:snapToGrid w:val="0"/>
        <w:ind w:right="280"/>
        <w:rPr>
          <w:rFonts w:cs="宋体"/>
          <w:sz w:val="24"/>
        </w:rPr>
      </w:pPr>
      <w:r>
        <w:rPr>
          <w:rFonts w:hint="eastAsia" w:cs="宋体"/>
          <w:sz w:val="24"/>
          <w:lang w:val="en-US" w:eastAsia="zh-CN"/>
        </w:rPr>
        <w:t xml:space="preserve">日期：   </w:t>
      </w:r>
      <w:r>
        <w:rPr>
          <w:rFonts w:cs="宋体"/>
          <w:sz w:val="24"/>
        </w:rPr>
        <w:t>年    月　 日</w:t>
      </w:r>
    </w:p>
    <w:p w14:paraId="3609DAF5">
      <w:pPr>
        <w:adjustRightInd w:val="0"/>
        <w:snapToGrid w:val="0"/>
        <w:jc w:val="left"/>
        <w:rPr>
          <w:rFonts w:ascii="宋体" w:hAnsi="宋体" w:cs="宋体"/>
          <w:sz w:val="24"/>
        </w:rPr>
      </w:pPr>
    </w:p>
    <w:p w14:paraId="145BE95B">
      <w:pPr>
        <w:adjustRightInd w:val="0"/>
        <w:snapToGrid w:val="0"/>
        <w:jc w:val="left"/>
        <w:rPr>
          <w:rFonts w:ascii="宋体" w:hAnsi="宋体" w:cs="宋体"/>
          <w:sz w:val="24"/>
        </w:rPr>
      </w:pPr>
    </w:p>
    <w:p w14:paraId="7B7ED313">
      <w:pPr>
        <w:pStyle w:val="5"/>
        <w:adjustRightInd w:val="0"/>
        <w:snapToGrid w:val="0"/>
        <w:rPr>
          <w:rFonts w:ascii="宋体" w:hAnsi="宋体" w:cs="宋体"/>
          <w:sz w:val="21"/>
          <w:szCs w:val="21"/>
        </w:rPr>
      </w:pPr>
      <w:r>
        <w:rPr>
          <w:rFonts w:hint="eastAsia" w:ascii="宋体" w:hAnsi="宋体" w:cs="宋体"/>
          <w:sz w:val="21"/>
          <w:szCs w:val="21"/>
        </w:rPr>
        <w:t>注：按招标文件第二章商务要求列表，对照招标文件要求在“偏离情况”栏注明“正偏离”、“负偏离”或“无偏离”。不填写视同完全响应招标文件。</w:t>
      </w:r>
    </w:p>
    <w:p w14:paraId="57935E56">
      <w:pPr>
        <w:pStyle w:val="5"/>
        <w:adjustRightInd w:val="0"/>
        <w:snapToGrid w:val="0"/>
        <w:rPr>
          <w:rFonts w:ascii="宋体" w:hAnsi="宋体" w:cs="宋体"/>
          <w:sz w:val="21"/>
          <w:szCs w:val="21"/>
        </w:rPr>
      </w:pPr>
    </w:p>
    <w:p w14:paraId="30CFEACA">
      <w:pPr>
        <w:pStyle w:val="5"/>
        <w:adjustRightInd w:val="0"/>
        <w:snapToGrid w:val="0"/>
        <w:rPr>
          <w:rFonts w:ascii="宋体" w:hAnsi="宋体" w:cs="宋体"/>
          <w:sz w:val="21"/>
          <w:szCs w:val="21"/>
        </w:rPr>
      </w:pPr>
    </w:p>
    <w:p w14:paraId="0227264C">
      <w:pPr>
        <w:pStyle w:val="5"/>
        <w:adjustRightInd w:val="0"/>
        <w:snapToGrid w:val="0"/>
        <w:rPr>
          <w:rFonts w:ascii="宋体" w:hAnsi="宋体" w:cs="宋体"/>
          <w:sz w:val="21"/>
          <w:szCs w:val="21"/>
        </w:rPr>
      </w:pPr>
    </w:p>
    <w:p w14:paraId="1EB909B0">
      <w:pPr>
        <w:pStyle w:val="5"/>
        <w:adjustRightInd w:val="0"/>
        <w:snapToGrid w:val="0"/>
        <w:rPr>
          <w:rFonts w:ascii="宋体" w:hAnsi="宋体" w:cs="宋体"/>
          <w:sz w:val="21"/>
          <w:szCs w:val="21"/>
        </w:rPr>
      </w:pPr>
    </w:p>
    <w:p w14:paraId="45C1A0CB">
      <w:pPr>
        <w:pStyle w:val="5"/>
        <w:adjustRightInd w:val="0"/>
        <w:snapToGrid w:val="0"/>
        <w:rPr>
          <w:rFonts w:ascii="宋体" w:hAnsi="宋体" w:cs="宋体"/>
          <w:sz w:val="21"/>
          <w:szCs w:val="21"/>
        </w:rPr>
      </w:pPr>
    </w:p>
    <w:p w14:paraId="0E74BAC2">
      <w:pPr>
        <w:pStyle w:val="5"/>
        <w:adjustRightInd w:val="0"/>
        <w:snapToGrid w:val="0"/>
        <w:rPr>
          <w:rFonts w:ascii="宋体" w:hAnsi="宋体" w:cs="宋体"/>
          <w:sz w:val="21"/>
          <w:szCs w:val="21"/>
        </w:rPr>
      </w:pPr>
    </w:p>
    <w:p w14:paraId="276ECA1D">
      <w:pPr>
        <w:pStyle w:val="5"/>
        <w:adjustRightInd w:val="0"/>
        <w:snapToGrid w:val="0"/>
        <w:rPr>
          <w:rFonts w:ascii="宋体" w:hAnsi="宋体" w:cs="宋体"/>
          <w:sz w:val="21"/>
          <w:szCs w:val="21"/>
        </w:rPr>
      </w:pPr>
    </w:p>
    <w:p w14:paraId="700DB953">
      <w:r>
        <w:br w:type="page"/>
      </w:r>
    </w:p>
    <w:p w14:paraId="24F90FDA">
      <w:pPr>
        <w:adjustRightInd w:val="0"/>
        <w:snapToGrid w:val="0"/>
        <w:rPr>
          <w:rFonts w:hint="eastAsia" w:ascii="宋体" w:hAnsi="宋体" w:cs="宋体"/>
          <w:sz w:val="24"/>
        </w:rPr>
      </w:pPr>
      <w:r>
        <w:rPr>
          <w:rFonts w:hint="eastAsia" w:ascii="宋体" w:hAnsi="宋体" w:cs="宋体"/>
          <w:sz w:val="24"/>
        </w:rPr>
        <w:t>9.技术响应表格式:</w:t>
      </w:r>
    </w:p>
    <w:p w14:paraId="6F79F1B8">
      <w:pPr>
        <w:adjustRightInd w:val="0"/>
        <w:snapToGrid w:val="0"/>
        <w:rPr>
          <w:rFonts w:ascii="宋体" w:hAnsi="宋体" w:cs="宋体"/>
          <w:b/>
          <w:sz w:val="44"/>
          <w:szCs w:val="44"/>
        </w:rPr>
      </w:pPr>
    </w:p>
    <w:p w14:paraId="27A97D9E">
      <w:pPr>
        <w:adjustRightInd w:val="0"/>
        <w:snapToGrid w:val="0"/>
        <w:jc w:val="center"/>
        <w:rPr>
          <w:rFonts w:ascii="宋体" w:hAnsi="宋体" w:cs="宋体"/>
          <w:b/>
          <w:sz w:val="44"/>
          <w:szCs w:val="44"/>
        </w:rPr>
      </w:pPr>
      <w:r>
        <w:rPr>
          <w:rFonts w:hint="eastAsia" w:ascii="宋体" w:hAnsi="宋体" w:cs="宋体"/>
          <w:b/>
          <w:sz w:val="44"/>
          <w:szCs w:val="44"/>
        </w:rPr>
        <w:t>技术响应表</w:t>
      </w:r>
    </w:p>
    <w:p w14:paraId="319E4BA6">
      <w:pPr>
        <w:spacing w:line="380" w:lineRule="exact"/>
        <w:rPr>
          <w:rFonts w:ascii="宋体" w:hAnsi="宋体" w:cs="宋体"/>
        </w:rPr>
      </w:pPr>
      <w:r>
        <w:rPr>
          <w:rFonts w:hint="eastAsia" w:ascii="宋体" w:hAnsi="宋体" w:cs="宋体"/>
        </w:rPr>
        <w:t xml:space="preserve">项目名称：  </w:t>
      </w:r>
    </w:p>
    <w:p w14:paraId="1B55EB8C">
      <w:pPr>
        <w:spacing w:line="380" w:lineRule="exact"/>
        <w:rPr>
          <w:rFonts w:ascii="宋体" w:hAnsi="宋体" w:cs="宋体"/>
        </w:rPr>
      </w:pPr>
      <w:r>
        <w:rPr>
          <w:rFonts w:hint="eastAsia" w:ascii="宋体" w:hAnsi="宋体" w:cs="宋体"/>
        </w:rPr>
        <w:t>项目编号：</w:t>
      </w:r>
    </w:p>
    <w:tbl>
      <w:tblPr>
        <w:tblStyle w:val="18"/>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3224"/>
        <w:gridCol w:w="1461"/>
        <w:gridCol w:w="1683"/>
        <w:gridCol w:w="1526"/>
      </w:tblGrid>
      <w:tr w14:paraId="3780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7BFEDCE2">
            <w:pPr>
              <w:adjustRightInd w:val="0"/>
              <w:snapToGrid w:val="0"/>
              <w:spacing w:line="300" w:lineRule="exact"/>
              <w:jc w:val="center"/>
              <w:rPr>
                <w:rFonts w:ascii="宋体" w:hAnsi="宋体" w:cs="宋体"/>
                <w:b/>
              </w:rPr>
            </w:pPr>
            <w:r>
              <w:rPr>
                <w:rFonts w:hint="eastAsia" w:ascii="宋体" w:hAnsi="宋体" w:cs="宋体"/>
                <w:b/>
              </w:rPr>
              <w:t>项目</w:t>
            </w:r>
          </w:p>
        </w:tc>
        <w:tc>
          <w:tcPr>
            <w:tcW w:w="3224" w:type="dxa"/>
            <w:noWrap/>
            <w:vAlign w:val="center"/>
          </w:tcPr>
          <w:p w14:paraId="504B3F17">
            <w:pPr>
              <w:adjustRightInd w:val="0"/>
              <w:snapToGrid w:val="0"/>
              <w:spacing w:line="300" w:lineRule="exact"/>
              <w:jc w:val="center"/>
              <w:rPr>
                <w:rFonts w:ascii="宋体" w:hAnsi="宋体" w:cs="宋体"/>
                <w:b/>
              </w:rPr>
            </w:pPr>
            <w:r>
              <w:rPr>
                <w:rFonts w:hint="eastAsia" w:ascii="宋体" w:hAnsi="宋体" w:cs="宋体"/>
                <w:b/>
              </w:rPr>
              <w:t>招标文件要求</w:t>
            </w:r>
          </w:p>
        </w:tc>
        <w:tc>
          <w:tcPr>
            <w:tcW w:w="1461" w:type="dxa"/>
            <w:noWrap/>
            <w:vAlign w:val="center"/>
          </w:tcPr>
          <w:p w14:paraId="30708E3E">
            <w:pPr>
              <w:adjustRightInd w:val="0"/>
              <w:snapToGrid w:val="0"/>
              <w:spacing w:line="300" w:lineRule="exact"/>
              <w:jc w:val="center"/>
              <w:rPr>
                <w:rFonts w:hint="eastAsia" w:ascii="宋体" w:hAnsi="宋体" w:cs="宋体"/>
                <w:b/>
              </w:rPr>
            </w:pPr>
            <w:r>
              <w:rPr>
                <w:rFonts w:hint="eastAsia" w:ascii="宋体" w:hAnsi="宋体" w:cs="宋体"/>
                <w:b/>
              </w:rPr>
              <w:t>是否响应</w:t>
            </w:r>
          </w:p>
        </w:tc>
        <w:tc>
          <w:tcPr>
            <w:tcW w:w="1683" w:type="dxa"/>
            <w:noWrap/>
            <w:vAlign w:val="center"/>
          </w:tcPr>
          <w:p w14:paraId="2D94B7F5">
            <w:pPr>
              <w:adjustRightInd w:val="0"/>
              <w:snapToGrid w:val="0"/>
              <w:spacing w:line="300" w:lineRule="exact"/>
              <w:jc w:val="center"/>
              <w:rPr>
                <w:rFonts w:ascii="宋体" w:hAnsi="宋体" w:cs="宋体"/>
                <w:b/>
              </w:rPr>
            </w:pPr>
            <w:r>
              <w:rPr>
                <w:rFonts w:hint="eastAsia" w:ascii="宋体" w:hAnsi="宋体" w:cs="宋体"/>
                <w:b/>
                <w:lang w:val="en-US" w:eastAsia="zh-CN"/>
              </w:rPr>
              <w:t>偏离情况</w:t>
            </w:r>
          </w:p>
        </w:tc>
        <w:tc>
          <w:tcPr>
            <w:tcW w:w="1526" w:type="dxa"/>
            <w:noWrap/>
            <w:vAlign w:val="center"/>
          </w:tcPr>
          <w:p w14:paraId="6A3697D8">
            <w:pPr>
              <w:adjustRightInd w:val="0"/>
              <w:snapToGrid w:val="0"/>
              <w:spacing w:line="300" w:lineRule="exact"/>
              <w:jc w:val="center"/>
              <w:rPr>
                <w:rFonts w:ascii="宋体" w:hAnsi="宋体" w:cs="宋体"/>
                <w:b/>
              </w:rPr>
            </w:pPr>
            <w:r>
              <w:rPr>
                <w:rFonts w:hint="eastAsia" w:ascii="宋体" w:hAnsi="宋体" w:cs="宋体"/>
                <w:b/>
              </w:rPr>
              <w:t>投标人的承诺或说明</w:t>
            </w:r>
          </w:p>
        </w:tc>
      </w:tr>
      <w:tr w14:paraId="28A8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5A8A371">
            <w:pPr>
              <w:adjustRightInd w:val="0"/>
              <w:snapToGrid w:val="0"/>
              <w:rPr>
                <w:rFonts w:ascii="宋体" w:hAnsi="宋体" w:cs="宋体"/>
                <w:b/>
                <w:sz w:val="18"/>
                <w:szCs w:val="18"/>
              </w:rPr>
            </w:pPr>
          </w:p>
        </w:tc>
        <w:tc>
          <w:tcPr>
            <w:tcW w:w="3224" w:type="dxa"/>
            <w:noWrap/>
            <w:vAlign w:val="center"/>
          </w:tcPr>
          <w:p w14:paraId="3E68930A">
            <w:pPr>
              <w:adjustRightInd w:val="0"/>
              <w:snapToGrid w:val="0"/>
              <w:rPr>
                <w:rFonts w:ascii="宋体" w:hAnsi="宋体" w:cs="宋体"/>
                <w:sz w:val="18"/>
                <w:szCs w:val="18"/>
              </w:rPr>
            </w:pPr>
          </w:p>
        </w:tc>
        <w:tc>
          <w:tcPr>
            <w:tcW w:w="1461" w:type="dxa"/>
            <w:noWrap/>
            <w:vAlign w:val="center"/>
          </w:tcPr>
          <w:p w14:paraId="2558C13B">
            <w:pPr>
              <w:adjustRightInd w:val="0"/>
              <w:snapToGrid w:val="0"/>
              <w:spacing w:line="240" w:lineRule="exact"/>
              <w:jc w:val="center"/>
              <w:rPr>
                <w:rFonts w:ascii="宋体" w:hAnsi="宋体" w:cs="宋体"/>
                <w:b/>
                <w:sz w:val="18"/>
                <w:szCs w:val="18"/>
              </w:rPr>
            </w:pPr>
          </w:p>
        </w:tc>
        <w:tc>
          <w:tcPr>
            <w:tcW w:w="1683" w:type="dxa"/>
            <w:noWrap/>
            <w:vAlign w:val="center"/>
          </w:tcPr>
          <w:p w14:paraId="2B4279E1">
            <w:pPr>
              <w:adjustRightInd w:val="0"/>
              <w:snapToGrid w:val="0"/>
              <w:spacing w:line="240" w:lineRule="exact"/>
              <w:jc w:val="center"/>
              <w:rPr>
                <w:rFonts w:ascii="宋体" w:hAnsi="宋体" w:cs="宋体"/>
                <w:b/>
                <w:sz w:val="18"/>
                <w:szCs w:val="18"/>
              </w:rPr>
            </w:pPr>
          </w:p>
        </w:tc>
        <w:tc>
          <w:tcPr>
            <w:tcW w:w="1526" w:type="dxa"/>
            <w:noWrap/>
            <w:vAlign w:val="center"/>
          </w:tcPr>
          <w:p w14:paraId="5C680B3A">
            <w:pPr>
              <w:adjustRightInd w:val="0"/>
              <w:snapToGrid w:val="0"/>
              <w:spacing w:line="240" w:lineRule="exact"/>
              <w:jc w:val="center"/>
              <w:rPr>
                <w:rFonts w:ascii="宋体" w:hAnsi="宋体" w:cs="宋体"/>
                <w:b/>
                <w:sz w:val="18"/>
                <w:szCs w:val="18"/>
              </w:rPr>
            </w:pPr>
          </w:p>
        </w:tc>
      </w:tr>
      <w:tr w14:paraId="6D2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80E0E2B">
            <w:pPr>
              <w:adjustRightInd w:val="0"/>
              <w:snapToGrid w:val="0"/>
              <w:rPr>
                <w:rFonts w:ascii="宋体" w:hAnsi="宋体" w:cs="宋体"/>
                <w:b/>
                <w:sz w:val="18"/>
                <w:szCs w:val="18"/>
              </w:rPr>
            </w:pPr>
          </w:p>
        </w:tc>
        <w:tc>
          <w:tcPr>
            <w:tcW w:w="3224" w:type="dxa"/>
            <w:noWrap/>
          </w:tcPr>
          <w:p w14:paraId="04F59D79">
            <w:pPr>
              <w:adjustRightInd w:val="0"/>
              <w:snapToGrid w:val="0"/>
              <w:ind w:firstLine="360" w:firstLineChars="200"/>
              <w:rPr>
                <w:rFonts w:ascii="宋体" w:hAnsi="宋体" w:cs="宋体"/>
                <w:sz w:val="18"/>
                <w:szCs w:val="18"/>
              </w:rPr>
            </w:pPr>
          </w:p>
        </w:tc>
        <w:tc>
          <w:tcPr>
            <w:tcW w:w="1461" w:type="dxa"/>
            <w:noWrap/>
            <w:vAlign w:val="center"/>
          </w:tcPr>
          <w:p w14:paraId="784D2DE5">
            <w:pPr>
              <w:adjustRightInd w:val="0"/>
              <w:snapToGrid w:val="0"/>
              <w:spacing w:line="240" w:lineRule="exact"/>
              <w:rPr>
                <w:rFonts w:ascii="宋体" w:hAnsi="宋体" w:cs="宋体"/>
                <w:sz w:val="18"/>
                <w:szCs w:val="18"/>
              </w:rPr>
            </w:pPr>
          </w:p>
        </w:tc>
        <w:tc>
          <w:tcPr>
            <w:tcW w:w="1683" w:type="dxa"/>
            <w:noWrap/>
            <w:vAlign w:val="center"/>
          </w:tcPr>
          <w:p w14:paraId="0710328A">
            <w:pPr>
              <w:adjustRightInd w:val="0"/>
              <w:snapToGrid w:val="0"/>
              <w:spacing w:line="240" w:lineRule="exact"/>
              <w:rPr>
                <w:rFonts w:ascii="宋体" w:hAnsi="宋体" w:cs="宋体"/>
                <w:sz w:val="18"/>
                <w:szCs w:val="18"/>
              </w:rPr>
            </w:pPr>
          </w:p>
        </w:tc>
        <w:tc>
          <w:tcPr>
            <w:tcW w:w="1526" w:type="dxa"/>
            <w:noWrap/>
            <w:vAlign w:val="center"/>
          </w:tcPr>
          <w:p w14:paraId="6EBC9F7B">
            <w:pPr>
              <w:adjustRightInd w:val="0"/>
              <w:snapToGrid w:val="0"/>
              <w:spacing w:line="240" w:lineRule="exact"/>
              <w:rPr>
                <w:rFonts w:ascii="宋体" w:hAnsi="宋体" w:cs="宋体"/>
                <w:sz w:val="18"/>
                <w:szCs w:val="18"/>
              </w:rPr>
            </w:pPr>
          </w:p>
        </w:tc>
      </w:tr>
      <w:tr w14:paraId="3678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4ABB890F">
            <w:pPr>
              <w:adjustRightInd w:val="0"/>
              <w:snapToGrid w:val="0"/>
              <w:rPr>
                <w:rFonts w:ascii="宋体" w:hAnsi="宋体" w:cs="宋体"/>
                <w:b/>
                <w:sz w:val="18"/>
                <w:szCs w:val="18"/>
              </w:rPr>
            </w:pPr>
          </w:p>
        </w:tc>
        <w:tc>
          <w:tcPr>
            <w:tcW w:w="3224" w:type="dxa"/>
            <w:noWrap/>
          </w:tcPr>
          <w:p w14:paraId="6EE278D5">
            <w:pPr>
              <w:adjustRightInd w:val="0"/>
              <w:snapToGrid w:val="0"/>
              <w:rPr>
                <w:rFonts w:ascii="宋体" w:hAnsi="宋体" w:cs="宋体"/>
                <w:b/>
                <w:sz w:val="18"/>
                <w:szCs w:val="18"/>
              </w:rPr>
            </w:pPr>
          </w:p>
        </w:tc>
        <w:tc>
          <w:tcPr>
            <w:tcW w:w="1461" w:type="dxa"/>
            <w:noWrap/>
          </w:tcPr>
          <w:p w14:paraId="11BF1802">
            <w:pPr>
              <w:adjustRightInd w:val="0"/>
              <w:snapToGrid w:val="0"/>
              <w:spacing w:line="240" w:lineRule="exact"/>
              <w:rPr>
                <w:rFonts w:ascii="宋体" w:hAnsi="宋体" w:cs="宋体"/>
                <w:sz w:val="18"/>
                <w:szCs w:val="18"/>
              </w:rPr>
            </w:pPr>
          </w:p>
        </w:tc>
        <w:tc>
          <w:tcPr>
            <w:tcW w:w="1683" w:type="dxa"/>
            <w:noWrap/>
          </w:tcPr>
          <w:p w14:paraId="6FF4E7AF">
            <w:pPr>
              <w:adjustRightInd w:val="0"/>
              <w:snapToGrid w:val="0"/>
              <w:spacing w:line="240" w:lineRule="exact"/>
              <w:rPr>
                <w:rFonts w:ascii="宋体" w:hAnsi="宋体" w:cs="宋体"/>
                <w:sz w:val="18"/>
                <w:szCs w:val="18"/>
              </w:rPr>
            </w:pPr>
          </w:p>
        </w:tc>
        <w:tc>
          <w:tcPr>
            <w:tcW w:w="1526" w:type="dxa"/>
            <w:noWrap/>
          </w:tcPr>
          <w:p w14:paraId="6EF1D616">
            <w:pPr>
              <w:adjustRightInd w:val="0"/>
              <w:snapToGrid w:val="0"/>
              <w:spacing w:line="240" w:lineRule="exact"/>
              <w:rPr>
                <w:rFonts w:ascii="宋体" w:hAnsi="宋体" w:cs="宋体"/>
                <w:sz w:val="18"/>
                <w:szCs w:val="18"/>
              </w:rPr>
            </w:pPr>
          </w:p>
        </w:tc>
      </w:tr>
      <w:tr w14:paraId="0DAD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09BBDC9">
            <w:pPr>
              <w:adjustRightInd w:val="0"/>
              <w:snapToGrid w:val="0"/>
              <w:jc w:val="center"/>
              <w:rPr>
                <w:rFonts w:ascii="宋体" w:hAnsi="宋体" w:cs="宋体"/>
                <w:b/>
                <w:sz w:val="18"/>
                <w:szCs w:val="18"/>
              </w:rPr>
            </w:pPr>
          </w:p>
        </w:tc>
        <w:tc>
          <w:tcPr>
            <w:tcW w:w="3224" w:type="dxa"/>
            <w:noWrap/>
          </w:tcPr>
          <w:p w14:paraId="6D44FE83">
            <w:pPr>
              <w:adjustRightInd w:val="0"/>
              <w:snapToGrid w:val="0"/>
              <w:rPr>
                <w:rFonts w:ascii="宋体" w:hAnsi="宋体" w:cs="宋体"/>
                <w:sz w:val="18"/>
                <w:szCs w:val="18"/>
              </w:rPr>
            </w:pPr>
          </w:p>
        </w:tc>
        <w:tc>
          <w:tcPr>
            <w:tcW w:w="1461" w:type="dxa"/>
            <w:noWrap/>
          </w:tcPr>
          <w:p w14:paraId="1B3ADF36">
            <w:pPr>
              <w:adjustRightInd w:val="0"/>
              <w:snapToGrid w:val="0"/>
              <w:spacing w:line="240" w:lineRule="exact"/>
              <w:rPr>
                <w:rFonts w:ascii="宋体" w:hAnsi="宋体" w:cs="宋体"/>
                <w:sz w:val="18"/>
                <w:szCs w:val="18"/>
              </w:rPr>
            </w:pPr>
          </w:p>
        </w:tc>
        <w:tc>
          <w:tcPr>
            <w:tcW w:w="1683" w:type="dxa"/>
            <w:noWrap/>
          </w:tcPr>
          <w:p w14:paraId="2E74C098">
            <w:pPr>
              <w:adjustRightInd w:val="0"/>
              <w:snapToGrid w:val="0"/>
              <w:spacing w:line="240" w:lineRule="exact"/>
              <w:rPr>
                <w:rFonts w:ascii="宋体" w:hAnsi="宋体" w:cs="宋体"/>
                <w:sz w:val="18"/>
                <w:szCs w:val="18"/>
              </w:rPr>
            </w:pPr>
          </w:p>
        </w:tc>
        <w:tc>
          <w:tcPr>
            <w:tcW w:w="1526" w:type="dxa"/>
            <w:noWrap/>
          </w:tcPr>
          <w:p w14:paraId="5A3D8706">
            <w:pPr>
              <w:adjustRightInd w:val="0"/>
              <w:snapToGrid w:val="0"/>
              <w:spacing w:line="240" w:lineRule="exact"/>
              <w:rPr>
                <w:rFonts w:ascii="宋体" w:hAnsi="宋体" w:cs="宋体"/>
                <w:sz w:val="18"/>
                <w:szCs w:val="18"/>
              </w:rPr>
            </w:pPr>
          </w:p>
        </w:tc>
      </w:tr>
      <w:tr w14:paraId="396E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9AD21BE">
            <w:pPr>
              <w:adjustRightInd w:val="0"/>
              <w:snapToGrid w:val="0"/>
              <w:jc w:val="center"/>
              <w:rPr>
                <w:rFonts w:ascii="宋体" w:hAnsi="宋体" w:cs="宋体"/>
                <w:b/>
                <w:sz w:val="18"/>
                <w:szCs w:val="18"/>
              </w:rPr>
            </w:pPr>
          </w:p>
        </w:tc>
        <w:tc>
          <w:tcPr>
            <w:tcW w:w="3224" w:type="dxa"/>
            <w:noWrap/>
          </w:tcPr>
          <w:p w14:paraId="4D30BA23">
            <w:pPr>
              <w:autoSpaceDE w:val="0"/>
              <w:autoSpaceDN w:val="0"/>
              <w:adjustRightInd w:val="0"/>
              <w:ind w:right="-100"/>
              <w:jc w:val="left"/>
              <w:rPr>
                <w:rFonts w:ascii="宋体" w:hAnsi="宋体" w:cs="宋体"/>
                <w:kern w:val="0"/>
                <w:sz w:val="18"/>
                <w:szCs w:val="18"/>
              </w:rPr>
            </w:pPr>
          </w:p>
        </w:tc>
        <w:tc>
          <w:tcPr>
            <w:tcW w:w="1461" w:type="dxa"/>
            <w:noWrap/>
          </w:tcPr>
          <w:p w14:paraId="27B28D0B">
            <w:pPr>
              <w:adjustRightInd w:val="0"/>
              <w:snapToGrid w:val="0"/>
              <w:spacing w:line="240" w:lineRule="exact"/>
              <w:rPr>
                <w:rFonts w:ascii="宋体" w:hAnsi="宋体" w:cs="宋体"/>
                <w:sz w:val="18"/>
                <w:szCs w:val="18"/>
              </w:rPr>
            </w:pPr>
          </w:p>
        </w:tc>
        <w:tc>
          <w:tcPr>
            <w:tcW w:w="1683" w:type="dxa"/>
            <w:noWrap/>
          </w:tcPr>
          <w:p w14:paraId="5F0B8DC1">
            <w:pPr>
              <w:adjustRightInd w:val="0"/>
              <w:snapToGrid w:val="0"/>
              <w:spacing w:line="240" w:lineRule="exact"/>
              <w:rPr>
                <w:rFonts w:ascii="宋体" w:hAnsi="宋体" w:cs="宋体"/>
                <w:sz w:val="18"/>
                <w:szCs w:val="18"/>
              </w:rPr>
            </w:pPr>
          </w:p>
        </w:tc>
        <w:tc>
          <w:tcPr>
            <w:tcW w:w="1526" w:type="dxa"/>
            <w:noWrap/>
          </w:tcPr>
          <w:p w14:paraId="1E03792C">
            <w:pPr>
              <w:adjustRightInd w:val="0"/>
              <w:snapToGrid w:val="0"/>
              <w:spacing w:line="240" w:lineRule="exact"/>
              <w:rPr>
                <w:rFonts w:ascii="宋体" w:hAnsi="宋体" w:cs="宋体"/>
                <w:sz w:val="18"/>
                <w:szCs w:val="18"/>
              </w:rPr>
            </w:pPr>
          </w:p>
        </w:tc>
      </w:tr>
      <w:tr w14:paraId="2529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908A564">
            <w:pPr>
              <w:adjustRightInd w:val="0"/>
              <w:snapToGrid w:val="0"/>
              <w:jc w:val="center"/>
              <w:rPr>
                <w:rFonts w:ascii="宋体" w:hAnsi="宋体" w:cs="宋体"/>
                <w:b/>
                <w:sz w:val="18"/>
                <w:szCs w:val="18"/>
              </w:rPr>
            </w:pPr>
          </w:p>
        </w:tc>
        <w:tc>
          <w:tcPr>
            <w:tcW w:w="3224" w:type="dxa"/>
            <w:noWrap/>
            <w:vAlign w:val="center"/>
          </w:tcPr>
          <w:p w14:paraId="4AC72E1C">
            <w:pPr>
              <w:adjustRightInd w:val="0"/>
              <w:snapToGrid w:val="0"/>
              <w:rPr>
                <w:rFonts w:ascii="宋体" w:hAnsi="宋体" w:cs="宋体"/>
                <w:sz w:val="18"/>
                <w:szCs w:val="18"/>
              </w:rPr>
            </w:pPr>
          </w:p>
        </w:tc>
        <w:tc>
          <w:tcPr>
            <w:tcW w:w="1461" w:type="dxa"/>
            <w:noWrap/>
          </w:tcPr>
          <w:p w14:paraId="7C7EE721">
            <w:pPr>
              <w:adjustRightInd w:val="0"/>
              <w:snapToGrid w:val="0"/>
              <w:spacing w:line="240" w:lineRule="exact"/>
              <w:rPr>
                <w:rFonts w:ascii="宋体" w:hAnsi="宋体" w:cs="宋体"/>
                <w:sz w:val="18"/>
                <w:szCs w:val="18"/>
              </w:rPr>
            </w:pPr>
          </w:p>
        </w:tc>
        <w:tc>
          <w:tcPr>
            <w:tcW w:w="1683" w:type="dxa"/>
            <w:noWrap/>
          </w:tcPr>
          <w:p w14:paraId="64C6A78C">
            <w:pPr>
              <w:adjustRightInd w:val="0"/>
              <w:snapToGrid w:val="0"/>
              <w:spacing w:line="240" w:lineRule="exact"/>
              <w:rPr>
                <w:rFonts w:ascii="宋体" w:hAnsi="宋体" w:cs="宋体"/>
                <w:sz w:val="18"/>
                <w:szCs w:val="18"/>
              </w:rPr>
            </w:pPr>
          </w:p>
        </w:tc>
        <w:tc>
          <w:tcPr>
            <w:tcW w:w="1526" w:type="dxa"/>
            <w:noWrap/>
          </w:tcPr>
          <w:p w14:paraId="27929C35">
            <w:pPr>
              <w:adjustRightInd w:val="0"/>
              <w:snapToGrid w:val="0"/>
              <w:spacing w:line="240" w:lineRule="exact"/>
              <w:rPr>
                <w:rFonts w:ascii="宋体" w:hAnsi="宋体" w:cs="宋体"/>
                <w:sz w:val="18"/>
                <w:szCs w:val="18"/>
              </w:rPr>
            </w:pPr>
          </w:p>
        </w:tc>
      </w:tr>
      <w:tr w14:paraId="0146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4274E13">
            <w:pPr>
              <w:adjustRightInd w:val="0"/>
              <w:snapToGrid w:val="0"/>
              <w:jc w:val="center"/>
              <w:rPr>
                <w:rFonts w:ascii="宋体" w:hAnsi="宋体" w:cs="宋体"/>
                <w:b/>
                <w:sz w:val="18"/>
                <w:szCs w:val="18"/>
              </w:rPr>
            </w:pPr>
          </w:p>
        </w:tc>
        <w:tc>
          <w:tcPr>
            <w:tcW w:w="3224" w:type="dxa"/>
            <w:noWrap/>
            <w:vAlign w:val="center"/>
          </w:tcPr>
          <w:p w14:paraId="29E86CD9">
            <w:pPr>
              <w:rPr>
                <w:rFonts w:ascii="宋体" w:hAnsi="宋体" w:cs="宋体"/>
                <w:sz w:val="18"/>
                <w:szCs w:val="18"/>
              </w:rPr>
            </w:pPr>
          </w:p>
        </w:tc>
        <w:tc>
          <w:tcPr>
            <w:tcW w:w="1461" w:type="dxa"/>
            <w:noWrap/>
          </w:tcPr>
          <w:p w14:paraId="676A22FE">
            <w:pPr>
              <w:adjustRightInd w:val="0"/>
              <w:snapToGrid w:val="0"/>
              <w:spacing w:line="240" w:lineRule="exact"/>
              <w:rPr>
                <w:rFonts w:ascii="宋体" w:hAnsi="宋体" w:cs="宋体"/>
                <w:sz w:val="18"/>
                <w:szCs w:val="18"/>
              </w:rPr>
            </w:pPr>
          </w:p>
        </w:tc>
        <w:tc>
          <w:tcPr>
            <w:tcW w:w="1683" w:type="dxa"/>
            <w:noWrap/>
          </w:tcPr>
          <w:p w14:paraId="4CF8B10F">
            <w:pPr>
              <w:adjustRightInd w:val="0"/>
              <w:snapToGrid w:val="0"/>
              <w:spacing w:line="240" w:lineRule="exact"/>
              <w:rPr>
                <w:rFonts w:ascii="宋体" w:hAnsi="宋体" w:cs="宋体"/>
                <w:sz w:val="18"/>
                <w:szCs w:val="18"/>
              </w:rPr>
            </w:pPr>
          </w:p>
        </w:tc>
        <w:tc>
          <w:tcPr>
            <w:tcW w:w="1526" w:type="dxa"/>
            <w:noWrap/>
          </w:tcPr>
          <w:p w14:paraId="57CA57A1">
            <w:pPr>
              <w:adjustRightInd w:val="0"/>
              <w:snapToGrid w:val="0"/>
              <w:spacing w:line="240" w:lineRule="exact"/>
              <w:rPr>
                <w:rFonts w:ascii="宋体" w:hAnsi="宋体" w:cs="宋体"/>
                <w:sz w:val="18"/>
                <w:szCs w:val="18"/>
              </w:rPr>
            </w:pPr>
          </w:p>
        </w:tc>
      </w:tr>
    </w:tbl>
    <w:p w14:paraId="77C5A0CF">
      <w:pPr>
        <w:snapToGrid w:val="0"/>
        <w:spacing w:before="50" w:after="50"/>
        <w:rPr>
          <w:rFonts w:ascii="宋体" w:hAnsi="宋体" w:cs="宋体"/>
          <w:sz w:val="24"/>
          <w:u w:val="single"/>
        </w:rPr>
      </w:pPr>
      <w:r>
        <w:rPr>
          <w:rFonts w:hint="eastAsia" w:ascii="宋体" w:hAnsi="宋体" w:cs="宋体"/>
          <w:sz w:val="24"/>
        </w:rPr>
        <w:t>授权代表签名：</w:t>
      </w:r>
    </w:p>
    <w:p w14:paraId="7CFB1C36">
      <w:pPr>
        <w:pStyle w:val="6"/>
        <w:snapToGrid w:val="0"/>
        <w:ind w:right="280"/>
        <w:rPr>
          <w:rFonts w:cs="宋体"/>
          <w:sz w:val="24"/>
        </w:rPr>
      </w:pPr>
      <w:r>
        <w:rPr>
          <w:rFonts w:cs="宋体"/>
          <w:sz w:val="24"/>
        </w:rPr>
        <w:t xml:space="preserve">投标人全称（盖章）：              </w:t>
      </w:r>
    </w:p>
    <w:p w14:paraId="5188959A">
      <w:pPr>
        <w:pStyle w:val="6"/>
        <w:snapToGrid w:val="0"/>
        <w:ind w:right="280"/>
        <w:rPr>
          <w:rFonts w:cs="宋体"/>
          <w:sz w:val="24"/>
        </w:rPr>
      </w:pPr>
      <w:r>
        <w:rPr>
          <w:rFonts w:hint="eastAsia" w:cs="宋体"/>
          <w:sz w:val="24"/>
          <w:lang w:val="en-US" w:eastAsia="zh-CN"/>
        </w:rPr>
        <w:t xml:space="preserve">日期：   </w:t>
      </w:r>
      <w:r>
        <w:rPr>
          <w:rFonts w:cs="宋体"/>
          <w:sz w:val="24"/>
        </w:rPr>
        <w:t>年    月　 日</w:t>
      </w:r>
    </w:p>
    <w:p w14:paraId="118E8443">
      <w:pPr>
        <w:pStyle w:val="6"/>
        <w:snapToGrid w:val="0"/>
        <w:ind w:right="280"/>
        <w:rPr>
          <w:rFonts w:cs="宋体"/>
          <w:sz w:val="24"/>
        </w:rPr>
      </w:pPr>
      <w:r>
        <w:rPr>
          <w:rFonts w:cs="宋体"/>
          <w:sz w:val="24"/>
        </w:rPr>
        <w:t xml:space="preserve">    </w:t>
      </w:r>
    </w:p>
    <w:p w14:paraId="3FAC8E32">
      <w:pPr>
        <w:pStyle w:val="2"/>
      </w:pPr>
      <w:r>
        <w:rPr>
          <w:rFonts w:hint="eastAsia"/>
        </w:rPr>
        <w:t>注：按招标文件要求列表，对照招标文件要求在“偏离情况”栏注明“正偏离”、“负偏离”或“无偏离”。不填写视同完全响应招标文件。</w:t>
      </w:r>
    </w:p>
    <w:p w14:paraId="281EC0E0"/>
    <w:p w14:paraId="6A5AE674">
      <w:pPr>
        <w:pStyle w:val="2"/>
      </w:pPr>
    </w:p>
    <w:p w14:paraId="645FBF67"/>
    <w:p w14:paraId="1DB66F08">
      <w:pPr>
        <w:pStyle w:val="2"/>
      </w:pPr>
    </w:p>
    <w:p w14:paraId="477E305D">
      <w:r>
        <w:br w:type="page"/>
      </w:r>
    </w:p>
    <w:p w14:paraId="7436AAC4">
      <w:pPr>
        <w:adjustRightInd w:val="0"/>
        <w:snapToGrid w:val="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.拟投入实施的团队人员配置表格式</w:t>
      </w:r>
    </w:p>
    <w:p w14:paraId="0832E0C9">
      <w:pPr>
        <w:adjustRightInd w:val="0"/>
        <w:snapToGrid w:val="0"/>
        <w:jc w:val="left"/>
        <w:rPr>
          <w:rFonts w:ascii="宋体" w:hAnsi="宋体" w:cs="宋体"/>
          <w:sz w:val="24"/>
        </w:rPr>
      </w:pPr>
    </w:p>
    <w:p w14:paraId="6BB96738">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拟投入实施的团队人员配置表</w:t>
      </w:r>
    </w:p>
    <w:p w14:paraId="6CF323A4">
      <w:pPr>
        <w:adjustRightInd w:val="0"/>
        <w:snapToGrid w:val="0"/>
        <w:spacing w:line="440" w:lineRule="exact"/>
        <w:jc w:val="center"/>
        <w:rPr>
          <w:rFonts w:ascii="宋体" w:hAnsi="宋体" w:cs="宋体"/>
          <w:b/>
          <w:sz w:val="28"/>
          <w:szCs w:val="28"/>
        </w:rPr>
      </w:pPr>
    </w:p>
    <w:p w14:paraId="4593303A">
      <w:pPr>
        <w:adjustRightInd w:val="0"/>
        <w:snapToGrid w:val="0"/>
        <w:spacing w:line="440" w:lineRule="exact"/>
        <w:rPr>
          <w:rFonts w:ascii="宋体" w:hAnsi="宋体" w:cs="宋体"/>
          <w:sz w:val="24"/>
        </w:rPr>
      </w:pPr>
      <w:r>
        <w:rPr>
          <w:rFonts w:hint="eastAsia" w:ascii="宋体" w:hAnsi="宋体" w:cs="宋体"/>
          <w:sz w:val="24"/>
        </w:rPr>
        <w:t xml:space="preserve">项目名称：                </w:t>
      </w:r>
    </w:p>
    <w:p w14:paraId="79391421">
      <w:pPr>
        <w:adjustRightInd w:val="0"/>
        <w:snapToGrid w:val="0"/>
        <w:spacing w:line="440" w:lineRule="exact"/>
        <w:rPr>
          <w:rFonts w:ascii="宋体" w:hAnsi="宋体" w:cs="宋体"/>
          <w:sz w:val="24"/>
        </w:rPr>
      </w:pPr>
      <w:r>
        <w:rPr>
          <w:rFonts w:hint="eastAsia" w:ascii="宋体" w:hAnsi="宋体" w:cs="宋体"/>
          <w:sz w:val="24"/>
        </w:rPr>
        <w:t>项目编号：</w:t>
      </w:r>
    </w:p>
    <w:tbl>
      <w:tblPr>
        <w:tblStyle w:val="18"/>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039"/>
        <w:gridCol w:w="595"/>
        <w:gridCol w:w="564"/>
        <w:gridCol w:w="941"/>
        <w:gridCol w:w="1163"/>
        <w:gridCol w:w="1317"/>
        <w:gridCol w:w="1232"/>
      </w:tblGrid>
      <w:tr w14:paraId="1446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1" w:type="dxa"/>
            <w:tcBorders>
              <w:top w:val="single" w:color="auto" w:sz="12" w:space="0"/>
              <w:left w:val="single" w:color="auto" w:sz="12" w:space="0"/>
              <w:bottom w:val="single" w:color="auto" w:sz="12" w:space="0"/>
            </w:tcBorders>
            <w:noWrap/>
            <w:vAlign w:val="center"/>
          </w:tcPr>
          <w:p w14:paraId="29BB2B35">
            <w:pPr>
              <w:spacing w:line="480" w:lineRule="exact"/>
              <w:rPr>
                <w:rFonts w:ascii="宋体" w:hAnsi="宋体" w:cs="宋体"/>
              </w:rPr>
            </w:pPr>
            <w:r>
              <w:rPr>
                <w:rFonts w:hint="eastAsia" w:ascii="宋体" w:hAnsi="宋体" w:cs="宋体"/>
              </w:rPr>
              <w:t>姓 名</w:t>
            </w:r>
          </w:p>
        </w:tc>
        <w:tc>
          <w:tcPr>
            <w:tcW w:w="2039" w:type="dxa"/>
            <w:tcBorders>
              <w:top w:val="single" w:color="auto" w:sz="12" w:space="0"/>
              <w:bottom w:val="single" w:color="auto" w:sz="12" w:space="0"/>
            </w:tcBorders>
            <w:noWrap/>
            <w:vAlign w:val="center"/>
          </w:tcPr>
          <w:p w14:paraId="1214B312">
            <w:pPr>
              <w:spacing w:line="480" w:lineRule="exact"/>
              <w:ind w:firstLine="420" w:firstLineChars="200"/>
              <w:rPr>
                <w:rFonts w:ascii="宋体" w:hAnsi="宋体" w:cs="宋体"/>
              </w:rPr>
            </w:pPr>
            <w:r>
              <w:rPr>
                <w:rFonts w:hint="eastAsia" w:ascii="宋体" w:hAnsi="宋体" w:cs="宋体"/>
              </w:rPr>
              <w:t>本项目拟任</w:t>
            </w:r>
          </w:p>
          <w:p w14:paraId="5CC913BA">
            <w:pPr>
              <w:spacing w:line="480" w:lineRule="exact"/>
              <w:ind w:firstLine="420" w:firstLineChars="200"/>
              <w:rPr>
                <w:rFonts w:ascii="宋体" w:hAnsi="宋体" w:cs="宋体"/>
              </w:rPr>
            </w:pPr>
            <w:r>
              <w:rPr>
                <w:rFonts w:hint="eastAsia" w:ascii="宋体" w:hAnsi="宋体" w:cs="宋体"/>
              </w:rPr>
              <w:t>岗    位</w:t>
            </w:r>
          </w:p>
        </w:tc>
        <w:tc>
          <w:tcPr>
            <w:tcW w:w="595" w:type="dxa"/>
            <w:tcBorders>
              <w:top w:val="single" w:color="auto" w:sz="12" w:space="0"/>
              <w:bottom w:val="single" w:color="auto" w:sz="12" w:space="0"/>
            </w:tcBorders>
            <w:noWrap/>
            <w:vAlign w:val="center"/>
          </w:tcPr>
          <w:p w14:paraId="566562EA">
            <w:pPr>
              <w:spacing w:line="480" w:lineRule="exact"/>
              <w:rPr>
                <w:rFonts w:ascii="宋体" w:hAnsi="宋体" w:cs="宋体"/>
              </w:rPr>
            </w:pPr>
            <w:r>
              <w:rPr>
                <w:rFonts w:hint="eastAsia" w:ascii="宋体" w:hAnsi="宋体" w:cs="宋体"/>
              </w:rPr>
              <w:t>年龄</w:t>
            </w:r>
          </w:p>
        </w:tc>
        <w:tc>
          <w:tcPr>
            <w:tcW w:w="564" w:type="dxa"/>
            <w:tcBorders>
              <w:top w:val="single" w:color="auto" w:sz="12" w:space="0"/>
              <w:bottom w:val="single" w:color="auto" w:sz="12" w:space="0"/>
            </w:tcBorders>
            <w:noWrap/>
            <w:vAlign w:val="center"/>
          </w:tcPr>
          <w:p w14:paraId="1F5EDE37">
            <w:pPr>
              <w:spacing w:line="480" w:lineRule="exact"/>
              <w:rPr>
                <w:rFonts w:ascii="宋体" w:hAnsi="宋体" w:cs="宋体"/>
              </w:rPr>
            </w:pPr>
            <w:r>
              <w:rPr>
                <w:rFonts w:hint="eastAsia" w:ascii="宋体" w:hAnsi="宋体" w:cs="宋体"/>
              </w:rPr>
              <w:t>性别</w:t>
            </w:r>
          </w:p>
        </w:tc>
        <w:tc>
          <w:tcPr>
            <w:tcW w:w="941" w:type="dxa"/>
            <w:tcBorders>
              <w:top w:val="single" w:color="auto" w:sz="12" w:space="0"/>
              <w:bottom w:val="single" w:color="auto" w:sz="12" w:space="0"/>
            </w:tcBorders>
            <w:noWrap/>
            <w:vAlign w:val="center"/>
          </w:tcPr>
          <w:p w14:paraId="5EB43825">
            <w:pPr>
              <w:spacing w:line="480" w:lineRule="exact"/>
              <w:rPr>
                <w:rFonts w:ascii="宋体" w:hAnsi="宋体" w:cs="宋体"/>
              </w:rPr>
            </w:pPr>
            <w:r>
              <w:rPr>
                <w:rFonts w:hint="eastAsia" w:ascii="宋体" w:hAnsi="宋体" w:cs="宋体"/>
              </w:rPr>
              <w:t>专 业</w:t>
            </w:r>
          </w:p>
        </w:tc>
        <w:tc>
          <w:tcPr>
            <w:tcW w:w="1163" w:type="dxa"/>
            <w:tcBorders>
              <w:top w:val="single" w:color="auto" w:sz="12" w:space="0"/>
              <w:bottom w:val="single" w:color="auto" w:sz="12" w:space="0"/>
            </w:tcBorders>
            <w:noWrap/>
            <w:vAlign w:val="center"/>
          </w:tcPr>
          <w:p w14:paraId="48C5D1BE">
            <w:pPr>
              <w:spacing w:line="480" w:lineRule="exact"/>
              <w:rPr>
                <w:rFonts w:ascii="宋体" w:hAnsi="宋体" w:cs="宋体"/>
              </w:rPr>
            </w:pPr>
            <w:r>
              <w:rPr>
                <w:rFonts w:hint="eastAsia" w:ascii="宋体" w:hAnsi="宋体" w:cs="宋体"/>
              </w:rPr>
              <w:t>职 称与证书</w:t>
            </w:r>
          </w:p>
        </w:tc>
        <w:tc>
          <w:tcPr>
            <w:tcW w:w="1317" w:type="dxa"/>
            <w:tcBorders>
              <w:top w:val="single" w:color="auto" w:sz="12" w:space="0"/>
              <w:bottom w:val="single" w:color="auto" w:sz="12" w:space="0"/>
            </w:tcBorders>
            <w:noWrap/>
            <w:vAlign w:val="center"/>
          </w:tcPr>
          <w:p w14:paraId="14C3E5EA">
            <w:pPr>
              <w:spacing w:line="480" w:lineRule="exact"/>
              <w:rPr>
                <w:rFonts w:ascii="宋体" w:hAnsi="宋体" w:cs="宋体"/>
              </w:rPr>
            </w:pPr>
            <w:r>
              <w:rPr>
                <w:rFonts w:hint="eastAsia" w:ascii="宋体" w:hAnsi="宋体" w:cs="宋体"/>
              </w:rPr>
              <w:t>安排上岗起止时间</w:t>
            </w:r>
          </w:p>
        </w:tc>
        <w:tc>
          <w:tcPr>
            <w:tcW w:w="1232" w:type="dxa"/>
            <w:tcBorders>
              <w:top w:val="single" w:color="auto" w:sz="12" w:space="0"/>
              <w:bottom w:val="single" w:color="auto" w:sz="12" w:space="0"/>
              <w:right w:val="single" w:color="auto" w:sz="12" w:space="0"/>
            </w:tcBorders>
            <w:noWrap/>
            <w:vAlign w:val="center"/>
          </w:tcPr>
          <w:p w14:paraId="7EF43819">
            <w:pPr>
              <w:spacing w:line="480" w:lineRule="exact"/>
              <w:rPr>
                <w:rFonts w:ascii="宋体" w:hAnsi="宋体" w:cs="宋体"/>
              </w:rPr>
            </w:pPr>
            <w:r>
              <w:rPr>
                <w:rFonts w:hint="eastAsia" w:ascii="宋体" w:hAnsi="宋体" w:cs="宋体"/>
              </w:rPr>
              <w:t>备注</w:t>
            </w:r>
          </w:p>
        </w:tc>
      </w:tr>
      <w:tr w14:paraId="54D6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12" w:space="0"/>
              <w:left w:val="single" w:color="auto" w:sz="12" w:space="0"/>
            </w:tcBorders>
            <w:noWrap/>
            <w:vAlign w:val="center"/>
          </w:tcPr>
          <w:p w14:paraId="44C78D31">
            <w:pPr>
              <w:spacing w:line="360" w:lineRule="auto"/>
              <w:rPr>
                <w:rFonts w:ascii="宋体" w:hAnsi="宋体" w:cs="宋体"/>
              </w:rPr>
            </w:pPr>
          </w:p>
        </w:tc>
        <w:tc>
          <w:tcPr>
            <w:tcW w:w="2039" w:type="dxa"/>
            <w:tcBorders>
              <w:top w:val="single" w:color="auto" w:sz="12" w:space="0"/>
            </w:tcBorders>
            <w:noWrap/>
            <w:vAlign w:val="center"/>
          </w:tcPr>
          <w:p w14:paraId="435F0F1E">
            <w:pPr>
              <w:spacing w:line="360" w:lineRule="auto"/>
              <w:jc w:val="center"/>
              <w:rPr>
                <w:rFonts w:ascii="宋体" w:hAnsi="宋体" w:cs="宋体"/>
                <w:sz w:val="16"/>
              </w:rPr>
            </w:pPr>
            <w:r>
              <w:rPr>
                <w:rFonts w:hint="eastAsia" w:ascii="宋体" w:hAnsi="宋体" w:cs="宋体"/>
              </w:rPr>
              <w:t>项目负责人</w:t>
            </w:r>
          </w:p>
        </w:tc>
        <w:tc>
          <w:tcPr>
            <w:tcW w:w="595" w:type="dxa"/>
            <w:tcBorders>
              <w:top w:val="single" w:color="auto" w:sz="12" w:space="0"/>
            </w:tcBorders>
            <w:noWrap/>
            <w:vAlign w:val="center"/>
          </w:tcPr>
          <w:p w14:paraId="4A12A49D">
            <w:pPr>
              <w:spacing w:line="360" w:lineRule="auto"/>
              <w:rPr>
                <w:rFonts w:ascii="宋体" w:hAnsi="宋体" w:cs="宋体"/>
              </w:rPr>
            </w:pPr>
          </w:p>
        </w:tc>
        <w:tc>
          <w:tcPr>
            <w:tcW w:w="564" w:type="dxa"/>
            <w:tcBorders>
              <w:top w:val="single" w:color="auto" w:sz="12" w:space="0"/>
            </w:tcBorders>
            <w:noWrap/>
            <w:vAlign w:val="center"/>
          </w:tcPr>
          <w:p w14:paraId="4ED59C86">
            <w:pPr>
              <w:spacing w:line="360" w:lineRule="auto"/>
              <w:rPr>
                <w:rFonts w:ascii="宋体" w:hAnsi="宋体" w:cs="宋体"/>
              </w:rPr>
            </w:pPr>
          </w:p>
        </w:tc>
        <w:tc>
          <w:tcPr>
            <w:tcW w:w="941" w:type="dxa"/>
            <w:tcBorders>
              <w:top w:val="single" w:color="auto" w:sz="12" w:space="0"/>
            </w:tcBorders>
            <w:noWrap/>
            <w:vAlign w:val="center"/>
          </w:tcPr>
          <w:p w14:paraId="4E2FCA8A">
            <w:pPr>
              <w:spacing w:line="360" w:lineRule="auto"/>
              <w:rPr>
                <w:rFonts w:ascii="宋体" w:hAnsi="宋体" w:cs="宋体"/>
              </w:rPr>
            </w:pPr>
          </w:p>
        </w:tc>
        <w:tc>
          <w:tcPr>
            <w:tcW w:w="1163" w:type="dxa"/>
            <w:tcBorders>
              <w:top w:val="single" w:color="auto" w:sz="12" w:space="0"/>
            </w:tcBorders>
            <w:noWrap/>
            <w:vAlign w:val="center"/>
          </w:tcPr>
          <w:p w14:paraId="5731A4C2">
            <w:pPr>
              <w:spacing w:line="360" w:lineRule="auto"/>
              <w:rPr>
                <w:rFonts w:ascii="宋体" w:hAnsi="宋体" w:cs="宋体"/>
              </w:rPr>
            </w:pPr>
          </w:p>
        </w:tc>
        <w:tc>
          <w:tcPr>
            <w:tcW w:w="1317" w:type="dxa"/>
            <w:tcBorders>
              <w:top w:val="single" w:color="auto" w:sz="12" w:space="0"/>
            </w:tcBorders>
            <w:noWrap/>
            <w:vAlign w:val="center"/>
          </w:tcPr>
          <w:p w14:paraId="06055AD0">
            <w:pPr>
              <w:pStyle w:val="10"/>
              <w:spacing w:line="360" w:lineRule="auto"/>
              <w:ind w:left="5250"/>
              <w:rPr>
                <w:rFonts w:ascii="宋体" w:cs="宋体"/>
              </w:rPr>
            </w:pPr>
          </w:p>
        </w:tc>
        <w:tc>
          <w:tcPr>
            <w:tcW w:w="1232" w:type="dxa"/>
            <w:tcBorders>
              <w:top w:val="single" w:color="auto" w:sz="12" w:space="0"/>
              <w:right w:val="single" w:color="auto" w:sz="12" w:space="0"/>
            </w:tcBorders>
            <w:noWrap/>
            <w:vAlign w:val="center"/>
          </w:tcPr>
          <w:p w14:paraId="4A431AD4">
            <w:pPr>
              <w:spacing w:line="360" w:lineRule="auto"/>
              <w:rPr>
                <w:rFonts w:ascii="宋体" w:hAnsi="宋体" w:cs="宋体"/>
              </w:rPr>
            </w:pPr>
          </w:p>
        </w:tc>
      </w:tr>
      <w:tr w14:paraId="394B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3677F5AB">
            <w:pPr>
              <w:spacing w:line="360" w:lineRule="auto"/>
              <w:rPr>
                <w:rFonts w:ascii="宋体" w:hAnsi="宋体" w:cs="宋体"/>
              </w:rPr>
            </w:pPr>
          </w:p>
        </w:tc>
        <w:tc>
          <w:tcPr>
            <w:tcW w:w="2039" w:type="dxa"/>
            <w:noWrap/>
            <w:vAlign w:val="center"/>
          </w:tcPr>
          <w:p w14:paraId="77E30C21">
            <w:pPr>
              <w:spacing w:line="360" w:lineRule="auto"/>
              <w:jc w:val="center"/>
              <w:rPr>
                <w:rFonts w:ascii="宋体" w:hAnsi="宋体" w:cs="宋体"/>
              </w:rPr>
            </w:pPr>
          </w:p>
        </w:tc>
        <w:tc>
          <w:tcPr>
            <w:tcW w:w="595" w:type="dxa"/>
            <w:noWrap/>
            <w:vAlign w:val="center"/>
          </w:tcPr>
          <w:p w14:paraId="49AB8A4A">
            <w:pPr>
              <w:spacing w:line="360" w:lineRule="auto"/>
              <w:rPr>
                <w:rFonts w:ascii="宋体" w:hAnsi="宋体" w:cs="宋体"/>
              </w:rPr>
            </w:pPr>
          </w:p>
        </w:tc>
        <w:tc>
          <w:tcPr>
            <w:tcW w:w="564" w:type="dxa"/>
            <w:noWrap/>
            <w:vAlign w:val="center"/>
          </w:tcPr>
          <w:p w14:paraId="0717B4AE">
            <w:pPr>
              <w:spacing w:line="360" w:lineRule="auto"/>
              <w:rPr>
                <w:rFonts w:ascii="宋体" w:hAnsi="宋体" w:cs="宋体"/>
              </w:rPr>
            </w:pPr>
          </w:p>
        </w:tc>
        <w:tc>
          <w:tcPr>
            <w:tcW w:w="941" w:type="dxa"/>
            <w:noWrap/>
            <w:vAlign w:val="center"/>
          </w:tcPr>
          <w:p w14:paraId="77BE35A8">
            <w:pPr>
              <w:spacing w:line="360" w:lineRule="auto"/>
              <w:rPr>
                <w:rFonts w:ascii="宋体" w:hAnsi="宋体" w:cs="宋体"/>
              </w:rPr>
            </w:pPr>
          </w:p>
        </w:tc>
        <w:tc>
          <w:tcPr>
            <w:tcW w:w="1163" w:type="dxa"/>
            <w:noWrap/>
            <w:vAlign w:val="center"/>
          </w:tcPr>
          <w:p w14:paraId="266FDA45">
            <w:pPr>
              <w:spacing w:line="360" w:lineRule="auto"/>
              <w:rPr>
                <w:rFonts w:ascii="宋体" w:hAnsi="宋体" w:cs="宋体"/>
              </w:rPr>
            </w:pPr>
          </w:p>
        </w:tc>
        <w:tc>
          <w:tcPr>
            <w:tcW w:w="1317" w:type="dxa"/>
            <w:noWrap/>
            <w:vAlign w:val="center"/>
          </w:tcPr>
          <w:p w14:paraId="49D77B1A">
            <w:pPr>
              <w:spacing w:line="360" w:lineRule="auto"/>
              <w:rPr>
                <w:rFonts w:ascii="宋体" w:hAnsi="宋体" w:cs="宋体"/>
              </w:rPr>
            </w:pPr>
          </w:p>
        </w:tc>
        <w:tc>
          <w:tcPr>
            <w:tcW w:w="1232" w:type="dxa"/>
            <w:tcBorders>
              <w:right w:val="single" w:color="auto" w:sz="12" w:space="0"/>
            </w:tcBorders>
            <w:noWrap/>
            <w:vAlign w:val="center"/>
          </w:tcPr>
          <w:p w14:paraId="055A43B7">
            <w:pPr>
              <w:spacing w:line="360" w:lineRule="auto"/>
              <w:rPr>
                <w:rFonts w:ascii="宋体" w:hAnsi="宋体" w:cs="宋体"/>
              </w:rPr>
            </w:pPr>
          </w:p>
        </w:tc>
      </w:tr>
      <w:tr w14:paraId="513E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62BBF4FB">
            <w:pPr>
              <w:spacing w:line="360" w:lineRule="auto"/>
              <w:rPr>
                <w:rFonts w:ascii="宋体" w:hAnsi="宋体" w:cs="宋体"/>
              </w:rPr>
            </w:pPr>
          </w:p>
        </w:tc>
        <w:tc>
          <w:tcPr>
            <w:tcW w:w="2039" w:type="dxa"/>
            <w:noWrap/>
            <w:vAlign w:val="center"/>
          </w:tcPr>
          <w:p w14:paraId="45DD4BAD">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0CF1432E">
            <w:pPr>
              <w:spacing w:line="360" w:lineRule="auto"/>
              <w:rPr>
                <w:rFonts w:ascii="宋体" w:hAnsi="宋体" w:cs="宋体"/>
              </w:rPr>
            </w:pPr>
          </w:p>
        </w:tc>
        <w:tc>
          <w:tcPr>
            <w:tcW w:w="564" w:type="dxa"/>
            <w:noWrap/>
            <w:vAlign w:val="center"/>
          </w:tcPr>
          <w:p w14:paraId="7DF1333F">
            <w:pPr>
              <w:spacing w:line="360" w:lineRule="auto"/>
              <w:rPr>
                <w:rFonts w:ascii="宋体" w:hAnsi="宋体" w:cs="宋体"/>
              </w:rPr>
            </w:pPr>
          </w:p>
        </w:tc>
        <w:tc>
          <w:tcPr>
            <w:tcW w:w="941" w:type="dxa"/>
            <w:noWrap/>
            <w:vAlign w:val="center"/>
          </w:tcPr>
          <w:p w14:paraId="09E8546D">
            <w:pPr>
              <w:spacing w:line="360" w:lineRule="auto"/>
              <w:rPr>
                <w:rFonts w:ascii="宋体" w:hAnsi="宋体" w:cs="宋体"/>
              </w:rPr>
            </w:pPr>
          </w:p>
        </w:tc>
        <w:tc>
          <w:tcPr>
            <w:tcW w:w="1163" w:type="dxa"/>
            <w:noWrap/>
            <w:vAlign w:val="center"/>
          </w:tcPr>
          <w:p w14:paraId="23B52FAE">
            <w:pPr>
              <w:spacing w:line="360" w:lineRule="auto"/>
              <w:rPr>
                <w:rFonts w:ascii="宋体" w:hAnsi="宋体" w:cs="宋体"/>
              </w:rPr>
            </w:pPr>
          </w:p>
        </w:tc>
        <w:tc>
          <w:tcPr>
            <w:tcW w:w="1317" w:type="dxa"/>
            <w:noWrap/>
            <w:vAlign w:val="center"/>
          </w:tcPr>
          <w:p w14:paraId="73B4F84F">
            <w:pPr>
              <w:spacing w:line="360" w:lineRule="auto"/>
              <w:rPr>
                <w:rFonts w:ascii="宋体" w:hAnsi="宋体" w:cs="宋体"/>
              </w:rPr>
            </w:pPr>
          </w:p>
        </w:tc>
        <w:tc>
          <w:tcPr>
            <w:tcW w:w="1232" w:type="dxa"/>
            <w:tcBorders>
              <w:right w:val="single" w:color="auto" w:sz="12" w:space="0"/>
            </w:tcBorders>
            <w:noWrap/>
            <w:vAlign w:val="center"/>
          </w:tcPr>
          <w:p w14:paraId="020BE828">
            <w:pPr>
              <w:spacing w:line="360" w:lineRule="auto"/>
              <w:rPr>
                <w:rFonts w:ascii="宋体" w:hAnsi="宋体" w:cs="宋体"/>
              </w:rPr>
            </w:pPr>
          </w:p>
        </w:tc>
      </w:tr>
      <w:tr w14:paraId="020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58E5EE99">
            <w:pPr>
              <w:spacing w:line="360" w:lineRule="auto"/>
              <w:rPr>
                <w:rFonts w:ascii="宋体" w:hAnsi="宋体" w:cs="宋体"/>
              </w:rPr>
            </w:pPr>
          </w:p>
        </w:tc>
        <w:tc>
          <w:tcPr>
            <w:tcW w:w="2039" w:type="dxa"/>
            <w:noWrap/>
            <w:vAlign w:val="center"/>
          </w:tcPr>
          <w:p w14:paraId="1FF46965">
            <w:pPr>
              <w:spacing w:line="360" w:lineRule="auto"/>
              <w:jc w:val="center"/>
              <w:rPr>
                <w:rFonts w:ascii="宋体" w:hAnsi="宋体" w:cs="宋体"/>
              </w:rPr>
            </w:pPr>
          </w:p>
        </w:tc>
        <w:tc>
          <w:tcPr>
            <w:tcW w:w="595" w:type="dxa"/>
            <w:noWrap/>
            <w:vAlign w:val="center"/>
          </w:tcPr>
          <w:p w14:paraId="3B947E30">
            <w:pPr>
              <w:spacing w:line="360" w:lineRule="auto"/>
              <w:rPr>
                <w:rFonts w:ascii="宋体" w:hAnsi="宋体" w:cs="宋体"/>
              </w:rPr>
            </w:pPr>
          </w:p>
        </w:tc>
        <w:tc>
          <w:tcPr>
            <w:tcW w:w="564" w:type="dxa"/>
            <w:noWrap/>
            <w:vAlign w:val="center"/>
          </w:tcPr>
          <w:p w14:paraId="624EBD23">
            <w:pPr>
              <w:spacing w:line="360" w:lineRule="auto"/>
              <w:rPr>
                <w:rFonts w:ascii="宋体" w:hAnsi="宋体" w:cs="宋体"/>
              </w:rPr>
            </w:pPr>
          </w:p>
        </w:tc>
        <w:tc>
          <w:tcPr>
            <w:tcW w:w="941" w:type="dxa"/>
            <w:noWrap/>
            <w:vAlign w:val="center"/>
          </w:tcPr>
          <w:p w14:paraId="6E18D2ED">
            <w:pPr>
              <w:spacing w:line="360" w:lineRule="auto"/>
              <w:rPr>
                <w:rFonts w:ascii="宋体" w:hAnsi="宋体" w:cs="宋体"/>
              </w:rPr>
            </w:pPr>
          </w:p>
        </w:tc>
        <w:tc>
          <w:tcPr>
            <w:tcW w:w="1163" w:type="dxa"/>
            <w:noWrap/>
            <w:vAlign w:val="center"/>
          </w:tcPr>
          <w:p w14:paraId="06E367BD">
            <w:pPr>
              <w:spacing w:line="360" w:lineRule="auto"/>
              <w:rPr>
                <w:rFonts w:ascii="宋体" w:hAnsi="宋体" w:cs="宋体"/>
              </w:rPr>
            </w:pPr>
          </w:p>
        </w:tc>
        <w:tc>
          <w:tcPr>
            <w:tcW w:w="1317" w:type="dxa"/>
            <w:noWrap/>
            <w:vAlign w:val="center"/>
          </w:tcPr>
          <w:p w14:paraId="4CCC0051">
            <w:pPr>
              <w:spacing w:line="360" w:lineRule="auto"/>
              <w:rPr>
                <w:rFonts w:ascii="宋体" w:hAnsi="宋体" w:cs="宋体"/>
              </w:rPr>
            </w:pPr>
          </w:p>
        </w:tc>
        <w:tc>
          <w:tcPr>
            <w:tcW w:w="1232" w:type="dxa"/>
            <w:tcBorders>
              <w:right w:val="single" w:color="auto" w:sz="12" w:space="0"/>
            </w:tcBorders>
            <w:noWrap/>
            <w:vAlign w:val="center"/>
          </w:tcPr>
          <w:p w14:paraId="639EFC0F">
            <w:pPr>
              <w:spacing w:line="360" w:lineRule="auto"/>
              <w:rPr>
                <w:rFonts w:ascii="宋体" w:hAnsi="宋体" w:cs="宋体"/>
              </w:rPr>
            </w:pPr>
          </w:p>
        </w:tc>
      </w:tr>
      <w:tr w14:paraId="59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609F075E">
            <w:pPr>
              <w:spacing w:line="360" w:lineRule="auto"/>
              <w:rPr>
                <w:rFonts w:ascii="宋体" w:hAnsi="宋体" w:cs="宋体"/>
              </w:rPr>
            </w:pPr>
          </w:p>
        </w:tc>
        <w:tc>
          <w:tcPr>
            <w:tcW w:w="2039" w:type="dxa"/>
            <w:noWrap/>
            <w:vAlign w:val="center"/>
          </w:tcPr>
          <w:p w14:paraId="65826C88">
            <w:pPr>
              <w:spacing w:line="360" w:lineRule="auto"/>
              <w:jc w:val="center"/>
              <w:rPr>
                <w:rFonts w:ascii="宋体" w:hAnsi="宋体" w:cs="宋体"/>
              </w:rPr>
            </w:pPr>
          </w:p>
        </w:tc>
        <w:tc>
          <w:tcPr>
            <w:tcW w:w="595" w:type="dxa"/>
            <w:noWrap/>
            <w:vAlign w:val="center"/>
          </w:tcPr>
          <w:p w14:paraId="7D3518BF">
            <w:pPr>
              <w:spacing w:line="360" w:lineRule="auto"/>
              <w:rPr>
                <w:rFonts w:ascii="宋体" w:hAnsi="宋体" w:cs="宋体"/>
              </w:rPr>
            </w:pPr>
          </w:p>
        </w:tc>
        <w:tc>
          <w:tcPr>
            <w:tcW w:w="564" w:type="dxa"/>
            <w:noWrap/>
            <w:vAlign w:val="center"/>
          </w:tcPr>
          <w:p w14:paraId="320F51A0">
            <w:pPr>
              <w:spacing w:line="360" w:lineRule="auto"/>
              <w:rPr>
                <w:rFonts w:ascii="宋体" w:hAnsi="宋体" w:cs="宋体"/>
              </w:rPr>
            </w:pPr>
          </w:p>
        </w:tc>
        <w:tc>
          <w:tcPr>
            <w:tcW w:w="941" w:type="dxa"/>
            <w:noWrap/>
            <w:vAlign w:val="center"/>
          </w:tcPr>
          <w:p w14:paraId="4C43EDA1">
            <w:pPr>
              <w:spacing w:line="360" w:lineRule="auto"/>
              <w:rPr>
                <w:rFonts w:ascii="宋体" w:hAnsi="宋体" w:cs="宋体"/>
              </w:rPr>
            </w:pPr>
          </w:p>
        </w:tc>
        <w:tc>
          <w:tcPr>
            <w:tcW w:w="1163" w:type="dxa"/>
            <w:noWrap/>
            <w:vAlign w:val="center"/>
          </w:tcPr>
          <w:p w14:paraId="10121672">
            <w:pPr>
              <w:spacing w:line="360" w:lineRule="auto"/>
              <w:rPr>
                <w:rFonts w:ascii="宋体" w:hAnsi="宋体" w:cs="宋体"/>
              </w:rPr>
            </w:pPr>
          </w:p>
        </w:tc>
        <w:tc>
          <w:tcPr>
            <w:tcW w:w="1317" w:type="dxa"/>
            <w:noWrap/>
            <w:vAlign w:val="center"/>
          </w:tcPr>
          <w:p w14:paraId="388295ED">
            <w:pPr>
              <w:spacing w:line="360" w:lineRule="auto"/>
              <w:rPr>
                <w:rFonts w:ascii="宋体" w:hAnsi="宋体" w:cs="宋体"/>
              </w:rPr>
            </w:pPr>
          </w:p>
        </w:tc>
        <w:tc>
          <w:tcPr>
            <w:tcW w:w="1232" w:type="dxa"/>
            <w:tcBorders>
              <w:right w:val="single" w:color="auto" w:sz="12" w:space="0"/>
            </w:tcBorders>
            <w:noWrap/>
            <w:vAlign w:val="center"/>
          </w:tcPr>
          <w:p w14:paraId="168F21F1">
            <w:pPr>
              <w:spacing w:line="360" w:lineRule="auto"/>
              <w:rPr>
                <w:rFonts w:ascii="宋体" w:hAnsi="宋体" w:cs="宋体"/>
              </w:rPr>
            </w:pPr>
          </w:p>
        </w:tc>
      </w:tr>
      <w:tr w14:paraId="5271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4E22101C">
            <w:pPr>
              <w:spacing w:line="360" w:lineRule="auto"/>
              <w:rPr>
                <w:rFonts w:ascii="宋体" w:hAnsi="宋体" w:cs="宋体"/>
              </w:rPr>
            </w:pPr>
          </w:p>
        </w:tc>
        <w:tc>
          <w:tcPr>
            <w:tcW w:w="2039" w:type="dxa"/>
            <w:noWrap/>
            <w:vAlign w:val="center"/>
          </w:tcPr>
          <w:p w14:paraId="52C3F298">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272414E5">
            <w:pPr>
              <w:spacing w:line="360" w:lineRule="auto"/>
              <w:rPr>
                <w:rFonts w:ascii="宋体" w:hAnsi="宋体" w:cs="宋体"/>
              </w:rPr>
            </w:pPr>
          </w:p>
        </w:tc>
        <w:tc>
          <w:tcPr>
            <w:tcW w:w="564" w:type="dxa"/>
            <w:noWrap/>
            <w:vAlign w:val="center"/>
          </w:tcPr>
          <w:p w14:paraId="704702F4">
            <w:pPr>
              <w:spacing w:line="360" w:lineRule="auto"/>
              <w:rPr>
                <w:rFonts w:ascii="宋体" w:hAnsi="宋体" w:cs="宋体"/>
              </w:rPr>
            </w:pPr>
          </w:p>
        </w:tc>
        <w:tc>
          <w:tcPr>
            <w:tcW w:w="941" w:type="dxa"/>
            <w:noWrap/>
            <w:vAlign w:val="center"/>
          </w:tcPr>
          <w:p w14:paraId="5E81CECB">
            <w:pPr>
              <w:spacing w:line="360" w:lineRule="auto"/>
              <w:rPr>
                <w:rFonts w:ascii="宋体" w:hAnsi="宋体" w:cs="宋体"/>
              </w:rPr>
            </w:pPr>
          </w:p>
        </w:tc>
        <w:tc>
          <w:tcPr>
            <w:tcW w:w="1163" w:type="dxa"/>
            <w:noWrap/>
            <w:vAlign w:val="center"/>
          </w:tcPr>
          <w:p w14:paraId="1795C8F5">
            <w:pPr>
              <w:spacing w:line="360" w:lineRule="auto"/>
              <w:rPr>
                <w:rFonts w:ascii="宋体" w:hAnsi="宋体" w:cs="宋体"/>
              </w:rPr>
            </w:pPr>
          </w:p>
        </w:tc>
        <w:tc>
          <w:tcPr>
            <w:tcW w:w="1317" w:type="dxa"/>
            <w:noWrap/>
            <w:vAlign w:val="center"/>
          </w:tcPr>
          <w:p w14:paraId="1708E422">
            <w:pPr>
              <w:spacing w:line="360" w:lineRule="auto"/>
              <w:rPr>
                <w:rFonts w:ascii="宋体" w:hAnsi="宋体" w:cs="宋体"/>
              </w:rPr>
            </w:pPr>
          </w:p>
        </w:tc>
        <w:tc>
          <w:tcPr>
            <w:tcW w:w="1232" w:type="dxa"/>
            <w:tcBorders>
              <w:right w:val="single" w:color="auto" w:sz="12" w:space="0"/>
            </w:tcBorders>
            <w:noWrap/>
            <w:vAlign w:val="center"/>
          </w:tcPr>
          <w:p w14:paraId="6FF26D65">
            <w:pPr>
              <w:spacing w:line="360" w:lineRule="auto"/>
              <w:rPr>
                <w:rFonts w:ascii="宋体" w:hAnsi="宋体" w:cs="宋体"/>
              </w:rPr>
            </w:pPr>
          </w:p>
        </w:tc>
      </w:tr>
      <w:tr w14:paraId="48E6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43E39B08">
            <w:pPr>
              <w:spacing w:line="360" w:lineRule="auto"/>
              <w:rPr>
                <w:rFonts w:ascii="宋体" w:hAnsi="宋体" w:cs="宋体"/>
              </w:rPr>
            </w:pPr>
          </w:p>
        </w:tc>
        <w:tc>
          <w:tcPr>
            <w:tcW w:w="2039" w:type="dxa"/>
            <w:noWrap/>
            <w:vAlign w:val="center"/>
          </w:tcPr>
          <w:p w14:paraId="0C9AB7D5">
            <w:pPr>
              <w:spacing w:line="360" w:lineRule="auto"/>
              <w:jc w:val="center"/>
              <w:rPr>
                <w:rFonts w:ascii="宋体" w:hAnsi="宋体" w:cs="宋体"/>
              </w:rPr>
            </w:pPr>
          </w:p>
        </w:tc>
        <w:tc>
          <w:tcPr>
            <w:tcW w:w="595" w:type="dxa"/>
            <w:noWrap/>
            <w:vAlign w:val="center"/>
          </w:tcPr>
          <w:p w14:paraId="5CAADBD6">
            <w:pPr>
              <w:spacing w:line="360" w:lineRule="auto"/>
              <w:rPr>
                <w:rFonts w:ascii="宋体" w:hAnsi="宋体" w:cs="宋体"/>
              </w:rPr>
            </w:pPr>
          </w:p>
        </w:tc>
        <w:tc>
          <w:tcPr>
            <w:tcW w:w="564" w:type="dxa"/>
            <w:noWrap/>
            <w:vAlign w:val="center"/>
          </w:tcPr>
          <w:p w14:paraId="7E6C0A72">
            <w:pPr>
              <w:spacing w:line="360" w:lineRule="auto"/>
              <w:rPr>
                <w:rFonts w:ascii="宋体" w:hAnsi="宋体" w:cs="宋体"/>
              </w:rPr>
            </w:pPr>
          </w:p>
        </w:tc>
        <w:tc>
          <w:tcPr>
            <w:tcW w:w="941" w:type="dxa"/>
            <w:noWrap/>
            <w:vAlign w:val="center"/>
          </w:tcPr>
          <w:p w14:paraId="2F84B258">
            <w:pPr>
              <w:spacing w:line="360" w:lineRule="auto"/>
              <w:rPr>
                <w:rFonts w:ascii="宋体" w:hAnsi="宋体" w:cs="宋体"/>
              </w:rPr>
            </w:pPr>
          </w:p>
        </w:tc>
        <w:tc>
          <w:tcPr>
            <w:tcW w:w="1163" w:type="dxa"/>
            <w:noWrap/>
            <w:vAlign w:val="center"/>
          </w:tcPr>
          <w:p w14:paraId="76A50AFF">
            <w:pPr>
              <w:spacing w:line="360" w:lineRule="auto"/>
              <w:rPr>
                <w:rFonts w:ascii="宋体" w:hAnsi="宋体" w:cs="宋体"/>
              </w:rPr>
            </w:pPr>
          </w:p>
        </w:tc>
        <w:tc>
          <w:tcPr>
            <w:tcW w:w="1317" w:type="dxa"/>
            <w:noWrap/>
            <w:vAlign w:val="center"/>
          </w:tcPr>
          <w:p w14:paraId="1EBF5DB8">
            <w:pPr>
              <w:spacing w:line="360" w:lineRule="auto"/>
              <w:rPr>
                <w:rFonts w:ascii="宋体" w:hAnsi="宋体" w:cs="宋体"/>
              </w:rPr>
            </w:pPr>
          </w:p>
        </w:tc>
        <w:tc>
          <w:tcPr>
            <w:tcW w:w="1232" w:type="dxa"/>
            <w:tcBorders>
              <w:right w:val="single" w:color="auto" w:sz="12" w:space="0"/>
            </w:tcBorders>
            <w:noWrap/>
            <w:vAlign w:val="center"/>
          </w:tcPr>
          <w:p w14:paraId="3DAEA645">
            <w:pPr>
              <w:spacing w:line="360" w:lineRule="auto"/>
              <w:rPr>
                <w:rFonts w:ascii="宋体" w:hAnsi="宋体" w:cs="宋体"/>
              </w:rPr>
            </w:pPr>
          </w:p>
        </w:tc>
      </w:tr>
      <w:tr w14:paraId="73E5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7AAA0AAD">
            <w:pPr>
              <w:spacing w:line="360" w:lineRule="auto"/>
              <w:rPr>
                <w:rFonts w:ascii="宋体" w:hAnsi="宋体" w:cs="宋体"/>
              </w:rPr>
            </w:pPr>
          </w:p>
        </w:tc>
        <w:tc>
          <w:tcPr>
            <w:tcW w:w="2039" w:type="dxa"/>
            <w:noWrap/>
            <w:vAlign w:val="center"/>
          </w:tcPr>
          <w:p w14:paraId="3D5634A1">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44785E1C">
            <w:pPr>
              <w:spacing w:line="360" w:lineRule="auto"/>
              <w:rPr>
                <w:rFonts w:ascii="宋体" w:hAnsi="宋体" w:cs="宋体"/>
              </w:rPr>
            </w:pPr>
          </w:p>
        </w:tc>
        <w:tc>
          <w:tcPr>
            <w:tcW w:w="564" w:type="dxa"/>
            <w:noWrap/>
            <w:vAlign w:val="center"/>
          </w:tcPr>
          <w:p w14:paraId="16050CFC">
            <w:pPr>
              <w:spacing w:line="360" w:lineRule="auto"/>
              <w:rPr>
                <w:rFonts w:ascii="宋体" w:hAnsi="宋体" w:cs="宋体"/>
              </w:rPr>
            </w:pPr>
          </w:p>
        </w:tc>
        <w:tc>
          <w:tcPr>
            <w:tcW w:w="941" w:type="dxa"/>
            <w:noWrap/>
            <w:vAlign w:val="center"/>
          </w:tcPr>
          <w:p w14:paraId="48B7259D">
            <w:pPr>
              <w:spacing w:line="360" w:lineRule="auto"/>
              <w:rPr>
                <w:rFonts w:ascii="宋体" w:hAnsi="宋体" w:cs="宋体"/>
              </w:rPr>
            </w:pPr>
          </w:p>
        </w:tc>
        <w:tc>
          <w:tcPr>
            <w:tcW w:w="1163" w:type="dxa"/>
            <w:noWrap/>
            <w:vAlign w:val="center"/>
          </w:tcPr>
          <w:p w14:paraId="22F94309">
            <w:pPr>
              <w:spacing w:line="360" w:lineRule="auto"/>
              <w:rPr>
                <w:rFonts w:ascii="宋体" w:hAnsi="宋体" w:cs="宋体"/>
              </w:rPr>
            </w:pPr>
          </w:p>
        </w:tc>
        <w:tc>
          <w:tcPr>
            <w:tcW w:w="1317" w:type="dxa"/>
            <w:noWrap/>
            <w:vAlign w:val="center"/>
          </w:tcPr>
          <w:p w14:paraId="29BF4AD6">
            <w:pPr>
              <w:spacing w:line="360" w:lineRule="auto"/>
              <w:rPr>
                <w:rFonts w:ascii="宋体" w:hAnsi="宋体" w:cs="宋体"/>
              </w:rPr>
            </w:pPr>
          </w:p>
        </w:tc>
        <w:tc>
          <w:tcPr>
            <w:tcW w:w="1232" w:type="dxa"/>
            <w:tcBorders>
              <w:right w:val="single" w:color="auto" w:sz="12" w:space="0"/>
            </w:tcBorders>
            <w:noWrap/>
            <w:vAlign w:val="center"/>
          </w:tcPr>
          <w:p w14:paraId="6E9EC98A">
            <w:pPr>
              <w:spacing w:line="360" w:lineRule="auto"/>
              <w:rPr>
                <w:rFonts w:ascii="宋体" w:hAnsi="宋体" w:cs="宋体"/>
              </w:rPr>
            </w:pPr>
          </w:p>
        </w:tc>
      </w:tr>
      <w:tr w14:paraId="50D9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left w:val="single" w:color="auto" w:sz="12" w:space="0"/>
            </w:tcBorders>
            <w:noWrap/>
            <w:vAlign w:val="center"/>
          </w:tcPr>
          <w:p w14:paraId="14BC6630">
            <w:pPr>
              <w:spacing w:line="360" w:lineRule="auto"/>
              <w:rPr>
                <w:rFonts w:ascii="宋体" w:hAnsi="宋体" w:cs="宋体"/>
              </w:rPr>
            </w:pPr>
          </w:p>
        </w:tc>
        <w:tc>
          <w:tcPr>
            <w:tcW w:w="2039" w:type="dxa"/>
            <w:noWrap/>
            <w:vAlign w:val="center"/>
          </w:tcPr>
          <w:p w14:paraId="7DCB5FEA">
            <w:pPr>
              <w:spacing w:line="360" w:lineRule="auto"/>
              <w:rPr>
                <w:rFonts w:ascii="宋体" w:hAnsi="宋体" w:cs="宋体"/>
              </w:rPr>
            </w:pPr>
          </w:p>
        </w:tc>
        <w:tc>
          <w:tcPr>
            <w:tcW w:w="595" w:type="dxa"/>
            <w:noWrap/>
            <w:vAlign w:val="center"/>
          </w:tcPr>
          <w:p w14:paraId="2B2A3955">
            <w:pPr>
              <w:spacing w:line="360" w:lineRule="auto"/>
              <w:rPr>
                <w:rFonts w:ascii="宋体" w:hAnsi="宋体" w:cs="宋体"/>
              </w:rPr>
            </w:pPr>
          </w:p>
        </w:tc>
        <w:tc>
          <w:tcPr>
            <w:tcW w:w="564" w:type="dxa"/>
            <w:noWrap/>
            <w:vAlign w:val="center"/>
          </w:tcPr>
          <w:p w14:paraId="4A7A47CA">
            <w:pPr>
              <w:spacing w:line="360" w:lineRule="auto"/>
              <w:rPr>
                <w:rFonts w:ascii="宋体" w:hAnsi="宋体" w:cs="宋体"/>
              </w:rPr>
            </w:pPr>
          </w:p>
        </w:tc>
        <w:tc>
          <w:tcPr>
            <w:tcW w:w="941" w:type="dxa"/>
            <w:noWrap/>
            <w:vAlign w:val="center"/>
          </w:tcPr>
          <w:p w14:paraId="6699A05A">
            <w:pPr>
              <w:spacing w:line="360" w:lineRule="auto"/>
              <w:rPr>
                <w:rFonts w:ascii="宋体" w:hAnsi="宋体" w:cs="宋体"/>
              </w:rPr>
            </w:pPr>
          </w:p>
        </w:tc>
        <w:tc>
          <w:tcPr>
            <w:tcW w:w="1163" w:type="dxa"/>
            <w:noWrap/>
            <w:vAlign w:val="center"/>
          </w:tcPr>
          <w:p w14:paraId="1D31BC90">
            <w:pPr>
              <w:spacing w:line="360" w:lineRule="auto"/>
              <w:rPr>
                <w:rFonts w:ascii="宋体" w:hAnsi="宋体" w:cs="宋体"/>
              </w:rPr>
            </w:pPr>
          </w:p>
        </w:tc>
        <w:tc>
          <w:tcPr>
            <w:tcW w:w="1317" w:type="dxa"/>
            <w:noWrap/>
            <w:vAlign w:val="center"/>
          </w:tcPr>
          <w:p w14:paraId="187B5A6C">
            <w:pPr>
              <w:spacing w:line="360" w:lineRule="auto"/>
              <w:rPr>
                <w:rFonts w:ascii="宋体" w:hAnsi="宋体" w:cs="宋体"/>
              </w:rPr>
            </w:pPr>
          </w:p>
        </w:tc>
        <w:tc>
          <w:tcPr>
            <w:tcW w:w="1232" w:type="dxa"/>
            <w:tcBorders>
              <w:right w:val="single" w:color="auto" w:sz="12" w:space="0"/>
            </w:tcBorders>
            <w:noWrap/>
            <w:vAlign w:val="center"/>
          </w:tcPr>
          <w:p w14:paraId="362034BD">
            <w:pPr>
              <w:spacing w:line="360" w:lineRule="auto"/>
              <w:rPr>
                <w:rFonts w:ascii="宋体" w:hAnsi="宋体" w:cs="宋体"/>
              </w:rPr>
            </w:pPr>
          </w:p>
        </w:tc>
      </w:tr>
      <w:tr w14:paraId="7C9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422" w:type="dxa"/>
            <w:gridSpan w:val="8"/>
            <w:tcBorders>
              <w:left w:val="single" w:color="auto" w:sz="12" w:space="0"/>
              <w:bottom w:val="single" w:color="auto" w:sz="12" w:space="0"/>
              <w:right w:val="single" w:color="auto" w:sz="12" w:space="0"/>
            </w:tcBorders>
            <w:noWrap/>
            <w:vAlign w:val="center"/>
          </w:tcPr>
          <w:p w14:paraId="5E5338DC">
            <w:pPr>
              <w:spacing w:line="480" w:lineRule="exact"/>
              <w:ind w:firstLine="420" w:firstLineChars="200"/>
              <w:rPr>
                <w:rFonts w:ascii="宋体" w:hAnsi="宋体" w:cs="宋体"/>
              </w:rPr>
            </w:pPr>
            <w:r>
              <w:rPr>
                <w:rFonts w:hint="eastAsia" w:ascii="宋体" w:hAnsi="宋体" w:cs="宋体"/>
              </w:rPr>
              <w:t>说明：</w:t>
            </w:r>
          </w:p>
        </w:tc>
      </w:tr>
    </w:tbl>
    <w:p w14:paraId="2A571A8D">
      <w:pPr>
        <w:snapToGrid w:val="0"/>
        <w:spacing w:line="440" w:lineRule="exact"/>
        <w:rPr>
          <w:rFonts w:ascii="宋体" w:hAnsi="宋体" w:cs="宋体"/>
          <w:u w:val="single"/>
        </w:rPr>
      </w:pPr>
      <w:r>
        <w:rPr>
          <w:rFonts w:hint="eastAsia" w:ascii="宋体" w:hAnsi="宋体" w:cs="宋体"/>
        </w:rPr>
        <w:t>授权代表签名：</w:t>
      </w:r>
    </w:p>
    <w:p w14:paraId="549EFEA6">
      <w:pPr>
        <w:pStyle w:val="6"/>
        <w:adjustRightInd w:val="0"/>
        <w:snapToGrid w:val="0"/>
        <w:spacing w:after="0" w:line="440" w:lineRule="exact"/>
        <w:rPr>
          <w:rFonts w:ascii="宋体" w:hAnsi="宋体" w:cs="宋体"/>
        </w:rPr>
      </w:pPr>
      <w:r>
        <w:rPr>
          <w:rFonts w:hint="eastAsia" w:ascii="宋体" w:hAnsi="宋体" w:cs="宋体"/>
        </w:rPr>
        <w:t>投标人盖章：</w:t>
      </w:r>
    </w:p>
    <w:p w14:paraId="758B4CE9">
      <w:pPr>
        <w:adjustRightInd w:val="0"/>
        <w:snapToGrid w:val="0"/>
        <w:spacing w:line="440" w:lineRule="exact"/>
        <w:rPr>
          <w:rFonts w:ascii="宋体" w:hAnsi="宋体" w:cs="宋体"/>
          <w:bCs/>
        </w:rPr>
      </w:pPr>
      <w:r>
        <w:rPr>
          <w:rFonts w:hint="eastAsia" w:ascii="宋体" w:hAnsi="宋体" w:cs="宋体"/>
          <w:bCs/>
        </w:rPr>
        <w:t>年月日</w:t>
      </w:r>
    </w:p>
    <w:p w14:paraId="0DCE4F56">
      <w:pPr>
        <w:adjustRightInd w:val="0"/>
        <w:snapToGrid w:val="0"/>
        <w:spacing w:line="440" w:lineRule="exact"/>
        <w:rPr>
          <w:rFonts w:ascii="宋体" w:hAnsi="宋体" w:cs="宋体"/>
          <w:bCs/>
        </w:rPr>
      </w:pPr>
    </w:p>
    <w:p w14:paraId="407D1AE7">
      <w:pPr>
        <w:snapToGrid w:val="0"/>
        <w:spacing w:line="440" w:lineRule="exact"/>
        <w:rPr>
          <w:rFonts w:ascii="宋体" w:hAnsi="宋体" w:cs="宋体"/>
        </w:rPr>
      </w:pPr>
      <w:r>
        <w:rPr>
          <w:rFonts w:hint="eastAsia" w:ascii="宋体" w:hAnsi="宋体" w:cs="宋体"/>
        </w:rPr>
        <w:t>注：1.</w:t>
      </w:r>
      <w:r>
        <w:rPr>
          <w:rFonts w:hint="eastAsia" w:ascii="宋体" w:hAnsi="宋体" w:cs="宋体"/>
          <w:lang w:val="en-US" w:eastAsia="zh-CN"/>
        </w:rPr>
        <w:t>附件资料</w:t>
      </w:r>
      <w:r>
        <w:rPr>
          <w:rFonts w:hint="eastAsia" w:ascii="宋体" w:hAnsi="宋体" w:cs="宋体"/>
        </w:rPr>
        <w:t>按评分标准细则提供。</w:t>
      </w:r>
    </w:p>
    <w:p w14:paraId="7430CBDE">
      <w:r>
        <w:br w:type="page"/>
      </w:r>
    </w:p>
    <w:p w14:paraId="408B8FC2">
      <w:pPr>
        <w:adjustRightInd w:val="0"/>
        <w:snapToGrid w:val="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.项目负责人一览表</w:t>
      </w:r>
    </w:p>
    <w:p w14:paraId="72C06946">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项目负责人一览表</w:t>
      </w:r>
    </w:p>
    <w:p w14:paraId="67893ABA">
      <w:pPr>
        <w:spacing w:line="360" w:lineRule="auto"/>
        <w:ind w:right="658"/>
        <w:rPr>
          <w:rFonts w:ascii="宋体" w:hAnsi="宋体" w:cs="宋体"/>
          <w:sz w:val="24"/>
        </w:rPr>
      </w:pPr>
    </w:p>
    <w:p w14:paraId="79D566FF">
      <w:pPr>
        <w:spacing w:line="360" w:lineRule="auto"/>
        <w:ind w:right="658"/>
        <w:rPr>
          <w:rFonts w:ascii="宋体" w:hAnsi="宋体" w:cs="宋体"/>
          <w:sz w:val="24"/>
        </w:rPr>
      </w:pPr>
      <w:r>
        <w:rPr>
          <w:rFonts w:hint="eastAsia" w:ascii="宋体" w:hAnsi="宋体" w:cs="宋体"/>
          <w:sz w:val="24"/>
        </w:rPr>
        <w:t xml:space="preserve">项目名称：                </w:t>
      </w:r>
    </w:p>
    <w:p w14:paraId="594E8EFB">
      <w:pPr>
        <w:spacing w:line="360" w:lineRule="auto"/>
        <w:ind w:right="658"/>
        <w:rPr>
          <w:rFonts w:ascii="宋体" w:hAnsi="宋体" w:cs="宋体"/>
          <w:sz w:val="24"/>
        </w:rPr>
      </w:pPr>
      <w:r>
        <w:rPr>
          <w:rFonts w:hint="eastAsia" w:ascii="宋体" w:hAnsi="宋体" w:cs="宋体"/>
          <w:sz w:val="24"/>
        </w:rPr>
        <w:t>项目编号：</w:t>
      </w:r>
    </w:p>
    <w:tbl>
      <w:tblPr>
        <w:tblStyle w:val="18"/>
        <w:tblW w:w="97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7"/>
        <w:gridCol w:w="800"/>
        <w:gridCol w:w="1457"/>
        <w:gridCol w:w="349"/>
        <w:gridCol w:w="200"/>
        <w:gridCol w:w="903"/>
        <w:gridCol w:w="356"/>
        <w:gridCol w:w="1209"/>
        <w:gridCol w:w="897"/>
        <w:gridCol w:w="264"/>
        <w:gridCol w:w="451"/>
        <w:gridCol w:w="1483"/>
        <w:gridCol w:w="15"/>
      </w:tblGrid>
      <w:tr w14:paraId="44D07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317" w:type="dxa"/>
            <w:tcBorders>
              <w:top w:val="single" w:color="auto" w:sz="4" w:space="0"/>
              <w:left w:val="single" w:color="auto" w:sz="4" w:space="0"/>
              <w:bottom w:val="single" w:color="auto" w:sz="4" w:space="0"/>
              <w:right w:val="single" w:color="auto" w:sz="4" w:space="0"/>
            </w:tcBorders>
            <w:noWrap/>
            <w:vAlign w:val="center"/>
          </w:tcPr>
          <w:p w14:paraId="7E3EE223">
            <w:pPr>
              <w:jc w:val="center"/>
              <w:rPr>
                <w:rFonts w:ascii="宋体" w:hAnsi="宋体" w:cs="宋体"/>
                <w:sz w:val="24"/>
              </w:rPr>
            </w:pPr>
            <w:r>
              <w:rPr>
                <w:rFonts w:hint="eastAsia" w:ascii="宋体" w:hAnsi="宋体" w:cs="宋体"/>
                <w:sz w:val="24"/>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51FD761E">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62632B40">
            <w:pPr>
              <w:jc w:val="center"/>
              <w:rPr>
                <w:rFonts w:ascii="宋体" w:hAnsi="宋体" w:cs="宋体"/>
                <w:sz w:val="24"/>
              </w:rPr>
            </w:pPr>
            <w:r>
              <w:rPr>
                <w:rFonts w:hint="eastAsia" w:ascii="宋体" w:hAnsi="宋体" w:cs="宋体"/>
                <w:sz w:val="24"/>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46E4D22A">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52B7D16D">
            <w:pPr>
              <w:jc w:val="center"/>
              <w:rPr>
                <w:rFonts w:ascii="宋体" w:hAnsi="宋体" w:cs="宋体"/>
                <w:sz w:val="24"/>
              </w:rPr>
            </w:pPr>
            <w:r>
              <w:rPr>
                <w:rFonts w:hint="eastAsia" w:ascii="宋体" w:hAnsi="宋体" w:cs="宋体"/>
                <w:sz w:val="24"/>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1C5C3D99">
            <w:pPr>
              <w:jc w:val="center"/>
              <w:rPr>
                <w:rFonts w:ascii="宋体" w:hAnsi="宋体" w:cs="宋体"/>
                <w:sz w:val="24"/>
              </w:rPr>
            </w:pPr>
          </w:p>
        </w:tc>
      </w:tr>
      <w:tr w14:paraId="7CB5C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1317" w:type="dxa"/>
            <w:tcBorders>
              <w:top w:val="single" w:color="auto" w:sz="4" w:space="0"/>
              <w:left w:val="single" w:color="auto" w:sz="4" w:space="0"/>
              <w:bottom w:val="single" w:color="auto" w:sz="4" w:space="0"/>
              <w:right w:val="single" w:color="auto" w:sz="4" w:space="0"/>
            </w:tcBorders>
            <w:noWrap/>
            <w:vAlign w:val="center"/>
          </w:tcPr>
          <w:p w14:paraId="2D044DBB">
            <w:pPr>
              <w:jc w:val="center"/>
              <w:rPr>
                <w:rFonts w:ascii="宋体" w:hAnsi="宋体" w:cs="宋体"/>
                <w:sz w:val="24"/>
              </w:rPr>
            </w:pPr>
            <w:r>
              <w:rPr>
                <w:rFonts w:hint="eastAsia" w:ascii="宋体" w:hAnsi="宋体" w:cs="宋体"/>
                <w:sz w:val="24"/>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3C0878B8">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4EC21D3F">
            <w:pPr>
              <w:jc w:val="center"/>
              <w:rPr>
                <w:rFonts w:ascii="宋体" w:hAnsi="宋体" w:cs="宋体"/>
                <w:sz w:val="24"/>
              </w:rPr>
            </w:pPr>
            <w:r>
              <w:rPr>
                <w:rFonts w:hint="eastAsia" w:ascii="宋体" w:hAnsi="宋体" w:cs="宋体"/>
                <w:sz w:val="24"/>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8CB40F4">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62E30EB3">
            <w:pPr>
              <w:jc w:val="center"/>
              <w:rPr>
                <w:rFonts w:ascii="宋体" w:hAnsi="宋体" w:cs="宋体"/>
                <w:sz w:val="24"/>
              </w:rPr>
            </w:pPr>
            <w:r>
              <w:rPr>
                <w:rFonts w:hint="eastAsia" w:ascii="宋体" w:hAnsi="宋体" w:cs="宋体"/>
                <w:sz w:val="24"/>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3D1B55AE">
            <w:pPr>
              <w:jc w:val="center"/>
              <w:rPr>
                <w:rFonts w:ascii="宋体" w:hAnsi="宋体" w:cs="宋体"/>
                <w:sz w:val="24"/>
              </w:rPr>
            </w:pPr>
          </w:p>
        </w:tc>
      </w:tr>
      <w:tr w14:paraId="6E218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74" w:type="dxa"/>
            <w:gridSpan w:val="3"/>
            <w:tcBorders>
              <w:top w:val="single" w:color="auto" w:sz="4" w:space="0"/>
              <w:left w:val="single" w:color="auto" w:sz="4" w:space="0"/>
              <w:bottom w:val="single" w:color="auto" w:sz="4" w:space="0"/>
              <w:right w:val="single" w:color="auto" w:sz="4" w:space="0"/>
            </w:tcBorders>
            <w:noWrap/>
            <w:vAlign w:val="center"/>
          </w:tcPr>
          <w:p w14:paraId="4CAFC10E">
            <w:pPr>
              <w:jc w:val="center"/>
              <w:rPr>
                <w:rFonts w:ascii="宋体" w:hAnsi="宋体" w:cs="宋体"/>
                <w:sz w:val="24"/>
              </w:rPr>
            </w:pPr>
            <w:r>
              <w:rPr>
                <w:rFonts w:hint="eastAsia" w:ascii="宋体" w:hAnsi="宋体" w:cs="宋体"/>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2539220A">
            <w:pPr>
              <w:jc w:val="center"/>
              <w:rPr>
                <w:rFonts w:ascii="宋体" w:hAnsi="宋体" w:cs="宋体"/>
                <w:sz w:val="24"/>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754DBF68">
            <w:pPr>
              <w:jc w:val="center"/>
              <w:rPr>
                <w:rFonts w:ascii="宋体" w:hAnsi="宋体" w:cs="宋体"/>
                <w:sz w:val="24"/>
              </w:rPr>
            </w:pPr>
            <w:r>
              <w:rPr>
                <w:rFonts w:hint="eastAsia" w:ascii="宋体" w:hAnsi="宋体" w:cs="宋体"/>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417BB090">
            <w:pPr>
              <w:jc w:val="center"/>
              <w:rPr>
                <w:rFonts w:ascii="宋体" w:hAnsi="宋体" w:cs="宋体"/>
                <w:sz w:val="24"/>
              </w:rPr>
            </w:pPr>
          </w:p>
        </w:tc>
      </w:tr>
      <w:tr w14:paraId="2471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574" w:type="dxa"/>
            <w:gridSpan w:val="3"/>
            <w:tcBorders>
              <w:top w:val="single" w:color="auto" w:sz="4" w:space="0"/>
              <w:left w:val="single" w:color="auto" w:sz="4" w:space="0"/>
              <w:bottom w:val="single" w:color="auto" w:sz="4" w:space="0"/>
              <w:right w:val="single" w:color="auto" w:sz="4" w:space="0"/>
            </w:tcBorders>
            <w:noWrap/>
            <w:vAlign w:val="center"/>
          </w:tcPr>
          <w:p w14:paraId="4796F79C">
            <w:pPr>
              <w:jc w:val="center"/>
              <w:rPr>
                <w:rFonts w:ascii="宋体" w:hAnsi="宋体" w:cs="宋体"/>
                <w:sz w:val="24"/>
              </w:rPr>
            </w:pPr>
            <w:r>
              <w:rPr>
                <w:rFonts w:hint="eastAsia" w:ascii="宋体" w:hAnsi="宋体" w:cs="宋体"/>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4FBD44CF">
            <w:pPr>
              <w:jc w:val="center"/>
              <w:rPr>
                <w:rFonts w:ascii="宋体" w:hAnsi="宋体" w:cs="宋体"/>
                <w:sz w:val="24"/>
              </w:rPr>
            </w:pPr>
          </w:p>
        </w:tc>
      </w:tr>
      <w:tr w14:paraId="6F1F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686" w:type="dxa"/>
            <w:gridSpan w:val="12"/>
            <w:tcBorders>
              <w:top w:val="single" w:color="auto" w:sz="4" w:space="0"/>
              <w:left w:val="single" w:color="auto" w:sz="4" w:space="0"/>
              <w:bottom w:val="single" w:color="auto" w:sz="4" w:space="0"/>
              <w:right w:val="single" w:color="auto" w:sz="4" w:space="0"/>
            </w:tcBorders>
            <w:noWrap/>
            <w:vAlign w:val="center"/>
          </w:tcPr>
          <w:p w14:paraId="09586C04">
            <w:pPr>
              <w:jc w:val="center"/>
              <w:rPr>
                <w:rFonts w:ascii="宋体" w:hAnsi="宋体" w:cs="宋体"/>
                <w:sz w:val="24"/>
              </w:rPr>
            </w:pPr>
            <w:r>
              <w:rPr>
                <w:rFonts w:hint="eastAsia" w:ascii="宋体" w:hAnsi="宋体" w:cs="宋体"/>
                <w:sz w:val="24"/>
              </w:rPr>
              <w:t>同类项目业绩情况</w:t>
            </w:r>
          </w:p>
        </w:tc>
      </w:tr>
      <w:tr w14:paraId="29490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462816B9">
            <w:pPr>
              <w:jc w:val="center"/>
              <w:rPr>
                <w:rFonts w:ascii="宋体" w:hAnsi="宋体" w:cs="宋体"/>
                <w:sz w:val="24"/>
              </w:rPr>
            </w:pPr>
            <w:r>
              <w:rPr>
                <w:rFonts w:hint="eastAsia" w:ascii="宋体" w:hAnsi="宋体" w:cs="宋体"/>
                <w:sz w:val="24"/>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3F2B73B">
            <w:pPr>
              <w:jc w:val="center"/>
              <w:rPr>
                <w:rFonts w:ascii="宋体" w:hAnsi="宋体" w:cs="宋体"/>
                <w:sz w:val="24"/>
              </w:rPr>
            </w:pPr>
            <w:r>
              <w:rPr>
                <w:rFonts w:hint="eastAsia" w:ascii="宋体" w:hAnsi="宋体" w:cs="宋体"/>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BEAA9B6">
            <w:pPr>
              <w:jc w:val="center"/>
              <w:rPr>
                <w:rFonts w:ascii="宋体" w:hAnsi="宋体" w:cs="宋体"/>
                <w:sz w:val="24"/>
              </w:rPr>
            </w:pPr>
            <w:r>
              <w:rPr>
                <w:rFonts w:hint="eastAsia" w:ascii="宋体" w:hAnsi="宋体" w:cs="宋体"/>
                <w:sz w:val="24"/>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862FEAB">
            <w:pPr>
              <w:jc w:val="center"/>
              <w:rPr>
                <w:rFonts w:ascii="宋体" w:hAnsi="宋体" w:cs="宋体"/>
                <w:sz w:val="24"/>
              </w:rPr>
            </w:pPr>
            <w:r>
              <w:rPr>
                <w:rFonts w:hint="eastAsia" w:ascii="宋体" w:hAnsi="宋体" w:cs="宋体"/>
                <w:sz w:val="24"/>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E8CDD88">
            <w:pPr>
              <w:jc w:val="center"/>
              <w:rPr>
                <w:rFonts w:ascii="宋体" w:hAnsi="宋体" w:cs="宋体"/>
                <w:sz w:val="24"/>
              </w:rPr>
            </w:pPr>
            <w:r>
              <w:rPr>
                <w:rFonts w:hint="eastAsia" w:ascii="宋体" w:hAnsi="宋体" w:cs="宋体"/>
                <w:sz w:val="24"/>
              </w:rPr>
              <w:t>备注</w:t>
            </w:r>
          </w:p>
        </w:tc>
      </w:tr>
      <w:tr w14:paraId="1C7C0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0C5B103D">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2F4358A">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8CC5506">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4289387">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C5B2AD7">
            <w:pPr>
              <w:jc w:val="center"/>
              <w:rPr>
                <w:rFonts w:ascii="宋体" w:hAnsi="宋体" w:cs="宋体"/>
                <w:sz w:val="24"/>
              </w:rPr>
            </w:pPr>
          </w:p>
        </w:tc>
      </w:tr>
      <w:tr w14:paraId="2A07C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1FE0A3E9">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BCC6CD9">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E46D281">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7E74914">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DB5DE72">
            <w:pPr>
              <w:jc w:val="center"/>
              <w:rPr>
                <w:rFonts w:ascii="宋体" w:hAnsi="宋体" w:cs="宋体"/>
                <w:sz w:val="24"/>
              </w:rPr>
            </w:pPr>
          </w:p>
        </w:tc>
      </w:tr>
      <w:tr w14:paraId="0BD44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58D6A597">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97EE519">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C842895">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7A92F71">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F41929">
            <w:pPr>
              <w:jc w:val="center"/>
              <w:rPr>
                <w:rFonts w:ascii="宋体" w:hAnsi="宋体" w:cs="宋体"/>
                <w:sz w:val="24"/>
              </w:rPr>
            </w:pPr>
          </w:p>
        </w:tc>
      </w:tr>
      <w:tr w14:paraId="0AB23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45E1E554">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0FD5D3F">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65D1C01">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ED63CCE">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C9EEF2D">
            <w:pPr>
              <w:jc w:val="center"/>
              <w:rPr>
                <w:rFonts w:ascii="宋体" w:hAnsi="宋体" w:cs="宋体"/>
                <w:sz w:val="24"/>
              </w:rPr>
            </w:pPr>
          </w:p>
        </w:tc>
      </w:tr>
      <w:tr w14:paraId="15E23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60A76868">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2F3553E">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E7324B9">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88C1F22">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FDC637A">
            <w:pPr>
              <w:jc w:val="center"/>
              <w:rPr>
                <w:rFonts w:ascii="宋体" w:hAnsi="宋体" w:cs="宋体"/>
                <w:sz w:val="24"/>
              </w:rPr>
            </w:pPr>
          </w:p>
        </w:tc>
      </w:tr>
      <w:tr w14:paraId="2F65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7F6E40B6">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9ED0455">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F329E2B">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FA446C3">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60AB1D9">
            <w:pPr>
              <w:jc w:val="center"/>
              <w:rPr>
                <w:rFonts w:ascii="宋体" w:hAnsi="宋体" w:cs="宋体"/>
                <w:sz w:val="24"/>
              </w:rPr>
            </w:pPr>
          </w:p>
        </w:tc>
      </w:tr>
    </w:tbl>
    <w:p w14:paraId="45C49E18">
      <w:pPr>
        <w:snapToGrid w:val="0"/>
        <w:spacing w:line="440" w:lineRule="exact"/>
        <w:rPr>
          <w:rFonts w:ascii="宋体" w:hAnsi="宋体" w:cs="宋体"/>
        </w:rPr>
      </w:pPr>
    </w:p>
    <w:p w14:paraId="7C2A8FB3">
      <w:pPr>
        <w:snapToGrid w:val="0"/>
        <w:spacing w:line="440" w:lineRule="exact"/>
        <w:rPr>
          <w:rFonts w:ascii="宋体" w:hAnsi="宋体" w:cs="宋体"/>
          <w:u w:val="single"/>
        </w:rPr>
      </w:pPr>
      <w:r>
        <w:rPr>
          <w:rFonts w:hint="eastAsia" w:ascii="宋体" w:hAnsi="宋体" w:cs="宋体"/>
        </w:rPr>
        <w:t>授权代表签名：</w:t>
      </w:r>
    </w:p>
    <w:p w14:paraId="0F5C10F1">
      <w:pPr>
        <w:pStyle w:val="6"/>
        <w:adjustRightInd w:val="0"/>
        <w:snapToGrid w:val="0"/>
        <w:spacing w:after="0" w:line="440" w:lineRule="exact"/>
        <w:rPr>
          <w:rFonts w:ascii="宋体" w:hAnsi="宋体" w:cs="宋体"/>
        </w:rPr>
      </w:pPr>
      <w:r>
        <w:rPr>
          <w:rFonts w:hint="eastAsia" w:ascii="宋体" w:hAnsi="宋体" w:cs="宋体"/>
        </w:rPr>
        <w:t>投标人盖章：</w:t>
      </w:r>
    </w:p>
    <w:p w14:paraId="27887BBF">
      <w:pPr>
        <w:adjustRightInd w:val="0"/>
        <w:snapToGrid w:val="0"/>
        <w:spacing w:line="440" w:lineRule="exact"/>
        <w:rPr>
          <w:rFonts w:ascii="宋体" w:hAnsi="宋体" w:cs="宋体"/>
          <w:bCs/>
        </w:rPr>
      </w:pPr>
      <w:r>
        <w:rPr>
          <w:rFonts w:hint="eastAsia" w:ascii="宋体" w:hAnsi="宋体" w:cs="宋体"/>
          <w:bCs/>
          <w:lang w:val="en-US" w:eastAsia="zh-CN"/>
        </w:rPr>
        <w:t xml:space="preserve">日期：  </w:t>
      </w:r>
      <w:r>
        <w:rPr>
          <w:rFonts w:hint="eastAsia" w:ascii="宋体" w:hAnsi="宋体" w:cs="宋体"/>
          <w:bCs/>
        </w:rPr>
        <w:t>年</w:t>
      </w:r>
      <w:r>
        <w:rPr>
          <w:rFonts w:hint="eastAsia" w:ascii="宋体" w:hAnsi="宋体" w:cs="宋体"/>
          <w:bCs/>
          <w:lang w:val="en-US" w:eastAsia="zh-CN"/>
        </w:rPr>
        <w:t xml:space="preserve">  </w:t>
      </w:r>
      <w:r>
        <w:rPr>
          <w:rFonts w:hint="eastAsia" w:ascii="宋体" w:hAnsi="宋体" w:cs="宋体"/>
          <w:bCs/>
        </w:rPr>
        <w:t>月</w:t>
      </w:r>
      <w:r>
        <w:rPr>
          <w:rFonts w:hint="eastAsia" w:ascii="宋体" w:hAnsi="宋体" w:cs="宋体"/>
          <w:bCs/>
          <w:lang w:val="en-US" w:eastAsia="zh-CN"/>
        </w:rPr>
        <w:t xml:space="preserve">  </w:t>
      </w:r>
      <w:r>
        <w:rPr>
          <w:rFonts w:hint="eastAsia" w:ascii="宋体" w:hAnsi="宋体" w:cs="宋体"/>
          <w:bCs/>
        </w:rPr>
        <w:t>日</w:t>
      </w:r>
    </w:p>
    <w:p w14:paraId="1A1F0103">
      <w:pPr>
        <w:adjustRightInd w:val="0"/>
        <w:snapToGrid w:val="0"/>
        <w:spacing w:line="440" w:lineRule="exact"/>
        <w:rPr>
          <w:rFonts w:ascii="宋体" w:hAnsi="宋体" w:cs="宋体"/>
          <w:bCs/>
        </w:rPr>
      </w:pPr>
    </w:p>
    <w:p w14:paraId="5ACBC6EB">
      <w:pPr>
        <w:snapToGrid w:val="0"/>
        <w:spacing w:line="440" w:lineRule="exact"/>
        <w:rPr>
          <w:rFonts w:ascii="宋体" w:hAnsi="宋体" w:cs="宋体"/>
        </w:rPr>
      </w:pPr>
      <w:r>
        <w:rPr>
          <w:rFonts w:hint="eastAsia" w:ascii="宋体" w:hAnsi="宋体" w:cs="宋体"/>
        </w:rPr>
        <w:t>注：1.</w:t>
      </w:r>
      <w:r>
        <w:rPr>
          <w:rFonts w:hint="eastAsia" w:ascii="宋体" w:hAnsi="宋体" w:cs="宋体"/>
          <w:lang w:val="en-US" w:eastAsia="zh-CN"/>
        </w:rPr>
        <w:t>附件资料</w:t>
      </w:r>
      <w:r>
        <w:rPr>
          <w:rFonts w:hint="eastAsia" w:ascii="宋体" w:hAnsi="宋体" w:cs="宋体"/>
        </w:rPr>
        <w:t>按评分标准细则提供。</w:t>
      </w:r>
    </w:p>
    <w:p w14:paraId="0840C3D7">
      <w:r>
        <w:br w:type="page"/>
      </w:r>
    </w:p>
    <w:p w14:paraId="51D24B3C">
      <w:pPr>
        <w:pStyle w:val="4"/>
        <w:jc w:val="center"/>
        <w:rPr>
          <w:rFonts w:ascii="宋体" w:hAnsi="宋体" w:eastAsia="宋体" w:cs="宋体"/>
          <w:sz w:val="28"/>
          <w:szCs w:val="28"/>
        </w:rPr>
      </w:pPr>
      <w:bookmarkStart w:id="257" w:name="_Toc14504"/>
      <w:bookmarkStart w:id="258" w:name="_Toc4910"/>
      <w:bookmarkStart w:id="259" w:name="_Toc5232"/>
      <w:bookmarkStart w:id="260" w:name="_Toc4124"/>
      <w:bookmarkStart w:id="261" w:name="_Toc12064"/>
      <w:bookmarkStart w:id="262" w:name="_Toc95211199"/>
      <w:bookmarkStart w:id="263" w:name="_Toc13626"/>
      <w:bookmarkStart w:id="264" w:name="_Toc15923"/>
      <w:bookmarkStart w:id="265" w:name="_Toc31871"/>
      <w:bookmarkStart w:id="266" w:name="_Toc27128"/>
      <w:bookmarkStart w:id="267" w:name="_Toc30195"/>
      <w:r>
        <w:rPr>
          <w:rFonts w:hint="eastAsia" w:ascii="宋体" w:hAnsi="宋体" w:eastAsia="宋体" w:cs="宋体"/>
          <w:sz w:val="28"/>
          <w:szCs w:val="28"/>
        </w:rPr>
        <w:t>三、报价文件格式</w:t>
      </w:r>
      <w:bookmarkEnd w:id="257"/>
      <w:bookmarkEnd w:id="258"/>
      <w:bookmarkEnd w:id="259"/>
      <w:bookmarkEnd w:id="260"/>
      <w:bookmarkEnd w:id="261"/>
      <w:bookmarkEnd w:id="262"/>
      <w:bookmarkEnd w:id="263"/>
      <w:bookmarkEnd w:id="264"/>
      <w:bookmarkEnd w:id="265"/>
      <w:bookmarkEnd w:id="266"/>
      <w:bookmarkEnd w:id="267"/>
    </w:p>
    <w:p w14:paraId="5A47DAC0">
      <w:pPr>
        <w:adjustRightInd w:val="0"/>
        <w:snapToGrid w:val="0"/>
        <w:rPr>
          <w:rFonts w:ascii="宋体" w:hAnsi="宋体" w:cs="宋体"/>
          <w:bCs/>
          <w:sz w:val="24"/>
        </w:rPr>
      </w:pPr>
    </w:p>
    <w:p w14:paraId="1B84520E">
      <w:pPr>
        <w:adjustRightInd w:val="0"/>
        <w:snapToGrid w:val="0"/>
        <w:rPr>
          <w:rFonts w:ascii="宋体" w:hAnsi="宋体" w:cs="宋体"/>
          <w:sz w:val="24"/>
        </w:rPr>
      </w:pPr>
      <w:r>
        <w:rPr>
          <w:rFonts w:hint="eastAsia" w:ascii="宋体" w:hAnsi="宋体" w:cs="宋体"/>
          <w:bCs/>
          <w:sz w:val="24"/>
        </w:rPr>
        <w:t>1.</w:t>
      </w:r>
      <w:r>
        <w:rPr>
          <w:rFonts w:hint="eastAsia" w:ascii="宋体" w:hAnsi="宋体" w:cs="宋体"/>
          <w:sz w:val="24"/>
        </w:rPr>
        <w:t xml:space="preserve">报价文件封面格式： </w:t>
      </w:r>
    </w:p>
    <w:p w14:paraId="240F59BA">
      <w:pPr>
        <w:adjustRightInd w:val="0"/>
        <w:snapToGrid w:val="0"/>
        <w:rPr>
          <w:rFonts w:ascii="宋体" w:hAnsi="宋体" w:cs="宋体"/>
          <w:b/>
          <w:bCs/>
          <w:sz w:val="24"/>
        </w:rPr>
      </w:pPr>
    </w:p>
    <w:p w14:paraId="54F6C8F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Cs/>
          <w:sz w:val="24"/>
        </w:rPr>
      </w:pPr>
      <w:r>
        <w:rPr>
          <w:rFonts w:hint="eastAsia" w:ascii="宋体" w:hAnsi="宋体" w:cs="宋体"/>
          <w:bCs/>
          <w:sz w:val="24"/>
        </w:rPr>
        <w:t>×××（投标人名称）</w:t>
      </w:r>
    </w:p>
    <w:p w14:paraId="75E8457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sz w:val="44"/>
          <w:szCs w:val="44"/>
        </w:rPr>
      </w:pPr>
      <w:r>
        <w:rPr>
          <w:rFonts w:hint="eastAsia" w:ascii="宋体" w:hAnsi="宋体" w:cs="宋体"/>
          <w:b/>
          <w:bCs/>
          <w:sz w:val="44"/>
          <w:szCs w:val="44"/>
        </w:rPr>
        <w:t>报价文件</w:t>
      </w:r>
    </w:p>
    <w:p w14:paraId="2F1CF25F">
      <w:pPr>
        <w:keepNext w:val="0"/>
        <w:keepLines w:val="0"/>
        <w:pageBreakBefore w:val="0"/>
        <w:widowControl w:val="0"/>
        <w:kinsoku/>
        <w:wordWrap/>
        <w:overflowPunct/>
        <w:topLinePunct w:val="0"/>
        <w:autoSpaceDE/>
        <w:autoSpaceDN/>
        <w:bidi w:val="0"/>
        <w:adjustRightInd w:val="0"/>
        <w:snapToGrid w:val="0"/>
        <w:spacing w:line="700" w:lineRule="exact"/>
        <w:ind w:left="2245" w:leftChars="513" w:hanging="1168" w:hangingChars="487"/>
        <w:textAlignment w:val="auto"/>
        <w:rPr>
          <w:rFonts w:ascii="宋体" w:hAnsi="宋体" w:cs="宋体"/>
          <w:bCs/>
          <w:sz w:val="24"/>
        </w:rPr>
      </w:pPr>
      <w:r>
        <w:rPr>
          <w:rFonts w:hint="eastAsia" w:ascii="宋体" w:hAnsi="宋体" w:cs="宋体"/>
          <w:bCs/>
          <w:sz w:val="24"/>
        </w:rPr>
        <w:t xml:space="preserve">项目名称： </w:t>
      </w:r>
    </w:p>
    <w:p w14:paraId="325ACEA2">
      <w:pPr>
        <w:keepNext w:val="0"/>
        <w:keepLines w:val="0"/>
        <w:pageBreakBefore w:val="0"/>
        <w:widowControl w:val="0"/>
        <w:kinsoku/>
        <w:wordWrap/>
        <w:overflowPunct/>
        <w:topLinePunct w:val="0"/>
        <w:autoSpaceDE/>
        <w:autoSpaceDN/>
        <w:bidi w:val="0"/>
        <w:adjustRightInd w:val="0"/>
        <w:snapToGrid w:val="0"/>
        <w:spacing w:line="700" w:lineRule="exact"/>
        <w:ind w:firstLine="480" w:firstLineChars="200"/>
        <w:textAlignment w:val="auto"/>
        <w:rPr>
          <w:rFonts w:ascii="宋体" w:hAnsi="宋体" w:cs="宋体"/>
          <w:bCs/>
          <w:sz w:val="24"/>
        </w:rPr>
      </w:pPr>
      <w:r>
        <w:rPr>
          <w:rFonts w:hint="eastAsia" w:ascii="宋体" w:hAnsi="宋体" w:cs="宋体"/>
          <w:bCs/>
          <w:sz w:val="24"/>
        </w:rPr>
        <w:t xml:space="preserve">     项目编号：</w:t>
      </w:r>
    </w:p>
    <w:p w14:paraId="52B74801">
      <w:pPr>
        <w:keepNext w:val="0"/>
        <w:keepLines w:val="0"/>
        <w:pageBreakBefore w:val="0"/>
        <w:widowControl w:val="0"/>
        <w:kinsoku/>
        <w:wordWrap/>
        <w:overflowPunct/>
        <w:topLinePunct w:val="0"/>
        <w:autoSpaceDE/>
        <w:autoSpaceDN/>
        <w:bidi w:val="0"/>
        <w:adjustRightInd w:val="0"/>
        <w:snapToGrid w:val="0"/>
        <w:spacing w:line="700" w:lineRule="exact"/>
        <w:ind w:firstLine="1200" w:firstLineChars="500"/>
        <w:textAlignment w:val="auto"/>
        <w:rPr>
          <w:rFonts w:ascii="宋体" w:hAnsi="宋体" w:cs="宋体"/>
          <w:bCs/>
          <w:sz w:val="24"/>
        </w:rPr>
      </w:pPr>
      <w:r>
        <w:rPr>
          <w:rFonts w:hint="eastAsia" w:ascii="宋体" w:hAnsi="宋体" w:cs="宋体"/>
          <w:bCs/>
          <w:sz w:val="24"/>
        </w:rPr>
        <w:t>标项：</w:t>
      </w:r>
    </w:p>
    <w:p w14:paraId="624E806F">
      <w:pPr>
        <w:keepNext w:val="0"/>
        <w:keepLines w:val="0"/>
        <w:pageBreakBefore w:val="0"/>
        <w:widowControl w:val="0"/>
        <w:kinsoku/>
        <w:wordWrap/>
        <w:overflowPunct/>
        <w:topLinePunct w:val="0"/>
        <w:autoSpaceDE/>
        <w:autoSpaceDN/>
        <w:bidi w:val="0"/>
        <w:adjustRightInd w:val="0"/>
        <w:snapToGrid w:val="0"/>
        <w:spacing w:line="700" w:lineRule="exact"/>
        <w:ind w:firstLine="1080" w:firstLineChars="450"/>
        <w:textAlignment w:val="auto"/>
        <w:rPr>
          <w:rFonts w:ascii="宋体" w:hAnsi="宋体" w:cs="宋体"/>
          <w:sz w:val="24"/>
        </w:rPr>
      </w:pPr>
      <w:r>
        <w:rPr>
          <w:rFonts w:hint="eastAsia" w:ascii="宋体" w:hAnsi="宋体" w:cs="宋体"/>
          <w:sz w:val="24"/>
        </w:rPr>
        <w:t>投标人名称（盖章）：</w:t>
      </w:r>
    </w:p>
    <w:p w14:paraId="4A480FCB">
      <w:pPr>
        <w:keepNext w:val="0"/>
        <w:keepLines w:val="0"/>
        <w:pageBreakBefore w:val="0"/>
        <w:widowControl w:val="0"/>
        <w:kinsoku/>
        <w:wordWrap/>
        <w:overflowPunct/>
        <w:topLinePunct w:val="0"/>
        <w:autoSpaceDE/>
        <w:autoSpaceDN/>
        <w:bidi w:val="0"/>
        <w:adjustRightInd w:val="0"/>
        <w:snapToGrid w:val="0"/>
        <w:spacing w:line="700" w:lineRule="exact"/>
        <w:ind w:firstLine="1080" w:firstLineChars="450"/>
        <w:textAlignment w:val="auto"/>
        <w:rPr>
          <w:rFonts w:ascii="宋体" w:hAnsi="宋体" w:cs="宋体"/>
          <w:sz w:val="24"/>
        </w:rPr>
      </w:pPr>
      <w:r>
        <w:rPr>
          <w:rFonts w:hint="eastAsia" w:ascii="宋体" w:hAnsi="宋体" w:cs="宋体"/>
          <w:sz w:val="24"/>
        </w:rPr>
        <w:t>投标人地址：</w:t>
      </w:r>
    </w:p>
    <w:p w14:paraId="54DC71B2">
      <w:pPr>
        <w:keepNext w:val="0"/>
        <w:keepLines w:val="0"/>
        <w:pageBreakBefore w:val="0"/>
        <w:widowControl w:val="0"/>
        <w:kinsoku/>
        <w:wordWrap/>
        <w:overflowPunct/>
        <w:topLinePunct w:val="0"/>
        <w:autoSpaceDE/>
        <w:autoSpaceDN/>
        <w:bidi w:val="0"/>
        <w:adjustRightInd w:val="0"/>
        <w:snapToGrid w:val="0"/>
        <w:spacing w:line="700" w:lineRule="exact"/>
        <w:ind w:firstLine="6240" w:firstLineChars="2600"/>
        <w:textAlignment w:val="auto"/>
        <w:rPr>
          <w:rFonts w:ascii="宋体" w:hAnsi="宋体" w:cs="宋体"/>
          <w:sz w:val="24"/>
        </w:rPr>
      </w:pPr>
      <w:r>
        <w:rPr>
          <w:rFonts w:hint="eastAsia" w:ascii="宋体" w:hAnsi="宋体" w:cs="宋体"/>
          <w:sz w:val="24"/>
        </w:rPr>
        <w:t>授权代表签名或盖章：</w:t>
      </w:r>
    </w:p>
    <w:p w14:paraId="0A561E13">
      <w:pPr>
        <w:keepNext w:val="0"/>
        <w:keepLines w:val="0"/>
        <w:pageBreakBefore w:val="0"/>
        <w:widowControl w:val="0"/>
        <w:kinsoku/>
        <w:wordWrap/>
        <w:overflowPunct/>
        <w:topLinePunct w:val="0"/>
        <w:autoSpaceDE/>
        <w:autoSpaceDN/>
        <w:bidi w:val="0"/>
        <w:adjustRightInd w:val="0"/>
        <w:snapToGrid w:val="0"/>
        <w:spacing w:line="700" w:lineRule="exact"/>
        <w:jc w:val="right"/>
        <w:textAlignment w:val="auto"/>
        <w:rPr>
          <w:rFonts w:ascii="宋体" w:hAnsi="宋体" w:cs="宋体"/>
          <w:sz w:val="24"/>
        </w:rPr>
      </w:pPr>
      <w:r>
        <w:rPr>
          <w:rFonts w:hint="eastAsia" w:ascii="宋体" w:hAnsi="宋体" w:cs="宋体"/>
          <w:sz w:val="24"/>
        </w:rPr>
        <w:t xml:space="preserve">                        年  月  日</w:t>
      </w:r>
    </w:p>
    <w:p w14:paraId="4D28012C">
      <w:pPr>
        <w:spacing w:line="540" w:lineRule="exact"/>
        <w:rPr>
          <w:rFonts w:ascii="宋体" w:hAnsi="宋体" w:cs="宋体"/>
          <w:sz w:val="32"/>
          <w:szCs w:val="32"/>
        </w:rPr>
      </w:pPr>
    </w:p>
    <w:p w14:paraId="2FE60346">
      <w:r>
        <w:br w:type="page"/>
      </w:r>
    </w:p>
    <w:p w14:paraId="3F5585CE">
      <w:pPr>
        <w:adjustRightInd w:val="0"/>
        <w:snapToGrid w:val="0"/>
        <w:rPr>
          <w:rFonts w:hint="eastAsia" w:ascii="宋体" w:hAnsi="宋体" w:cs="宋体"/>
          <w:bCs/>
          <w:sz w:val="24"/>
        </w:rPr>
      </w:pPr>
      <w:r>
        <w:rPr>
          <w:rFonts w:hint="eastAsia" w:ascii="宋体" w:hAnsi="宋体" w:cs="宋体"/>
          <w:bCs/>
          <w:sz w:val="24"/>
        </w:rPr>
        <w:t>2.目录</w:t>
      </w:r>
    </w:p>
    <w:p w14:paraId="026F621F">
      <w:pPr>
        <w:rPr>
          <w:rFonts w:hint="eastAsia" w:ascii="宋体" w:hAnsi="宋体" w:eastAsia="宋体" w:cs="宋体"/>
        </w:rPr>
      </w:pPr>
      <w:r>
        <w:rPr>
          <w:rFonts w:hint="eastAsia" w:ascii="宋体" w:hAnsi="宋体" w:eastAsia="宋体" w:cs="宋体"/>
        </w:rPr>
        <w:t>(1)开标一览表（格式见附件）；</w:t>
      </w:r>
    </w:p>
    <w:p w14:paraId="505A376F">
      <w:pPr>
        <w:rPr>
          <w:rFonts w:hint="eastAsia" w:ascii="宋体" w:hAnsi="宋体" w:eastAsia="宋体" w:cs="宋体"/>
        </w:rPr>
      </w:pPr>
      <w:r>
        <w:rPr>
          <w:rFonts w:hint="eastAsia" w:ascii="宋体" w:hAnsi="宋体" w:eastAsia="宋体" w:cs="宋体"/>
        </w:rPr>
        <w:t>(2)报价明细表（格式见附件）；</w:t>
      </w:r>
    </w:p>
    <w:p w14:paraId="159F0C93">
      <w:pPr>
        <w:rPr>
          <w:rFonts w:hint="eastAsia" w:ascii="宋体" w:hAnsi="宋体" w:eastAsia="宋体" w:cs="宋体"/>
        </w:rPr>
      </w:pPr>
      <w:r>
        <w:rPr>
          <w:rFonts w:hint="eastAsia" w:ascii="宋体" w:hAnsi="宋体" w:eastAsia="宋体" w:cs="宋体"/>
        </w:rPr>
        <w:t>(3)投标人针对报价的说明或证明材料。</w:t>
      </w:r>
    </w:p>
    <w:p w14:paraId="2CCA01C3">
      <w:pPr>
        <w:rPr>
          <w:rFonts w:hint="eastAsia" w:ascii="宋体" w:hAnsi="宋体" w:eastAsia="宋体" w:cs="宋体"/>
        </w:rPr>
      </w:pPr>
      <w:r>
        <w:rPr>
          <w:rFonts w:hint="eastAsia" w:ascii="宋体" w:hAnsi="宋体" w:eastAsia="宋体" w:cs="宋体"/>
        </w:rPr>
        <w:br w:type="page"/>
      </w:r>
    </w:p>
    <w:p w14:paraId="42213DBB">
      <w:pPr>
        <w:adjustRightInd w:val="0"/>
        <w:snapToGrid w:val="0"/>
        <w:rPr>
          <w:rFonts w:hint="eastAsia" w:ascii="宋体" w:hAnsi="宋体" w:cs="宋体"/>
          <w:bCs/>
          <w:sz w:val="24"/>
        </w:rPr>
      </w:pPr>
      <w:r>
        <w:rPr>
          <w:rFonts w:hint="eastAsia" w:ascii="宋体" w:hAnsi="宋体" w:cs="宋体"/>
          <w:bCs/>
          <w:sz w:val="24"/>
        </w:rPr>
        <w:t>3.开标一览表格式</w:t>
      </w:r>
    </w:p>
    <w:p w14:paraId="7C0935A9">
      <w:pPr>
        <w:spacing w:line="500" w:lineRule="exact"/>
        <w:jc w:val="center"/>
        <w:rPr>
          <w:rFonts w:ascii="宋体" w:hAnsi="宋体" w:cs="宋体"/>
          <w:b/>
          <w:bCs w:val="0"/>
          <w:spacing w:val="-20"/>
        </w:rPr>
      </w:pPr>
      <w:r>
        <w:rPr>
          <w:rFonts w:hint="eastAsia" w:ascii="宋体" w:hAnsi="宋体" w:cs="宋体"/>
          <w:b/>
          <w:bCs w:val="0"/>
          <w:sz w:val="44"/>
        </w:rPr>
        <w:t>开标一览表</w:t>
      </w:r>
    </w:p>
    <w:p w14:paraId="3803B0AE">
      <w:pPr>
        <w:pStyle w:val="2"/>
        <w:keepNext w:val="0"/>
        <w:keepLines w:val="0"/>
        <w:pageBreakBefore w:val="0"/>
        <w:widowControl w:val="0"/>
        <w:tabs>
          <w:tab w:val="left" w:pos="4477"/>
        </w:tabs>
        <w:kinsoku/>
        <w:wordWrap/>
        <w:overflowPunct/>
        <w:topLinePunct w:val="0"/>
        <w:autoSpaceDE/>
        <w:autoSpaceDN/>
        <w:bidi w:val="0"/>
        <w:adjustRightInd/>
        <w:snapToGrid/>
        <w:spacing w:before="157" w:beforeLines="50" w:line="400" w:lineRule="exact"/>
        <w:ind w:firstLine="0"/>
        <w:textAlignment w:val="auto"/>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szCs w:val="21"/>
          <w:lang w:eastAsia="zh-CN"/>
        </w:rPr>
        <w:t>2025年安吉县1:2000数字线划图更新入库与天地图融合项目</w:t>
      </w:r>
    </w:p>
    <w:p w14:paraId="79DC6F4C">
      <w:pPr>
        <w:pStyle w:val="2"/>
        <w:tabs>
          <w:tab w:val="left" w:pos="4477"/>
        </w:tabs>
        <w:spacing w:line="400" w:lineRule="exact"/>
        <w:ind w:firstLine="0"/>
        <w:rPr>
          <w:rFonts w:ascii="宋体" w:hAnsi="宋体" w:cs="宋体"/>
          <w:szCs w:val="21"/>
        </w:rPr>
      </w:pPr>
      <w:r>
        <w:rPr>
          <w:rFonts w:hint="eastAsia" w:ascii="宋体" w:hAnsi="宋体" w:cs="宋体"/>
          <w:szCs w:val="21"/>
        </w:rPr>
        <w:t>项目编号：</w:t>
      </w:r>
      <w:r>
        <w:rPr>
          <w:rFonts w:hint="eastAsia" w:ascii="宋体" w:hAnsi="宋体" w:cs="宋体"/>
          <w:lang w:eastAsia="zh-CN"/>
        </w:rPr>
        <w:t>ZJZC-AJ2025-003</w:t>
      </w:r>
      <w:r>
        <w:rPr>
          <w:rFonts w:hint="eastAsia" w:ascii="宋体" w:hAnsi="宋体" w:cs="宋体"/>
          <w:szCs w:val="21"/>
        </w:rPr>
        <w:t xml:space="preserve">        </w:t>
      </w:r>
    </w:p>
    <w:tbl>
      <w:tblPr>
        <w:tblStyle w:val="25"/>
        <w:tblW w:w="95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435"/>
        <w:gridCol w:w="2274"/>
        <w:gridCol w:w="1902"/>
        <w:gridCol w:w="1278"/>
        <w:gridCol w:w="1866"/>
      </w:tblGrid>
      <w:tr w14:paraId="16928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36" w:type="dxa"/>
            <w:vAlign w:val="center"/>
          </w:tcPr>
          <w:p w14:paraId="42D001B0">
            <w:pPr>
              <w:pStyle w:val="29"/>
              <w:spacing w:line="229" w:lineRule="auto"/>
              <w:jc w:val="center"/>
              <w:rPr>
                <w:sz w:val="21"/>
                <w:szCs w:val="21"/>
              </w:rPr>
            </w:pPr>
            <w:r>
              <w:rPr>
                <w:spacing w:val="5"/>
                <w:sz w:val="21"/>
                <w:szCs w:val="21"/>
              </w:rPr>
              <w:t>序号</w:t>
            </w:r>
          </w:p>
        </w:tc>
        <w:tc>
          <w:tcPr>
            <w:tcW w:w="3709" w:type="dxa"/>
            <w:gridSpan w:val="2"/>
            <w:vAlign w:val="center"/>
          </w:tcPr>
          <w:p w14:paraId="608B0BC9">
            <w:pPr>
              <w:pStyle w:val="29"/>
              <w:spacing w:line="228" w:lineRule="auto"/>
              <w:jc w:val="center"/>
              <w:rPr>
                <w:sz w:val="21"/>
                <w:szCs w:val="21"/>
              </w:rPr>
            </w:pPr>
            <w:r>
              <w:rPr>
                <w:spacing w:val="6"/>
                <w:sz w:val="21"/>
                <w:szCs w:val="21"/>
              </w:rPr>
              <w:t>项目内容</w:t>
            </w:r>
          </w:p>
        </w:tc>
        <w:tc>
          <w:tcPr>
            <w:tcW w:w="1902" w:type="dxa"/>
            <w:vAlign w:val="center"/>
          </w:tcPr>
          <w:p w14:paraId="17B7ECA8">
            <w:pPr>
              <w:pStyle w:val="29"/>
              <w:spacing w:line="228" w:lineRule="auto"/>
              <w:jc w:val="center"/>
              <w:rPr>
                <w:sz w:val="21"/>
                <w:szCs w:val="21"/>
              </w:rPr>
            </w:pPr>
            <w:r>
              <w:rPr>
                <w:spacing w:val="3"/>
                <w:sz w:val="21"/>
                <w:szCs w:val="21"/>
              </w:rPr>
              <w:t>数量</w:t>
            </w:r>
          </w:p>
        </w:tc>
        <w:tc>
          <w:tcPr>
            <w:tcW w:w="1278" w:type="dxa"/>
            <w:vAlign w:val="center"/>
          </w:tcPr>
          <w:p w14:paraId="778DFA0A">
            <w:pPr>
              <w:pStyle w:val="29"/>
              <w:spacing w:line="228" w:lineRule="auto"/>
              <w:jc w:val="center"/>
              <w:rPr>
                <w:rFonts w:hint="eastAsia" w:eastAsia="宋体"/>
                <w:spacing w:val="3"/>
                <w:sz w:val="21"/>
                <w:szCs w:val="21"/>
                <w:lang w:val="en-US" w:eastAsia="zh-CN"/>
              </w:rPr>
            </w:pPr>
            <w:r>
              <w:rPr>
                <w:rFonts w:hint="eastAsia"/>
                <w:spacing w:val="3"/>
                <w:sz w:val="21"/>
                <w:szCs w:val="21"/>
                <w:lang w:val="en-US" w:eastAsia="zh-CN"/>
              </w:rPr>
              <w:t>单价</w:t>
            </w:r>
          </w:p>
        </w:tc>
        <w:tc>
          <w:tcPr>
            <w:tcW w:w="1866" w:type="dxa"/>
            <w:vAlign w:val="center"/>
          </w:tcPr>
          <w:p w14:paraId="4033BD39">
            <w:pPr>
              <w:pStyle w:val="29"/>
              <w:spacing w:line="228" w:lineRule="auto"/>
              <w:jc w:val="center"/>
              <w:rPr>
                <w:rFonts w:hint="eastAsia" w:eastAsia="宋体"/>
                <w:spacing w:val="3"/>
                <w:sz w:val="21"/>
                <w:szCs w:val="21"/>
                <w:lang w:val="en-US" w:eastAsia="zh-CN"/>
              </w:rPr>
            </w:pPr>
            <w:r>
              <w:rPr>
                <w:rFonts w:hint="eastAsia"/>
                <w:spacing w:val="3"/>
                <w:sz w:val="21"/>
                <w:szCs w:val="21"/>
                <w:lang w:val="en-US" w:eastAsia="zh-CN"/>
              </w:rPr>
              <w:t>合计</w:t>
            </w:r>
          </w:p>
        </w:tc>
      </w:tr>
      <w:tr w14:paraId="0C557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836" w:type="dxa"/>
            <w:vAlign w:val="center"/>
          </w:tcPr>
          <w:p w14:paraId="01AC1A11">
            <w:pPr>
              <w:pStyle w:val="29"/>
              <w:spacing w:line="189" w:lineRule="auto"/>
              <w:jc w:val="center"/>
              <w:rPr>
                <w:sz w:val="21"/>
                <w:szCs w:val="21"/>
              </w:rPr>
            </w:pPr>
            <w:r>
              <w:rPr>
                <w:sz w:val="21"/>
                <w:szCs w:val="21"/>
              </w:rPr>
              <w:t>1</w:t>
            </w:r>
          </w:p>
        </w:tc>
        <w:tc>
          <w:tcPr>
            <w:tcW w:w="3709" w:type="dxa"/>
            <w:gridSpan w:val="2"/>
            <w:vAlign w:val="center"/>
          </w:tcPr>
          <w:p w14:paraId="16FE72EC">
            <w:pPr>
              <w:widowControl/>
              <w:textAlignment w:val="center"/>
              <w:rPr>
                <w:rFonts w:ascii="Arial"/>
              </w:rPr>
            </w:pPr>
          </w:p>
        </w:tc>
        <w:tc>
          <w:tcPr>
            <w:tcW w:w="1902" w:type="dxa"/>
            <w:vAlign w:val="center"/>
          </w:tcPr>
          <w:p w14:paraId="77D186E7">
            <w:pPr>
              <w:jc w:val="center"/>
              <w:rPr>
                <w:rFonts w:hint="eastAsia" w:eastAsia="宋体"/>
                <w:sz w:val="21"/>
                <w:szCs w:val="21"/>
                <w:lang w:val="en-US" w:eastAsia="zh-CN"/>
              </w:rPr>
            </w:pPr>
          </w:p>
        </w:tc>
        <w:tc>
          <w:tcPr>
            <w:tcW w:w="1278" w:type="dxa"/>
            <w:vAlign w:val="center"/>
          </w:tcPr>
          <w:p w14:paraId="5CB96B2F">
            <w:pPr>
              <w:pStyle w:val="29"/>
              <w:spacing w:line="228" w:lineRule="auto"/>
              <w:jc w:val="center"/>
              <w:rPr>
                <w:spacing w:val="-10"/>
                <w:sz w:val="21"/>
                <w:szCs w:val="21"/>
              </w:rPr>
            </w:pPr>
          </w:p>
        </w:tc>
        <w:tc>
          <w:tcPr>
            <w:tcW w:w="1866" w:type="dxa"/>
            <w:vAlign w:val="center"/>
          </w:tcPr>
          <w:p w14:paraId="3C3C37D5">
            <w:pPr>
              <w:pStyle w:val="29"/>
              <w:spacing w:line="228" w:lineRule="auto"/>
              <w:jc w:val="center"/>
              <w:rPr>
                <w:spacing w:val="-10"/>
                <w:sz w:val="21"/>
                <w:szCs w:val="21"/>
              </w:rPr>
            </w:pPr>
          </w:p>
        </w:tc>
      </w:tr>
      <w:tr w14:paraId="3E22F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2271" w:type="dxa"/>
            <w:gridSpan w:val="2"/>
            <w:vAlign w:val="center"/>
          </w:tcPr>
          <w:p w14:paraId="550CB5E8">
            <w:pPr>
              <w:pStyle w:val="29"/>
              <w:spacing w:line="226" w:lineRule="auto"/>
              <w:jc w:val="center"/>
              <w:rPr>
                <w:rFonts w:hint="eastAsia" w:eastAsia="宋体"/>
                <w:sz w:val="21"/>
                <w:szCs w:val="21"/>
                <w:lang w:eastAsia="zh-CN"/>
              </w:rPr>
            </w:pPr>
            <w:r>
              <w:rPr>
                <w:spacing w:val="7"/>
                <w:sz w:val="21"/>
                <w:szCs w:val="21"/>
              </w:rPr>
              <w:t>投标报价</w:t>
            </w:r>
            <w:r>
              <w:rPr>
                <w:rFonts w:hint="eastAsia"/>
                <w:spacing w:val="7"/>
                <w:sz w:val="21"/>
                <w:szCs w:val="21"/>
                <w:lang w:eastAsia="zh-CN"/>
              </w:rPr>
              <w:t>总价</w:t>
            </w:r>
          </w:p>
        </w:tc>
        <w:tc>
          <w:tcPr>
            <w:tcW w:w="7320" w:type="dxa"/>
            <w:gridSpan w:val="4"/>
            <w:vAlign w:val="center"/>
          </w:tcPr>
          <w:p w14:paraId="6D36F5A4">
            <w:pPr>
              <w:pStyle w:val="29"/>
              <w:spacing w:line="228" w:lineRule="auto"/>
              <w:rPr>
                <w:spacing w:val="-4"/>
                <w:sz w:val="21"/>
                <w:szCs w:val="21"/>
              </w:rPr>
            </w:pPr>
            <w:r>
              <w:rPr>
                <w:spacing w:val="-4"/>
                <w:sz w:val="21"/>
                <w:szCs w:val="21"/>
              </w:rPr>
              <w:t>大写</w:t>
            </w:r>
            <w:r>
              <w:rPr>
                <w:spacing w:val="-59"/>
                <w:sz w:val="21"/>
                <w:szCs w:val="21"/>
              </w:rPr>
              <w:t xml:space="preserve"> </w:t>
            </w:r>
            <w:r>
              <w:rPr>
                <w:spacing w:val="-4"/>
                <w:sz w:val="21"/>
                <w:szCs w:val="21"/>
              </w:rPr>
              <w:t>:</w:t>
            </w:r>
            <w:r>
              <w:rPr>
                <w:spacing w:val="1"/>
                <w:sz w:val="21"/>
                <w:szCs w:val="21"/>
              </w:rPr>
              <w:t xml:space="preserve">                        </w:t>
            </w:r>
            <w:r>
              <w:rPr>
                <w:spacing w:val="-4"/>
                <w:sz w:val="21"/>
                <w:szCs w:val="21"/>
              </w:rPr>
              <w:t>元整(¥</w:t>
            </w:r>
            <w:r>
              <w:rPr>
                <w:spacing w:val="-58"/>
                <w:sz w:val="21"/>
                <w:szCs w:val="21"/>
              </w:rPr>
              <w:t xml:space="preserve"> </w:t>
            </w:r>
            <w:r>
              <w:rPr>
                <w:spacing w:val="-4"/>
                <w:sz w:val="21"/>
                <w:szCs w:val="21"/>
              </w:rPr>
              <w:t>:</w:t>
            </w:r>
            <w:r>
              <w:rPr>
                <w:spacing w:val="6"/>
                <w:sz w:val="21"/>
                <w:szCs w:val="21"/>
              </w:rPr>
              <w:t xml:space="preserve">      </w:t>
            </w:r>
            <w:r>
              <w:rPr>
                <w:spacing w:val="-4"/>
                <w:sz w:val="21"/>
                <w:szCs w:val="21"/>
              </w:rPr>
              <w:t>元)</w:t>
            </w:r>
          </w:p>
        </w:tc>
      </w:tr>
    </w:tbl>
    <w:p w14:paraId="2962D23F">
      <w:pPr>
        <w:pStyle w:val="2"/>
        <w:tabs>
          <w:tab w:val="left" w:pos="4477"/>
        </w:tabs>
        <w:spacing w:line="400" w:lineRule="exact"/>
        <w:ind w:firstLine="0"/>
        <w:rPr>
          <w:rFonts w:ascii="宋体" w:hAnsi="宋体" w:cs="宋体"/>
          <w:szCs w:val="21"/>
        </w:rPr>
      </w:pPr>
    </w:p>
    <w:p w14:paraId="35394DB0">
      <w:pPr>
        <w:pStyle w:val="9"/>
        <w:widowControl/>
        <w:spacing w:beforeLines="0" w:afterLines="0" w:line="460" w:lineRule="atLeast"/>
        <w:jc w:val="left"/>
        <w:rPr>
          <w:rFonts w:hAnsi="宋体" w:cs="宋体"/>
          <w:b/>
          <w:sz w:val="21"/>
        </w:rPr>
      </w:pPr>
      <w:r>
        <w:rPr>
          <w:rFonts w:hint="eastAsia" w:hAnsi="宋体" w:cs="宋体"/>
          <w:b/>
          <w:sz w:val="21"/>
        </w:rPr>
        <w:t>说明：</w:t>
      </w:r>
    </w:p>
    <w:p w14:paraId="7146DF7C">
      <w:pPr>
        <w:pStyle w:val="9"/>
        <w:spacing w:before="156" w:after="156" w:line="240" w:lineRule="exact"/>
        <w:rPr>
          <w:rFonts w:hAnsi="宋体" w:cs="宋体"/>
          <w:b/>
          <w:sz w:val="21"/>
        </w:rPr>
      </w:pPr>
      <w:r>
        <w:rPr>
          <w:rFonts w:hint="eastAsia" w:hAnsi="宋体" w:cs="宋体"/>
          <w:b/>
          <w:sz w:val="21"/>
        </w:rPr>
        <w:t>1.投标报价不得超预算，否则投标无效。</w:t>
      </w:r>
    </w:p>
    <w:p w14:paraId="7DF12E2E">
      <w:pPr>
        <w:pStyle w:val="9"/>
        <w:spacing w:before="156" w:after="156" w:line="240" w:lineRule="exact"/>
        <w:rPr>
          <w:rFonts w:hAnsi="宋体" w:cs="宋体"/>
          <w:b/>
          <w:sz w:val="21"/>
        </w:rPr>
      </w:pPr>
      <w:r>
        <w:rPr>
          <w:rFonts w:hint="eastAsia" w:hAnsi="宋体" w:cs="宋体"/>
          <w:b/>
          <w:sz w:val="21"/>
        </w:rPr>
        <w:t>2.报价一经涂改，应在涂改处加盖单位公章或者由法定代表人或授权委托人签字或盖章，否则其投标作无效标处理。</w:t>
      </w:r>
    </w:p>
    <w:p w14:paraId="153A39D5">
      <w:pPr>
        <w:pStyle w:val="9"/>
        <w:spacing w:before="156" w:after="156" w:line="240" w:lineRule="exact"/>
        <w:rPr>
          <w:rFonts w:hAnsi="宋体" w:cs="宋体"/>
          <w:b/>
          <w:sz w:val="21"/>
        </w:rPr>
      </w:pPr>
      <w:r>
        <w:rPr>
          <w:rFonts w:hint="eastAsia" w:hAnsi="宋体" w:cs="宋体"/>
          <w:b/>
          <w:sz w:val="21"/>
        </w:rPr>
        <w:t>3.本开标一览表报价与电子交易系统提交的报价不一致的，以本开标一览表报价为准。</w:t>
      </w:r>
    </w:p>
    <w:p w14:paraId="7A618D27">
      <w:pPr>
        <w:pStyle w:val="9"/>
        <w:spacing w:before="156" w:after="156" w:line="240" w:lineRule="exact"/>
        <w:rPr>
          <w:rFonts w:hAnsi="宋体" w:cs="宋体"/>
          <w:b/>
          <w:sz w:val="21"/>
        </w:rPr>
      </w:pPr>
    </w:p>
    <w:p w14:paraId="54FF5E94">
      <w:pPr>
        <w:keepNext w:val="0"/>
        <w:keepLines w:val="0"/>
        <w:pageBreakBefore w:val="0"/>
        <w:widowControl/>
        <w:kinsoku/>
        <w:wordWrap/>
        <w:overflowPunct/>
        <w:topLinePunct w:val="0"/>
        <w:autoSpaceDE/>
        <w:autoSpaceDN/>
        <w:bidi w:val="0"/>
        <w:adjustRightInd/>
        <w:spacing w:line="500" w:lineRule="exact"/>
        <w:ind w:right="0"/>
        <w:jc w:val="center"/>
        <w:textAlignment w:val="auto"/>
        <w:rPr>
          <w:rFonts w:ascii="宋体" w:hAnsi="宋体" w:cs="宋体"/>
        </w:rPr>
      </w:pPr>
      <w:r>
        <w:rPr>
          <w:rFonts w:hint="eastAsia" w:ascii="宋体" w:hAnsi="宋体" w:cs="宋体"/>
        </w:rPr>
        <w:t xml:space="preserve">                                                 投标人全称：（盖章）</w:t>
      </w:r>
    </w:p>
    <w:p w14:paraId="58FF7F4D">
      <w:pPr>
        <w:keepNext w:val="0"/>
        <w:keepLines w:val="0"/>
        <w:pageBreakBefore w:val="0"/>
        <w:widowControl/>
        <w:kinsoku/>
        <w:wordWrap/>
        <w:overflowPunct/>
        <w:topLinePunct w:val="0"/>
        <w:autoSpaceDE/>
        <w:autoSpaceDN/>
        <w:bidi w:val="0"/>
        <w:adjustRightInd/>
        <w:spacing w:line="500" w:lineRule="exact"/>
        <w:ind w:right="0"/>
        <w:jc w:val="center"/>
        <w:textAlignment w:val="auto"/>
        <w:rPr>
          <w:rFonts w:ascii="宋体" w:hAnsi="宋体" w:cs="宋体"/>
        </w:rPr>
      </w:pPr>
      <w:r>
        <w:rPr>
          <w:rFonts w:hint="eastAsia" w:ascii="宋体" w:hAnsi="宋体" w:cs="宋体"/>
        </w:rPr>
        <w:t xml:space="preserve">                                              授权代表：（签字）</w:t>
      </w:r>
    </w:p>
    <w:p w14:paraId="3FAC1529">
      <w:pPr>
        <w:keepNext w:val="0"/>
        <w:keepLines w:val="0"/>
        <w:pageBreakBefore w:val="0"/>
        <w:kinsoku/>
        <w:wordWrap/>
        <w:overflowPunct/>
        <w:topLinePunct w:val="0"/>
        <w:autoSpaceDE/>
        <w:autoSpaceDN/>
        <w:bidi w:val="0"/>
        <w:adjustRightInd/>
        <w:snapToGrid w:val="0"/>
        <w:spacing w:line="500" w:lineRule="exact"/>
        <w:ind w:right="0"/>
        <w:textAlignment w:val="auto"/>
        <w:rPr>
          <w:rFonts w:ascii="宋体" w:hAnsi="宋体" w:cs="宋体"/>
          <w:bCs/>
          <w:sz w:val="44"/>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期：   年   月   日</w:t>
      </w:r>
    </w:p>
    <w:p w14:paraId="363B5D7F">
      <w:pPr>
        <w:keepNext w:val="0"/>
        <w:keepLines w:val="0"/>
        <w:pageBreakBefore w:val="0"/>
        <w:kinsoku/>
        <w:wordWrap/>
        <w:overflowPunct/>
        <w:topLinePunct w:val="0"/>
        <w:autoSpaceDE/>
        <w:autoSpaceDN/>
        <w:bidi w:val="0"/>
        <w:adjustRightInd/>
        <w:spacing w:line="500" w:lineRule="exact"/>
        <w:textAlignment w:val="auto"/>
      </w:pPr>
      <w:r>
        <w:br w:type="page"/>
      </w:r>
    </w:p>
    <w:p w14:paraId="40264908">
      <w:pPr>
        <w:adjustRightInd w:val="0"/>
        <w:snapToGrid w:val="0"/>
        <w:rPr>
          <w:rFonts w:hint="eastAsia" w:ascii="宋体" w:hAnsi="宋体" w:cs="宋体"/>
          <w:bCs/>
          <w:sz w:val="24"/>
        </w:rPr>
      </w:pPr>
      <w:r>
        <w:rPr>
          <w:rFonts w:hint="eastAsia" w:ascii="宋体" w:hAnsi="宋体" w:cs="宋体"/>
          <w:bCs/>
          <w:sz w:val="24"/>
        </w:rPr>
        <w:t>4.报价明细表</w:t>
      </w:r>
    </w:p>
    <w:p w14:paraId="3292F1D9">
      <w:pPr>
        <w:pStyle w:val="9"/>
        <w:spacing w:before="156" w:after="156"/>
        <w:jc w:val="center"/>
        <w:outlineLvl w:val="1"/>
        <w:rPr>
          <w:rFonts w:hAnsi="宋体" w:cs="宋体"/>
          <w:b/>
          <w:bCs/>
          <w:sz w:val="30"/>
          <w:szCs w:val="30"/>
        </w:rPr>
      </w:pPr>
      <w:bookmarkStart w:id="268" w:name="_Toc18288"/>
      <w:bookmarkStart w:id="269" w:name="_Toc10795"/>
      <w:bookmarkStart w:id="270" w:name="_Toc21964"/>
      <w:bookmarkStart w:id="271" w:name="_Toc24303"/>
      <w:bookmarkStart w:id="272" w:name="_Toc10846"/>
      <w:bookmarkStart w:id="273" w:name="_Toc12623"/>
      <w:r>
        <w:rPr>
          <w:rFonts w:hint="eastAsia" w:hAnsi="宋体" w:cs="宋体"/>
          <w:b/>
          <w:bCs/>
          <w:sz w:val="30"/>
          <w:szCs w:val="30"/>
        </w:rPr>
        <w:t>报价明细表</w:t>
      </w:r>
      <w:bookmarkEnd w:id="268"/>
      <w:bookmarkEnd w:id="269"/>
      <w:bookmarkEnd w:id="270"/>
      <w:bookmarkEnd w:id="271"/>
      <w:bookmarkEnd w:id="272"/>
      <w:bookmarkEnd w:id="273"/>
    </w:p>
    <w:p w14:paraId="4EEACFB2">
      <w:pPr>
        <w:pStyle w:val="2"/>
        <w:spacing w:line="400" w:lineRule="exact"/>
        <w:ind w:firstLine="0"/>
        <w:rPr>
          <w:rFonts w:ascii="宋体" w:hAnsi="宋体" w:cs="宋体"/>
          <w:szCs w:val="21"/>
        </w:rPr>
      </w:pPr>
      <w:r>
        <w:rPr>
          <w:rFonts w:hint="eastAsia" w:ascii="宋体" w:hAnsi="宋体" w:cs="宋体"/>
          <w:szCs w:val="21"/>
        </w:rPr>
        <w:t xml:space="preserve">项目名称：                             项目编号：    </w:t>
      </w:r>
    </w:p>
    <w:tbl>
      <w:tblPr>
        <w:tblStyle w:val="1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18"/>
        <w:gridCol w:w="1440"/>
        <w:gridCol w:w="1476"/>
        <w:gridCol w:w="3322"/>
      </w:tblGrid>
      <w:tr w14:paraId="277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vAlign w:val="center"/>
          </w:tcPr>
          <w:p w14:paraId="652D5A2C">
            <w:pPr>
              <w:jc w:val="center"/>
              <w:rPr>
                <w:rFonts w:ascii="宋体" w:hAnsi="宋体" w:cs="宋体"/>
                <w:color w:val="000000"/>
                <w:szCs w:val="28"/>
              </w:rPr>
            </w:pPr>
            <w:r>
              <w:rPr>
                <w:rFonts w:hint="eastAsia" w:ascii="宋体" w:hAnsi="宋体" w:cs="宋体"/>
                <w:color w:val="000000"/>
                <w:szCs w:val="28"/>
              </w:rPr>
              <w:t>序号</w:t>
            </w:r>
          </w:p>
        </w:tc>
        <w:tc>
          <w:tcPr>
            <w:tcW w:w="2818" w:type="dxa"/>
            <w:vAlign w:val="center"/>
          </w:tcPr>
          <w:p w14:paraId="4D32694F">
            <w:pPr>
              <w:jc w:val="center"/>
              <w:rPr>
                <w:rFonts w:ascii="宋体" w:hAnsi="宋体" w:cs="宋体"/>
                <w:color w:val="000000"/>
                <w:szCs w:val="28"/>
              </w:rPr>
            </w:pPr>
            <w:r>
              <w:rPr>
                <w:rFonts w:hint="eastAsia" w:ascii="宋体" w:hAnsi="宋体" w:cs="宋体"/>
                <w:color w:val="000000"/>
                <w:szCs w:val="28"/>
              </w:rPr>
              <w:t>内容</w:t>
            </w:r>
          </w:p>
        </w:tc>
        <w:tc>
          <w:tcPr>
            <w:tcW w:w="1440" w:type="dxa"/>
            <w:vAlign w:val="center"/>
          </w:tcPr>
          <w:p w14:paraId="025CDAB2">
            <w:pPr>
              <w:jc w:val="center"/>
              <w:rPr>
                <w:rFonts w:ascii="宋体" w:hAnsi="宋体" w:cs="宋体"/>
                <w:color w:val="000000"/>
                <w:szCs w:val="28"/>
              </w:rPr>
            </w:pPr>
            <w:r>
              <w:rPr>
                <w:rFonts w:hint="eastAsia" w:ascii="宋体" w:hAnsi="宋体" w:cs="宋体"/>
                <w:color w:val="000000"/>
                <w:szCs w:val="28"/>
              </w:rPr>
              <w:t>数量</w:t>
            </w:r>
          </w:p>
        </w:tc>
        <w:tc>
          <w:tcPr>
            <w:tcW w:w="1476" w:type="dxa"/>
            <w:vAlign w:val="center"/>
          </w:tcPr>
          <w:p w14:paraId="72C414EB">
            <w:pPr>
              <w:jc w:val="center"/>
              <w:rPr>
                <w:rFonts w:ascii="宋体" w:hAnsi="宋体" w:cs="宋体"/>
                <w:color w:val="000000"/>
                <w:szCs w:val="28"/>
              </w:rPr>
            </w:pPr>
            <w:r>
              <w:rPr>
                <w:rFonts w:hint="eastAsia" w:ascii="宋体" w:hAnsi="宋体" w:cs="宋体"/>
                <w:color w:val="000000"/>
                <w:szCs w:val="28"/>
              </w:rPr>
              <w:t>报价</w:t>
            </w:r>
          </w:p>
        </w:tc>
        <w:tc>
          <w:tcPr>
            <w:tcW w:w="3322" w:type="dxa"/>
            <w:vAlign w:val="center"/>
          </w:tcPr>
          <w:p w14:paraId="4B1A7F48">
            <w:pPr>
              <w:ind w:firstLine="525" w:firstLineChars="250"/>
              <w:jc w:val="center"/>
              <w:rPr>
                <w:rFonts w:ascii="宋体" w:hAnsi="宋体" w:cs="宋体"/>
                <w:color w:val="000000"/>
                <w:szCs w:val="28"/>
              </w:rPr>
            </w:pPr>
            <w:r>
              <w:rPr>
                <w:rFonts w:hint="eastAsia" w:ascii="宋体" w:hAnsi="宋体" w:cs="宋体"/>
                <w:color w:val="000000"/>
                <w:szCs w:val="28"/>
              </w:rPr>
              <w:t>备注</w:t>
            </w:r>
          </w:p>
        </w:tc>
      </w:tr>
      <w:tr w14:paraId="7885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2C2DD4ED">
            <w:pPr>
              <w:jc w:val="center"/>
              <w:rPr>
                <w:rFonts w:ascii="宋体" w:hAnsi="宋体" w:cs="宋体"/>
                <w:color w:val="000000"/>
                <w:szCs w:val="28"/>
              </w:rPr>
            </w:pPr>
          </w:p>
        </w:tc>
        <w:tc>
          <w:tcPr>
            <w:tcW w:w="2818" w:type="dxa"/>
          </w:tcPr>
          <w:p w14:paraId="5D3F20C6">
            <w:pPr>
              <w:jc w:val="center"/>
              <w:rPr>
                <w:rFonts w:ascii="宋体" w:hAnsi="宋体" w:cs="宋体"/>
                <w:color w:val="000000"/>
                <w:szCs w:val="28"/>
              </w:rPr>
            </w:pPr>
          </w:p>
        </w:tc>
        <w:tc>
          <w:tcPr>
            <w:tcW w:w="1440" w:type="dxa"/>
          </w:tcPr>
          <w:p w14:paraId="2B853B3A">
            <w:pPr>
              <w:jc w:val="center"/>
              <w:rPr>
                <w:rFonts w:ascii="宋体" w:hAnsi="宋体" w:cs="宋体"/>
                <w:color w:val="000000"/>
                <w:szCs w:val="28"/>
              </w:rPr>
            </w:pPr>
          </w:p>
        </w:tc>
        <w:tc>
          <w:tcPr>
            <w:tcW w:w="1476" w:type="dxa"/>
          </w:tcPr>
          <w:p w14:paraId="10E93093">
            <w:pPr>
              <w:jc w:val="center"/>
              <w:rPr>
                <w:rFonts w:ascii="宋体" w:hAnsi="宋体" w:cs="宋体"/>
                <w:color w:val="000000"/>
                <w:szCs w:val="28"/>
              </w:rPr>
            </w:pPr>
          </w:p>
        </w:tc>
        <w:tc>
          <w:tcPr>
            <w:tcW w:w="3322" w:type="dxa"/>
          </w:tcPr>
          <w:p w14:paraId="1E4D394D">
            <w:pPr>
              <w:ind w:firstLine="525" w:firstLineChars="250"/>
              <w:jc w:val="center"/>
              <w:rPr>
                <w:rFonts w:ascii="宋体" w:hAnsi="宋体" w:cs="宋体"/>
                <w:color w:val="000000"/>
                <w:szCs w:val="28"/>
              </w:rPr>
            </w:pPr>
          </w:p>
        </w:tc>
      </w:tr>
      <w:tr w14:paraId="140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5AA7E0AD">
            <w:pPr>
              <w:jc w:val="center"/>
              <w:rPr>
                <w:rFonts w:ascii="宋体" w:hAnsi="宋体" w:cs="宋体"/>
                <w:color w:val="000000"/>
                <w:szCs w:val="28"/>
              </w:rPr>
            </w:pPr>
          </w:p>
        </w:tc>
        <w:tc>
          <w:tcPr>
            <w:tcW w:w="2818" w:type="dxa"/>
          </w:tcPr>
          <w:p w14:paraId="24A8D0CA">
            <w:pPr>
              <w:jc w:val="center"/>
              <w:rPr>
                <w:rFonts w:ascii="宋体" w:hAnsi="宋体" w:cs="宋体"/>
                <w:color w:val="000000"/>
                <w:szCs w:val="28"/>
              </w:rPr>
            </w:pPr>
          </w:p>
        </w:tc>
        <w:tc>
          <w:tcPr>
            <w:tcW w:w="1440" w:type="dxa"/>
          </w:tcPr>
          <w:p w14:paraId="34B70D99">
            <w:pPr>
              <w:jc w:val="center"/>
              <w:rPr>
                <w:rFonts w:ascii="宋体" w:hAnsi="宋体" w:cs="宋体"/>
                <w:color w:val="000000"/>
                <w:szCs w:val="28"/>
              </w:rPr>
            </w:pPr>
          </w:p>
        </w:tc>
        <w:tc>
          <w:tcPr>
            <w:tcW w:w="1476" w:type="dxa"/>
          </w:tcPr>
          <w:p w14:paraId="34674F24">
            <w:pPr>
              <w:jc w:val="center"/>
              <w:rPr>
                <w:rFonts w:ascii="宋体" w:hAnsi="宋体" w:cs="宋体"/>
                <w:color w:val="000000"/>
                <w:szCs w:val="28"/>
              </w:rPr>
            </w:pPr>
          </w:p>
        </w:tc>
        <w:tc>
          <w:tcPr>
            <w:tcW w:w="3322" w:type="dxa"/>
          </w:tcPr>
          <w:p w14:paraId="33D9CDB0">
            <w:pPr>
              <w:ind w:firstLine="525" w:firstLineChars="250"/>
              <w:jc w:val="center"/>
              <w:rPr>
                <w:rFonts w:ascii="宋体" w:hAnsi="宋体" w:cs="宋体"/>
                <w:color w:val="000000"/>
                <w:szCs w:val="28"/>
              </w:rPr>
            </w:pPr>
          </w:p>
        </w:tc>
      </w:tr>
      <w:tr w14:paraId="389F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7ECE3C3F">
            <w:pPr>
              <w:jc w:val="center"/>
              <w:rPr>
                <w:rFonts w:ascii="宋体" w:hAnsi="宋体" w:cs="宋体"/>
                <w:color w:val="000000"/>
                <w:szCs w:val="28"/>
              </w:rPr>
            </w:pPr>
          </w:p>
        </w:tc>
        <w:tc>
          <w:tcPr>
            <w:tcW w:w="2818" w:type="dxa"/>
          </w:tcPr>
          <w:p w14:paraId="260A02A8">
            <w:pPr>
              <w:jc w:val="center"/>
              <w:rPr>
                <w:rFonts w:ascii="宋体" w:hAnsi="宋体" w:cs="宋体"/>
                <w:color w:val="000000"/>
                <w:szCs w:val="28"/>
              </w:rPr>
            </w:pPr>
          </w:p>
        </w:tc>
        <w:tc>
          <w:tcPr>
            <w:tcW w:w="1440" w:type="dxa"/>
          </w:tcPr>
          <w:p w14:paraId="365503DC">
            <w:pPr>
              <w:jc w:val="center"/>
              <w:rPr>
                <w:rFonts w:ascii="宋体" w:hAnsi="宋体" w:cs="宋体"/>
                <w:color w:val="000000"/>
                <w:szCs w:val="28"/>
              </w:rPr>
            </w:pPr>
          </w:p>
        </w:tc>
        <w:tc>
          <w:tcPr>
            <w:tcW w:w="1476" w:type="dxa"/>
          </w:tcPr>
          <w:p w14:paraId="32DC24C1">
            <w:pPr>
              <w:jc w:val="center"/>
              <w:rPr>
                <w:rFonts w:ascii="宋体" w:hAnsi="宋体" w:cs="宋体"/>
                <w:color w:val="000000"/>
                <w:szCs w:val="28"/>
              </w:rPr>
            </w:pPr>
          </w:p>
        </w:tc>
        <w:tc>
          <w:tcPr>
            <w:tcW w:w="3322" w:type="dxa"/>
          </w:tcPr>
          <w:p w14:paraId="3497EB63">
            <w:pPr>
              <w:ind w:firstLine="525" w:firstLineChars="250"/>
              <w:jc w:val="center"/>
              <w:rPr>
                <w:rFonts w:ascii="宋体" w:hAnsi="宋体" w:cs="宋体"/>
                <w:color w:val="000000"/>
                <w:szCs w:val="28"/>
              </w:rPr>
            </w:pPr>
          </w:p>
        </w:tc>
      </w:tr>
      <w:tr w14:paraId="013D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09A4C07B">
            <w:pPr>
              <w:jc w:val="center"/>
              <w:rPr>
                <w:rFonts w:ascii="宋体" w:hAnsi="宋体" w:cs="宋体"/>
                <w:color w:val="000000"/>
                <w:szCs w:val="28"/>
              </w:rPr>
            </w:pPr>
          </w:p>
        </w:tc>
        <w:tc>
          <w:tcPr>
            <w:tcW w:w="2818" w:type="dxa"/>
          </w:tcPr>
          <w:p w14:paraId="2F74E391">
            <w:pPr>
              <w:jc w:val="center"/>
              <w:rPr>
                <w:rFonts w:ascii="宋体" w:hAnsi="宋体" w:cs="宋体"/>
                <w:color w:val="000000"/>
                <w:szCs w:val="28"/>
              </w:rPr>
            </w:pPr>
          </w:p>
        </w:tc>
        <w:tc>
          <w:tcPr>
            <w:tcW w:w="1440" w:type="dxa"/>
          </w:tcPr>
          <w:p w14:paraId="5CDAC895">
            <w:pPr>
              <w:jc w:val="center"/>
              <w:rPr>
                <w:rFonts w:ascii="宋体" w:hAnsi="宋体" w:cs="宋体"/>
                <w:color w:val="000000"/>
                <w:szCs w:val="28"/>
              </w:rPr>
            </w:pPr>
          </w:p>
        </w:tc>
        <w:tc>
          <w:tcPr>
            <w:tcW w:w="1476" w:type="dxa"/>
          </w:tcPr>
          <w:p w14:paraId="5DDC6C44">
            <w:pPr>
              <w:jc w:val="center"/>
              <w:rPr>
                <w:rFonts w:ascii="宋体" w:hAnsi="宋体" w:cs="宋体"/>
                <w:color w:val="000000"/>
                <w:szCs w:val="28"/>
              </w:rPr>
            </w:pPr>
          </w:p>
        </w:tc>
        <w:tc>
          <w:tcPr>
            <w:tcW w:w="3322" w:type="dxa"/>
          </w:tcPr>
          <w:p w14:paraId="6105A09B">
            <w:pPr>
              <w:ind w:firstLine="525" w:firstLineChars="250"/>
              <w:jc w:val="center"/>
              <w:rPr>
                <w:rFonts w:ascii="宋体" w:hAnsi="宋体" w:cs="宋体"/>
                <w:color w:val="000000"/>
                <w:szCs w:val="28"/>
              </w:rPr>
            </w:pPr>
          </w:p>
        </w:tc>
      </w:tr>
      <w:tr w14:paraId="057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313A6EAB">
            <w:pPr>
              <w:jc w:val="center"/>
              <w:rPr>
                <w:rFonts w:ascii="宋体" w:hAnsi="宋体" w:cs="宋体"/>
                <w:color w:val="000000"/>
                <w:szCs w:val="28"/>
              </w:rPr>
            </w:pPr>
          </w:p>
        </w:tc>
        <w:tc>
          <w:tcPr>
            <w:tcW w:w="2818" w:type="dxa"/>
          </w:tcPr>
          <w:p w14:paraId="4B2F99D2">
            <w:pPr>
              <w:jc w:val="center"/>
              <w:rPr>
                <w:rFonts w:ascii="宋体" w:hAnsi="宋体" w:cs="宋体"/>
                <w:color w:val="000000"/>
                <w:szCs w:val="28"/>
              </w:rPr>
            </w:pPr>
          </w:p>
        </w:tc>
        <w:tc>
          <w:tcPr>
            <w:tcW w:w="1440" w:type="dxa"/>
          </w:tcPr>
          <w:p w14:paraId="5188EEDD">
            <w:pPr>
              <w:jc w:val="center"/>
              <w:rPr>
                <w:rFonts w:ascii="宋体" w:hAnsi="宋体" w:cs="宋体"/>
                <w:color w:val="000000"/>
                <w:szCs w:val="28"/>
              </w:rPr>
            </w:pPr>
          </w:p>
        </w:tc>
        <w:tc>
          <w:tcPr>
            <w:tcW w:w="1476" w:type="dxa"/>
          </w:tcPr>
          <w:p w14:paraId="37097CA2">
            <w:pPr>
              <w:jc w:val="center"/>
              <w:rPr>
                <w:rFonts w:ascii="宋体" w:hAnsi="宋体" w:cs="宋体"/>
                <w:color w:val="000000"/>
                <w:szCs w:val="28"/>
              </w:rPr>
            </w:pPr>
          </w:p>
        </w:tc>
        <w:tc>
          <w:tcPr>
            <w:tcW w:w="3322" w:type="dxa"/>
          </w:tcPr>
          <w:p w14:paraId="370F27B0">
            <w:pPr>
              <w:ind w:firstLine="525" w:firstLineChars="250"/>
              <w:jc w:val="center"/>
              <w:rPr>
                <w:rFonts w:ascii="宋体" w:hAnsi="宋体" w:cs="宋体"/>
                <w:color w:val="000000"/>
                <w:szCs w:val="28"/>
              </w:rPr>
            </w:pPr>
          </w:p>
        </w:tc>
      </w:tr>
      <w:tr w14:paraId="6AE2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67E13870">
            <w:pPr>
              <w:jc w:val="center"/>
              <w:rPr>
                <w:rFonts w:ascii="宋体" w:hAnsi="宋体" w:cs="宋体"/>
                <w:color w:val="000000"/>
                <w:szCs w:val="28"/>
              </w:rPr>
            </w:pPr>
          </w:p>
        </w:tc>
        <w:tc>
          <w:tcPr>
            <w:tcW w:w="2818" w:type="dxa"/>
          </w:tcPr>
          <w:p w14:paraId="5A430190">
            <w:pPr>
              <w:jc w:val="center"/>
              <w:rPr>
                <w:rFonts w:ascii="宋体" w:hAnsi="宋体" w:cs="宋体"/>
                <w:color w:val="000000"/>
                <w:szCs w:val="28"/>
              </w:rPr>
            </w:pPr>
          </w:p>
        </w:tc>
        <w:tc>
          <w:tcPr>
            <w:tcW w:w="1440" w:type="dxa"/>
          </w:tcPr>
          <w:p w14:paraId="4F008343">
            <w:pPr>
              <w:jc w:val="center"/>
              <w:rPr>
                <w:rFonts w:ascii="宋体" w:hAnsi="宋体" w:cs="宋体"/>
                <w:color w:val="000000"/>
                <w:szCs w:val="28"/>
              </w:rPr>
            </w:pPr>
          </w:p>
        </w:tc>
        <w:tc>
          <w:tcPr>
            <w:tcW w:w="1476" w:type="dxa"/>
          </w:tcPr>
          <w:p w14:paraId="3CD7E9D1">
            <w:pPr>
              <w:jc w:val="center"/>
              <w:rPr>
                <w:rFonts w:ascii="宋体" w:hAnsi="宋体" w:cs="宋体"/>
                <w:color w:val="000000"/>
                <w:szCs w:val="28"/>
              </w:rPr>
            </w:pPr>
          </w:p>
        </w:tc>
        <w:tc>
          <w:tcPr>
            <w:tcW w:w="3322" w:type="dxa"/>
          </w:tcPr>
          <w:p w14:paraId="56A7A384">
            <w:pPr>
              <w:ind w:firstLine="525" w:firstLineChars="250"/>
              <w:jc w:val="center"/>
              <w:rPr>
                <w:rFonts w:ascii="宋体" w:hAnsi="宋体" w:cs="宋体"/>
                <w:color w:val="000000"/>
                <w:szCs w:val="28"/>
              </w:rPr>
            </w:pPr>
          </w:p>
        </w:tc>
      </w:tr>
      <w:tr w14:paraId="1194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0857DA05">
            <w:pPr>
              <w:jc w:val="center"/>
              <w:rPr>
                <w:rFonts w:ascii="宋体" w:hAnsi="宋体" w:cs="宋体"/>
                <w:color w:val="000000"/>
                <w:szCs w:val="28"/>
              </w:rPr>
            </w:pPr>
          </w:p>
        </w:tc>
        <w:tc>
          <w:tcPr>
            <w:tcW w:w="2818" w:type="dxa"/>
          </w:tcPr>
          <w:p w14:paraId="14E8B811">
            <w:pPr>
              <w:jc w:val="center"/>
              <w:rPr>
                <w:rFonts w:ascii="宋体" w:hAnsi="宋体" w:cs="宋体"/>
                <w:color w:val="000000"/>
                <w:szCs w:val="28"/>
              </w:rPr>
            </w:pPr>
          </w:p>
        </w:tc>
        <w:tc>
          <w:tcPr>
            <w:tcW w:w="1440" w:type="dxa"/>
          </w:tcPr>
          <w:p w14:paraId="0C837B3D">
            <w:pPr>
              <w:jc w:val="center"/>
              <w:rPr>
                <w:rFonts w:ascii="宋体" w:hAnsi="宋体" w:cs="宋体"/>
                <w:color w:val="000000"/>
                <w:szCs w:val="28"/>
              </w:rPr>
            </w:pPr>
          </w:p>
        </w:tc>
        <w:tc>
          <w:tcPr>
            <w:tcW w:w="1476" w:type="dxa"/>
          </w:tcPr>
          <w:p w14:paraId="26A2CED0">
            <w:pPr>
              <w:jc w:val="center"/>
              <w:rPr>
                <w:rFonts w:ascii="宋体" w:hAnsi="宋体" w:cs="宋体"/>
                <w:color w:val="000000"/>
                <w:szCs w:val="28"/>
              </w:rPr>
            </w:pPr>
          </w:p>
        </w:tc>
        <w:tc>
          <w:tcPr>
            <w:tcW w:w="3322" w:type="dxa"/>
          </w:tcPr>
          <w:p w14:paraId="712E1605">
            <w:pPr>
              <w:ind w:firstLine="525" w:firstLineChars="250"/>
              <w:jc w:val="center"/>
              <w:rPr>
                <w:rFonts w:ascii="宋体" w:hAnsi="宋体" w:cs="宋体"/>
                <w:color w:val="000000"/>
                <w:szCs w:val="28"/>
              </w:rPr>
            </w:pPr>
          </w:p>
        </w:tc>
      </w:tr>
      <w:tr w14:paraId="4266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968" w:type="dxa"/>
            <w:gridSpan w:val="3"/>
            <w:vAlign w:val="center"/>
          </w:tcPr>
          <w:p w14:paraId="72309413">
            <w:pPr>
              <w:jc w:val="center"/>
              <w:rPr>
                <w:rFonts w:ascii="宋体" w:hAnsi="宋体" w:cs="宋体"/>
                <w:color w:val="000000"/>
                <w:szCs w:val="28"/>
              </w:rPr>
            </w:pPr>
            <w:r>
              <w:rPr>
                <w:rFonts w:hint="eastAsia" w:ascii="宋体" w:hAnsi="宋体" w:cs="宋体"/>
                <w:color w:val="000000"/>
                <w:szCs w:val="28"/>
              </w:rPr>
              <w:t>合计总价</w:t>
            </w:r>
          </w:p>
        </w:tc>
        <w:tc>
          <w:tcPr>
            <w:tcW w:w="1476" w:type="dxa"/>
          </w:tcPr>
          <w:p w14:paraId="19DBAFC2">
            <w:pPr>
              <w:jc w:val="center"/>
              <w:rPr>
                <w:rFonts w:ascii="宋体" w:hAnsi="宋体" w:cs="宋体"/>
                <w:color w:val="000000"/>
                <w:szCs w:val="28"/>
              </w:rPr>
            </w:pPr>
          </w:p>
        </w:tc>
        <w:tc>
          <w:tcPr>
            <w:tcW w:w="3322" w:type="dxa"/>
          </w:tcPr>
          <w:p w14:paraId="03F83838">
            <w:pPr>
              <w:ind w:firstLine="525" w:firstLineChars="250"/>
              <w:jc w:val="center"/>
              <w:rPr>
                <w:rFonts w:ascii="宋体" w:hAnsi="宋体" w:cs="宋体"/>
                <w:color w:val="000000"/>
                <w:szCs w:val="28"/>
              </w:rPr>
            </w:pPr>
          </w:p>
        </w:tc>
      </w:tr>
    </w:tbl>
    <w:p w14:paraId="1802B916">
      <w:pPr>
        <w:pStyle w:val="2"/>
        <w:spacing w:line="400" w:lineRule="exact"/>
        <w:ind w:firstLine="0"/>
        <w:rPr>
          <w:rFonts w:ascii="宋体" w:hAnsi="宋体" w:cs="宋体"/>
          <w:szCs w:val="21"/>
        </w:rPr>
      </w:pPr>
    </w:p>
    <w:p w14:paraId="032A6C84">
      <w:pPr>
        <w:keepNext w:val="0"/>
        <w:keepLines w:val="0"/>
        <w:pageBreakBefore w:val="0"/>
        <w:widowControl/>
        <w:kinsoku/>
        <w:wordWrap/>
        <w:overflowPunct/>
        <w:topLinePunct w:val="0"/>
        <w:autoSpaceDE/>
        <w:autoSpaceDN/>
        <w:bidi w:val="0"/>
        <w:adjustRightInd/>
        <w:spacing w:line="500" w:lineRule="exact"/>
        <w:ind w:right="0"/>
        <w:jc w:val="center"/>
        <w:textAlignment w:val="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投标人全称：（盖章）</w:t>
      </w:r>
    </w:p>
    <w:p w14:paraId="594E83A8">
      <w:pPr>
        <w:keepNext w:val="0"/>
        <w:keepLines w:val="0"/>
        <w:pageBreakBefore w:val="0"/>
        <w:widowControl/>
        <w:kinsoku/>
        <w:wordWrap/>
        <w:overflowPunct/>
        <w:topLinePunct w:val="0"/>
        <w:autoSpaceDE/>
        <w:autoSpaceDN/>
        <w:bidi w:val="0"/>
        <w:adjustRightInd/>
        <w:spacing w:line="500" w:lineRule="exact"/>
        <w:ind w:right="0"/>
        <w:jc w:val="center"/>
        <w:textAlignment w:val="auto"/>
        <w:rPr>
          <w:rFonts w:ascii="宋体" w:hAnsi="宋体" w:cs="宋体"/>
        </w:rPr>
      </w:pPr>
      <w:r>
        <w:rPr>
          <w:rFonts w:hint="eastAsia" w:ascii="宋体" w:hAnsi="宋体" w:cs="宋体"/>
        </w:rPr>
        <w:t xml:space="preserve">                                              授权代表：（签字）</w:t>
      </w:r>
    </w:p>
    <w:p w14:paraId="5C6E708A">
      <w:pPr>
        <w:keepNext w:val="0"/>
        <w:keepLines w:val="0"/>
        <w:pageBreakBefore w:val="0"/>
        <w:kinsoku/>
        <w:wordWrap/>
        <w:overflowPunct/>
        <w:topLinePunct w:val="0"/>
        <w:autoSpaceDE/>
        <w:autoSpaceDN/>
        <w:bidi w:val="0"/>
        <w:adjustRightInd/>
        <w:snapToGrid w:val="0"/>
        <w:spacing w:line="500" w:lineRule="exact"/>
        <w:ind w:right="0"/>
        <w:textAlignment w:val="auto"/>
        <w:rPr>
          <w:rFonts w:ascii="宋体" w:hAnsi="宋体" w:cs="宋体"/>
          <w:bCs/>
          <w:sz w:val="44"/>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期：   年   月   日</w:t>
      </w:r>
    </w:p>
    <w:p w14:paraId="02236185">
      <w:pPr>
        <w:spacing w:line="400" w:lineRule="exact"/>
        <w:rPr>
          <w:rFonts w:ascii="宋体" w:hAnsi="宋体" w:cs="宋体"/>
        </w:rPr>
      </w:pPr>
      <w:r>
        <w:rPr>
          <w:rFonts w:hint="eastAsia" w:ascii="宋体" w:hAnsi="宋体" w:cs="宋体"/>
        </w:rPr>
        <w:t xml:space="preserve">   </w:t>
      </w:r>
    </w:p>
    <w:p w14:paraId="69A9C000">
      <w:pPr>
        <w:spacing w:line="320" w:lineRule="exact"/>
        <w:rPr>
          <w:rFonts w:ascii="宋体" w:hAnsi="宋体" w:cs="宋体"/>
          <w:b/>
        </w:rPr>
      </w:pPr>
      <w:r>
        <w:rPr>
          <w:rFonts w:hint="eastAsia" w:ascii="宋体" w:hAnsi="宋体" w:cs="宋体"/>
          <w:b/>
        </w:rPr>
        <w:t>注：1、本表格仅提供了样表格式，投标人应根据实际情况自行编制；</w:t>
      </w:r>
    </w:p>
    <w:p w14:paraId="5D415769">
      <w:pPr>
        <w:numPr>
          <w:ilvl w:val="0"/>
          <w:numId w:val="0"/>
        </w:numPr>
        <w:spacing w:line="320" w:lineRule="exact"/>
        <w:rPr>
          <w:rFonts w:ascii="宋体" w:hAnsi="宋体" w:cs="宋体"/>
          <w:b/>
        </w:rPr>
      </w:pPr>
      <w:r>
        <w:rPr>
          <w:rFonts w:hint="eastAsia" w:ascii="宋体" w:hAnsi="宋体" w:cs="宋体"/>
          <w:b/>
          <w:kern w:val="2"/>
          <w:sz w:val="21"/>
          <w:szCs w:val="21"/>
          <w:lang w:val="en-US" w:eastAsia="zh-CN" w:bidi="ar-SA"/>
        </w:rPr>
        <w:t>2</w:t>
      </w:r>
      <w:r>
        <w:rPr>
          <w:rFonts w:ascii="宋体" w:hAnsi="宋体" w:eastAsia="宋体" w:cs="宋体"/>
          <w:b/>
          <w:kern w:val="2"/>
          <w:sz w:val="21"/>
          <w:szCs w:val="21"/>
          <w:lang w:val="en-US" w:eastAsia="zh-CN" w:bidi="ar-SA"/>
        </w:rPr>
        <w:t>、</w:t>
      </w:r>
      <w:r>
        <w:rPr>
          <w:rFonts w:hint="eastAsia" w:ascii="宋体" w:hAnsi="宋体" w:cs="宋体"/>
          <w:b/>
        </w:rPr>
        <w:t>最终合计金额必须包括实施本项目所需的一切费用</w:t>
      </w:r>
      <w:r>
        <w:rPr>
          <w:rFonts w:hint="eastAsia" w:ascii="宋体" w:hAnsi="宋体" w:cs="宋体"/>
          <w:b/>
          <w:lang w:eastAsia="zh-CN"/>
        </w:rPr>
        <w:t>（</w:t>
      </w:r>
      <w:r>
        <w:rPr>
          <w:rFonts w:hint="eastAsia" w:ascii="宋体" w:hAnsi="宋体" w:cs="宋体"/>
          <w:b/>
          <w:lang w:val="en-US" w:eastAsia="zh-CN"/>
        </w:rPr>
        <w:t>如有遗漏视为优惠</w:t>
      </w:r>
      <w:r>
        <w:rPr>
          <w:rFonts w:hint="eastAsia" w:ascii="宋体" w:hAnsi="宋体" w:cs="宋体"/>
          <w:b/>
          <w:lang w:eastAsia="zh-CN"/>
        </w:rPr>
        <w:t>）</w:t>
      </w:r>
      <w:r>
        <w:rPr>
          <w:rFonts w:hint="eastAsia" w:ascii="宋体" w:hAnsi="宋体" w:cs="宋体"/>
          <w:b/>
        </w:rPr>
        <w:t>，并与开标一览表中总价相一致。</w:t>
      </w:r>
    </w:p>
    <w:p w14:paraId="5D1CD2B1">
      <w:pPr>
        <w:snapToGrid w:val="0"/>
        <w:rPr>
          <w:rFonts w:ascii="宋体" w:hAnsi="宋体" w:cs="宋体"/>
          <w:b/>
          <w:u w:val="single"/>
        </w:rPr>
      </w:pPr>
    </w:p>
    <w:p w14:paraId="08EA1416">
      <w:pPr>
        <w:adjustRightInd w:val="0"/>
        <w:snapToGrid w:val="0"/>
        <w:jc w:val="center"/>
        <w:rPr>
          <w:rFonts w:ascii="宋体" w:hAnsi="宋体" w:cs="宋体"/>
          <w:b/>
          <w:sz w:val="44"/>
          <w:szCs w:val="44"/>
        </w:rPr>
      </w:pPr>
    </w:p>
    <w:p w14:paraId="6F573CB7">
      <w:pPr>
        <w:adjustRightInd w:val="0"/>
        <w:snapToGrid w:val="0"/>
        <w:jc w:val="center"/>
        <w:rPr>
          <w:rFonts w:ascii="宋体" w:hAnsi="宋体" w:cs="宋体"/>
          <w:b/>
          <w:sz w:val="44"/>
          <w:szCs w:val="44"/>
        </w:rPr>
      </w:pPr>
    </w:p>
    <w:p w14:paraId="775E3A7C">
      <w:pPr>
        <w:adjustRightInd w:val="0"/>
        <w:snapToGrid w:val="0"/>
        <w:jc w:val="center"/>
        <w:rPr>
          <w:rFonts w:ascii="宋体" w:hAnsi="宋体" w:cs="宋体"/>
          <w:b/>
          <w:sz w:val="44"/>
          <w:szCs w:val="44"/>
        </w:rPr>
      </w:pPr>
    </w:p>
    <w:p w14:paraId="06FB3C42">
      <w:pPr>
        <w:jc w:val="center"/>
        <w:rPr>
          <w:rFonts w:ascii="宋体" w:hAnsi="宋体" w:cs="宋体"/>
          <w:b/>
          <w:sz w:val="44"/>
          <w:szCs w:val="44"/>
        </w:rPr>
      </w:pPr>
      <w:r>
        <w:rPr>
          <w:rFonts w:hint="eastAsia" w:ascii="宋体" w:hAnsi="宋体" w:cs="宋体"/>
          <w:b/>
          <w:sz w:val="44"/>
          <w:szCs w:val="44"/>
        </w:rPr>
        <w:t>五、其他文书、文件格式</w:t>
      </w:r>
    </w:p>
    <w:p w14:paraId="20085448">
      <w:pPr>
        <w:rPr>
          <w:rFonts w:ascii="宋体" w:hAnsi="宋体" w:cs="宋体"/>
        </w:rPr>
      </w:pPr>
    </w:p>
    <w:p w14:paraId="100AC5BE">
      <w:pPr>
        <w:rPr>
          <w:rFonts w:ascii="宋体" w:hAnsi="宋体" w:cs="宋体"/>
        </w:rPr>
      </w:pPr>
      <w:r>
        <w:rPr>
          <w:rFonts w:hint="eastAsia" w:ascii="宋体" w:hAnsi="宋体" w:cs="宋体"/>
        </w:rPr>
        <w:t>评分表格式（评分内容参见第四章）</w:t>
      </w:r>
    </w:p>
    <w:p w14:paraId="552D9916">
      <w:pPr>
        <w:jc w:val="center"/>
        <w:rPr>
          <w:rFonts w:ascii="宋体" w:hAnsi="宋体" w:cs="宋体"/>
          <w:sz w:val="32"/>
          <w:szCs w:val="32"/>
        </w:rPr>
      </w:pPr>
      <w:r>
        <w:rPr>
          <w:rFonts w:hint="eastAsia" w:ascii="宋体" w:hAnsi="宋体" w:cs="宋体"/>
          <w:sz w:val="32"/>
          <w:szCs w:val="32"/>
        </w:rPr>
        <w:t>采购项目评分表</w:t>
      </w:r>
    </w:p>
    <w:p w14:paraId="144CEADF">
      <w:pPr>
        <w:spacing w:line="440" w:lineRule="exact"/>
        <w:rPr>
          <w:rFonts w:ascii="宋体" w:hAnsi="宋体" w:cs="宋体"/>
        </w:rPr>
      </w:pPr>
      <w:r>
        <w:rPr>
          <w:rFonts w:hint="eastAsia" w:ascii="宋体" w:hAnsi="宋体" w:cs="宋体"/>
        </w:rPr>
        <w:t xml:space="preserve">投标人名称： </w:t>
      </w:r>
    </w:p>
    <w:p w14:paraId="7C614D15">
      <w:pPr>
        <w:rPr>
          <w:rFonts w:ascii="宋体" w:hAnsi="宋体" w:cs="宋体"/>
        </w:rPr>
      </w:pPr>
      <w:r>
        <w:rPr>
          <w:rFonts w:hint="eastAsia" w:ascii="宋体" w:hAnsi="宋体" w:cs="宋体"/>
        </w:rPr>
        <w:t xml:space="preserve">项目编号：  </w:t>
      </w:r>
    </w:p>
    <w:tbl>
      <w:tblPr>
        <w:tblStyle w:val="18"/>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49"/>
        <w:gridCol w:w="994"/>
        <w:gridCol w:w="991"/>
        <w:gridCol w:w="1004"/>
        <w:gridCol w:w="1018"/>
        <w:gridCol w:w="1056"/>
        <w:gridCol w:w="1005"/>
      </w:tblGrid>
      <w:tr w14:paraId="6010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62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614C88F">
            <w:pPr>
              <w:ind w:firstLine="420" w:firstLineChars="200"/>
              <w:rPr>
                <w:rFonts w:ascii="宋体" w:hAnsi="宋体" w:cs="宋体"/>
              </w:rPr>
            </w:pPr>
            <w:r>
              <w:rPr>
                <w:rFonts w:hint="eastAsia" w:ascii="宋体" w:hAnsi="宋体" w:cs="宋体"/>
              </w:rPr>
              <w:t>评标内容及分值</w:t>
            </w:r>
          </w:p>
        </w:tc>
        <w:tc>
          <w:tcPr>
            <w:tcW w:w="2989" w:type="dxa"/>
            <w:gridSpan w:val="3"/>
            <w:tcBorders>
              <w:top w:val="single" w:color="auto" w:sz="4" w:space="0"/>
              <w:left w:val="single" w:color="auto" w:sz="4" w:space="0"/>
              <w:bottom w:val="single" w:color="auto" w:sz="4" w:space="0"/>
              <w:right w:val="single" w:color="auto" w:sz="4" w:space="0"/>
            </w:tcBorders>
            <w:noWrap/>
            <w:vAlign w:val="center"/>
          </w:tcPr>
          <w:p w14:paraId="3575E666">
            <w:pPr>
              <w:ind w:firstLine="420" w:firstLineChars="200"/>
              <w:rPr>
                <w:rFonts w:ascii="宋体" w:hAnsi="宋体" w:cs="宋体"/>
              </w:rPr>
            </w:pPr>
            <w:r>
              <w:rPr>
                <w:rFonts w:hint="eastAsia" w:ascii="宋体" w:hAnsi="宋体" w:cs="宋体"/>
              </w:rPr>
              <w:t>投标人自评栏</w:t>
            </w:r>
          </w:p>
        </w:tc>
        <w:tc>
          <w:tcPr>
            <w:tcW w:w="3079" w:type="dxa"/>
            <w:gridSpan w:val="3"/>
            <w:tcBorders>
              <w:top w:val="single" w:color="auto" w:sz="4" w:space="0"/>
              <w:left w:val="single" w:color="auto" w:sz="4" w:space="0"/>
              <w:bottom w:val="single" w:color="auto" w:sz="4" w:space="0"/>
              <w:right w:val="single" w:color="auto" w:sz="4" w:space="0"/>
            </w:tcBorders>
            <w:noWrap/>
            <w:vAlign w:val="center"/>
          </w:tcPr>
          <w:p w14:paraId="4549D3D5">
            <w:pPr>
              <w:ind w:firstLine="420" w:firstLineChars="200"/>
              <w:rPr>
                <w:rFonts w:ascii="宋体" w:hAnsi="宋体" w:cs="宋体"/>
              </w:rPr>
            </w:pPr>
            <w:r>
              <w:rPr>
                <w:rFonts w:hint="eastAsia" w:ascii="宋体" w:hAnsi="宋体" w:cs="宋体"/>
              </w:rPr>
              <w:t>专家评定栏</w:t>
            </w:r>
          </w:p>
        </w:tc>
      </w:tr>
      <w:tr w14:paraId="7AB6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62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7868A10">
            <w:pPr>
              <w:ind w:firstLine="420" w:firstLineChars="200"/>
              <w:rPr>
                <w:rFonts w:ascii="宋体" w:hAnsi="宋体" w:cs="宋体"/>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1E5E8112">
            <w:pPr>
              <w:rPr>
                <w:rFonts w:ascii="宋体" w:hAnsi="宋体" w:cs="宋体"/>
              </w:rPr>
            </w:pPr>
            <w:r>
              <w:rPr>
                <w:rFonts w:hint="eastAsia" w:ascii="宋体" w:hAnsi="宋体" w:cs="宋体"/>
              </w:rPr>
              <w:t>响应</w:t>
            </w:r>
          </w:p>
          <w:p w14:paraId="46F2204A">
            <w:pPr>
              <w:rPr>
                <w:rFonts w:ascii="宋体" w:hAnsi="宋体" w:cs="宋体"/>
              </w:rPr>
            </w:pPr>
            <w:r>
              <w:rPr>
                <w:rFonts w:hint="eastAsia" w:ascii="宋体" w:hAnsi="宋体" w:cs="宋体"/>
              </w:rPr>
              <w:t>程度</w:t>
            </w:r>
          </w:p>
        </w:tc>
        <w:tc>
          <w:tcPr>
            <w:tcW w:w="991" w:type="dxa"/>
            <w:tcBorders>
              <w:top w:val="single" w:color="auto" w:sz="4" w:space="0"/>
              <w:left w:val="single" w:color="auto" w:sz="4" w:space="0"/>
              <w:bottom w:val="single" w:color="auto" w:sz="4" w:space="0"/>
              <w:right w:val="single" w:color="auto" w:sz="4" w:space="0"/>
            </w:tcBorders>
            <w:noWrap/>
            <w:vAlign w:val="center"/>
          </w:tcPr>
          <w:p w14:paraId="2D5EF23E">
            <w:pPr>
              <w:rPr>
                <w:rFonts w:ascii="宋体" w:hAnsi="宋体" w:cs="宋体"/>
              </w:rPr>
            </w:pPr>
            <w:r>
              <w:rPr>
                <w:rFonts w:hint="eastAsia" w:ascii="宋体" w:hAnsi="宋体" w:cs="宋体"/>
              </w:rPr>
              <w:t>响应文件页码</w:t>
            </w:r>
          </w:p>
        </w:tc>
        <w:tc>
          <w:tcPr>
            <w:tcW w:w="1004" w:type="dxa"/>
            <w:tcBorders>
              <w:top w:val="single" w:color="auto" w:sz="4" w:space="0"/>
              <w:left w:val="single" w:color="auto" w:sz="4" w:space="0"/>
              <w:bottom w:val="single" w:color="auto" w:sz="4" w:space="0"/>
              <w:right w:val="single" w:color="auto" w:sz="4" w:space="0"/>
            </w:tcBorders>
            <w:noWrap/>
            <w:vAlign w:val="center"/>
          </w:tcPr>
          <w:p w14:paraId="382157E3">
            <w:pPr>
              <w:rPr>
                <w:rFonts w:ascii="宋体" w:hAnsi="宋体" w:cs="宋体"/>
              </w:rPr>
            </w:pPr>
            <w:r>
              <w:rPr>
                <w:rFonts w:hint="eastAsia" w:ascii="宋体" w:hAnsi="宋体" w:cs="宋体"/>
              </w:rPr>
              <w:t>自评分</w:t>
            </w:r>
          </w:p>
        </w:tc>
        <w:tc>
          <w:tcPr>
            <w:tcW w:w="1018" w:type="dxa"/>
            <w:tcBorders>
              <w:top w:val="single" w:color="auto" w:sz="4" w:space="0"/>
              <w:left w:val="single" w:color="auto" w:sz="4" w:space="0"/>
              <w:bottom w:val="single" w:color="auto" w:sz="4" w:space="0"/>
              <w:right w:val="single" w:color="auto" w:sz="4" w:space="0"/>
            </w:tcBorders>
            <w:noWrap/>
            <w:vAlign w:val="center"/>
          </w:tcPr>
          <w:p w14:paraId="26588B1F">
            <w:pPr>
              <w:rPr>
                <w:rFonts w:ascii="宋体" w:hAnsi="宋体" w:cs="宋体"/>
              </w:rPr>
            </w:pPr>
            <w:r>
              <w:rPr>
                <w:rFonts w:hint="eastAsia" w:ascii="宋体" w:hAnsi="宋体" w:cs="宋体"/>
              </w:rPr>
              <w:t>专家</w:t>
            </w:r>
          </w:p>
          <w:p w14:paraId="510DFC48">
            <w:pPr>
              <w:rPr>
                <w:rFonts w:ascii="宋体" w:hAnsi="宋体" w:cs="宋体"/>
              </w:rPr>
            </w:pPr>
            <w:r>
              <w:rPr>
                <w:rFonts w:hint="eastAsia" w:ascii="宋体" w:hAnsi="宋体" w:cs="宋体"/>
              </w:rPr>
              <w:t>评定分</w:t>
            </w:r>
          </w:p>
        </w:tc>
        <w:tc>
          <w:tcPr>
            <w:tcW w:w="1056" w:type="dxa"/>
            <w:tcBorders>
              <w:top w:val="single" w:color="auto" w:sz="4" w:space="0"/>
              <w:left w:val="single" w:color="auto" w:sz="4" w:space="0"/>
              <w:bottom w:val="single" w:color="auto" w:sz="4" w:space="0"/>
              <w:right w:val="single" w:color="auto" w:sz="4" w:space="0"/>
            </w:tcBorders>
            <w:noWrap/>
            <w:vAlign w:val="center"/>
          </w:tcPr>
          <w:p w14:paraId="3AD6D6C0">
            <w:pPr>
              <w:rPr>
                <w:rFonts w:ascii="宋体" w:hAnsi="宋体" w:cs="宋体"/>
              </w:rPr>
            </w:pPr>
            <w:r>
              <w:rPr>
                <w:rFonts w:hint="eastAsia" w:ascii="宋体" w:hAnsi="宋体" w:cs="宋体"/>
              </w:rPr>
              <w:t>偏离</w:t>
            </w:r>
          </w:p>
          <w:p w14:paraId="56FE53E9">
            <w:pPr>
              <w:rPr>
                <w:rFonts w:ascii="宋体" w:hAnsi="宋体" w:cs="宋体"/>
              </w:rPr>
            </w:pPr>
            <w:r>
              <w:rPr>
                <w:rFonts w:hint="eastAsia" w:ascii="宋体" w:hAnsi="宋体" w:cs="宋体"/>
              </w:rPr>
              <w:t>情况</w:t>
            </w:r>
          </w:p>
        </w:tc>
        <w:tc>
          <w:tcPr>
            <w:tcW w:w="1005" w:type="dxa"/>
            <w:tcBorders>
              <w:top w:val="single" w:color="auto" w:sz="4" w:space="0"/>
              <w:left w:val="single" w:color="auto" w:sz="4" w:space="0"/>
              <w:bottom w:val="single" w:color="auto" w:sz="4" w:space="0"/>
              <w:right w:val="single" w:color="auto" w:sz="4" w:space="0"/>
            </w:tcBorders>
            <w:noWrap/>
            <w:vAlign w:val="center"/>
          </w:tcPr>
          <w:p w14:paraId="237F71C4">
            <w:pPr>
              <w:rPr>
                <w:rFonts w:ascii="宋体" w:hAnsi="宋体" w:cs="宋体"/>
              </w:rPr>
            </w:pPr>
            <w:r>
              <w:rPr>
                <w:rFonts w:hint="eastAsia" w:ascii="宋体" w:hAnsi="宋体" w:cs="宋体"/>
              </w:rPr>
              <w:t>扣分</w:t>
            </w:r>
          </w:p>
          <w:p w14:paraId="3B26A7B3">
            <w:pPr>
              <w:rPr>
                <w:rFonts w:ascii="宋体" w:hAnsi="宋体" w:cs="宋体"/>
              </w:rPr>
            </w:pPr>
            <w:r>
              <w:rPr>
                <w:rFonts w:hint="eastAsia" w:ascii="宋体" w:hAnsi="宋体" w:cs="宋体"/>
              </w:rPr>
              <w:t>理由</w:t>
            </w:r>
          </w:p>
        </w:tc>
      </w:tr>
      <w:tr w14:paraId="77F8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14:paraId="38448801">
            <w:pPr>
              <w:ind w:firstLine="420" w:firstLineChars="200"/>
              <w:rPr>
                <w:rFonts w:ascii="宋体" w:hAnsi="宋体" w:cs="宋体"/>
              </w:rPr>
            </w:pPr>
            <w:r>
              <w:rPr>
                <w:rFonts w:hint="eastAsia" w:ascii="宋体" w:hAnsi="宋体" w:cs="宋体"/>
              </w:rPr>
              <w:t>价格分（    分）</w:t>
            </w:r>
          </w:p>
        </w:tc>
        <w:tc>
          <w:tcPr>
            <w:tcW w:w="99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5E92FC6A">
            <w:pPr>
              <w:ind w:firstLine="420" w:firstLineChars="200"/>
              <w:rPr>
                <w:rFonts w:ascii="宋体" w:hAnsi="宋体" w:cs="宋体"/>
              </w:rPr>
            </w:pPr>
          </w:p>
        </w:tc>
        <w:tc>
          <w:tcPr>
            <w:tcW w:w="991"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A8996EE">
            <w:pPr>
              <w:ind w:firstLine="420" w:firstLineChars="200"/>
              <w:rPr>
                <w:rFonts w:ascii="宋体" w:hAnsi="宋体" w:cs="宋体"/>
              </w:rPr>
            </w:pPr>
          </w:p>
        </w:tc>
        <w:tc>
          <w:tcPr>
            <w:tcW w:w="100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5AB70F09">
            <w:pPr>
              <w:ind w:firstLine="420" w:firstLineChars="200"/>
              <w:rPr>
                <w:rFonts w:ascii="宋体" w:hAnsi="宋体" w:cs="宋体"/>
              </w:rPr>
            </w:pPr>
          </w:p>
        </w:tc>
        <w:tc>
          <w:tcPr>
            <w:tcW w:w="1018" w:type="dxa"/>
            <w:tcBorders>
              <w:top w:val="single" w:color="auto" w:sz="4" w:space="0"/>
              <w:left w:val="single" w:color="auto" w:sz="4" w:space="0"/>
              <w:bottom w:val="single" w:color="auto" w:sz="4" w:space="0"/>
              <w:right w:val="single" w:color="auto" w:sz="4" w:space="0"/>
            </w:tcBorders>
            <w:noWrap/>
            <w:vAlign w:val="center"/>
          </w:tcPr>
          <w:p w14:paraId="0D45BAF5">
            <w:pPr>
              <w:ind w:firstLine="420" w:firstLineChars="200"/>
              <w:rPr>
                <w:rFonts w:ascii="宋体" w:hAnsi="宋体" w:cs="宋体"/>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1EAB071F">
            <w:pPr>
              <w:ind w:firstLine="420" w:firstLineChars="200"/>
              <w:rPr>
                <w:rFonts w:ascii="宋体" w:hAnsi="宋体" w:cs="宋体"/>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B945FD0">
            <w:pPr>
              <w:ind w:firstLine="420" w:firstLineChars="200"/>
              <w:rPr>
                <w:rFonts w:ascii="宋体" w:hAnsi="宋体" w:cs="宋体"/>
              </w:rPr>
            </w:pPr>
          </w:p>
        </w:tc>
      </w:tr>
      <w:tr w14:paraId="1535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1" w:type="dxa"/>
            <w:vMerge w:val="restart"/>
            <w:tcBorders>
              <w:top w:val="single" w:color="auto" w:sz="4" w:space="0"/>
              <w:left w:val="single" w:color="auto" w:sz="4" w:space="0"/>
              <w:right w:val="single" w:color="auto" w:sz="4" w:space="0"/>
            </w:tcBorders>
            <w:noWrap/>
            <w:vAlign w:val="center"/>
          </w:tcPr>
          <w:p w14:paraId="5C02CCB3">
            <w:pPr>
              <w:jc w:val="center"/>
              <w:rPr>
                <w:rFonts w:ascii="宋体" w:hAnsi="宋体" w:cs="宋体"/>
              </w:rPr>
            </w:pPr>
          </w:p>
        </w:tc>
        <w:tc>
          <w:tcPr>
            <w:tcW w:w="2849" w:type="dxa"/>
            <w:tcBorders>
              <w:top w:val="single" w:color="auto" w:sz="4" w:space="0"/>
              <w:left w:val="single" w:color="auto" w:sz="4" w:space="0"/>
              <w:bottom w:val="single" w:color="auto" w:sz="4" w:space="0"/>
              <w:right w:val="single" w:color="auto" w:sz="4" w:space="0"/>
            </w:tcBorders>
            <w:noWrap/>
            <w:vAlign w:val="center"/>
          </w:tcPr>
          <w:p w14:paraId="528A040F">
            <w:pPr>
              <w:ind w:left="16" w:hanging="16"/>
              <w:rPr>
                <w:rFonts w:ascii="宋体" w:hAnsi="宋体" w:cs="宋体"/>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219B2258">
            <w:pPr>
              <w:ind w:firstLine="420" w:firstLineChars="20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51AA0FCE">
            <w:pPr>
              <w:ind w:firstLine="420" w:firstLineChars="200"/>
              <w:rPr>
                <w:rFonts w:ascii="宋体" w:hAnsi="宋体" w:cs="宋体"/>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58A0FF2">
            <w:pPr>
              <w:ind w:firstLine="420" w:firstLineChars="200"/>
              <w:rPr>
                <w:rFonts w:ascii="宋体" w:hAnsi="宋体" w:cs="宋体"/>
              </w:rPr>
            </w:pPr>
          </w:p>
        </w:tc>
        <w:tc>
          <w:tcPr>
            <w:tcW w:w="1018" w:type="dxa"/>
            <w:tcBorders>
              <w:top w:val="single" w:color="auto" w:sz="4" w:space="0"/>
              <w:left w:val="single" w:color="auto" w:sz="4" w:space="0"/>
              <w:bottom w:val="single" w:color="auto" w:sz="4" w:space="0"/>
              <w:right w:val="single" w:color="auto" w:sz="4" w:space="0"/>
            </w:tcBorders>
            <w:noWrap/>
            <w:vAlign w:val="center"/>
          </w:tcPr>
          <w:p w14:paraId="35219B7D">
            <w:pPr>
              <w:ind w:firstLine="420" w:firstLineChars="200"/>
              <w:rPr>
                <w:rFonts w:ascii="宋体" w:hAnsi="宋体" w:cs="宋体"/>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4D6B09FC">
            <w:pPr>
              <w:ind w:firstLine="420" w:firstLineChars="200"/>
              <w:rPr>
                <w:rFonts w:ascii="宋体" w:hAnsi="宋体" w:cs="宋体"/>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6725E53E">
            <w:pPr>
              <w:ind w:firstLine="420" w:firstLineChars="200"/>
              <w:rPr>
                <w:rFonts w:ascii="宋体" w:hAnsi="宋体" w:cs="宋体"/>
              </w:rPr>
            </w:pPr>
          </w:p>
        </w:tc>
      </w:tr>
      <w:tr w14:paraId="0B5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71" w:type="dxa"/>
            <w:vMerge w:val="continue"/>
            <w:tcBorders>
              <w:left w:val="single" w:color="auto" w:sz="4" w:space="0"/>
              <w:right w:val="single" w:color="auto" w:sz="4" w:space="0"/>
            </w:tcBorders>
            <w:noWrap/>
            <w:vAlign w:val="center"/>
          </w:tcPr>
          <w:p w14:paraId="4CC12091">
            <w:pPr>
              <w:ind w:firstLine="420" w:firstLineChars="200"/>
              <w:rPr>
                <w:rFonts w:ascii="宋体" w:hAnsi="宋体" w:cs="宋体"/>
              </w:rPr>
            </w:pPr>
          </w:p>
        </w:tc>
        <w:tc>
          <w:tcPr>
            <w:tcW w:w="2849" w:type="dxa"/>
            <w:tcBorders>
              <w:top w:val="single" w:color="auto" w:sz="4" w:space="0"/>
              <w:left w:val="single" w:color="auto" w:sz="4" w:space="0"/>
              <w:bottom w:val="single" w:color="auto" w:sz="4" w:space="0"/>
              <w:right w:val="single" w:color="auto" w:sz="4" w:space="0"/>
            </w:tcBorders>
            <w:noWrap/>
            <w:vAlign w:val="center"/>
          </w:tcPr>
          <w:p w14:paraId="5C21DB99">
            <w:pPr>
              <w:adjustRightInd w:val="0"/>
              <w:spacing w:before="156" w:beforeLines="50" w:after="156" w:afterLines="50"/>
              <w:textAlignment w:val="baseline"/>
              <w:rPr>
                <w:rFonts w:ascii="宋体" w:hAnsi="宋体" w:cs="宋体"/>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2F18932C">
            <w:pPr>
              <w:ind w:firstLine="420" w:firstLineChars="20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07A9B190">
            <w:pPr>
              <w:ind w:firstLine="420" w:firstLineChars="200"/>
              <w:rPr>
                <w:rFonts w:ascii="宋体" w:hAnsi="宋体" w:cs="宋体"/>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946081C">
            <w:pPr>
              <w:ind w:firstLine="420" w:firstLineChars="200"/>
              <w:rPr>
                <w:rFonts w:ascii="宋体" w:hAnsi="宋体" w:cs="宋体"/>
              </w:rPr>
            </w:pPr>
          </w:p>
        </w:tc>
        <w:tc>
          <w:tcPr>
            <w:tcW w:w="1018" w:type="dxa"/>
            <w:tcBorders>
              <w:top w:val="single" w:color="auto" w:sz="4" w:space="0"/>
              <w:left w:val="single" w:color="auto" w:sz="4" w:space="0"/>
              <w:bottom w:val="single" w:color="auto" w:sz="4" w:space="0"/>
              <w:right w:val="single" w:color="auto" w:sz="4" w:space="0"/>
            </w:tcBorders>
            <w:noWrap/>
            <w:vAlign w:val="center"/>
          </w:tcPr>
          <w:p w14:paraId="31BE1779">
            <w:pPr>
              <w:ind w:firstLine="420" w:firstLineChars="200"/>
              <w:rPr>
                <w:rFonts w:ascii="宋体" w:hAnsi="宋体" w:cs="宋体"/>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0346E9C8">
            <w:pPr>
              <w:ind w:firstLine="420" w:firstLineChars="200"/>
              <w:rPr>
                <w:rFonts w:ascii="宋体" w:hAnsi="宋体" w:cs="宋体"/>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41C6F8C8">
            <w:pPr>
              <w:ind w:firstLine="420" w:firstLineChars="200"/>
              <w:rPr>
                <w:rFonts w:ascii="宋体" w:hAnsi="宋体" w:cs="宋体"/>
              </w:rPr>
            </w:pPr>
          </w:p>
        </w:tc>
      </w:tr>
      <w:tr w14:paraId="4B39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71" w:type="dxa"/>
            <w:vMerge w:val="continue"/>
            <w:tcBorders>
              <w:left w:val="single" w:color="auto" w:sz="4" w:space="0"/>
              <w:right w:val="single" w:color="auto" w:sz="4" w:space="0"/>
            </w:tcBorders>
            <w:noWrap/>
            <w:vAlign w:val="center"/>
          </w:tcPr>
          <w:p w14:paraId="248574FF">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23465E34">
            <w:pPr>
              <w:adjustRightInd w:val="0"/>
              <w:spacing w:before="156" w:beforeLines="50" w:after="156" w:afterLines="50"/>
              <w:textAlignment w:val="baseline"/>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68152B55">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1685FFCA">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3E8437BC">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728F6990">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0F819960">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04452FDE">
            <w:pPr>
              <w:ind w:firstLine="420" w:firstLineChars="200"/>
              <w:rPr>
                <w:rFonts w:ascii="宋体" w:hAnsi="宋体" w:cs="宋体"/>
              </w:rPr>
            </w:pPr>
          </w:p>
        </w:tc>
      </w:tr>
      <w:tr w14:paraId="31B5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71" w:type="dxa"/>
            <w:vMerge w:val="restart"/>
            <w:tcBorders>
              <w:left w:val="single" w:color="auto" w:sz="4" w:space="0"/>
              <w:right w:val="single" w:color="auto" w:sz="4" w:space="0"/>
            </w:tcBorders>
            <w:noWrap/>
            <w:vAlign w:val="center"/>
          </w:tcPr>
          <w:p w14:paraId="6ED675B0">
            <w:pPr>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3C712E5F">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72136D5B">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5F9169BB">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0623A8B0">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11C630F6">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2676A92E">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7EFAF5F9">
            <w:pPr>
              <w:ind w:firstLine="420" w:firstLineChars="200"/>
              <w:rPr>
                <w:rFonts w:ascii="宋体" w:hAnsi="宋体" w:cs="宋体"/>
              </w:rPr>
            </w:pPr>
          </w:p>
        </w:tc>
      </w:tr>
      <w:tr w14:paraId="06CB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71" w:type="dxa"/>
            <w:vMerge w:val="continue"/>
            <w:tcBorders>
              <w:left w:val="single" w:color="auto" w:sz="4" w:space="0"/>
              <w:right w:val="single" w:color="auto" w:sz="4" w:space="0"/>
            </w:tcBorders>
            <w:noWrap/>
            <w:vAlign w:val="center"/>
          </w:tcPr>
          <w:p w14:paraId="34CB3E2F">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3236DC6F">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35B78092">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2535D8FF">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10F2837B">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026B32B4">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0845E269">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000EE189">
            <w:pPr>
              <w:ind w:firstLine="420" w:firstLineChars="200"/>
              <w:rPr>
                <w:rFonts w:ascii="宋体" w:hAnsi="宋体" w:cs="宋体"/>
              </w:rPr>
            </w:pPr>
          </w:p>
        </w:tc>
      </w:tr>
      <w:tr w14:paraId="0F8B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14:paraId="60934B5F">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7D350CD6">
            <w:pPr>
              <w:adjustRightInd w:val="0"/>
              <w:spacing w:before="156" w:beforeLines="50" w:after="156" w:afterLines="50"/>
              <w:jc w:val="center"/>
              <w:textAlignment w:val="baseline"/>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5A3DBA4E">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20818F6E">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38039C40">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51B74709">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04F392C3">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5DB40601">
            <w:pPr>
              <w:ind w:firstLine="420" w:firstLineChars="200"/>
              <w:rPr>
                <w:rFonts w:ascii="宋体" w:hAnsi="宋体" w:cs="宋体"/>
              </w:rPr>
            </w:pPr>
          </w:p>
        </w:tc>
      </w:tr>
      <w:tr w14:paraId="5DE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14:paraId="1FF8E530">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5A311CD6">
            <w:pPr>
              <w:adjustRightInd w:val="0"/>
              <w:spacing w:before="156" w:beforeLines="50" w:after="156" w:afterLines="50"/>
              <w:jc w:val="center"/>
              <w:textAlignment w:val="baseline"/>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2FC62B6E">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3B200D0E">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231EF5A0">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3801D3B1">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16251F68">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2C58B5F7">
            <w:pPr>
              <w:ind w:firstLine="420" w:firstLineChars="200"/>
              <w:rPr>
                <w:rFonts w:ascii="宋体" w:hAnsi="宋体" w:cs="宋体"/>
              </w:rPr>
            </w:pPr>
          </w:p>
        </w:tc>
      </w:tr>
      <w:tr w14:paraId="013F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71" w:type="dxa"/>
            <w:vMerge w:val="restart"/>
            <w:tcBorders>
              <w:top w:val="single" w:color="auto" w:sz="4" w:space="0"/>
              <w:left w:val="single" w:color="auto" w:sz="4" w:space="0"/>
              <w:right w:val="single" w:color="auto" w:sz="4" w:space="0"/>
            </w:tcBorders>
            <w:noWrap/>
            <w:vAlign w:val="center"/>
          </w:tcPr>
          <w:p w14:paraId="3FAEC7E9">
            <w:pPr>
              <w:jc w:val="center"/>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70F7F8A9">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2BEA4EB9">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02786C7D">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347ECB0B">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235A8E33">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51E07229">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63C49702">
            <w:pPr>
              <w:ind w:firstLine="420" w:firstLineChars="200"/>
              <w:rPr>
                <w:rFonts w:ascii="宋体" w:hAnsi="宋体" w:cs="宋体"/>
              </w:rPr>
            </w:pPr>
          </w:p>
        </w:tc>
      </w:tr>
      <w:tr w14:paraId="5A3B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Merge w:val="continue"/>
            <w:tcBorders>
              <w:left w:val="single" w:color="auto" w:sz="4" w:space="0"/>
              <w:right w:val="single" w:color="auto" w:sz="4" w:space="0"/>
            </w:tcBorders>
            <w:noWrap/>
            <w:vAlign w:val="center"/>
          </w:tcPr>
          <w:p w14:paraId="5089A2CB">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1CE63897">
            <w:pPr>
              <w:adjustRightInd w:val="0"/>
              <w:spacing w:before="156" w:beforeLines="50" w:after="156" w:afterLines="50"/>
              <w:jc w:val="center"/>
              <w:textAlignment w:val="baseline"/>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758213F8">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02FDF4FB">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547F6662">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34C8F61D">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7D13C83A">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66B8287A">
            <w:pPr>
              <w:ind w:firstLine="420" w:firstLineChars="200"/>
              <w:rPr>
                <w:rFonts w:ascii="宋体" w:hAnsi="宋体" w:cs="宋体"/>
              </w:rPr>
            </w:pPr>
          </w:p>
        </w:tc>
      </w:tr>
      <w:tr w14:paraId="144F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continue"/>
            <w:tcBorders>
              <w:left w:val="single" w:color="auto" w:sz="4" w:space="0"/>
              <w:right w:val="single" w:color="auto" w:sz="4" w:space="0"/>
            </w:tcBorders>
            <w:noWrap/>
            <w:vAlign w:val="center"/>
          </w:tcPr>
          <w:p w14:paraId="32C3ED84">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4A9DEEAD">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68EB3CAC">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48DE933D">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5CBA32E0">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44BD3776">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1B19E42D">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26E76A0D">
            <w:pPr>
              <w:ind w:firstLine="420" w:firstLineChars="200"/>
              <w:rPr>
                <w:rFonts w:ascii="宋体" w:hAnsi="宋体" w:cs="宋体"/>
              </w:rPr>
            </w:pPr>
          </w:p>
        </w:tc>
      </w:tr>
      <w:tr w14:paraId="634D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restart"/>
            <w:tcBorders>
              <w:left w:val="single" w:color="auto" w:sz="4" w:space="0"/>
              <w:right w:val="single" w:color="auto" w:sz="4" w:space="0"/>
            </w:tcBorders>
            <w:noWrap/>
            <w:vAlign w:val="center"/>
          </w:tcPr>
          <w:p w14:paraId="31D6F166">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2B64D7C6">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6F270731">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1F4EA7B6">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1A5ED4AA">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44E0323D">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226AEA72">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5D29BFE1">
            <w:pPr>
              <w:ind w:firstLine="420" w:firstLineChars="200"/>
              <w:rPr>
                <w:rFonts w:ascii="宋体" w:hAnsi="宋体" w:cs="宋体"/>
              </w:rPr>
            </w:pPr>
          </w:p>
        </w:tc>
      </w:tr>
      <w:tr w14:paraId="1F79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1" w:type="dxa"/>
            <w:vMerge w:val="continue"/>
            <w:tcBorders>
              <w:left w:val="single" w:color="auto" w:sz="4" w:space="0"/>
              <w:right w:val="single" w:color="auto" w:sz="4" w:space="0"/>
            </w:tcBorders>
            <w:noWrap/>
            <w:vAlign w:val="center"/>
          </w:tcPr>
          <w:p w14:paraId="7D1168A8">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7B6CB32E">
            <w:pP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07B21DB6">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7FC97D14">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2954F526">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16A43932">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31C0CBED">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55B2EC73">
            <w:pPr>
              <w:ind w:firstLine="420" w:firstLineChars="200"/>
              <w:rPr>
                <w:rFonts w:ascii="宋体" w:hAnsi="宋体" w:cs="宋体"/>
              </w:rPr>
            </w:pPr>
          </w:p>
        </w:tc>
      </w:tr>
      <w:tr w14:paraId="0B86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1" w:type="dxa"/>
            <w:vMerge w:val="continue"/>
            <w:tcBorders>
              <w:left w:val="single" w:color="auto" w:sz="4" w:space="0"/>
              <w:right w:val="single" w:color="auto" w:sz="4" w:space="0"/>
            </w:tcBorders>
            <w:noWrap/>
            <w:vAlign w:val="center"/>
          </w:tcPr>
          <w:p w14:paraId="2D120BEE">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4A37C8A5">
            <w:pPr>
              <w:jc w:val="center"/>
              <w:rPr>
                <w:rFonts w:ascii="宋体" w:hAnsi="宋体" w:cs="宋体"/>
              </w:rPr>
            </w:pPr>
          </w:p>
        </w:tc>
        <w:tc>
          <w:tcPr>
            <w:tcW w:w="994" w:type="dxa"/>
            <w:tcBorders>
              <w:top w:val="single" w:color="auto" w:sz="4" w:space="0"/>
              <w:left w:val="single" w:color="auto" w:sz="4" w:space="0"/>
              <w:right w:val="single" w:color="auto" w:sz="4" w:space="0"/>
            </w:tcBorders>
            <w:noWrap/>
            <w:vAlign w:val="center"/>
          </w:tcPr>
          <w:p w14:paraId="357BFF40">
            <w:pPr>
              <w:ind w:firstLine="420" w:firstLineChars="200"/>
              <w:rPr>
                <w:rFonts w:ascii="宋体" w:hAnsi="宋体" w:cs="宋体"/>
              </w:rPr>
            </w:pPr>
          </w:p>
        </w:tc>
        <w:tc>
          <w:tcPr>
            <w:tcW w:w="991" w:type="dxa"/>
            <w:tcBorders>
              <w:top w:val="single" w:color="auto" w:sz="4" w:space="0"/>
              <w:left w:val="single" w:color="auto" w:sz="4" w:space="0"/>
              <w:right w:val="single" w:color="auto" w:sz="4" w:space="0"/>
            </w:tcBorders>
            <w:noWrap/>
            <w:vAlign w:val="center"/>
          </w:tcPr>
          <w:p w14:paraId="44FF5481">
            <w:pPr>
              <w:ind w:firstLine="420" w:firstLineChars="200"/>
              <w:rPr>
                <w:rFonts w:ascii="宋体" w:hAnsi="宋体" w:cs="宋体"/>
              </w:rPr>
            </w:pPr>
          </w:p>
        </w:tc>
        <w:tc>
          <w:tcPr>
            <w:tcW w:w="1004" w:type="dxa"/>
            <w:tcBorders>
              <w:top w:val="single" w:color="auto" w:sz="4" w:space="0"/>
              <w:left w:val="single" w:color="auto" w:sz="4" w:space="0"/>
              <w:right w:val="single" w:color="auto" w:sz="4" w:space="0"/>
            </w:tcBorders>
            <w:noWrap/>
            <w:vAlign w:val="center"/>
          </w:tcPr>
          <w:p w14:paraId="3EB64EAC">
            <w:pPr>
              <w:ind w:firstLine="420" w:firstLineChars="200"/>
              <w:rPr>
                <w:rFonts w:ascii="宋体" w:hAnsi="宋体" w:cs="宋体"/>
              </w:rPr>
            </w:pPr>
          </w:p>
        </w:tc>
        <w:tc>
          <w:tcPr>
            <w:tcW w:w="1018" w:type="dxa"/>
            <w:tcBorders>
              <w:top w:val="single" w:color="auto" w:sz="4" w:space="0"/>
              <w:left w:val="single" w:color="auto" w:sz="4" w:space="0"/>
              <w:right w:val="single" w:color="auto" w:sz="4" w:space="0"/>
            </w:tcBorders>
            <w:noWrap/>
            <w:vAlign w:val="center"/>
          </w:tcPr>
          <w:p w14:paraId="7C2E93C5">
            <w:pPr>
              <w:ind w:firstLine="420" w:firstLineChars="200"/>
              <w:rPr>
                <w:rFonts w:ascii="宋体" w:hAnsi="宋体" w:cs="宋体"/>
              </w:rPr>
            </w:pPr>
          </w:p>
        </w:tc>
        <w:tc>
          <w:tcPr>
            <w:tcW w:w="1056" w:type="dxa"/>
            <w:tcBorders>
              <w:top w:val="single" w:color="auto" w:sz="4" w:space="0"/>
              <w:left w:val="single" w:color="auto" w:sz="4" w:space="0"/>
              <w:right w:val="single" w:color="auto" w:sz="4" w:space="0"/>
            </w:tcBorders>
            <w:noWrap/>
            <w:vAlign w:val="center"/>
          </w:tcPr>
          <w:p w14:paraId="7E8B7026">
            <w:pPr>
              <w:ind w:firstLine="420" w:firstLineChars="200"/>
              <w:rPr>
                <w:rFonts w:ascii="宋体" w:hAnsi="宋体" w:cs="宋体"/>
              </w:rPr>
            </w:pPr>
          </w:p>
        </w:tc>
        <w:tc>
          <w:tcPr>
            <w:tcW w:w="1005" w:type="dxa"/>
            <w:tcBorders>
              <w:top w:val="single" w:color="auto" w:sz="4" w:space="0"/>
              <w:left w:val="single" w:color="auto" w:sz="4" w:space="0"/>
              <w:right w:val="single" w:color="auto" w:sz="4" w:space="0"/>
            </w:tcBorders>
            <w:noWrap/>
            <w:vAlign w:val="center"/>
          </w:tcPr>
          <w:p w14:paraId="0F4775AB">
            <w:pPr>
              <w:ind w:firstLine="420" w:firstLineChars="200"/>
              <w:rPr>
                <w:rFonts w:ascii="宋体" w:hAnsi="宋体" w:cs="宋体"/>
              </w:rPr>
            </w:pPr>
          </w:p>
        </w:tc>
      </w:tr>
      <w:tr w14:paraId="3BF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14:paraId="60E37B70">
            <w:pPr>
              <w:ind w:firstLine="420" w:firstLineChars="200"/>
              <w:rPr>
                <w:rFonts w:ascii="宋体" w:hAnsi="宋体" w:cs="宋体"/>
              </w:rPr>
            </w:pPr>
            <w:r>
              <w:rPr>
                <w:rFonts w:hint="eastAsia" w:ascii="宋体" w:hAnsi="宋体" w:cs="宋体"/>
              </w:rPr>
              <w:t>合计得分</w:t>
            </w:r>
          </w:p>
        </w:tc>
        <w:tc>
          <w:tcPr>
            <w:tcW w:w="2989"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86A0EF6">
            <w:pPr>
              <w:ind w:firstLine="420" w:firstLineChars="200"/>
              <w:rPr>
                <w:rFonts w:ascii="宋体" w:hAnsi="宋体" w:cs="宋体"/>
              </w:rPr>
            </w:pPr>
          </w:p>
        </w:tc>
        <w:tc>
          <w:tcPr>
            <w:tcW w:w="1018" w:type="dxa"/>
            <w:tcBorders>
              <w:top w:val="single" w:color="auto" w:sz="4" w:space="0"/>
              <w:left w:val="single" w:color="auto" w:sz="4" w:space="0"/>
              <w:bottom w:val="single" w:color="auto" w:sz="4" w:space="0"/>
              <w:right w:val="single" w:color="auto" w:sz="4" w:space="0"/>
            </w:tcBorders>
            <w:noWrap/>
            <w:vAlign w:val="center"/>
          </w:tcPr>
          <w:p w14:paraId="0FFDF2A4">
            <w:pPr>
              <w:ind w:firstLine="420" w:firstLineChars="200"/>
              <w:rPr>
                <w:rFonts w:ascii="宋体" w:hAnsi="宋体" w:cs="宋体"/>
              </w:rPr>
            </w:pPr>
          </w:p>
        </w:tc>
        <w:tc>
          <w:tcPr>
            <w:tcW w:w="2061"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2F39DD22">
            <w:pPr>
              <w:ind w:firstLine="420" w:firstLineChars="200"/>
              <w:rPr>
                <w:rFonts w:ascii="宋体" w:hAnsi="宋体" w:cs="宋体"/>
              </w:rPr>
            </w:pPr>
          </w:p>
        </w:tc>
      </w:tr>
    </w:tbl>
    <w:p w14:paraId="5974EF21">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rPr>
      </w:pPr>
      <w:r>
        <w:rPr>
          <w:rFonts w:hint="eastAsia" w:ascii="宋体" w:hAnsi="宋体" w:cs="宋体"/>
        </w:rPr>
        <w:t>本表格需参照第四章评分条款，认真填写，并附在技术资信文件目录后，方便评委评分时核对</w:t>
      </w:r>
    </w:p>
    <w:p w14:paraId="1F00379F">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pPr>
      <w:r>
        <w:rPr>
          <w:rFonts w:hint="eastAsia" w:ascii="宋体" w:hAnsi="宋体" w:cs="宋体"/>
          <w:b/>
          <w:bCs/>
          <w:i/>
          <w:iCs/>
          <w:sz w:val="24"/>
        </w:rPr>
        <w:t>招标文件无格式但需要提供的资料或者影响投标人得分以及资格认定的资料请投标人另行自拟添加。</w:t>
      </w:r>
    </w:p>
    <w:p w14:paraId="52E920E0"/>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467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2002">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62002">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8B784"/>
    <w:multiLevelType w:val="singleLevel"/>
    <w:tmpl w:val="9678B784"/>
    <w:lvl w:ilvl="0" w:tentative="0">
      <w:start w:val="1"/>
      <w:numFmt w:val="decimal"/>
      <w:suff w:val="nothing"/>
      <w:lvlText w:val="%1、"/>
      <w:lvlJc w:val="left"/>
    </w:lvl>
  </w:abstractNum>
  <w:abstractNum w:abstractNumId="1">
    <w:nsid w:val="B9B8F30A"/>
    <w:multiLevelType w:val="singleLevel"/>
    <w:tmpl w:val="B9B8F30A"/>
    <w:lvl w:ilvl="0" w:tentative="0">
      <w:start w:val="2"/>
      <w:numFmt w:val="decimal"/>
      <w:suff w:val="nothing"/>
      <w:lvlText w:val="%1、"/>
      <w:lvlJc w:val="left"/>
      <w:pPr>
        <w:ind w:left="-2" w:firstLine="0"/>
      </w:pPr>
    </w:lvl>
  </w:abstractNum>
  <w:abstractNum w:abstractNumId="2">
    <w:nsid w:val="BCAE6565"/>
    <w:multiLevelType w:val="multilevel"/>
    <w:tmpl w:val="BCAE6565"/>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F11F0F65"/>
    <w:multiLevelType w:val="multilevel"/>
    <w:tmpl w:val="F11F0F65"/>
    <w:lvl w:ilvl="0" w:tentative="0">
      <w:start w:val="1"/>
      <w:numFmt w:val="decimal"/>
      <w:lvlText w:val="(%1)"/>
      <w:lvlJc w:val="left"/>
      <w:pPr>
        <w:tabs>
          <w:tab w:val="left" w:pos="533"/>
        </w:tabs>
        <w:ind w:left="840" w:hanging="420"/>
      </w:pPr>
      <w:rPr>
        <w:rFonts w:hint="eastAsia"/>
      </w:rPr>
    </w:lvl>
    <w:lvl w:ilvl="1" w:tentative="0">
      <w:start w:val="3"/>
      <w:numFmt w:val="japaneseCounting"/>
      <w:lvlText w:val="%2、"/>
      <w:lvlJc w:val="left"/>
      <w:pPr>
        <w:tabs>
          <w:tab w:val="left" w:pos="1140"/>
        </w:tabs>
        <w:ind w:left="1447" w:hanging="720"/>
      </w:pPr>
      <w:rPr>
        <w:rFonts w:hint="default"/>
      </w:rPr>
    </w:lvl>
    <w:lvl w:ilvl="2" w:tentative="0">
      <w:start w:val="1"/>
      <w:numFmt w:val="lowerRoman"/>
      <w:lvlText w:val="%3."/>
      <w:lvlJc w:val="right"/>
      <w:pPr>
        <w:tabs>
          <w:tab w:val="left" w:pos="1260"/>
        </w:tabs>
        <w:ind w:left="1567" w:hanging="420"/>
      </w:pPr>
    </w:lvl>
    <w:lvl w:ilvl="3" w:tentative="0">
      <w:start w:val="1"/>
      <w:numFmt w:val="decimal"/>
      <w:lvlText w:val="%4."/>
      <w:lvlJc w:val="left"/>
      <w:pPr>
        <w:tabs>
          <w:tab w:val="left" w:pos="1680"/>
        </w:tabs>
        <w:ind w:left="1987" w:hanging="420"/>
      </w:pPr>
    </w:lvl>
    <w:lvl w:ilvl="4" w:tentative="0">
      <w:start w:val="1"/>
      <w:numFmt w:val="lowerLetter"/>
      <w:lvlText w:val="%5)"/>
      <w:lvlJc w:val="left"/>
      <w:pPr>
        <w:tabs>
          <w:tab w:val="left" w:pos="2100"/>
        </w:tabs>
        <w:ind w:left="2407" w:hanging="420"/>
      </w:pPr>
    </w:lvl>
    <w:lvl w:ilvl="5" w:tentative="0">
      <w:start w:val="1"/>
      <w:numFmt w:val="lowerRoman"/>
      <w:lvlText w:val="%6."/>
      <w:lvlJc w:val="right"/>
      <w:pPr>
        <w:tabs>
          <w:tab w:val="left" w:pos="2520"/>
        </w:tabs>
        <w:ind w:left="2827" w:hanging="420"/>
      </w:pPr>
    </w:lvl>
    <w:lvl w:ilvl="6" w:tentative="0">
      <w:start w:val="1"/>
      <w:numFmt w:val="decimal"/>
      <w:lvlText w:val="%7."/>
      <w:lvlJc w:val="left"/>
      <w:pPr>
        <w:tabs>
          <w:tab w:val="left" w:pos="2940"/>
        </w:tabs>
        <w:ind w:left="3247" w:hanging="420"/>
      </w:pPr>
    </w:lvl>
    <w:lvl w:ilvl="7" w:tentative="0">
      <w:start w:val="1"/>
      <w:numFmt w:val="lowerLetter"/>
      <w:lvlText w:val="%8)"/>
      <w:lvlJc w:val="left"/>
      <w:pPr>
        <w:tabs>
          <w:tab w:val="left" w:pos="3360"/>
        </w:tabs>
        <w:ind w:left="3667" w:hanging="420"/>
      </w:pPr>
    </w:lvl>
    <w:lvl w:ilvl="8" w:tentative="0">
      <w:start w:val="1"/>
      <w:numFmt w:val="lowerRoman"/>
      <w:lvlText w:val="%9."/>
      <w:lvlJc w:val="right"/>
      <w:pPr>
        <w:tabs>
          <w:tab w:val="left" w:pos="3780"/>
        </w:tabs>
        <w:ind w:left="4087" w:hanging="420"/>
      </w:pPr>
    </w:lvl>
  </w:abstractNum>
  <w:abstractNum w:abstractNumId="4">
    <w:nsid w:val="FEFB750C"/>
    <w:multiLevelType w:val="multilevel"/>
    <w:tmpl w:val="FEFB750C"/>
    <w:lvl w:ilvl="0" w:tentative="0">
      <w:start w:val="1"/>
      <w:numFmt w:val="decimal"/>
      <w:lvlText w:val="(%1)"/>
      <w:lvlJc w:val="left"/>
      <w:pPr>
        <w:tabs>
          <w:tab w:val="left" w:pos="533"/>
        </w:tabs>
        <w:ind w:left="840" w:hanging="420"/>
      </w:pPr>
      <w:rPr>
        <w:rFonts w:hint="eastAsia"/>
      </w:rPr>
    </w:lvl>
    <w:lvl w:ilvl="1" w:tentative="0">
      <w:start w:val="3"/>
      <w:numFmt w:val="japaneseCounting"/>
      <w:lvlText w:val="%2、"/>
      <w:lvlJc w:val="left"/>
      <w:pPr>
        <w:tabs>
          <w:tab w:val="left" w:pos="1140"/>
        </w:tabs>
        <w:ind w:left="1447" w:hanging="720"/>
      </w:pPr>
      <w:rPr>
        <w:rFonts w:hint="default"/>
      </w:rPr>
    </w:lvl>
    <w:lvl w:ilvl="2" w:tentative="0">
      <w:start w:val="1"/>
      <w:numFmt w:val="lowerRoman"/>
      <w:lvlText w:val="%3."/>
      <w:lvlJc w:val="right"/>
      <w:pPr>
        <w:tabs>
          <w:tab w:val="left" w:pos="1260"/>
        </w:tabs>
        <w:ind w:left="1567" w:hanging="420"/>
      </w:pPr>
    </w:lvl>
    <w:lvl w:ilvl="3" w:tentative="0">
      <w:start w:val="1"/>
      <w:numFmt w:val="decimal"/>
      <w:lvlText w:val="%4."/>
      <w:lvlJc w:val="left"/>
      <w:pPr>
        <w:tabs>
          <w:tab w:val="left" w:pos="1680"/>
        </w:tabs>
        <w:ind w:left="1987" w:hanging="420"/>
      </w:pPr>
    </w:lvl>
    <w:lvl w:ilvl="4" w:tentative="0">
      <w:start w:val="1"/>
      <w:numFmt w:val="lowerLetter"/>
      <w:lvlText w:val="%5)"/>
      <w:lvlJc w:val="left"/>
      <w:pPr>
        <w:tabs>
          <w:tab w:val="left" w:pos="2100"/>
        </w:tabs>
        <w:ind w:left="2407" w:hanging="420"/>
      </w:pPr>
    </w:lvl>
    <w:lvl w:ilvl="5" w:tentative="0">
      <w:start w:val="1"/>
      <w:numFmt w:val="lowerRoman"/>
      <w:lvlText w:val="%6."/>
      <w:lvlJc w:val="right"/>
      <w:pPr>
        <w:tabs>
          <w:tab w:val="left" w:pos="2520"/>
        </w:tabs>
        <w:ind w:left="2827" w:hanging="420"/>
      </w:pPr>
    </w:lvl>
    <w:lvl w:ilvl="6" w:tentative="0">
      <w:start w:val="1"/>
      <w:numFmt w:val="decimal"/>
      <w:lvlText w:val="%7."/>
      <w:lvlJc w:val="left"/>
      <w:pPr>
        <w:tabs>
          <w:tab w:val="left" w:pos="2940"/>
        </w:tabs>
        <w:ind w:left="3247" w:hanging="420"/>
      </w:pPr>
    </w:lvl>
    <w:lvl w:ilvl="7" w:tentative="0">
      <w:start w:val="1"/>
      <w:numFmt w:val="lowerLetter"/>
      <w:lvlText w:val="%8)"/>
      <w:lvlJc w:val="left"/>
      <w:pPr>
        <w:tabs>
          <w:tab w:val="left" w:pos="3360"/>
        </w:tabs>
        <w:ind w:left="3667" w:hanging="420"/>
      </w:pPr>
    </w:lvl>
    <w:lvl w:ilvl="8" w:tentative="0">
      <w:start w:val="1"/>
      <w:numFmt w:val="lowerRoman"/>
      <w:lvlText w:val="%9."/>
      <w:lvlJc w:val="right"/>
      <w:pPr>
        <w:tabs>
          <w:tab w:val="left" w:pos="3780"/>
        </w:tabs>
        <w:ind w:left="4087" w:hanging="420"/>
      </w:pPr>
    </w:lvl>
  </w:abstractNum>
  <w:abstractNum w:abstractNumId="5">
    <w:nsid w:val="29300164"/>
    <w:multiLevelType w:val="singleLevel"/>
    <w:tmpl w:val="29300164"/>
    <w:lvl w:ilvl="0" w:tentative="0">
      <w:start w:val="3"/>
      <w:numFmt w:val="decimal"/>
      <w:suff w:val="nothing"/>
      <w:lvlText w:val="%1、"/>
      <w:lvlJc w:val="left"/>
      <w:pPr>
        <w:ind w:left="0" w:firstLine="0"/>
      </w:pPr>
    </w:lvl>
  </w:abstractNum>
  <w:abstractNum w:abstractNumId="6">
    <w:nsid w:val="48745E46"/>
    <w:multiLevelType w:val="singleLevel"/>
    <w:tmpl w:val="48745E46"/>
    <w:lvl w:ilvl="0" w:tentative="0">
      <w:start w:val="1"/>
      <w:numFmt w:val="chineseCounting"/>
      <w:suff w:val="nothing"/>
      <w:lvlText w:val="（%1）"/>
      <w:lvlJc w:val="left"/>
      <w:rPr>
        <w:rFonts w:hint="eastAsia"/>
      </w:rPr>
    </w:lvl>
  </w:abstractNum>
  <w:abstractNum w:abstractNumId="7">
    <w:nsid w:val="59D7428E"/>
    <w:multiLevelType w:val="singleLevel"/>
    <w:tmpl w:val="59D7428E"/>
    <w:lvl w:ilvl="0" w:tentative="0">
      <w:start w:val="5"/>
      <w:numFmt w:val="chineseCounting"/>
      <w:suff w:val="nothing"/>
      <w:lvlText w:val="%1、"/>
      <w:lvlJc w:val="left"/>
    </w:lvl>
  </w:abstractNum>
  <w:abstractNum w:abstractNumId="8">
    <w:nsid w:val="59D7508F"/>
    <w:multiLevelType w:val="singleLevel"/>
    <w:tmpl w:val="59D7508F"/>
    <w:lvl w:ilvl="0" w:tentative="0">
      <w:start w:val="1"/>
      <w:numFmt w:val="chineseCounting"/>
      <w:suff w:val="nothing"/>
      <w:lvlText w:val="（%1）"/>
      <w:lvlJc w:val="left"/>
    </w:lvl>
  </w:abstractNum>
  <w:abstractNum w:abstractNumId="9">
    <w:nsid w:val="685E08C9"/>
    <w:multiLevelType w:val="singleLevel"/>
    <w:tmpl w:val="685E08C9"/>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0">
    <w:nsid w:val="6C747AA0"/>
    <w:multiLevelType w:val="singleLevel"/>
    <w:tmpl w:val="6C747AA0"/>
    <w:lvl w:ilvl="0" w:tentative="0">
      <w:start w:val="7"/>
      <w:numFmt w:val="chineseCounting"/>
      <w:suff w:val="nothing"/>
      <w:lvlText w:val="%1、"/>
      <w:lvlJc w:val="left"/>
      <w:rPr>
        <w:rFonts w:hint="eastAsia"/>
      </w:rPr>
    </w:lvl>
  </w:abstractNum>
  <w:abstractNum w:abstractNumId="11">
    <w:nsid w:val="6F660137"/>
    <w:multiLevelType w:val="multilevel"/>
    <w:tmpl w:val="6F660137"/>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76143D7D"/>
    <w:multiLevelType w:val="multilevel"/>
    <w:tmpl w:val="76143D7D"/>
    <w:lvl w:ilvl="0" w:tentative="0">
      <w:start w:val="1"/>
      <w:numFmt w:val="decimal"/>
      <w:lvlText w:val="(%1)"/>
      <w:lvlJc w:val="left"/>
      <w:pPr>
        <w:tabs>
          <w:tab w:val="left" w:pos="533"/>
        </w:tabs>
        <w:ind w:left="840"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660248"/>
    <w:multiLevelType w:val="multilevel"/>
    <w:tmpl w:val="79660248"/>
    <w:lvl w:ilvl="0" w:tentative="0">
      <w:start w:val="1"/>
      <w:numFmt w:val="decimal"/>
      <w:suff w:val="nothing"/>
      <w:lvlText w:val="%1、"/>
      <w:lvlJc w:val="left"/>
      <w:pPr>
        <w:ind w:left="0" w:firstLine="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num>
  <w:num w:numId="2">
    <w:abstractNumId w:val="5"/>
    <w:lvlOverride w:ilvl="0">
      <w:startOverride w:val="3"/>
    </w:lvlOverride>
  </w:num>
  <w:num w:numId="3">
    <w:abstractNumId w:val="9"/>
  </w:num>
  <w:num w:numId="4">
    <w:abstractNumId w:val="3"/>
  </w:num>
  <w:num w:numId="5">
    <w:abstractNumId w:val="11"/>
  </w:num>
  <w:num w:numId="6">
    <w:abstractNumId w:val="12"/>
  </w:num>
  <w:num w:numId="7">
    <w:abstractNumId w:val="7"/>
  </w:num>
  <w:num w:numId="8">
    <w:abstractNumId w:val="8"/>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2588"/>
    <w:rsid w:val="01BB7833"/>
    <w:rsid w:val="03771E7F"/>
    <w:rsid w:val="05191440"/>
    <w:rsid w:val="057E7745"/>
    <w:rsid w:val="06D53145"/>
    <w:rsid w:val="07F65A68"/>
    <w:rsid w:val="081A46DA"/>
    <w:rsid w:val="092E4D8E"/>
    <w:rsid w:val="0A55543A"/>
    <w:rsid w:val="0B221CE0"/>
    <w:rsid w:val="0BC419DA"/>
    <w:rsid w:val="0CD93263"/>
    <w:rsid w:val="0D156991"/>
    <w:rsid w:val="0DA90E87"/>
    <w:rsid w:val="10AC13BA"/>
    <w:rsid w:val="11196324"/>
    <w:rsid w:val="11F86C31"/>
    <w:rsid w:val="13D11138"/>
    <w:rsid w:val="14681A9C"/>
    <w:rsid w:val="15D8055B"/>
    <w:rsid w:val="16E42F30"/>
    <w:rsid w:val="16F51CB1"/>
    <w:rsid w:val="180E78A8"/>
    <w:rsid w:val="1BEA535B"/>
    <w:rsid w:val="1D9C6312"/>
    <w:rsid w:val="1FCF29CF"/>
    <w:rsid w:val="1FE12702"/>
    <w:rsid w:val="20670E5A"/>
    <w:rsid w:val="23B367FA"/>
    <w:rsid w:val="240D1D18"/>
    <w:rsid w:val="243B61F5"/>
    <w:rsid w:val="24B2466D"/>
    <w:rsid w:val="25D30D3F"/>
    <w:rsid w:val="26F606C4"/>
    <w:rsid w:val="27660328"/>
    <w:rsid w:val="28461C9C"/>
    <w:rsid w:val="29064F88"/>
    <w:rsid w:val="29EC065C"/>
    <w:rsid w:val="29FD638B"/>
    <w:rsid w:val="2A087B86"/>
    <w:rsid w:val="2A506E02"/>
    <w:rsid w:val="2D0B0DBF"/>
    <w:rsid w:val="2EF97A69"/>
    <w:rsid w:val="300A35B0"/>
    <w:rsid w:val="306B5190"/>
    <w:rsid w:val="31464ABB"/>
    <w:rsid w:val="32CB5119"/>
    <w:rsid w:val="32E53E60"/>
    <w:rsid w:val="34B0278F"/>
    <w:rsid w:val="35357321"/>
    <w:rsid w:val="35904557"/>
    <w:rsid w:val="37A97B52"/>
    <w:rsid w:val="38211DDE"/>
    <w:rsid w:val="3911775D"/>
    <w:rsid w:val="3ACA050B"/>
    <w:rsid w:val="3D1B504E"/>
    <w:rsid w:val="3E342D63"/>
    <w:rsid w:val="3E6E11AD"/>
    <w:rsid w:val="3EA01CAF"/>
    <w:rsid w:val="3F4C14EF"/>
    <w:rsid w:val="40300E10"/>
    <w:rsid w:val="4153125A"/>
    <w:rsid w:val="41886A2A"/>
    <w:rsid w:val="41B75EDF"/>
    <w:rsid w:val="41C31810"/>
    <w:rsid w:val="43170066"/>
    <w:rsid w:val="432602A9"/>
    <w:rsid w:val="44FE56ED"/>
    <w:rsid w:val="451A5BEB"/>
    <w:rsid w:val="457479F1"/>
    <w:rsid w:val="48E72288"/>
    <w:rsid w:val="491F2B30"/>
    <w:rsid w:val="4AD77331"/>
    <w:rsid w:val="4C0F5D7E"/>
    <w:rsid w:val="4DDC6134"/>
    <w:rsid w:val="4F9B7C8C"/>
    <w:rsid w:val="4F9D7B44"/>
    <w:rsid w:val="50612948"/>
    <w:rsid w:val="50E11165"/>
    <w:rsid w:val="53966D85"/>
    <w:rsid w:val="53D855EF"/>
    <w:rsid w:val="547D1CF3"/>
    <w:rsid w:val="548728E1"/>
    <w:rsid w:val="54A43119"/>
    <w:rsid w:val="55C018F1"/>
    <w:rsid w:val="59425701"/>
    <w:rsid w:val="5A9A53AC"/>
    <w:rsid w:val="5B4F263B"/>
    <w:rsid w:val="5C531CB7"/>
    <w:rsid w:val="61410E47"/>
    <w:rsid w:val="62E90BAB"/>
    <w:rsid w:val="66E005EB"/>
    <w:rsid w:val="696D6B39"/>
    <w:rsid w:val="6B3D24B0"/>
    <w:rsid w:val="6D205BE5"/>
    <w:rsid w:val="7056191E"/>
    <w:rsid w:val="71A566C7"/>
    <w:rsid w:val="72E2292C"/>
    <w:rsid w:val="73532145"/>
    <w:rsid w:val="73BF77DA"/>
    <w:rsid w:val="746F7452"/>
    <w:rsid w:val="74FD086C"/>
    <w:rsid w:val="757B7431"/>
    <w:rsid w:val="75A1363B"/>
    <w:rsid w:val="75F80355"/>
    <w:rsid w:val="760D0CD1"/>
    <w:rsid w:val="774E77F3"/>
    <w:rsid w:val="77534E09"/>
    <w:rsid w:val="77CC6C57"/>
    <w:rsid w:val="78213E73"/>
    <w:rsid w:val="7C8D66C7"/>
    <w:rsid w:val="7D012C11"/>
    <w:rsid w:val="7DAC0B93"/>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Body Text 3"/>
    <w:basedOn w:val="1"/>
    <w:qFormat/>
    <w:uiPriority w:val="0"/>
    <w:rPr>
      <w:sz w:val="16"/>
      <w:szCs w:val="16"/>
    </w:rPr>
  </w:style>
  <w:style w:type="paragraph" w:styleId="6">
    <w:name w:val="Body Text"/>
    <w:basedOn w:val="1"/>
    <w:semiHidden/>
    <w:unhideWhenUsed/>
    <w:qFormat/>
    <w:uiPriority w:val="99"/>
    <w:pPr>
      <w:spacing w:after="120"/>
    </w:pPr>
  </w:style>
  <w:style w:type="paragraph" w:styleId="7">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8">
    <w:name w:val="List 2"/>
    <w:basedOn w:val="1"/>
    <w:qFormat/>
    <w:uiPriority w:val="0"/>
    <w:pPr>
      <w:ind w:left="100" w:leftChars="200" w:hanging="200" w:hangingChars="200"/>
    </w:pPr>
  </w:style>
  <w:style w:type="paragraph" w:styleId="9">
    <w:name w:val="Plain Text"/>
    <w:basedOn w:val="1"/>
    <w:next w:val="1"/>
    <w:qFormat/>
    <w:uiPriority w:val="0"/>
    <w:pPr>
      <w:spacing w:beforeLines="50" w:afterLines="50" w:line="400" w:lineRule="exact"/>
    </w:pPr>
    <w:rPr>
      <w:rFonts w:ascii="宋体" w:hAnsi="Courier New"/>
      <w:sz w:val="24"/>
    </w:rPr>
  </w:style>
  <w:style w:type="paragraph" w:styleId="10">
    <w:name w:val="Date"/>
    <w:basedOn w:val="1"/>
    <w:next w:val="1"/>
    <w:semiHidden/>
    <w:qFormat/>
    <w:uiPriority w:val="99"/>
    <w:pPr>
      <w:ind w:left="100" w:leftChars="2500"/>
    </w:pPr>
  </w:style>
  <w:style w:type="paragraph" w:styleId="11">
    <w:name w:val="footer"/>
    <w:basedOn w:val="1"/>
    <w:semiHidden/>
    <w:unhideWhenUsed/>
    <w:qFormat/>
    <w:uiPriority w:val="99"/>
    <w:pPr>
      <w:tabs>
        <w:tab w:val="center" w:pos="4153"/>
        <w:tab w:val="right" w:pos="8306"/>
      </w:tabs>
      <w:snapToGrid w:val="0"/>
      <w:jc w:val="left"/>
    </w:pPr>
    <w:rPr>
      <w:sz w:val="18"/>
      <w:szCs w:val="18"/>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6"/>
    <w:basedOn w:val="1"/>
    <w:next w:val="1"/>
    <w:qFormat/>
    <w:uiPriority w:val="0"/>
    <w:pPr>
      <w:spacing w:line="360" w:lineRule="auto"/>
      <w:ind w:left="1200" w:firstLine="200" w:firstLineChars="20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7">
    <w:name w:val="Body Text First Indent"/>
    <w:basedOn w:val="6"/>
    <w:next w:val="14"/>
    <w:unhideWhenUsed/>
    <w:qFormat/>
    <w:uiPriority w:val="99"/>
    <w:pPr>
      <w:ind w:firstLine="420" w:firstLineChars="100"/>
    </w:pPr>
    <w:rPr>
      <w:rFonts w:ascii="Times New Roman" w:hAnsi="Times New Roman" w:cs="Times New Roman"/>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newsitemtext1"/>
    <w:qFormat/>
    <w:uiPriority w:val="0"/>
    <w:rPr>
      <w:color w:val="000000"/>
      <w:spacing w:val="320"/>
      <w:sz w:val="21"/>
      <w:szCs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_Style 1"/>
    <w:basedOn w:val="1"/>
    <w:next w:val="1"/>
    <w:qFormat/>
    <w:uiPriority w:val="0"/>
    <w:pPr>
      <w:pBdr>
        <w:bottom w:val="single" w:color="auto" w:sz="6" w:space="1"/>
      </w:pBdr>
      <w:jc w:val="center"/>
    </w:pPr>
    <w:rPr>
      <w:rFonts w:ascii="Arial"/>
      <w:vanish/>
      <w:sz w:val="16"/>
    </w:rPr>
  </w:style>
  <w:style w:type="character" w:customStyle="1" w:styleId="27">
    <w:name w:val="NormalCharacter"/>
    <w:qFormat/>
    <w:uiPriority w:val="0"/>
  </w:style>
  <w:style w:type="paragraph" w:styleId="28">
    <w:name w:val="List Paragraph"/>
    <w:basedOn w:val="1"/>
    <w:qFormat/>
    <w:uiPriority w:val="34"/>
    <w:pPr>
      <w:ind w:firstLine="420" w:firstLineChars="200"/>
    </w:pPr>
    <w:rPr>
      <w:szCs w:val="22"/>
    </w:rPr>
  </w:style>
  <w:style w:type="paragraph" w:customStyle="1" w:styleId="29">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13067</Words>
  <Characters>14918</Characters>
  <Lines>0</Lines>
  <Paragraphs>0</Paragraphs>
  <TotalTime>222</TotalTime>
  <ScaleCrop>false</ScaleCrop>
  <LinksUpToDate>false</LinksUpToDate>
  <CharactersWithSpaces>15542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2025-06-27T01:33:00Z</dcterms:created>
  <dc:creator>Administrator</dc:creator>
  <cp:lastModifiedBy>何贝 </cp:lastModifiedBy>
  <dcterms:modified xsi:type="dcterms:W3CDTF">2025-06-30T09:07:11Z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eyJoZGlkIjoiYjA2NTdkOGYzZWU0MzZmZGRmMWE4NTFlZWM1YTM1OGIiLCJ1c2VySWQiOiI3MTg1NzA3MTcifQ==</vt:lpwstr>
  </property>
  <property fmtid="{D5CDD505-2E9C-101B-9397-08002B2CF9AE}" pid="4" name="ICV">
    <vt:lpwstr>B57A0D8F4E4C45DC971664E28C9BE504_12</vt:lpwstr>
  </property>
</Properties>
</file>