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bookmarkStart w:id="0" w:name="OLE_LINK8"/>
    </w:p>
    <w:p>
      <w:pPr>
        <w:adjustRightInd/>
        <w:spacing w:line="360" w:lineRule="auto"/>
        <w:jc w:val="center"/>
        <w:rPr>
          <w:rFonts w:hint="eastAsia" w:ascii="宋体" w:hAnsi="宋体" w:eastAsia="宋体" w:cs="宋体"/>
          <w:color w:val="000000" w:themeColor="text1"/>
          <w:sz w:val="48"/>
          <w:szCs w:val="48"/>
          <w:lang w:val="en-US" w:eastAsia="zh-CN"/>
          <w14:textFill>
            <w14:solidFill>
              <w14:schemeClr w14:val="tx1"/>
            </w14:solidFill>
          </w14:textFill>
        </w:rPr>
      </w:pPr>
      <w:bookmarkStart w:id="1" w:name="OLE_LINK20"/>
      <w:r>
        <w:rPr>
          <w:rFonts w:hint="eastAsia" w:ascii="宋体" w:hAnsi="宋体" w:cs="宋体"/>
          <w:color w:val="000000" w:themeColor="text1"/>
          <w:sz w:val="48"/>
          <w:szCs w:val="48"/>
          <w:lang w:val="en-US" w:eastAsia="zh-CN"/>
          <w14:textFill>
            <w14:solidFill>
              <w14:schemeClr w14:val="tx1"/>
            </w14:solidFill>
          </w14:textFill>
        </w:rPr>
        <w:t>2025年杭州市上城区文化和广电旅游体育局应急广播</w:t>
      </w:r>
      <w:r>
        <w:rPr>
          <w:rFonts w:hint="eastAsia" w:ascii="宋体" w:hAnsi="宋体" w:cs="宋体"/>
          <w:color w:val="000000" w:themeColor="text1"/>
          <w:sz w:val="48"/>
          <w:szCs w:val="48"/>
          <w:highlight w:val="none"/>
          <w:lang w:val="en-US" w:eastAsia="zh-CN"/>
          <w14:textFill>
            <w14:solidFill>
              <w14:schemeClr w14:val="tx1"/>
            </w14:solidFill>
          </w14:textFill>
        </w:rPr>
        <w:t>体系</w:t>
      </w:r>
      <w:r>
        <w:rPr>
          <w:rFonts w:hint="eastAsia" w:ascii="宋体" w:hAnsi="宋体" w:cs="宋体"/>
          <w:color w:val="000000" w:themeColor="text1"/>
          <w:sz w:val="48"/>
          <w:szCs w:val="48"/>
          <w:lang w:val="en-US" w:eastAsia="zh-CN"/>
          <w14:textFill>
            <w14:solidFill>
              <w14:schemeClr w14:val="tx1"/>
            </w14:solidFill>
          </w14:textFill>
        </w:rPr>
        <w:t>建设</w:t>
      </w:r>
    </w:p>
    <w:bookmarkEnd w:id="0"/>
    <w:bookmarkEnd w:id="1"/>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color w:val="FF0000"/>
          <w:sz w:val="30"/>
          <w:szCs w:val="30"/>
        </w:rPr>
      </w:pPr>
      <w:r>
        <w:rPr>
          <w:rFonts w:hint="eastAsia" w:ascii="宋体" w:hAnsi="宋体" w:cs="宋体"/>
          <w:sz w:val="30"/>
          <w:szCs w:val="30"/>
        </w:rPr>
        <w:t>编号:</w:t>
      </w:r>
      <w:bookmarkStart w:id="2" w:name="OLE_LINK19"/>
      <w:r>
        <w:rPr>
          <w:rFonts w:hint="eastAsia" w:ascii="宋体" w:hAnsi="宋体" w:cs="宋体"/>
          <w:sz w:val="30"/>
          <w:szCs w:val="30"/>
        </w:rPr>
        <w:t>SCCG2025-GK-17</w:t>
      </w:r>
      <w:bookmarkEnd w:id="2"/>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cs="宋体"/>
          <w:color w:val="000000" w:themeColor="text1"/>
          <w:sz w:val="32"/>
          <w:szCs w:val="32"/>
          <w14:textFill>
            <w14:solidFill>
              <w14:schemeClr w14:val="tx1"/>
            </w14:solidFill>
          </w14:textFill>
        </w:rPr>
      </w:pPr>
      <w:bookmarkStart w:id="3" w:name="OLE_LINK2"/>
      <w:r>
        <w:rPr>
          <w:rFonts w:hint="eastAsia" w:ascii="宋体" w:hAnsi="宋体" w:cs="宋体"/>
          <w:color w:val="000000" w:themeColor="text1"/>
          <w:sz w:val="32"/>
          <w:szCs w:val="32"/>
          <w14:textFill>
            <w14:solidFill>
              <w14:schemeClr w14:val="tx1"/>
            </w14:solidFill>
          </w14:textFill>
        </w:rPr>
        <w:t>杭州市上城区文化和广电旅游体育局</w:t>
      </w:r>
    </w:p>
    <w:bookmarkEnd w:id="3"/>
    <w:p>
      <w:pPr>
        <w:snapToGrid w:val="0"/>
        <w:spacing w:line="360" w:lineRule="auto"/>
        <w:jc w:val="center"/>
        <w:rPr>
          <w:rFonts w:hint="eastAsia" w:ascii="宋体" w:hAnsi="宋体" w:cs="宋体"/>
          <w:bCs/>
          <w:sz w:val="32"/>
          <w:szCs w:val="32"/>
          <w:highlight w:val="none"/>
        </w:rPr>
      </w:pPr>
      <w:r>
        <w:rPr>
          <w:rFonts w:hint="eastAsia" w:ascii="宋体" w:hAnsi="宋体" w:cs="宋体"/>
          <w:bCs/>
          <w:sz w:val="32"/>
          <w:szCs w:val="32"/>
          <w:highlight w:val="none"/>
        </w:rPr>
        <w:t>杭州市公共资源交易中心上城分中心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日</w:t>
      </w:r>
    </w:p>
    <w:p>
      <w:pPr>
        <w:spacing w:line="360" w:lineRule="auto"/>
        <w:jc w:val="center"/>
        <w:rPr>
          <w:rFonts w:ascii="宋体" w:hAnsi="宋体" w:cs="宋体"/>
          <w:sz w:val="24"/>
        </w:rPr>
      </w:pPr>
      <w:r>
        <w:rPr>
          <w:rFonts w:hint="eastAsia" w:ascii="宋体" w:hAnsi="宋体" w:cs="宋体"/>
          <w:sz w:val="24"/>
        </w:rPr>
        <w:br w:type="page"/>
      </w:r>
      <w:bookmarkStart w:id="4" w:name="_Hlt67893495"/>
      <w:bookmarkEnd w:id="4"/>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5" w:name="_Hlt91233176"/>
      <w:bookmarkEnd w:id="5"/>
      <w:bookmarkStart w:id="6"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7" w:name="第一部分"/>
      <w:r>
        <w:rPr>
          <w:rFonts w:hint="eastAsia" w:ascii="宋体" w:hAnsi="宋体" w:cs="宋体"/>
          <w:b/>
          <w:sz w:val="36"/>
          <w:szCs w:val="36"/>
        </w:rPr>
        <w:br w:type="page"/>
      </w:r>
      <w:bookmarkEnd w:id="6"/>
      <w:bookmarkEnd w:id="7"/>
      <w:bookmarkStart w:id="8" w:name="_Hlt74649545"/>
      <w:bookmarkEnd w:id="8"/>
      <w:bookmarkStart w:id="9" w:name="_Hlt74728647"/>
      <w:bookmarkEnd w:id="9"/>
      <w:bookmarkStart w:id="10" w:name="_Hlt74729822"/>
      <w:bookmarkEnd w:id="10"/>
      <w:bookmarkStart w:id="11" w:name="_Hlt74707423"/>
      <w:bookmarkEnd w:id="11"/>
      <w:bookmarkStart w:id="12" w:name="第二部分"/>
      <w:bookmarkStart w:id="13" w:name="_Toc91899870"/>
      <w:bookmarkStart w:id="14"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lang w:eastAsia="zh-CN"/>
        </w:rPr>
        <w:t>2025年杭州市上城区文化和广电旅游体育局应急广播体系建设</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kern w:val="2"/>
          <w:sz w:val="24"/>
          <w:szCs w:val="24"/>
        </w:rPr>
        <w:t>https://www.zcygov.cn/）获取（下载）招标文件，并于</w:t>
      </w:r>
      <w:r>
        <w:rPr>
          <w:rStyle w:val="77"/>
          <w:rFonts w:hint="eastAsia" w:cs="Times New Roman" w:asciiTheme="minorEastAsia" w:hAnsiTheme="minorEastAsia" w:eastAsiaTheme="minorEastAsia"/>
          <w:snapToGrid/>
          <w:kern w:val="2"/>
          <w:sz w:val="24"/>
          <w:szCs w:val="24"/>
          <w:highlight w:val="none"/>
        </w:rPr>
        <w:t>202</w:t>
      </w:r>
      <w:r>
        <w:rPr>
          <w:rStyle w:val="77"/>
          <w:rFonts w:hint="eastAsia" w:cs="Times New Roman" w:asciiTheme="minorEastAsia" w:hAnsiTheme="minorEastAsia" w:eastAsiaTheme="minorEastAsia"/>
          <w:snapToGrid/>
          <w:kern w:val="2"/>
          <w:sz w:val="24"/>
          <w:szCs w:val="24"/>
          <w:highlight w:val="none"/>
          <w:lang w:val="en-US" w:eastAsia="zh-CN"/>
        </w:rPr>
        <w:t>5</w:t>
      </w:r>
      <w:r>
        <w:rPr>
          <w:rStyle w:val="77"/>
          <w:rFonts w:hint="eastAsia" w:cs="Times New Roman" w:asciiTheme="minorEastAsia" w:hAnsiTheme="minorEastAsia" w:eastAsiaTheme="minorEastAsia"/>
          <w:snapToGrid/>
          <w:kern w:val="2"/>
          <w:sz w:val="24"/>
          <w:szCs w:val="24"/>
          <w:highlight w:val="none"/>
        </w:rPr>
        <w:t xml:space="preserve"> </w:t>
      </w:r>
      <w:r>
        <w:rPr>
          <w:rStyle w:val="77"/>
          <w:rFonts w:cs="Times New Roman" w:asciiTheme="minorEastAsia" w:hAnsiTheme="minorEastAsia" w:eastAsiaTheme="minorEastAsia"/>
          <w:snapToGrid/>
          <w:kern w:val="2"/>
          <w:sz w:val="24"/>
          <w:szCs w:val="24"/>
          <w:highlight w:val="none"/>
        </w:rPr>
        <w:t>年</w:t>
      </w:r>
      <w:r>
        <w:rPr>
          <w:rStyle w:val="77"/>
          <w:rFonts w:hint="eastAsia" w:cs="Times New Roman" w:asciiTheme="minorEastAsia" w:hAnsiTheme="minorEastAsia" w:eastAsiaTheme="minorEastAsia"/>
          <w:snapToGrid/>
          <w:kern w:val="2"/>
          <w:sz w:val="24"/>
          <w:szCs w:val="24"/>
          <w:highlight w:val="none"/>
        </w:rPr>
        <w:t xml:space="preserve"> </w:t>
      </w:r>
      <w:r>
        <w:rPr>
          <w:rStyle w:val="77"/>
          <w:rFonts w:hint="eastAsia" w:cs="Times New Roman" w:asciiTheme="minorEastAsia" w:hAnsiTheme="minorEastAsia" w:eastAsiaTheme="minorEastAsia"/>
          <w:snapToGrid/>
          <w:kern w:val="2"/>
          <w:sz w:val="24"/>
          <w:szCs w:val="24"/>
          <w:highlight w:val="none"/>
          <w:lang w:val="en-US" w:eastAsia="zh-CN"/>
        </w:rPr>
        <w:t>7</w:t>
      </w:r>
      <w:r>
        <w:rPr>
          <w:rStyle w:val="77"/>
          <w:rFonts w:hint="eastAsia" w:cs="Times New Roman" w:asciiTheme="minorEastAsia" w:hAnsiTheme="minorEastAsia" w:eastAsiaTheme="minorEastAsia"/>
          <w:snapToGrid/>
          <w:kern w:val="2"/>
          <w:sz w:val="24"/>
          <w:szCs w:val="24"/>
          <w:highlight w:val="none"/>
        </w:rPr>
        <w:t>月</w:t>
      </w:r>
      <w:r>
        <w:rPr>
          <w:rStyle w:val="77"/>
          <w:rFonts w:hint="eastAsia" w:cs="Times New Roman" w:asciiTheme="minorEastAsia" w:hAnsiTheme="minorEastAsia" w:eastAsiaTheme="minorEastAsia"/>
          <w:snapToGrid/>
          <w:kern w:val="2"/>
          <w:sz w:val="24"/>
          <w:szCs w:val="24"/>
          <w:highlight w:val="none"/>
          <w:lang w:val="en-US" w:eastAsia="zh-CN"/>
        </w:rPr>
        <w:t>25</w:t>
      </w:r>
      <w:r>
        <w:rPr>
          <w:rStyle w:val="77"/>
          <w:rFonts w:hint="eastAsia" w:cs="Times New Roman" w:asciiTheme="minorEastAsia" w:hAnsiTheme="minorEastAsia" w:eastAsiaTheme="minorEastAsia"/>
          <w:snapToGrid/>
          <w:kern w:val="2"/>
          <w:sz w:val="24"/>
          <w:szCs w:val="24"/>
          <w:highlight w:val="none"/>
        </w:rPr>
        <w:t xml:space="preserve"> 日</w:t>
      </w:r>
      <w:r>
        <w:rPr>
          <w:rStyle w:val="77"/>
          <w:rFonts w:hint="eastAsia" w:cs="Times New Roman" w:asciiTheme="minorEastAsia" w:hAnsiTheme="minorEastAsia" w:eastAsiaTheme="minorEastAsia"/>
          <w:snapToGrid/>
          <w:kern w:val="2"/>
          <w:sz w:val="24"/>
          <w:szCs w:val="24"/>
          <w:highlight w:val="none"/>
          <w:lang w:val="en-US" w:eastAsia="zh-CN"/>
        </w:rPr>
        <w:t>10</w:t>
      </w:r>
      <w:r>
        <w:rPr>
          <w:rStyle w:val="77"/>
          <w:rFonts w:hint="eastAsia" w:cs="Times New Roman" w:asciiTheme="minorEastAsia" w:hAnsiTheme="minorEastAsia" w:eastAsiaTheme="minorEastAsia"/>
          <w:snapToGrid/>
          <w:kern w:val="2"/>
          <w:sz w:val="24"/>
          <w:szCs w:val="24"/>
          <w:highlight w:val="none"/>
        </w:rPr>
        <w:t xml:space="preserve"> </w:t>
      </w:r>
      <w:r>
        <w:rPr>
          <w:rStyle w:val="77"/>
          <w:rFonts w:hint="eastAsia" w:cs="Times New Roman" w:asciiTheme="minorEastAsia" w:hAnsiTheme="minorEastAsia" w:eastAsiaTheme="minorEastAsia"/>
          <w:snapToGrid/>
          <w:kern w:val="2"/>
          <w:sz w:val="24"/>
          <w:szCs w:val="24"/>
        </w:rPr>
        <w:t xml:space="preserve">点 </w:t>
      </w:r>
      <w:r>
        <w:rPr>
          <w:rStyle w:val="77"/>
          <w:rFonts w:hint="eastAsia" w:cs="Times New Roman" w:asciiTheme="minorEastAsia" w:hAnsiTheme="minorEastAsia" w:eastAsiaTheme="minorEastAsia"/>
          <w:snapToGrid/>
          <w:kern w:val="2"/>
          <w:sz w:val="24"/>
          <w:szCs w:val="24"/>
          <w:lang w:val="en-US" w:eastAsia="zh-CN"/>
        </w:rPr>
        <w:t>00</w:t>
      </w:r>
      <w:r>
        <w:rPr>
          <w:rStyle w:val="77"/>
          <w:rFonts w:hint="eastAsia" w:cs="Times New Roman" w:asciiTheme="minorEastAsia" w:hAnsiTheme="minorEastAsia" w:eastAsiaTheme="minorEastAsia"/>
          <w:snapToGrid/>
          <w:kern w:val="2"/>
          <w:sz w:val="24"/>
          <w:szCs w:val="24"/>
        </w:rPr>
        <w:t>分</w:t>
      </w:r>
      <w:r>
        <w:rPr>
          <w:rStyle w:val="77"/>
          <w:rFonts w:hint="eastAsia" w:cs="Times New Roman" w:asciiTheme="minorEastAsia" w:hAnsiTheme="minorEastAsia" w:eastAsiaTheme="minorEastAsia"/>
          <w:bCs/>
          <w:snapToGrid/>
          <w:kern w:val="2"/>
          <w:sz w:val="24"/>
          <w:szCs w:val="24"/>
        </w:rPr>
        <w:t>00秒</w:t>
      </w:r>
      <w:r>
        <w:rPr>
          <w:rStyle w:val="77"/>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0"/>
        <w:rPr>
          <w:rFonts w:hint="eastAsia" w:ascii="宋体" w:hAnsi="宋体" w:cs="宋体"/>
          <w:b/>
          <w:sz w:val="24"/>
        </w:rPr>
      </w:pPr>
      <w:r>
        <w:rPr>
          <w:rFonts w:hint="eastAsia" w:ascii="宋体" w:hAnsi="宋体" w:cs="宋体"/>
          <w:b/>
          <w:sz w:val="24"/>
        </w:rPr>
        <w:t>项目编号：SCCG2025-GK-17</w:t>
      </w:r>
    </w:p>
    <w:p>
      <w:pPr>
        <w:spacing w:line="360" w:lineRule="auto"/>
        <w:ind w:firstLine="48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b/>
          <w:sz w:val="24"/>
          <w:lang w:eastAsia="zh-CN"/>
        </w:rPr>
        <w:t>2025年杭州市上城区文化和广电旅游体育局应急广播体系建设</w:t>
      </w:r>
    </w:p>
    <w:p>
      <w:pPr>
        <w:spacing w:line="360" w:lineRule="auto"/>
        <w:rPr>
          <w:rFonts w:ascii="宋体" w:hAnsi="宋体" w:cs="宋体"/>
          <w:color w:val="0000FF"/>
          <w:sz w:val="24"/>
        </w:rPr>
      </w:pPr>
      <w:r>
        <w:rPr>
          <w:rFonts w:hint="eastAsia" w:ascii="宋体" w:hAnsi="宋体" w:cs="宋体"/>
          <w:sz w:val="24"/>
        </w:rPr>
        <w:t xml:space="preserve">   </w:t>
      </w:r>
      <w:r>
        <w:rPr>
          <w:rFonts w:hint="eastAsia" w:ascii="宋体" w:hAnsi="宋体" w:cs="宋体"/>
          <w:b/>
          <w:sz w:val="24"/>
        </w:rPr>
        <w:t xml:space="preserve"> 预算金额（元）：465400.00 </w:t>
      </w:r>
      <w:r>
        <w:rPr>
          <w:rFonts w:hint="eastAsia" w:ascii="宋体" w:hAnsi="宋体" w:cs="宋体"/>
          <w:color w:val="0000FF"/>
          <w:sz w:val="24"/>
        </w:rPr>
        <w:t xml:space="preserve"> </w:t>
      </w:r>
    </w:p>
    <w:p>
      <w:pPr>
        <w:spacing w:line="360" w:lineRule="auto"/>
        <w:ind w:firstLine="480"/>
        <w:rPr>
          <w:rFonts w:ascii="宋体" w:hAnsi="宋体" w:cs="宋体"/>
          <w:color w:val="0000FF"/>
          <w:sz w:val="24"/>
        </w:rPr>
      </w:pPr>
      <w:r>
        <w:rPr>
          <w:rFonts w:hint="eastAsia" w:ascii="宋体" w:hAnsi="宋体" w:cs="宋体"/>
          <w:b/>
          <w:sz w:val="24"/>
        </w:rPr>
        <w:t>最高限价（元）：465400.00</w:t>
      </w:r>
      <w:r>
        <w:rPr>
          <w:rFonts w:hint="eastAsia" w:ascii="宋体" w:hAnsi="宋体" w:cs="宋体"/>
          <w:color w:val="0000FF"/>
          <w:sz w:val="24"/>
        </w:rPr>
        <w:t xml:space="preserve"> </w:t>
      </w:r>
    </w:p>
    <w:p>
      <w:pPr>
        <w:pStyle w:val="6"/>
        <w:spacing w:line="360" w:lineRule="auto"/>
        <w:ind w:firstLine="480"/>
        <w:rPr>
          <w:rFonts w:hAnsi="宋体" w:cs="宋体"/>
          <w:bCs/>
          <w:snapToGrid/>
          <w:color w:val="auto"/>
          <w:kern w:val="2"/>
          <w:sz w:val="24"/>
          <w:szCs w:val="24"/>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2025年杭州市上城区文化和广电旅游体育局应急广播体系建设</w:t>
      </w:r>
      <w:r>
        <w:rPr>
          <w:rFonts w:hint="eastAsia" w:hAnsi="宋体" w:cs="宋体"/>
          <w:bCs/>
          <w:snapToGrid/>
          <w:color w:val="auto"/>
          <w:kern w:val="2"/>
          <w:sz w:val="24"/>
          <w:szCs w:val="24"/>
        </w:rPr>
        <w:t>主要内容：</w:t>
      </w:r>
      <w:r>
        <w:rPr>
          <w:rFonts w:hint="eastAsia" w:cs="Times New Roman" w:asciiTheme="minorEastAsia" w:hAnsiTheme="minorEastAsia" w:eastAsiaTheme="minorEastAsia"/>
          <w:snapToGrid/>
          <w:color w:val="auto"/>
          <w:kern w:val="2"/>
          <w:sz w:val="24"/>
          <w:szCs w:val="24"/>
          <w:lang w:val="en-US" w:eastAsia="zh-CN"/>
        </w:rPr>
        <w:t>新建</w:t>
      </w:r>
      <w:r>
        <w:rPr>
          <w:rFonts w:hint="eastAsia" w:cs="Times New Roman" w:asciiTheme="minorEastAsia" w:hAnsiTheme="minorEastAsia" w:eastAsiaTheme="minorEastAsia"/>
          <w:snapToGrid/>
          <w:color w:val="auto"/>
          <w:kern w:val="2"/>
          <w:sz w:val="24"/>
          <w:szCs w:val="24"/>
        </w:rPr>
        <w:t>1</w:t>
      </w:r>
      <w:r>
        <w:rPr>
          <w:rFonts w:hint="eastAsia" w:cs="Times New Roman" w:asciiTheme="minorEastAsia" w:hAnsiTheme="minorEastAsia" w:eastAsiaTheme="minorEastAsia"/>
          <w:snapToGrid/>
          <w:color w:val="auto"/>
          <w:kern w:val="2"/>
          <w:sz w:val="24"/>
          <w:szCs w:val="24"/>
          <w:lang w:val="en-US" w:eastAsia="zh-CN"/>
        </w:rPr>
        <w:t>5套应急广播播发设备</w:t>
      </w:r>
      <w:r>
        <w:rPr>
          <w:rFonts w:hint="eastAsia" w:cs="Times New Roman" w:asciiTheme="minorEastAsia" w:hAnsiTheme="minorEastAsia" w:eastAsiaTheme="minorEastAsia"/>
          <w:snapToGrid/>
          <w:color w:val="auto"/>
          <w:kern w:val="2"/>
          <w:sz w:val="24"/>
          <w:szCs w:val="24"/>
        </w:rPr>
        <w:t>和</w:t>
      </w:r>
      <w:r>
        <w:rPr>
          <w:rFonts w:hint="eastAsia" w:cs="Times New Roman" w:asciiTheme="minorEastAsia" w:hAnsiTheme="minorEastAsia" w:eastAsiaTheme="minorEastAsia"/>
          <w:snapToGrid/>
          <w:color w:val="auto"/>
          <w:kern w:val="2"/>
          <w:sz w:val="24"/>
          <w:szCs w:val="24"/>
          <w:lang w:val="en-US" w:eastAsia="zh-CN"/>
        </w:rPr>
        <w:t>38</w:t>
      </w:r>
      <w:r>
        <w:rPr>
          <w:rFonts w:hint="eastAsia" w:cs="Times New Roman" w:asciiTheme="minorEastAsia" w:hAnsiTheme="minorEastAsia" w:eastAsiaTheme="minorEastAsia"/>
          <w:snapToGrid/>
          <w:color w:val="auto"/>
          <w:kern w:val="2"/>
          <w:sz w:val="24"/>
          <w:szCs w:val="24"/>
        </w:rPr>
        <w:t>个广播接收终端</w:t>
      </w:r>
      <w:r>
        <w:rPr>
          <w:rFonts w:hint="eastAsia" w:cs="Times New Roman" w:asciiTheme="minorEastAsia" w:hAnsiTheme="minorEastAsia" w:eastAsiaTheme="minorEastAsia"/>
          <w:snapToGrid/>
          <w:color w:val="auto"/>
          <w:kern w:val="2"/>
          <w:sz w:val="24"/>
          <w:szCs w:val="24"/>
          <w:lang w:eastAsia="zh-CN"/>
        </w:rPr>
        <w:t>，</w:t>
      </w:r>
      <w:r>
        <w:rPr>
          <w:rFonts w:hint="eastAsia" w:cs="Times New Roman" w:asciiTheme="minorEastAsia" w:hAnsiTheme="minorEastAsia" w:eastAsiaTheme="minorEastAsia"/>
          <w:snapToGrid/>
          <w:color w:val="auto"/>
          <w:kern w:val="2"/>
          <w:sz w:val="24"/>
          <w:szCs w:val="24"/>
          <w:lang w:val="en-US" w:eastAsia="zh-CN"/>
        </w:rPr>
        <w:t>并对已</w:t>
      </w:r>
      <w:r>
        <w:rPr>
          <w:rFonts w:hint="eastAsia" w:cs="Times New Roman" w:asciiTheme="minorEastAsia" w:hAnsiTheme="minorEastAsia" w:eastAsiaTheme="minorEastAsia"/>
          <w:snapToGrid/>
          <w:color w:val="auto"/>
          <w:kern w:val="2"/>
          <w:sz w:val="24"/>
          <w:szCs w:val="24"/>
          <w:highlight w:val="none"/>
          <w:lang w:val="en-US" w:eastAsia="zh-CN"/>
        </w:rPr>
        <w:t>经建设的区级应急广播系统进行安全及功能升级</w:t>
      </w:r>
      <w:r>
        <w:rPr>
          <w:rFonts w:hint="eastAsia" w:cs="Times New Roman" w:asciiTheme="minorEastAsia" w:hAnsiTheme="minorEastAsia" w:eastAsiaTheme="minorEastAsia"/>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w:t>
      </w:r>
      <w:r>
        <w:rPr>
          <w:rFonts w:hint="eastAsia" w:asciiTheme="minorEastAsia" w:hAnsiTheme="minorEastAsia" w:eastAsiaTheme="minorEastAsia"/>
          <w:snapToGrid/>
          <w:color w:val="auto"/>
          <w:kern w:val="2"/>
          <w:sz w:val="24"/>
          <w:szCs w:val="24"/>
        </w:rPr>
        <w:t>，供应商可点击本公告下方“浏览采购文件”查看采购需求。</w:t>
      </w:r>
    </w:p>
    <w:p>
      <w:pPr>
        <w:pStyle w:val="129"/>
        <w:ind w:firstLine="482"/>
        <w:outlineLvl w:val="2"/>
        <w:rPr>
          <w:rFonts w:ascii="宋体" w:hAnsi="宋体" w:cs="宋体"/>
          <w:color w:val="0000FF"/>
        </w:rPr>
      </w:pPr>
      <w:r>
        <w:rPr>
          <w:rFonts w:hint="eastAsia" w:ascii="宋体" w:hAnsi="宋体" w:cs="宋体"/>
          <w:b/>
        </w:rPr>
        <w:t>合同履约期限：自合同签订之</w:t>
      </w:r>
      <w:r>
        <w:rPr>
          <w:rFonts w:hint="eastAsia" w:ascii="宋体" w:hAnsi="宋体" w:cs="宋体"/>
          <w:b/>
          <w:highlight w:val="none"/>
        </w:rPr>
        <w:t>日起</w:t>
      </w:r>
      <w:r>
        <w:rPr>
          <w:rFonts w:hint="eastAsia" w:ascii="宋体" w:hAnsi="宋体" w:cs="宋体"/>
          <w:b/>
          <w:highlight w:val="none"/>
          <w:lang w:val="en-US" w:eastAsia="zh-CN"/>
        </w:rPr>
        <w:t>并</w:t>
      </w:r>
      <w:r>
        <w:rPr>
          <w:rFonts w:hint="eastAsia" w:ascii="宋体" w:hAnsi="宋体" w:cs="宋体"/>
          <w:b/>
          <w:highlight w:val="none"/>
        </w:rPr>
        <w:t>收</w:t>
      </w:r>
      <w:r>
        <w:rPr>
          <w:rFonts w:hint="eastAsia" w:ascii="宋体" w:hAnsi="宋体" w:cs="宋体"/>
          <w:b/>
        </w:rPr>
        <w:t>到甲方通知</w:t>
      </w:r>
      <w:r>
        <w:rPr>
          <w:rFonts w:hint="eastAsia" w:ascii="宋体" w:hAnsi="宋体" w:cs="宋体"/>
          <w:b/>
          <w:lang w:val="en-US" w:eastAsia="zh-CN"/>
        </w:rPr>
        <w:t>90</w:t>
      </w:r>
      <w:r>
        <w:rPr>
          <w:rFonts w:hint="eastAsia" w:ascii="宋体" w:hAnsi="宋体" w:cs="宋体"/>
          <w:b/>
        </w:rPr>
        <w:t xml:space="preserve">日内完成供货，履约期限一年。  </w:t>
      </w:r>
      <w:r>
        <w:rPr>
          <w:rFonts w:hint="eastAsia" w:ascii="宋体" w:hAnsi="宋体" w:cs="宋体"/>
          <w:b/>
          <w:color w:val="0000FF"/>
        </w:rPr>
        <w:t xml:space="preserve"> </w:t>
      </w:r>
    </w:p>
    <w:p>
      <w:pPr>
        <w:pStyle w:val="6"/>
        <w:spacing w:line="360" w:lineRule="auto"/>
        <w:ind w:firstLine="480"/>
        <w:rPr>
          <w:rFonts w:hint="default" w:hAnsi="宋体" w:eastAsia="宋体" w:cs="宋体"/>
          <w:color w:val="auto"/>
          <w:kern w:val="0"/>
          <w:sz w:val="24"/>
          <w:lang w:val="en-US" w:eastAsia="zh-CN"/>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r>
        <w:rPr>
          <w:rFonts w:hint="eastAsia" w:hAnsi="宋体" w:cs="宋体"/>
          <w:color w:val="auto"/>
          <w:kern w:val="0"/>
          <w:sz w:val="24"/>
          <w:lang w:val="en-US" w:eastAsia="zh-CN"/>
        </w:rPr>
        <w:t xml:space="preserve">            </w:t>
      </w:r>
    </w:p>
    <w:p>
      <w:pPr>
        <w:spacing w:line="360" w:lineRule="auto"/>
        <w:rPr>
          <w:rFonts w:ascii="宋体" w:hAnsi="宋体" w:cs="宋体"/>
          <w:b/>
          <w:sz w:val="24"/>
        </w:rPr>
      </w:pPr>
      <w:r>
        <w:rPr>
          <w:rFonts w:hint="eastAsia" w:ascii="宋体" w:hAnsi="宋体" w:cs="宋体"/>
          <w:b/>
          <w:sz w:val="24"/>
        </w:rPr>
        <w:t>二、</w:t>
      </w:r>
      <w:bookmarkStart w:id="15" w:name="_Hlk101132948"/>
      <w:r>
        <w:rPr>
          <w:rFonts w:hint="eastAsia" w:ascii="宋体" w:hAnsi="宋体" w:cs="宋体"/>
          <w:b/>
          <w:sz w:val="24"/>
        </w:rPr>
        <w:t>申请人的资格要求</w:t>
      </w:r>
      <w:bookmarkEnd w:id="15"/>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（注：不得限制大中型企业与小微企业组成联合体参与投标）</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50962"/>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pPr>
        <w:spacing w:line="360" w:lineRule="auto"/>
        <w:ind w:firstLine="897" w:firstLineChars="374"/>
        <w:rPr>
          <w:rFonts w:ascii="宋体" w:hAnsi="宋体" w:cs="宋体"/>
          <w:color w:val="000000" w:themeColor="text1"/>
          <w:sz w:val="24"/>
          <w:u w:val="single"/>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58711"/>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货物全部由符合政策要求的中小企业制造，提供中小企业声明函；</w:t>
      </w:r>
    </w:p>
    <w:p>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65856"/>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货物全部由符合政策要求的小微企业制造，提供中小企业声明函；</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694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bookmarkStart w:id="16" w:name="_Hlk101132524"/>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bookmarkEnd w:id="16"/>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lang w:val="en-US" w:eastAsia="zh-CN"/>
          <w14:textFill>
            <w14:solidFill>
              <w14:schemeClr w14:val="tx1"/>
            </w14:solidFill>
          </w14:textFill>
        </w:rPr>
        <w:t xml:space="preserve">    </w:t>
      </w: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eastAsia="宋体" w:cs="宋体"/>
            <w:b w:val="0"/>
            <w:bCs w:val="0"/>
            <w:snapToGrid w:val="0"/>
            <w:color w:val="000000" w:themeColor="text1"/>
            <w:kern w:val="28"/>
            <w:sz w:val="24"/>
            <w:szCs w:val="20"/>
            <w:lang w:val="en-US" w:eastAsia="zh-CN" w:bidi="ar-SA"/>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eastAsia="宋体" w:cs="宋体"/>
          <w:b w:val="0"/>
          <w:bCs w:val="0"/>
          <w:snapToGrid w:val="0"/>
          <w:color w:val="000000" w:themeColor="text1"/>
          <w:kern w:val="28"/>
          <w:sz w:val="24"/>
          <w:szCs w:val="20"/>
          <w:lang w:val="en-US" w:eastAsia="zh-CN" w:bidi="ar-SA"/>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eastAsia="宋体" w:cs="宋体"/>
          <w:b w:val="0"/>
          <w:bCs w:val="0"/>
          <w:snapToGrid w:val="0"/>
          <w:color w:val="000000" w:themeColor="text1"/>
          <w:kern w:val="28"/>
          <w:sz w:val="24"/>
          <w:szCs w:val="20"/>
          <w:lang w:val="en-US" w:eastAsia="zh-CN" w:bidi="ar-SA"/>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eastAsia="宋体" w:cs="宋体"/>
          <w:b w:val="0"/>
          <w:bCs w:val="0"/>
          <w:snapToGrid w:val="0"/>
          <w:color w:val="000000" w:themeColor="text1"/>
          <w:kern w:val="28"/>
          <w:sz w:val="24"/>
          <w:szCs w:val="20"/>
          <w:lang w:val="en-US" w:eastAsia="zh-CN" w:bidi="ar-SA"/>
          <w14:textFill>
            <w14:solidFill>
              <w14:schemeClr w14:val="tx1"/>
            </w14:solidFill>
          </w14:textFill>
        </w:rPr>
        <w:t>% ;如果供应商本身提供所有标的均由中小企业制造、承建或承接，并相应达到了前述比例要求，视同符合了资格条件，无需再向中小企业分包，无需提供分包意向协议；</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sz w:val="24"/>
        </w:rPr>
        <w:t>时间：</w:t>
      </w:r>
      <w:r>
        <w:rPr>
          <w:rFonts w:hint="eastAsia" w:ascii="宋体" w:hAnsi="宋体" w:cs="宋体"/>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 xml:space="preserve"> 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 xml:space="preserve"> 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 xml:space="preserve"> 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 xml:space="preserve"> 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 xml:space="preserve"> 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分00秒</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highlight w:val="none"/>
        </w:rPr>
      </w:pPr>
      <w:r>
        <w:rPr>
          <w:rFonts w:hint="eastAsia" w:ascii="宋体" w:hAnsi="宋体" w:cs="宋体"/>
          <w:sz w:val="24"/>
        </w:rPr>
        <w:t xml:space="preserve"> 2.根据《浙江省财政厅关于进一步促进政府采购公平竞争打造最优营商环境的通知》（浙财采监（2021）22号）文件</w:t>
      </w:r>
      <w:r>
        <w:rPr>
          <w:rFonts w:hint="eastAsia" w:ascii="宋体" w:hAnsi="宋体" w:cs="宋体"/>
          <w:sz w:val="24"/>
          <w:highlight w:val="none"/>
        </w:rPr>
        <w:t>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ascii="宋体" w:hAnsi="宋体" w:cs="宋体"/>
          <w:sz w:val="24"/>
          <w:highlight w:val="none"/>
          <w:lang w:eastAsia="zh-CN"/>
        </w:rPr>
        <w:t>浙江政务服务网</w:t>
      </w:r>
      <w:r>
        <w:rPr>
          <w:rFonts w:hint="eastAsia" w:ascii="宋体" w:hAnsi="宋体" w:cs="宋体"/>
          <w:sz w:val="24"/>
          <w:highlight w:val="none"/>
        </w:rPr>
        <w:t>-政府采购投诉处理-在线办理。</w:t>
      </w:r>
    </w:p>
    <w:p>
      <w:pPr>
        <w:spacing w:line="360" w:lineRule="auto"/>
        <w:ind w:firstLine="480" w:firstLineChars="200"/>
        <w:rPr>
          <w:rFonts w:ascii="宋体" w:hAnsi="宋体" w:cs="宋体"/>
          <w:sz w:val="24"/>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w:t>
      </w:r>
      <w:r>
        <w:rPr>
          <w:rFonts w:hint="eastAsia" w:ascii="宋体" w:hAnsi="宋体" w:cs="宋体"/>
          <w:sz w:val="24"/>
        </w:rPr>
        <w:t>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highlight w:val="none"/>
          <w:lang w:eastAsia="zh-CN"/>
        </w:rPr>
        <w:t>采购机构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 xml:space="preserve">  </w:t>
      </w:r>
      <w:r>
        <w:rPr>
          <w:rFonts w:hint="eastAsia" w:ascii="宋体" w:hAnsi="宋体" w:cs="宋体"/>
          <w:color w:val="000000" w:themeColor="text1"/>
          <w:sz w:val="24"/>
          <w14:textFill>
            <w14:solidFill>
              <w14:schemeClr w14:val="tx1"/>
            </w14:solidFill>
          </w14:textFill>
        </w:rPr>
        <w:t xml:space="preserve">  名    称：（采购人）</w:t>
      </w:r>
      <w:bookmarkStart w:id="17" w:name="OLE_LINK9"/>
      <w:r>
        <w:rPr>
          <w:rFonts w:hint="eastAsia" w:ascii="宋体" w:hAnsi="宋体" w:cs="宋体"/>
          <w:color w:val="000000" w:themeColor="text1"/>
          <w:sz w:val="24"/>
          <w:lang w:eastAsia="zh-CN"/>
          <w14:textFill>
            <w14:solidFill>
              <w14:schemeClr w14:val="tx1"/>
            </w14:solidFill>
          </w14:textFill>
        </w:rPr>
        <w:t>上城区文化和广电旅游体育局</w:t>
      </w:r>
      <w:bookmarkEnd w:id="17"/>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w:t>
      </w:r>
      <w:bookmarkStart w:id="18" w:name="OLE_LINK10"/>
      <w:r>
        <w:rPr>
          <w:rFonts w:hint="eastAsia" w:ascii="宋体" w:hAnsi="宋体" w:cs="宋体"/>
          <w:color w:val="000000" w:themeColor="text1"/>
          <w:sz w:val="24"/>
          <w:lang w:eastAsia="zh-CN"/>
          <w14:textFill>
            <w14:solidFill>
              <w14:schemeClr w14:val="tx1"/>
            </w14:solidFill>
          </w14:textFill>
        </w:rPr>
        <w:t>杭州市青春东路</w:t>
      </w:r>
      <w:r>
        <w:rPr>
          <w:rFonts w:hint="eastAsia" w:ascii="宋体" w:hAnsi="宋体" w:cs="宋体"/>
          <w:color w:val="000000" w:themeColor="text1"/>
          <w:sz w:val="24"/>
          <w:lang w:val="en-US" w:eastAsia="zh-CN"/>
          <w14:textFill>
            <w14:solidFill>
              <w14:schemeClr w14:val="tx1"/>
            </w14:solidFill>
          </w14:textFill>
        </w:rPr>
        <w:t>1号上城区综合服务中心</w:t>
      </w:r>
      <w:r>
        <w:rPr>
          <w:rFonts w:hint="eastAsia" w:ascii="宋体" w:hAnsi="宋体" w:cs="宋体"/>
          <w:color w:val="000000" w:themeColor="text1"/>
          <w:sz w:val="24"/>
          <w14:textFill>
            <w14:solidFill>
              <w14:schemeClr w14:val="tx1"/>
            </w14:solidFill>
          </w14:textFill>
        </w:rPr>
        <w:t xml:space="preserve"> </w:t>
      </w:r>
      <w:bookmarkEnd w:id="18"/>
      <w:r>
        <w:rPr>
          <w:rFonts w:hint="eastAsia" w:ascii="宋体" w:hAnsi="宋体" w:cs="宋体"/>
          <w:color w:val="000000" w:themeColor="text1"/>
          <w:sz w:val="24"/>
          <w14:textFill>
            <w14:solidFill>
              <w14:schemeClr w14:val="tx1"/>
            </w14:solidFill>
          </w14:textFill>
        </w:rPr>
        <w:t xml:space="preserve">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pPr>
        <w:spacing w:line="360" w:lineRule="auto"/>
        <w:ind w:firstLine="48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w:t>
      </w:r>
      <w:bookmarkStart w:id="19" w:name="OLE_LINK12"/>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eastAsia="zh-CN"/>
          <w14:textFill>
            <w14:solidFill>
              <w14:schemeClr w14:val="tx1"/>
            </w14:solidFill>
          </w14:textFill>
        </w:rPr>
        <w:t>吴老师</w:t>
      </w:r>
      <w:bookmarkEnd w:id="19"/>
    </w:p>
    <w:p>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 </w:t>
      </w:r>
      <w:bookmarkStart w:id="20" w:name="OLE_LINK18"/>
      <w:bookmarkStart w:id="21" w:name="OLE_LINK15"/>
      <w:r>
        <w:rPr>
          <w:rFonts w:hint="eastAsia" w:ascii="宋体" w:hAnsi="宋体" w:cs="宋体"/>
          <w:color w:val="000000" w:themeColor="text1"/>
          <w:sz w:val="24"/>
          <w:lang w:val="en-US" w:eastAsia="zh-CN"/>
          <w14:textFill>
            <w14:solidFill>
              <w14:schemeClr w14:val="tx1"/>
            </w14:solidFill>
          </w14:textFill>
        </w:rPr>
        <w:t>0571-</w:t>
      </w:r>
      <w:bookmarkEnd w:id="20"/>
      <w:r>
        <w:rPr>
          <w:rFonts w:hint="eastAsia" w:ascii="宋体" w:hAnsi="宋体" w:cs="宋体"/>
          <w:color w:val="000000" w:themeColor="text1"/>
          <w:sz w:val="24"/>
          <w:lang w:val="en-US" w:eastAsia="zh-CN"/>
          <w14:textFill>
            <w14:solidFill>
              <w14:schemeClr w14:val="tx1"/>
            </w14:solidFill>
          </w14:textFill>
        </w:rPr>
        <w:t>89501133</w:t>
      </w:r>
      <w:bookmarkEnd w:id="21"/>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w:t>
      </w:r>
      <w:bookmarkStart w:id="22" w:name="OLE_LINK16"/>
      <w:r>
        <w:rPr>
          <w:rFonts w:hint="eastAsia" w:ascii="宋体" w:hAnsi="宋体" w:cs="宋体"/>
          <w:color w:val="000000" w:themeColor="text1"/>
          <w:sz w:val="24"/>
          <w:lang w:eastAsia="zh-CN"/>
          <w14:textFill>
            <w14:solidFill>
              <w14:schemeClr w14:val="tx1"/>
            </w14:solidFill>
          </w14:textFill>
        </w:rPr>
        <w:t>张老师</w:t>
      </w:r>
      <w:bookmarkEnd w:id="22"/>
      <w:r>
        <w:rPr>
          <w:rFonts w:hint="eastAsia" w:ascii="宋体" w:hAnsi="宋体" w:cs="宋体"/>
          <w:color w:val="000000" w:themeColor="text1"/>
          <w:sz w:val="24"/>
          <w14:textFill>
            <w14:solidFill>
              <w14:schemeClr w14:val="tx1"/>
            </w14:solidFill>
          </w14:textFill>
        </w:rPr>
        <w:t xml:space="preserve"> </w:t>
      </w:r>
    </w:p>
    <w:p>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质疑联系方式：</w:t>
      </w:r>
      <w:bookmarkStart w:id="23" w:name="OLE_LINK17"/>
      <w:r>
        <w:rPr>
          <w:rFonts w:hint="eastAsia" w:ascii="宋体" w:hAnsi="宋体" w:cs="宋体"/>
          <w:color w:val="000000" w:themeColor="text1"/>
          <w:sz w:val="24"/>
          <w:lang w:val="en-US" w:eastAsia="zh-CN"/>
          <w14:textFill>
            <w14:solidFill>
              <w14:schemeClr w14:val="tx1"/>
            </w14:solidFill>
          </w14:textFill>
        </w:rPr>
        <w:t>0571-89501128</w:t>
      </w:r>
      <w:bookmarkEnd w:id="23"/>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highlight w:val="none"/>
        </w:rPr>
      </w:pPr>
      <w:r>
        <w:rPr>
          <w:rFonts w:hint="eastAsia" w:ascii="宋体" w:hAnsi="宋体" w:cs="宋体"/>
          <w:sz w:val="24"/>
          <w:highlight w:val="none"/>
        </w:rPr>
        <w:t>名    称：杭州市公共资源交易中心上城分中心</w:t>
      </w:r>
    </w:p>
    <w:p>
      <w:pPr>
        <w:spacing w:line="360" w:lineRule="auto"/>
        <w:ind w:firstLine="480"/>
        <w:rPr>
          <w:rFonts w:ascii="宋体" w:hAnsi="宋体" w:cs="宋体"/>
          <w:sz w:val="24"/>
          <w:highlight w:val="none"/>
        </w:rPr>
      </w:pPr>
      <w:r>
        <w:rPr>
          <w:rFonts w:hint="eastAsia" w:ascii="宋体" w:hAnsi="宋体" w:cs="宋体"/>
          <w:sz w:val="24"/>
          <w:highlight w:val="none"/>
        </w:rPr>
        <w:t>地    址：杭州市上城区凤起东路888号</w:t>
      </w:r>
      <w:r>
        <w:rPr>
          <w:rFonts w:hint="eastAsia" w:ascii="宋体" w:hAnsi="宋体" w:cs="宋体"/>
          <w:sz w:val="24"/>
          <w:highlight w:val="none"/>
          <w:lang w:val="en-US" w:eastAsia="zh-CN"/>
        </w:rPr>
        <w:t>畅聚新达大厦</w:t>
      </w:r>
      <w:r>
        <w:rPr>
          <w:rFonts w:hint="eastAsia" w:ascii="宋体" w:hAnsi="宋体" w:cs="宋体"/>
          <w:sz w:val="24"/>
          <w:highlight w:val="none"/>
        </w:rPr>
        <w:t>四楼</w:t>
      </w:r>
    </w:p>
    <w:p>
      <w:pPr>
        <w:spacing w:line="360" w:lineRule="auto"/>
        <w:ind w:firstLine="480"/>
        <w:rPr>
          <w:rFonts w:hint="eastAsia" w:ascii="宋体" w:hAnsi="宋体" w:cs="宋体"/>
          <w:sz w:val="24"/>
          <w:highlight w:val="none"/>
        </w:rPr>
      </w:pPr>
      <w:r>
        <w:rPr>
          <w:rFonts w:hint="eastAsia" w:ascii="宋体" w:hAnsi="宋体" w:cs="宋体"/>
          <w:sz w:val="24"/>
          <w:highlight w:val="none"/>
        </w:rPr>
        <w:t xml:space="preserve">传    真： /    </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eastAsia="zh-CN"/>
          <w14:textFill>
            <w14:solidFill>
              <w14:schemeClr w14:val="tx1"/>
            </w14:solidFill>
          </w14:textFill>
        </w:rPr>
        <w:t>盛工</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项目联系方式（询问）：0571-</w:t>
      </w:r>
      <w:r>
        <w:rPr>
          <w:rFonts w:hint="eastAsia" w:ascii="宋体" w:hAnsi="宋体" w:cs="宋体"/>
          <w:color w:val="000000" w:themeColor="text1"/>
          <w:sz w:val="24"/>
          <w:highlight w:val="none"/>
          <w:lang w:val="en-US" w:eastAsia="zh-CN"/>
          <w14:textFill>
            <w14:solidFill>
              <w14:schemeClr w14:val="tx1"/>
            </w14:solidFill>
          </w14:textFill>
        </w:rPr>
        <w:t>87654833</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 </w:t>
      </w:r>
      <w:r>
        <w:rPr>
          <w:rFonts w:hint="eastAsia" w:ascii="宋体" w:hAnsi="宋体" w:cs="宋体"/>
          <w:color w:val="000000" w:themeColor="text1"/>
          <w:sz w:val="24"/>
          <w:highlight w:val="none"/>
          <w:lang w:eastAsia="zh-CN"/>
          <w14:textFill>
            <w14:solidFill>
              <w14:schemeClr w14:val="tx1"/>
            </w14:solidFill>
          </w14:textFill>
        </w:rPr>
        <w:t>宋老师</w:t>
      </w:r>
    </w:p>
    <w:p>
      <w:pPr>
        <w:spacing w:line="360" w:lineRule="auto"/>
        <w:rPr>
          <w:rFonts w:ascii="宋体" w:hAnsi="宋体" w:cs="宋体"/>
          <w:color w:val="FF0000"/>
          <w:sz w:val="24"/>
          <w:highlight w:val="none"/>
        </w:rPr>
      </w:pPr>
      <w:r>
        <w:rPr>
          <w:rFonts w:hint="eastAsia" w:ascii="宋体" w:hAnsi="宋体" w:cs="宋体"/>
          <w:color w:val="000000" w:themeColor="text1"/>
          <w:sz w:val="24"/>
          <w:highlight w:val="none"/>
          <w14:textFill>
            <w14:solidFill>
              <w14:schemeClr w14:val="tx1"/>
            </w14:solidFill>
          </w14:textFill>
        </w:rPr>
        <w:t xml:space="preserve">    质疑联系方式</w:t>
      </w:r>
      <w:r>
        <w:rPr>
          <w:rFonts w:hint="eastAsia" w:ascii="宋体" w:hAnsi="宋体" w:cs="宋体"/>
          <w:color w:val="FF0000"/>
          <w:sz w:val="24"/>
          <w:highlight w:val="none"/>
        </w:rPr>
        <w:t>：</w:t>
      </w:r>
      <w:r>
        <w:rPr>
          <w:rFonts w:hint="eastAsia" w:ascii="宋体" w:hAnsi="宋体" w:cs="宋体"/>
          <w:color w:val="000000" w:themeColor="text1"/>
          <w:sz w:val="24"/>
          <w:highlight w:val="none"/>
          <w14:textFill>
            <w14:solidFill>
              <w14:schemeClr w14:val="tx1"/>
            </w14:solidFill>
          </w14:textFill>
        </w:rPr>
        <w:t>0571-</w:t>
      </w:r>
      <w:r>
        <w:rPr>
          <w:rFonts w:hint="eastAsia" w:ascii="宋体" w:hAnsi="宋体" w:cs="宋体"/>
          <w:color w:val="000000" w:themeColor="text1"/>
          <w:sz w:val="24"/>
          <w:highlight w:val="none"/>
          <w:lang w:val="en-US" w:eastAsia="zh-CN"/>
          <w14:textFill>
            <w14:solidFill>
              <w14:schemeClr w14:val="tx1"/>
            </w14:solidFill>
          </w14:textFill>
        </w:rPr>
        <w:t>87654292</w:t>
      </w:r>
    </w:p>
    <w:p>
      <w:pPr>
        <w:spacing w:line="360" w:lineRule="auto"/>
        <w:rPr>
          <w:rFonts w:hint="eastAsia" w:ascii="宋体" w:hAnsi="宋体" w:eastAsia="宋体" w:cs="宋体"/>
          <w:color w:val="auto"/>
          <w:sz w:val="24"/>
          <w:lang w:val="en-US" w:eastAsia="zh-CN"/>
        </w:rPr>
      </w:pPr>
      <w:r>
        <w:rPr>
          <w:rFonts w:hint="eastAsia" w:ascii="宋体" w:hAnsi="宋体" w:cs="宋体"/>
          <w:sz w:val="24"/>
        </w:rPr>
        <w:t xml:space="preserve">    3.</w:t>
      </w:r>
      <w:r>
        <w:rPr>
          <w:rFonts w:hint="eastAsia"/>
        </w:rPr>
        <w:t xml:space="preserve"> </w:t>
      </w:r>
      <w:r>
        <w:rPr>
          <w:rFonts w:hint="eastAsia" w:ascii="宋体" w:hAnsi="宋体" w:eastAsia="宋体" w:cs="宋体"/>
          <w:color w:val="auto"/>
          <w:sz w:val="24"/>
          <w:lang w:val="en-US" w:eastAsia="zh-CN"/>
        </w:rPr>
        <w:t xml:space="preserve">同级政府采购监督管理部门            </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名  称：杭州市上城区财政局/浙江省政府采购行政裁决服务中心（杭州）</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lang w:val="en-US" w:eastAsia="zh-CN"/>
        </w:rPr>
        <w:t>地    址</w:t>
      </w:r>
      <w:r>
        <w:rPr>
          <w:rFonts w:hint="eastAsia" w:ascii="宋体" w:hAnsi="宋体" w:eastAsia="宋体" w:cs="宋体"/>
          <w:color w:val="auto"/>
          <w:sz w:val="24"/>
          <w:highlight w:val="none"/>
          <w:lang w:val="en-US" w:eastAsia="zh-CN"/>
        </w:rPr>
        <w:t>：杭州市上城区清泰街549号城建综合大楼11楼（快递仅限ems或顺丰）</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传    真： /</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联系人 ：朱女士、王女士</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监督投诉电话：0571-87227671,0571-87800218 </w:t>
      </w:r>
    </w:p>
    <w:p>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政策咨询电话：严女士，0571-89500858，陈女士，单女士，0571-89500861</w:t>
      </w:r>
    </w:p>
    <w:p>
      <w:pPr>
        <w:pStyle w:val="2"/>
        <w:rPr>
          <w:rFonts w:hint="eastAsia"/>
        </w:rPr>
      </w:pP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3"/>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pPr>
        <w:pStyle w:val="4"/>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12"/>
      <w:r>
        <w:rPr>
          <w:rFonts w:hint="eastAsia" w:ascii="宋体" w:hAnsi="宋体" w:cs="宋体"/>
          <w:b/>
          <w:sz w:val="36"/>
          <w:szCs w:val="20"/>
        </w:rPr>
        <w:t xml:space="preserve"> 投标人须知</w:t>
      </w:r>
      <w:bookmarkEnd w:id="13"/>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highlight w:val="none"/>
              </w:rPr>
              <w:t>货物类</w:t>
            </w: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IP</w:t>
            </w:r>
            <w:bookmarkStart w:id="24" w:name="OLE_LINK21"/>
            <w:r>
              <w:rPr>
                <w:rFonts w:hint="eastAsia" w:ascii="宋体" w:hAnsi="宋体" w:cs="宋体"/>
                <w:color w:val="auto"/>
                <w:sz w:val="24"/>
                <w:highlight w:val="none"/>
                <w:u w:val="single"/>
                <w:lang w:val="en-US" w:eastAsia="zh-CN"/>
              </w:rPr>
              <w:t>音柱</w:t>
            </w:r>
            <w:bookmarkEnd w:id="24"/>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2025年杭州市上城区文化和广电旅游体育局应急广播体系建设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bookmarkStart w:id="25" w:name="OLE_LINK22"/>
            <w:r>
              <w:rPr>
                <w:rFonts w:hint="eastAsia" w:ascii="宋体" w:hAnsi="宋体" w:cs="宋体"/>
                <w:color w:val="auto"/>
                <w:kern w:val="0"/>
                <w:sz w:val="24"/>
                <w:highlight w:val="none"/>
                <w:u w:val="single"/>
                <w:lang w:eastAsia="zh-CN"/>
              </w:rPr>
              <w:t>工业（制造业</w:t>
            </w:r>
            <w:bookmarkEnd w:id="25"/>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行业；</w:t>
            </w:r>
          </w:p>
          <w:p>
            <w:pPr>
              <w:pStyle w:val="4"/>
              <w:ind w:left="0" w:leftChars="0" w:firstLine="0" w:firstLineChars="0"/>
              <w:rPr>
                <w:rFonts w:ascii="宋体" w:hAnsi="宋体" w:eastAsia="宋体" w:cs="宋体"/>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工业（制造业）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highlight w:val="none"/>
              </w:rPr>
            </w:pPr>
            <w:sdt>
              <w:sdtPr>
                <w:rPr>
                  <w:rFonts w:hint="eastAsia" w:ascii="宋体" w:hAnsi="宋体" w:cs="宋体"/>
                  <w:kern w:val="0"/>
                  <w:sz w:val="24"/>
                </w:rPr>
                <w:id w:val="14747755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本项目不允许采购进口产品。</w:t>
            </w:r>
          </w:p>
          <w:p>
            <w:pPr>
              <w:spacing w:line="360" w:lineRule="auto"/>
              <w:rPr>
                <w:rFonts w:hint="eastAsia" w:ascii="宋体" w:hAnsi="宋体" w:eastAsia="宋体" w:cs="宋体"/>
                <w:lang w:val="en-US" w:eastAsia="zh-CN"/>
              </w:rPr>
            </w:pPr>
            <w:sdt>
              <w:sdtPr>
                <w:rPr>
                  <w:rFonts w:hint="eastAsia" w:ascii="宋体" w:hAnsi="宋体" w:cs="宋体"/>
                  <w:kern w:val="0"/>
                  <w:sz w:val="24"/>
                  <w:highlight w:val="none"/>
                </w:rPr>
                <w:id w:val="14745920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Mincho" w:cs="MS Mincho"/>
                    <w:kern w:val="0"/>
                    <w:sz w:val="24"/>
                    <w:szCs w:val="24"/>
                    <w:highlight w:val="none"/>
                    <w:lang w:val="en-US" w:eastAsia="zh-CN" w:bidi="ar-SA"/>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45593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A</w:t>
            </w:r>
            <w:r>
              <w:rPr>
                <w:rFonts w:hint="eastAsia" w:ascii="宋体" w:hAnsi="宋体" w:cs="宋体"/>
                <w:sz w:val="24"/>
              </w:rPr>
              <w:t>同意将非主体、</w:t>
            </w:r>
            <w:r>
              <w:rPr>
                <w:rFonts w:hint="eastAsia" w:ascii="宋体" w:hAnsi="宋体" w:cs="宋体"/>
                <w:color w:val="auto"/>
                <w:sz w:val="24"/>
              </w:rPr>
              <w:t>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kern w:val="0"/>
                  <w:sz w:val="24"/>
                </w:rPr>
                <w:id w:val="14748269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sdt>
              <w:sdtPr>
                <w:rPr>
                  <w:rFonts w:hint="eastAsia" w:ascii="宋体" w:hAnsi="宋体" w:cs="宋体"/>
                  <w:kern w:val="0"/>
                  <w:sz w:val="24"/>
                </w:rPr>
                <w:id w:val="147481541"/>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pPr>
              <w:pStyle w:val="2"/>
              <w:ind w:firstLine="0" w:firstLineChars="0"/>
              <w:rPr>
                <w:rFonts w:hint="eastAsia" w:ascii="宋体" w:hAnsi="宋体" w:eastAsia="宋体" w:cs="宋体"/>
                <w:kern w:val="2"/>
                <w:sz w:val="24"/>
                <w:szCs w:val="24"/>
                <w:highlight w:val="none"/>
                <w:lang w:val="en-US" w:eastAsia="zh-CN" w:bidi="ar-SA"/>
              </w:rPr>
            </w:pPr>
            <w:sdt>
              <w:sdtPr>
                <w:rPr>
                  <w:rFonts w:hint="eastAsia" w:ascii="宋体" w:hAnsi="宋体" w:eastAsia="宋体" w:cs="宋体"/>
                  <w:kern w:val="0"/>
                  <w:sz w:val="24"/>
                  <w:szCs w:val="24"/>
                  <w:highlight w:val="none"/>
                  <w:lang w:val="en-US" w:eastAsia="zh-CN" w:bidi="ar-SA"/>
                </w:rPr>
                <w:id w:val="147464024"/>
                <w14:checkbox>
                  <w14:checked w14:val="0"/>
                  <w14:checkedState w14:val="00FE" w14:font="Wingdings"/>
                  <w14:uncheckedState w14:val="2610" w14:font="MS Gothic"/>
                </w14:checkbox>
              </w:sdtPr>
              <w:sdtEndPr>
                <w:rPr>
                  <w:rFonts w:hint="eastAsia" w:ascii="宋体" w:hAnsi="宋体" w:eastAsia="宋体" w:cs="宋体"/>
                  <w:kern w:val="0"/>
                  <w:sz w:val="24"/>
                  <w:szCs w:val="24"/>
                  <w:highlight w:val="none"/>
                  <w:lang w:val="en-US" w:eastAsia="zh-CN" w:bidi="ar-SA"/>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eastAsia="宋体" w:cs="宋体"/>
                <w:kern w:val="0"/>
                <w:sz w:val="24"/>
                <w:szCs w:val="24"/>
                <w:highlight w:val="none"/>
                <w:lang w:val="en-US" w:eastAsia="zh-CN" w:bidi="ar-SA"/>
              </w:rPr>
              <w:t xml:space="preserve">B </w:t>
            </w:r>
            <w:r>
              <w:rPr>
                <w:rFonts w:hint="eastAsia" w:ascii="宋体" w:hAnsi="宋体" w:eastAsia="宋体" w:cs="宋体"/>
                <w:kern w:val="2"/>
                <w:sz w:val="24"/>
                <w:szCs w:val="24"/>
                <w:highlight w:val="none"/>
                <w:lang w:val="en-US" w:eastAsia="zh-CN" w:bidi="ar-SA"/>
              </w:rPr>
              <w:t>组织，时间：</w:t>
            </w:r>
            <w:bookmarkStart w:id="26" w:name="OLE_LINK1"/>
            <w:r>
              <w:rPr>
                <w:rFonts w:hint="eastAsia" w:ascii="宋体" w:hAnsi="宋体" w:cs="宋体"/>
                <w:sz w:val="24"/>
                <w:highlight w:val="none"/>
                <w:u w:val="single"/>
              </w:rPr>
              <w:t xml:space="preserve">      </w:t>
            </w:r>
            <w:bookmarkEnd w:id="26"/>
            <w:r>
              <w:rPr>
                <w:rFonts w:hint="eastAsia" w:ascii="宋体" w:hAnsi="宋体" w:cs="宋体"/>
                <w:sz w:val="24"/>
                <w:highlight w:val="none"/>
              </w:rPr>
              <w:t>,</w:t>
            </w:r>
            <w:r>
              <w:rPr>
                <w:rFonts w:hint="eastAsia" w:ascii="宋体" w:hAnsi="宋体" w:eastAsia="宋体" w:cs="宋体"/>
                <w:kern w:val="2"/>
                <w:sz w:val="24"/>
                <w:szCs w:val="24"/>
                <w:highlight w:val="none"/>
                <w:lang w:val="en-US" w:eastAsia="zh-CN" w:bidi="ar-SA"/>
              </w:rPr>
              <w:t>地点：</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eastAsia="宋体" w:cs="宋体"/>
                <w:kern w:val="2"/>
                <w:sz w:val="24"/>
                <w:szCs w:val="24"/>
                <w:highlight w:val="none"/>
                <w:lang w:val="en-US" w:eastAsia="zh-CN" w:bidi="ar-SA"/>
              </w:rPr>
              <w:t>联系人：</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eastAsia="宋体" w:cs="宋体"/>
                <w:kern w:val="2"/>
                <w:sz w:val="24"/>
                <w:szCs w:val="24"/>
                <w:highlight w:val="none"/>
                <w:lang w:val="en-US" w:eastAsia="zh-CN" w:bidi="ar-SA"/>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r>
              <w:rPr>
                <w:rFonts w:hint="eastAsia" w:ascii="宋体" w:hAnsi="宋体" w:cs="宋体"/>
                <w:sz w:val="24"/>
                <w:szCs w:val="20"/>
                <w:highlight w:val="none"/>
              </w:rPr>
              <w:br w:type="textWrapping"/>
            </w:r>
            <w:sdt>
              <w:sdtPr>
                <w:rPr>
                  <w:rFonts w:hint="eastAsia" w:ascii="宋体" w:hAnsi="宋体" w:cs="宋体"/>
                  <w:kern w:val="0"/>
                  <w:sz w:val="24"/>
                  <w:highlight w:val="none"/>
                </w:rPr>
                <w:id w:val="14746958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eastAsia="宋体" w:cs="宋体"/>
                <w:kern w:val="2"/>
                <w:sz w:val="24"/>
                <w:szCs w:val="24"/>
                <w:highlight w:val="none"/>
                <w:lang w:val="en-US" w:eastAsia="zh-CN" w:bidi="ar-SA"/>
              </w:rPr>
              <w:t>C 不统一组织，供应商在获取采购文件后，自行至项目现场考察。地点：</w:t>
            </w:r>
            <w:r>
              <w:rPr>
                <w:rFonts w:hint="eastAsia" w:ascii="宋体" w:hAnsi="宋体" w:cs="宋体"/>
                <w:sz w:val="24"/>
                <w:highlight w:val="none"/>
                <w:u w:val="single"/>
              </w:rPr>
              <w:t xml:space="preserve"> 杭州市上城区庆春东路1号 </w:t>
            </w:r>
            <w:r>
              <w:rPr>
                <w:rFonts w:hint="eastAsia" w:ascii="宋体" w:hAnsi="宋体" w:eastAsia="宋体" w:cs="宋体"/>
                <w:kern w:val="2"/>
                <w:sz w:val="24"/>
                <w:szCs w:val="24"/>
                <w:highlight w:val="none"/>
                <w:lang w:val="en-US" w:eastAsia="zh-CN" w:bidi="ar-SA"/>
              </w:rPr>
              <w:t xml:space="preserve"> ，联系人：</w:t>
            </w:r>
            <w:r>
              <w:rPr>
                <w:rFonts w:hint="eastAsia" w:ascii="宋体" w:hAnsi="宋体" w:cs="宋体"/>
                <w:sz w:val="24"/>
                <w:highlight w:val="none"/>
                <w:u w:val="single"/>
              </w:rPr>
              <w:t xml:space="preserve"> 吴家平 </w:t>
            </w:r>
            <w:r>
              <w:rPr>
                <w:rFonts w:hint="eastAsia" w:ascii="宋体" w:hAnsi="宋体" w:eastAsia="宋体" w:cs="宋体"/>
                <w:kern w:val="2"/>
                <w:sz w:val="24"/>
                <w:szCs w:val="24"/>
                <w:highlight w:val="none"/>
                <w:lang w:val="en-US" w:eastAsia="zh-CN" w:bidi="ar-SA"/>
              </w:rPr>
              <w:t xml:space="preserve"> ，联系方式：</w:t>
            </w:r>
            <w:r>
              <w:rPr>
                <w:rFonts w:hint="eastAsia" w:ascii="宋体" w:hAnsi="宋体" w:cs="宋体"/>
                <w:sz w:val="24"/>
                <w:highlight w:val="none"/>
                <w:u w:val="single"/>
              </w:rPr>
              <w:t xml:space="preserve"> 0571-89501133 </w:t>
            </w:r>
            <w:r>
              <w:rPr>
                <w:rFonts w:hint="eastAsia" w:ascii="宋体" w:hAnsi="宋体" w:eastAsia="宋体" w:cs="宋体"/>
                <w:kern w:val="2"/>
                <w:sz w:val="24"/>
                <w:szCs w:val="24"/>
                <w:highlight w:val="none"/>
                <w:lang w:val="en-US" w:eastAsia="zh-CN" w:bidi="ar-SA"/>
              </w:rPr>
              <w:t xml:space="preserve"> 。</w:t>
            </w:r>
          </w:p>
          <w:p>
            <w:pPr>
              <w:spacing w:line="360" w:lineRule="auto"/>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hint="eastAsia" w:ascii="宋体" w:hAnsi="宋体" w:eastAsia="宋体" w:cs="宋体"/>
                <w:color w:val="auto"/>
                <w:kern w:val="0"/>
                <w:sz w:val="24"/>
                <w:highlight w:val="none"/>
                <w:lang w:eastAsia="zh-CN"/>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B要求提供</w:t>
            </w:r>
            <w:r>
              <w:rPr>
                <w:rFonts w:hint="eastAsia" w:ascii="宋体" w:hAnsi="宋体" w:cs="宋体"/>
                <w:color w:val="auto"/>
                <w:kern w:val="0"/>
                <w:sz w:val="24"/>
                <w:highlight w:val="none"/>
                <w:lang w:eastAsia="zh-CN"/>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sz w:val="24"/>
                <w:highlight w:val="none"/>
                <w:lang w:eastAsia="zh-CN"/>
              </w:rPr>
              <w:t>采购机构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sz w:val="24"/>
                <w:highlight w:val="none"/>
                <w:lang w:eastAsia="zh-CN"/>
              </w:rPr>
              <w:t>采购机构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47095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rPr>
                <w:id w:val="11740717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B组织。</w:t>
            </w:r>
          </w:p>
          <w:p>
            <w:pPr>
              <w:snapToGrid w:val="0"/>
              <w:spacing w:line="360" w:lineRule="auto"/>
              <w:rPr>
                <w:rFonts w:ascii="宋体" w:hAnsi="宋体" w:cs="宋体"/>
                <w:color w:val="auto"/>
                <w:kern w:val="0"/>
                <w:sz w:val="24"/>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lang w:val="en-US" w:eastAsia="zh-CN"/>
              </w:rPr>
              <w:t>15</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1人</w:t>
            </w:r>
            <w:r>
              <w:rPr>
                <w:rFonts w:hint="eastAsia" w:ascii="宋体" w:hAnsi="宋体" w:cs="宋体"/>
                <w:color w:val="auto"/>
                <w:kern w:val="0"/>
                <w:sz w:val="24"/>
                <w:highlight w:val="none"/>
              </w:rPr>
              <w:t>。</w:t>
            </w:r>
            <w:r>
              <w:rPr>
                <w:rFonts w:hint="eastAsia" w:ascii="宋体" w:hAnsi="宋体" w:cs="宋体"/>
                <w:color w:val="auto"/>
                <w:kern w:val="0"/>
                <w:sz w:val="24"/>
              </w:rPr>
              <w:t>讲解演示结束后按要求解答评标委员会提问。</w:t>
            </w:r>
          </w:p>
          <w:p>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杭州市上城区凤起东路</w:t>
            </w:r>
            <w:r>
              <w:rPr>
                <w:rFonts w:hint="eastAsia" w:ascii="宋体" w:hAnsi="宋体" w:cs="宋体"/>
                <w:color w:val="auto"/>
                <w:sz w:val="24"/>
                <w:highlight w:val="none"/>
                <w:u w:val="single"/>
                <w:lang w:val="en-US" w:eastAsia="zh-CN"/>
              </w:rPr>
              <w:t>888号畅聚新达大厦4楼</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eastAsia="宋体"/>
                <w:color w:val="auto"/>
                <w:sz w:val="24"/>
                <w:szCs w:val="24"/>
                <w:highlight w:val="none"/>
              </w:rPr>
            </w:pPr>
            <w:bookmarkStart w:id="27" w:name="OLE_LINK4"/>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p>
            <w:pPr>
              <w:snapToGrid w:val="0"/>
              <w:spacing w:line="360" w:lineRule="auto"/>
              <w:rPr>
                <w:rFonts w:hint="eastAsia" w:eastAsia="宋体"/>
                <w:color w:val="auto"/>
                <w:sz w:val="24"/>
                <w:szCs w:val="24"/>
                <w:highlight w:val="none"/>
                <w:lang w:eastAsia="zh-CN"/>
              </w:rPr>
            </w:pPr>
            <w:sdt>
              <w:sdtPr>
                <w:rPr>
                  <w:rFonts w:hint="eastAsia" w:eastAsia="宋体"/>
                  <w:color w:val="auto"/>
                  <w:sz w:val="24"/>
                  <w:szCs w:val="24"/>
                  <w:highlight w:val="none"/>
                </w:rPr>
                <w:id w:val="147461840"/>
                <w14:checkbox>
                  <w14:checked w14:val="0"/>
                  <w14:checkedState w14:val="00FE" w14:font="Wingdings"/>
                  <w14:uncheckedState w14:val="2610" w14:font="MS Gothic"/>
                </w14:checkbox>
              </w:sdtPr>
              <w:sdtEndPr>
                <w:rPr>
                  <w:rFonts w:hint="eastAsia" w:eastAsia="宋体"/>
                  <w:color w:val="auto"/>
                  <w:sz w:val="24"/>
                  <w:szCs w:val="24"/>
                  <w:highlight w:val="none"/>
                </w:rPr>
              </w:sdtEndPr>
              <w:sdtContent>
                <w:r>
                  <w:rPr>
                    <w:rFonts w:hint="eastAsia" w:eastAsia="宋体"/>
                    <w:color w:val="auto"/>
                    <w:sz w:val="24"/>
                    <w:szCs w:val="24"/>
                    <w:highlight w:val="none"/>
                  </w:rPr>
                  <w:t>☐</w:t>
                </w:r>
              </w:sdtContent>
            </w:sdt>
            <w:r>
              <w:rPr>
                <w:rFonts w:hint="eastAsia" w:eastAsia="宋体"/>
                <w:color w:val="auto"/>
                <w:sz w:val="24"/>
                <w:szCs w:val="24"/>
                <w:highlight w:val="none"/>
                <w:lang w:eastAsia="zh-CN"/>
              </w:rPr>
              <w:t>强制采购节能采购。产品：</w:t>
            </w:r>
            <w:r>
              <w:rPr>
                <w:rFonts w:hint="eastAsia" w:eastAsia="宋体"/>
                <w:color w:val="auto"/>
                <w:sz w:val="24"/>
                <w:szCs w:val="24"/>
                <w:highlight w:val="none"/>
                <w:lang w:val="en-US" w:eastAsia="zh-CN"/>
              </w:rPr>
              <w:t xml:space="preserve">    </w:t>
            </w:r>
          </w:p>
          <w:p>
            <w:pPr>
              <w:snapToGrid w:val="0"/>
              <w:spacing w:line="360" w:lineRule="auto"/>
              <w:rPr>
                <w:rFonts w:hint="eastAsia" w:eastAsia="宋体"/>
                <w:color w:val="auto"/>
                <w:sz w:val="24"/>
                <w:szCs w:val="24"/>
                <w:highlight w:val="none"/>
                <w:lang w:val="en-US" w:eastAsia="zh-CN"/>
              </w:rPr>
            </w:pPr>
            <w:r>
              <w:rPr>
                <w:rFonts w:hint="eastAsia" w:eastAsia="宋体"/>
                <w:color w:val="auto"/>
                <w:sz w:val="24"/>
                <w:szCs w:val="24"/>
                <w:highlight w:val="none"/>
                <w:lang w:eastAsia="zh-CN"/>
              </w:rPr>
              <w:t>□优先采购节能产品。产品：</w:t>
            </w:r>
            <w:r>
              <w:rPr>
                <w:rFonts w:hint="eastAsia" w:eastAsia="宋体"/>
                <w:color w:val="auto"/>
                <w:sz w:val="24"/>
                <w:szCs w:val="24"/>
                <w:highlight w:val="none"/>
                <w:lang w:val="en-US" w:eastAsia="zh-CN"/>
              </w:rPr>
              <w:t xml:space="preserve">   </w:t>
            </w:r>
          </w:p>
          <w:p>
            <w:pPr>
              <w:snapToGrid w:val="0"/>
              <w:spacing w:line="360" w:lineRule="auto"/>
              <w:rPr>
                <w:rFonts w:hint="eastAsia" w:eastAsia="宋体"/>
                <w:color w:val="auto"/>
                <w:sz w:val="24"/>
                <w:szCs w:val="24"/>
                <w:highlight w:val="none"/>
                <w:lang w:eastAsia="zh-CN"/>
              </w:rPr>
            </w:pPr>
            <w:r>
              <w:rPr>
                <w:rFonts w:hint="eastAsia" w:eastAsia="宋体"/>
                <w:color w:val="auto"/>
                <w:sz w:val="24"/>
                <w:szCs w:val="24"/>
                <w:highlight w:val="none"/>
                <w:lang w:eastAsia="zh-CN"/>
              </w:rPr>
              <w:t>□优先采购环保产品。产品：</w:t>
            </w:r>
            <w:r>
              <w:rPr>
                <w:rFonts w:hint="eastAsia" w:eastAsia="宋体"/>
                <w:color w:val="auto"/>
                <w:sz w:val="24"/>
                <w:szCs w:val="24"/>
                <w:highlight w:val="none"/>
                <w:lang w:val="en-US" w:eastAsia="zh-CN"/>
              </w:rPr>
              <w:t xml:space="preserve">    </w:t>
            </w:r>
          </w:p>
          <w:p>
            <w:pPr>
              <w:snapToGrid w:val="0"/>
              <w:spacing w:line="360" w:lineRule="auto"/>
              <w:jc w:val="left"/>
              <w:rPr>
                <w:rFonts w:ascii="宋体" w:hAnsi="宋体" w:cs="宋体"/>
              </w:rPr>
            </w:pPr>
            <w:r>
              <w:rPr>
                <w:rFonts w:hint="eastAsia" w:eastAsia="宋体"/>
                <w:color w:val="auto"/>
                <w:sz w:val="24"/>
                <w:szCs w:val="24"/>
                <w:highlight w:val="none"/>
                <w:lang w:eastAsia="zh-CN"/>
              </w:rPr>
              <w:sym w:font="Wingdings 2" w:char="0052"/>
            </w:r>
            <w:r>
              <w:rPr>
                <w:rFonts w:hint="eastAsia" w:eastAsia="宋体"/>
                <w:color w:val="auto"/>
                <w:sz w:val="24"/>
                <w:szCs w:val="24"/>
                <w:highlight w:val="none"/>
                <w:lang w:eastAsia="zh-CN"/>
              </w:rPr>
              <w:t>无</w:t>
            </w:r>
            <w:bookmarkEnd w:id="2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96"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kern w:val="28"/>
                <w:sz w:val="24"/>
                <w:szCs w:val="24"/>
              </w:rPr>
              <w:t>：</w:t>
            </w:r>
            <w:r>
              <w:rPr>
                <w:rFonts w:hint="eastAsia" w:hAnsi="宋体" w:cs="宋体"/>
                <w:color w:val="auto"/>
                <w:sz w:val="24"/>
                <w:u w:val="single"/>
              </w:rPr>
              <w:t xml:space="preserve">  </w:t>
            </w:r>
            <w:r>
              <w:rPr>
                <w:rFonts w:hint="eastAsia" w:hAnsi="宋体" w:cs="宋体"/>
                <w:color w:val="auto"/>
                <w:sz w:val="24"/>
                <w:u w:val="single"/>
                <w:lang w:eastAsia="zh-CN"/>
              </w:rPr>
              <w:t>杭州市上城区凤起东路</w:t>
            </w:r>
            <w:r>
              <w:rPr>
                <w:rFonts w:hint="eastAsia" w:hAnsi="宋体" w:cs="宋体"/>
                <w:color w:val="auto"/>
                <w:sz w:val="24"/>
                <w:u w:val="single"/>
                <w:lang w:val="en-US" w:eastAsia="zh-CN"/>
              </w:rPr>
              <w:t>888号新达城大厦4楼413室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0571-87654833</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w:t>
            </w:r>
            <w:r>
              <w:rPr>
                <w:rFonts w:hint="eastAsia" w:ascii="宋体" w:hAnsi="宋体" w:cs="宋体"/>
                <w:b/>
                <w:bCs/>
                <w:color w:val="auto"/>
                <w:sz w:val="24"/>
                <w:highlight w:val="none"/>
                <w:lang w:eastAsia="zh-CN"/>
              </w:rPr>
              <w:t>采购机构</w:t>
            </w:r>
            <w:r>
              <w:rPr>
                <w:rFonts w:hint="eastAsia" w:hAnsi="宋体" w:cs="宋体"/>
                <w:b/>
                <w:color w:val="auto"/>
                <w:sz w:val="24"/>
                <w:szCs w:val="24"/>
              </w:rPr>
              <w:t>不强制或变相强制投标人提交备份投标</w:t>
            </w:r>
            <w:r>
              <w:rPr>
                <w:rFonts w:hint="eastAsia" w:hAnsi="宋体" w:cs="宋体"/>
                <w:b/>
                <w:sz w:val="24"/>
                <w:szCs w:val="24"/>
              </w:rPr>
              <w:t>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cs="宋体"/>
                <w:sz w:val="24"/>
              </w:rPr>
            </w:pPr>
          </w:p>
        </w:tc>
        <w:tc>
          <w:tcPr>
            <w:tcW w:w="1843"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7023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cs="宋体"/>
                <w:sz w:val="24"/>
                <w:highlight w:val="none"/>
              </w:rPr>
            </w:pPr>
            <w:r>
              <w:rPr>
                <w:rFonts w:hint="eastAsia" w:ascii="宋体" w:hAnsi="宋体" w:eastAsia="宋体" w:cs="宋体"/>
                <w:color w:val="auto"/>
                <w:sz w:val="24"/>
                <w:highlight w:val="none"/>
                <w:lang w:val="en-US" w:eastAsia="zh-CN"/>
              </w:rPr>
              <w:t>14</w:t>
            </w:r>
          </w:p>
        </w:tc>
        <w:tc>
          <w:tcPr>
            <w:tcW w:w="184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highlight w:val="none"/>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1个</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bl>
    <w:p>
      <w:pPr>
        <w:snapToGrid w:val="0"/>
        <w:spacing w:line="360" w:lineRule="auto"/>
        <w:jc w:val="center"/>
        <w:rPr>
          <w:rFonts w:ascii="宋体" w:hAnsi="宋体" w:cs="宋体"/>
          <w:b/>
          <w:sz w:val="32"/>
          <w:szCs w:val="20"/>
        </w:rPr>
      </w:pPr>
    </w:p>
    <w:bookmarkEnd w:id="14"/>
    <w:p>
      <w:pPr>
        <w:adjustRightInd/>
        <w:spacing w:line="360" w:lineRule="auto"/>
        <w:ind w:firstLine="3845" w:firstLineChars="1197"/>
        <w:outlineLvl w:val="0"/>
        <w:rPr>
          <w:rFonts w:ascii="宋体" w:hAnsi="宋体" w:cs="宋体"/>
          <w:b/>
          <w:sz w:val="32"/>
          <w:szCs w:val="20"/>
        </w:rPr>
      </w:pPr>
      <w:bookmarkStart w:id="28" w:name="_Toc164416483"/>
      <w:bookmarkStart w:id="29"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highlight w:val="none"/>
        </w:rPr>
      </w:pPr>
      <w:r>
        <w:rPr>
          <w:rFonts w:hint="eastAsia" w:ascii="宋体" w:hAnsi="宋体" w:cs="宋体"/>
          <w:sz w:val="24"/>
        </w:rPr>
        <w:t>2.2 “</w:t>
      </w:r>
      <w:r>
        <w:rPr>
          <w:rFonts w:hint="eastAsia" w:ascii="宋体" w:hAnsi="宋体" w:cs="宋体"/>
          <w:sz w:val="24"/>
          <w:highlight w:val="none"/>
          <w:lang w:eastAsia="zh-CN"/>
        </w:rPr>
        <w:t>采购机构</w:t>
      </w:r>
      <w:r>
        <w:rPr>
          <w:rFonts w:hint="eastAsia" w:ascii="宋体" w:hAnsi="宋体" w:cs="宋体"/>
          <w:sz w:val="24"/>
          <w:highlight w:val="none"/>
        </w:rPr>
        <w:t>”系指招标公告中载明的本项目的</w:t>
      </w:r>
      <w:r>
        <w:rPr>
          <w:rFonts w:hint="eastAsia" w:ascii="宋体" w:hAnsi="宋体" w:cs="宋体"/>
          <w:sz w:val="24"/>
          <w:highlight w:val="none"/>
          <w:lang w:eastAsia="zh-CN"/>
        </w:rPr>
        <w:t>采购机构</w:t>
      </w:r>
      <w:r>
        <w:rPr>
          <w:rFonts w:hint="eastAsia" w:ascii="宋体" w:hAnsi="宋体" w:cs="宋体"/>
          <w:sz w:val="24"/>
          <w:highlight w:val="none"/>
        </w:rPr>
        <w:t>。</w:t>
      </w:r>
    </w:p>
    <w:p>
      <w:pPr>
        <w:spacing w:line="360" w:lineRule="auto"/>
        <w:ind w:firstLine="480" w:firstLineChars="200"/>
        <w:rPr>
          <w:rFonts w:ascii="宋体" w:hAnsi="宋体" w:cs="宋体"/>
          <w:sz w:val="24"/>
        </w:rPr>
      </w:pPr>
      <w:r>
        <w:rPr>
          <w:rFonts w:hint="eastAsia" w:ascii="宋体" w:hAnsi="宋体" w:cs="宋体"/>
          <w:sz w:val="24"/>
          <w:highlight w:val="none"/>
        </w:rPr>
        <w:t>2.3 “投标人”系指响应招标、参</w:t>
      </w:r>
      <w:r>
        <w:rPr>
          <w:rFonts w:hint="eastAsia" w:ascii="宋体" w:hAnsi="宋体" w:cs="宋体"/>
          <w:sz w:val="24"/>
        </w:rPr>
        <w:t>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highlight w:val="none"/>
          <w:lang w:eastAsia="zh-CN"/>
        </w:rPr>
        <w:t>采购机构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0"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30"/>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%的扣除，用扣除后的价格参与评审。接受大中型企业与小微企业组成联合体或者允许大中型企业向一家或者多家小微企业分包的政府采购货物项目，对于</w:t>
      </w:r>
      <w:bookmarkStart w:id="31" w:name="_Hlk101132181"/>
      <w:r>
        <w:rPr>
          <w:rFonts w:hint="eastAsia" w:ascii="宋体" w:hAnsi="宋体" w:cs="宋体"/>
          <w:sz w:val="24"/>
          <w:highlight w:val="none"/>
        </w:rPr>
        <w:t>联合协议或者分包意向协议约定小微企业的合同份额占到合同总金额30%以上的</w:t>
      </w:r>
      <w:bookmarkEnd w:id="31"/>
      <w:r>
        <w:rPr>
          <w:rFonts w:hint="eastAsia" w:ascii="宋体" w:hAnsi="宋体" w:cs="宋体"/>
          <w:sz w:val="24"/>
          <w:highlight w:val="none"/>
        </w:rPr>
        <w:t>，对联合体或者大中型企业的报价给予4%-</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pPr>
        <w:spacing w:line="360" w:lineRule="auto"/>
        <w:ind w:firstLine="480" w:firstLineChars="200"/>
        <w:rPr>
          <w:rFonts w:ascii="宋体" w:hAnsi="宋体" w:cs="宋体"/>
          <w:sz w:val="24"/>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3.5平等对待内外资企业和符合条件的破产重整企业</w:t>
      </w:r>
    </w:p>
    <w:p>
      <w:pPr>
        <w:spacing w:line="360" w:lineRule="auto"/>
        <w:ind w:firstLine="480" w:firstLineChars="200"/>
        <w:rPr>
          <w:b/>
          <w:highlight w:val="none"/>
        </w:rPr>
      </w:pPr>
      <w:r>
        <w:rPr>
          <w:rFonts w:hint="eastAsia" w:ascii="宋体" w:hAnsi="宋体" w:cs="宋体"/>
          <w:sz w:val="24"/>
          <w:highlight w:val="none"/>
        </w:rPr>
        <w:t>平等对待内外资企业和符合条件的破产重整企业，切实保障企业公平竞争，平等维</w:t>
      </w:r>
      <w:r>
        <w:rPr>
          <w:rFonts w:hint="eastAsia" w:ascii="宋体" w:hAnsi="宋体" w:cs="宋体"/>
          <w:sz w:val="24"/>
        </w:rPr>
        <w:t>护企业的合</w:t>
      </w:r>
      <w:r>
        <w:rPr>
          <w:rFonts w:hint="eastAsia" w:ascii="宋体" w:hAnsi="宋体" w:cs="宋体"/>
          <w:sz w:val="24"/>
          <w:highlight w:val="none"/>
        </w:rPr>
        <w:t>法利益。</w:t>
      </w:r>
      <w:r>
        <w:rPr>
          <w:rFonts w:hint="eastAsia" w:ascii="宋体" w:hAnsi="宋体" w:cs="宋体"/>
          <w:sz w:val="24"/>
          <w:highlight w:val="none"/>
        </w:rPr>
        <w:cr/>
      </w:r>
      <w:r>
        <w:rPr>
          <w:rFonts w:hint="eastAsia"/>
          <w:b/>
          <w:highlight w:val="none"/>
        </w:rPr>
        <w:t>4. 询问、质疑、投诉</w:t>
      </w:r>
      <w:r>
        <w:rPr>
          <w:rFonts w:hint="eastAsia" w:ascii="宋体" w:hAnsi="宋体" w:eastAsia="宋体" w:cs="宋体"/>
          <w:b/>
          <w:color w:val="auto"/>
          <w:sz w:val="24"/>
          <w:highlight w:val="none"/>
        </w:rPr>
        <w:t>、补偿救济</w:t>
      </w:r>
    </w:p>
    <w:p>
      <w:pPr>
        <w:pStyle w:val="887"/>
        <w:shd w:val="clear" w:color="auto" w:fill="FFFFFF"/>
        <w:snapToGrid w:val="0"/>
        <w:spacing w:after="240" w:afterAutospacing="0" w:line="360" w:lineRule="auto"/>
        <w:ind w:firstLine="400"/>
        <w:contextualSpacing/>
        <w:rPr>
          <w:highlight w:val="none"/>
          <w:lang w:val="zh-CN"/>
        </w:rPr>
      </w:pPr>
      <w:r>
        <w:rPr>
          <w:rFonts w:hint="eastAsia"/>
          <w:highlight w:val="none"/>
          <w:lang w:val="zh-CN"/>
        </w:rPr>
        <w:t>4.1在线询问、质疑、投诉</w:t>
      </w:r>
    </w:p>
    <w:p>
      <w:pPr>
        <w:pStyle w:val="887"/>
        <w:shd w:val="clear" w:color="auto" w:fill="FFFFFF"/>
        <w:snapToGrid w:val="0"/>
        <w:spacing w:after="240" w:afterAutospacing="0" w:line="360" w:lineRule="auto"/>
        <w:ind w:firstLine="400"/>
        <w:contextualSpacing/>
        <w:rPr>
          <w:highlight w:val="none"/>
          <w:lang w:val="zh-CN"/>
        </w:rPr>
      </w:pPr>
      <w:r>
        <w:rPr>
          <w:rFonts w:hint="eastAsia"/>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bookmarkStart w:id="32" w:name="OLE_LINK3"/>
      <w:r>
        <w:rPr>
          <w:rFonts w:hint="eastAsia" w:hAnsi="宋体" w:cs="宋体"/>
          <w:color w:val="auto"/>
          <w:sz w:val="24"/>
          <w:highlight w:val="none"/>
        </w:rPr>
        <w:t>采购机构</w:t>
      </w:r>
      <w:bookmarkEnd w:id="32"/>
      <w:r>
        <w:rPr>
          <w:rFonts w:hint="eastAsia" w:hAnsi="宋体" w:cs="宋体"/>
          <w:sz w:val="24"/>
        </w:rPr>
        <w:t>提出质疑，否则，采购人或者</w:t>
      </w:r>
      <w:r>
        <w:rPr>
          <w:rFonts w:hint="eastAsia" w:hAnsi="宋体" w:cs="宋体"/>
          <w:color w:val="auto"/>
          <w:sz w:val="24"/>
          <w:highlight w:val="none"/>
        </w:rPr>
        <w:t>采购机构</w:t>
      </w:r>
      <w:r>
        <w:rPr>
          <w:rFonts w:hint="eastAsia" w:hAnsi="宋体" w:cs="宋体"/>
          <w:sz w:val="24"/>
        </w:rPr>
        <w:t>不予受理：</w:t>
      </w:r>
    </w:p>
    <w:p>
      <w:pPr>
        <w:pStyle w:val="6"/>
        <w:spacing w:line="360" w:lineRule="auto"/>
        <w:ind w:firstLine="960" w:firstLineChars="4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3"/>
        <w:spacing w:line="360" w:lineRule="auto"/>
        <w:ind w:left="479" w:leftChars="228" w:firstLine="480" w:firstLineChars="200"/>
        <w:rPr>
          <w:rFonts w:hint="eastAsia" w:hAnsi="宋体" w:cs="宋体"/>
          <w:sz w:val="24"/>
          <w:lang w:val="en-US" w:eastAsia="zh-CN"/>
        </w:rPr>
      </w:pPr>
      <w:r>
        <w:rPr>
          <w:rFonts w:hint="eastAsia" w:hAnsi="宋体" w:cs="宋体"/>
          <w:sz w:val="24"/>
        </w:rPr>
        <w:t>4.3.2.2对采购过程提出质疑的，质疑期限为各采购程序环节结束之日起计算。</w:t>
      </w:r>
      <w:r>
        <w:rPr>
          <w:rFonts w:hint="eastAsia" w:hAnsi="宋体" w:cs="宋体"/>
          <w:sz w:val="24"/>
          <w:lang w:val="en-US" w:eastAsia="zh-CN"/>
        </w:rPr>
        <w:t xml:space="preserve">   </w:t>
      </w:r>
    </w:p>
    <w:p>
      <w:pPr>
        <w:pStyle w:val="33"/>
        <w:spacing w:line="360" w:lineRule="auto"/>
        <w:ind w:left="19" w:leftChars="9" w:firstLine="938" w:firstLineChars="391"/>
        <w:rPr>
          <w:rFonts w:hAnsi="宋体" w:cs="宋体"/>
          <w:sz w:val="24"/>
        </w:rPr>
      </w:pPr>
      <w:r>
        <w:rPr>
          <w:rFonts w:hint="eastAsia" w:hAnsi="宋体" w:cs="宋体"/>
          <w:sz w:val="24"/>
        </w:rPr>
        <w:t>4.3.2.3对采购结果提出质疑的，质疑期限自采购结果公告期限届满之日起计算。</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3"/>
        <w:spacing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pPr>
        <w:pStyle w:val="33"/>
        <w:spacing w:line="360" w:lineRule="auto"/>
        <w:ind w:firstLine="480" w:firstLineChars="200"/>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hAnsi="宋体" w:cs="宋体"/>
          <w:color w:val="auto"/>
          <w:sz w:val="24"/>
          <w:highlight w:val="none"/>
        </w:rPr>
        <w:t>采购机构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hAnsi="宋体" w:cs="宋体"/>
          <w:color w:val="auto"/>
          <w:sz w:val="24"/>
          <w:highlight w:val="none"/>
        </w:rPr>
        <w:t>采购机构</w:t>
      </w:r>
      <w:r>
        <w:rPr>
          <w:rFonts w:hint="eastAsia"/>
        </w:rPr>
        <w:t>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7"/>
        <w:shd w:val="clear" w:color="auto" w:fill="FFFFFF"/>
        <w:snapToGrid w:val="0"/>
        <w:spacing w:after="240" w:afterAutospacing="0" w:line="360" w:lineRule="auto"/>
        <w:ind w:firstLine="400"/>
        <w:contextualSpacing/>
      </w:pPr>
      <w:r>
        <w:rPr>
          <w:rFonts w:hint="eastAsia"/>
        </w:rPr>
        <w:t>4.4.1质疑供应商对采购人、</w:t>
      </w:r>
      <w:r>
        <w:rPr>
          <w:rFonts w:hint="eastAsia" w:hAnsi="宋体" w:cs="宋体"/>
          <w:color w:val="auto"/>
          <w:sz w:val="24"/>
          <w:highlight w:val="none"/>
        </w:rPr>
        <w:t>采购机构</w:t>
      </w:r>
      <w:r>
        <w:rPr>
          <w:rFonts w:hint="eastAsia"/>
        </w:rPr>
        <w:t>的答复不满意或者采购人、</w:t>
      </w:r>
      <w:r>
        <w:rPr>
          <w:rFonts w:hint="eastAsia" w:hAnsi="宋体" w:cs="宋体"/>
          <w:color w:val="auto"/>
          <w:sz w:val="24"/>
          <w:highlight w:val="none"/>
        </w:rPr>
        <w:t>采购机构</w:t>
      </w:r>
      <w:r>
        <w:rPr>
          <w:rFonts w:hint="eastAsia"/>
        </w:rPr>
        <w:t>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rPr>
        <w:t>4.4.4 以联合体形式参加政府采购活动的，其投诉应当由组成联合体的所有供应商共同提出。</w:t>
      </w:r>
      <w:r>
        <w:rPr>
          <w:rFonts w:hint="eastAsia"/>
        </w:rPr>
        <w:br w:type="textWrapping"/>
      </w:r>
      <w:r>
        <w:rPr>
          <w:rFonts w:hint="eastAsia"/>
          <w:lang w:val="en-US" w:eastAsia="zh-CN"/>
        </w:rPr>
        <w:t xml:space="preserve">   </w:t>
      </w: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shd w:val="clear" w:color="auto" w:fill="FFFFFF"/>
        <w:adjustRightInd w:val="0"/>
        <w:snapToGrid w:val="0"/>
        <w:spacing w:after="240" w:afterAutospacing="0" w:line="360" w:lineRule="auto"/>
        <w:ind w:firstLine="480" w:firstLineChars="200"/>
        <w:contextualSpacing/>
        <w:rPr>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r>
        <w:rPr>
          <w:rFonts w:hint="eastAsia" w:ascii="宋体" w:hAnsi="宋体" w:cs="仿宋"/>
          <w:color w:val="auto"/>
          <w:sz w:val="24"/>
          <w:highlight w:val="none"/>
        </w:rPr>
        <w:br w:type="textWrapping"/>
      </w:r>
      <w:r>
        <w:rPr>
          <w:rFonts w:hint="eastAsia" w:ascii="宋体" w:hAnsi="宋体" w:cs="仿宋"/>
          <w:color w:val="auto"/>
          <w:sz w:val="24"/>
          <w:highlight w:val="none"/>
          <w:lang w:val="en-US" w:eastAsia="zh-CN"/>
        </w:rPr>
        <w:t xml:space="preserve">    </w:t>
      </w:r>
      <w:r>
        <w:rPr>
          <w:rFonts w:hint="eastAsia" w:ascii="宋体" w:hAnsi="宋体" w:eastAsia="宋体" w:cs="仿宋"/>
          <w:color w:val="auto"/>
          <w:sz w:val="24"/>
          <w:highlight w:val="none"/>
        </w:rPr>
        <w:t>投诉书范本及制作说明详见附件3。</w:t>
      </w:r>
    </w:p>
    <w:p>
      <w:pPr>
        <w:pStyle w:val="887"/>
        <w:shd w:val="clear" w:color="auto" w:fill="FFFFFF"/>
        <w:snapToGrid w:val="0"/>
        <w:spacing w:after="240" w:afterAutospacing="0" w:line="360" w:lineRule="auto"/>
        <w:ind w:firstLine="480" w:firstLineChars="200"/>
        <w:contextualSpacing/>
      </w:pPr>
    </w:p>
    <w:p>
      <w:pPr>
        <w:pStyle w:val="129"/>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3"/>
        <w:spacing w:line="360" w:lineRule="auto"/>
        <w:rPr>
          <w:rFonts w:hAnsi="宋体" w:cs="宋体"/>
          <w:b/>
          <w:sz w:val="24"/>
          <w:szCs w:val="24"/>
        </w:rPr>
      </w:pPr>
      <w:r>
        <w:rPr>
          <w:rFonts w:hint="eastAsia" w:hAnsi="宋体" w:cs="宋体"/>
          <w:b/>
          <w:sz w:val="24"/>
          <w:szCs w:val="24"/>
        </w:rPr>
        <w:t>5．招标文件的构成</w:t>
      </w:r>
    </w:p>
    <w:p>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3"/>
        <w:spacing w:line="360" w:lineRule="auto"/>
        <w:rPr>
          <w:rFonts w:hAnsi="宋体" w:cs="宋体"/>
          <w:b/>
          <w:sz w:val="24"/>
          <w:szCs w:val="24"/>
        </w:rPr>
      </w:pPr>
      <w:r>
        <w:rPr>
          <w:rFonts w:hint="eastAsia" w:hAnsi="宋体" w:cs="宋体"/>
          <w:b/>
          <w:sz w:val="24"/>
          <w:szCs w:val="24"/>
        </w:rPr>
        <w:t>6. 招标文件的澄清、修改</w:t>
      </w:r>
    </w:p>
    <w:p>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hAnsi="宋体" w:cs="宋体"/>
          <w:color w:val="auto"/>
          <w:sz w:val="24"/>
          <w:highlight w:val="none"/>
        </w:rPr>
        <w:t>采购机构</w:t>
      </w:r>
      <w:r>
        <w:rPr>
          <w:rFonts w:hint="eastAsia" w:ascii="宋体" w:hAnsi="宋体" w:cs="宋体"/>
        </w:rPr>
        <w:t>提出。</w:t>
      </w:r>
    </w:p>
    <w:p>
      <w:pPr>
        <w:pStyle w:val="129"/>
        <w:snapToGrid w:val="0"/>
        <w:spacing w:before="0"/>
        <w:ind w:firstLine="480"/>
        <w:rPr>
          <w:rFonts w:ascii="宋体" w:hAnsi="宋体" w:cs="宋体"/>
        </w:rPr>
      </w:pPr>
      <w:r>
        <w:rPr>
          <w:rFonts w:hint="eastAsia" w:ascii="宋体" w:hAnsi="宋体" w:cs="宋体"/>
        </w:rPr>
        <w:t xml:space="preserve">6.2 </w:t>
      </w:r>
      <w:r>
        <w:rPr>
          <w:rFonts w:hint="eastAsia" w:hAnsi="宋体" w:cs="宋体"/>
          <w:color w:val="auto"/>
          <w:sz w:val="24"/>
          <w:highlight w:val="none"/>
        </w:rPr>
        <w:t>采购机构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int="eastAsia" w:hAnsi="宋体" w:cs="宋体"/>
          <w:b/>
          <w:sz w:val="24"/>
          <w:szCs w:val="24"/>
        </w:rPr>
        <w:t>8.开标前答疑会或现场考察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33" w:name="_Hlk101259339"/>
      <w:r>
        <w:rPr>
          <w:rFonts w:hint="eastAsia" w:ascii="宋体" w:hAnsi="宋体" w:cs="宋体"/>
          <w:snapToGrid w:val="0"/>
          <w:kern w:val="28"/>
          <w:sz w:val="24"/>
          <w:szCs w:val="20"/>
        </w:rPr>
        <w:t>联合协议</w:t>
      </w:r>
      <w:bookmarkEnd w:id="33"/>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pPr>
        <w:snapToGrid w:val="0"/>
        <w:spacing w:line="360" w:lineRule="auto"/>
        <w:ind w:firstLine="960" w:firstLineChars="4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cs="宋体"/>
          <w:b/>
          <w:sz w:val="24"/>
          <w:highlight w:val="none"/>
        </w:rPr>
        <w:t>▲</w:t>
      </w: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FF0000"/>
          <w:sz w:val="24"/>
          <w:highlight w:val="none"/>
          <w:lang w:eastAsia="zh-CN"/>
        </w:rPr>
        <w:t>（</w:t>
      </w:r>
      <w:r>
        <w:rPr>
          <w:rFonts w:hint="eastAsia" w:ascii="宋体" w:hAnsi="宋体" w:cs="宋体"/>
          <w:color w:val="FF0000"/>
          <w:sz w:val="24"/>
          <w:highlight w:val="none"/>
          <w:lang w:val="en-US" w:eastAsia="zh-CN"/>
        </w:rPr>
        <w:t>如果有）</w:t>
      </w:r>
      <w:r>
        <w:rPr>
          <w:rFonts w:hint="eastAsia" w:ascii="宋体" w:hAnsi="宋体" w:cs="宋体"/>
          <w:color w:val="auto"/>
          <w:sz w:val="24"/>
          <w:highlight w:val="none"/>
        </w:rPr>
        <w:t>。</w:t>
      </w:r>
    </w:p>
    <w:p>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pPr>
        <w:spacing w:line="360" w:lineRule="auto"/>
        <w:ind w:firstLine="723" w:firstLineChars="300"/>
        <w:rPr>
          <w:rFonts w:hint="eastAsia" w:ascii="宋体" w:hAnsi="宋体" w:cs="宋体"/>
          <w:b/>
          <w:sz w:val="24"/>
          <w:highlight w:val="none"/>
          <w:lang w:val="en-US" w:eastAsia="zh-CN"/>
        </w:rPr>
      </w:pPr>
      <w:r>
        <w:rPr>
          <w:rFonts w:hint="eastAsia" w:ascii="宋体" w:hAnsi="宋体" w:cs="宋体"/>
          <w:b/>
          <w:sz w:val="24"/>
          <w:highlight w:val="none"/>
        </w:rPr>
        <w:t>投标人提供虚假材料投标的，投标无效。</w:t>
      </w:r>
      <w:r>
        <w:rPr>
          <w:rFonts w:hint="eastAsia" w:ascii="宋体" w:hAnsi="宋体" w:cs="宋体"/>
          <w:b/>
          <w:sz w:val="24"/>
          <w:highlight w:val="none"/>
          <w:lang w:val="en-US" w:eastAsia="zh-CN"/>
        </w:rPr>
        <w:t xml:space="preserve"> </w:t>
      </w:r>
    </w:p>
    <w:p>
      <w:pPr>
        <w:spacing w:line="360" w:lineRule="auto"/>
        <w:ind w:firstLine="723" w:firstLineChars="300"/>
        <w:rPr>
          <w:rFonts w:hint="default" w:eastAsia="华文楷体"/>
          <w:highlight w:val="none"/>
          <w:lang w:val="en-US" w:eastAsia="zh-CN"/>
        </w:rPr>
      </w:pPr>
      <w:r>
        <w:rPr>
          <w:rFonts w:hint="eastAsia" w:ascii="宋体" w:hAnsi="宋体" w:eastAsia="宋体" w:cs="宋体"/>
          <w:b/>
          <w:bCs/>
          <w:snapToGrid w:val="0"/>
          <w:kern w:val="2"/>
          <w:sz w:val="24"/>
          <w:szCs w:val="24"/>
          <w:highlight w:val="none"/>
          <w:lang w:val="en-US" w:eastAsia="zh-CN" w:bidi="ar-SA"/>
        </w:rPr>
        <w:t>投标人应对投标文件中材料的真实性、合法性负责。投标人可事先在公开官网查询、核对相关证书和报告内容，确保投标（响应）文件资料准确无误。</w:t>
      </w:r>
    </w:p>
    <w:p>
      <w:pPr>
        <w:pStyle w:val="129"/>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9"/>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rPr>
      </w:pPr>
      <w:r>
        <w:rPr>
          <w:rFonts w:hint="eastAsia" w:ascii="宋体" w:hAnsi="宋体" w:cs="宋体"/>
          <w:szCs w:val="24"/>
        </w:rPr>
        <w:t>14.3采购人、</w:t>
      </w:r>
      <w:r>
        <w:rPr>
          <w:rFonts w:hint="eastAsia" w:hAnsi="宋体" w:cs="宋体"/>
          <w:color w:val="auto"/>
          <w:sz w:val="24"/>
          <w:highlight w:val="none"/>
        </w:rPr>
        <w:t>采购机构</w:t>
      </w:r>
      <w:r>
        <w:rPr>
          <w:rFonts w:hint="eastAsia" w:ascii="宋体" w:hAnsi="宋体" w:cs="宋体"/>
          <w:szCs w:val="24"/>
        </w:rPr>
        <w:t>可以视情况延长投标文件提交的截止时间。在上述情况下，</w:t>
      </w:r>
      <w:r>
        <w:rPr>
          <w:rFonts w:hint="eastAsia" w:hAnsi="宋体" w:cs="宋体"/>
          <w:color w:val="auto"/>
          <w:sz w:val="24"/>
          <w:highlight w:val="none"/>
        </w:rPr>
        <w:t>采购机构</w:t>
      </w:r>
      <w:r>
        <w:rPr>
          <w:rFonts w:hint="eastAsia" w:ascii="宋体" w:hAnsi="宋体" w:cs="宋体"/>
          <w:szCs w:val="24"/>
        </w:rPr>
        <w:t>与投标人以前在投标截止期方面的全部权利、责任和义务，将适用于延长至新的投标截止期。</w:t>
      </w:r>
    </w:p>
    <w:p>
      <w:pPr>
        <w:pStyle w:val="33"/>
        <w:spacing w:line="360" w:lineRule="auto"/>
        <w:rPr>
          <w:rFonts w:hAnsi="宋体" w:cs="宋体"/>
          <w:b/>
          <w:sz w:val="24"/>
          <w:szCs w:val="24"/>
        </w:rPr>
      </w:pPr>
      <w:r>
        <w:rPr>
          <w:rFonts w:hint="eastAsia" w:hAnsi="宋体" w:cs="宋体"/>
          <w:b/>
          <w:sz w:val="24"/>
          <w:szCs w:val="24"/>
        </w:rPr>
        <w:t>15.备份投标文件</w:t>
      </w:r>
    </w:p>
    <w:p>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bCs/>
          <w:color w:val="auto"/>
          <w:sz w:val="24"/>
          <w:highlight w:val="none"/>
        </w:rPr>
        <w:t>采购机构</w:t>
      </w:r>
      <w:r>
        <w:rPr>
          <w:rFonts w:hint="eastAsia" w:hAnsi="宋体" w:cs="宋体"/>
          <w:b/>
          <w:sz w:val="24"/>
          <w:szCs w:val="24"/>
        </w:rPr>
        <w:t>不强制或变相强制投标人提交备份投标文件。</w:t>
      </w:r>
    </w:p>
    <w:p>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color w:val="auto"/>
          <w:sz w:val="24"/>
          <w:highlight w:val="none"/>
        </w:rPr>
        <w:t>采购机构</w:t>
      </w:r>
      <w:r>
        <w:rPr>
          <w:rFonts w:hint="eastAsia" w:hAnsi="宋体" w:cs="宋体"/>
          <w:sz w:val="24"/>
          <w:szCs w:val="24"/>
        </w:rPr>
        <w:t>，</w:t>
      </w:r>
      <w:r>
        <w:rPr>
          <w:rFonts w:hint="eastAsia" w:hAnsi="宋体" w:cs="宋体"/>
          <w:color w:val="auto"/>
          <w:sz w:val="24"/>
          <w:highlight w:val="none"/>
        </w:rPr>
        <w:t>采购机构</w:t>
      </w:r>
      <w:r>
        <w:rPr>
          <w:rFonts w:hint="eastAsia" w:hAnsi="宋体" w:cs="宋体"/>
          <w:sz w:val="24"/>
          <w:szCs w:val="24"/>
        </w:rPr>
        <w:t>将拒绝接受逾期送达的备份投标文件。</w:t>
      </w:r>
    </w:p>
    <w:p>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color w:val="auto"/>
          <w:sz w:val="24"/>
          <w:highlight w:val="none"/>
        </w:rPr>
        <w:t>采购机构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29"/>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pPr>
        <w:pStyle w:val="129"/>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pPr>
        <w:pStyle w:val="129"/>
        <w:spacing w:before="0"/>
        <w:ind w:firstLine="480"/>
        <w:rPr>
          <w:rFonts w:hint="eastAsia" w:ascii="宋体" w:hAnsi="宋体" w:cs="宋体"/>
          <w:highlight w:val="none"/>
        </w:rPr>
      </w:pPr>
      <w:r>
        <w:rPr>
          <w:rFonts w:hint="eastAsia" w:ascii="宋体" w:hAnsi="宋体" w:cs="宋体"/>
          <w:highlight w:val="none"/>
        </w:rPr>
        <w:t>17.3在原定投标有效期满之前，如果出现特殊情况，</w:t>
      </w:r>
      <w:r>
        <w:rPr>
          <w:rFonts w:hint="eastAsia" w:hAnsi="宋体" w:cs="宋体"/>
          <w:color w:val="auto"/>
          <w:sz w:val="24"/>
          <w:highlight w:val="none"/>
        </w:rPr>
        <w:t>采购机构</w:t>
      </w:r>
      <w:r>
        <w:rPr>
          <w:rFonts w:hint="eastAsia" w:ascii="宋体" w:hAnsi="宋体" w:cs="宋体"/>
          <w:highlight w:val="none"/>
        </w:rPr>
        <w:t>可以以书面形式通知投标人延长投标有效期。投标人同意延长的，不得要求或被允许修改其投标文件，投标人拒绝延长的，其投标无效。</w:t>
      </w:r>
    </w:p>
    <w:p>
      <w:pPr>
        <w:pStyle w:val="129"/>
        <w:spacing w:before="0"/>
        <w:ind w:firstLine="480"/>
        <w:rPr>
          <w:rFonts w:ascii="宋体" w:hAnsi="宋体" w:cs="宋体"/>
        </w:rPr>
      </w:pPr>
    </w:p>
    <w:p>
      <w:pPr>
        <w:pStyle w:val="129"/>
        <w:spacing w:before="0"/>
        <w:ind w:firstLine="643"/>
        <w:rPr>
          <w:rFonts w:ascii="宋体" w:hAnsi="宋体" w:cs="宋体"/>
          <w:b/>
          <w:sz w:val="32"/>
        </w:rPr>
      </w:pPr>
    </w:p>
    <w:p>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hAnsi="宋体" w:cs="宋体"/>
          <w:color w:val="auto"/>
          <w:sz w:val="24"/>
          <w:highlight w:val="none"/>
        </w:rPr>
        <w:t>采购机构</w:t>
      </w:r>
      <w:r>
        <w:rPr>
          <w:rFonts w:hint="eastAsia" w:ascii="宋体" w:hAnsi="宋体" w:cs="宋体"/>
          <w:sz w:val="24"/>
        </w:rPr>
        <w:t>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hAnsi="宋体" w:cs="宋体"/>
          <w:color w:val="auto"/>
          <w:sz w:val="24"/>
          <w:highlight w:val="none"/>
        </w:rPr>
        <w:t>采购机构</w:t>
      </w:r>
      <w:r>
        <w:rPr>
          <w:rFonts w:hint="eastAsia" w:ascii="宋体" w:hAnsi="宋体" w:cs="宋体"/>
          <w:sz w:val="24"/>
        </w:rPr>
        <w:t>依托电子交易平台发起开始解密指令，投标人按照平台提示和招标文件的规定在半小时内完成在线解密。</w:t>
      </w:r>
    </w:p>
    <w:p>
      <w:pPr>
        <w:pStyle w:val="129"/>
        <w:spacing w:before="0"/>
        <w:ind w:firstLine="480"/>
        <w:rPr>
          <w:rFonts w:hint="eastAsia" w:ascii="宋体" w:hAnsi="宋体" w:cs="宋体"/>
          <w:b/>
          <w:bCs/>
          <w:kern w:val="0"/>
          <w:szCs w:val="24"/>
          <w:highlight w:val="none"/>
          <w:lang w:val="en-US" w:eastAsia="zh-CN"/>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129"/>
        <w:spacing w:before="0"/>
        <w:ind w:firstLine="480"/>
        <w:rPr>
          <w:rFonts w:hint="default" w:ascii="宋体" w:hAnsi="宋体" w:eastAsia="宋体" w:cs="宋体"/>
          <w:b/>
          <w:bCs/>
          <w:kern w:val="0"/>
          <w:szCs w:val="24"/>
          <w:highlight w:val="none"/>
          <w:lang w:val="en-US" w:eastAsia="zh-CN"/>
        </w:rPr>
      </w:pPr>
      <w:r>
        <w:rPr>
          <w:rFonts w:hint="eastAsia" w:ascii="宋体" w:hAnsi="宋体" w:cs="宋体"/>
          <w:b/>
          <w:bCs/>
          <w:kern w:val="0"/>
          <w:szCs w:val="24"/>
          <w:highlight w:val="none"/>
          <w:lang w:val="en-US" w:eastAsia="zh-CN"/>
        </w:rPr>
        <w:t>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采购人依据法律法规和招标文件的规定，对投标人的资格进行审查。</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对未通过资格审查的投标人，告知其未通过的原因。</w:t>
      </w:r>
    </w:p>
    <w:p>
      <w:pPr>
        <w:pStyle w:val="129"/>
        <w:spacing w:before="0"/>
        <w:ind w:firstLine="480"/>
        <w:rPr>
          <w:rFonts w:ascii="宋体" w:hAnsi="宋体" w:cs="宋体"/>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29"/>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w:t>
      </w:r>
      <w:r>
        <w:rPr>
          <w:rFonts w:hint="eastAsia" w:ascii="宋体" w:hAnsi="宋体" w:cs="宋体"/>
          <w:kern w:val="0"/>
          <w:szCs w:val="24"/>
          <w:highlight w:val="none"/>
          <w:lang w:eastAsia="zh-CN"/>
        </w:rPr>
        <w:t>采购代理机构</w:t>
      </w:r>
      <w:r>
        <w:rPr>
          <w:rFonts w:hint="eastAsia" w:ascii="宋体" w:hAnsi="宋体" w:cs="宋体"/>
          <w:kern w:val="0"/>
          <w:szCs w:val="24"/>
          <w:highlight w:val="none"/>
        </w:rPr>
        <w:t>将在资格审查时通过“信用中国”网站(www.creditchina.gov.cn)、中国政府采购网(www.ccgp.gov.cn)渠道查询投标人的信用记录。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34"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5"/>
        <w:spacing w:line="360" w:lineRule="auto"/>
        <w:ind w:left="479" w:hanging="479" w:hangingChars="199"/>
        <w:rPr>
          <w:rFonts w:cs="宋体"/>
          <w:b/>
        </w:rPr>
      </w:pPr>
      <w:r>
        <w:rPr>
          <w:rFonts w:hint="eastAsia" w:cs="宋体"/>
          <w:b/>
        </w:rPr>
        <w:t>22. 确定中标供应商</w:t>
      </w:r>
    </w:p>
    <w:p>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w:t>
      </w:r>
      <w:r>
        <w:rPr>
          <w:rFonts w:hint="eastAsia" w:ascii="宋体" w:hAnsi="宋体" w:cs="宋体"/>
          <w:szCs w:val="24"/>
          <w:highlight w:val="none"/>
        </w:rPr>
        <w:t>购人。采购单位应当自收到评审报告之日起2个工作日内在线确定中标或者成交供应商</w:t>
      </w:r>
      <w:r>
        <w:rPr>
          <w:rFonts w:hint="eastAsia" w:ascii="宋体" w:hAnsi="宋体" w:cs="宋体"/>
          <w:szCs w:val="24"/>
          <w:highlight w:val="none"/>
          <w:lang w:val="en-US"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szCs w:val="24"/>
        </w:rPr>
        <w:t>中标、成交通知书和中标、成交结果公告应当在规定时间内同时发出。</w:t>
      </w:r>
    </w:p>
    <w:p>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hAnsi="宋体" w:cs="宋体"/>
          <w:color w:val="auto"/>
          <w:sz w:val="24"/>
          <w:highlight w:val="none"/>
        </w:rPr>
        <w:t>采购机构</w:t>
      </w:r>
      <w:r>
        <w:rPr>
          <w:rFonts w:hint="eastAsia" w:ascii="宋体" w:hAnsi="宋体" w:cs="宋体"/>
          <w:sz w:val="24"/>
        </w:rPr>
        <w:t>通过电子交易平台向中标人发出中标通知书，同时编制发布采购结果公告。</w:t>
      </w:r>
      <w:r>
        <w:rPr>
          <w:rFonts w:hint="eastAsia" w:hAnsi="宋体" w:cs="宋体"/>
          <w:color w:val="auto"/>
          <w:sz w:val="24"/>
          <w:highlight w:val="none"/>
        </w:rPr>
        <w:t>采购机构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rPr>
        <w:t>23.2中标结果公告内容包括采购人及其委托的</w:t>
      </w:r>
      <w:r>
        <w:rPr>
          <w:rFonts w:hint="eastAsia" w:hAnsi="宋体" w:cs="宋体"/>
          <w:color w:val="auto"/>
          <w:sz w:val="24"/>
          <w:highlight w:val="none"/>
        </w:rPr>
        <w:t>采购机构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w:t>
      </w:r>
      <w:r>
        <w:rPr>
          <w:rFonts w:hint="eastAsia" w:ascii="宋体" w:hAnsi="宋体" w:cs="宋体"/>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23.3公告期限为1个工作日。</w:t>
      </w:r>
    </w:p>
    <w:p>
      <w:pPr>
        <w:pStyle w:val="129"/>
        <w:adjustRightInd w:val="0"/>
        <w:snapToGrid w:val="0"/>
        <w:spacing w:before="0"/>
        <w:ind w:firstLine="480" w:firstLineChars="200"/>
        <w:rPr>
          <w:rStyle w:val="79"/>
          <w:color w:val="auto"/>
          <w:highlight w:val="none"/>
        </w:rPr>
      </w:pPr>
      <w:r>
        <w:rPr>
          <w:rFonts w:hint="eastAsia" w:ascii="宋体" w:hAnsi="宋体" w:cs="宋体"/>
          <w:bCs/>
          <w:color w:val="auto"/>
          <w:szCs w:val="24"/>
          <w:highlight w:val="none"/>
          <w:lang w:val="en-US" w:eastAsia="zh-CN"/>
        </w:rPr>
        <w:t xml:space="preserve">23.4 </w:t>
      </w:r>
      <w:r>
        <w:rPr>
          <w:rFonts w:hint="eastAsia" w:ascii="宋体" w:hAnsi="宋体" w:cs="宋体"/>
          <w:bCs/>
          <w:color w:val="auto"/>
          <w:szCs w:val="24"/>
          <w:highlight w:val="none"/>
        </w:rPr>
        <w:t>由</w:t>
      </w:r>
      <w:r>
        <w:rPr>
          <w:rFonts w:hint="eastAsia" w:ascii="宋体" w:hAnsi="宋体" w:cs="宋体"/>
          <w:b w:val="0"/>
          <w:bCs/>
          <w:color w:val="auto"/>
          <w:szCs w:val="24"/>
          <w:highlight w:val="none"/>
        </w:rPr>
        <w:t>于</w:t>
      </w:r>
      <w:r>
        <w:rPr>
          <w:rFonts w:hint="eastAsia" w:ascii="宋体" w:hAnsi="宋体" w:cs="宋体"/>
          <w:bCs/>
          <w:color w:val="auto"/>
          <w:szCs w:val="24"/>
          <w:highlight w:val="none"/>
        </w:rPr>
        <w:t>中标、成交供应商原因导致重新采购的，应当承担支付代理费和专家评审费等费用在内的赔偿责任。</w:t>
      </w:r>
    </w:p>
    <w:p>
      <w:pPr>
        <w:pStyle w:val="2"/>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4"/>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bookmarkStart w:id="35" w:name="OLE_LINK5"/>
      <w:r>
        <w:rPr>
          <w:rFonts w:hint="eastAsia" w:ascii="宋体" w:hAnsi="宋体" w:eastAsia="宋体" w:cs="宋体"/>
          <w:b w:val="0"/>
          <w:bCs w:val="0"/>
          <w:snapToGrid w:val="0"/>
          <w:kern w:val="28"/>
          <w:sz w:val="24"/>
          <w:highlight w:val="none"/>
          <w:lang w:val="en-US" w:eastAsia="zh-CN"/>
        </w:rPr>
        <w:t>95763</w:t>
      </w:r>
      <w:bookmarkEnd w:id="35"/>
      <w:r>
        <w:rPr>
          <w:rFonts w:hint="eastAsia" w:ascii="宋体" w:hAnsi="宋体" w:eastAsia="宋体" w:cs="宋体"/>
          <w:b w:val="0"/>
          <w:bCs w:val="0"/>
          <w:snapToGrid w:val="0"/>
          <w:kern w:val="28"/>
          <w:sz w:val="24"/>
          <w:highlight w:val="none"/>
        </w:rPr>
        <w:t>。</w:t>
      </w:r>
    </w:p>
    <w:p>
      <w:pPr>
        <w:pStyle w:val="4"/>
        <w:rPr>
          <w:highlight w:val="none"/>
        </w:rPr>
      </w:pPr>
      <w:r>
        <w:rPr>
          <w:rFonts w:ascii="宋体" w:hAnsi="宋体" w:eastAsia="宋体" w:cs="Times New Roman"/>
          <w:b/>
          <w:bCs/>
          <w:kern w:val="2"/>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highlight w:val="none"/>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w:t>
      </w:r>
      <w:r>
        <w:rPr>
          <w:rFonts w:hint="eastAsia" w:ascii="宋体" w:hAnsi="宋体" w:cs="Times New Roman"/>
          <w:color w:val="auto"/>
          <w:kern w:val="2"/>
          <w:sz w:val="24"/>
          <w:highlight w:val="none"/>
        </w:rPr>
        <w:t>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eastAsia="宋体" w:cs="宋体"/>
          <w:b w:val="0"/>
          <w:bCs w:val="0"/>
          <w:snapToGrid w:val="0"/>
          <w:kern w:val="28"/>
          <w:sz w:val="24"/>
          <w:highlight w:val="none"/>
          <w:lang w:val="en-US" w:eastAsia="zh-CN"/>
        </w:rPr>
        <w:t>95763</w:t>
      </w:r>
      <w:r>
        <w:rPr>
          <w:rFonts w:ascii="宋体" w:hAnsi="宋体" w:cs="Times New Roman"/>
          <w:color w:val="auto"/>
          <w:kern w:val="2"/>
          <w:sz w:val="24"/>
          <w:highlight w:val="none"/>
        </w:rPr>
        <w:t>。</w:t>
      </w:r>
    </w:p>
    <w:p>
      <w:pPr>
        <w:rPr>
          <w:highlight w:val="none"/>
        </w:rPr>
      </w:pP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pPr>
        <w:pStyle w:val="129"/>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hAnsi="宋体" w:cs="宋体"/>
          <w:color w:val="auto"/>
          <w:sz w:val="24"/>
          <w:highlight w:val="none"/>
        </w:rPr>
        <w:t>采购机构</w:t>
      </w:r>
      <w:r>
        <w:rPr>
          <w:rFonts w:hint="eastAsia" w:ascii="宋体" w:hAnsi="宋体" w:cs="宋体"/>
        </w:rPr>
        <w:t>可中止电子交易活动：</w:t>
      </w:r>
    </w:p>
    <w:p>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4"/>
        <w:adjustRightInd w:val="0"/>
        <w:snapToGrid w:val="0"/>
        <w:ind w:left="0" w:firstLine="480" w:firstLineChars="200"/>
        <w:rPr>
          <w:rFonts w:hint="eastAsia" w:eastAsia="宋体"/>
          <w:color w:val="auto"/>
          <w:highlight w:val="none"/>
          <w:lang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r>
        <w:rPr>
          <w:rFonts w:hint="eastAsia" w:ascii="宋体" w:hAnsi="宋体" w:eastAsia="宋体" w:cs="宋体"/>
          <w:b w:val="0"/>
          <w:bCs w:val="0"/>
          <w:color w:val="auto"/>
          <w:kern w:val="0"/>
          <w:sz w:val="24"/>
          <w:szCs w:val="24"/>
          <w:highlight w:val="none"/>
          <w:lang w:val="en-US" w:eastAsia="zh-CN"/>
        </w:rPr>
        <w:t>。</w:t>
      </w:r>
    </w:p>
    <w:bookmarkEnd w:id="28"/>
    <w:bookmarkEnd w:id="29"/>
    <w:bookmarkEnd w:id="34"/>
    <w:p>
      <w:pPr>
        <w:spacing w:line="360" w:lineRule="auto"/>
        <w:ind w:firstLine="2168" w:firstLineChars="600"/>
        <w:jc w:val="both"/>
        <w:outlineLvl w:val="0"/>
        <w:rPr>
          <w:rFonts w:hint="eastAsia" w:ascii="宋体" w:hAnsi="宋体" w:eastAsia="宋体" w:cs="宋体"/>
          <w:b/>
          <w:sz w:val="36"/>
          <w:szCs w:val="36"/>
          <w:lang w:eastAsia="zh-CN"/>
        </w:rPr>
      </w:pPr>
      <w:bookmarkStart w:id="36" w:name="_Hlt68073093"/>
      <w:bookmarkEnd w:id="36"/>
      <w:bookmarkStart w:id="37" w:name="_Hlt68072990"/>
      <w:bookmarkEnd w:id="37"/>
      <w:bookmarkStart w:id="38" w:name="_Hlt74729768"/>
      <w:bookmarkEnd w:id="38"/>
      <w:bookmarkStart w:id="39" w:name="_Hlt68072998"/>
      <w:bookmarkEnd w:id="39"/>
      <w:bookmarkStart w:id="40" w:name="_Hlt68403820"/>
      <w:bookmarkEnd w:id="40"/>
      <w:bookmarkStart w:id="41" w:name="_Hlt75236011"/>
      <w:bookmarkEnd w:id="41"/>
      <w:bookmarkStart w:id="42" w:name="_Hlt75236101"/>
      <w:bookmarkEnd w:id="42"/>
      <w:bookmarkStart w:id="43" w:name="_Hlt68057669"/>
      <w:bookmarkEnd w:id="43"/>
      <w:bookmarkStart w:id="44" w:name="_Hlt74707468"/>
      <w:bookmarkEnd w:id="44"/>
      <w:bookmarkStart w:id="45" w:name="_Hlt74730295"/>
      <w:bookmarkEnd w:id="45"/>
      <w:bookmarkStart w:id="46" w:name="_Hlt75236290"/>
      <w:bookmarkEnd w:id="46"/>
      <w:bookmarkStart w:id="47" w:name="_Hlt74714665"/>
      <w:bookmarkEnd w:id="47"/>
      <w:bookmarkStart w:id="48" w:name="第四部分"/>
      <w:r>
        <w:rPr>
          <w:rFonts w:hint="eastAsia" w:ascii="宋体" w:hAnsi="宋体" w:cs="宋体"/>
          <w:b/>
          <w:sz w:val="36"/>
          <w:szCs w:val="36"/>
        </w:rPr>
        <w:t>第三部分   采购需求</w:t>
      </w:r>
    </w:p>
    <w:p>
      <w:pPr>
        <w:spacing w:line="360" w:lineRule="auto"/>
        <w:rPr>
          <w:rFonts w:hint="eastAsia" w:ascii="宋体" w:hAnsi="宋体" w:cs="宋体"/>
          <w:sz w:val="24"/>
        </w:rPr>
      </w:pPr>
      <w:r>
        <w:rPr>
          <w:rFonts w:hint="eastAsia" w:ascii="宋体" w:hAnsi="宋体" w:cs="宋体"/>
          <w:sz w:val="24"/>
        </w:rPr>
        <w:t>一、项目概况</w:t>
      </w:r>
    </w:p>
    <w:p>
      <w:pPr>
        <w:bidi w:val="0"/>
        <w:rPr>
          <w:rFonts w:hint="default" w:eastAsia="宋体"/>
          <w:lang w:val="en-US" w:eastAsia="zh-CN"/>
        </w:rPr>
      </w:pPr>
      <w:r>
        <w:rPr>
          <w:rFonts w:hint="eastAsia"/>
          <w:lang w:val="en-US" w:eastAsia="zh-CN"/>
        </w:rPr>
        <w:t xml:space="preserve">    </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宋体"/>
          <w:bCs/>
          <w:sz w:val="24"/>
        </w:rPr>
      </w:pPr>
      <w:r>
        <w:rPr>
          <w:rFonts w:hint="eastAsia" w:ascii="宋体" w:hAnsi="宋体" w:cs="宋体"/>
          <w:bCs/>
          <w:sz w:val="24"/>
          <w:lang w:val="en-US" w:eastAsia="zh-CN"/>
        </w:rPr>
        <w:t>新建15套应急广播播发设备和38个广播接收终端</w:t>
      </w:r>
      <w:r>
        <w:rPr>
          <w:rFonts w:hint="eastAsia" w:ascii="宋体" w:hAnsi="宋体" w:cs="宋体"/>
          <w:bCs/>
          <w:sz w:val="24"/>
        </w:rPr>
        <w:t xml:space="preserve">，针对上城区范围内人员密集区域、地质灾害风险区域、消防体系点位进行应急广播覆盖。同时，建设并完善区级、街道级两级调度控制系统，推动全区应急广播一体化管理。 </w:t>
      </w:r>
    </w:p>
    <w:p>
      <w:pPr>
        <w:numPr>
          <w:ilvl w:val="0"/>
          <w:numId w:val="0"/>
        </w:numPr>
        <w:spacing w:line="360" w:lineRule="auto"/>
        <w:rPr>
          <w:rFonts w:hint="eastAsia" w:ascii="宋体" w:hAnsi="宋体" w:cs="宋体"/>
          <w:sz w:val="24"/>
          <w:lang w:val="en-US" w:eastAsia="zh-CN"/>
        </w:rPr>
      </w:pPr>
      <w:r>
        <w:rPr>
          <w:rFonts w:hint="eastAsia" w:ascii="宋体" w:hAnsi="宋体" w:eastAsia="宋体" w:cs="宋体"/>
          <w:kern w:val="2"/>
          <w:sz w:val="24"/>
          <w:szCs w:val="24"/>
          <w:lang w:val="en-US" w:eastAsia="zh-CN" w:bidi="ar-SA"/>
        </w:rPr>
        <w:t>二、</w:t>
      </w:r>
      <w:r>
        <w:rPr>
          <w:rFonts w:hint="eastAsia" w:ascii="宋体" w:hAnsi="宋体" w:cs="宋体"/>
          <w:sz w:val="24"/>
        </w:rPr>
        <w:t>项目</w:t>
      </w:r>
      <w:r>
        <w:rPr>
          <w:rFonts w:hint="eastAsia" w:ascii="宋体" w:hAnsi="宋体" w:cs="宋体"/>
          <w:sz w:val="24"/>
          <w:lang w:val="en-US" w:eastAsia="zh-CN"/>
        </w:rPr>
        <w:t>内容</w:t>
      </w:r>
    </w:p>
    <w:tbl>
      <w:tblPr>
        <w:tblStyle w:val="63"/>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6"/>
        <w:gridCol w:w="1680"/>
        <w:gridCol w:w="5666"/>
        <w:gridCol w:w="827"/>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846"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8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5666"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简要基本功能、参数</w:t>
            </w:r>
          </w:p>
        </w:tc>
        <w:tc>
          <w:tcPr>
            <w:tcW w:w="827"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39"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1" w:hRule="atLeast"/>
          <w:jc w:val="center"/>
        </w:trPr>
        <w:tc>
          <w:tcPr>
            <w:tcW w:w="9758"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一、</w:t>
            </w:r>
            <w:r>
              <w:rPr>
                <w:rFonts w:hint="eastAsia" w:ascii="宋体" w:hAnsi="宋体" w:eastAsia="宋体" w:cs="宋体"/>
                <w:b/>
                <w:bCs/>
                <w:i w:val="0"/>
                <w:iCs w:val="0"/>
                <w:color w:val="000000"/>
                <w:kern w:val="0"/>
                <w:sz w:val="24"/>
                <w:szCs w:val="24"/>
                <w:u w:val="none"/>
                <w:lang w:val="en-US" w:eastAsia="zh-CN" w:bidi="ar"/>
              </w:rPr>
              <w:t>区级应急广播平台服务器和系统设备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8" w:hRule="atLeast"/>
          <w:jc w:val="center"/>
        </w:trPr>
        <w:tc>
          <w:tcPr>
            <w:tcW w:w="84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8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备份系统</w:t>
            </w:r>
          </w:p>
        </w:tc>
        <w:tc>
          <w:tcPr>
            <w:tcW w:w="5666"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1．CPU：4210R, 10C/20T, 9.6GT/s, 13.75M缓存,Turbo, HT (100W) DDR4-2400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2．内存：32GB RDIMM, 3200MT/s。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3．硬盘：2T 3.5英寸热插拔硬盘×2块(最大8块盘）。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控制器:内置PERC H330 （支raid0，1）。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5．网卡:集成2端口千兆网卡；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6．电源:热插拔750W双电源。</w:t>
            </w:r>
          </w:p>
        </w:tc>
        <w:tc>
          <w:tcPr>
            <w:tcW w:w="82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jc w:val="center"/>
        </w:trPr>
        <w:tc>
          <w:tcPr>
            <w:tcW w:w="84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8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w:t>
            </w:r>
          </w:p>
        </w:tc>
        <w:tc>
          <w:tcPr>
            <w:tcW w:w="5666" w:type="dxa"/>
            <w:shd w:val="clear" w:color="auto" w:fill="FFFFFF"/>
            <w:vAlign w:val="center"/>
          </w:tcPr>
          <w:p>
            <w:pPr>
              <w:keepNext w:val="0"/>
              <w:keepLines w:val="0"/>
              <w:widowControl/>
              <w:suppressLineNumbers w:val="0"/>
              <w:spacing w:after="24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包转发率：108/126MppS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交换容量：336Gbps/3.36Tbps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24个千兆电口，4个万兆光口；可插拔双电源，自带一块电源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功耗不高于40KW,风冷散热，智能调速</w:t>
            </w:r>
          </w:p>
        </w:tc>
        <w:tc>
          <w:tcPr>
            <w:tcW w:w="82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0" w:hRule="atLeast"/>
          <w:jc w:val="center"/>
        </w:trPr>
        <w:tc>
          <w:tcPr>
            <w:tcW w:w="84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8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网络接入控制系统</w:t>
            </w:r>
          </w:p>
        </w:tc>
        <w:tc>
          <w:tcPr>
            <w:tcW w:w="5666"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采用主流网络准入控制技术，对所有入网设备的入网和用网行为进行全生命周期管控。提供入网申请、准入控制、安全体检、身份认证、访问控制等功能，采用标准机架式硬件设备，全内置封闭式结构。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授权点数：100点</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处理器：≥4核</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内存：≥16GB</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硬盘：≥2TB硬盘</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网络接口：≥6个千兆电口</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其他接口：≥1个VGA接口，2个USB接口</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最大镜像流量：≥4Gbps</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仿宋"/>
                <w:color w:val="auto"/>
                <w:kern w:val="0"/>
                <w:sz w:val="21"/>
                <w:szCs w:val="21"/>
                <w:highlight w:val="none"/>
              </w:rPr>
              <w:t>★</w:t>
            </w:r>
            <w:r>
              <w:rPr>
                <w:rFonts w:hint="eastAsia" w:ascii="宋体" w:hAnsi="宋体" w:eastAsia="宋体" w:cs="宋体"/>
                <w:i w:val="0"/>
                <w:iCs w:val="0"/>
                <w:color w:val="000000"/>
                <w:kern w:val="0"/>
                <w:sz w:val="24"/>
                <w:szCs w:val="24"/>
                <w:u w:val="none"/>
                <w:lang w:val="en-US" w:eastAsia="zh-CN" w:bidi="ar"/>
              </w:rPr>
              <w:t>网络资产发现识别：支持计算机设备、网络设备、安全设备、安防设备、办公设备等网络内存活资产设备的发现和资产类型识别。支持网络内资产异常在网状态监测，包括：资产IP和MAC变化、MAC和交换机端口变化等。</w:t>
            </w:r>
            <w:r>
              <w:rPr>
                <w:rFonts w:hint="eastAsia" w:ascii="宋体" w:hAnsi="宋体" w:eastAsia="宋体" w:cs="宋体"/>
                <w:b/>
                <w:bCs/>
                <w:i w:val="0"/>
                <w:iCs w:val="0"/>
                <w:color w:val="000000"/>
                <w:kern w:val="0"/>
                <w:sz w:val="24"/>
                <w:szCs w:val="24"/>
                <w:u w:val="none"/>
                <w:lang w:val="en-US" w:eastAsia="zh-CN" w:bidi="ar"/>
              </w:rPr>
              <w:t>（需提供公安部信息安全产品检测中心等权威测评机构对该项功能的检测结果作为证明）</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支持按区域/部门、按自定义组对管辖区域内设备信息进行查询。</w:t>
            </w:r>
          </w:p>
          <w:p>
            <w:pPr>
              <w:keepNext w:val="0"/>
              <w:keepLines w:val="0"/>
              <w:widowControl/>
              <w:suppressLineNumbers w:val="0"/>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仿宋" w:hAnsi="仿宋" w:eastAsia="仿宋" w:cs="仿宋"/>
                <w:color w:val="auto"/>
                <w:kern w:val="0"/>
                <w:sz w:val="21"/>
                <w:szCs w:val="21"/>
                <w:highlight w:val="none"/>
              </w:rPr>
              <w:t>★</w:t>
            </w:r>
            <w:r>
              <w:rPr>
                <w:rFonts w:hint="eastAsia" w:ascii="宋体" w:hAnsi="宋体" w:eastAsia="宋体" w:cs="宋体"/>
                <w:i w:val="0"/>
                <w:iCs w:val="0"/>
                <w:color w:val="000000"/>
                <w:kern w:val="0"/>
                <w:sz w:val="24"/>
                <w:szCs w:val="24"/>
                <w:u w:val="none"/>
                <w:lang w:val="en-US" w:eastAsia="zh-CN" w:bidi="ar"/>
              </w:rPr>
              <w:t>可预先设置好允许入网的资产类型，针对自动识别出的入网设备类型，实现入网自动放行。</w:t>
            </w:r>
            <w:r>
              <w:rPr>
                <w:rFonts w:hint="eastAsia" w:ascii="宋体" w:hAnsi="宋体" w:eastAsia="宋体" w:cs="宋体"/>
                <w:b/>
                <w:bCs/>
                <w:i w:val="0"/>
                <w:iCs w:val="0"/>
                <w:color w:val="000000"/>
                <w:kern w:val="0"/>
                <w:sz w:val="24"/>
                <w:szCs w:val="24"/>
                <w:u w:val="none"/>
                <w:lang w:val="en-US" w:eastAsia="zh-CN" w:bidi="ar"/>
              </w:rPr>
              <w:t>（需提供公安部信息安全产品检测中心等权威测评机构对该项功能的检测结果作为证明）</w:t>
            </w:r>
          </w:p>
          <w:p>
            <w:pPr>
              <w:keepNext w:val="0"/>
              <w:keepLines w:val="0"/>
              <w:widowControl/>
              <w:suppressLineNumbers w:val="0"/>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仿宋" w:hAnsi="仿宋" w:eastAsia="仿宋" w:cs="仿宋"/>
                <w:color w:val="auto"/>
                <w:kern w:val="0"/>
                <w:sz w:val="21"/>
                <w:szCs w:val="21"/>
                <w:highlight w:val="none"/>
              </w:rPr>
              <w:t>★</w:t>
            </w:r>
            <w:r>
              <w:rPr>
                <w:rFonts w:hint="eastAsia" w:ascii="宋体" w:hAnsi="宋体" w:eastAsia="宋体" w:cs="宋体"/>
                <w:i w:val="0"/>
                <w:iCs w:val="0"/>
                <w:color w:val="000000"/>
                <w:kern w:val="0"/>
                <w:sz w:val="24"/>
                <w:szCs w:val="24"/>
                <w:u w:val="none"/>
                <w:lang w:val="en-US" w:eastAsia="zh-CN" w:bidi="ar"/>
              </w:rPr>
              <w:t>IP资源以C类段为粒度统计网络中的IP使用情况。</w:t>
            </w:r>
            <w:r>
              <w:rPr>
                <w:rFonts w:hint="eastAsia" w:ascii="宋体" w:hAnsi="宋体" w:eastAsia="宋体" w:cs="宋体"/>
                <w:b/>
                <w:bCs/>
                <w:i w:val="0"/>
                <w:iCs w:val="0"/>
                <w:color w:val="000000"/>
                <w:kern w:val="0"/>
                <w:sz w:val="24"/>
                <w:szCs w:val="24"/>
                <w:u w:val="none"/>
                <w:lang w:val="en-US" w:eastAsia="zh-CN" w:bidi="ar"/>
              </w:rPr>
              <w:t>（要求提供功能截图）</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仿宋"/>
                <w:color w:val="auto"/>
                <w:kern w:val="0"/>
                <w:sz w:val="21"/>
                <w:szCs w:val="21"/>
                <w:highlight w:val="none"/>
              </w:rPr>
              <w:t>★</w:t>
            </w:r>
            <w:r>
              <w:rPr>
                <w:rFonts w:hint="eastAsia" w:ascii="宋体" w:hAnsi="宋体" w:eastAsia="宋体" w:cs="宋体"/>
                <w:i w:val="0"/>
                <w:iCs w:val="0"/>
                <w:color w:val="000000"/>
                <w:kern w:val="0"/>
                <w:sz w:val="24"/>
                <w:szCs w:val="24"/>
                <w:u w:val="none"/>
                <w:lang w:val="en-US" w:eastAsia="zh-CN" w:bidi="ar"/>
              </w:rPr>
              <w:t>申请者通过引导页发起设备入网申请，管理员在后台审核，通过审核的设备会置成保护状态，申请者可在引导界面查询审核状态。支持针对不同的入网需求（如：办公人员长期入网、访客临时入网），可提供差异化的入网申请和审核流程</w:t>
            </w:r>
            <w:r>
              <w:rPr>
                <w:rFonts w:hint="eastAsia" w:ascii="宋体" w:hAnsi="宋体" w:eastAsia="宋体" w:cs="宋体"/>
                <w:b/>
                <w:bCs/>
                <w:i w:val="0"/>
                <w:iCs w:val="0"/>
                <w:color w:val="000000"/>
                <w:kern w:val="0"/>
                <w:sz w:val="24"/>
                <w:szCs w:val="24"/>
                <w:u w:val="none"/>
                <w:lang w:val="en-US" w:eastAsia="zh-CN" w:bidi="ar"/>
              </w:rPr>
              <w:t>（要求提供功能截图）</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支持DHCP服务器配置，通过DHCP协议和VLAN自动划分技术实现设备入网控制。</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策略路由、透明网桥、旁路镜像（SPAN）、专家模式等多种准入控制技术配置，基于源IP和目的IP设置准入控制策略，通过TCP阻断和HTTP跳转的技术手段对数据流在网络层进行管控，阻断非法设备的访问并强制跳转进行引导注册，实现网关层的设备入网控制。</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为不同网络区域配置差异化入网认证和访问控制规则。入网认证规则包括入网认证前、入网认证中、入网认证后等多环节规则配置；访问控制规则根据网络通信的源地址和目标地址所在不同管控范围进行阻断或放行的自定义规则配置。</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支持对NAT下设备的管控，通过识别NAT子网内设备的注册状态，保证NAT子网内的注册设备可正常入网，其余未注册认证设备受限入网。</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支持视频设备入网控制方式设定，可针对RTSP、RTP/RTCP协议、海康视频私有协议、大华视频私有协议、科达视频私有协议设定为自动放行或阻断。</w:t>
            </w:r>
          </w:p>
          <w:p>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支持用户密码，访客码，短信，微信等入网认证方式，</w:t>
            </w:r>
            <w:r>
              <w:rPr>
                <w:rFonts w:hint="eastAsia" w:ascii="宋体" w:hAnsi="宋体" w:eastAsia="宋体" w:cs="宋体"/>
                <w:i w:val="0"/>
                <w:iCs w:val="0"/>
                <w:color w:val="auto"/>
                <w:kern w:val="0"/>
                <w:sz w:val="24"/>
                <w:szCs w:val="24"/>
                <w:u w:val="none"/>
                <w:lang w:val="en-US" w:eastAsia="zh-CN" w:bidi="ar"/>
              </w:rPr>
              <w:t>支持记录相关的入网日志。</w:t>
            </w:r>
          </w:p>
          <w:p>
            <w:pPr>
              <w:keepNext w:val="0"/>
              <w:keepLines w:val="0"/>
              <w:widowControl/>
              <w:suppressLineNumbers w:val="0"/>
              <w:jc w:val="both"/>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仿宋" w:hAnsi="仿宋" w:eastAsia="仿宋" w:cs="仿宋"/>
                <w:color w:val="auto"/>
                <w:kern w:val="0"/>
                <w:sz w:val="21"/>
                <w:szCs w:val="21"/>
                <w:highlight w:val="none"/>
              </w:rPr>
              <w:t>★</w:t>
            </w:r>
            <w:r>
              <w:rPr>
                <w:rFonts w:hint="eastAsia" w:ascii="宋体" w:hAnsi="宋体" w:eastAsia="宋体" w:cs="宋体"/>
                <w:i w:val="0"/>
                <w:iCs w:val="0"/>
                <w:color w:val="auto"/>
                <w:kern w:val="0"/>
                <w:sz w:val="24"/>
                <w:szCs w:val="24"/>
                <w:highlight w:val="none"/>
                <w:u w:val="none"/>
                <w:lang w:val="en-US" w:eastAsia="zh-CN" w:bidi="ar"/>
              </w:rPr>
              <w:t>基于客户端通信的网络访问控制，由终端间通信实现，终端双方要实现通信必须进行终端代理相互连接，若连接不通过，则其通信请求会被认为是非法且被客户端阻断，反之，连接通过则可以进行通信。</w:t>
            </w:r>
            <w:r>
              <w:rPr>
                <w:rFonts w:hint="eastAsia" w:ascii="宋体" w:hAnsi="宋体" w:eastAsia="宋体" w:cs="宋体"/>
                <w:b/>
                <w:bCs/>
                <w:i w:val="0"/>
                <w:iCs w:val="0"/>
                <w:color w:val="auto"/>
                <w:kern w:val="0"/>
                <w:sz w:val="24"/>
                <w:szCs w:val="24"/>
                <w:highlight w:val="none"/>
                <w:u w:val="none"/>
                <w:lang w:val="en-US" w:eastAsia="zh-CN" w:bidi="ar"/>
              </w:rPr>
              <w:t>（需提供公安部信息安全产品检测中心等权威测评机构对该项功能的检测结果作为证明）</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已安装客户端的终端设备在接入网络前进行安全检查，检查项包括：操作系统版本、杀毒软件、补丁检查、不可信进程、不可信软件、账户弱口令、来宾账户、必要服务、必要软件。对不符合安全要求的终端设备进行断网隔离，修复完成后才能入网。</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提供入网安检设备的安检日志查询功能，包括设备IP地址、MAC地址、责任人、部门、规范名称、安检时间、安检状态、安检描述等信息。</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支持对网络内IP范围进行自定义划分管理，以便于按IP域进行设备入网规则配置。</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配置资产发现识别的范围和交换机采集权限。</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配置系统与授时服务器的时间同步规则。</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用于集中监测网关的镜像流量、镜像延迟、时钟快照、网关版本信息。</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各类入网安全模板配置，包含：入网安全须知、终端代理安装说明、结束进程方法说明、卸载软件方法说明、弱口令修改方法、禁用来宾用户说明、杀毒软件下载地址、必须安装的补丁、必要软件下载、必须开启的服务。</w:t>
            </w:r>
          </w:p>
        </w:tc>
        <w:tc>
          <w:tcPr>
            <w:tcW w:w="82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0" w:hRule="atLeast"/>
          <w:jc w:val="center"/>
        </w:trPr>
        <w:tc>
          <w:tcPr>
            <w:tcW w:w="84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8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北斗授时</w:t>
            </w:r>
          </w:p>
        </w:tc>
        <w:tc>
          <w:tcPr>
            <w:tcW w:w="5666" w:type="dxa"/>
            <w:shd w:val="clear" w:color="auto" w:fill="FFFFFF"/>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具备北斗天线接口，实现北斗卫星授时；</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具备不少于1路10MHz信号接口、不少于1路1pps信号接口、1路监控信号接口；</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具备免配置免维护功能，出现断电、重新安装均不需要任何配置， 只需要正常加电和连接好天线，系统即可正常工作；</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高稳恒温晶振被北斗导航系统驯服锁定后，当北斗导航系统信号丢失时，同步时钟可以保持高精度的时间和频率输出，监控信号、1pps信号和10MHz频率均有输出；</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工作电压：AC:100V～260V，50/60Hz</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PPS周期：1Plus/秒；</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PPS脉宽：10毫秒；</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自动授时周期：1-300秒可调；</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授时天线：有源航海天线；</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功耗：≤5W</w:t>
            </w:r>
          </w:p>
        </w:tc>
        <w:tc>
          <w:tcPr>
            <w:tcW w:w="82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84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80" w:type="dxa"/>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bookmarkStart w:id="49" w:name="OLE_LINK29"/>
            <w:r>
              <w:rPr>
                <w:rFonts w:hint="eastAsia" w:ascii="宋体" w:hAnsi="宋体" w:eastAsia="宋体" w:cs="宋体"/>
                <w:i w:val="0"/>
                <w:iCs w:val="0"/>
                <w:color w:val="000000"/>
                <w:kern w:val="0"/>
                <w:sz w:val="24"/>
                <w:szCs w:val="24"/>
                <w:u w:val="none"/>
                <w:lang w:val="en-US" w:eastAsia="zh-CN" w:bidi="ar"/>
              </w:rPr>
              <w:t>IDC机房托管</w:t>
            </w:r>
            <w:bookmarkEnd w:id="49"/>
            <w:r>
              <w:rPr>
                <w:rFonts w:hint="eastAsia" w:ascii="宋体" w:hAnsi="宋体" w:eastAsia="宋体" w:cs="宋体"/>
                <w:i w:val="0"/>
                <w:iCs w:val="0"/>
                <w:color w:val="000000"/>
                <w:kern w:val="0"/>
                <w:sz w:val="24"/>
                <w:szCs w:val="24"/>
                <w:u w:val="none"/>
                <w:lang w:val="en-US" w:eastAsia="zh-CN" w:bidi="ar"/>
              </w:rPr>
              <w:t>服务</w:t>
            </w:r>
          </w:p>
        </w:tc>
        <w:tc>
          <w:tcPr>
            <w:tcW w:w="5666"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政府专区机柜租用服务，托管机房提供的标准机柜有效使用U数不少于40U。</w:t>
            </w:r>
          </w:p>
        </w:tc>
        <w:tc>
          <w:tcPr>
            <w:tcW w:w="82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9758" w:type="dxa"/>
            <w:gridSpan w:val="5"/>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二、</w:t>
            </w:r>
            <w:r>
              <w:rPr>
                <w:rFonts w:hint="eastAsia" w:ascii="宋体" w:hAnsi="宋体" w:eastAsia="宋体" w:cs="宋体"/>
                <w:b/>
                <w:bCs/>
                <w:i w:val="0"/>
                <w:iCs w:val="0"/>
                <w:color w:val="auto"/>
                <w:kern w:val="0"/>
                <w:sz w:val="24"/>
                <w:szCs w:val="24"/>
                <w:u w:val="none"/>
                <w:lang w:val="en-US" w:eastAsia="zh-CN" w:bidi="ar"/>
              </w:rPr>
              <w:t>应急播出设备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84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8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数字广播控制台</w:t>
            </w:r>
          </w:p>
        </w:tc>
        <w:tc>
          <w:tcPr>
            <w:tcW w:w="5666" w:type="dxa"/>
            <w:shd w:val="clear" w:color="auto" w:fill="FFFFFF"/>
            <w:vAlign w:val="center"/>
          </w:tcPr>
          <w:p>
            <w:pPr>
              <w:keepNext w:val="0"/>
              <w:keepLines w:val="0"/>
              <w:widowControl/>
              <w:suppressLineNumbers w:val="0"/>
              <w:jc w:val="left"/>
              <w:textAlignment w:val="center"/>
              <w:rPr>
                <w:rFonts w:hint="default" w:ascii="宋体" w:hAnsi="宋体" w:eastAsia="宋体" w:cs="宋体"/>
                <w:b/>
                <w:bCs/>
                <w:i w:val="0"/>
                <w:iCs w:val="0"/>
                <w:color w:val="auto"/>
                <w:sz w:val="24"/>
                <w:szCs w:val="24"/>
                <w:highlight w:val="none"/>
                <w:u w:val="none"/>
                <w:lang w:val="en-US" w:eastAsia="zh-CN"/>
              </w:rPr>
            </w:pPr>
            <w:r>
              <w:rPr>
                <w:rFonts w:hint="eastAsia" w:ascii="宋体" w:hAnsi="宋体" w:cs="宋体"/>
                <w:b/>
                <w:bCs/>
                <w:i w:val="0"/>
                <w:iCs w:val="0"/>
                <w:color w:val="auto"/>
                <w:sz w:val="24"/>
                <w:szCs w:val="24"/>
                <w:highlight w:val="none"/>
                <w:u w:val="none"/>
                <w:lang w:val="en-US" w:eastAsia="zh-CN"/>
              </w:rPr>
              <w:t>主要功能：</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1.支持一键式开启正常/应急广播，支持实时应急插出。</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 ★具备单个终端广播，分区广播，全区广播等功能，操作面板直接支持按县、镇、村、组进行分区域开、关机，音量大小及频率控制等操作。</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 LCD中文液晶屏，中文操作菜单，数字按键、状态指示。</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4.键盘锁定功能，锁定时间可调整（0~999秒），只有通过密码（不少于6位）授权才能进行机器操作</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 ★具备U盾接口，只有授权U盾才能进行设备操作，验证平台与密匙的绑定关系</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 内置监听喇叭，监听音量连续可调</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7. 具有远程网管功能，可远程配置设备参数</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8. ★支持远程在线升级，具备修改失败、升级失败后还原功能；</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9. 具备 RTC 实时时钟功能，断电后时钟不受影响；</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10.采用数字签名验证，支持国密SM2非对称算法验签</w:t>
            </w:r>
          </w:p>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rPr>
              <w:t>技术参数和要求：</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1、网口：支持2路RJ45网口及通信速率：自适应10M/100Mbps；</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2、★串口：支持RS232串口及传输速率：9600bps；</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 USB口： USB 输入，支持USB播放功能/升级；</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4、音频输入：左右声道、RCA接口；</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5、输入电平： 0～0.775Vrms可调；</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6、频率响应：±2dB（80Hz～15KHz）；</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7、谐波失真：≤1%（80Hz～15KHz）；</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8、信噪比：≥65dB；</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9、音频码率：支持32、64、128kbps</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10、工作电压范围：AC:180V～250V，50/60Hz；</w:t>
            </w:r>
          </w:p>
          <w:p>
            <w:pPr>
              <w:keepNext w:val="0"/>
              <w:keepLines w:val="0"/>
              <w:widowControl/>
              <w:suppressLineNumbers w:val="0"/>
              <w:jc w:val="left"/>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rPr>
              <w:t>11、功耗</w:t>
            </w:r>
            <w:r>
              <w:rPr>
                <w:rFonts w:hint="eastAsia" w:ascii="宋体" w:hAnsi="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≤20W</w:t>
            </w:r>
          </w:p>
        </w:tc>
        <w:tc>
          <w:tcPr>
            <w:tcW w:w="82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84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8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IP监听音箱</w:t>
            </w:r>
          </w:p>
        </w:tc>
        <w:tc>
          <w:tcPr>
            <w:tcW w:w="5666"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IP、DTMB、FM、DVC-B多模接收 </w:t>
            </w:r>
          </w:p>
        </w:tc>
        <w:tc>
          <w:tcPr>
            <w:tcW w:w="82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84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8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安装及辅材</w:t>
            </w:r>
          </w:p>
        </w:tc>
        <w:tc>
          <w:tcPr>
            <w:tcW w:w="5666"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设备的安装与调试，并与市级平台完成互联互通。</w:t>
            </w:r>
          </w:p>
        </w:tc>
        <w:tc>
          <w:tcPr>
            <w:tcW w:w="82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9758" w:type="dxa"/>
            <w:gridSpan w:val="5"/>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三、</w:t>
            </w:r>
            <w:r>
              <w:rPr>
                <w:rFonts w:hint="eastAsia" w:ascii="宋体" w:hAnsi="宋体" w:eastAsia="宋体" w:cs="宋体"/>
                <w:b/>
                <w:bCs/>
                <w:i w:val="0"/>
                <w:iCs w:val="0"/>
                <w:color w:val="000000"/>
                <w:kern w:val="0"/>
                <w:sz w:val="24"/>
                <w:szCs w:val="24"/>
                <w:u w:val="none"/>
                <w:lang w:val="en-US" w:eastAsia="zh-CN" w:bidi="ar"/>
              </w:rPr>
              <w:t>前端设备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84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8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50" w:name="OLE_LINK30"/>
            <w:r>
              <w:rPr>
                <w:rFonts w:hint="eastAsia" w:ascii="宋体" w:hAnsi="宋体" w:eastAsia="宋体" w:cs="宋体"/>
                <w:i w:val="0"/>
                <w:iCs w:val="0"/>
                <w:color w:val="000000"/>
                <w:kern w:val="0"/>
                <w:sz w:val="24"/>
                <w:szCs w:val="24"/>
                <w:u w:val="none"/>
                <w:lang w:val="en-US" w:eastAsia="zh-CN" w:bidi="ar"/>
              </w:rPr>
              <w:t>IP音柱</w:t>
            </w:r>
            <w:bookmarkEnd w:id="50"/>
          </w:p>
        </w:tc>
        <w:tc>
          <w:tcPr>
            <w:tcW w:w="5666" w:type="dxa"/>
            <w:shd w:val="clear" w:color="auto" w:fill="FFFFFF"/>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主要功能：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1、具备多模接收 (FM-RDS、IP)信号进行处理，实现远程唤醒功能，解调出音频信号，做出相应的播发/停止动作。</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2、可根据不同使用环境实现多级分区，支持全区播放、分区播放、单点播放。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3、★具备FM信号强度、信号质量、信噪比指示。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4、支持任意几种接收模式组合，可通过网管设置接收模式优先级。</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5、★支持通道互备切换，各网络和通道互为备份，自适应切换。</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6、★显示接收信号类型和设备运行状态，设备状态异常或离线时支持实时告警功能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7、★支持实时监测升级进度，可根据序列号或区域范围升级</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8、具备安全加密功能，具备对接收到的应急广播消息和数据进行验签功能，确保只执行合法的应急广播消息。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9、具有断电记忆断电自动恢复功能，设备重启后，已保存的参数不丢失。</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10、具备独立音量调节旋钮，日常广播音量连续可调，应急广播音量自动最大</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11、具有过热、过压、过载保护功能。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12、射频输入口具有防雷保护功能，IP输入口具有隔离变压器防护。</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13、★采用三芯电源线接入，电源插座配置防脱落卡扣，有效防止意外或人为钩落现象。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14、外置保险丝座，电源插座内部自带一个备用保险丝，以方便维护。</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15、采用防潮全频域高保真扬声器，内置不少于两个喇叭。</w:t>
            </w:r>
          </w:p>
          <w:p>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技术指标：</w:t>
            </w:r>
          </w:p>
          <w:p>
            <w:pPr>
              <w:keepNext w:val="0"/>
              <w:keepLines w:val="0"/>
              <w:widowControl/>
              <w:suppressLineNumbers w:val="0"/>
              <w:jc w:val="left"/>
              <w:textAlignment w:val="center"/>
              <w:rPr>
                <w:rFonts w:hint="default" w:ascii="宋体" w:hAnsi="宋体" w:cs="宋体"/>
                <w:i w:val="0"/>
                <w:iCs w:val="0"/>
                <w:color w:val="000000"/>
                <w:kern w:val="0"/>
                <w:sz w:val="24"/>
                <w:szCs w:val="24"/>
                <w:u w:val="none"/>
                <w:lang w:val="en-US" w:eastAsia="zh-CN" w:bidi="ar"/>
              </w:rPr>
            </w:pPr>
            <w:r>
              <w:rPr>
                <w:rFonts w:hint="default" w:ascii="宋体" w:hAnsi="宋体" w:cs="宋体"/>
                <w:i w:val="0"/>
                <w:iCs w:val="0"/>
                <w:color w:val="000000"/>
                <w:kern w:val="0"/>
                <w:sz w:val="24"/>
                <w:szCs w:val="24"/>
                <w:u w:val="none"/>
                <w:lang w:val="en-US" w:eastAsia="zh-CN" w:bidi="ar"/>
              </w:rPr>
              <w:t>1、FM接收频率范围：76~108MHz</w:t>
            </w:r>
          </w:p>
          <w:p>
            <w:pPr>
              <w:keepNext w:val="0"/>
              <w:keepLines w:val="0"/>
              <w:widowControl/>
              <w:suppressLineNumbers w:val="0"/>
              <w:jc w:val="left"/>
              <w:textAlignment w:val="center"/>
              <w:rPr>
                <w:rFonts w:hint="default" w:ascii="宋体" w:hAnsi="宋体" w:cs="宋体"/>
                <w:i w:val="0"/>
                <w:iCs w:val="0"/>
                <w:color w:val="000000"/>
                <w:kern w:val="0"/>
                <w:sz w:val="24"/>
                <w:szCs w:val="24"/>
                <w:u w:val="none"/>
                <w:lang w:val="en-US" w:eastAsia="zh-CN" w:bidi="ar"/>
              </w:rPr>
            </w:pPr>
            <w:r>
              <w:rPr>
                <w:rFonts w:hint="default" w:ascii="宋体" w:hAnsi="宋体" w:cs="宋体"/>
                <w:i w:val="0"/>
                <w:iCs w:val="0"/>
                <w:color w:val="000000"/>
                <w:kern w:val="0"/>
                <w:sz w:val="24"/>
                <w:szCs w:val="24"/>
                <w:u w:val="none"/>
                <w:lang w:val="en-US" w:eastAsia="zh-CN" w:bidi="ar"/>
              </w:rPr>
              <w:t>2、FM接收灵敏度：≤20dBuV</w:t>
            </w:r>
          </w:p>
          <w:p>
            <w:pPr>
              <w:keepNext w:val="0"/>
              <w:keepLines w:val="0"/>
              <w:widowControl/>
              <w:suppressLineNumbers w:val="0"/>
              <w:jc w:val="left"/>
              <w:textAlignment w:val="center"/>
              <w:rPr>
                <w:rFonts w:hint="default" w:ascii="宋体" w:hAnsi="宋体" w:cs="宋体"/>
                <w:i w:val="0"/>
                <w:iCs w:val="0"/>
                <w:color w:val="000000"/>
                <w:kern w:val="0"/>
                <w:sz w:val="24"/>
                <w:szCs w:val="24"/>
                <w:u w:val="none"/>
                <w:lang w:val="en-US" w:eastAsia="zh-CN" w:bidi="ar"/>
              </w:rPr>
            </w:pPr>
            <w:r>
              <w:rPr>
                <w:rFonts w:hint="default" w:ascii="宋体" w:hAnsi="宋体" w:cs="宋体"/>
                <w:i w:val="0"/>
                <w:iCs w:val="0"/>
                <w:color w:val="000000"/>
                <w:kern w:val="0"/>
                <w:sz w:val="24"/>
                <w:szCs w:val="24"/>
                <w:u w:val="none"/>
                <w:lang w:val="en-US" w:eastAsia="zh-CN" w:bidi="ar"/>
              </w:rPr>
              <w:t>3、音频输出功率：≥25W</w:t>
            </w:r>
          </w:p>
          <w:p>
            <w:pPr>
              <w:keepNext w:val="0"/>
              <w:keepLines w:val="0"/>
              <w:widowControl/>
              <w:suppressLineNumbers w:val="0"/>
              <w:jc w:val="left"/>
              <w:textAlignment w:val="center"/>
              <w:rPr>
                <w:rFonts w:hint="default" w:ascii="宋体" w:hAnsi="宋体" w:cs="宋体"/>
                <w:i w:val="0"/>
                <w:iCs w:val="0"/>
                <w:color w:val="000000"/>
                <w:kern w:val="0"/>
                <w:sz w:val="24"/>
                <w:szCs w:val="24"/>
                <w:u w:val="none"/>
                <w:lang w:val="en-US" w:eastAsia="zh-CN" w:bidi="ar"/>
              </w:rPr>
            </w:pPr>
            <w:r>
              <w:rPr>
                <w:rFonts w:hint="default" w:ascii="宋体" w:hAnsi="宋体" w:cs="宋体"/>
                <w:i w:val="0"/>
                <w:iCs w:val="0"/>
                <w:color w:val="000000"/>
                <w:kern w:val="0"/>
                <w:sz w:val="24"/>
                <w:szCs w:val="24"/>
                <w:u w:val="none"/>
                <w:lang w:val="en-US" w:eastAsia="zh-CN" w:bidi="ar"/>
              </w:rPr>
              <w:t>4、频率响应：±2dB(100Hz—12KHz)</w:t>
            </w:r>
          </w:p>
          <w:p>
            <w:pPr>
              <w:keepNext w:val="0"/>
              <w:keepLines w:val="0"/>
              <w:widowControl/>
              <w:suppressLineNumbers w:val="0"/>
              <w:jc w:val="left"/>
              <w:textAlignment w:val="center"/>
              <w:rPr>
                <w:rFonts w:hint="default" w:ascii="宋体" w:hAnsi="宋体" w:cs="宋体"/>
                <w:i w:val="0"/>
                <w:iCs w:val="0"/>
                <w:color w:val="000000"/>
                <w:kern w:val="0"/>
                <w:sz w:val="24"/>
                <w:szCs w:val="24"/>
                <w:u w:val="none"/>
                <w:lang w:val="en-US" w:eastAsia="zh-CN" w:bidi="ar"/>
              </w:rPr>
            </w:pPr>
            <w:r>
              <w:rPr>
                <w:rFonts w:hint="default" w:ascii="宋体" w:hAnsi="宋体" w:cs="宋体"/>
                <w:i w:val="0"/>
                <w:iCs w:val="0"/>
                <w:color w:val="000000"/>
                <w:kern w:val="0"/>
                <w:sz w:val="24"/>
                <w:szCs w:val="24"/>
                <w:u w:val="none"/>
                <w:lang w:val="en-US" w:eastAsia="zh-CN" w:bidi="ar"/>
              </w:rPr>
              <w:t>5、谐波失真：≤1%(1KHz)</w:t>
            </w:r>
          </w:p>
          <w:p>
            <w:pPr>
              <w:keepNext w:val="0"/>
              <w:keepLines w:val="0"/>
              <w:widowControl/>
              <w:suppressLineNumbers w:val="0"/>
              <w:jc w:val="left"/>
              <w:textAlignment w:val="center"/>
              <w:rPr>
                <w:rFonts w:hint="default" w:ascii="宋体" w:hAnsi="宋体" w:cs="宋体"/>
                <w:i w:val="0"/>
                <w:iCs w:val="0"/>
                <w:color w:val="000000"/>
                <w:kern w:val="0"/>
                <w:sz w:val="24"/>
                <w:szCs w:val="24"/>
                <w:u w:val="none"/>
                <w:lang w:val="en-US" w:eastAsia="zh-CN" w:bidi="ar"/>
              </w:rPr>
            </w:pPr>
            <w:r>
              <w:rPr>
                <w:rFonts w:hint="default" w:ascii="宋体" w:hAnsi="宋体" w:cs="宋体"/>
                <w:i w:val="0"/>
                <w:iCs w:val="0"/>
                <w:color w:val="000000"/>
                <w:kern w:val="0"/>
                <w:sz w:val="24"/>
                <w:szCs w:val="24"/>
                <w:u w:val="none"/>
                <w:lang w:val="en-US" w:eastAsia="zh-CN" w:bidi="ar"/>
              </w:rPr>
              <w:t>6、信噪比：≥60dB</w:t>
            </w:r>
          </w:p>
          <w:p>
            <w:pPr>
              <w:keepNext w:val="0"/>
              <w:keepLines w:val="0"/>
              <w:widowControl/>
              <w:suppressLineNumbers w:val="0"/>
              <w:jc w:val="left"/>
              <w:textAlignment w:val="center"/>
              <w:rPr>
                <w:rFonts w:hint="default" w:ascii="宋体" w:hAnsi="宋体" w:cs="宋体"/>
                <w:i w:val="0"/>
                <w:iCs w:val="0"/>
                <w:color w:val="000000"/>
                <w:kern w:val="0"/>
                <w:sz w:val="24"/>
                <w:szCs w:val="24"/>
                <w:u w:val="none"/>
                <w:lang w:val="en-US" w:eastAsia="zh-CN" w:bidi="ar"/>
              </w:rPr>
            </w:pPr>
            <w:r>
              <w:rPr>
                <w:rFonts w:hint="default" w:ascii="宋体" w:hAnsi="宋体" w:cs="宋体"/>
                <w:i w:val="0"/>
                <w:iCs w:val="0"/>
                <w:color w:val="000000"/>
                <w:kern w:val="0"/>
                <w:sz w:val="24"/>
                <w:szCs w:val="24"/>
                <w:u w:val="none"/>
                <w:lang w:val="en-US" w:eastAsia="zh-CN" w:bidi="ar"/>
              </w:rPr>
              <w:t>7、工作电压范围：AC:180V～255V，50/60Hz；</w:t>
            </w:r>
          </w:p>
        </w:tc>
        <w:tc>
          <w:tcPr>
            <w:tcW w:w="82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7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846" w:type="dxa"/>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68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杆件</w:t>
            </w:r>
          </w:p>
        </w:tc>
        <w:tc>
          <w:tcPr>
            <w:tcW w:w="5666"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3米杆,含地笼等辅件</w:t>
            </w:r>
          </w:p>
        </w:tc>
        <w:tc>
          <w:tcPr>
            <w:tcW w:w="82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6" w:type="dxa"/>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w:t>
            </w:r>
          </w:p>
        </w:tc>
        <w:tc>
          <w:tcPr>
            <w:tcW w:w="168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挂箱</w:t>
            </w:r>
          </w:p>
        </w:tc>
        <w:tc>
          <w:tcPr>
            <w:tcW w:w="5666"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尺寸：300*200*450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含空开插线板</w:t>
            </w:r>
          </w:p>
        </w:tc>
        <w:tc>
          <w:tcPr>
            <w:tcW w:w="82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7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6" w:type="dxa"/>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w:t>
            </w:r>
          </w:p>
        </w:tc>
        <w:tc>
          <w:tcPr>
            <w:tcW w:w="168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安装及辅材</w:t>
            </w:r>
          </w:p>
        </w:tc>
        <w:tc>
          <w:tcPr>
            <w:tcW w:w="5666"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设备的安装与</w:t>
            </w:r>
            <w:r>
              <w:rPr>
                <w:rFonts w:hint="eastAsia" w:ascii="宋体" w:hAnsi="宋体" w:eastAsia="宋体" w:cs="宋体"/>
                <w:i w:val="0"/>
                <w:iCs w:val="0"/>
                <w:color w:val="000000"/>
                <w:kern w:val="0"/>
                <w:sz w:val="24"/>
                <w:szCs w:val="24"/>
                <w:highlight w:val="none"/>
                <w:u w:val="none"/>
                <w:lang w:val="en-US" w:eastAsia="zh-CN" w:bidi="ar"/>
              </w:rPr>
              <w:t>调试，并与市级平台完成互联互通。</w:t>
            </w:r>
          </w:p>
        </w:tc>
        <w:tc>
          <w:tcPr>
            <w:tcW w:w="82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7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758" w:type="dxa"/>
            <w:gridSpan w:val="5"/>
            <w:shd w:val="clear" w:color="auto" w:fill="FFFFFF"/>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四、</w:t>
            </w:r>
            <w:r>
              <w:rPr>
                <w:rFonts w:hint="eastAsia" w:ascii="宋体" w:hAnsi="宋体" w:eastAsia="宋体" w:cs="宋体"/>
                <w:b/>
                <w:bCs/>
                <w:i w:val="0"/>
                <w:iCs w:val="0"/>
                <w:color w:val="000000"/>
                <w:kern w:val="0"/>
                <w:sz w:val="24"/>
                <w:szCs w:val="24"/>
                <w:u w:val="none"/>
                <w:lang w:val="en-US" w:eastAsia="zh-CN" w:bidi="ar"/>
              </w:rPr>
              <w:t>链路服务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846" w:type="dxa"/>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w:t>
            </w:r>
          </w:p>
        </w:tc>
        <w:tc>
          <w:tcPr>
            <w:tcW w:w="1680" w:type="dxa"/>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前端链路</w:t>
            </w:r>
          </w:p>
        </w:tc>
        <w:tc>
          <w:tcPr>
            <w:tcW w:w="5666" w:type="dxa"/>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应急广播专用链路，带宽不少于100M</w:t>
            </w:r>
          </w:p>
        </w:tc>
        <w:tc>
          <w:tcPr>
            <w:tcW w:w="827" w:type="dxa"/>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53</w:t>
            </w:r>
          </w:p>
        </w:tc>
        <w:tc>
          <w:tcPr>
            <w:tcW w:w="73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r>
    </w:tbl>
    <w:p>
      <w:pPr>
        <w:pStyle w:val="2"/>
        <w:numPr>
          <w:ilvl w:val="0"/>
          <w:numId w:val="0"/>
        </w:numP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三、服务工期要求</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本项目要求中标供应商根据采购人的要求，在指定点位自行完成内容后交付采购人使用，签订合同</w:t>
      </w:r>
      <w:r>
        <w:rPr>
          <w:rFonts w:hint="eastAsia" w:ascii="宋体" w:hAnsi="宋体" w:cs="宋体"/>
          <w:i w:val="0"/>
          <w:iCs w:val="0"/>
          <w:color w:val="000000"/>
          <w:kern w:val="0"/>
          <w:sz w:val="24"/>
          <w:szCs w:val="24"/>
          <w:u w:val="none"/>
          <w:lang w:val="en-US" w:eastAsia="zh-CN" w:bidi="ar"/>
        </w:rPr>
        <w:t>后并收到甲方通知9</w:t>
      </w:r>
      <w:r>
        <w:rPr>
          <w:rFonts w:hint="eastAsia" w:ascii="宋体" w:hAnsi="宋体" w:eastAsia="宋体" w:cs="宋体"/>
          <w:i w:val="0"/>
          <w:iCs w:val="0"/>
          <w:color w:val="000000"/>
          <w:kern w:val="0"/>
          <w:sz w:val="24"/>
          <w:szCs w:val="24"/>
          <w:u w:val="none"/>
          <w:lang w:val="en-US" w:eastAsia="zh-CN" w:bidi="ar"/>
        </w:rPr>
        <w:t>0日历日</w:t>
      </w:r>
      <w:r>
        <w:rPr>
          <w:rFonts w:hint="eastAsia" w:ascii="宋体" w:hAnsi="宋体" w:cs="宋体"/>
          <w:i w:val="0"/>
          <w:iCs w:val="0"/>
          <w:color w:val="000000"/>
          <w:kern w:val="0"/>
          <w:sz w:val="24"/>
          <w:szCs w:val="24"/>
          <w:u w:val="none"/>
          <w:lang w:val="en-US" w:eastAsia="zh-CN" w:bidi="ar"/>
        </w:rPr>
        <w:t>内</w:t>
      </w:r>
      <w:r>
        <w:rPr>
          <w:rFonts w:hint="eastAsia" w:ascii="宋体" w:hAnsi="宋体" w:eastAsia="宋体" w:cs="宋体"/>
          <w:i w:val="0"/>
          <w:iCs w:val="0"/>
          <w:color w:val="000000"/>
          <w:kern w:val="0"/>
          <w:sz w:val="24"/>
          <w:szCs w:val="24"/>
          <w:u w:val="none"/>
          <w:lang w:val="en-US" w:eastAsia="zh-CN" w:bidi="ar"/>
        </w:rPr>
        <w:t>完成项目安装与调试并验收合格。</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60" w:lineRule="auto"/>
        <w:ind w:left="0" w:leftChars="0" w:firstLine="0" w:firstLineChars="0"/>
        <w:jc w:val="both"/>
        <w:textAlignment w:val="center"/>
        <w:rPr>
          <w:rFonts w:hint="eastAsia" w:ascii="宋体" w:hAnsi="宋体" w:cs="宋体"/>
          <w:i w:val="0"/>
          <w:i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lang w:val="en-US" w:eastAsia="zh-CN" w:bidi="ar"/>
        </w:rPr>
        <w:t>四、</w:t>
      </w:r>
      <w:r>
        <w:rPr>
          <w:rFonts w:hint="eastAsia" w:ascii="宋体" w:hAnsi="宋体" w:cs="宋体"/>
          <w:i w:val="0"/>
          <w:iCs w:val="0"/>
          <w:color w:val="000000"/>
          <w:kern w:val="0"/>
          <w:sz w:val="24"/>
          <w:szCs w:val="24"/>
          <w:highlight w:val="none"/>
          <w:lang w:val="en-US" w:eastAsia="zh-CN" w:bidi="ar"/>
        </w:rPr>
        <w:t>点位勘察要求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本项目涉及的所有前端点位及配套系统全部由中标供应商自行完成</w:t>
      </w:r>
      <w:r>
        <w:rPr>
          <w:rFonts w:hint="eastAsia" w:ascii="宋体" w:hAnsi="宋体" w:cs="宋体"/>
          <w:i w:val="0"/>
          <w:iCs w:val="0"/>
          <w:color w:val="000000"/>
          <w:kern w:val="0"/>
          <w:sz w:val="24"/>
          <w:szCs w:val="24"/>
          <w:highlight w:val="none"/>
          <w:u w:val="none"/>
          <w:lang w:val="en-US" w:eastAsia="zh-CN" w:bidi="ar"/>
        </w:rPr>
        <w:t>定点勘察、设计与</w:t>
      </w:r>
      <w:r>
        <w:rPr>
          <w:rFonts w:hint="eastAsia" w:ascii="宋体" w:hAnsi="宋体" w:eastAsia="宋体" w:cs="宋体"/>
          <w:i w:val="0"/>
          <w:iCs w:val="0"/>
          <w:color w:val="000000"/>
          <w:kern w:val="0"/>
          <w:sz w:val="24"/>
          <w:szCs w:val="24"/>
          <w:highlight w:val="none"/>
          <w:u w:val="none"/>
          <w:lang w:val="en-US" w:eastAsia="zh-CN" w:bidi="ar"/>
        </w:rPr>
        <w:t>建设</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前端点位布设应遵循 “精准覆盖、分级防控、智能联动” 的原则，</w:t>
      </w:r>
      <w:r>
        <w:rPr>
          <w:rFonts w:hint="eastAsia" w:ascii="宋体" w:hAnsi="宋体" w:cs="宋体"/>
          <w:i w:val="0"/>
          <w:iCs w:val="0"/>
          <w:color w:val="000000"/>
          <w:kern w:val="0"/>
          <w:sz w:val="24"/>
          <w:szCs w:val="24"/>
          <w:highlight w:val="none"/>
          <w:u w:val="none"/>
          <w:lang w:val="en-US" w:eastAsia="zh-CN" w:bidi="ar"/>
        </w:rPr>
        <w:t>重点聚焦</w:t>
      </w:r>
      <w:r>
        <w:rPr>
          <w:rFonts w:hint="eastAsia" w:ascii="宋体" w:hAnsi="宋体" w:eastAsia="宋体" w:cs="宋体"/>
          <w:i w:val="0"/>
          <w:iCs w:val="0"/>
          <w:color w:val="000000"/>
          <w:kern w:val="0"/>
          <w:sz w:val="24"/>
          <w:szCs w:val="24"/>
          <w:highlight w:val="none"/>
          <w:u w:val="none"/>
          <w:lang w:val="en-US" w:eastAsia="zh-CN" w:bidi="ar"/>
        </w:rPr>
        <w:t>上城区范围内人员密集区域、地质灾害风险区域、消防体系点位</w:t>
      </w:r>
      <w:r>
        <w:rPr>
          <w:rFonts w:hint="eastAsia" w:ascii="宋体" w:hAnsi="宋体" w:cs="宋体"/>
          <w:i w:val="0"/>
          <w:iCs w:val="0"/>
          <w:color w:val="000000"/>
          <w:kern w:val="0"/>
          <w:sz w:val="24"/>
          <w:szCs w:val="24"/>
          <w:highlight w:val="none"/>
          <w:u w:val="none"/>
          <w:lang w:val="en-US" w:eastAsia="zh-CN" w:bidi="ar"/>
        </w:rPr>
        <w:t>，分布在湖滨街道、清波街道、小营街道、望江街道、南星街道、紫阳街道、闸弄口街道、凯旋街道、采荷街道</w:t>
      </w:r>
      <w:r>
        <w:rPr>
          <w:rFonts w:hint="eastAsia" w:ascii="宋体" w:hAnsi="宋体" w:cs="宋体"/>
          <w:i w:val="0"/>
          <w:iCs w:val="0"/>
          <w:color w:val="auto"/>
          <w:kern w:val="0"/>
          <w:sz w:val="24"/>
          <w:szCs w:val="24"/>
          <w:highlight w:val="none"/>
          <w:u w:val="none"/>
          <w:lang w:val="en-US" w:eastAsia="zh-CN" w:bidi="ar"/>
        </w:rPr>
        <w:t>、四季青街道、笕桥街道、彭埠街道、九堡街道、丁兰街道。最终设计不少于38个点位，最终设计点位位置在中标后7个工作日内由采购人确认后再实施建设。</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60" w:lineRule="auto"/>
        <w:ind w:left="0" w:leftChars="0" w:firstLine="0" w:firstLineChars="0"/>
        <w:jc w:val="both"/>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五、维保期服务要求</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both"/>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维保期：自验收合格之日起1年。</w:t>
      </w:r>
    </w:p>
    <w:p>
      <w:pPr>
        <w:pStyle w:val="2"/>
        <w:numPr>
          <w:ilvl w:val="0"/>
          <w:numId w:val="0"/>
        </w:numPr>
        <w:ind w:left="0" w:leftChars="0" w:firstLine="0" w:firstLineChars="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六、培训服务要求</w:t>
      </w:r>
    </w:p>
    <w:p>
      <w:pPr>
        <w:pStyle w:val="2"/>
        <w:keepNext w:val="0"/>
        <w:keepLines w:val="0"/>
        <w:pageBreakBefore w:val="0"/>
        <w:numPr>
          <w:ilvl w:val="0"/>
          <w:numId w:val="0"/>
        </w:numPr>
        <w:kinsoku/>
        <w:wordWrap/>
        <w:overflowPunct/>
        <w:topLinePunct w:val="0"/>
        <w:bidi w:val="0"/>
        <w:adjustRightInd w:val="0"/>
        <w:snapToGrid/>
        <w:spacing w:line="360" w:lineRule="auto"/>
        <w:ind w:leftChars="0" w:firstLine="480"/>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投标人须提出详细的项目培训计划，具体如下:</w:t>
      </w:r>
    </w:p>
    <w:p>
      <w:pPr>
        <w:pStyle w:val="2"/>
        <w:keepNext w:val="0"/>
        <w:keepLines w:val="0"/>
        <w:pageBreakBefore w:val="0"/>
        <w:numPr>
          <w:ilvl w:val="0"/>
          <w:numId w:val="2"/>
        </w:numPr>
        <w:kinsoku/>
        <w:wordWrap/>
        <w:overflowPunct/>
        <w:topLinePunct w:val="0"/>
        <w:bidi w:val="0"/>
        <w:adjustRightInd w:val="0"/>
        <w:snapToGrid/>
        <w:spacing w:line="360" w:lineRule="auto"/>
        <w:ind w:leftChars="0" w:firstLine="480"/>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对系统使用人员、维护管理人员等不同对象的培训计划。</w:t>
      </w:r>
    </w:p>
    <w:p>
      <w:pPr>
        <w:pStyle w:val="2"/>
        <w:keepNext w:val="0"/>
        <w:keepLines w:val="0"/>
        <w:pageBreakBefore w:val="0"/>
        <w:numPr>
          <w:ilvl w:val="0"/>
          <w:numId w:val="2"/>
        </w:numPr>
        <w:kinsoku/>
        <w:wordWrap/>
        <w:overflowPunct/>
        <w:topLinePunct w:val="0"/>
        <w:bidi w:val="0"/>
        <w:adjustRightInd w:val="0"/>
        <w:snapToGrid/>
        <w:spacing w:line="360" w:lineRule="auto"/>
        <w:ind w:leftChars="0" w:firstLine="480"/>
        <w:textAlignment w:val="auto"/>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培训课程安排、培训方式及时间、地点场所由采购人确定。</w:t>
      </w:r>
    </w:p>
    <w:p>
      <w:pPr>
        <w:keepNext w:val="0"/>
        <w:keepLines w:val="0"/>
        <w:pageBreakBefore w:val="0"/>
        <w:numPr>
          <w:ilvl w:val="0"/>
          <w:numId w:val="0"/>
        </w:numPr>
        <w:kinsoku/>
        <w:wordWrap/>
        <w:overflowPunct/>
        <w:topLinePunct w:val="0"/>
        <w:bidi w:val="0"/>
        <w:adjustRightInd w:val="0"/>
        <w:snapToGrid/>
        <w:spacing w:line="360" w:lineRule="auto"/>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snapToGrid w:val="0"/>
          <w:color w:val="auto"/>
          <w:kern w:val="0"/>
          <w:sz w:val="24"/>
          <w:szCs w:val="24"/>
          <w:highlight w:val="none"/>
          <w:lang w:val="en-US" w:eastAsia="zh-CN" w:bidi="ar-SA"/>
        </w:rPr>
        <w:t>七</w:t>
      </w:r>
      <w:r>
        <w:rPr>
          <w:rFonts w:hint="eastAsia" w:ascii="宋体" w:hAnsi="宋体" w:eastAsia="宋体" w:cs="宋体"/>
          <w:snapToGrid w:val="0"/>
          <w:color w:val="auto"/>
          <w:kern w:val="0"/>
          <w:sz w:val="24"/>
          <w:szCs w:val="24"/>
          <w:highlight w:val="none"/>
          <w:lang w:val="en-US" w:eastAsia="zh-CN" w:bidi="ar-SA"/>
        </w:rPr>
        <w:t>、</w:t>
      </w:r>
      <w:r>
        <w:rPr>
          <w:rFonts w:hint="eastAsia" w:ascii="宋体" w:hAnsi="宋体" w:cs="宋体"/>
          <w:snapToGrid w:val="0"/>
          <w:color w:val="auto"/>
          <w:kern w:val="0"/>
          <w:sz w:val="24"/>
          <w:highlight w:val="none"/>
          <w:lang w:val="en-US" w:eastAsia="zh-CN"/>
        </w:rPr>
        <w:t>应急服务要求</w:t>
      </w:r>
    </w:p>
    <w:p>
      <w:pPr>
        <w:pStyle w:val="2"/>
        <w:keepNext w:val="0"/>
        <w:keepLines w:val="0"/>
        <w:pageBreakBefore w:val="0"/>
        <w:numPr>
          <w:ilvl w:val="0"/>
          <w:numId w:val="0"/>
        </w:numPr>
        <w:kinsoku/>
        <w:wordWrap/>
        <w:overflowPunct/>
        <w:topLinePunct w:val="0"/>
        <w:bidi w:val="0"/>
        <w:adjustRightInd w:val="0"/>
        <w:snapToGrid/>
        <w:spacing w:line="360" w:lineRule="auto"/>
        <w:ind w:firstLine="480"/>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投标人应制定全面合理的应急服务响应方案，包括故障处理流程、应急响应预案的启动及后期处理。</w:t>
      </w:r>
    </w:p>
    <w:p>
      <w:pPr>
        <w:pStyle w:val="2"/>
        <w:keepNext w:val="0"/>
        <w:keepLines w:val="0"/>
        <w:pageBreakBefore w:val="0"/>
        <w:numPr>
          <w:ilvl w:val="0"/>
          <w:numId w:val="0"/>
        </w:numPr>
        <w:kinsoku/>
        <w:wordWrap/>
        <w:overflowPunct/>
        <w:topLinePunct w:val="0"/>
        <w:bidi w:val="0"/>
        <w:adjustRightInd w:val="0"/>
        <w:snapToGrid/>
        <w:spacing w:line="360" w:lineRule="auto"/>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lang w:val="en-US" w:eastAsia="zh-CN" w:bidi="ar"/>
        </w:rPr>
        <w:t>八、</w:t>
      </w:r>
      <w:r>
        <w:rPr>
          <w:rFonts w:hint="eastAsia" w:ascii="宋体" w:hAnsi="宋体" w:eastAsia="宋体" w:cs="宋体"/>
          <w:i w:val="0"/>
          <w:iCs w:val="0"/>
          <w:color w:val="auto"/>
          <w:kern w:val="0"/>
          <w:sz w:val="24"/>
          <w:szCs w:val="24"/>
          <w:highlight w:val="none"/>
          <w:u w:val="none"/>
          <w:lang w:val="en-US" w:eastAsia="zh-CN" w:bidi="ar"/>
        </w:rPr>
        <w:t>人员服务要求</w:t>
      </w:r>
    </w:p>
    <w:p>
      <w:pPr>
        <w:pStyle w:val="2"/>
        <w:keepNext w:val="0"/>
        <w:keepLines w:val="0"/>
        <w:pageBreakBefore w:val="0"/>
        <w:numPr>
          <w:ilvl w:val="0"/>
          <w:numId w:val="0"/>
        </w:numPr>
        <w:kinsoku/>
        <w:wordWrap/>
        <w:overflowPunct/>
        <w:topLinePunct w:val="0"/>
        <w:bidi w:val="0"/>
        <w:adjustRightInd w:val="0"/>
        <w:snapToGrid/>
        <w:spacing w:line="360" w:lineRule="auto"/>
        <w:ind w:firstLine="480"/>
        <w:textAlignment w:val="auto"/>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投标人需提供人数不少于5人的具有相关资质的人员服务。项目组成员（项目经理和技术负责人除外）中至少有1人需同时具备特种作业操作证（高处作业证和低压电工作业证）。</w:t>
      </w:r>
    </w:p>
    <w:p>
      <w:pPr>
        <w:pStyle w:val="2"/>
        <w:keepNext w:val="0"/>
        <w:keepLines w:val="0"/>
        <w:pageBreakBefore w:val="0"/>
        <w:numPr>
          <w:ilvl w:val="0"/>
          <w:numId w:val="0"/>
        </w:numPr>
        <w:kinsoku/>
        <w:wordWrap/>
        <w:overflowPunct/>
        <w:topLinePunct w:val="0"/>
        <w:bidi w:val="0"/>
        <w:adjustRightInd w:val="0"/>
        <w:snapToGrid/>
        <w:spacing w:line="360" w:lineRule="auto"/>
        <w:textAlignment w:val="auto"/>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九、付款要求</w:t>
      </w:r>
    </w:p>
    <w:p>
      <w:pPr>
        <w:pStyle w:val="2"/>
        <w:keepNext w:val="0"/>
        <w:keepLines w:val="0"/>
        <w:pageBreakBefore w:val="0"/>
        <w:numPr>
          <w:ilvl w:val="0"/>
          <w:numId w:val="0"/>
        </w:numPr>
        <w:kinsoku/>
        <w:wordWrap/>
        <w:overflowPunct/>
        <w:topLinePunct w:val="0"/>
        <w:bidi w:val="0"/>
        <w:adjustRightInd w:val="0"/>
        <w:snapToGrid/>
        <w:spacing w:line="360" w:lineRule="auto"/>
        <w:ind w:firstLine="480"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采购人在合同生效以及具备实施条件7个工作日内支付50%预付款，本项目货物到货并经安装调试完成，采购人验收合格并收到发票后5个工作日内按实结算剩余合同款项。</w:t>
      </w:r>
    </w:p>
    <w:p>
      <w:pPr>
        <w:pStyle w:val="2"/>
        <w:keepNext w:val="0"/>
        <w:keepLines w:val="0"/>
        <w:pageBreakBefore w:val="0"/>
        <w:numPr>
          <w:ilvl w:val="0"/>
          <w:numId w:val="0"/>
        </w:numPr>
        <w:kinsoku/>
        <w:wordWrap/>
        <w:overflowPunct/>
        <w:topLinePunct w:val="0"/>
        <w:bidi w:val="0"/>
        <w:adjustRightInd w:val="0"/>
        <w:snapToGrid/>
        <w:spacing w:line="360" w:lineRule="auto"/>
        <w:textAlignment w:val="auto"/>
        <w:rPr>
          <w:rFonts w:hint="default" w:ascii="宋体" w:hAnsi="宋体" w:eastAsia="宋体" w:cs="宋体"/>
          <w:i w:val="0"/>
          <w:iCs w:val="0"/>
          <w:color w:val="000000"/>
          <w:kern w:val="0"/>
          <w:sz w:val="24"/>
          <w:szCs w:val="24"/>
          <w:u w:val="none"/>
          <w:lang w:val="en-US" w:eastAsia="zh-CN" w:bidi="ar"/>
        </w:rPr>
      </w:pPr>
    </w:p>
    <w:p>
      <w:pPr>
        <w:spacing w:line="360" w:lineRule="auto"/>
        <w:ind w:firstLine="482" w:firstLineChars="200"/>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51" w:name="_Toc184312120"/>
      <w:bookmarkEnd w:id="51"/>
      <w:bookmarkStart w:id="52" w:name="_Toc184312131"/>
      <w:bookmarkEnd w:id="52"/>
      <w:bookmarkStart w:id="53" w:name="_Toc184312115"/>
      <w:bookmarkEnd w:id="53"/>
      <w:bookmarkStart w:id="54" w:name="_Toc184312079"/>
      <w:bookmarkEnd w:id="54"/>
      <w:bookmarkStart w:id="55" w:name="_Toc184312118"/>
      <w:bookmarkEnd w:id="55"/>
      <w:bookmarkStart w:id="56" w:name="_Toc184308088"/>
      <w:bookmarkEnd w:id="56"/>
      <w:bookmarkStart w:id="57" w:name="_Toc184310302"/>
      <w:bookmarkEnd w:id="57"/>
      <w:bookmarkStart w:id="58" w:name="_Toc184314415"/>
      <w:bookmarkEnd w:id="58"/>
      <w:bookmarkStart w:id="59" w:name="_Toc184308090"/>
      <w:bookmarkEnd w:id="59"/>
      <w:bookmarkStart w:id="60" w:name="_Toc184308075"/>
      <w:bookmarkEnd w:id="60"/>
      <w:bookmarkStart w:id="61" w:name="_Toc184308072"/>
      <w:bookmarkEnd w:id="61"/>
      <w:bookmarkStart w:id="62" w:name="_Toc184312089"/>
      <w:bookmarkEnd w:id="62"/>
      <w:bookmarkStart w:id="63" w:name="_Toc184308087"/>
      <w:bookmarkEnd w:id="63"/>
      <w:bookmarkStart w:id="64" w:name="_Toc184314466"/>
      <w:bookmarkEnd w:id="64"/>
      <w:bookmarkStart w:id="65" w:name="_Toc184313264"/>
      <w:bookmarkEnd w:id="65"/>
      <w:bookmarkStart w:id="66" w:name="_Toc184310300"/>
      <w:bookmarkEnd w:id="66"/>
      <w:bookmarkStart w:id="67" w:name="_Toc184314434"/>
      <w:bookmarkEnd w:id="67"/>
      <w:bookmarkStart w:id="68" w:name="_Toc184310313"/>
      <w:bookmarkEnd w:id="68"/>
      <w:bookmarkStart w:id="69" w:name="_Toc184313269"/>
      <w:bookmarkEnd w:id="69"/>
      <w:bookmarkStart w:id="70" w:name="_Toc184312134"/>
      <w:bookmarkEnd w:id="70"/>
      <w:bookmarkStart w:id="71" w:name="_Toc184308070"/>
      <w:bookmarkEnd w:id="71"/>
      <w:bookmarkStart w:id="72" w:name="_Toc184308086"/>
      <w:bookmarkEnd w:id="72"/>
      <w:bookmarkStart w:id="73" w:name="_Toc184314471"/>
      <w:bookmarkEnd w:id="73"/>
      <w:bookmarkStart w:id="74" w:name="_Toc184314413"/>
      <w:bookmarkEnd w:id="74"/>
      <w:bookmarkStart w:id="75" w:name="_Toc184314445"/>
      <w:bookmarkEnd w:id="75"/>
      <w:bookmarkStart w:id="76" w:name="_Toc184310294"/>
      <w:bookmarkEnd w:id="76"/>
      <w:bookmarkStart w:id="77" w:name="_Toc184314430"/>
      <w:bookmarkEnd w:id="77"/>
      <w:bookmarkStart w:id="78" w:name="_Toc184313293"/>
      <w:bookmarkEnd w:id="78"/>
      <w:bookmarkStart w:id="79" w:name="_Toc184312078"/>
      <w:bookmarkEnd w:id="79"/>
      <w:bookmarkStart w:id="80" w:name="_Toc184313310"/>
      <w:bookmarkEnd w:id="80"/>
      <w:bookmarkStart w:id="81" w:name="_Toc184310317"/>
      <w:bookmarkEnd w:id="81"/>
      <w:bookmarkStart w:id="82" w:name="_Toc184310277"/>
      <w:bookmarkEnd w:id="82"/>
      <w:bookmarkStart w:id="83" w:name="_Toc184313256"/>
      <w:bookmarkEnd w:id="83"/>
      <w:bookmarkStart w:id="84" w:name="_Toc184313272"/>
      <w:bookmarkEnd w:id="84"/>
      <w:bookmarkStart w:id="85" w:name="_Toc184308062"/>
      <w:bookmarkEnd w:id="85"/>
      <w:bookmarkStart w:id="86" w:name="_Toc184313271"/>
      <w:bookmarkEnd w:id="86"/>
      <w:bookmarkStart w:id="87" w:name="_Toc184308064"/>
      <w:bookmarkEnd w:id="87"/>
      <w:bookmarkStart w:id="88" w:name="_Toc184310276"/>
      <w:bookmarkEnd w:id="88"/>
      <w:bookmarkStart w:id="89" w:name="_Toc184313288"/>
      <w:bookmarkEnd w:id="89"/>
      <w:bookmarkStart w:id="90" w:name="_Toc184313265"/>
      <w:bookmarkEnd w:id="90"/>
      <w:bookmarkStart w:id="91" w:name="_Toc184312125"/>
      <w:bookmarkEnd w:id="91"/>
      <w:bookmarkStart w:id="92" w:name="_Toc184308038"/>
      <w:bookmarkEnd w:id="92"/>
      <w:bookmarkStart w:id="93" w:name="_Toc184308073"/>
      <w:bookmarkEnd w:id="93"/>
      <w:bookmarkStart w:id="94" w:name="_Toc184312133"/>
      <w:bookmarkEnd w:id="94"/>
      <w:bookmarkStart w:id="95" w:name="_Toc184310333"/>
      <w:bookmarkEnd w:id="95"/>
      <w:bookmarkStart w:id="96" w:name="_Toc184310329"/>
      <w:bookmarkEnd w:id="96"/>
      <w:bookmarkStart w:id="97" w:name="_Toc184312077"/>
      <w:bookmarkEnd w:id="97"/>
      <w:bookmarkStart w:id="98" w:name="_Toc184313300"/>
      <w:bookmarkEnd w:id="98"/>
      <w:bookmarkStart w:id="99" w:name="_Toc184314424"/>
      <w:bookmarkEnd w:id="99"/>
      <w:bookmarkStart w:id="100" w:name="_Toc184314476"/>
      <w:bookmarkEnd w:id="100"/>
      <w:bookmarkStart w:id="101" w:name="_Toc184308081"/>
      <w:bookmarkEnd w:id="101"/>
      <w:bookmarkStart w:id="102" w:name="_Toc184308071"/>
      <w:bookmarkEnd w:id="102"/>
      <w:bookmarkStart w:id="103" w:name="_Toc184312121"/>
      <w:bookmarkEnd w:id="103"/>
      <w:bookmarkStart w:id="104" w:name="_Toc184310331"/>
      <w:bookmarkEnd w:id="104"/>
      <w:bookmarkStart w:id="105" w:name="_Toc184313267"/>
      <w:bookmarkEnd w:id="105"/>
      <w:bookmarkStart w:id="106" w:name="_Toc184310299"/>
      <w:bookmarkEnd w:id="106"/>
      <w:bookmarkStart w:id="107" w:name="_Toc184314475"/>
      <w:bookmarkEnd w:id="107"/>
      <w:bookmarkStart w:id="108" w:name="_Toc184314441"/>
      <w:bookmarkEnd w:id="108"/>
      <w:bookmarkStart w:id="109" w:name="_Toc184313286"/>
      <w:bookmarkEnd w:id="109"/>
      <w:bookmarkStart w:id="110" w:name="_Toc184312069"/>
      <w:bookmarkEnd w:id="110"/>
      <w:bookmarkStart w:id="111" w:name="_Toc184314480"/>
      <w:bookmarkEnd w:id="111"/>
      <w:bookmarkStart w:id="112" w:name="_Toc184313278"/>
      <w:bookmarkEnd w:id="112"/>
      <w:bookmarkStart w:id="113" w:name="_Toc184314479"/>
      <w:bookmarkEnd w:id="113"/>
      <w:bookmarkStart w:id="114" w:name="_Toc184308078"/>
      <w:bookmarkEnd w:id="114"/>
      <w:bookmarkStart w:id="115" w:name="_Toc184310295"/>
      <w:bookmarkEnd w:id="115"/>
      <w:bookmarkStart w:id="116" w:name="_Toc184312068"/>
      <w:bookmarkEnd w:id="116"/>
      <w:bookmarkStart w:id="117" w:name="_Toc184310336"/>
      <w:bookmarkEnd w:id="117"/>
      <w:bookmarkStart w:id="118" w:name="_Toc184308105"/>
      <w:bookmarkEnd w:id="118"/>
      <w:bookmarkStart w:id="119" w:name="_Toc184310306"/>
      <w:bookmarkEnd w:id="119"/>
      <w:bookmarkStart w:id="120" w:name="_Toc184310275"/>
      <w:bookmarkEnd w:id="120"/>
      <w:bookmarkStart w:id="121" w:name="_Toc184314449"/>
      <w:bookmarkEnd w:id="121"/>
      <w:bookmarkStart w:id="122" w:name="_Toc184314426"/>
      <w:bookmarkEnd w:id="122"/>
      <w:bookmarkStart w:id="123" w:name="_Toc184310297"/>
      <w:bookmarkEnd w:id="123"/>
      <w:bookmarkStart w:id="124" w:name="_Toc184312081"/>
      <w:bookmarkEnd w:id="124"/>
      <w:bookmarkStart w:id="125" w:name="_Toc184313297"/>
      <w:bookmarkEnd w:id="125"/>
      <w:bookmarkStart w:id="126" w:name="_Toc184308047"/>
      <w:bookmarkEnd w:id="126"/>
      <w:bookmarkStart w:id="127" w:name="_Toc184310288"/>
      <w:bookmarkEnd w:id="127"/>
      <w:bookmarkStart w:id="128" w:name="_Toc184310292"/>
      <w:bookmarkEnd w:id="128"/>
      <w:bookmarkStart w:id="129" w:name="_Toc184312105"/>
      <w:bookmarkEnd w:id="129"/>
      <w:bookmarkStart w:id="130" w:name="_Toc184310307"/>
      <w:bookmarkEnd w:id="130"/>
      <w:bookmarkStart w:id="131" w:name="_Toc184308068"/>
      <w:bookmarkEnd w:id="131"/>
      <w:bookmarkStart w:id="132" w:name="_Toc184308061"/>
      <w:bookmarkEnd w:id="132"/>
      <w:bookmarkStart w:id="133" w:name="_Toc184310298"/>
      <w:bookmarkEnd w:id="133"/>
      <w:bookmarkStart w:id="134" w:name="_Toc184313251"/>
      <w:bookmarkEnd w:id="134"/>
      <w:bookmarkStart w:id="135" w:name="_Toc184314462"/>
      <w:bookmarkEnd w:id="135"/>
      <w:bookmarkStart w:id="136" w:name="_Toc184312130"/>
      <w:bookmarkEnd w:id="136"/>
      <w:bookmarkStart w:id="137" w:name="_Toc184314470"/>
      <w:bookmarkEnd w:id="137"/>
      <w:bookmarkStart w:id="138" w:name="_Toc184308103"/>
      <w:bookmarkEnd w:id="138"/>
      <w:bookmarkStart w:id="139" w:name="_Toc184310341"/>
      <w:bookmarkEnd w:id="139"/>
      <w:bookmarkStart w:id="140" w:name="_Toc184308041"/>
      <w:bookmarkEnd w:id="140"/>
      <w:bookmarkStart w:id="141" w:name="_Toc184312135"/>
      <w:bookmarkEnd w:id="141"/>
      <w:bookmarkStart w:id="142" w:name="_Toc184312080"/>
      <w:bookmarkEnd w:id="142"/>
      <w:bookmarkStart w:id="143" w:name="_Toc184312090"/>
      <w:bookmarkEnd w:id="143"/>
      <w:bookmarkStart w:id="144" w:name="_Toc184308094"/>
      <w:bookmarkEnd w:id="144"/>
      <w:bookmarkStart w:id="145" w:name="_Toc184312129"/>
      <w:bookmarkEnd w:id="145"/>
      <w:bookmarkStart w:id="146" w:name="_Toc184312076"/>
      <w:bookmarkEnd w:id="146"/>
      <w:bookmarkStart w:id="147" w:name="_Toc184310324"/>
      <w:bookmarkEnd w:id="147"/>
      <w:bookmarkStart w:id="148" w:name="_Toc184310291"/>
      <w:bookmarkEnd w:id="148"/>
      <w:bookmarkStart w:id="149" w:name="_Toc184314464"/>
      <w:bookmarkEnd w:id="149"/>
      <w:bookmarkStart w:id="150" w:name="_Toc184314418"/>
      <w:bookmarkEnd w:id="150"/>
      <w:bookmarkStart w:id="151" w:name="_Toc184314453"/>
      <w:bookmarkEnd w:id="151"/>
      <w:bookmarkStart w:id="152" w:name="_Toc184314419"/>
      <w:bookmarkEnd w:id="152"/>
      <w:bookmarkStart w:id="153" w:name="_Toc184314478"/>
      <w:bookmarkEnd w:id="153"/>
      <w:bookmarkStart w:id="154" w:name="_Toc184314414"/>
      <w:bookmarkEnd w:id="154"/>
      <w:bookmarkStart w:id="155" w:name="_Toc184313309"/>
      <w:bookmarkEnd w:id="155"/>
      <w:bookmarkStart w:id="156" w:name="_Toc184312110"/>
      <w:bookmarkEnd w:id="156"/>
      <w:bookmarkStart w:id="157" w:name="_Toc184313296"/>
      <w:bookmarkEnd w:id="157"/>
      <w:bookmarkStart w:id="158" w:name="_Toc184310273"/>
      <w:bookmarkEnd w:id="158"/>
      <w:bookmarkStart w:id="159" w:name="_Toc184308037"/>
      <w:bookmarkEnd w:id="159"/>
      <w:bookmarkStart w:id="160" w:name="_Toc184312109"/>
      <w:bookmarkEnd w:id="160"/>
      <w:bookmarkStart w:id="161" w:name="_Toc184310308"/>
      <w:bookmarkEnd w:id="161"/>
      <w:bookmarkStart w:id="162" w:name="_Toc184313277"/>
      <w:bookmarkEnd w:id="162"/>
      <w:bookmarkStart w:id="163" w:name="_Toc184313283"/>
      <w:bookmarkEnd w:id="163"/>
      <w:bookmarkStart w:id="164" w:name="_Toc184312106"/>
      <w:bookmarkEnd w:id="164"/>
      <w:bookmarkStart w:id="165" w:name="_Toc184310311"/>
      <w:bookmarkEnd w:id="165"/>
      <w:bookmarkStart w:id="166" w:name="_Toc184308044"/>
      <w:bookmarkEnd w:id="166"/>
      <w:bookmarkStart w:id="167" w:name="_Toc184312137"/>
      <w:bookmarkEnd w:id="167"/>
      <w:bookmarkStart w:id="168" w:name="_Toc184314444"/>
      <w:bookmarkEnd w:id="168"/>
      <w:bookmarkStart w:id="169" w:name="_Toc184308079"/>
      <w:bookmarkEnd w:id="169"/>
      <w:bookmarkStart w:id="170" w:name="_Toc184310342"/>
      <w:bookmarkEnd w:id="170"/>
      <w:bookmarkStart w:id="171" w:name="_Toc184313253"/>
      <w:bookmarkEnd w:id="171"/>
      <w:bookmarkStart w:id="172" w:name="_Toc184314423"/>
      <w:bookmarkEnd w:id="172"/>
      <w:bookmarkStart w:id="173" w:name="_Toc184314450"/>
      <w:bookmarkEnd w:id="173"/>
      <w:bookmarkStart w:id="174" w:name="_Toc184308100"/>
      <w:bookmarkEnd w:id="174"/>
      <w:bookmarkStart w:id="175" w:name="_Toc184310280"/>
      <w:bookmarkEnd w:id="175"/>
      <w:bookmarkStart w:id="176" w:name="_Toc184312113"/>
      <w:bookmarkEnd w:id="176"/>
      <w:bookmarkStart w:id="177" w:name="_Toc184312124"/>
      <w:bookmarkEnd w:id="177"/>
      <w:bookmarkStart w:id="178" w:name="_Toc184314427"/>
      <w:bookmarkEnd w:id="178"/>
      <w:bookmarkStart w:id="179" w:name="_Toc184312087"/>
      <w:bookmarkEnd w:id="179"/>
      <w:bookmarkStart w:id="180" w:name="_Toc184310339"/>
      <w:bookmarkEnd w:id="180"/>
      <w:bookmarkStart w:id="181" w:name="_Toc184310316"/>
      <w:bookmarkEnd w:id="181"/>
      <w:bookmarkStart w:id="182" w:name="_Toc184308046"/>
      <w:bookmarkEnd w:id="182"/>
      <w:bookmarkStart w:id="183" w:name="_Toc184313295"/>
      <w:bookmarkEnd w:id="183"/>
      <w:bookmarkStart w:id="184" w:name="_Toc184312097"/>
      <w:bookmarkEnd w:id="184"/>
      <w:bookmarkStart w:id="185" w:name="_Toc184310296"/>
      <w:bookmarkEnd w:id="185"/>
      <w:bookmarkStart w:id="186" w:name="_Toc184308045"/>
      <w:bookmarkEnd w:id="186"/>
      <w:bookmarkStart w:id="187" w:name="_Toc184314446"/>
      <w:bookmarkEnd w:id="187"/>
      <w:bookmarkStart w:id="188" w:name="_Toc184310322"/>
      <w:bookmarkEnd w:id="188"/>
      <w:bookmarkStart w:id="189" w:name="_Toc184313260"/>
      <w:bookmarkEnd w:id="189"/>
      <w:bookmarkStart w:id="190" w:name="_Toc184308063"/>
      <w:bookmarkEnd w:id="190"/>
      <w:bookmarkStart w:id="191" w:name="_Toc184312075"/>
      <w:bookmarkEnd w:id="191"/>
      <w:bookmarkStart w:id="192" w:name="_Toc184313268"/>
      <w:bookmarkEnd w:id="192"/>
      <w:bookmarkStart w:id="193" w:name="_Toc184308076"/>
      <w:bookmarkEnd w:id="193"/>
      <w:bookmarkStart w:id="194" w:name="_Toc184313254"/>
      <w:bookmarkEnd w:id="194"/>
      <w:bookmarkStart w:id="195" w:name="_Toc184313281"/>
      <w:bookmarkEnd w:id="195"/>
      <w:bookmarkStart w:id="196" w:name="_Toc184312099"/>
      <w:bookmarkEnd w:id="196"/>
      <w:bookmarkStart w:id="197" w:name="_Toc184310293"/>
      <w:bookmarkEnd w:id="197"/>
      <w:bookmarkStart w:id="198" w:name="_Toc184313290"/>
      <w:bookmarkEnd w:id="198"/>
      <w:bookmarkStart w:id="199" w:name="_Toc184310337"/>
      <w:bookmarkEnd w:id="199"/>
      <w:bookmarkStart w:id="200" w:name="_Toc184313299"/>
      <w:bookmarkEnd w:id="200"/>
      <w:bookmarkStart w:id="201" w:name="_Toc184313250"/>
      <w:bookmarkEnd w:id="201"/>
      <w:bookmarkStart w:id="202" w:name="_Toc184314472"/>
      <w:bookmarkEnd w:id="202"/>
      <w:bookmarkStart w:id="203" w:name="_Toc184313282"/>
      <w:bookmarkEnd w:id="203"/>
      <w:bookmarkStart w:id="204" w:name="_Toc184308099"/>
      <w:bookmarkEnd w:id="204"/>
      <w:bookmarkStart w:id="205" w:name="_Toc184308092"/>
      <w:bookmarkEnd w:id="205"/>
      <w:bookmarkStart w:id="206" w:name="_Toc184314465"/>
      <w:bookmarkEnd w:id="206"/>
      <w:bookmarkStart w:id="207" w:name="_Toc184313270"/>
      <w:bookmarkEnd w:id="207"/>
      <w:bookmarkStart w:id="208" w:name="_Toc184312136"/>
      <w:bookmarkEnd w:id="208"/>
      <w:bookmarkStart w:id="209" w:name="_Toc184313305"/>
      <w:bookmarkEnd w:id="209"/>
      <w:bookmarkStart w:id="210" w:name="_Toc184313240"/>
      <w:bookmarkEnd w:id="210"/>
      <w:bookmarkStart w:id="211" w:name="_Toc184310282"/>
      <w:bookmarkEnd w:id="211"/>
      <w:bookmarkStart w:id="212" w:name="_Toc184313284"/>
      <w:bookmarkEnd w:id="212"/>
      <w:bookmarkStart w:id="213" w:name="_Toc184312073"/>
      <w:bookmarkEnd w:id="213"/>
      <w:bookmarkStart w:id="214" w:name="_Toc184308053"/>
      <w:bookmarkEnd w:id="214"/>
      <w:bookmarkStart w:id="215" w:name="_Toc184313308"/>
      <w:bookmarkEnd w:id="215"/>
      <w:bookmarkStart w:id="216" w:name="_Toc184312128"/>
      <w:bookmarkEnd w:id="216"/>
      <w:bookmarkStart w:id="217" w:name="_Toc184308084"/>
      <w:bookmarkEnd w:id="217"/>
      <w:bookmarkStart w:id="218" w:name="_Toc184310335"/>
      <w:bookmarkEnd w:id="218"/>
      <w:bookmarkStart w:id="219" w:name="_Toc184308098"/>
      <w:bookmarkEnd w:id="219"/>
      <w:bookmarkStart w:id="220" w:name="_Toc184313249"/>
      <w:bookmarkEnd w:id="220"/>
      <w:bookmarkStart w:id="221" w:name="_Toc184308095"/>
      <w:bookmarkEnd w:id="221"/>
      <w:bookmarkStart w:id="222" w:name="_Toc184312111"/>
      <w:bookmarkEnd w:id="222"/>
      <w:bookmarkStart w:id="223" w:name="_Toc184313291"/>
      <w:bookmarkEnd w:id="223"/>
      <w:bookmarkStart w:id="224" w:name="_Toc184313243"/>
      <w:bookmarkEnd w:id="224"/>
      <w:bookmarkStart w:id="225" w:name="_Toc184314431"/>
      <w:bookmarkEnd w:id="225"/>
      <w:bookmarkStart w:id="226" w:name="_Toc184314459"/>
      <w:bookmarkEnd w:id="226"/>
      <w:bookmarkStart w:id="227" w:name="_Toc184310283"/>
      <w:bookmarkEnd w:id="227"/>
      <w:bookmarkStart w:id="228" w:name="_Toc184308106"/>
      <w:bookmarkEnd w:id="228"/>
      <w:bookmarkStart w:id="229" w:name="_Toc184313252"/>
      <w:bookmarkEnd w:id="229"/>
      <w:bookmarkStart w:id="230" w:name="_Toc184310327"/>
      <w:bookmarkEnd w:id="230"/>
      <w:bookmarkStart w:id="231" w:name="_Toc184312114"/>
      <w:bookmarkEnd w:id="231"/>
      <w:bookmarkStart w:id="232" w:name="_Toc184314440"/>
      <w:bookmarkEnd w:id="232"/>
      <w:bookmarkStart w:id="233" w:name="_Toc184308058"/>
      <w:bookmarkEnd w:id="233"/>
      <w:bookmarkStart w:id="234" w:name="_Toc184313294"/>
      <w:bookmarkEnd w:id="234"/>
      <w:bookmarkStart w:id="235" w:name="_Toc184314428"/>
      <w:bookmarkEnd w:id="235"/>
      <w:bookmarkStart w:id="236" w:name="_Toc184314437"/>
      <w:bookmarkEnd w:id="236"/>
      <w:bookmarkStart w:id="237" w:name="_Toc184310318"/>
      <w:bookmarkEnd w:id="237"/>
      <w:bookmarkStart w:id="238" w:name="_Toc184314411"/>
      <w:bookmarkEnd w:id="238"/>
      <w:bookmarkStart w:id="239" w:name="_Toc184312074"/>
      <w:bookmarkEnd w:id="239"/>
      <w:bookmarkStart w:id="240" w:name="_Toc184314463"/>
      <w:bookmarkEnd w:id="240"/>
      <w:bookmarkStart w:id="241" w:name="_Toc184308066"/>
      <w:bookmarkEnd w:id="241"/>
      <w:bookmarkStart w:id="242" w:name="_Toc184308102"/>
      <w:bookmarkEnd w:id="242"/>
      <w:bookmarkStart w:id="243" w:name="_Toc184314429"/>
      <w:bookmarkEnd w:id="243"/>
      <w:bookmarkStart w:id="244" w:name="_Toc184308083"/>
      <w:bookmarkEnd w:id="244"/>
      <w:bookmarkStart w:id="245" w:name="_Toc184308042"/>
      <w:bookmarkEnd w:id="245"/>
      <w:bookmarkStart w:id="246" w:name="_Toc184310330"/>
      <w:bookmarkEnd w:id="246"/>
      <w:bookmarkStart w:id="247" w:name="_Toc184314421"/>
      <w:bookmarkEnd w:id="247"/>
      <w:bookmarkStart w:id="248" w:name="_Toc184310278"/>
      <w:bookmarkEnd w:id="248"/>
      <w:bookmarkStart w:id="249" w:name="_Toc184314447"/>
      <w:bookmarkEnd w:id="249"/>
      <w:bookmarkStart w:id="250" w:name="_Toc184313241"/>
      <w:bookmarkEnd w:id="250"/>
      <w:bookmarkStart w:id="251" w:name="_Toc184314456"/>
      <w:bookmarkEnd w:id="251"/>
      <w:bookmarkStart w:id="252" w:name="_Toc184314468"/>
      <w:bookmarkEnd w:id="252"/>
      <w:bookmarkStart w:id="253" w:name="_Toc184310281"/>
      <w:bookmarkEnd w:id="253"/>
      <w:bookmarkStart w:id="254" w:name="_Toc184312071"/>
      <w:bookmarkEnd w:id="254"/>
      <w:bookmarkStart w:id="255" w:name="_Toc184312067"/>
      <w:bookmarkEnd w:id="255"/>
      <w:bookmarkStart w:id="256" w:name="_Toc184308059"/>
      <w:bookmarkEnd w:id="256"/>
      <w:bookmarkStart w:id="257" w:name="_Toc184312104"/>
      <w:bookmarkEnd w:id="257"/>
      <w:bookmarkStart w:id="258" w:name="_Toc184312098"/>
      <w:bookmarkEnd w:id="258"/>
      <w:bookmarkStart w:id="259" w:name="_Toc184308040"/>
      <w:bookmarkEnd w:id="259"/>
      <w:bookmarkStart w:id="260" w:name="_Toc184308074"/>
      <w:bookmarkEnd w:id="260"/>
      <w:bookmarkStart w:id="261" w:name="_Toc184312122"/>
      <w:bookmarkEnd w:id="261"/>
      <w:bookmarkStart w:id="262" w:name="_Toc184310323"/>
      <w:bookmarkEnd w:id="262"/>
      <w:bookmarkStart w:id="263" w:name="_Toc184310290"/>
      <w:bookmarkEnd w:id="263"/>
      <w:bookmarkStart w:id="264" w:name="_Toc184310334"/>
      <w:bookmarkEnd w:id="264"/>
      <w:bookmarkStart w:id="265" w:name="_Toc184310314"/>
      <w:bookmarkEnd w:id="265"/>
      <w:bookmarkStart w:id="266" w:name="_Toc184313289"/>
      <w:bookmarkEnd w:id="266"/>
      <w:bookmarkStart w:id="267" w:name="_Toc184313255"/>
      <w:bookmarkEnd w:id="267"/>
      <w:bookmarkStart w:id="268" w:name="_Toc184313242"/>
      <w:bookmarkEnd w:id="268"/>
      <w:bookmarkStart w:id="269" w:name="_Toc184312126"/>
      <w:bookmarkEnd w:id="269"/>
      <w:bookmarkStart w:id="270" w:name="_Toc184314448"/>
      <w:bookmarkEnd w:id="270"/>
      <w:bookmarkStart w:id="271" w:name="_Toc184308036"/>
      <w:bookmarkEnd w:id="271"/>
      <w:bookmarkStart w:id="272" w:name="_Toc184313287"/>
      <w:bookmarkEnd w:id="272"/>
      <w:bookmarkStart w:id="273" w:name="_Toc184312094"/>
      <w:bookmarkEnd w:id="273"/>
      <w:bookmarkStart w:id="274" w:name="_Toc184308107"/>
      <w:bookmarkEnd w:id="274"/>
      <w:bookmarkStart w:id="275" w:name="_Toc184310332"/>
      <w:bookmarkEnd w:id="275"/>
      <w:bookmarkStart w:id="276" w:name="_Toc184313298"/>
      <w:bookmarkEnd w:id="276"/>
      <w:bookmarkStart w:id="277" w:name="_Toc184314442"/>
      <w:bookmarkEnd w:id="277"/>
      <w:bookmarkStart w:id="278" w:name="_Toc184314458"/>
      <w:bookmarkEnd w:id="278"/>
      <w:bookmarkStart w:id="279" w:name="_Toc184308085"/>
      <w:bookmarkEnd w:id="279"/>
      <w:bookmarkStart w:id="280" w:name="_Toc184313248"/>
      <w:bookmarkEnd w:id="280"/>
      <w:bookmarkStart w:id="281" w:name="_Toc184308049"/>
      <w:bookmarkEnd w:id="281"/>
      <w:bookmarkStart w:id="282" w:name="_Toc184312086"/>
      <w:bookmarkEnd w:id="282"/>
      <w:bookmarkStart w:id="283" w:name="_Toc184314474"/>
      <w:bookmarkEnd w:id="283"/>
      <w:bookmarkStart w:id="284" w:name="_Toc184313303"/>
      <w:bookmarkEnd w:id="284"/>
      <w:bookmarkStart w:id="285" w:name="_Toc184312102"/>
      <w:bookmarkEnd w:id="285"/>
      <w:bookmarkStart w:id="286" w:name="_Toc184310344"/>
      <w:bookmarkEnd w:id="286"/>
      <w:bookmarkStart w:id="287" w:name="_Toc184314460"/>
      <w:bookmarkEnd w:id="287"/>
      <w:bookmarkStart w:id="288" w:name="_Toc184310304"/>
      <w:bookmarkEnd w:id="288"/>
      <w:bookmarkStart w:id="289" w:name="_Toc184313307"/>
      <w:bookmarkEnd w:id="289"/>
      <w:bookmarkStart w:id="290" w:name="_Toc184308077"/>
      <w:bookmarkEnd w:id="290"/>
      <w:bookmarkStart w:id="291" w:name="_Toc184314473"/>
      <w:bookmarkEnd w:id="291"/>
      <w:bookmarkStart w:id="292" w:name="_Toc184308060"/>
      <w:bookmarkEnd w:id="292"/>
      <w:bookmarkStart w:id="293" w:name="_Toc184312085"/>
      <w:bookmarkEnd w:id="293"/>
      <w:bookmarkStart w:id="294" w:name="_Toc184310328"/>
      <w:bookmarkEnd w:id="294"/>
      <w:bookmarkStart w:id="295" w:name="_Toc184314443"/>
      <w:bookmarkEnd w:id="295"/>
      <w:bookmarkStart w:id="296" w:name="_Toc184310289"/>
      <w:bookmarkEnd w:id="296"/>
      <w:bookmarkStart w:id="297" w:name="_Toc184308052"/>
      <w:bookmarkEnd w:id="297"/>
      <w:bookmarkStart w:id="298" w:name="_Toc184308089"/>
      <w:bookmarkEnd w:id="298"/>
      <w:bookmarkStart w:id="299" w:name="_Toc184313238"/>
      <w:bookmarkEnd w:id="299"/>
      <w:bookmarkStart w:id="300" w:name="_Toc184314416"/>
      <w:bookmarkEnd w:id="300"/>
      <w:bookmarkStart w:id="301" w:name="_Toc184310305"/>
      <w:bookmarkEnd w:id="301"/>
      <w:bookmarkStart w:id="302" w:name="_Toc184310321"/>
      <w:bookmarkEnd w:id="302"/>
      <w:bookmarkStart w:id="303" w:name="_Toc184312100"/>
      <w:bookmarkEnd w:id="303"/>
      <w:bookmarkStart w:id="304" w:name="_Toc184312132"/>
      <w:bookmarkEnd w:id="304"/>
      <w:bookmarkStart w:id="305" w:name="_Toc184312103"/>
      <w:bookmarkEnd w:id="305"/>
      <w:bookmarkStart w:id="306" w:name="_Toc184313257"/>
      <w:bookmarkEnd w:id="306"/>
      <w:bookmarkStart w:id="307" w:name="_Toc184313258"/>
      <w:bookmarkEnd w:id="307"/>
      <w:bookmarkStart w:id="308" w:name="_Toc184313247"/>
      <w:bookmarkEnd w:id="308"/>
      <w:bookmarkStart w:id="309" w:name="_Toc184308065"/>
      <w:bookmarkEnd w:id="309"/>
      <w:bookmarkStart w:id="310" w:name="_Toc184314433"/>
      <w:bookmarkEnd w:id="310"/>
      <w:bookmarkStart w:id="311" w:name="_Toc184308057"/>
      <w:bookmarkEnd w:id="311"/>
      <w:bookmarkStart w:id="312" w:name="_Toc184314452"/>
      <w:bookmarkEnd w:id="312"/>
      <w:bookmarkStart w:id="313" w:name="_Toc184308055"/>
      <w:bookmarkEnd w:id="313"/>
      <w:bookmarkStart w:id="314" w:name="_Toc184314482"/>
      <w:bookmarkEnd w:id="314"/>
      <w:bookmarkStart w:id="315" w:name="_Toc184308069"/>
      <w:bookmarkEnd w:id="315"/>
      <w:bookmarkStart w:id="316" w:name="_Toc184310303"/>
      <w:bookmarkEnd w:id="316"/>
      <w:bookmarkStart w:id="317" w:name="_Toc184308082"/>
      <w:bookmarkEnd w:id="317"/>
      <w:bookmarkStart w:id="318" w:name="_Toc184310338"/>
      <w:bookmarkEnd w:id="318"/>
      <w:bookmarkStart w:id="319" w:name="_Toc184314455"/>
      <w:bookmarkEnd w:id="319"/>
      <w:bookmarkStart w:id="320" w:name="_Toc184314451"/>
      <w:bookmarkEnd w:id="320"/>
      <w:bookmarkStart w:id="321" w:name="_Toc184310315"/>
      <w:bookmarkEnd w:id="321"/>
      <w:bookmarkStart w:id="322" w:name="_Toc184310279"/>
      <w:bookmarkEnd w:id="322"/>
      <w:bookmarkStart w:id="323" w:name="_Toc184310340"/>
      <w:bookmarkEnd w:id="323"/>
      <w:bookmarkStart w:id="324" w:name="_Toc184314422"/>
      <w:bookmarkEnd w:id="324"/>
      <w:bookmarkStart w:id="325" w:name="_Toc184312093"/>
      <w:bookmarkEnd w:id="325"/>
      <w:bookmarkStart w:id="326" w:name="_Toc184313306"/>
      <w:bookmarkEnd w:id="326"/>
      <w:bookmarkStart w:id="327" w:name="_Toc184310310"/>
      <w:bookmarkEnd w:id="327"/>
      <w:bookmarkStart w:id="328" w:name="_Toc184312107"/>
      <w:bookmarkEnd w:id="328"/>
      <w:bookmarkStart w:id="329" w:name="_Toc184310320"/>
      <w:bookmarkEnd w:id="329"/>
      <w:bookmarkStart w:id="330" w:name="_Toc184313244"/>
      <w:bookmarkEnd w:id="330"/>
      <w:bookmarkStart w:id="331" w:name="_Toc184310309"/>
      <w:bookmarkEnd w:id="331"/>
      <w:bookmarkStart w:id="332" w:name="_Toc184310287"/>
      <w:bookmarkEnd w:id="332"/>
      <w:bookmarkStart w:id="333" w:name="_Toc184314412"/>
      <w:bookmarkEnd w:id="333"/>
      <w:bookmarkStart w:id="334" w:name="_Toc184308093"/>
      <w:bookmarkEnd w:id="334"/>
      <w:bookmarkStart w:id="335" w:name="_Toc184314461"/>
      <w:bookmarkEnd w:id="335"/>
      <w:bookmarkStart w:id="336" w:name="_Toc184312116"/>
      <w:bookmarkEnd w:id="336"/>
      <w:bookmarkStart w:id="337" w:name="_Toc184312072"/>
      <w:bookmarkEnd w:id="337"/>
      <w:bookmarkStart w:id="338" w:name="_Toc184308108"/>
      <w:bookmarkEnd w:id="338"/>
      <w:bookmarkStart w:id="339" w:name="_Toc184310319"/>
      <w:bookmarkEnd w:id="339"/>
      <w:bookmarkStart w:id="340" w:name="_Toc184308067"/>
      <w:bookmarkEnd w:id="340"/>
      <w:bookmarkStart w:id="341" w:name="_Toc184312117"/>
      <w:bookmarkEnd w:id="341"/>
      <w:bookmarkStart w:id="342" w:name="_Toc184308101"/>
      <w:bookmarkEnd w:id="342"/>
      <w:bookmarkStart w:id="343" w:name="_Toc184308056"/>
      <w:bookmarkEnd w:id="343"/>
      <w:bookmarkStart w:id="344" w:name="_Toc184308054"/>
      <w:bookmarkEnd w:id="344"/>
      <w:bookmarkStart w:id="345" w:name="_Toc184308051"/>
      <w:bookmarkEnd w:id="345"/>
      <w:bookmarkStart w:id="346" w:name="_Toc184314420"/>
      <w:bookmarkEnd w:id="346"/>
      <w:bookmarkStart w:id="347" w:name="_Toc184312119"/>
      <w:bookmarkEnd w:id="347"/>
      <w:bookmarkStart w:id="348" w:name="_Toc184312096"/>
      <w:bookmarkEnd w:id="348"/>
      <w:bookmarkStart w:id="349" w:name="_Toc184308080"/>
      <w:bookmarkEnd w:id="349"/>
      <w:bookmarkStart w:id="350" w:name="_Toc184314439"/>
      <w:bookmarkEnd w:id="350"/>
      <w:bookmarkStart w:id="351" w:name="_Toc184314481"/>
      <w:bookmarkEnd w:id="351"/>
      <w:bookmarkStart w:id="352" w:name="_Toc184310285"/>
      <w:bookmarkEnd w:id="352"/>
      <w:bookmarkStart w:id="353" w:name="_Toc184312084"/>
      <w:bookmarkEnd w:id="353"/>
      <w:bookmarkStart w:id="354" w:name="_Toc184312095"/>
      <w:bookmarkEnd w:id="354"/>
      <w:bookmarkStart w:id="355" w:name="_Toc184312112"/>
      <w:bookmarkEnd w:id="355"/>
      <w:bookmarkStart w:id="356" w:name="_Toc184308096"/>
      <w:bookmarkEnd w:id="356"/>
      <w:bookmarkStart w:id="357" w:name="_Toc184310284"/>
      <w:bookmarkEnd w:id="357"/>
      <w:bookmarkStart w:id="358" w:name="_Toc184313276"/>
      <w:bookmarkEnd w:id="358"/>
      <w:bookmarkStart w:id="359" w:name="_Toc184310272"/>
      <w:bookmarkEnd w:id="359"/>
      <w:bookmarkStart w:id="360" w:name="_Toc184313274"/>
      <w:bookmarkEnd w:id="360"/>
      <w:bookmarkStart w:id="361" w:name="_Toc184314477"/>
      <w:bookmarkEnd w:id="361"/>
      <w:bookmarkStart w:id="362" w:name="_Toc184312092"/>
      <w:bookmarkEnd w:id="362"/>
      <w:bookmarkStart w:id="363" w:name="_Toc184314425"/>
      <w:bookmarkEnd w:id="363"/>
      <w:bookmarkStart w:id="364" w:name="_Toc184312091"/>
      <w:bookmarkEnd w:id="364"/>
      <w:bookmarkStart w:id="365" w:name="_Toc184314438"/>
      <w:bookmarkEnd w:id="365"/>
      <w:bookmarkStart w:id="366" w:name="_Toc184310286"/>
      <w:bookmarkEnd w:id="366"/>
      <w:bookmarkStart w:id="367" w:name="_Toc184314457"/>
      <w:bookmarkEnd w:id="367"/>
      <w:bookmarkStart w:id="368" w:name="_Toc184313273"/>
      <w:bookmarkEnd w:id="368"/>
      <w:bookmarkStart w:id="369" w:name="_Toc184308048"/>
      <w:bookmarkEnd w:id="369"/>
      <w:bookmarkStart w:id="370" w:name="_Toc184313292"/>
      <w:bookmarkEnd w:id="370"/>
      <w:bookmarkStart w:id="371" w:name="_Toc184313301"/>
      <w:bookmarkEnd w:id="371"/>
      <w:bookmarkStart w:id="372" w:name="_Toc184314467"/>
      <w:bookmarkEnd w:id="372"/>
      <w:bookmarkStart w:id="373" w:name="_Toc184313262"/>
      <w:bookmarkEnd w:id="373"/>
      <w:bookmarkStart w:id="374" w:name="_Toc184313266"/>
      <w:bookmarkEnd w:id="374"/>
      <w:bookmarkStart w:id="375" w:name="_Toc184308097"/>
      <w:bookmarkEnd w:id="375"/>
      <w:bookmarkStart w:id="376" w:name="_Toc184313279"/>
      <w:bookmarkEnd w:id="376"/>
      <w:bookmarkStart w:id="377" w:name="_Toc184313280"/>
      <w:bookmarkEnd w:id="377"/>
      <w:bookmarkStart w:id="378" w:name="_Toc184314410"/>
      <w:bookmarkEnd w:id="378"/>
      <w:bookmarkStart w:id="379" w:name="_Toc184312127"/>
      <w:bookmarkEnd w:id="379"/>
      <w:bookmarkStart w:id="380" w:name="_Toc184310343"/>
      <w:bookmarkEnd w:id="380"/>
      <w:bookmarkStart w:id="381" w:name="_Toc184312083"/>
      <w:bookmarkEnd w:id="381"/>
      <w:bookmarkStart w:id="382" w:name="_Toc184314417"/>
      <w:bookmarkEnd w:id="382"/>
      <w:bookmarkStart w:id="383" w:name="_Toc184312108"/>
      <w:bookmarkEnd w:id="383"/>
      <w:bookmarkStart w:id="384" w:name="_Toc184308050"/>
      <w:bookmarkEnd w:id="384"/>
      <w:bookmarkStart w:id="385" w:name="_Toc184313245"/>
      <w:bookmarkEnd w:id="385"/>
      <w:bookmarkStart w:id="386" w:name="_Toc184308091"/>
      <w:bookmarkEnd w:id="386"/>
      <w:bookmarkStart w:id="387" w:name="_Toc184313285"/>
      <w:bookmarkEnd w:id="387"/>
      <w:bookmarkStart w:id="388" w:name="_Toc184313246"/>
      <w:bookmarkEnd w:id="388"/>
      <w:bookmarkStart w:id="389" w:name="_Toc184310325"/>
      <w:bookmarkEnd w:id="389"/>
      <w:bookmarkStart w:id="390" w:name="_Toc184313263"/>
      <w:bookmarkEnd w:id="390"/>
      <w:bookmarkStart w:id="391" w:name="_Toc184312070"/>
      <w:bookmarkEnd w:id="391"/>
      <w:bookmarkStart w:id="392" w:name="_Toc184313259"/>
      <w:bookmarkEnd w:id="392"/>
      <w:bookmarkStart w:id="393" w:name="_Toc184314469"/>
      <w:bookmarkEnd w:id="393"/>
      <w:bookmarkStart w:id="394" w:name="_Toc184310326"/>
      <w:bookmarkEnd w:id="394"/>
      <w:bookmarkStart w:id="395" w:name="_Toc184312101"/>
      <w:bookmarkEnd w:id="395"/>
      <w:bookmarkStart w:id="396" w:name="_Toc184312082"/>
      <w:bookmarkEnd w:id="396"/>
      <w:bookmarkStart w:id="397" w:name="_Toc184310301"/>
      <w:bookmarkEnd w:id="397"/>
      <w:bookmarkStart w:id="398" w:name="_Toc184312138"/>
      <w:bookmarkEnd w:id="398"/>
      <w:bookmarkStart w:id="399" w:name="_Toc184313261"/>
      <w:bookmarkEnd w:id="399"/>
      <w:bookmarkStart w:id="400" w:name="_Toc184308043"/>
      <w:bookmarkEnd w:id="400"/>
      <w:bookmarkStart w:id="401" w:name="_Toc184313302"/>
      <w:bookmarkEnd w:id="401"/>
      <w:bookmarkStart w:id="402" w:name="_Toc184312139"/>
      <w:bookmarkEnd w:id="402"/>
      <w:bookmarkStart w:id="403" w:name="_Toc184310312"/>
      <w:bookmarkEnd w:id="403"/>
      <w:bookmarkStart w:id="404" w:name="_Toc184308039"/>
      <w:bookmarkEnd w:id="404"/>
      <w:bookmarkStart w:id="405" w:name="_Toc184314436"/>
      <w:bookmarkEnd w:id="405"/>
      <w:bookmarkStart w:id="406" w:name="_Toc184313239"/>
      <w:bookmarkEnd w:id="406"/>
      <w:bookmarkStart w:id="407" w:name="_Toc184313304"/>
      <w:bookmarkEnd w:id="407"/>
      <w:bookmarkStart w:id="408" w:name="_Toc184314454"/>
      <w:bookmarkEnd w:id="408"/>
      <w:bookmarkStart w:id="409" w:name="_Toc184314432"/>
      <w:bookmarkEnd w:id="409"/>
      <w:bookmarkStart w:id="410" w:name="_Toc184312123"/>
      <w:bookmarkEnd w:id="410"/>
      <w:bookmarkStart w:id="411" w:name="_Toc184312088"/>
      <w:bookmarkEnd w:id="411"/>
      <w:bookmarkStart w:id="412" w:name="_Toc184310274"/>
      <w:bookmarkEnd w:id="412"/>
      <w:bookmarkStart w:id="413" w:name="_Toc184314435"/>
      <w:bookmarkEnd w:id="413"/>
      <w:bookmarkStart w:id="414" w:name="_Toc184313275"/>
      <w:bookmarkEnd w:id="414"/>
      <w:bookmarkStart w:id="415" w:name="_Toc184308104"/>
      <w:bookmarkEnd w:id="415"/>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4"/>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63"/>
        <w:gridCol w:w="764"/>
        <w:gridCol w:w="1147"/>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3763" w:type="dxa"/>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评标标准</w:t>
            </w:r>
          </w:p>
        </w:tc>
        <w:tc>
          <w:tcPr>
            <w:tcW w:w="764" w:type="dxa"/>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权重</w:t>
            </w:r>
          </w:p>
        </w:tc>
        <w:tc>
          <w:tcPr>
            <w:tcW w:w="1147" w:type="dxa"/>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主观分/客观分属性</w:t>
            </w:r>
          </w:p>
        </w:tc>
        <w:tc>
          <w:tcPr>
            <w:tcW w:w="2150" w:type="dxa"/>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3763" w:type="dxa"/>
            <w:shd w:val="clear" w:color="auto" w:fill="auto"/>
            <w:vAlign w:val="center"/>
          </w:tcPr>
          <w:p>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投标人提供2023年1月1日（以合同签订时间为准）至今具有同类项目成功案例合同电子扫描件，提供符合要求的业绩一份得2分，最高得2分。</w:t>
            </w:r>
          </w:p>
          <w:p>
            <w:pPr>
              <w:snapToGrid w:val="0"/>
              <w:spacing w:line="240" w:lineRule="auto"/>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证明材料：提供合同复印件并加盖公章，以合同签订时间为准。</w:t>
            </w:r>
          </w:p>
        </w:tc>
        <w:tc>
          <w:tcPr>
            <w:tcW w:w="764" w:type="dxa"/>
            <w:shd w:val="clear" w:color="auto" w:fill="auto"/>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147" w:type="dxa"/>
            <w:shd w:val="clear" w:color="auto" w:fill="auto"/>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2150" w:type="dxa"/>
            <w:shd w:val="clear" w:color="auto" w:fill="auto"/>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3763" w:type="dxa"/>
            <w:shd w:val="clear" w:color="auto" w:fill="auto"/>
            <w:vAlign w:val="center"/>
          </w:tcPr>
          <w:p>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投标人具有有效期内的环境管理体系认证、信息安全管理体系认证证书、质量管理体系认证，每提供一个得1分，最高得3分。</w:t>
            </w:r>
          </w:p>
          <w:p>
            <w:pPr>
              <w:snapToGrid w:val="0"/>
              <w:spacing w:line="240" w:lineRule="auto"/>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证明材料：提供相关证书复印件且证书须在有效期内，不提供不得分。</w:t>
            </w:r>
          </w:p>
        </w:tc>
        <w:tc>
          <w:tcPr>
            <w:tcW w:w="764" w:type="dxa"/>
            <w:shd w:val="clear" w:color="auto" w:fill="auto"/>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147" w:type="dxa"/>
            <w:shd w:val="clear" w:color="auto" w:fill="auto"/>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2150" w:type="dxa"/>
            <w:shd w:val="clear" w:color="auto" w:fill="auto"/>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3763" w:type="dxa"/>
            <w:shd w:val="clear" w:color="auto" w:fill="auto"/>
            <w:vAlign w:val="center"/>
          </w:tcPr>
          <w:p>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投标人对项目现场的实际情况了解程度，阐述项目实际情况。</w:t>
            </w:r>
          </w:p>
          <w:p>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方案阐述完整、合理的得4分；</w:t>
            </w:r>
          </w:p>
          <w:p>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内容完整基本合理可行的得2分；</w:t>
            </w:r>
          </w:p>
          <w:p>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内容有所欠缺需完善的得1分，不提供的不得分，最高得4分。</w:t>
            </w:r>
          </w:p>
        </w:tc>
        <w:tc>
          <w:tcPr>
            <w:tcW w:w="764" w:type="dxa"/>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147" w:type="dxa"/>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2150" w:type="dxa"/>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项目现场了解情况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w:t>
            </w:r>
          </w:p>
        </w:tc>
        <w:tc>
          <w:tcPr>
            <w:tcW w:w="3763" w:type="dxa"/>
            <w:shd w:val="clear" w:color="auto" w:fill="auto"/>
            <w:vAlign w:val="center"/>
          </w:tcPr>
          <w:p>
            <w:pPr>
              <w:snapToGrid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themeColor="text1"/>
                <w:sz w:val="24"/>
                <w:highlight w:val="none"/>
                <w:lang w:val="en-US" w:eastAsia="zh-CN"/>
                <w14:textFill>
                  <w14:solidFill>
                    <w14:schemeClr w14:val="tx1"/>
                  </w14:solidFill>
                </w14:textFill>
              </w:rPr>
              <w:t>投标人根据勘察的实际情况，提供现场勘察照片及点位明细清单。提供点位清单与位置全部合理得6分，基本合理得3分，不提供不得分，最高得6分。</w:t>
            </w:r>
          </w:p>
        </w:tc>
        <w:tc>
          <w:tcPr>
            <w:tcW w:w="764" w:type="dxa"/>
            <w:shd w:val="clear" w:color="auto" w:fill="auto"/>
            <w:vAlign w:val="center"/>
          </w:tcPr>
          <w:p>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6</w:t>
            </w:r>
          </w:p>
        </w:tc>
        <w:tc>
          <w:tcPr>
            <w:tcW w:w="1147" w:type="dxa"/>
            <w:shd w:val="clear" w:color="auto" w:fill="auto"/>
            <w:vAlign w:val="center"/>
          </w:tcPr>
          <w:p>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w:t>
            </w:r>
          </w:p>
        </w:tc>
        <w:tc>
          <w:tcPr>
            <w:tcW w:w="2150" w:type="dxa"/>
            <w:shd w:val="clear" w:color="auto" w:fill="auto"/>
            <w:vAlign w:val="center"/>
          </w:tcPr>
          <w:p>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点位勘察（设计）方案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3763" w:type="dxa"/>
            <w:shd w:val="clear" w:color="auto" w:fill="auto"/>
            <w:vAlign w:val="center"/>
          </w:tcPr>
          <w:p>
            <w:pPr>
              <w:snapToGrid w:val="0"/>
              <w:spacing w:line="24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投标人需提供与市应急广播平台的对接方案，方案完整合理得5分，内容完整基本合理可行的得3分，内容有所欠缺需完善的得1分，不提供的不得分，本项最高得5分。</w:t>
            </w:r>
          </w:p>
        </w:tc>
        <w:tc>
          <w:tcPr>
            <w:tcW w:w="764" w:type="dxa"/>
            <w:shd w:val="clear" w:color="auto" w:fill="auto"/>
            <w:vAlign w:val="center"/>
          </w:tcPr>
          <w:p>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1147" w:type="dxa"/>
            <w:shd w:val="clear" w:color="auto" w:fill="auto"/>
            <w:vAlign w:val="center"/>
          </w:tcPr>
          <w:p>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w:t>
            </w:r>
          </w:p>
        </w:tc>
        <w:tc>
          <w:tcPr>
            <w:tcW w:w="2150" w:type="dxa"/>
            <w:shd w:val="clear" w:color="auto" w:fill="auto"/>
            <w:vAlign w:val="center"/>
          </w:tcPr>
          <w:p>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对接方案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3763" w:type="dxa"/>
            <w:shd w:val="clear" w:color="auto" w:fill="auto"/>
            <w:vAlign w:val="center"/>
          </w:tcPr>
          <w:p>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投标人对应急广播系统架构的熟悉情况进行详细阐述。</w:t>
            </w:r>
          </w:p>
          <w:p>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方案阐述完整、合理的，视为满足采购要求，得4分；方案阐述基本完整、合理的，视为部分满足采购要求，得2分；上述方案阐述不完整或不合理的，视为不满足采购要求，不得分。</w:t>
            </w:r>
          </w:p>
        </w:tc>
        <w:tc>
          <w:tcPr>
            <w:tcW w:w="764" w:type="dxa"/>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147" w:type="dxa"/>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2150" w:type="dxa"/>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应急广播系统架构熟悉情况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3763" w:type="dxa"/>
            <w:shd w:val="clear" w:color="auto" w:fill="auto"/>
            <w:vAlign w:val="center"/>
          </w:tcPr>
          <w:p>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投标产品与需求的吻合程度：“</w:t>
            </w:r>
            <w:bookmarkStart w:id="416" w:name="OLE_LINK31"/>
            <w:r>
              <w:rPr>
                <w:rFonts w:hint="eastAsia" w:ascii="仿宋" w:hAnsi="仿宋" w:eastAsia="仿宋" w:cs="仿宋"/>
                <w:color w:val="auto"/>
                <w:sz w:val="24"/>
                <w:highlight w:val="none"/>
                <w:lang w:val="en-US" w:eastAsia="zh-CN"/>
              </w:rPr>
              <w:t>★</w:t>
            </w:r>
            <w:bookmarkEnd w:id="416"/>
            <w:r>
              <w:rPr>
                <w:rFonts w:hint="eastAsia" w:ascii="仿宋" w:hAnsi="仿宋" w:eastAsia="仿宋" w:cs="仿宋"/>
                <w:color w:val="auto"/>
                <w:sz w:val="24"/>
                <w:highlight w:val="none"/>
                <w:lang w:val="en-US" w:eastAsia="zh-CN"/>
              </w:rPr>
              <w:t>”项技术指标每一项符合得1分，本项最高14分。（投标产品与“★”需求的吻合程度需要提供具备合法资质的第三方检测机构出具的检测报告</w:t>
            </w:r>
            <w:bookmarkStart w:id="417" w:name="OLE_LINK23"/>
            <w:r>
              <w:rPr>
                <w:rFonts w:hint="eastAsia" w:ascii="仿宋" w:hAnsi="仿宋" w:eastAsia="仿宋" w:cs="仿宋"/>
                <w:color w:val="auto"/>
                <w:sz w:val="24"/>
                <w:highlight w:val="none"/>
                <w:lang w:val="en-US" w:eastAsia="zh-CN"/>
              </w:rPr>
              <w:t>或功能截图</w:t>
            </w:r>
            <w:bookmarkEnd w:id="417"/>
            <w:r>
              <w:rPr>
                <w:rFonts w:hint="eastAsia" w:ascii="仿宋" w:hAnsi="仿宋" w:eastAsia="仿宋" w:cs="仿宋"/>
                <w:color w:val="auto"/>
                <w:sz w:val="24"/>
                <w:highlight w:val="none"/>
                <w:lang w:val="en-US" w:eastAsia="zh-CN"/>
              </w:rPr>
              <w:t>作为功能吻合度核对依据的，以检测报告或功能截图作为评判依据。）</w:t>
            </w:r>
          </w:p>
        </w:tc>
        <w:tc>
          <w:tcPr>
            <w:tcW w:w="764" w:type="dxa"/>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147" w:type="dxa"/>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2150" w:type="dxa"/>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产品具体资料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3763" w:type="dxa"/>
            <w:shd w:val="clear" w:color="auto" w:fill="auto"/>
            <w:vAlign w:val="center"/>
          </w:tcPr>
          <w:p>
            <w:pPr>
              <w:snapToGrid w:val="0"/>
              <w:spacing w:line="240" w:lineRule="auto"/>
              <w:jc w:val="left"/>
              <w:rPr>
                <w:rFonts w:hint="eastAsia"/>
                <w:lang w:val="en-US" w:eastAsia="zh-CN"/>
              </w:rPr>
            </w:pPr>
            <w:r>
              <w:rPr>
                <w:rFonts w:hint="eastAsia" w:ascii="仿宋" w:hAnsi="仿宋" w:eastAsia="仿宋" w:cs="仿宋"/>
                <w:color w:val="auto"/>
                <w:sz w:val="24"/>
                <w:highlight w:val="none"/>
                <w:lang w:val="en-US" w:eastAsia="zh-CN"/>
              </w:rPr>
              <w:t>组织实施方案：</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要求：投标人项目组织实施方案的科学性、合理性、规范性和可操作性，包括施工内容及进度安排、施工物资准备、施工现场管理、安全文明施工管理等，有合理的进度保证、供货保证、质量保证等措施。</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方案内容阐述完整、科学合理的得4分；内容完整基本合理的视为部分满足，得2分；方案内容有所欠缺需完善的，得1分，不提供的不得分。</w:t>
            </w:r>
          </w:p>
        </w:tc>
        <w:tc>
          <w:tcPr>
            <w:tcW w:w="764" w:type="dxa"/>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147" w:type="dxa"/>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2150" w:type="dxa"/>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3763" w:type="dxa"/>
            <w:shd w:val="clear" w:color="auto" w:fill="auto"/>
            <w:vAlign w:val="center"/>
          </w:tcPr>
          <w:p>
            <w:pPr>
              <w:snapToGrid w:val="0"/>
              <w:spacing w:line="240" w:lineRule="auto"/>
              <w:jc w:val="both"/>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是否可以快速的进行售后服务响应，在质保期内接到用户单位的电话后，24小时响应，72小时故障处理完毕,如遇设备故障要维修,需提供备件先恢复，以保证用户单位的正常使用。能够满足并提供相关承诺函的，得2分。</w:t>
            </w:r>
          </w:p>
        </w:tc>
        <w:tc>
          <w:tcPr>
            <w:tcW w:w="764" w:type="dxa"/>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147" w:type="dxa"/>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2150" w:type="dxa"/>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售后响应方案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3763" w:type="dxa"/>
            <w:shd w:val="clear" w:color="auto" w:fill="auto"/>
            <w:vAlign w:val="center"/>
          </w:tcPr>
          <w:p>
            <w:pPr>
              <w:snapToGrid w:val="0"/>
              <w:spacing w:line="240" w:lineRule="auto"/>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是否能够提供相关售后服务便捷性证明材料，是否有完善、全面的售后服务方案。</w:t>
            </w:r>
          </w:p>
          <w:p>
            <w:pPr>
              <w:snapToGrid w:val="0"/>
              <w:spacing w:line="240" w:lineRule="auto"/>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方案阐述完整、合理的得3分；</w:t>
            </w:r>
          </w:p>
          <w:p>
            <w:pPr>
              <w:snapToGrid w:val="0"/>
              <w:spacing w:line="240" w:lineRule="auto"/>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内容完整基本合理可行的得2分；</w:t>
            </w:r>
          </w:p>
          <w:p>
            <w:pPr>
              <w:snapToGrid w:val="0"/>
              <w:spacing w:line="240" w:lineRule="auto"/>
              <w:jc w:val="both"/>
              <w:rPr>
                <w:rFonts w:hint="eastAsia"/>
                <w:highlight w:val="none"/>
                <w:lang w:val="en-US" w:eastAsia="zh-CN"/>
              </w:rPr>
            </w:pPr>
            <w:r>
              <w:rPr>
                <w:rFonts w:hint="eastAsia" w:ascii="仿宋" w:hAnsi="仿宋" w:eastAsia="仿宋" w:cs="仿宋"/>
                <w:color w:val="000000" w:themeColor="text1"/>
                <w:sz w:val="24"/>
                <w:highlight w:val="none"/>
                <w:lang w:val="en-US" w:eastAsia="zh-CN"/>
                <w14:textFill>
                  <w14:solidFill>
                    <w14:schemeClr w14:val="tx1"/>
                  </w14:solidFill>
                </w14:textFill>
              </w:rPr>
              <w:t>内容有所欠缺需完善的得1分，不提供的不得分，最高得3分。</w:t>
            </w:r>
          </w:p>
        </w:tc>
        <w:tc>
          <w:tcPr>
            <w:tcW w:w="764" w:type="dxa"/>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147" w:type="dxa"/>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2150" w:type="dxa"/>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3763" w:type="dxa"/>
            <w:shd w:val="clear" w:color="auto" w:fill="auto"/>
            <w:vAlign w:val="center"/>
          </w:tcPr>
          <w:p>
            <w:pPr>
              <w:snapToGrid w:val="0"/>
              <w:spacing w:line="240" w:lineRule="auto"/>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投标人是否建立完善的应急响应方案，故障分级标准、故障处理流程、应急响应预案的启动及后期处理是否合理。内容完整且合理可行得3分，明显欠缺得1分，未提供相关方案的不得分。</w:t>
            </w:r>
          </w:p>
        </w:tc>
        <w:tc>
          <w:tcPr>
            <w:tcW w:w="764" w:type="dxa"/>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147" w:type="dxa"/>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2150" w:type="dxa"/>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应急响应方案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3763" w:type="dxa"/>
            <w:shd w:val="clear" w:color="auto" w:fill="auto"/>
            <w:vAlign w:val="center"/>
          </w:tcPr>
          <w:p>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1、投标人提出的验收方案的合理性、可行性情况等。符合项目且详实全面的得2分，部分符合的得1分，未提供相关方案的不得分。</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2、投标人提出培训计划、地点、组织、人员配备等内容是否完整、科学合理。符合项目且详实全面的得2分，部分符合的得1分，未提供相关方案的不得分。</w:t>
            </w:r>
          </w:p>
        </w:tc>
        <w:tc>
          <w:tcPr>
            <w:tcW w:w="764" w:type="dxa"/>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147" w:type="dxa"/>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2150" w:type="dxa"/>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服务保障能力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3763" w:type="dxa"/>
            <w:shd w:val="clear" w:color="auto" w:fill="auto"/>
            <w:vAlign w:val="center"/>
          </w:tcPr>
          <w:p>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项目组人员素质情况：</w:t>
            </w:r>
          </w:p>
          <w:p>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（1）项目经理具备系统集成项目管理工程师得2分，没有不得分。</w:t>
            </w:r>
          </w:p>
          <w:p>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（2）技术负责人具备信息技术或系统集成类高级工程师资质和系统集成项目管理工程师资质，每项证书得1分，最多得2分。</w:t>
            </w:r>
          </w:p>
          <w:p>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（3）项目组成员素质情况（项目经理和技术负责人除外）：</w:t>
            </w:r>
          </w:p>
          <w:p>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在满足基本需求的基础上，团队中如有成员具备系统集成项目管理工程师、中级工程师，每具备一项证书得1分，最多得2分。</w:t>
            </w:r>
          </w:p>
          <w:p>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证明材料：提供相关人员投标截止时间前近三个月内任意一个月的社保证明及相关证书复印件等证明材料。否则不予认可。</w:t>
            </w:r>
          </w:p>
        </w:tc>
        <w:tc>
          <w:tcPr>
            <w:tcW w:w="764" w:type="dxa"/>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147" w:type="dxa"/>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2150" w:type="dxa"/>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3763" w:type="dxa"/>
            <w:shd w:val="clear" w:color="auto" w:fill="auto"/>
            <w:vAlign w:val="center"/>
          </w:tcPr>
          <w:p>
            <w:pPr>
              <w:snapToGrid w:val="0"/>
              <w:spacing w:line="24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功能性演示:</w:t>
            </w:r>
          </w:p>
          <w:p>
            <w:pPr>
              <w:snapToGrid w:val="0"/>
              <w:spacing w:line="24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系统功能演示：（可提供录屏、PPT、截图、动画、静态UI页面等方式进行演示，未提供演示不得分）</w:t>
            </w:r>
          </w:p>
          <w:p>
            <w:pPr>
              <w:numPr>
                <w:ilvl w:val="0"/>
                <w:numId w:val="3"/>
              </w:numPr>
              <w:snapToGrid w:val="0"/>
              <w:spacing w:line="24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系统多模传输演示:平台支持IP、调频FM多模下发，多模音柱能够分别通过IP、调频通道进行接收，且IP、调频的播出信道优先级可在多模音柱WEB界面进行配置，并实时生效。</w:t>
            </w:r>
            <w:bookmarkStart w:id="418" w:name="OLE_LINK24"/>
            <w:r>
              <w:rPr>
                <w:rFonts w:hint="eastAsia" w:ascii="仿宋" w:hAnsi="仿宋" w:eastAsia="仿宋" w:cs="仿宋"/>
                <w:color w:val="auto"/>
                <w:sz w:val="24"/>
                <w:highlight w:val="none"/>
                <w:lang w:val="en-US" w:eastAsia="zh-CN"/>
              </w:rPr>
              <w:t>功能达到要求</w:t>
            </w:r>
            <w:bookmarkEnd w:id="418"/>
            <w:r>
              <w:rPr>
                <w:rFonts w:hint="eastAsia" w:ascii="仿宋" w:hAnsi="仿宋" w:eastAsia="仿宋" w:cs="仿宋"/>
                <w:color w:val="auto"/>
                <w:sz w:val="24"/>
                <w:highlight w:val="none"/>
                <w:lang w:val="en-US" w:eastAsia="zh-CN"/>
              </w:rPr>
              <w:t>得4分，不符合要求不得分。</w:t>
            </w:r>
          </w:p>
          <w:p>
            <w:pPr>
              <w:numPr>
                <w:ilvl w:val="0"/>
                <w:numId w:val="3"/>
              </w:numPr>
              <w:snapToGrid w:val="0"/>
              <w:spacing w:line="240" w:lineRule="auto"/>
              <w:ind w:left="0" w:leftChars="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终端拾音回传功能:终端喇叭播出的内容和周边的环境声音均能通过终端自带的音频采集(拾音回传)模块传回平台，在平台上进行实时监听，同时，平台界面根据回传声音的大小实现音频光柱动态展示;</w:t>
            </w:r>
            <w:bookmarkStart w:id="419" w:name="OLE_LINK25"/>
            <w:r>
              <w:rPr>
                <w:rFonts w:hint="eastAsia" w:ascii="仿宋" w:hAnsi="仿宋" w:eastAsia="仿宋" w:cs="仿宋"/>
                <w:color w:val="auto"/>
                <w:sz w:val="24"/>
                <w:highlight w:val="none"/>
                <w:lang w:val="en-US" w:eastAsia="zh-CN"/>
              </w:rPr>
              <w:t>功能达到要求</w:t>
            </w:r>
            <w:bookmarkEnd w:id="419"/>
            <w:r>
              <w:rPr>
                <w:rFonts w:hint="eastAsia" w:ascii="仿宋" w:hAnsi="仿宋" w:eastAsia="仿宋" w:cs="仿宋"/>
                <w:color w:val="auto"/>
                <w:sz w:val="24"/>
                <w:highlight w:val="none"/>
                <w:lang w:val="en-US" w:eastAsia="zh-CN"/>
              </w:rPr>
              <w:t>得3分，不符合要求不得分。</w:t>
            </w:r>
          </w:p>
          <w:p>
            <w:pPr>
              <w:numPr>
                <w:ilvl w:val="0"/>
                <w:numId w:val="0"/>
              </w:numPr>
              <w:snapToGrid w:val="0"/>
              <w:spacing w:line="240" w:lineRule="auto"/>
              <w:ind w:leftChars="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3.视播一体演示:支持WEB无插件实时播放摄像头视频画面并能够对视频画面关联的广播终端进行实时喊话，喊话时可以在WEB上显示实时音频可视化效果;功能达到要求得3分，不符合要求不得分。</w:t>
            </w:r>
          </w:p>
          <w:p>
            <w:pPr>
              <w:snapToGrid w:val="0"/>
              <w:spacing w:line="240" w:lineRule="auto"/>
              <w:jc w:val="both"/>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注:演示时间不超过15分钟，未提供演示的，本项不得分。</w:t>
            </w:r>
          </w:p>
        </w:tc>
        <w:tc>
          <w:tcPr>
            <w:tcW w:w="764" w:type="dxa"/>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bookmarkStart w:id="543" w:name="_GoBack"/>
            <w:bookmarkEnd w:id="543"/>
          </w:p>
        </w:tc>
        <w:tc>
          <w:tcPr>
            <w:tcW w:w="1147" w:type="dxa"/>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2150" w:type="dxa"/>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系统功能演示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napToGrid w:val="0"/>
              <w:spacing w:line="360" w:lineRule="auto"/>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15</w:t>
            </w:r>
          </w:p>
        </w:tc>
        <w:tc>
          <w:tcPr>
            <w:tcW w:w="3763" w:type="dxa"/>
          </w:tcPr>
          <w:p>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有效投标报价的最低价作为评标基准价，其最低报价为满分；按［投标报价得分=（评标基准价/投标报价）*30］的计算公式计算。</w:t>
            </w:r>
          </w:p>
          <w:p>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评标过程中，不得去掉报价中的最高报价和最低报价。</w:t>
            </w:r>
          </w:p>
          <w:p>
            <w:pPr>
              <w:snapToGrid w:val="0"/>
              <w:spacing w:line="24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仿宋" w:hAnsi="仿宋" w:eastAsia="仿宋" w:cs="仿宋"/>
                <w:color w:val="auto"/>
                <w:sz w:val="24"/>
                <w:highlight w:val="none"/>
                <w:lang w:val="en-US" w:eastAsia="zh-CN"/>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的扣除，用扣除后的价格参加评审。</w:t>
            </w:r>
          </w:p>
        </w:tc>
        <w:tc>
          <w:tcPr>
            <w:tcW w:w="764" w:type="dxa"/>
            <w:vAlign w:val="center"/>
          </w:tcPr>
          <w:p>
            <w:pPr>
              <w:spacing w:line="360" w:lineRule="auto"/>
              <w:jc w:val="center"/>
              <w:outlineLvl w:val="0"/>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30</w:t>
            </w:r>
          </w:p>
        </w:tc>
        <w:tc>
          <w:tcPr>
            <w:tcW w:w="1147" w:type="dxa"/>
            <w:vAlign w:val="center"/>
          </w:tcPr>
          <w:p>
            <w:pPr>
              <w:spacing w:line="360" w:lineRule="auto"/>
              <w:jc w:val="center"/>
              <w:outlineLvl w:val="0"/>
              <w:rPr>
                <w:rFonts w:cs="仿宋_GB2312" w:asciiTheme="minorEastAsia" w:hAnsiTheme="minorEastAsia" w:eastAsiaTheme="minorEastAsia"/>
                <w:color w:val="000000" w:themeColor="text1"/>
                <w:sz w:val="24"/>
                <w14:textFill>
                  <w14:solidFill>
                    <w14:schemeClr w14:val="tx1"/>
                  </w14:solidFill>
                </w14:textFill>
              </w:rPr>
            </w:pPr>
            <w:r>
              <w:rPr>
                <w:rFonts w:cs="仿宋_GB2312" w:asciiTheme="minorEastAsia" w:hAnsiTheme="minorEastAsia" w:eastAsiaTheme="minorEastAsia"/>
                <w:color w:val="000000" w:themeColor="text1"/>
                <w:sz w:val="24"/>
                <w14:textFill>
                  <w14:solidFill>
                    <w14:schemeClr w14:val="tx1"/>
                  </w14:solidFill>
                </w14:textFill>
              </w:rPr>
              <w:t>/</w:t>
            </w:r>
          </w:p>
        </w:tc>
        <w:tc>
          <w:tcPr>
            <w:tcW w:w="2150" w:type="dxa"/>
            <w:vAlign w:val="center"/>
          </w:tcPr>
          <w:p>
            <w:pPr>
              <w:spacing w:line="360" w:lineRule="auto"/>
              <w:jc w:val="center"/>
              <w:outlineLvl w:val="0"/>
              <w:rPr>
                <w:rFonts w:cs="仿宋_GB2312" w:asciiTheme="minorEastAsia" w:hAnsiTheme="minorEastAsia" w:eastAsiaTheme="minorEastAsia"/>
                <w:color w:val="000000" w:themeColor="text1"/>
                <w:sz w:val="24"/>
                <w14:textFill>
                  <w14:solidFill>
                    <w14:schemeClr w14:val="tx1"/>
                  </w14:solidFill>
                </w14:textFill>
              </w:rPr>
            </w:pPr>
            <w:r>
              <w:rPr>
                <w:rFonts w:cs="仿宋_GB2312" w:asciiTheme="minorEastAsia" w:hAnsiTheme="minorEastAsia" w:eastAsiaTheme="minorEastAsia"/>
                <w:color w:val="000000" w:themeColor="text1"/>
                <w:sz w:val="24"/>
                <w14:textFill>
                  <w14:solidFill>
                    <w14:schemeClr w14:val="tx1"/>
                  </w14:solidFill>
                </w14:textFill>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highlight w:val="none"/>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w:t>
      </w:r>
      <w:r>
        <w:rPr>
          <w:rFonts w:hint="eastAsia" w:ascii="宋体" w:hAnsi="宋体" w:cs="宋体"/>
          <w:kern w:val="0"/>
          <w:szCs w:val="24"/>
          <w:highlight w:val="none"/>
        </w:rPr>
        <w:t>委员会应当将其作为无效投标处理。</w:t>
      </w:r>
    </w:p>
    <w:p>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highlight w:val="magenta"/>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1个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pPr>
        <w:spacing w:line="360" w:lineRule="auto"/>
        <w:ind w:firstLine="480" w:firstLineChars="200"/>
        <w:rPr>
          <w:rFonts w:ascii="宋体" w:hAnsi="宋体" w:cs="宋体"/>
          <w:b/>
          <w:kern w:val="0"/>
          <w:sz w:val="24"/>
        </w:rPr>
      </w:pPr>
      <w:r>
        <w:rPr>
          <w:rFonts w:hint="eastAsia" w:ascii="宋体" w:hAnsi="宋体" w:cs="宋体"/>
          <w:kern w:val="0"/>
          <w:sz w:val="24"/>
          <w:highlight w:val="none"/>
        </w:rPr>
        <w:t>多家投标人提供相同品牌产品（单一产品采购项目中的该产品或者非单一产</w:t>
      </w:r>
      <w:r>
        <w:rPr>
          <w:rFonts w:hint="eastAsia" w:ascii="宋体" w:hAnsi="宋体" w:cs="宋体"/>
          <w:kern w:val="0"/>
          <w:sz w:val="24"/>
        </w:rPr>
        <w:t>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w:t>
      </w:r>
      <w:r>
        <w:rPr>
          <w:rFonts w:hint="eastAsia" w:ascii="宋体" w:hAnsi="宋体" w:eastAsia="宋体" w:cs="宋体"/>
          <w:b w:val="0"/>
          <w:bCs w:val="0"/>
          <w:color w:val="auto"/>
          <w:kern w:val="0"/>
          <w:sz w:val="24"/>
          <w:szCs w:val="24"/>
          <w:highlight w:val="none"/>
          <w:lang w:val="en-US" w:eastAsia="zh-CN" w:bidi="ar-SA"/>
        </w:rPr>
        <w:t>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pPr>
        <w:pStyle w:val="25"/>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w:t>
      </w:r>
      <w:r>
        <w:rPr>
          <w:rFonts w:hint="eastAsia" w:hAnsi="宋体" w:cs="宋体"/>
          <w:color w:val="auto"/>
          <w:sz w:val="24"/>
          <w:highlight w:val="none"/>
        </w:rPr>
        <w:t>采购机构</w:t>
      </w:r>
      <w:r>
        <w:rPr>
          <w:rFonts w:hint="eastAsia" w:cs="宋体"/>
        </w:rPr>
        <w:t>应当将废标理由通知所有投标人。</w:t>
      </w:r>
    </w:p>
    <w:p>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hAnsi="宋体" w:cs="宋体"/>
          <w:color w:val="auto"/>
          <w:sz w:val="24"/>
          <w:highlight w:val="none"/>
        </w:rPr>
        <w:t>采购机构</w:t>
      </w:r>
      <w:r>
        <w:rPr>
          <w:rFonts w:hint="eastAsia" w:cs="宋体"/>
        </w:rPr>
        <w:t>沟通并作书面记录。采购人、</w:t>
      </w:r>
      <w:r>
        <w:rPr>
          <w:rFonts w:hint="eastAsia" w:hAnsi="宋体" w:cs="宋体"/>
          <w:color w:val="auto"/>
          <w:sz w:val="24"/>
          <w:highlight w:val="none"/>
        </w:rPr>
        <w:t>采购机构</w:t>
      </w:r>
      <w:r>
        <w:rPr>
          <w:rFonts w:hint="eastAsia" w:cs="宋体"/>
        </w:rPr>
        <w:t>确认后，将修改招标文件，重新组织采购活动。</w:t>
      </w:r>
    </w:p>
    <w:p>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5"/>
        <w:snapToGrid w:val="0"/>
        <w:spacing w:line="360" w:lineRule="auto"/>
        <w:rPr>
          <w:rFonts w:cs="宋体"/>
        </w:rPr>
      </w:pPr>
      <w:r>
        <w:rPr>
          <w:rFonts w:hint="eastAsia" w:cs="宋体"/>
        </w:rPr>
        <w:t>7.1未确定中标供应商的，终止本次政府采购活动，重新开展政府采购活动。</w:t>
      </w:r>
    </w:p>
    <w:p>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bidi w:val="0"/>
      </w:pPr>
    </w:p>
    <w:bookmarkEnd w:id="48"/>
    <w:p>
      <w:pPr>
        <w:bidi w:val="0"/>
        <w:rPr>
          <w:rFonts w:hint="eastAsia"/>
        </w:rPr>
      </w:pPr>
      <w:bookmarkStart w:id="420" w:name="第五部分"/>
      <w:bookmarkStart w:id="421" w:name="_Toc86217003"/>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bidi w:val="0"/>
      </w:pPr>
    </w:p>
    <w:p>
      <w:pPr>
        <w:bidi w:val="0"/>
      </w:pPr>
    </w:p>
    <w:p>
      <w:pPr>
        <w:pStyle w:val="24"/>
        <w:spacing w:after="0"/>
        <w:jc w:val="center"/>
        <w:rPr>
          <w:rFonts w:hint="eastAsia" w:ascii="宋体" w:hAnsi="宋体" w:cs="宋体"/>
          <w:b/>
          <w:bCs/>
          <w:color w:val="auto"/>
          <w:spacing w:val="-20"/>
          <w:kern w:val="44"/>
          <w:sz w:val="48"/>
          <w:szCs w:val="48"/>
          <w:highlight w:val="none"/>
        </w:rPr>
      </w:pPr>
      <w:bookmarkStart w:id="422" w:name="_Toc3995"/>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pPr>
        <w:pStyle w:val="24"/>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pPr>
        <w:rPr>
          <w:rFonts w:ascii="宋体" w:hAnsi="宋体" w:cs="宋体"/>
          <w:b/>
          <w:bCs/>
          <w:color w:val="auto"/>
          <w:spacing w:val="-20"/>
          <w:kern w:val="44"/>
          <w:sz w:val="40"/>
          <w:szCs w:val="40"/>
          <w:highlight w:val="none"/>
        </w:rPr>
      </w:pPr>
    </w:p>
    <w:p>
      <w:pPr>
        <w:rPr>
          <w:rFonts w:ascii="宋体" w:hAnsi="宋体" w:cs="宋体"/>
          <w:b/>
          <w:bCs/>
          <w:color w:val="auto"/>
          <w:spacing w:val="-20"/>
          <w:kern w:val="44"/>
          <w:sz w:val="40"/>
          <w:szCs w:val="40"/>
          <w:highlight w:val="none"/>
        </w:rPr>
      </w:pPr>
    </w:p>
    <w:p>
      <w:pPr>
        <w:rPr>
          <w:rFonts w:ascii="宋体" w:hAnsi="宋体" w:cs="宋体"/>
          <w:b/>
          <w:bCs/>
          <w:color w:val="auto"/>
          <w:spacing w:val="-20"/>
          <w:kern w:val="44"/>
          <w:sz w:val="40"/>
          <w:szCs w:val="40"/>
          <w:highlight w:val="none"/>
        </w:rPr>
      </w:pPr>
    </w:p>
    <w:p>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pPr>
        <w:rPr>
          <w:color w:val="auto"/>
          <w:highlight w:val="none"/>
        </w:rPr>
      </w:pPr>
    </w:p>
    <w:p>
      <w:pPr>
        <w:rPr>
          <w:rFonts w:eastAsia="黑体"/>
          <w:color w:val="auto"/>
          <w:sz w:val="44"/>
          <w:szCs w:val="44"/>
          <w:highlight w:val="none"/>
        </w:rPr>
      </w:pPr>
      <w:r>
        <w:rPr>
          <w:rFonts w:eastAsia="黑体"/>
          <w:color w:val="auto"/>
          <w:sz w:val="44"/>
          <w:szCs w:val="44"/>
          <w:highlight w:val="none"/>
        </w:rPr>
        <w:br w:type="page"/>
      </w:r>
    </w:p>
    <w:p>
      <w:pPr>
        <w:rPr>
          <w:rFonts w:eastAsia="黑体"/>
          <w:color w:val="auto"/>
          <w:sz w:val="44"/>
          <w:szCs w:val="44"/>
          <w:highlight w:val="none"/>
        </w:rPr>
      </w:pPr>
    </w:p>
    <w:p>
      <w:pPr>
        <w:rPr>
          <w:rFonts w:eastAsia="黑体"/>
          <w:color w:val="auto"/>
          <w:sz w:val="44"/>
          <w:szCs w:val="44"/>
          <w:highlight w:val="none"/>
        </w:rPr>
      </w:pPr>
    </w:p>
    <w:p>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pPr>
        <w:ind w:firstLine="640" w:firstLineChars="200"/>
        <w:rPr>
          <w:rFonts w:hint="eastAsia" w:ascii="仿宋_GB2312" w:hAnsi="仿宋_GB2312" w:eastAsia="仿宋_GB2312" w:cs="仿宋_GB2312"/>
          <w:color w:val="auto"/>
          <w:sz w:val="32"/>
          <w:szCs w:val="32"/>
          <w:highlight w:val="none"/>
          <w:lang w:val="en-US" w:eastAsia="zh-CN"/>
        </w:rPr>
      </w:pP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pPr>
        <w:ind w:firstLine="880" w:firstLineChars="200"/>
        <w:jc w:val="both"/>
        <w:rPr>
          <w:rFonts w:eastAsia="黑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422"/>
    <w:p>
      <w:pPr>
        <w:rPr>
          <w:rFonts w:ascii="仿宋" w:hAnsi="仿宋" w:eastAsia="仿宋" w:cs="宋体"/>
          <w:b/>
          <w:sz w:val="24"/>
        </w:rPr>
      </w:pPr>
    </w:p>
    <w:p>
      <w:pPr>
        <w:spacing w:before="156" w:beforeLines="50" w:line="320" w:lineRule="exact"/>
        <w:ind w:firstLine="480" w:firstLineChars="200"/>
        <w:rPr>
          <w:rFonts w:ascii="仿宋" w:hAnsi="仿宋" w:eastAsia="仿宋"/>
          <w:sz w:val="24"/>
        </w:rPr>
      </w:pPr>
      <w:r>
        <w:rPr>
          <w:rFonts w:ascii="仿宋" w:hAnsi="仿宋" w:eastAsia="仿宋"/>
          <w:sz w:val="24"/>
          <w:u w:val="single"/>
          <w:lang w:val="zh-CN"/>
        </w:rPr>
        <w:t xml:space="preserve">  </w:t>
      </w:r>
      <w:r>
        <w:rPr>
          <w:rFonts w:hint="eastAsia" w:ascii="仿宋" w:hAnsi="仿宋" w:eastAsia="仿宋"/>
          <w:sz w:val="24"/>
          <w:u w:val="single"/>
        </w:rPr>
        <w:t>2025</w:t>
      </w:r>
      <w:r>
        <w:rPr>
          <w:rFonts w:ascii="仿宋" w:hAnsi="仿宋" w:eastAsia="仿宋"/>
          <w:sz w:val="24"/>
          <w:u w:val="single"/>
          <w:lang w:val="zh-CN"/>
        </w:rPr>
        <w:t xml:space="preserve">   </w:t>
      </w:r>
      <w:r>
        <w:rPr>
          <w:rFonts w:hint="eastAsia" w:ascii="仿宋" w:hAnsi="仿宋" w:eastAsia="仿宋"/>
          <w:sz w:val="24"/>
          <w:lang w:val="zh-CN"/>
        </w:rPr>
        <w:t>年</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u w:val="single"/>
        </w:rPr>
        <w:t xml:space="preserve">   </w:t>
      </w:r>
      <w:r>
        <w:rPr>
          <w:rFonts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ascii="仿宋" w:hAnsi="仿宋" w:eastAsia="仿宋"/>
          <w:sz w:val="24"/>
          <w:u w:val="single"/>
        </w:rPr>
        <w:t xml:space="preserve">  </w:t>
      </w:r>
      <w:r>
        <w:rPr>
          <w:rFonts w:hint="eastAsia" w:ascii="仿宋" w:hAnsi="仿宋" w:eastAsia="仿宋"/>
          <w:sz w:val="24"/>
          <w:u w:val="single"/>
          <w:lang w:val="en-US" w:eastAsia="zh-CN"/>
        </w:rPr>
        <w:t>杭州市</w:t>
      </w:r>
      <w:r>
        <w:rPr>
          <w:rFonts w:hint="eastAsia" w:ascii="仿宋" w:hAnsi="仿宋" w:eastAsia="仿宋" w:cs="宋体"/>
          <w:sz w:val="24"/>
          <w:u w:val="single"/>
        </w:rPr>
        <w:t>上城区文化和广电旅游体育局</w:t>
      </w:r>
      <w:r>
        <w:rPr>
          <w:rFonts w:ascii="仿宋" w:hAnsi="仿宋" w:eastAsia="仿宋"/>
          <w:sz w:val="24"/>
          <w:u w:val="single"/>
        </w:rPr>
        <w:t xml:space="preserve">  </w:t>
      </w:r>
      <w:r>
        <w:rPr>
          <w:rFonts w:hint="eastAsia" w:ascii="仿宋" w:hAnsi="仿宋" w:eastAsia="仿宋"/>
          <w:sz w:val="24"/>
        </w:rPr>
        <w:t>以</w:t>
      </w:r>
      <w:r>
        <w:rPr>
          <w:rFonts w:ascii="仿宋" w:hAnsi="仿宋" w:eastAsia="仿宋"/>
          <w:sz w:val="24"/>
          <w:u w:val="single"/>
        </w:rPr>
        <w:t xml:space="preserve">  </w:t>
      </w:r>
      <w:r>
        <w:rPr>
          <w:rFonts w:hint="eastAsia" w:ascii="仿宋" w:hAnsi="仿宋" w:eastAsia="仿宋" w:cs="宋体"/>
          <w:sz w:val="24"/>
          <w:u w:val="single"/>
        </w:rPr>
        <w:t>政府采购公开招标</w:t>
      </w:r>
      <w:r>
        <w:rPr>
          <w:rFonts w:ascii="仿宋" w:hAnsi="仿宋" w:eastAsia="仿宋"/>
          <w:sz w:val="24"/>
          <w:u w:val="single"/>
        </w:rPr>
        <w:t xml:space="preserve">  </w:t>
      </w:r>
      <w:r>
        <w:rPr>
          <w:rFonts w:hint="eastAsia" w:ascii="仿宋" w:hAnsi="仿宋" w:eastAsia="仿宋"/>
          <w:sz w:val="24"/>
        </w:rPr>
        <w:t>对</w:t>
      </w:r>
      <w:r>
        <w:rPr>
          <w:rFonts w:ascii="仿宋" w:hAnsi="仿宋" w:eastAsia="仿宋"/>
          <w:sz w:val="24"/>
          <w:u w:val="single"/>
        </w:rPr>
        <w:t xml:space="preserve">  上城区应急广播体系建设</w:t>
      </w:r>
      <w:r>
        <w:rPr>
          <w:rFonts w:hint="eastAsia" w:ascii="仿宋" w:hAnsi="仿宋" w:eastAsia="仿宋"/>
          <w:sz w:val="24"/>
          <w:u w:val="single"/>
        </w:rPr>
        <w:t>项目</w:t>
      </w:r>
      <w:r>
        <w:rPr>
          <w:rFonts w:hint="eastAsia" w:ascii="仿宋" w:hAnsi="仿宋" w:eastAsia="仿宋" w:cs="宋体"/>
          <w:sz w:val="24"/>
          <w:u w:val="single"/>
        </w:rPr>
        <w:t>（项目编号：SCCG2025-GK-17</w:t>
      </w:r>
      <w:r>
        <w:rPr>
          <w:rFonts w:hint="eastAsia" w:ascii="宋体" w:hAnsi="宋体" w:eastAsia="宋体" w:cs="宋体"/>
          <w:color w:val="auto"/>
          <w:kern w:val="0"/>
          <w:sz w:val="24"/>
          <w:highlight w:val="none"/>
          <w:u w:val="single"/>
          <w:lang w:val="en-US" w:eastAsia="zh-CN"/>
        </w:rPr>
        <w:t xml:space="preserve"> </w:t>
      </w:r>
      <w:r>
        <w:rPr>
          <w:rFonts w:hint="eastAsia" w:ascii="仿宋" w:hAnsi="仿宋" w:eastAsia="仿宋" w:cs="宋体"/>
          <w:sz w:val="24"/>
          <w:u w:val="single"/>
        </w:rPr>
        <w:t xml:space="preserve">  ）</w:t>
      </w:r>
      <w:r>
        <w:rPr>
          <w:rFonts w:ascii="仿宋" w:hAnsi="仿宋" w:eastAsia="仿宋"/>
          <w:sz w:val="24"/>
          <w:u w:val="single"/>
        </w:rPr>
        <w:t xml:space="preserve">  </w:t>
      </w:r>
      <w:r>
        <w:rPr>
          <w:rFonts w:hint="eastAsia" w:ascii="仿宋" w:hAnsi="仿宋" w:eastAsia="仿宋"/>
          <w:sz w:val="24"/>
        </w:rPr>
        <w:t>项目进行了采购。经</w:t>
      </w:r>
      <w:r>
        <w:rPr>
          <w:rFonts w:ascii="仿宋" w:hAnsi="仿宋" w:eastAsia="仿宋"/>
          <w:sz w:val="24"/>
          <w:u w:val="single"/>
        </w:rPr>
        <w:t xml:space="preserve">  </w:t>
      </w:r>
      <w:r>
        <w:rPr>
          <w:rFonts w:hint="eastAsia" w:ascii="仿宋" w:hAnsi="仿宋" w:eastAsia="仿宋" w:cs="宋体"/>
          <w:sz w:val="24"/>
          <w:u w:val="single"/>
        </w:rPr>
        <w:t>评标委员会</w:t>
      </w:r>
      <w:r>
        <w:rPr>
          <w:rFonts w:ascii="仿宋" w:hAnsi="仿宋" w:eastAsia="仿宋"/>
          <w:sz w:val="24"/>
          <w:u w:val="single"/>
        </w:rPr>
        <w:t xml:space="preserve">  </w:t>
      </w:r>
      <w:r>
        <w:rPr>
          <w:rFonts w:hint="eastAsia" w:ascii="仿宋" w:hAnsi="仿宋" w:eastAsia="仿宋"/>
          <w:sz w:val="24"/>
        </w:rPr>
        <w:t>评定，</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为该项目</w:t>
      </w:r>
      <w:r>
        <w:rPr>
          <w:rFonts w:hint="eastAsia" w:ascii="仿宋" w:hAnsi="仿宋" w:eastAsia="仿宋" w:cs="宋体"/>
          <w:sz w:val="24"/>
        </w:rPr>
        <w:t>中标供应商</w:t>
      </w:r>
      <w:r>
        <w:rPr>
          <w:rFonts w:hint="eastAsia" w:ascii="仿宋" w:hAnsi="仿宋" w:eastAsia="仿宋"/>
          <w:sz w:val="24"/>
        </w:rPr>
        <w:t>。现于</w:t>
      </w:r>
      <w:r>
        <w:rPr>
          <w:rFonts w:hint="eastAsia" w:ascii="仿宋" w:hAnsi="仿宋" w:eastAsia="仿宋" w:cs="宋体"/>
          <w:sz w:val="24"/>
        </w:rPr>
        <w:t>中标通知书</w:t>
      </w:r>
      <w:r>
        <w:rPr>
          <w:rFonts w:hint="eastAsia" w:ascii="仿宋" w:hAnsi="仿宋" w:eastAsia="仿宋"/>
          <w:sz w:val="24"/>
        </w:rPr>
        <w:t>发出之日起10个工作日内，按照采购文件确定的事项签订本合同。</w:t>
      </w:r>
    </w:p>
    <w:p>
      <w:pPr>
        <w:spacing w:before="156" w:beforeLines="50" w:line="32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根据《中华人民共和国民法典》《中华人民共和国政府采购法》等相关法律法规之规定，按照平等、自愿、公平和诚实信用的原则，经</w:t>
      </w:r>
      <w:r>
        <w:rPr>
          <w:rFonts w:ascii="仿宋" w:hAnsi="仿宋" w:eastAsia="仿宋"/>
          <w:sz w:val="24"/>
          <w:u w:val="single"/>
        </w:rPr>
        <w:t xml:space="preserve">   </w:t>
      </w:r>
      <w:r>
        <w:rPr>
          <w:rFonts w:hint="eastAsia" w:ascii="仿宋" w:hAnsi="仿宋" w:eastAsia="仿宋"/>
          <w:sz w:val="24"/>
          <w:u w:val="single"/>
          <w:lang w:val="en-US" w:eastAsia="zh-CN"/>
        </w:rPr>
        <w:t>杭州市</w:t>
      </w:r>
      <w:r>
        <w:rPr>
          <w:rFonts w:hint="eastAsia" w:ascii="仿宋" w:hAnsi="仿宋" w:eastAsia="仿宋"/>
          <w:sz w:val="24"/>
          <w:u w:val="single"/>
        </w:rPr>
        <w:t>上城区</w:t>
      </w:r>
      <w:r>
        <w:rPr>
          <w:rFonts w:ascii="仿宋" w:hAnsi="仿宋" w:eastAsia="仿宋"/>
          <w:sz w:val="24"/>
          <w:u w:val="single"/>
        </w:rPr>
        <w:t xml:space="preserve">文化和广电旅游体育局   </w:t>
      </w:r>
      <w:r>
        <w:rPr>
          <w:rFonts w:ascii="仿宋" w:hAnsi="仿宋" w:eastAsia="仿宋"/>
          <w:sz w:val="24"/>
          <w:lang w:val="zh-CN"/>
        </w:rPr>
        <w:t>(以下简称：甲方)和</w:t>
      </w:r>
      <w:r>
        <w:rPr>
          <w:rFonts w:hint="eastAsia" w:ascii="仿宋" w:hAnsi="仿宋" w:eastAsia="仿宋"/>
          <w:sz w:val="24"/>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ascii="仿宋" w:hAnsi="仿宋" w:eastAsia="仿宋"/>
          <w:sz w:val="24"/>
          <w:u w:val="single"/>
          <w:lang w:val="zh-CN"/>
        </w:rPr>
        <w:t>(</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before="156" w:beforeLines="50" w:line="320" w:lineRule="exact"/>
        <w:ind w:firstLine="482" w:firstLineChars="200"/>
        <w:rPr>
          <w:rFonts w:ascii="仿宋" w:hAnsi="仿宋" w:eastAsia="仿宋"/>
          <w:b/>
          <w:bCs/>
          <w:sz w:val="24"/>
        </w:rPr>
      </w:pPr>
      <w:bookmarkStart w:id="423" w:name="_Toc28855"/>
      <w:bookmarkStart w:id="424" w:name="_Toc19273"/>
      <w:bookmarkStart w:id="425" w:name="_Toc20421"/>
      <w:bookmarkStart w:id="426" w:name="_Toc22967"/>
      <w:bookmarkStart w:id="427" w:name="_Toc15367"/>
      <w:r>
        <w:rPr>
          <w:rFonts w:ascii="仿宋" w:hAnsi="仿宋" w:eastAsia="仿宋"/>
          <w:b/>
          <w:bCs/>
          <w:sz w:val="24"/>
        </w:rPr>
        <w:t xml:space="preserve">1.1 </w:t>
      </w:r>
      <w:r>
        <w:rPr>
          <w:rFonts w:hint="eastAsia" w:ascii="仿宋" w:hAnsi="仿宋" w:eastAsia="仿宋"/>
          <w:b/>
          <w:bCs/>
          <w:sz w:val="24"/>
        </w:rPr>
        <w:t>合同组成部分</w:t>
      </w:r>
      <w:bookmarkEnd w:id="423"/>
      <w:bookmarkEnd w:id="424"/>
      <w:bookmarkEnd w:id="425"/>
      <w:bookmarkEnd w:id="426"/>
      <w:bookmarkEnd w:id="427"/>
    </w:p>
    <w:p>
      <w:pPr>
        <w:spacing w:before="156" w:beforeLines="50" w:line="32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before="156" w:beforeLines="50" w:line="320" w:lineRule="exact"/>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before="156" w:beforeLines="50" w:line="320" w:lineRule="exact"/>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中标或者成交通知书；</w:t>
      </w:r>
    </w:p>
    <w:p>
      <w:pPr>
        <w:spacing w:before="156" w:beforeLines="50" w:line="320" w:lineRule="exact"/>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投标或者投标文件（含澄清或者说明文件）；</w:t>
      </w:r>
    </w:p>
    <w:p>
      <w:pPr>
        <w:spacing w:before="156" w:beforeLines="50" w:line="320" w:lineRule="exact"/>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采购文件（含澄清或者修改文件）；</w:t>
      </w:r>
    </w:p>
    <w:p>
      <w:pPr>
        <w:spacing w:before="156" w:beforeLines="50" w:line="320" w:lineRule="exact"/>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before="156" w:beforeLines="50" w:line="320" w:lineRule="exact"/>
        <w:ind w:firstLine="482" w:firstLineChars="200"/>
        <w:rPr>
          <w:rFonts w:ascii="仿宋" w:hAnsi="仿宋" w:eastAsia="仿宋"/>
          <w:b/>
          <w:bCs/>
          <w:sz w:val="24"/>
        </w:rPr>
      </w:pPr>
      <w:bookmarkStart w:id="428" w:name="_Toc6311"/>
      <w:bookmarkStart w:id="429" w:name="_Toc2918"/>
      <w:bookmarkStart w:id="430" w:name="_Toc6773"/>
      <w:bookmarkStart w:id="431" w:name="_Toc22185"/>
      <w:bookmarkStart w:id="432" w:name="_Toc18585"/>
      <w:r>
        <w:rPr>
          <w:rFonts w:ascii="仿宋" w:hAnsi="仿宋" w:eastAsia="仿宋"/>
          <w:b/>
          <w:bCs/>
          <w:sz w:val="24"/>
        </w:rPr>
        <w:t xml:space="preserve">1.2 </w:t>
      </w:r>
      <w:bookmarkEnd w:id="428"/>
      <w:bookmarkEnd w:id="429"/>
      <w:bookmarkEnd w:id="430"/>
      <w:bookmarkEnd w:id="431"/>
      <w:bookmarkEnd w:id="432"/>
      <w:r>
        <w:rPr>
          <w:rFonts w:hint="eastAsia" w:ascii="仿宋" w:hAnsi="仿宋" w:eastAsia="仿宋"/>
          <w:b/>
          <w:bCs/>
          <w:sz w:val="24"/>
        </w:rPr>
        <w:t>货物</w:t>
      </w:r>
    </w:p>
    <w:p>
      <w:pPr>
        <w:spacing w:before="156" w:beforeLines="50" w:line="320" w:lineRule="exact"/>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货物名称、品牌、规格型号、花色</w:t>
      </w:r>
      <w:r>
        <w:rPr>
          <w:rFonts w:ascii="仿宋" w:hAnsi="仿宋" w:eastAsia="仿宋"/>
          <w:sz w:val="24"/>
        </w:rPr>
        <w:t>：</w:t>
      </w:r>
      <w:r>
        <w:rPr>
          <w:rFonts w:ascii="仿宋" w:hAnsi="仿宋" w:eastAsia="仿宋"/>
          <w:sz w:val="24"/>
          <w:u w:val="single"/>
        </w:rPr>
        <w:t xml:space="preserve"> </w:t>
      </w:r>
      <w:r>
        <w:rPr>
          <w:rFonts w:hint="eastAsia" w:ascii="仿宋" w:hAnsi="仿宋" w:eastAsia="仿宋"/>
          <w:sz w:val="24"/>
          <w:u w:val="single"/>
        </w:rPr>
        <w:t xml:space="preserve">见设备清单（附件）         </w:t>
      </w:r>
      <w:r>
        <w:rPr>
          <w:rFonts w:hint="eastAsia" w:ascii="仿宋" w:hAnsi="仿宋" w:eastAsia="仿宋"/>
          <w:sz w:val="24"/>
        </w:rPr>
        <w:t>；</w:t>
      </w:r>
    </w:p>
    <w:p>
      <w:pPr>
        <w:spacing w:before="156" w:beforeLines="50" w:line="320" w:lineRule="exact"/>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货物数量</w:t>
      </w:r>
      <w:r>
        <w:rPr>
          <w:rFonts w:ascii="仿宋" w:hAnsi="仿宋" w:eastAsia="仿宋"/>
          <w:sz w:val="24"/>
        </w:rPr>
        <w:t>：</w:t>
      </w:r>
      <w:r>
        <w:rPr>
          <w:rFonts w:ascii="仿宋" w:hAnsi="仿宋" w:eastAsia="仿宋"/>
          <w:sz w:val="24"/>
          <w:u w:val="single"/>
        </w:rPr>
        <w:t xml:space="preserve">  </w:t>
      </w:r>
      <w:r>
        <w:rPr>
          <w:rFonts w:hint="eastAsia" w:ascii="仿宋" w:hAnsi="仿宋" w:eastAsia="仿宋"/>
          <w:sz w:val="24"/>
          <w:u w:val="single"/>
        </w:rPr>
        <w:t xml:space="preserve">见设备清单（附件） </w:t>
      </w:r>
      <w:r>
        <w:rPr>
          <w:rFonts w:ascii="仿宋" w:hAnsi="仿宋" w:eastAsia="仿宋"/>
          <w:sz w:val="24"/>
          <w:u w:val="single"/>
        </w:rPr>
        <w:t xml:space="preserve">       </w:t>
      </w:r>
      <w:r>
        <w:rPr>
          <w:rFonts w:hint="eastAsia" w:ascii="仿宋" w:hAnsi="仿宋" w:eastAsia="仿宋"/>
          <w:sz w:val="24"/>
        </w:rPr>
        <w:t>；</w:t>
      </w:r>
    </w:p>
    <w:p>
      <w:pPr>
        <w:spacing w:before="156" w:beforeLines="50" w:line="320" w:lineRule="exact"/>
        <w:ind w:firstLine="480" w:firstLineChars="200"/>
        <w:rPr>
          <w:rFonts w:ascii="仿宋" w:hAnsi="仿宋" w:eastAsia="仿宋"/>
          <w:sz w:val="24"/>
          <w:u w:val="single"/>
        </w:rPr>
      </w:pPr>
      <w:r>
        <w:rPr>
          <w:rFonts w:ascii="仿宋" w:hAnsi="仿宋" w:eastAsia="仿宋"/>
          <w:sz w:val="24"/>
        </w:rPr>
        <w:t xml:space="preserve">1.2.3 </w:t>
      </w:r>
      <w:r>
        <w:rPr>
          <w:rFonts w:hint="eastAsia" w:ascii="仿宋" w:hAnsi="仿宋" w:eastAsia="仿宋"/>
          <w:sz w:val="24"/>
        </w:rPr>
        <w:t>货物质量：</w:t>
      </w:r>
      <w:r>
        <w:rPr>
          <w:rFonts w:ascii="仿宋" w:hAnsi="仿宋" w:eastAsia="仿宋"/>
          <w:sz w:val="24"/>
          <w:u w:val="single"/>
        </w:rPr>
        <w:t xml:space="preserve">  </w:t>
      </w:r>
      <w:r>
        <w:rPr>
          <w:rFonts w:hint="eastAsia" w:ascii="仿宋" w:hAnsi="仿宋" w:eastAsia="仿宋"/>
          <w:sz w:val="24"/>
          <w:u w:val="single"/>
        </w:rPr>
        <w:t>见设备清单（附件）</w:t>
      </w:r>
      <w:r>
        <w:rPr>
          <w:rFonts w:ascii="仿宋" w:hAnsi="仿宋" w:eastAsia="仿宋"/>
          <w:sz w:val="24"/>
          <w:u w:val="single"/>
        </w:rPr>
        <w:t xml:space="preserve">       </w:t>
      </w:r>
      <w:r>
        <w:rPr>
          <w:rFonts w:hint="eastAsia" w:ascii="仿宋" w:hAnsi="仿宋" w:eastAsia="仿宋"/>
          <w:sz w:val="24"/>
        </w:rPr>
        <w:t>；</w:t>
      </w:r>
    </w:p>
    <w:p>
      <w:pPr>
        <w:spacing w:before="156" w:beforeLines="50" w:line="320" w:lineRule="exact"/>
        <w:ind w:firstLine="482" w:firstLineChars="200"/>
        <w:rPr>
          <w:rFonts w:ascii="仿宋" w:hAnsi="仿宋" w:eastAsia="仿宋"/>
          <w:b/>
          <w:bCs/>
          <w:sz w:val="24"/>
        </w:rPr>
      </w:pPr>
      <w:bookmarkStart w:id="433" w:name="_Toc21124"/>
      <w:bookmarkStart w:id="434" w:name="_Toc13918"/>
      <w:bookmarkStart w:id="435" w:name="_Toc5635"/>
      <w:bookmarkStart w:id="436" w:name="_Toc1386"/>
      <w:bookmarkStart w:id="437" w:name="_Toc4929"/>
      <w:r>
        <w:rPr>
          <w:rFonts w:ascii="仿宋" w:hAnsi="仿宋" w:eastAsia="仿宋"/>
          <w:b/>
          <w:bCs/>
          <w:sz w:val="24"/>
        </w:rPr>
        <w:t>1.3 价款</w:t>
      </w:r>
      <w:bookmarkEnd w:id="433"/>
      <w:bookmarkEnd w:id="434"/>
      <w:bookmarkEnd w:id="435"/>
      <w:bookmarkEnd w:id="436"/>
      <w:bookmarkEnd w:id="437"/>
    </w:p>
    <w:p>
      <w:pPr>
        <w:spacing w:before="156" w:beforeLines="50" w:line="320" w:lineRule="exact"/>
        <w:ind w:firstLine="480" w:firstLineChars="200"/>
        <w:rPr>
          <w:rFonts w:ascii="仿宋" w:hAnsi="仿宋" w:eastAsia="仿宋"/>
          <w:sz w:val="24"/>
        </w:rPr>
      </w:pPr>
      <w:r>
        <w:rPr>
          <w:rFonts w:ascii="仿宋" w:hAnsi="仿宋" w:eastAsia="仿宋"/>
          <w:sz w:val="24"/>
        </w:rPr>
        <w:t>本合同总价</w:t>
      </w:r>
      <w:r>
        <w:rPr>
          <w:rFonts w:hint="eastAsia" w:ascii="仿宋" w:hAnsi="仿宋" w:eastAsia="仿宋"/>
          <w:sz w:val="24"/>
        </w:rPr>
        <w:t>（含税）</w:t>
      </w:r>
      <w:r>
        <w:rPr>
          <w:rFonts w:ascii="仿宋" w:hAnsi="仿宋" w:eastAsia="仿宋"/>
          <w:sz w:val="24"/>
        </w:rPr>
        <w:t>为</w:t>
      </w:r>
      <w:r>
        <w:rPr>
          <w:rFonts w:hint="eastAsia" w:ascii="仿宋" w:hAnsi="仿宋" w:eastAsia="仿宋"/>
          <w:sz w:val="24"/>
        </w:rPr>
        <w:t>：￥</w:t>
      </w:r>
      <w:r>
        <w:rPr>
          <w:rFonts w:ascii="仿宋" w:hAnsi="仿宋" w:eastAsia="仿宋"/>
          <w:sz w:val="24"/>
          <w:u w:val="single"/>
        </w:rPr>
        <w:t xml:space="preserve">  </w:t>
      </w:r>
      <w:r>
        <w:rPr>
          <w:rFonts w:ascii="仿宋" w:hAnsi="仿宋" w:eastAsia="仿宋"/>
          <w:sz w:val="24"/>
        </w:rPr>
        <w:t>元</w:t>
      </w:r>
      <w:r>
        <w:rPr>
          <w:rFonts w:hint="eastAsia" w:ascii="仿宋" w:hAnsi="仿宋" w:eastAsia="仿宋"/>
          <w:sz w:val="24"/>
        </w:rPr>
        <w:t>（大写：</w:t>
      </w:r>
      <w:r>
        <w:rPr>
          <w:rFonts w:ascii="仿宋" w:hAnsi="仿宋" w:eastAsia="仿宋"/>
          <w:sz w:val="24"/>
          <w:u w:val="single"/>
        </w:rPr>
        <w:t xml:space="preserve">     </w:t>
      </w:r>
      <w:r>
        <w:rPr>
          <w:rFonts w:hint="eastAsia" w:ascii="仿宋" w:hAnsi="仿宋" w:eastAsia="仿宋"/>
          <w:sz w:val="24"/>
        </w:rPr>
        <w:t>元人民币）</w:t>
      </w:r>
      <w:r>
        <w:rPr>
          <w:rFonts w:ascii="仿宋" w:hAnsi="仿宋" w:eastAsia="仿宋"/>
          <w:sz w:val="24"/>
        </w:rPr>
        <w:t>。</w:t>
      </w:r>
    </w:p>
    <w:p>
      <w:pPr>
        <w:spacing w:before="156" w:beforeLines="50" w:line="320" w:lineRule="exact"/>
        <w:ind w:firstLine="480" w:firstLineChars="200"/>
        <w:rPr>
          <w:rFonts w:ascii="仿宋" w:hAnsi="仿宋" w:eastAsia="仿宋"/>
          <w:sz w:val="24"/>
        </w:rPr>
      </w:pPr>
      <w:r>
        <w:rPr>
          <w:rFonts w:ascii="仿宋" w:hAnsi="仿宋" w:eastAsia="仿宋"/>
          <w:sz w:val="24"/>
        </w:rPr>
        <w:t>分项价格：</w:t>
      </w:r>
    </w:p>
    <w:tbl>
      <w:tblPr>
        <w:tblStyle w:val="63"/>
        <w:tblW w:w="4997" w:type="pct"/>
        <w:jc w:val="center"/>
        <w:tblLayout w:type="autofit"/>
        <w:tblCellMar>
          <w:top w:w="0" w:type="dxa"/>
          <w:left w:w="108" w:type="dxa"/>
          <w:bottom w:w="0" w:type="dxa"/>
          <w:right w:w="108" w:type="dxa"/>
        </w:tblCellMar>
      </w:tblPr>
      <w:tblGrid>
        <w:gridCol w:w="479"/>
        <w:gridCol w:w="1331"/>
        <w:gridCol w:w="904"/>
        <w:gridCol w:w="2178"/>
        <w:gridCol w:w="811"/>
        <w:gridCol w:w="1194"/>
        <w:gridCol w:w="1301"/>
        <w:gridCol w:w="1082"/>
      </w:tblGrid>
      <w:tr>
        <w:tblPrEx>
          <w:tblCellMar>
            <w:top w:w="0" w:type="dxa"/>
            <w:left w:w="108" w:type="dxa"/>
            <w:bottom w:w="0" w:type="dxa"/>
            <w:right w:w="108" w:type="dxa"/>
          </w:tblCellMar>
        </w:tblPrEx>
        <w:trPr>
          <w:trHeight w:val="615" w:hRule="atLeast"/>
          <w:jc w:val="center"/>
        </w:trPr>
        <w:tc>
          <w:tcPr>
            <w:tcW w:w="258"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717"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名称</w:t>
            </w:r>
          </w:p>
        </w:tc>
        <w:tc>
          <w:tcPr>
            <w:tcW w:w="487"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品牌（如果有）</w:t>
            </w:r>
          </w:p>
        </w:tc>
        <w:tc>
          <w:tcPr>
            <w:tcW w:w="117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规格型号</w:t>
            </w:r>
          </w:p>
        </w:tc>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数量</w:t>
            </w:r>
          </w:p>
        </w:tc>
        <w:tc>
          <w:tcPr>
            <w:tcW w:w="64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单价（元）</w:t>
            </w:r>
          </w:p>
        </w:tc>
        <w:tc>
          <w:tcPr>
            <w:tcW w:w="70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合计（元）</w:t>
            </w: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备注（如果有）</w:t>
            </w:r>
          </w:p>
        </w:tc>
      </w:tr>
      <w:tr>
        <w:tblPrEx>
          <w:tblCellMar>
            <w:top w:w="0" w:type="dxa"/>
            <w:left w:w="108" w:type="dxa"/>
            <w:bottom w:w="0" w:type="dxa"/>
            <w:right w:w="108" w:type="dxa"/>
          </w:tblCellMar>
        </w:tblPrEx>
        <w:trPr>
          <w:trHeight w:val="315" w:hRule="atLeast"/>
          <w:jc w:val="center"/>
        </w:trPr>
        <w:tc>
          <w:tcPr>
            <w:tcW w:w="2635" w:type="pct"/>
            <w:gridSpan w:val="4"/>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kern w:val="0"/>
                <w:sz w:val="24"/>
                <w:lang w:bidi="ar"/>
              </w:rPr>
            </w:pPr>
          </w:p>
        </w:tc>
        <w:tc>
          <w:tcPr>
            <w:tcW w:w="2364" w:type="pct"/>
            <w:gridSpan w:val="4"/>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kern w:val="0"/>
                <w:sz w:val="24"/>
                <w:lang w:bidi="ar"/>
              </w:rPr>
            </w:pPr>
          </w:p>
        </w:tc>
      </w:tr>
      <w:tr>
        <w:tblPrEx>
          <w:tblCellMar>
            <w:top w:w="0" w:type="dxa"/>
            <w:left w:w="108" w:type="dxa"/>
            <w:bottom w:w="0" w:type="dxa"/>
            <w:right w:w="108" w:type="dxa"/>
          </w:tblCellMar>
        </w:tblPrEx>
        <w:trPr>
          <w:trHeight w:val="315" w:hRule="atLeast"/>
          <w:jc w:val="center"/>
        </w:trPr>
        <w:tc>
          <w:tcPr>
            <w:tcW w:w="2635" w:type="pct"/>
            <w:gridSpan w:val="4"/>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合同总价（小写）</w:t>
            </w:r>
          </w:p>
        </w:tc>
        <w:tc>
          <w:tcPr>
            <w:tcW w:w="2364" w:type="pct"/>
            <w:gridSpan w:val="4"/>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rPr>
            </w:pPr>
          </w:p>
        </w:tc>
      </w:tr>
      <w:tr>
        <w:tblPrEx>
          <w:tblCellMar>
            <w:top w:w="0" w:type="dxa"/>
            <w:left w:w="108" w:type="dxa"/>
            <w:bottom w:w="0" w:type="dxa"/>
            <w:right w:w="108" w:type="dxa"/>
          </w:tblCellMar>
        </w:tblPrEx>
        <w:trPr>
          <w:trHeight w:val="300" w:hRule="atLeast"/>
          <w:jc w:val="center"/>
        </w:trPr>
        <w:tc>
          <w:tcPr>
            <w:tcW w:w="2635" w:type="pct"/>
            <w:gridSpan w:val="4"/>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合同总价（大写）</w:t>
            </w:r>
          </w:p>
        </w:tc>
        <w:tc>
          <w:tcPr>
            <w:tcW w:w="2364" w:type="pct"/>
            <w:gridSpan w:val="4"/>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人民币        元整</w:t>
            </w:r>
          </w:p>
        </w:tc>
      </w:tr>
    </w:tbl>
    <w:p>
      <w:pPr>
        <w:spacing w:before="156" w:beforeLines="50" w:line="320" w:lineRule="exact"/>
        <w:ind w:firstLine="480" w:firstLineChars="200"/>
        <w:rPr>
          <w:rFonts w:ascii="仿宋" w:hAnsi="仿宋" w:eastAsia="仿宋"/>
          <w:sz w:val="24"/>
        </w:rPr>
      </w:pPr>
    </w:p>
    <w:p>
      <w:pPr>
        <w:spacing w:before="156" w:beforeLines="50" w:line="320" w:lineRule="exact"/>
        <w:ind w:firstLine="482" w:firstLineChars="200"/>
        <w:rPr>
          <w:rFonts w:ascii="仿宋" w:hAnsi="仿宋" w:eastAsia="仿宋"/>
          <w:b/>
          <w:bCs/>
          <w:sz w:val="24"/>
        </w:rPr>
      </w:pPr>
      <w:bookmarkStart w:id="438" w:name="_Toc1814"/>
      <w:bookmarkStart w:id="439" w:name="_Toc10340"/>
      <w:bookmarkStart w:id="440" w:name="_Toc22618"/>
      <w:bookmarkStart w:id="441" w:name="_Toc3625"/>
      <w:bookmarkStart w:id="442" w:name="_Toc8772"/>
      <w:bookmarkStart w:id="443" w:name="_Toc4760"/>
      <w:bookmarkStart w:id="444" w:name="_Toc11108"/>
      <w:bookmarkStart w:id="445" w:name="_Toc31421"/>
      <w:r>
        <w:rPr>
          <w:rFonts w:hint="eastAsia" w:ascii="仿宋" w:hAnsi="仿宋" w:eastAsia="仿宋"/>
          <w:b/>
          <w:bCs/>
          <w:sz w:val="24"/>
        </w:rPr>
        <w:t>1.4</w:t>
      </w:r>
      <w:r>
        <w:rPr>
          <w:rFonts w:ascii="仿宋" w:hAnsi="仿宋" w:eastAsia="仿宋"/>
          <w:b/>
          <w:bCs/>
          <w:sz w:val="24"/>
        </w:rPr>
        <w:t xml:space="preserve"> </w:t>
      </w:r>
      <w:r>
        <w:rPr>
          <w:rFonts w:hint="eastAsia" w:ascii="仿宋" w:hAnsi="仿宋" w:eastAsia="仿宋"/>
          <w:b/>
          <w:bCs/>
          <w:sz w:val="24"/>
        </w:rPr>
        <w:t>履约保证金</w:t>
      </w:r>
    </w:p>
    <w:p>
      <w:pPr>
        <w:pStyle w:val="958"/>
        <w:spacing w:before="156" w:beforeLines="50" w:beforeAutospacing="0" w:after="0" w:afterAutospacing="0" w:line="320" w:lineRule="exact"/>
        <w:ind w:firstLine="480"/>
        <w:rPr>
          <w:rFonts w:ascii="仿宋" w:hAnsi="仿宋" w:eastAsia="仿宋"/>
        </w:rPr>
      </w:pPr>
      <w:r>
        <w:rPr>
          <w:rFonts w:hint="eastAsia" w:ascii="仿宋" w:hAnsi="仿宋" w:eastAsia="仿宋"/>
        </w:rPr>
        <w:t>乙方</w:t>
      </w:r>
      <w:r>
        <w:rPr>
          <w:rFonts w:hint="eastAsia" w:ascii="仿宋" w:hAnsi="仿宋" w:eastAsia="仿宋"/>
          <w:u w:val="single"/>
        </w:rPr>
        <w:t xml:space="preserve">  否   </w:t>
      </w:r>
      <w:r>
        <w:rPr>
          <w:rFonts w:hint="eastAsia" w:ascii="仿宋" w:hAnsi="仿宋" w:eastAsia="仿宋"/>
        </w:rPr>
        <w:t>需要支付履约保证金。若需要支付履约保证金的，则：</w:t>
      </w:r>
    </w:p>
    <w:p>
      <w:pPr>
        <w:pStyle w:val="958"/>
        <w:spacing w:before="156" w:beforeLines="50" w:beforeAutospacing="0" w:after="0" w:afterAutospacing="0" w:line="320" w:lineRule="exact"/>
        <w:ind w:firstLine="480"/>
        <w:rPr>
          <w:rFonts w:ascii="仿宋" w:hAnsi="仿宋" w:eastAsia="仿宋"/>
        </w:rPr>
      </w:pPr>
      <w:r>
        <w:rPr>
          <w:rFonts w:hint="eastAsia" w:ascii="仿宋" w:hAnsi="仿宋" w:eastAsia="仿宋"/>
        </w:rPr>
        <w:t>1.4.1履约保证金的比例为合同金额的</w:t>
      </w:r>
      <w:r>
        <w:rPr>
          <w:rFonts w:hint="eastAsia" w:ascii="仿宋" w:hAnsi="仿宋" w:eastAsia="仿宋"/>
          <w:u w:val="single"/>
        </w:rPr>
        <w:t xml:space="preserve">  /   %</w:t>
      </w:r>
      <w:r>
        <w:rPr>
          <w:rFonts w:hint="eastAsia" w:ascii="仿宋" w:hAnsi="仿宋" w:eastAsia="仿宋"/>
        </w:rPr>
        <w:t>；</w:t>
      </w:r>
    </w:p>
    <w:p>
      <w:pPr>
        <w:pStyle w:val="958"/>
        <w:spacing w:before="156" w:beforeLines="50" w:beforeAutospacing="0" w:after="0" w:afterAutospacing="0" w:line="320" w:lineRule="exact"/>
        <w:ind w:firstLine="480"/>
        <w:rPr>
          <w:rFonts w:ascii="仿宋" w:hAnsi="仿宋" w:eastAsia="仿宋"/>
        </w:rPr>
      </w:pPr>
      <w:r>
        <w:rPr>
          <w:rFonts w:hint="eastAsia" w:ascii="仿宋" w:hAnsi="仿宋" w:eastAsia="仿宋"/>
        </w:rPr>
        <w:t>1.4.2履约保证金支付方式详见</w:t>
      </w:r>
      <w:r>
        <w:rPr>
          <w:rFonts w:hint="eastAsia" w:ascii="仿宋" w:hAnsi="仿宋" w:eastAsia="仿宋"/>
          <w:i/>
          <w:iCs/>
          <w:u w:val="single"/>
        </w:rPr>
        <w:t xml:space="preserve">  </w:t>
      </w:r>
      <w:r>
        <w:rPr>
          <w:rFonts w:hint="eastAsia" w:ascii="仿宋" w:hAnsi="仿宋" w:eastAsia="仿宋"/>
          <w:b/>
          <w:bCs/>
          <w:i/>
          <w:iCs/>
          <w:u w:val="single"/>
        </w:rPr>
        <w:t>合同专用条款</w:t>
      </w:r>
      <w:r>
        <w:rPr>
          <w:rFonts w:hint="eastAsia" w:ascii="仿宋" w:hAnsi="仿宋" w:eastAsia="仿宋"/>
          <w:i/>
          <w:iCs/>
          <w:u w:val="single"/>
        </w:rPr>
        <w:t xml:space="preserve">  </w:t>
      </w:r>
      <w:r>
        <w:rPr>
          <w:rFonts w:hint="eastAsia" w:ascii="仿宋" w:hAnsi="仿宋" w:eastAsia="仿宋"/>
        </w:rPr>
        <w:t>；</w:t>
      </w:r>
    </w:p>
    <w:p>
      <w:pPr>
        <w:pStyle w:val="958"/>
        <w:spacing w:before="156" w:beforeLines="50" w:beforeAutospacing="0" w:after="0" w:afterAutospacing="0" w:line="320" w:lineRule="exact"/>
        <w:ind w:firstLine="480"/>
        <w:rPr>
          <w:rFonts w:ascii="仿宋" w:hAnsi="仿宋" w:eastAsia="仿宋"/>
        </w:rPr>
      </w:pPr>
      <w:r>
        <w:rPr>
          <w:rFonts w:hint="eastAsia" w:ascii="仿宋" w:hAnsi="仿宋" w:eastAsia="仿宋"/>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Style w:val="958"/>
        <w:spacing w:before="156" w:beforeLines="50" w:beforeAutospacing="0" w:after="0" w:afterAutospacing="0" w:line="320" w:lineRule="exact"/>
        <w:ind w:firstLine="480"/>
        <w:rPr>
          <w:rFonts w:ascii="仿宋" w:hAnsi="仿宋" w:eastAsia="仿宋"/>
        </w:rPr>
      </w:pPr>
      <w:r>
        <w:rPr>
          <w:rFonts w:hint="eastAsia" w:ascii="仿宋" w:hAnsi="仿宋" w:eastAsia="仿宋"/>
        </w:rPr>
        <w:t>1.4.4甲方在项目验收结束后及时退还履约保证金。甲方在项目通过验收之日起</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u w:val="single"/>
        </w:rPr>
        <w:t>/</w:t>
      </w:r>
      <w:r>
        <w:rPr>
          <w:rFonts w:ascii="仿宋" w:hAnsi="仿宋" w:eastAsia="仿宋"/>
          <w:u w:val="single"/>
        </w:rPr>
        <w:t xml:space="preserve"> </w:t>
      </w:r>
      <w:r>
        <w:rPr>
          <w:rFonts w:hint="eastAsia" w:ascii="仿宋" w:hAnsi="仿宋" w:eastAsia="仿宋"/>
        </w:rPr>
        <w:t>个工作日内将履约保证金无息退还乙方，逾期退还的，乙方可要求甲方支付违约金，违约金按每迟延退还一日的应退还而未退还金额的</w:t>
      </w:r>
      <w:r>
        <w:rPr>
          <w:rFonts w:hint="eastAsia" w:ascii="仿宋" w:hAnsi="仿宋" w:eastAsia="仿宋"/>
          <w:u w:val="single"/>
        </w:rPr>
        <w:t xml:space="preserve"> / %</w:t>
      </w:r>
      <w:r>
        <w:rPr>
          <w:rFonts w:hint="eastAsia" w:ascii="仿宋" w:hAnsi="仿宋" w:eastAsia="仿宋"/>
        </w:rPr>
        <w:t>算，最高限额为本合同履约保证金的</w:t>
      </w:r>
      <w:r>
        <w:rPr>
          <w:rFonts w:hint="eastAsia" w:ascii="仿宋" w:hAnsi="仿宋" w:eastAsia="仿宋"/>
          <w:u w:val="single"/>
        </w:rPr>
        <w:t xml:space="preserve"> / </w:t>
      </w:r>
      <w:r>
        <w:rPr>
          <w:rFonts w:hint="eastAsia" w:ascii="仿宋" w:hAnsi="仿宋" w:eastAsia="仿宋"/>
        </w:rPr>
        <w:t>%。</w:t>
      </w:r>
    </w:p>
    <w:p>
      <w:pPr>
        <w:spacing w:before="156" w:beforeLines="50" w:line="320" w:lineRule="exact"/>
        <w:ind w:firstLine="482" w:firstLineChars="200"/>
        <w:rPr>
          <w:rFonts w:ascii="仿宋" w:hAnsi="仿宋" w:eastAsia="仿宋"/>
          <w:b/>
          <w:bCs/>
          <w:sz w:val="24"/>
        </w:rPr>
      </w:pPr>
      <w:r>
        <w:rPr>
          <w:rFonts w:hint="eastAsia" w:ascii="仿宋" w:hAnsi="仿宋" w:eastAsia="仿宋"/>
          <w:b/>
          <w:bCs/>
          <w:sz w:val="24"/>
        </w:rPr>
        <w:t>1.5</w:t>
      </w:r>
      <w:bookmarkEnd w:id="438"/>
      <w:bookmarkEnd w:id="439"/>
      <w:bookmarkEnd w:id="440"/>
      <w:r>
        <w:rPr>
          <w:rFonts w:ascii="仿宋" w:hAnsi="仿宋" w:eastAsia="仿宋"/>
          <w:b/>
          <w:bCs/>
          <w:sz w:val="24"/>
        </w:rPr>
        <w:t xml:space="preserve"> </w:t>
      </w:r>
      <w:r>
        <w:rPr>
          <w:rFonts w:hint="eastAsia" w:ascii="仿宋" w:hAnsi="仿宋" w:eastAsia="仿宋"/>
          <w:b/>
          <w:bCs/>
          <w:sz w:val="24"/>
        </w:rPr>
        <w:t>预付款</w:t>
      </w:r>
    </w:p>
    <w:p>
      <w:pPr>
        <w:pStyle w:val="958"/>
        <w:spacing w:before="156" w:beforeLines="50" w:beforeAutospacing="0" w:after="0" w:afterAutospacing="0" w:line="320" w:lineRule="exact"/>
        <w:ind w:firstLine="480"/>
        <w:rPr>
          <w:rFonts w:ascii="仿宋" w:hAnsi="仿宋" w:eastAsia="仿宋"/>
        </w:rPr>
      </w:pPr>
      <w:r>
        <w:rPr>
          <w:rFonts w:hint="eastAsia" w:ascii="仿宋" w:hAnsi="仿宋" w:eastAsia="仿宋"/>
        </w:rPr>
        <w:t>甲方</w:t>
      </w:r>
      <w:r>
        <w:rPr>
          <w:rFonts w:hint="eastAsia" w:ascii="仿宋" w:hAnsi="仿宋" w:eastAsia="仿宋"/>
          <w:u w:val="single"/>
        </w:rPr>
        <w:t xml:space="preserve">  是   </w:t>
      </w:r>
      <w:r>
        <w:rPr>
          <w:rFonts w:hint="eastAsia" w:ascii="仿宋" w:hAnsi="仿宋" w:eastAsia="仿宋"/>
        </w:rPr>
        <w:t>需要支付预付款。若需要支付预付款的，则：</w:t>
      </w:r>
    </w:p>
    <w:p>
      <w:pPr>
        <w:spacing w:before="156" w:beforeLines="50" w:line="320" w:lineRule="exact"/>
        <w:ind w:firstLine="480" w:firstLineChars="200"/>
        <w:rPr>
          <w:rFonts w:ascii="仿宋" w:hAnsi="仿宋" w:eastAsia="仿宋" w:cs="宋体"/>
          <w:kern w:val="0"/>
          <w:sz w:val="24"/>
        </w:rPr>
      </w:pPr>
      <w:r>
        <w:rPr>
          <w:rFonts w:hint="eastAsia" w:ascii="仿宋" w:hAnsi="仿宋" w:eastAsia="仿宋" w:cs="宋体"/>
          <w:kern w:val="0"/>
          <w:sz w:val="24"/>
        </w:rPr>
        <w:t>1.5.1预付款比例、支付方式、时间详见</w:t>
      </w:r>
      <w:r>
        <w:rPr>
          <w:rFonts w:hint="eastAsia" w:ascii="仿宋" w:hAnsi="仿宋" w:eastAsia="仿宋" w:cs="宋体"/>
          <w:kern w:val="0"/>
          <w:sz w:val="24"/>
          <w:u w:val="single"/>
        </w:rPr>
        <w:t xml:space="preserve">  </w:t>
      </w:r>
      <w:r>
        <w:rPr>
          <w:rFonts w:hint="eastAsia" w:ascii="仿宋" w:hAnsi="仿宋" w:eastAsia="仿宋" w:cs="宋体"/>
          <w:b/>
          <w:i/>
          <w:sz w:val="24"/>
          <w:u w:val="single"/>
        </w:rPr>
        <w:t>合同专用条款</w:t>
      </w:r>
      <w:r>
        <w:rPr>
          <w:rFonts w:hint="eastAsia" w:ascii="仿宋" w:hAnsi="仿宋" w:eastAsia="仿宋" w:cs="宋体"/>
          <w:kern w:val="0"/>
          <w:sz w:val="24"/>
          <w:u w:val="single"/>
        </w:rPr>
        <w:t xml:space="preserve">  </w:t>
      </w:r>
      <w:r>
        <w:rPr>
          <w:rFonts w:hint="eastAsia" w:ascii="仿宋" w:hAnsi="仿宋" w:eastAsia="仿宋" w:cs="宋体"/>
          <w:kern w:val="0"/>
          <w:sz w:val="24"/>
        </w:rPr>
        <w:t>；</w:t>
      </w:r>
    </w:p>
    <w:p>
      <w:pPr>
        <w:pStyle w:val="958"/>
        <w:spacing w:before="156" w:beforeLines="50" w:beforeAutospacing="0" w:after="0" w:afterAutospacing="0" w:line="320" w:lineRule="exact"/>
        <w:ind w:firstLine="480"/>
        <w:rPr>
          <w:rFonts w:ascii="仿宋" w:hAnsi="仿宋" w:eastAsia="仿宋"/>
        </w:rPr>
      </w:pPr>
      <w:r>
        <w:rPr>
          <w:rFonts w:hint="eastAsia" w:ascii="仿宋" w:hAnsi="仿宋" w:eastAsia="仿宋"/>
        </w:rPr>
        <w:t>1.5.2预付款的扣回方式详见</w:t>
      </w:r>
      <w:r>
        <w:rPr>
          <w:rFonts w:hint="eastAsia" w:ascii="仿宋" w:hAnsi="仿宋" w:eastAsia="仿宋"/>
          <w:u w:val="single"/>
        </w:rPr>
        <w:t xml:space="preserve">  </w:t>
      </w:r>
      <w:r>
        <w:rPr>
          <w:rFonts w:hint="eastAsia" w:ascii="仿宋" w:hAnsi="仿宋" w:eastAsia="仿宋"/>
          <w:b/>
          <w:i/>
          <w:u w:val="single"/>
        </w:rPr>
        <w:t>合同专用条款</w:t>
      </w:r>
      <w:r>
        <w:rPr>
          <w:rFonts w:hint="eastAsia" w:ascii="仿宋" w:hAnsi="仿宋" w:eastAsia="仿宋"/>
          <w:u w:val="single"/>
        </w:rPr>
        <w:t xml:space="preserve">  </w:t>
      </w:r>
      <w:r>
        <w:rPr>
          <w:rFonts w:hint="eastAsia" w:ascii="仿宋" w:hAnsi="仿宋" w:eastAsia="仿宋"/>
        </w:rPr>
        <w:t>；</w:t>
      </w:r>
    </w:p>
    <w:p>
      <w:pPr>
        <w:pStyle w:val="958"/>
        <w:spacing w:before="156" w:beforeLines="50" w:beforeAutospacing="0" w:after="0" w:afterAutospacing="0" w:line="320" w:lineRule="exact"/>
        <w:ind w:firstLine="480"/>
        <w:rPr>
          <w:rFonts w:ascii="仿宋" w:hAnsi="仿宋" w:eastAsia="仿宋"/>
          <w:u w:val="single"/>
        </w:rPr>
      </w:pPr>
      <w:r>
        <w:rPr>
          <w:rFonts w:hint="eastAsia" w:ascii="仿宋" w:hAnsi="仿宋" w:eastAsia="仿宋"/>
        </w:rPr>
        <w:t>1.5.3预付款的担保措施详见</w:t>
      </w:r>
      <w:r>
        <w:rPr>
          <w:rFonts w:hint="eastAsia" w:ascii="仿宋" w:hAnsi="仿宋" w:eastAsia="仿宋"/>
          <w:u w:val="single"/>
        </w:rPr>
        <w:t xml:space="preserve">  </w:t>
      </w:r>
      <w:r>
        <w:rPr>
          <w:rFonts w:hint="eastAsia" w:ascii="仿宋" w:hAnsi="仿宋" w:eastAsia="仿宋"/>
          <w:b/>
          <w:i/>
          <w:u w:val="single"/>
        </w:rPr>
        <w:t>合同专用条款</w:t>
      </w:r>
      <w:r>
        <w:rPr>
          <w:rFonts w:hint="eastAsia" w:ascii="仿宋" w:hAnsi="仿宋" w:eastAsia="仿宋"/>
          <w:u w:val="single"/>
        </w:rPr>
        <w:t xml:space="preserve">  </w:t>
      </w:r>
      <w:r>
        <w:rPr>
          <w:rFonts w:hint="eastAsia" w:ascii="仿宋" w:hAnsi="仿宋" w:eastAsia="仿宋"/>
        </w:rPr>
        <w:t>。</w:t>
      </w:r>
    </w:p>
    <w:p>
      <w:pPr>
        <w:spacing w:before="156" w:beforeLines="50" w:line="320" w:lineRule="exact"/>
        <w:ind w:firstLine="482" w:firstLineChars="200"/>
        <w:rPr>
          <w:rFonts w:ascii="仿宋" w:hAnsi="仿宋" w:eastAsia="仿宋"/>
          <w:b/>
          <w:bCs/>
          <w:sz w:val="24"/>
        </w:rPr>
      </w:pPr>
      <w:r>
        <w:rPr>
          <w:rFonts w:hint="eastAsia" w:ascii="仿宋" w:hAnsi="仿宋" w:eastAsia="仿宋"/>
          <w:b/>
          <w:bCs/>
          <w:sz w:val="24"/>
        </w:rPr>
        <w:t>1.6</w:t>
      </w:r>
      <w:r>
        <w:rPr>
          <w:rFonts w:ascii="仿宋" w:hAnsi="仿宋" w:eastAsia="仿宋"/>
          <w:b/>
          <w:bCs/>
          <w:sz w:val="24"/>
        </w:rPr>
        <w:t xml:space="preserve"> </w:t>
      </w:r>
      <w:r>
        <w:rPr>
          <w:rFonts w:hint="eastAsia" w:ascii="仿宋" w:hAnsi="仿宋" w:eastAsia="仿宋"/>
          <w:b/>
          <w:bCs/>
          <w:sz w:val="24"/>
        </w:rPr>
        <w:t>资金支付</w:t>
      </w:r>
    </w:p>
    <w:p>
      <w:pPr>
        <w:pStyle w:val="958"/>
        <w:spacing w:before="156" w:beforeLines="50" w:beforeAutospacing="0" w:after="0" w:afterAutospacing="0" w:line="320" w:lineRule="exact"/>
        <w:ind w:firstLine="480"/>
        <w:rPr>
          <w:rFonts w:ascii="仿宋" w:hAnsi="仿宋" w:eastAsia="仿宋"/>
        </w:rPr>
      </w:pPr>
      <w:r>
        <w:rPr>
          <w:rFonts w:hint="eastAsia" w:ascii="仿宋" w:hAnsi="仿宋" w:eastAsia="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pStyle w:val="958"/>
        <w:spacing w:before="156" w:beforeLines="50" w:beforeAutospacing="0" w:after="0" w:afterAutospacing="0" w:line="320" w:lineRule="exact"/>
        <w:ind w:firstLine="480"/>
        <w:rPr>
          <w:rFonts w:ascii="仿宋" w:hAnsi="仿宋" w:eastAsia="仿宋"/>
        </w:rPr>
      </w:pPr>
      <w:r>
        <w:rPr>
          <w:rFonts w:hint="eastAsia" w:ascii="仿宋" w:hAnsi="仿宋" w:eastAsia="仿宋"/>
        </w:rPr>
        <w:t>1.6.2资金支付的方式、时间和条件详见</w:t>
      </w:r>
      <w:r>
        <w:rPr>
          <w:rFonts w:hint="eastAsia" w:ascii="仿宋" w:hAnsi="仿宋" w:eastAsia="仿宋"/>
          <w:u w:val="single"/>
        </w:rPr>
        <w:t xml:space="preserve">  </w:t>
      </w:r>
      <w:r>
        <w:rPr>
          <w:rFonts w:hint="eastAsia" w:ascii="仿宋" w:hAnsi="仿宋" w:eastAsia="仿宋"/>
          <w:b/>
          <w:i/>
          <w:u w:val="single"/>
        </w:rPr>
        <w:t>合同专用条款</w:t>
      </w:r>
      <w:r>
        <w:rPr>
          <w:rFonts w:hint="eastAsia" w:ascii="仿宋" w:hAnsi="仿宋" w:eastAsia="仿宋"/>
          <w:u w:val="single"/>
        </w:rPr>
        <w:t xml:space="preserve">  </w:t>
      </w:r>
      <w:r>
        <w:rPr>
          <w:rFonts w:hint="eastAsia" w:ascii="仿宋" w:hAnsi="仿宋" w:eastAsia="仿宋"/>
        </w:rPr>
        <w:t>。</w:t>
      </w:r>
    </w:p>
    <w:p>
      <w:pPr>
        <w:spacing w:before="156" w:beforeLines="50" w:line="320" w:lineRule="exact"/>
        <w:ind w:firstLine="482" w:firstLineChars="200"/>
        <w:rPr>
          <w:rFonts w:ascii="仿宋" w:hAnsi="仿宋" w:eastAsia="仿宋"/>
          <w:b/>
          <w:bCs/>
          <w:sz w:val="24"/>
        </w:rPr>
      </w:pPr>
      <w:r>
        <w:rPr>
          <w:rFonts w:ascii="仿宋" w:hAnsi="仿宋" w:eastAsia="仿宋"/>
          <w:b/>
          <w:bCs/>
          <w:sz w:val="24"/>
        </w:rPr>
        <w:t>1.</w:t>
      </w:r>
      <w:r>
        <w:rPr>
          <w:rFonts w:hint="eastAsia" w:ascii="仿宋" w:hAnsi="仿宋" w:eastAsia="仿宋"/>
          <w:b/>
          <w:bCs/>
          <w:sz w:val="24"/>
        </w:rPr>
        <w:t>7</w:t>
      </w:r>
      <w:r>
        <w:rPr>
          <w:rFonts w:ascii="仿宋" w:hAnsi="仿宋" w:eastAsia="仿宋"/>
          <w:b/>
          <w:bCs/>
          <w:sz w:val="24"/>
        </w:rPr>
        <w:t xml:space="preserve"> </w:t>
      </w:r>
      <w:bookmarkEnd w:id="441"/>
      <w:bookmarkEnd w:id="442"/>
      <w:bookmarkEnd w:id="443"/>
      <w:bookmarkEnd w:id="444"/>
      <w:bookmarkEnd w:id="445"/>
      <w:r>
        <w:rPr>
          <w:rFonts w:hint="eastAsia" w:ascii="仿宋" w:hAnsi="仿宋" w:eastAsia="仿宋"/>
          <w:b/>
          <w:bCs/>
          <w:sz w:val="24"/>
        </w:rPr>
        <w:t>货物交付期限、地点和方式</w:t>
      </w:r>
    </w:p>
    <w:p>
      <w:pPr>
        <w:spacing w:before="156" w:beforeLines="50" w:line="320" w:lineRule="exact"/>
        <w:ind w:firstLine="480" w:firstLineChars="200"/>
        <w:rPr>
          <w:rFonts w:ascii="仿宋" w:hAnsi="仿宋" w:eastAsia="仿宋" w:cs="宋体"/>
          <w:sz w:val="24"/>
          <w:u w:val="single"/>
        </w:rPr>
      </w:pPr>
      <w:bookmarkStart w:id="446" w:name="_Toc8586"/>
      <w:bookmarkStart w:id="447" w:name="_Toc3079"/>
      <w:bookmarkStart w:id="448" w:name="_Toc24662"/>
      <w:bookmarkStart w:id="449" w:name="_Toc5698"/>
      <w:bookmarkStart w:id="450" w:name="_Toc2375"/>
      <w:r>
        <w:rPr>
          <w:rFonts w:hint="eastAsia" w:ascii="仿宋" w:hAnsi="仿宋" w:eastAsia="仿宋" w:cs="宋体"/>
          <w:sz w:val="24"/>
        </w:rPr>
        <w:t>1.7.1 交付期限：详见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before="156" w:beforeLines="50" w:line="320" w:lineRule="exact"/>
        <w:ind w:firstLine="480" w:firstLineChars="200"/>
        <w:rPr>
          <w:rFonts w:ascii="仿宋" w:hAnsi="仿宋" w:eastAsia="仿宋" w:cs="宋体"/>
          <w:sz w:val="24"/>
        </w:rPr>
      </w:pPr>
      <w:r>
        <w:rPr>
          <w:rFonts w:hint="eastAsia" w:ascii="仿宋" w:hAnsi="仿宋" w:eastAsia="仿宋" w:cs="宋体"/>
          <w:sz w:val="24"/>
        </w:rPr>
        <w:t>1.7.2 交付地点：详见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before="156" w:beforeLines="50" w:line="320" w:lineRule="exact"/>
        <w:ind w:firstLine="480" w:firstLineChars="200"/>
        <w:rPr>
          <w:rFonts w:ascii="仿宋" w:hAnsi="仿宋" w:eastAsia="仿宋" w:cs="宋体"/>
          <w:sz w:val="24"/>
        </w:rPr>
      </w:pPr>
      <w:r>
        <w:rPr>
          <w:rFonts w:hint="eastAsia" w:ascii="仿宋" w:hAnsi="仿宋" w:eastAsia="仿宋" w:cs="宋体"/>
          <w:sz w:val="24"/>
        </w:rPr>
        <w:t>1.7.3 交付方式：详见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before="156" w:beforeLines="50" w:line="320" w:lineRule="exact"/>
        <w:ind w:firstLine="482" w:firstLineChars="200"/>
        <w:rPr>
          <w:rFonts w:ascii="仿宋" w:hAnsi="仿宋" w:eastAsia="仿宋"/>
          <w:b/>
          <w:bCs/>
          <w:sz w:val="24"/>
        </w:rPr>
      </w:pPr>
      <w:r>
        <w:rPr>
          <w:rFonts w:ascii="仿宋" w:hAnsi="仿宋" w:eastAsia="仿宋"/>
          <w:b/>
          <w:bCs/>
          <w:sz w:val="24"/>
        </w:rPr>
        <w:t>1.</w:t>
      </w:r>
      <w:r>
        <w:rPr>
          <w:rFonts w:hint="eastAsia" w:ascii="仿宋" w:hAnsi="仿宋" w:eastAsia="仿宋"/>
          <w:b/>
          <w:bCs/>
          <w:sz w:val="24"/>
        </w:rPr>
        <w:t>8</w:t>
      </w:r>
      <w:r>
        <w:rPr>
          <w:rFonts w:ascii="仿宋" w:hAnsi="仿宋" w:eastAsia="仿宋"/>
          <w:b/>
          <w:bCs/>
          <w:sz w:val="24"/>
        </w:rPr>
        <w:t xml:space="preserve"> </w:t>
      </w:r>
      <w:r>
        <w:rPr>
          <w:rFonts w:hint="eastAsia" w:ascii="仿宋" w:hAnsi="仿宋" w:eastAsia="仿宋"/>
          <w:b/>
          <w:bCs/>
          <w:sz w:val="24"/>
        </w:rPr>
        <w:t>违约责任</w:t>
      </w:r>
      <w:bookmarkEnd w:id="446"/>
      <w:bookmarkEnd w:id="447"/>
      <w:bookmarkEnd w:id="448"/>
      <w:bookmarkEnd w:id="449"/>
      <w:bookmarkEnd w:id="450"/>
    </w:p>
    <w:p>
      <w:pPr>
        <w:spacing w:before="156" w:beforeLines="50" w:line="32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8</w:t>
      </w:r>
      <w:r>
        <w:rPr>
          <w:rFonts w:ascii="仿宋" w:hAnsi="仿宋" w:eastAsia="仿宋"/>
          <w:sz w:val="24"/>
        </w:rPr>
        <w:t xml:space="preserve">.1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sz w:val="24"/>
          <w:u w:val="single"/>
        </w:rPr>
        <w:t xml:space="preserve"> 0.1</w:t>
      </w:r>
      <w:r>
        <w:rPr>
          <w:rFonts w:ascii="仿宋" w:hAnsi="仿宋" w:eastAsia="仿宋"/>
          <w:sz w:val="24"/>
          <w:u w:val="single"/>
        </w:rPr>
        <w:t xml:space="preserve">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；迟延交付货物的违约金计算数额达到前述最高限额之日起，甲方有权在要求乙方支付违约金的同时，书面通知乙方解除本合同；</w:t>
      </w:r>
    </w:p>
    <w:p>
      <w:pPr>
        <w:spacing w:before="156" w:beforeLines="50" w:line="320" w:lineRule="exact"/>
        <w:ind w:firstLine="480" w:firstLineChars="200"/>
        <w:rPr>
          <w:rFonts w:ascii="仿宋" w:hAnsi="仿宋" w:eastAsia="仿宋"/>
          <w:sz w:val="24"/>
        </w:rPr>
      </w:pPr>
      <w:r>
        <w:rPr>
          <w:rFonts w:hint="eastAsia" w:ascii="仿宋" w:hAnsi="仿宋" w:eastAsia="仿宋"/>
          <w:sz w:val="24"/>
        </w:rPr>
        <w:t>1.8.2除不可抗力外，如果甲方没有按照本合同约定的付款方式付款，那么乙方可要求甲方支付违约金，违约金按每迟延付款一日的应付而未付款的</w:t>
      </w:r>
      <w:r>
        <w:rPr>
          <w:rFonts w:hint="eastAsia" w:ascii="仿宋" w:hAnsi="仿宋" w:eastAsia="仿宋"/>
          <w:sz w:val="24"/>
          <w:u w:val="single"/>
        </w:rPr>
        <w:t xml:space="preserve"> 0.05 %</w:t>
      </w:r>
      <w:r>
        <w:rPr>
          <w:rFonts w:hint="eastAsia" w:ascii="仿宋" w:hAnsi="仿宋" w:eastAsia="仿宋"/>
          <w:sz w:val="24"/>
        </w:rPr>
        <w:t>计算，最高限额为本合同总价的</w:t>
      </w:r>
      <w:r>
        <w:rPr>
          <w:rFonts w:hint="eastAsia" w:ascii="仿宋" w:hAnsi="仿宋" w:eastAsia="仿宋"/>
          <w:sz w:val="24"/>
          <w:u w:val="single"/>
        </w:rPr>
        <w:t xml:space="preserve"> 20 %</w:t>
      </w:r>
      <w:r>
        <w:rPr>
          <w:rFonts w:hint="eastAsia" w:ascii="仿宋" w:hAnsi="仿宋" w:eastAsia="仿宋"/>
          <w:sz w:val="24"/>
        </w:rPr>
        <w:t>；迟延付款的违约金计算数额达到前述最高限额之日起，乙方有权在要求甲方支付违约金的同时，书面通知甲方解除本合同；</w:t>
      </w:r>
    </w:p>
    <w:p>
      <w:pPr>
        <w:spacing w:before="156" w:beforeLines="50" w:line="320" w:lineRule="exact"/>
        <w:ind w:right="-420" w:rightChars="-200" w:firstLine="480" w:firstLineChars="200"/>
        <w:rPr>
          <w:rFonts w:ascii="仿宋" w:hAnsi="仿宋" w:eastAsia="仿宋" w:cs="宋体"/>
          <w:sz w:val="24"/>
        </w:rPr>
      </w:pPr>
      <w:bookmarkStart w:id="451" w:name="_Toc26807"/>
      <w:bookmarkStart w:id="452" w:name="_Toc18683"/>
      <w:bookmarkStart w:id="453" w:name="_Toc9497"/>
      <w:bookmarkStart w:id="454" w:name="_Toc32454"/>
      <w:bookmarkStart w:id="455" w:name="_Toc30329"/>
      <w:r>
        <w:rPr>
          <w:rFonts w:hint="eastAsia" w:ascii="仿宋" w:hAnsi="仿宋" w:eastAsia="仿宋"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before="156" w:beforeLines="50" w:line="320" w:lineRule="exact"/>
        <w:ind w:right="-420" w:rightChars="-200" w:firstLine="480" w:firstLineChars="200"/>
        <w:rPr>
          <w:rFonts w:ascii="仿宋" w:hAnsi="仿宋" w:eastAsia="仿宋" w:cs="宋体"/>
          <w:sz w:val="24"/>
        </w:rPr>
      </w:pPr>
      <w:r>
        <w:rPr>
          <w:rFonts w:hint="eastAsia" w:ascii="仿宋" w:hAnsi="仿宋" w:eastAsia="仿宋"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before="156" w:beforeLines="50" w:line="320" w:lineRule="exact"/>
        <w:ind w:right="-420" w:rightChars="-200" w:firstLine="480" w:firstLineChars="200"/>
        <w:rPr>
          <w:rFonts w:ascii="仿宋" w:hAnsi="仿宋" w:eastAsia="仿宋" w:cs="宋体"/>
          <w:sz w:val="24"/>
        </w:rPr>
      </w:pPr>
      <w:r>
        <w:rPr>
          <w:rFonts w:hint="eastAsia" w:ascii="仿宋" w:hAnsi="仿宋" w:eastAsia="仿宋" w:cs="宋体"/>
          <w:sz w:val="24"/>
        </w:rPr>
        <w:t>1.8.5 如果出现政府采购监督管理部门在处理投诉事项期间，书面通知甲方暂停采购活动的情形，或者询问或质疑事项可能影响中标或者成交结果的，导致甲方中止履行合同的情形，均不视为甲方违约。</w:t>
      </w:r>
    </w:p>
    <w:p>
      <w:pPr>
        <w:spacing w:before="156" w:beforeLines="50" w:line="320" w:lineRule="exact"/>
        <w:ind w:right="-420" w:rightChars="-200" w:firstLine="480" w:firstLineChars="200"/>
        <w:rPr>
          <w:rFonts w:ascii="仿宋" w:hAnsi="仿宋" w:eastAsia="仿宋" w:cs="宋体"/>
        </w:rPr>
      </w:pPr>
      <w:r>
        <w:rPr>
          <w:rFonts w:hint="eastAsia" w:ascii="仿宋" w:hAnsi="仿宋" w:eastAsia="仿宋" w:cs="宋体"/>
          <w:sz w:val="24"/>
        </w:rPr>
        <w:t>1.8.6 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bookmarkEnd w:id="451"/>
    <w:bookmarkEnd w:id="452"/>
    <w:bookmarkEnd w:id="453"/>
    <w:bookmarkEnd w:id="454"/>
    <w:bookmarkEnd w:id="455"/>
    <w:p>
      <w:pPr>
        <w:spacing w:before="156" w:beforeLines="50" w:line="320" w:lineRule="exact"/>
        <w:ind w:firstLine="482" w:firstLineChars="200"/>
        <w:rPr>
          <w:rFonts w:ascii="仿宋" w:hAnsi="仿宋" w:eastAsia="仿宋"/>
          <w:b/>
          <w:bCs/>
          <w:sz w:val="24"/>
        </w:rPr>
      </w:pPr>
      <w:bookmarkStart w:id="456" w:name="_Toc16021"/>
      <w:bookmarkStart w:id="457" w:name="_Toc15583"/>
      <w:bookmarkStart w:id="458" w:name="_Toc28375"/>
      <w:r>
        <w:rPr>
          <w:rFonts w:hint="eastAsia" w:ascii="仿宋" w:hAnsi="仿宋" w:eastAsia="仿宋"/>
          <w:b/>
          <w:bCs/>
          <w:sz w:val="24"/>
        </w:rPr>
        <w:t>1.9</w:t>
      </w:r>
      <w:r>
        <w:rPr>
          <w:rFonts w:ascii="仿宋" w:hAnsi="仿宋" w:eastAsia="仿宋"/>
          <w:b/>
          <w:bCs/>
          <w:sz w:val="24"/>
        </w:rPr>
        <w:t xml:space="preserve"> </w:t>
      </w:r>
      <w:r>
        <w:rPr>
          <w:rFonts w:hint="eastAsia" w:ascii="仿宋" w:hAnsi="仿宋" w:eastAsia="仿宋"/>
          <w:b/>
          <w:bCs/>
          <w:sz w:val="24"/>
        </w:rPr>
        <w:t>合同争议的解决</w:t>
      </w:r>
      <w:bookmarkEnd w:id="456"/>
      <w:bookmarkEnd w:id="457"/>
      <w:bookmarkEnd w:id="458"/>
    </w:p>
    <w:p>
      <w:pPr>
        <w:spacing w:before="156" w:beforeLines="50" w:line="320" w:lineRule="exact"/>
        <w:ind w:left="-61" w:leftChars="-29" w:right="-420" w:rightChars="-200" w:firstLine="480" w:firstLineChars="200"/>
        <w:rPr>
          <w:rFonts w:ascii="仿宋" w:hAnsi="仿宋" w:eastAsia="仿宋" w:cs="宋体"/>
          <w:sz w:val="24"/>
        </w:rPr>
      </w:pPr>
      <w:r>
        <w:rPr>
          <w:rFonts w:hint="eastAsia" w:ascii="仿宋" w:hAnsi="仿宋" w:eastAsia="仿宋" w:cs="宋体"/>
          <w:sz w:val="24"/>
        </w:rPr>
        <w:t>本合同履行过程中发生的任何争议，双方当事人均可通过和解或者调解解决；不愿和解、调解或者和解、调解不成的，可以选择以下第</w:t>
      </w:r>
      <w:r>
        <w:rPr>
          <w:rFonts w:hint="eastAsia" w:ascii="仿宋" w:hAnsi="仿宋" w:eastAsia="仿宋" w:cs="宋体"/>
          <w:b/>
          <w:i/>
          <w:sz w:val="24"/>
          <w:u w:val="single"/>
        </w:rPr>
        <w:t xml:space="preserve"> </w:t>
      </w:r>
      <w:r>
        <w:rPr>
          <w:rFonts w:ascii="仿宋" w:hAnsi="仿宋" w:eastAsia="仿宋" w:cs="宋体"/>
          <w:b/>
          <w:i/>
          <w:sz w:val="24"/>
          <w:u w:val="single"/>
        </w:rPr>
        <w:t>1.9.2</w:t>
      </w:r>
      <w:r>
        <w:rPr>
          <w:rFonts w:hint="eastAsia" w:ascii="仿宋" w:hAnsi="仿宋" w:eastAsia="仿宋" w:cs="宋体"/>
          <w:b/>
          <w:i/>
          <w:sz w:val="24"/>
          <w:u w:val="single"/>
        </w:rPr>
        <w:t xml:space="preserve">  </w:t>
      </w:r>
      <w:r>
        <w:rPr>
          <w:rFonts w:hint="eastAsia" w:ascii="仿宋" w:hAnsi="仿宋" w:eastAsia="仿宋" w:cs="宋体"/>
          <w:sz w:val="24"/>
        </w:rPr>
        <w:t>条款规定的方式解决：</w:t>
      </w:r>
    </w:p>
    <w:p>
      <w:pPr>
        <w:spacing w:before="156" w:beforeLines="50" w:line="320" w:lineRule="exact"/>
        <w:ind w:left="-420" w:leftChars="-200" w:right="-420" w:rightChars="-200" w:firstLine="600" w:firstLineChars="250"/>
        <w:rPr>
          <w:rFonts w:ascii="仿宋" w:hAnsi="仿宋" w:eastAsia="仿宋" w:cs="宋体"/>
          <w:sz w:val="24"/>
        </w:rPr>
      </w:pPr>
      <w:r>
        <w:rPr>
          <w:rFonts w:hint="eastAsia" w:ascii="仿宋" w:hAnsi="仿宋" w:eastAsia="仿宋" w:cs="宋体"/>
          <w:sz w:val="24"/>
        </w:rPr>
        <w:t>1.9.1 将争议提交</w:t>
      </w:r>
      <w:r>
        <w:rPr>
          <w:rFonts w:hint="eastAsia" w:ascii="仿宋" w:hAnsi="仿宋" w:eastAsia="仿宋" w:cs="宋体"/>
          <w:b/>
          <w:i/>
          <w:sz w:val="24"/>
          <w:u w:val="single"/>
        </w:rPr>
        <w:t>合同专用条款</w:t>
      </w:r>
      <w:r>
        <w:rPr>
          <w:rFonts w:hint="eastAsia" w:ascii="仿宋" w:hAnsi="仿宋" w:eastAsia="仿宋" w:cs="宋体"/>
          <w:sz w:val="24"/>
        </w:rPr>
        <w:t>仲裁委员会依申请仲裁时其现行有效的仲裁规则裁决；</w:t>
      </w:r>
    </w:p>
    <w:p>
      <w:pPr>
        <w:spacing w:before="156" w:beforeLines="50" w:line="320" w:lineRule="exact"/>
        <w:ind w:left="-420" w:leftChars="-200" w:right="-420" w:rightChars="-200" w:firstLine="600" w:firstLineChars="250"/>
        <w:rPr>
          <w:rFonts w:ascii="仿宋" w:hAnsi="仿宋" w:eastAsia="仿宋" w:cs="宋体"/>
          <w:sz w:val="24"/>
        </w:rPr>
      </w:pPr>
      <w:bookmarkStart w:id="459" w:name="_Hlk160524704"/>
      <w:r>
        <w:rPr>
          <w:rFonts w:hint="eastAsia" w:ascii="仿宋" w:hAnsi="仿宋" w:eastAsia="仿宋" w:cs="宋体"/>
          <w:sz w:val="24"/>
        </w:rPr>
        <w:t>1.9.2</w:t>
      </w:r>
      <w:bookmarkEnd w:id="459"/>
      <w:r>
        <w:rPr>
          <w:rFonts w:hint="eastAsia" w:ascii="仿宋" w:hAnsi="仿宋" w:eastAsia="仿宋" w:cs="宋体"/>
          <w:sz w:val="24"/>
        </w:rPr>
        <w:t xml:space="preserve"> 向</w:t>
      </w:r>
      <w:r>
        <w:rPr>
          <w:rFonts w:hint="eastAsia" w:ascii="仿宋" w:hAnsi="仿宋" w:eastAsia="仿宋" w:cs="宋体"/>
          <w:b/>
          <w:i/>
          <w:sz w:val="24"/>
          <w:u w:val="single"/>
        </w:rPr>
        <w:t>合同专用条款</w:t>
      </w:r>
      <w:r>
        <w:rPr>
          <w:rFonts w:hint="eastAsia" w:ascii="仿宋" w:hAnsi="仿宋" w:eastAsia="仿宋" w:cs="宋体"/>
          <w:sz w:val="24"/>
        </w:rPr>
        <w:t>人民法院起诉。</w:t>
      </w:r>
    </w:p>
    <w:p>
      <w:pPr>
        <w:spacing w:before="156" w:beforeLines="50" w:line="320" w:lineRule="exact"/>
        <w:ind w:firstLine="482" w:firstLineChars="200"/>
        <w:rPr>
          <w:rFonts w:ascii="仿宋" w:hAnsi="仿宋" w:eastAsia="仿宋"/>
          <w:b/>
          <w:bCs/>
          <w:sz w:val="24"/>
        </w:rPr>
      </w:pPr>
      <w:bookmarkStart w:id="460" w:name="_Toc11173"/>
      <w:bookmarkStart w:id="461" w:name="_Toc7245"/>
      <w:bookmarkStart w:id="462" w:name="_Toc15322"/>
      <w:r>
        <w:rPr>
          <w:rFonts w:hint="eastAsia" w:ascii="仿宋" w:hAnsi="仿宋" w:eastAsia="仿宋"/>
          <w:b/>
          <w:bCs/>
          <w:sz w:val="24"/>
        </w:rPr>
        <w:t>2.0 合同生效</w:t>
      </w:r>
      <w:bookmarkEnd w:id="460"/>
      <w:bookmarkEnd w:id="461"/>
      <w:bookmarkEnd w:id="462"/>
    </w:p>
    <w:p>
      <w:pPr>
        <w:spacing w:before="156" w:beforeLines="50" w:line="320" w:lineRule="exact"/>
        <w:ind w:firstLine="480" w:firstLineChars="200"/>
        <w:rPr>
          <w:rFonts w:ascii="仿宋" w:hAnsi="仿宋" w:eastAsia="仿宋" w:cs="宋体"/>
          <w:b/>
          <w:sz w:val="24"/>
        </w:rPr>
      </w:pPr>
      <w:r>
        <w:rPr>
          <w:rFonts w:hint="eastAsia" w:ascii="仿宋" w:hAnsi="仿宋" w:eastAsia="仿宋" w:cs="宋体"/>
          <w:sz w:val="24"/>
        </w:rPr>
        <w:t>本合同自双方当事人盖章时生效。</w:t>
      </w:r>
    </w:p>
    <w:p>
      <w:pPr>
        <w:autoSpaceDE w:val="0"/>
        <w:autoSpaceDN w:val="0"/>
        <w:spacing w:before="156" w:beforeLines="50" w:line="320" w:lineRule="exact"/>
        <w:rPr>
          <w:rFonts w:ascii="仿宋" w:hAnsi="仿宋" w:eastAsia="仿宋"/>
          <w:sz w:val="24"/>
          <w:lang w:val="zh-CN"/>
        </w:rPr>
      </w:pPr>
    </w:p>
    <w:p>
      <w:pPr>
        <w:tabs>
          <w:tab w:val="left" w:pos="4830"/>
        </w:tabs>
        <w:autoSpaceDE w:val="0"/>
        <w:autoSpaceDN w:val="0"/>
        <w:spacing w:before="156" w:beforeLines="50" w:line="32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b/>
          <w:sz w:val="24"/>
        </w:rPr>
        <w:tab/>
      </w:r>
      <w:r>
        <w:rPr>
          <w:rFonts w:ascii="仿宋" w:hAnsi="仿宋" w:eastAsia="仿宋"/>
          <w:b/>
          <w:sz w:val="24"/>
          <w:lang w:val="zh-CN"/>
        </w:rPr>
        <w:t>乙方</w:t>
      </w:r>
      <w:r>
        <w:rPr>
          <w:rFonts w:hint="eastAsia" w:ascii="仿宋" w:hAnsi="仿宋" w:eastAsia="仿宋"/>
          <w:sz w:val="24"/>
          <w:lang w:val="zh-CN"/>
        </w:rPr>
        <w:t>：</w:t>
      </w:r>
    </w:p>
    <w:p>
      <w:pPr>
        <w:autoSpaceDE w:val="0"/>
        <w:autoSpaceDN w:val="0"/>
        <w:spacing w:before="156" w:beforeLines="50" w:line="320" w:lineRule="exact"/>
        <w:ind w:left="4838" w:hanging="4838" w:hangingChars="2016"/>
        <w:rPr>
          <w:rFonts w:ascii="仿宋" w:hAnsi="仿宋" w:eastAsia="仿宋"/>
          <w:sz w:val="24"/>
        </w:rPr>
      </w:pPr>
      <w:r>
        <w:rPr>
          <w:rFonts w:hint="eastAsia" w:ascii="仿宋" w:hAnsi="仿宋" w:eastAsia="仿宋"/>
          <w:sz w:val="24"/>
        </w:rPr>
        <w:t>杭州市上城区</w:t>
      </w:r>
      <w:r>
        <w:rPr>
          <w:rFonts w:ascii="仿宋" w:hAnsi="仿宋" w:eastAsia="仿宋"/>
          <w:sz w:val="24"/>
        </w:rPr>
        <w:t>文化和广电旅游体育局</w:t>
      </w:r>
    </w:p>
    <w:p>
      <w:pPr>
        <w:autoSpaceDE w:val="0"/>
        <w:autoSpaceDN w:val="0"/>
        <w:spacing w:before="156" w:beforeLines="50" w:line="320" w:lineRule="exact"/>
        <w:ind w:left="4838" w:hanging="4838" w:hangingChars="2016"/>
        <w:rPr>
          <w:rFonts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w:t>
      </w:r>
    </w:p>
    <w:p>
      <w:pPr>
        <w:autoSpaceDE w:val="0"/>
        <w:autoSpaceDN w:val="0"/>
        <w:spacing w:before="156" w:beforeLines="50" w:line="320" w:lineRule="exact"/>
        <w:ind w:left="4838" w:hanging="4838" w:hangingChars="2016"/>
        <w:rPr>
          <w:rFonts w:ascii="仿宋" w:hAnsi="仿宋" w:eastAsia="仿宋"/>
          <w:sz w:val="24"/>
        </w:rPr>
      </w:pPr>
      <w:r>
        <w:rPr>
          <w:rFonts w:hint="eastAsia" w:ascii="仿宋" w:hAnsi="仿宋" w:eastAsia="仿宋"/>
          <w:sz w:val="24"/>
        </w:rPr>
        <w:tab/>
      </w:r>
    </w:p>
    <w:p>
      <w:pPr>
        <w:autoSpaceDE w:val="0"/>
        <w:autoSpaceDN w:val="0"/>
        <w:spacing w:before="156" w:beforeLines="50" w:line="320" w:lineRule="exact"/>
        <w:ind w:left="4836" w:hanging="4836" w:hangingChars="2015"/>
        <w:jc w:val="left"/>
        <w:rPr>
          <w:rFonts w:ascii="仿宋" w:hAnsi="仿宋" w:eastAsia="仿宋"/>
          <w:sz w:val="24"/>
        </w:rPr>
      </w:pPr>
      <w:r>
        <w:rPr>
          <w:rFonts w:hint="eastAsia" w:ascii="仿宋" w:hAnsi="仿宋" w:eastAsia="仿宋"/>
          <w:sz w:val="24"/>
          <w:lang w:val="zh-CN"/>
        </w:rPr>
        <w:t>住所</w:t>
      </w:r>
      <w:r>
        <w:rPr>
          <w:rFonts w:hint="eastAsia" w:ascii="仿宋" w:hAnsi="仿宋" w:eastAsia="仿宋"/>
          <w:sz w:val="24"/>
        </w:rPr>
        <w:t>：</w:t>
      </w:r>
      <w:r>
        <w:rPr>
          <w:rFonts w:hint="eastAsia" w:ascii="仿宋" w:hAnsi="仿宋" w:eastAsia="仿宋"/>
          <w:sz w:val="24"/>
        </w:rPr>
        <w:tab/>
      </w:r>
    </w:p>
    <w:p>
      <w:pPr>
        <w:tabs>
          <w:tab w:val="left" w:pos="4830"/>
        </w:tabs>
        <w:autoSpaceDE w:val="0"/>
        <w:autoSpaceDN w:val="0"/>
        <w:spacing w:before="156" w:beforeLines="50" w:line="320" w:lineRule="exact"/>
        <w:rPr>
          <w:rFonts w:ascii="仿宋" w:hAnsi="仿宋" w:eastAsia="仿宋"/>
          <w:sz w:val="24"/>
        </w:rPr>
      </w:pPr>
      <w:r>
        <w:rPr>
          <w:rFonts w:hint="eastAsia" w:ascii="仿宋" w:hAnsi="仿宋" w:eastAsia="仿宋"/>
          <w:sz w:val="24"/>
          <w:lang w:val="zh-CN"/>
        </w:rPr>
        <w:t>法定代表人或</w:t>
      </w:r>
      <w:r>
        <w:rPr>
          <w:rFonts w:hint="eastAsia" w:ascii="仿宋" w:hAnsi="仿宋" w:eastAsia="仿宋"/>
          <w:sz w:val="24"/>
        </w:rPr>
        <w:tab/>
      </w:r>
      <w:r>
        <w:rPr>
          <w:rFonts w:hint="eastAsia" w:ascii="仿宋" w:hAnsi="仿宋" w:eastAsia="仿宋"/>
          <w:sz w:val="24"/>
          <w:lang w:val="zh-CN"/>
        </w:rPr>
        <w:t>法定代表人或</w:t>
      </w:r>
    </w:p>
    <w:p>
      <w:pPr>
        <w:tabs>
          <w:tab w:val="left" w:pos="4830"/>
        </w:tabs>
        <w:autoSpaceDE w:val="0"/>
        <w:autoSpaceDN w:val="0"/>
        <w:spacing w:before="156" w:beforeLines="50" w:line="320" w:lineRule="exact"/>
        <w:rPr>
          <w:rFonts w:ascii="仿宋" w:hAnsi="仿宋" w:eastAsia="仿宋"/>
          <w:sz w:val="24"/>
          <w:lang w:val="zh-CN"/>
        </w:rPr>
      </w:pPr>
      <w:r>
        <w:rPr>
          <w:rFonts w:hint="eastAsia" w:ascii="仿宋" w:hAnsi="仿宋" w:eastAsia="仿宋"/>
          <w:sz w:val="24"/>
          <w:lang w:val="zh-CN"/>
        </w:rPr>
        <w:t>授权代表（签字）：</w:t>
      </w:r>
      <w:r>
        <w:rPr>
          <w:rFonts w:hint="eastAsia" w:ascii="仿宋" w:hAnsi="仿宋" w:eastAsia="仿宋"/>
          <w:sz w:val="24"/>
        </w:rPr>
        <w:tab/>
      </w:r>
      <w:r>
        <w:rPr>
          <w:rFonts w:ascii="仿宋" w:hAnsi="仿宋" w:eastAsia="仿宋"/>
          <w:sz w:val="24"/>
          <w:lang w:val="zh-CN"/>
        </w:rPr>
        <w:t>授权代表（签字）:</w:t>
      </w:r>
    </w:p>
    <w:p>
      <w:pPr>
        <w:tabs>
          <w:tab w:val="left" w:pos="4830"/>
        </w:tabs>
        <w:autoSpaceDE w:val="0"/>
        <w:autoSpaceDN w:val="0"/>
        <w:spacing w:before="156" w:beforeLines="50" w:line="320" w:lineRule="exact"/>
        <w:rPr>
          <w:rFonts w:ascii="仿宋" w:hAnsi="仿宋" w:eastAsia="仿宋"/>
          <w:sz w:val="24"/>
        </w:rPr>
      </w:pPr>
      <w:r>
        <w:rPr>
          <w:rFonts w:hint="eastAsia" w:ascii="仿宋" w:hAnsi="仿宋" w:eastAsia="仿宋"/>
          <w:sz w:val="24"/>
          <w:lang w:val="zh-CN"/>
        </w:rPr>
        <w:t>联系人：</w:t>
      </w:r>
      <w:r>
        <w:rPr>
          <w:rFonts w:hint="eastAsia" w:ascii="仿宋" w:hAnsi="仿宋" w:eastAsia="仿宋"/>
          <w:sz w:val="24"/>
        </w:rPr>
        <w:tab/>
      </w:r>
      <w:r>
        <w:rPr>
          <w:rFonts w:hint="eastAsia" w:ascii="仿宋" w:hAnsi="仿宋" w:eastAsia="仿宋"/>
          <w:sz w:val="24"/>
          <w:lang w:val="zh-CN"/>
        </w:rPr>
        <w:t>联系人：</w:t>
      </w:r>
    </w:p>
    <w:p>
      <w:pPr>
        <w:tabs>
          <w:tab w:val="left" w:pos="4830"/>
        </w:tabs>
        <w:autoSpaceDE w:val="0"/>
        <w:autoSpaceDN w:val="0"/>
        <w:spacing w:before="156" w:beforeLines="50" w:line="320" w:lineRule="exact"/>
        <w:rPr>
          <w:rFonts w:ascii="仿宋" w:hAnsi="仿宋" w:eastAsia="仿宋"/>
          <w:sz w:val="24"/>
        </w:rPr>
      </w:pPr>
      <w:r>
        <w:rPr>
          <w:rFonts w:hint="eastAsia" w:ascii="仿宋" w:hAnsi="仿宋" w:eastAsia="仿宋"/>
          <w:sz w:val="24"/>
          <w:lang w:val="zh-CN"/>
        </w:rPr>
        <w:t>邮政编码：</w:t>
      </w:r>
      <w:r>
        <w:rPr>
          <w:rFonts w:hint="eastAsia" w:ascii="仿宋" w:hAnsi="仿宋" w:eastAsia="仿宋"/>
          <w:sz w:val="24"/>
        </w:rPr>
        <w:t>/</w:t>
      </w:r>
      <w:r>
        <w:rPr>
          <w:rFonts w:hint="eastAsia" w:ascii="仿宋" w:hAnsi="仿宋" w:eastAsia="仿宋"/>
          <w:sz w:val="24"/>
        </w:rPr>
        <w:tab/>
      </w:r>
      <w:r>
        <w:rPr>
          <w:rFonts w:hint="eastAsia" w:ascii="仿宋" w:hAnsi="仿宋" w:eastAsia="仿宋"/>
          <w:sz w:val="24"/>
          <w:lang w:val="zh-CN"/>
        </w:rPr>
        <w:t>邮政编码：</w:t>
      </w:r>
      <w:r>
        <w:rPr>
          <w:rFonts w:hint="eastAsia" w:ascii="仿宋" w:hAnsi="仿宋" w:eastAsia="仿宋"/>
          <w:sz w:val="24"/>
        </w:rPr>
        <w:t>/</w:t>
      </w:r>
    </w:p>
    <w:p>
      <w:pPr>
        <w:tabs>
          <w:tab w:val="left" w:pos="4830"/>
          <w:tab w:val="left" w:pos="5040"/>
        </w:tabs>
        <w:autoSpaceDE w:val="0"/>
        <w:autoSpaceDN w:val="0"/>
        <w:spacing w:before="156" w:beforeLines="50" w:line="320" w:lineRule="exact"/>
        <w:rPr>
          <w:rFonts w:ascii="仿宋" w:hAnsi="仿宋" w:eastAsia="仿宋"/>
          <w:sz w:val="24"/>
        </w:rPr>
      </w:pPr>
      <w:r>
        <w:rPr>
          <w:rFonts w:hint="eastAsia" w:ascii="仿宋" w:hAnsi="仿宋" w:eastAsia="仿宋"/>
          <w:sz w:val="24"/>
          <w:lang w:val="zh-CN"/>
        </w:rPr>
        <w:t>电话</w:t>
      </w:r>
      <w:r>
        <w:rPr>
          <w:rFonts w:ascii="仿宋" w:hAnsi="仿宋" w:eastAsia="仿宋"/>
          <w:sz w:val="24"/>
          <w:lang w:val="zh-CN"/>
        </w:rPr>
        <w:t>:</w:t>
      </w:r>
      <w:r>
        <w:rPr>
          <w:rFonts w:hint="eastAsia" w:ascii="仿宋" w:hAnsi="仿宋" w:eastAsia="仿宋"/>
          <w:sz w:val="24"/>
        </w:rPr>
        <w:t>/</w:t>
      </w:r>
      <w:r>
        <w:rPr>
          <w:rFonts w:hint="eastAsia" w:ascii="仿宋" w:hAnsi="仿宋" w:eastAsia="仿宋"/>
          <w:sz w:val="24"/>
        </w:rPr>
        <w:tab/>
      </w:r>
      <w:r>
        <w:rPr>
          <w:rFonts w:ascii="仿宋" w:hAnsi="仿宋" w:eastAsia="仿宋"/>
          <w:sz w:val="24"/>
          <w:lang w:val="zh-CN"/>
        </w:rPr>
        <w:t>电话:</w:t>
      </w:r>
    </w:p>
    <w:p>
      <w:pPr>
        <w:tabs>
          <w:tab w:val="left" w:pos="4830"/>
        </w:tabs>
        <w:autoSpaceDE w:val="0"/>
        <w:autoSpaceDN w:val="0"/>
        <w:spacing w:before="156" w:beforeLines="50" w:line="320" w:lineRule="exact"/>
        <w:rPr>
          <w:rFonts w:ascii="仿宋" w:hAnsi="仿宋" w:eastAsia="仿宋"/>
          <w:sz w:val="24"/>
        </w:rPr>
      </w:pPr>
      <w:r>
        <w:rPr>
          <w:rFonts w:hint="eastAsia" w:ascii="仿宋" w:hAnsi="仿宋" w:eastAsia="仿宋"/>
          <w:sz w:val="24"/>
          <w:lang w:val="zh-CN"/>
        </w:rPr>
        <w:t>传真</w:t>
      </w:r>
      <w:r>
        <w:rPr>
          <w:rFonts w:ascii="仿宋" w:hAnsi="仿宋" w:eastAsia="仿宋"/>
          <w:sz w:val="24"/>
          <w:lang w:val="zh-CN"/>
        </w:rPr>
        <w:t>:</w:t>
      </w:r>
      <w:r>
        <w:rPr>
          <w:rFonts w:hint="eastAsia" w:ascii="仿宋" w:hAnsi="仿宋" w:eastAsia="仿宋"/>
          <w:sz w:val="24"/>
        </w:rPr>
        <w:t>/</w:t>
      </w:r>
      <w:r>
        <w:rPr>
          <w:rFonts w:hint="eastAsia" w:ascii="仿宋" w:hAnsi="仿宋" w:eastAsia="仿宋"/>
          <w:sz w:val="24"/>
        </w:rPr>
        <w:tab/>
      </w:r>
      <w:r>
        <w:rPr>
          <w:rFonts w:hint="eastAsia" w:ascii="仿宋" w:hAnsi="仿宋" w:eastAsia="仿宋"/>
          <w:sz w:val="24"/>
          <w:lang w:val="zh-CN"/>
        </w:rPr>
        <w:t>传真</w:t>
      </w:r>
      <w:r>
        <w:rPr>
          <w:rFonts w:ascii="仿宋" w:hAnsi="仿宋" w:eastAsia="仿宋"/>
          <w:sz w:val="24"/>
          <w:lang w:val="zh-CN"/>
        </w:rPr>
        <w:t>:</w:t>
      </w:r>
      <w:r>
        <w:rPr>
          <w:rFonts w:hint="eastAsia" w:ascii="仿宋" w:hAnsi="仿宋" w:eastAsia="仿宋"/>
          <w:sz w:val="24"/>
        </w:rPr>
        <w:t>/</w:t>
      </w:r>
    </w:p>
    <w:p>
      <w:pPr>
        <w:tabs>
          <w:tab w:val="left" w:pos="4830"/>
        </w:tabs>
        <w:autoSpaceDE w:val="0"/>
        <w:autoSpaceDN w:val="0"/>
        <w:spacing w:before="156" w:beforeLines="50" w:line="320" w:lineRule="exact"/>
        <w:rPr>
          <w:rFonts w:ascii="仿宋" w:hAnsi="仿宋" w:eastAsia="仿宋"/>
          <w:sz w:val="24"/>
        </w:rPr>
      </w:pPr>
      <w:r>
        <w:rPr>
          <w:rFonts w:hint="eastAsia" w:ascii="仿宋" w:hAnsi="仿宋" w:eastAsia="仿宋"/>
          <w:sz w:val="24"/>
          <w:lang w:val="zh-CN"/>
        </w:rPr>
        <w:t>电子邮箱：</w:t>
      </w:r>
      <w:r>
        <w:rPr>
          <w:rFonts w:hint="eastAsia" w:ascii="仿宋" w:hAnsi="仿宋" w:eastAsia="仿宋"/>
          <w:sz w:val="24"/>
        </w:rPr>
        <w:t>/</w:t>
      </w:r>
      <w:r>
        <w:rPr>
          <w:rFonts w:hint="eastAsia" w:ascii="仿宋" w:hAnsi="仿宋" w:eastAsia="仿宋"/>
          <w:sz w:val="24"/>
        </w:rPr>
        <w:tab/>
      </w:r>
      <w:r>
        <w:rPr>
          <w:rFonts w:hint="eastAsia" w:ascii="仿宋" w:hAnsi="仿宋" w:eastAsia="仿宋"/>
          <w:sz w:val="24"/>
          <w:lang w:val="zh-CN"/>
        </w:rPr>
        <w:t>电子邮箱：</w:t>
      </w:r>
      <w:r>
        <w:rPr>
          <w:rFonts w:hint="eastAsia" w:ascii="仿宋" w:hAnsi="仿宋" w:eastAsia="仿宋"/>
          <w:sz w:val="24"/>
        </w:rPr>
        <w:t>/</w:t>
      </w:r>
    </w:p>
    <w:p>
      <w:pPr>
        <w:tabs>
          <w:tab w:val="left" w:pos="4830"/>
        </w:tabs>
        <w:autoSpaceDE w:val="0"/>
        <w:autoSpaceDN w:val="0"/>
        <w:spacing w:before="156" w:beforeLines="50" w:line="32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w:t>
      </w:r>
      <w:r>
        <w:rPr>
          <w:rFonts w:hint="eastAsia" w:ascii="仿宋" w:hAnsi="仿宋" w:eastAsia="仿宋"/>
          <w:sz w:val="24"/>
        </w:rPr>
        <w:tab/>
      </w:r>
      <w:r>
        <w:rPr>
          <w:rFonts w:ascii="仿宋" w:hAnsi="仿宋" w:eastAsia="仿宋"/>
          <w:sz w:val="24"/>
        </w:rPr>
        <w:t>开户银行：</w:t>
      </w:r>
    </w:p>
    <w:p>
      <w:pPr>
        <w:tabs>
          <w:tab w:val="left" w:pos="4830"/>
        </w:tabs>
        <w:autoSpaceDE w:val="0"/>
        <w:autoSpaceDN w:val="0"/>
        <w:spacing w:before="156" w:beforeLines="50" w:line="320" w:lineRule="exact"/>
        <w:ind w:right="-92" w:rightChars="-44"/>
        <w:rPr>
          <w:rFonts w:ascii="仿宋" w:hAnsi="仿宋" w:eastAsia="仿宋" w:cs="宋体"/>
          <w:sz w:val="24"/>
        </w:rPr>
      </w:pPr>
      <w:r>
        <w:rPr>
          <w:rFonts w:hint="eastAsia" w:ascii="仿宋" w:hAnsi="仿宋" w:eastAsia="仿宋"/>
          <w:sz w:val="24"/>
        </w:rPr>
        <w:t>开户名称：</w:t>
      </w:r>
      <w:r>
        <w:rPr>
          <w:rFonts w:hint="eastAsia" w:ascii="仿宋" w:hAnsi="仿宋" w:eastAsia="仿宋"/>
          <w:sz w:val="24"/>
        </w:rPr>
        <w:tab/>
      </w:r>
      <w:r>
        <w:rPr>
          <w:rFonts w:ascii="仿宋" w:hAnsi="仿宋" w:eastAsia="仿宋"/>
          <w:sz w:val="24"/>
        </w:rPr>
        <w:t>开户名称：</w:t>
      </w:r>
    </w:p>
    <w:p>
      <w:pPr>
        <w:tabs>
          <w:tab w:val="left" w:pos="4830"/>
        </w:tabs>
        <w:autoSpaceDE w:val="0"/>
        <w:autoSpaceDN w:val="0"/>
        <w:spacing w:before="156" w:beforeLines="50" w:line="320" w:lineRule="exact"/>
        <w:rPr>
          <w:rFonts w:ascii="仿宋" w:hAnsi="仿宋" w:eastAsia="仿宋"/>
          <w:b/>
          <w:sz w:val="24"/>
        </w:rPr>
      </w:pPr>
      <w:r>
        <w:rPr>
          <w:rFonts w:hint="eastAsia" w:ascii="仿宋" w:hAnsi="仿宋" w:eastAsia="仿宋"/>
          <w:sz w:val="24"/>
        </w:rPr>
        <w:t>开户账号：</w:t>
      </w:r>
      <w:r>
        <w:rPr>
          <w:rFonts w:hint="eastAsia" w:ascii="仿宋" w:hAnsi="仿宋" w:eastAsia="仿宋"/>
          <w:sz w:val="24"/>
        </w:rPr>
        <w:tab/>
      </w:r>
      <w:r>
        <w:rPr>
          <w:rFonts w:hint="eastAsia" w:ascii="仿宋" w:hAnsi="仿宋" w:eastAsia="仿宋"/>
          <w:sz w:val="24"/>
        </w:rPr>
        <w:t>开户账号：</w:t>
      </w:r>
    </w:p>
    <w:p>
      <w:pPr>
        <w:widowControl/>
        <w:adjustRightInd/>
        <w:jc w:val="left"/>
        <w:rPr>
          <w:rFonts w:ascii="仿宋" w:hAnsi="仿宋" w:eastAsia="仿宋"/>
          <w:b/>
          <w:sz w:val="24"/>
        </w:rPr>
      </w:pPr>
      <w:r>
        <w:rPr>
          <w:rFonts w:ascii="仿宋" w:hAnsi="仿宋" w:eastAsia="仿宋"/>
          <w:b/>
        </w:rPr>
        <w:br w:type="page"/>
      </w:r>
    </w:p>
    <w:p>
      <w:pPr>
        <w:snapToGrid w:val="0"/>
        <w:spacing w:before="156" w:beforeLines="50"/>
        <w:jc w:val="center"/>
        <w:outlineLvl w:val="1"/>
        <w:rPr>
          <w:rFonts w:ascii="仿宋" w:hAnsi="仿宋" w:eastAsia="仿宋" w:cs="宋体"/>
          <w:b/>
          <w:sz w:val="36"/>
          <w:szCs w:val="36"/>
        </w:rPr>
      </w:pPr>
      <w:r>
        <w:rPr>
          <w:rFonts w:hint="eastAsia" w:ascii="仿宋" w:hAnsi="仿宋" w:eastAsia="仿宋" w:cs="宋体"/>
          <w:b/>
          <w:sz w:val="36"/>
          <w:szCs w:val="36"/>
        </w:rPr>
        <w:t>第二部分</w:t>
      </w:r>
      <w:r>
        <w:rPr>
          <w:rFonts w:ascii="仿宋" w:hAnsi="仿宋" w:eastAsia="仿宋" w:cs="宋体"/>
          <w:b/>
          <w:sz w:val="36"/>
          <w:szCs w:val="36"/>
        </w:rPr>
        <w:t xml:space="preserve"> </w:t>
      </w:r>
      <w:r>
        <w:rPr>
          <w:rFonts w:hint="eastAsia" w:ascii="仿宋" w:hAnsi="仿宋" w:eastAsia="仿宋" w:cs="宋体"/>
          <w:b/>
          <w:sz w:val="36"/>
          <w:szCs w:val="36"/>
        </w:rPr>
        <w:t>合同一般条款</w:t>
      </w:r>
    </w:p>
    <w:p>
      <w:pPr>
        <w:spacing w:before="156" w:beforeLines="50" w:line="320" w:lineRule="exact"/>
        <w:ind w:firstLine="482" w:firstLineChars="200"/>
        <w:rPr>
          <w:rFonts w:ascii="仿宋" w:hAnsi="仿宋" w:eastAsia="仿宋"/>
          <w:b/>
          <w:bCs/>
          <w:sz w:val="24"/>
        </w:rPr>
      </w:pPr>
      <w:bookmarkStart w:id="463" w:name="_Toc14021"/>
      <w:bookmarkStart w:id="464" w:name="_Toc5228"/>
      <w:bookmarkStart w:id="465" w:name="_Toc19680"/>
      <w:bookmarkStart w:id="466" w:name="_Toc25079"/>
      <w:bookmarkStart w:id="467" w:name="_Toc31297"/>
      <w:r>
        <w:rPr>
          <w:rFonts w:ascii="仿宋" w:hAnsi="仿宋" w:eastAsia="仿宋"/>
          <w:b/>
          <w:bCs/>
          <w:sz w:val="24"/>
        </w:rPr>
        <w:t>2.1 定义</w:t>
      </w:r>
      <w:bookmarkEnd w:id="463"/>
      <w:bookmarkEnd w:id="464"/>
      <w:bookmarkEnd w:id="465"/>
      <w:bookmarkEnd w:id="466"/>
      <w:bookmarkEnd w:id="467"/>
    </w:p>
    <w:p>
      <w:pPr>
        <w:spacing w:before="156" w:beforeLines="50" w:line="32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before="156" w:beforeLines="50" w:line="320" w:lineRule="exact"/>
        <w:ind w:firstLine="480" w:firstLineChars="200"/>
        <w:rPr>
          <w:rFonts w:ascii="仿宋" w:hAnsi="仿宋" w:eastAsia="仿宋"/>
          <w:sz w:val="24"/>
        </w:rPr>
      </w:pPr>
      <w:r>
        <w:rPr>
          <w:rFonts w:hint="eastAsia" w:ascii="仿宋" w:hAnsi="仿宋" w:eastAsia="仿宋"/>
          <w:sz w:val="24"/>
        </w:rPr>
        <w:t>2.1.1 “合同”系指采购人和中标供应商签订的载明双方当事人所达成的协议，并包括所有的附件、附录和构成合同的其他文件。</w:t>
      </w:r>
    </w:p>
    <w:p>
      <w:pPr>
        <w:spacing w:before="156" w:beforeLines="50" w:line="320" w:lineRule="exact"/>
        <w:ind w:firstLine="480" w:firstLineChars="200"/>
        <w:rPr>
          <w:rFonts w:ascii="仿宋" w:hAnsi="仿宋" w:eastAsia="仿宋"/>
          <w:sz w:val="24"/>
        </w:rPr>
      </w:pPr>
      <w:r>
        <w:rPr>
          <w:rFonts w:hint="eastAsia" w:ascii="仿宋" w:hAnsi="仿宋" w:eastAsia="仿宋"/>
          <w:sz w:val="24"/>
        </w:rPr>
        <w:t>2.1.2 “合同价”系指根据合同约定，中标供应商在完全履行合同义务后，采购人应支付给中标供应商的价格。</w:t>
      </w:r>
    </w:p>
    <w:p>
      <w:pPr>
        <w:spacing w:before="156" w:beforeLines="50" w:line="320" w:lineRule="exact"/>
        <w:ind w:firstLine="480" w:firstLineChars="200"/>
        <w:rPr>
          <w:rFonts w:ascii="仿宋" w:hAnsi="仿宋" w:eastAsia="仿宋"/>
          <w:sz w:val="24"/>
        </w:rPr>
      </w:pPr>
      <w:r>
        <w:rPr>
          <w:rFonts w:hint="eastAsia" w:ascii="仿宋" w:hAnsi="仿宋" w:eastAsia="仿宋"/>
          <w:sz w:val="24"/>
        </w:rPr>
        <w:t>2.1.3 “货物”系指中标供应商根据合同约定应向采购人交付的一切各种形态和种类的物品，包括原材料、燃料、设备、机械、仪表、备件、计算机软件、产品等，并包括工具、手册等其他相关资料。</w:t>
      </w:r>
    </w:p>
    <w:p>
      <w:pPr>
        <w:spacing w:before="156" w:beforeLines="50" w:line="320" w:lineRule="exact"/>
        <w:ind w:firstLine="480" w:firstLineChars="200"/>
        <w:rPr>
          <w:rFonts w:ascii="仿宋" w:hAnsi="仿宋" w:eastAsia="仿宋"/>
          <w:sz w:val="24"/>
        </w:rPr>
      </w:pPr>
      <w:r>
        <w:rPr>
          <w:rFonts w:hint="eastAsia" w:ascii="仿宋" w:hAnsi="仿宋" w:eastAsia="仿宋"/>
          <w:sz w:val="24"/>
        </w:rPr>
        <w:t>2.1.4 “甲方”系指与中标供应商签署合同的采购人；采购人委托采购代理机构代表其与乙方签订合同的，采购人的授权委托书作为合同附件。</w:t>
      </w:r>
    </w:p>
    <w:p>
      <w:pPr>
        <w:spacing w:before="156" w:beforeLines="50" w:line="320" w:lineRule="exact"/>
        <w:ind w:firstLine="480" w:firstLineChars="200"/>
        <w:rPr>
          <w:rFonts w:ascii="仿宋" w:hAnsi="仿宋" w:eastAsia="仿宋"/>
          <w:sz w:val="24"/>
        </w:rPr>
      </w:pPr>
      <w:r>
        <w:rPr>
          <w:rFonts w:hint="eastAsia" w:ascii="仿宋" w:hAnsi="仿宋" w:eastAsia="仿宋"/>
          <w:sz w:val="24"/>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before="156" w:beforeLines="50" w:line="320" w:lineRule="exact"/>
        <w:ind w:firstLine="480" w:firstLineChars="200"/>
        <w:rPr>
          <w:rFonts w:ascii="仿宋" w:hAnsi="仿宋" w:eastAsia="仿宋"/>
          <w:sz w:val="24"/>
        </w:rPr>
      </w:pPr>
      <w:r>
        <w:rPr>
          <w:rFonts w:hint="eastAsia" w:ascii="仿宋" w:hAnsi="仿宋" w:eastAsia="仿宋"/>
          <w:sz w:val="24"/>
        </w:rPr>
        <w:t>2.1.6 “现场”系指合同约定货物将要运至或者安装的地点。</w:t>
      </w:r>
    </w:p>
    <w:p>
      <w:pPr>
        <w:spacing w:before="156" w:beforeLines="50" w:line="320" w:lineRule="exact"/>
        <w:ind w:firstLine="482" w:firstLineChars="200"/>
        <w:rPr>
          <w:rFonts w:ascii="仿宋" w:hAnsi="仿宋" w:eastAsia="仿宋"/>
          <w:b/>
          <w:bCs/>
          <w:sz w:val="24"/>
        </w:rPr>
      </w:pPr>
      <w:bookmarkStart w:id="468" w:name="_Toc19539"/>
      <w:bookmarkStart w:id="469" w:name="_Toc23289"/>
      <w:bookmarkStart w:id="470" w:name="_Toc31402"/>
      <w:bookmarkStart w:id="471" w:name="_Toc16752"/>
      <w:bookmarkStart w:id="472" w:name="_Toc3769"/>
      <w:r>
        <w:rPr>
          <w:rFonts w:ascii="仿宋" w:hAnsi="仿宋" w:eastAsia="仿宋"/>
          <w:b/>
          <w:bCs/>
          <w:sz w:val="24"/>
        </w:rPr>
        <w:t>2.2 技术规范</w:t>
      </w:r>
      <w:bookmarkEnd w:id="468"/>
      <w:bookmarkEnd w:id="469"/>
      <w:bookmarkEnd w:id="470"/>
      <w:bookmarkEnd w:id="471"/>
      <w:bookmarkEnd w:id="472"/>
    </w:p>
    <w:p>
      <w:pPr>
        <w:spacing w:before="156" w:beforeLines="50" w:line="320" w:lineRule="exact"/>
        <w:ind w:firstLine="480" w:firstLineChars="200"/>
        <w:rPr>
          <w:rFonts w:ascii="仿宋" w:hAnsi="仿宋" w:eastAsia="仿宋"/>
          <w:sz w:val="24"/>
        </w:rPr>
      </w:pPr>
      <w:bookmarkStart w:id="473" w:name="_Toc9161"/>
      <w:bookmarkStart w:id="474" w:name="_Toc13673"/>
      <w:bookmarkStart w:id="475" w:name="_Toc4133"/>
      <w:bookmarkStart w:id="476" w:name="_Toc27945"/>
      <w:bookmarkStart w:id="477" w:name="_Toc12412"/>
      <w:r>
        <w:rPr>
          <w:rFonts w:hint="eastAsia" w:ascii="仿宋" w:hAnsi="仿宋" w:eastAsia="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before="156" w:beforeLines="50" w:line="320" w:lineRule="exact"/>
        <w:ind w:firstLine="482" w:firstLineChars="200"/>
        <w:rPr>
          <w:rFonts w:ascii="仿宋" w:hAnsi="仿宋" w:eastAsia="仿宋"/>
          <w:b/>
          <w:bCs/>
          <w:sz w:val="24"/>
        </w:rPr>
      </w:pPr>
      <w:r>
        <w:rPr>
          <w:rFonts w:ascii="仿宋" w:hAnsi="仿宋" w:eastAsia="仿宋"/>
          <w:b/>
          <w:bCs/>
          <w:sz w:val="24"/>
        </w:rPr>
        <w:t>2.3 知识产权</w:t>
      </w:r>
      <w:bookmarkEnd w:id="473"/>
      <w:bookmarkEnd w:id="474"/>
      <w:bookmarkEnd w:id="475"/>
      <w:bookmarkEnd w:id="476"/>
      <w:bookmarkEnd w:id="477"/>
    </w:p>
    <w:p>
      <w:pPr>
        <w:spacing w:before="156" w:beforeLines="50" w:line="320" w:lineRule="exact"/>
        <w:ind w:firstLine="480" w:firstLineChars="200"/>
        <w:rPr>
          <w:rFonts w:ascii="仿宋" w:hAnsi="仿宋" w:eastAsia="仿宋"/>
          <w:sz w:val="24"/>
        </w:rPr>
      </w:pPr>
      <w:r>
        <w:rPr>
          <w:rFonts w:hint="eastAsia" w:ascii="仿宋" w:hAnsi="仿宋" w:eastAsia="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before="156" w:beforeLines="50" w:line="320" w:lineRule="exact"/>
        <w:ind w:firstLine="480" w:firstLineChars="200"/>
        <w:rPr>
          <w:rFonts w:ascii="仿宋" w:hAnsi="仿宋" w:eastAsia="仿宋"/>
          <w:sz w:val="24"/>
        </w:rPr>
      </w:pPr>
      <w:r>
        <w:rPr>
          <w:rFonts w:hint="eastAsia" w:ascii="仿宋" w:hAnsi="仿宋" w:eastAsia="仿宋"/>
          <w:sz w:val="24"/>
        </w:rPr>
        <w:t>2.3.2 具有知识产权的计算机软件等货物的知识产权归属，</w:t>
      </w: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pPr>
        <w:spacing w:before="156" w:beforeLines="50" w:line="320" w:lineRule="exact"/>
        <w:ind w:firstLine="482" w:firstLineChars="200"/>
        <w:rPr>
          <w:rFonts w:ascii="仿宋" w:hAnsi="仿宋" w:eastAsia="仿宋"/>
          <w:b/>
          <w:bCs/>
          <w:sz w:val="24"/>
        </w:rPr>
      </w:pPr>
      <w:r>
        <w:rPr>
          <w:rFonts w:ascii="仿宋" w:hAnsi="仿宋" w:eastAsia="仿宋"/>
          <w:b/>
          <w:bCs/>
          <w:sz w:val="24"/>
        </w:rPr>
        <w:t xml:space="preserve">2.4 </w:t>
      </w:r>
      <w:r>
        <w:rPr>
          <w:rFonts w:hint="eastAsia" w:ascii="仿宋" w:hAnsi="仿宋" w:eastAsia="仿宋"/>
          <w:b/>
          <w:bCs/>
          <w:sz w:val="24"/>
        </w:rPr>
        <w:t>包装和装运</w:t>
      </w:r>
    </w:p>
    <w:p>
      <w:pPr>
        <w:spacing w:before="156" w:beforeLines="50" w:line="320" w:lineRule="exact"/>
        <w:ind w:firstLine="480" w:firstLineChars="200"/>
        <w:rPr>
          <w:rFonts w:ascii="仿宋" w:hAnsi="仿宋" w:eastAsia="仿宋"/>
          <w:sz w:val="24"/>
        </w:rPr>
      </w:pPr>
      <w:r>
        <w:rPr>
          <w:rFonts w:hint="eastAsia" w:ascii="仿宋" w:hAnsi="仿宋" w:eastAsia="仿宋"/>
          <w:sz w:val="24"/>
        </w:rPr>
        <w:t>2.4.1 除</w:t>
      </w:r>
      <w:r>
        <w:rPr>
          <w:rFonts w:hint="eastAsia" w:ascii="仿宋" w:hAnsi="仿宋" w:eastAsia="仿宋"/>
          <w:b/>
          <w:i/>
          <w:sz w:val="24"/>
          <w:u w:val="single"/>
        </w:rPr>
        <w:t>合同专用条款</w:t>
      </w:r>
      <w:r>
        <w:rPr>
          <w:rFonts w:hint="eastAsia" w:ascii="仿宋" w:hAnsi="仿宋" w:eastAsia="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before="156" w:beforeLines="50" w:line="320" w:lineRule="exact"/>
        <w:ind w:firstLine="480" w:firstLineChars="200"/>
        <w:rPr>
          <w:rFonts w:ascii="仿宋" w:hAnsi="仿宋" w:eastAsia="仿宋"/>
          <w:sz w:val="24"/>
        </w:rPr>
      </w:pPr>
      <w:r>
        <w:rPr>
          <w:rFonts w:hint="eastAsia" w:ascii="仿宋" w:hAnsi="仿宋" w:eastAsia="仿宋"/>
          <w:sz w:val="24"/>
        </w:rPr>
        <w:t>2.4.2 乙方提供产品及相关快递服务的具体包装要求应符合《商品包装政府采购需求标准（试行）》《快递包装政府采购需求标准（试行）》，并作为履约验收的内容，必要时甲方可以要求乙方在履约验收环节出具检测报告。</w:t>
      </w:r>
    </w:p>
    <w:p>
      <w:pPr>
        <w:spacing w:before="156" w:beforeLines="50" w:line="320" w:lineRule="exact"/>
        <w:ind w:firstLine="480" w:firstLineChars="200"/>
        <w:rPr>
          <w:rFonts w:ascii="仿宋" w:hAnsi="仿宋" w:eastAsia="仿宋"/>
          <w:sz w:val="24"/>
        </w:rPr>
      </w:pPr>
      <w:r>
        <w:rPr>
          <w:rFonts w:hint="eastAsia" w:ascii="仿宋" w:hAnsi="仿宋" w:eastAsia="仿宋"/>
          <w:sz w:val="24"/>
        </w:rPr>
        <w:t>2.4.3 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before="156" w:beforeLines="50" w:line="320" w:lineRule="exact"/>
        <w:ind w:firstLine="482" w:firstLineChars="200"/>
        <w:rPr>
          <w:rFonts w:ascii="仿宋" w:hAnsi="仿宋" w:eastAsia="仿宋"/>
          <w:b/>
          <w:bCs/>
          <w:sz w:val="24"/>
        </w:rPr>
      </w:pPr>
      <w:bookmarkStart w:id="478" w:name="_Toc15447"/>
      <w:bookmarkStart w:id="479" w:name="_Toc26555"/>
      <w:bookmarkStart w:id="480" w:name="_Toc32670"/>
      <w:bookmarkStart w:id="481" w:name="_Toc22011"/>
      <w:bookmarkStart w:id="482" w:name="_Toc31233"/>
      <w:r>
        <w:rPr>
          <w:rFonts w:ascii="仿宋" w:hAnsi="仿宋" w:eastAsia="仿宋"/>
          <w:b/>
          <w:bCs/>
          <w:sz w:val="24"/>
        </w:rPr>
        <w:t xml:space="preserve">2.5 </w:t>
      </w:r>
      <w:bookmarkEnd w:id="478"/>
      <w:bookmarkEnd w:id="479"/>
      <w:bookmarkEnd w:id="480"/>
      <w:bookmarkEnd w:id="481"/>
      <w:bookmarkEnd w:id="482"/>
      <w:r>
        <w:rPr>
          <w:rFonts w:hint="eastAsia" w:ascii="仿宋" w:hAnsi="仿宋" w:eastAsia="仿宋"/>
          <w:b/>
          <w:bCs/>
          <w:sz w:val="24"/>
        </w:rPr>
        <w:t>履约检查和问题反馈</w:t>
      </w:r>
    </w:p>
    <w:p>
      <w:pPr>
        <w:spacing w:before="156" w:beforeLines="50" w:line="320" w:lineRule="exact"/>
        <w:ind w:firstLine="480" w:firstLineChars="200"/>
        <w:rPr>
          <w:rFonts w:ascii="仿宋" w:hAnsi="仿宋" w:eastAsia="仿宋"/>
          <w:sz w:val="24"/>
        </w:rPr>
      </w:pPr>
      <w:r>
        <w:rPr>
          <w:rFonts w:hint="eastAsia" w:ascii="仿宋" w:hAnsi="仿宋" w:eastAsia="仿宋"/>
          <w:sz w:val="24"/>
        </w:rPr>
        <w:t>2.5.1 甲方有权在其认为必要时，对乙方是否能够按照合同约定交付货物进行履约检查，以确保乙方所交付的货物能够依约满足甲方之项目需求，但不得因履约检查妨碍乙方的正常工作，乙方应予积极配合；</w:t>
      </w:r>
    </w:p>
    <w:p>
      <w:pPr>
        <w:spacing w:before="156" w:beforeLines="50" w:line="320" w:lineRule="exact"/>
        <w:ind w:firstLine="480" w:firstLineChars="200"/>
        <w:rPr>
          <w:rFonts w:ascii="仿宋" w:hAnsi="仿宋" w:eastAsia="仿宋"/>
          <w:sz w:val="24"/>
        </w:rPr>
      </w:pPr>
      <w:r>
        <w:rPr>
          <w:rFonts w:hint="eastAsia" w:ascii="仿宋" w:hAnsi="仿宋" w:eastAsia="仿宋"/>
          <w:sz w:val="24"/>
        </w:rPr>
        <w:t>2.5.2 合同履行期间，甲方有权将履行过程中出现的问题反馈给乙方，双方当事人应以书面形式约定需要完善和改进的内容。</w:t>
      </w:r>
    </w:p>
    <w:p>
      <w:pPr>
        <w:spacing w:before="156" w:beforeLines="50" w:line="320" w:lineRule="exact"/>
        <w:ind w:firstLine="482" w:firstLineChars="200"/>
        <w:rPr>
          <w:rFonts w:ascii="仿宋" w:hAnsi="仿宋" w:eastAsia="仿宋"/>
          <w:b/>
          <w:bCs/>
          <w:sz w:val="24"/>
        </w:rPr>
      </w:pPr>
      <w:bookmarkStart w:id="483" w:name="_Toc13467"/>
      <w:bookmarkStart w:id="484" w:name="_Toc13154"/>
      <w:bookmarkStart w:id="485" w:name="_Toc16163"/>
      <w:bookmarkStart w:id="486" w:name="_Toc30507"/>
      <w:bookmarkStart w:id="487" w:name="_Toc18990"/>
      <w:r>
        <w:rPr>
          <w:rFonts w:ascii="仿宋" w:hAnsi="仿宋" w:eastAsia="仿宋"/>
          <w:b/>
          <w:bCs/>
          <w:sz w:val="24"/>
        </w:rPr>
        <w:t>2.6 技术资料和保密义务</w:t>
      </w:r>
      <w:bookmarkEnd w:id="483"/>
      <w:bookmarkEnd w:id="484"/>
      <w:bookmarkEnd w:id="485"/>
      <w:bookmarkEnd w:id="486"/>
      <w:bookmarkEnd w:id="487"/>
    </w:p>
    <w:p>
      <w:pPr>
        <w:spacing w:before="156" w:beforeLines="50" w:line="320" w:lineRule="exact"/>
        <w:ind w:firstLine="480" w:firstLineChars="200"/>
        <w:rPr>
          <w:rFonts w:ascii="仿宋" w:hAnsi="仿宋" w:eastAsia="仿宋"/>
          <w:sz w:val="24"/>
        </w:rPr>
      </w:pPr>
      <w:r>
        <w:rPr>
          <w:rFonts w:hint="eastAsia" w:ascii="仿宋" w:hAnsi="仿宋" w:eastAsia="仿宋"/>
          <w:sz w:val="24"/>
        </w:rPr>
        <w:t>2.6.1 乙方有权依据合同约定和项目需要，向甲方了解有关情况，调阅有关资料等，甲方应予积极配合；</w:t>
      </w:r>
    </w:p>
    <w:p>
      <w:pPr>
        <w:spacing w:before="156" w:beforeLines="50" w:line="320" w:lineRule="exact"/>
        <w:ind w:firstLine="480" w:firstLineChars="200"/>
        <w:rPr>
          <w:rFonts w:ascii="仿宋" w:hAnsi="仿宋" w:eastAsia="仿宋"/>
          <w:sz w:val="24"/>
        </w:rPr>
      </w:pPr>
      <w:r>
        <w:rPr>
          <w:rFonts w:hint="eastAsia" w:ascii="仿宋" w:hAnsi="仿宋" w:eastAsia="仿宋"/>
          <w:sz w:val="24"/>
        </w:rPr>
        <w:t>2.6.2 乙方有义务妥善保管和保护由甲方提供的前款信息和资料等；</w:t>
      </w:r>
    </w:p>
    <w:p>
      <w:pPr>
        <w:spacing w:before="156" w:beforeLines="50" w:line="320" w:lineRule="exact"/>
        <w:ind w:firstLine="480" w:firstLineChars="200"/>
        <w:rPr>
          <w:rFonts w:ascii="仿宋" w:hAnsi="仿宋" w:eastAsia="仿宋"/>
          <w:sz w:val="24"/>
        </w:rPr>
      </w:pPr>
      <w:r>
        <w:rPr>
          <w:rFonts w:hint="eastAsia" w:ascii="仿宋" w:hAnsi="仿宋" w:eastAsia="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before="156" w:beforeLines="50" w:line="320" w:lineRule="exact"/>
        <w:ind w:firstLine="482" w:firstLineChars="200"/>
        <w:rPr>
          <w:rFonts w:ascii="仿宋" w:hAnsi="仿宋" w:eastAsia="仿宋"/>
          <w:b/>
          <w:bCs/>
          <w:sz w:val="24"/>
        </w:rPr>
      </w:pPr>
      <w:bookmarkStart w:id="488" w:name="_Toc19069"/>
      <w:r>
        <w:rPr>
          <w:rFonts w:ascii="仿宋" w:hAnsi="仿宋" w:eastAsia="仿宋"/>
          <w:b/>
          <w:bCs/>
          <w:sz w:val="24"/>
        </w:rPr>
        <w:t xml:space="preserve">2.7 </w:t>
      </w:r>
      <w:r>
        <w:rPr>
          <w:rFonts w:hint="eastAsia" w:ascii="仿宋" w:hAnsi="仿宋" w:eastAsia="仿宋"/>
          <w:b/>
          <w:bCs/>
          <w:sz w:val="24"/>
        </w:rPr>
        <w:t>质量保证</w:t>
      </w:r>
      <w:bookmarkEnd w:id="488"/>
    </w:p>
    <w:p>
      <w:pPr>
        <w:spacing w:before="156" w:beforeLines="50" w:line="320" w:lineRule="exact"/>
        <w:ind w:firstLine="480" w:firstLineChars="200"/>
        <w:rPr>
          <w:rFonts w:ascii="仿宋" w:hAnsi="仿宋" w:eastAsia="仿宋"/>
          <w:sz w:val="24"/>
        </w:rPr>
      </w:pPr>
      <w:r>
        <w:rPr>
          <w:rFonts w:hint="eastAsia" w:ascii="仿宋" w:hAnsi="仿宋" w:eastAsia="仿宋"/>
          <w:sz w:val="24"/>
        </w:rPr>
        <w:t>2.7.1 乙方应建立和完善履行合同的内部质量保证体系，并提供相关内部规章制度给甲方，以便甲方进行监督检查；</w:t>
      </w:r>
    </w:p>
    <w:p>
      <w:pPr>
        <w:spacing w:before="156" w:beforeLines="50" w:line="320" w:lineRule="exact"/>
        <w:ind w:firstLine="480" w:firstLineChars="200"/>
        <w:rPr>
          <w:rFonts w:ascii="仿宋" w:hAnsi="仿宋" w:eastAsia="仿宋"/>
          <w:sz w:val="24"/>
        </w:rPr>
      </w:pPr>
      <w:r>
        <w:rPr>
          <w:rFonts w:hint="eastAsia" w:ascii="仿宋" w:hAnsi="仿宋" w:eastAsia="仿宋"/>
          <w:sz w:val="24"/>
        </w:rPr>
        <w:t>2.7.2 乙方应保证履行合同的人员数量和素质、软件和硬件设备的配置、场地、环境和设施等满足全面履行合同的要求，并应接受甲方的监督检查。</w:t>
      </w:r>
    </w:p>
    <w:p>
      <w:pPr>
        <w:spacing w:before="156" w:beforeLines="50" w:line="320" w:lineRule="exact"/>
        <w:ind w:firstLine="482" w:firstLineChars="200"/>
        <w:rPr>
          <w:rFonts w:ascii="仿宋" w:hAnsi="仿宋" w:eastAsia="仿宋"/>
          <w:b/>
          <w:bCs/>
          <w:sz w:val="24"/>
        </w:rPr>
      </w:pPr>
      <w:bookmarkStart w:id="489" w:name="_Toc22267"/>
      <w:r>
        <w:rPr>
          <w:rFonts w:ascii="仿宋" w:hAnsi="仿宋" w:eastAsia="仿宋"/>
          <w:b/>
          <w:bCs/>
          <w:sz w:val="24"/>
        </w:rPr>
        <w:t xml:space="preserve">2.8 </w:t>
      </w:r>
      <w:bookmarkEnd w:id="489"/>
      <w:r>
        <w:rPr>
          <w:rFonts w:hint="eastAsia" w:ascii="仿宋" w:hAnsi="仿宋" w:eastAsia="仿宋"/>
          <w:b/>
          <w:bCs/>
          <w:sz w:val="24"/>
        </w:rPr>
        <w:t>货物的风险负担</w:t>
      </w:r>
    </w:p>
    <w:p>
      <w:pPr>
        <w:spacing w:before="156" w:beforeLines="50" w:line="320" w:lineRule="exact"/>
        <w:ind w:firstLine="480" w:firstLineChars="200"/>
        <w:rPr>
          <w:rFonts w:ascii="仿宋" w:hAnsi="仿宋" w:eastAsia="仿宋"/>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before="156" w:beforeLines="50" w:line="320" w:lineRule="exact"/>
        <w:ind w:firstLine="482" w:firstLineChars="200"/>
        <w:rPr>
          <w:rFonts w:ascii="仿宋" w:hAnsi="仿宋" w:eastAsia="仿宋"/>
          <w:b/>
          <w:bCs/>
          <w:sz w:val="24"/>
        </w:rPr>
      </w:pPr>
      <w:bookmarkStart w:id="490" w:name="_Toc10611"/>
      <w:r>
        <w:rPr>
          <w:rFonts w:ascii="仿宋" w:hAnsi="仿宋" w:eastAsia="仿宋"/>
          <w:b/>
          <w:bCs/>
          <w:sz w:val="24"/>
        </w:rPr>
        <w:t xml:space="preserve">2.9 </w:t>
      </w:r>
      <w:bookmarkEnd w:id="490"/>
      <w:r>
        <w:rPr>
          <w:rFonts w:hint="eastAsia" w:ascii="仿宋" w:hAnsi="仿宋" w:eastAsia="仿宋"/>
          <w:b/>
          <w:bCs/>
          <w:sz w:val="24"/>
        </w:rPr>
        <w:t>延迟交货</w:t>
      </w:r>
    </w:p>
    <w:p>
      <w:pPr>
        <w:spacing w:before="156" w:beforeLines="50" w:line="320" w:lineRule="exact"/>
        <w:ind w:firstLine="480" w:firstLineChars="200"/>
        <w:rPr>
          <w:rFonts w:ascii="仿宋" w:hAnsi="仿宋" w:eastAsia="仿宋"/>
          <w:sz w:val="24"/>
        </w:rPr>
      </w:pPr>
      <w:r>
        <w:rPr>
          <w:rFonts w:hint="eastAsia" w:ascii="仿宋" w:hAnsi="仿宋" w:eastAsia="仿宋"/>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before="156" w:beforeLines="50" w:line="320" w:lineRule="exact"/>
        <w:ind w:firstLine="482" w:firstLineChars="200"/>
        <w:rPr>
          <w:rFonts w:ascii="仿宋" w:hAnsi="仿宋" w:eastAsia="仿宋"/>
          <w:b/>
          <w:bCs/>
          <w:sz w:val="24"/>
        </w:rPr>
      </w:pPr>
      <w:bookmarkStart w:id="491" w:name="_Toc23368"/>
      <w:bookmarkStart w:id="492" w:name="_Toc42"/>
      <w:bookmarkStart w:id="493" w:name="_Toc21830"/>
      <w:bookmarkStart w:id="494" w:name="_Toc10663"/>
      <w:bookmarkStart w:id="495" w:name="_Toc26689"/>
      <w:r>
        <w:rPr>
          <w:rFonts w:ascii="仿宋" w:hAnsi="仿宋" w:eastAsia="仿宋"/>
          <w:b/>
          <w:bCs/>
          <w:sz w:val="24"/>
        </w:rPr>
        <w:t xml:space="preserve">2.10 </w:t>
      </w:r>
      <w:bookmarkEnd w:id="491"/>
      <w:bookmarkEnd w:id="492"/>
      <w:bookmarkEnd w:id="493"/>
      <w:bookmarkEnd w:id="494"/>
      <w:bookmarkEnd w:id="495"/>
      <w:r>
        <w:rPr>
          <w:rFonts w:hint="eastAsia" w:ascii="仿宋" w:hAnsi="仿宋" w:eastAsia="仿宋"/>
          <w:b/>
          <w:bCs/>
          <w:sz w:val="24"/>
        </w:rPr>
        <w:t>合同变更</w:t>
      </w:r>
    </w:p>
    <w:p>
      <w:pPr>
        <w:spacing w:before="156" w:beforeLines="50" w:line="32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p>
    <w:p>
      <w:pPr>
        <w:spacing w:before="156" w:beforeLines="50" w:line="320" w:lineRule="exact"/>
        <w:ind w:firstLine="482" w:firstLineChars="200"/>
        <w:rPr>
          <w:rFonts w:ascii="仿宋" w:hAnsi="仿宋" w:eastAsia="仿宋"/>
          <w:b/>
          <w:bCs/>
          <w:sz w:val="24"/>
        </w:rPr>
      </w:pPr>
      <w:r>
        <w:rPr>
          <w:rFonts w:hint="eastAsia" w:ascii="仿宋" w:hAnsi="仿宋" w:eastAsia="仿宋"/>
          <w:b/>
          <w:bCs/>
          <w:sz w:val="24"/>
        </w:rPr>
        <w:t>2.11 合同转让和分包</w:t>
      </w:r>
    </w:p>
    <w:p>
      <w:pPr>
        <w:spacing w:before="156" w:beforeLines="50" w:line="320" w:lineRule="exact"/>
        <w:ind w:firstLine="480" w:firstLineChars="200"/>
        <w:rPr>
          <w:rFonts w:ascii="仿宋" w:hAnsi="仿宋" w:eastAsia="仿宋"/>
          <w:sz w:val="24"/>
        </w:rPr>
      </w:pPr>
      <w:r>
        <w:rPr>
          <w:rFonts w:hint="eastAsia" w:ascii="仿宋" w:hAnsi="仿宋" w:eastAsia="仿宋"/>
          <w:sz w:val="24"/>
        </w:rPr>
        <w:t>2.11.1 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before="156" w:beforeLines="50" w:line="320" w:lineRule="exact"/>
        <w:ind w:firstLine="480" w:firstLineChars="200"/>
        <w:rPr>
          <w:rFonts w:ascii="仿宋" w:hAnsi="仿宋" w:eastAsia="仿宋"/>
          <w:sz w:val="24"/>
        </w:rPr>
      </w:pPr>
      <w:r>
        <w:rPr>
          <w:rFonts w:hint="eastAsia" w:ascii="仿宋" w:hAnsi="仿宋" w:eastAsia="仿宋"/>
          <w:sz w:val="24"/>
        </w:rPr>
        <w:t>2.11.2 乙方采取分包方式履行合同的，甲方可直接向分包供应商支付款项。</w:t>
      </w:r>
    </w:p>
    <w:p>
      <w:pPr>
        <w:spacing w:before="156" w:beforeLines="50" w:line="320" w:lineRule="exact"/>
        <w:ind w:firstLine="482" w:firstLineChars="200"/>
        <w:rPr>
          <w:rFonts w:ascii="仿宋" w:hAnsi="仿宋" w:eastAsia="仿宋"/>
          <w:b/>
          <w:bCs/>
          <w:sz w:val="24"/>
        </w:rPr>
      </w:pPr>
      <w:bookmarkStart w:id="496" w:name="_Toc26633"/>
      <w:bookmarkStart w:id="497" w:name="_Toc4720"/>
      <w:bookmarkStart w:id="498" w:name="_Toc25571"/>
      <w:bookmarkStart w:id="499" w:name="_Toc14371"/>
      <w:bookmarkStart w:id="500" w:name="_Toc32494"/>
      <w:r>
        <w:rPr>
          <w:rFonts w:ascii="仿宋" w:hAnsi="仿宋" w:eastAsia="仿宋"/>
          <w:b/>
          <w:bCs/>
          <w:sz w:val="24"/>
        </w:rPr>
        <w:t>2.1</w:t>
      </w:r>
      <w:r>
        <w:rPr>
          <w:rFonts w:hint="eastAsia" w:ascii="仿宋" w:hAnsi="仿宋" w:eastAsia="仿宋"/>
          <w:b/>
          <w:bCs/>
          <w:sz w:val="24"/>
        </w:rPr>
        <w:t>2</w:t>
      </w:r>
      <w:r>
        <w:rPr>
          <w:rFonts w:ascii="仿宋" w:hAnsi="仿宋" w:eastAsia="仿宋"/>
          <w:b/>
          <w:bCs/>
          <w:sz w:val="24"/>
        </w:rPr>
        <w:t xml:space="preserve"> 不可抗力</w:t>
      </w:r>
      <w:bookmarkEnd w:id="496"/>
      <w:bookmarkEnd w:id="497"/>
      <w:bookmarkEnd w:id="498"/>
      <w:bookmarkEnd w:id="499"/>
      <w:bookmarkEnd w:id="500"/>
    </w:p>
    <w:p>
      <w:pPr>
        <w:spacing w:before="156" w:beforeLines="50" w:line="320" w:lineRule="exact"/>
        <w:ind w:firstLine="480" w:firstLineChars="200"/>
        <w:rPr>
          <w:rFonts w:ascii="仿宋" w:hAnsi="仿宋" w:eastAsia="仿宋"/>
          <w:sz w:val="24"/>
        </w:rPr>
      </w:pPr>
      <w:r>
        <w:rPr>
          <w:rFonts w:ascii="仿宋" w:hAnsi="仿宋" w:eastAsia="仿宋"/>
          <w:sz w:val="24"/>
        </w:rPr>
        <w:t>2.1</w:t>
      </w:r>
      <w:r>
        <w:rPr>
          <w:rFonts w:hint="eastAsia" w:ascii="仿宋" w:hAnsi="仿宋" w:eastAsia="仿宋"/>
          <w:sz w:val="24"/>
        </w:rPr>
        <w:t>2</w:t>
      </w:r>
      <w:r>
        <w:rPr>
          <w:rFonts w:ascii="仿宋" w:hAnsi="仿宋" w:eastAsia="仿宋"/>
          <w:sz w:val="24"/>
        </w:rPr>
        <w:t>.1 如果任何一方遭遇法律规定的不可抗力，致使合同履行受阻时，履行合同的期限应予延长，延长的期限应相当于不可抗力所影响的时间</w:t>
      </w:r>
      <w:r>
        <w:rPr>
          <w:rFonts w:hint="eastAsia" w:ascii="仿宋" w:hAnsi="仿宋" w:eastAsia="仿宋"/>
          <w:sz w:val="24"/>
        </w:rPr>
        <w:t>；</w:t>
      </w:r>
    </w:p>
    <w:p>
      <w:pPr>
        <w:spacing w:before="156" w:beforeLines="50" w:line="320" w:lineRule="exact"/>
        <w:ind w:firstLine="480" w:firstLineChars="200"/>
        <w:rPr>
          <w:rFonts w:ascii="仿宋" w:hAnsi="仿宋" w:eastAsia="仿宋"/>
          <w:sz w:val="24"/>
        </w:rPr>
      </w:pPr>
      <w:r>
        <w:rPr>
          <w:rFonts w:ascii="仿宋" w:hAnsi="仿宋" w:eastAsia="仿宋"/>
          <w:sz w:val="24"/>
        </w:rPr>
        <w:t>2.1</w:t>
      </w:r>
      <w:r>
        <w:rPr>
          <w:rFonts w:hint="eastAsia" w:ascii="仿宋" w:hAnsi="仿宋" w:eastAsia="仿宋"/>
          <w:sz w:val="24"/>
        </w:rPr>
        <w:t>2</w:t>
      </w:r>
      <w:r>
        <w:rPr>
          <w:rFonts w:ascii="仿宋" w:hAnsi="仿宋" w:eastAsia="仿宋"/>
          <w:sz w:val="24"/>
        </w:rPr>
        <w:t xml:space="preserve">.2 </w:t>
      </w:r>
      <w:r>
        <w:rPr>
          <w:rFonts w:hint="eastAsia" w:ascii="仿宋" w:hAnsi="仿宋" w:eastAsia="仿宋"/>
          <w:sz w:val="24"/>
        </w:rPr>
        <w:t>因不可抗力致使不能实现合同目的的，当事人可以解除合同；</w:t>
      </w:r>
    </w:p>
    <w:p>
      <w:pPr>
        <w:spacing w:before="156" w:beforeLines="50" w:line="320" w:lineRule="exact"/>
        <w:ind w:firstLine="480" w:firstLineChars="200"/>
        <w:rPr>
          <w:rFonts w:ascii="仿宋" w:hAnsi="仿宋" w:eastAsia="仿宋"/>
          <w:sz w:val="24"/>
        </w:rPr>
      </w:pPr>
      <w:r>
        <w:rPr>
          <w:rFonts w:ascii="仿宋" w:hAnsi="仿宋" w:eastAsia="仿宋"/>
          <w:sz w:val="24"/>
        </w:rPr>
        <w:t>2.1</w:t>
      </w:r>
      <w:r>
        <w:rPr>
          <w:rFonts w:hint="eastAsia" w:ascii="仿宋" w:hAnsi="仿宋" w:eastAsia="仿宋"/>
          <w:sz w:val="24"/>
        </w:rPr>
        <w:t>2</w:t>
      </w:r>
      <w:r>
        <w:rPr>
          <w:rFonts w:ascii="仿宋" w:hAnsi="仿宋" w:eastAsia="仿宋"/>
          <w:sz w:val="24"/>
        </w:rPr>
        <w:t xml:space="preserve">.3 </w:t>
      </w:r>
      <w:r>
        <w:rPr>
          <w:rFonts w:hint="eastAsia" w:ascii="仿宋" w:hAnsi="仿宋" w:eastAsia="仿宋"/>
          <w:sz w:val="24"/>
        </w:rPr>
        <w:t>因</w:t>
      </w:r>
      <w:r>
        <w:rPr>
          <w:rFonts w:ascii="仿宋" w:hAnsi="仿宋" w:eastAsia="仿宋"/>
          <w:sz w:val="24"/>
        </w:rPr>
        <w:t>不可抗力致使合同有变更必要的，双方当事人应在</w:t>
      </w:r>
      <w:r>
        <w:rPr>
          <w:rFonts w:ascii="仿宋" w:hAnsi="仿宋" w:eastAsia="仿宋"/>
          <w:b/>
          <w:i/>
          <w:sz w:val="24"/>
          <w:u w:val="single"/>
        </w:rPr>
        <w:t>合同专用条款</w:t>
      </w:r>
      <w:r>
        <w:rPr>
          <w:rFonts w:ascii="仿宋" w:hAnsi="仿宋" w:eastAsia="仿宋"/>
          <w:sz w:val="24"/>
        </w:rPr>
        <w:t>约定时间内以书面形式变更合同</w:t>
      </w:r>
      <w:r>
        <w:rPr>
          <w:rFonts w:hint="eastAsia" w:ascii="仿宋" w:hAnsi="仿宋" w:eastAsia="仿宋"/>
          <w:sz w:val="24"/>
        </w:rPr>
        <w:t>；</w:t>
      </w:r>
    </w:p>
    <w:p>
      <w:pPr>
        <w:spacing w:before="156" w:beforeLines="50" w:line="320" w:lineRule="exact"/>
        <w:ind w:firstLine="480" w:firstLineChars="200"/>
        <w:rPr>
          <w:rFonts w:ascii="仿宋" w:hAnsi="仿宋" w:eastAsia="仿宋"/>
          <w:sz w:val="24"/>
        </w:rPr>
      </w:pPr>
      <w:r>
        <w:rPr>
          <w:rFonts w:ascii="仿宋" w:hAnsi="仿宋" w:eastAsia="仿宋"/>
          <w:sz w:val="24"/>
        </w:rPr>
        <w:t>2.1</w:t>
      </w:r>
      <w:r>
        <w:rPr>
          <w:rFonts w:hint="eastAsia" w:ascii="仿宋" w:hAnsi="仿宋" w:eastAsia="仿宋"/>
          <w:sz w:val="24"/>
        </w:rPr>
        <w:t>2</w:t>
      </w:r>
      <w:r>
        <w:rPr>
          <w:rFonts w:ascii="仿宋" w:hAnsi="仿宋" w:eastAsia="仿宋"/>
          <w:sz w:val="24"/>
        </w:rPr>
        <w:t>.4 受</w:t>
      </w:r>
      <w:r>
        <w:rPr>
          <w:rFonts w:hint="eastAsia" w:ascii="仿宋" w:hAnsi="仿宋" w:eastAsia="仿宋"/>
          <w:sz w:val="24"/>
        </w:rPr>
        <w:t>不可抗力</w:t>
      </w:r>
      <w:r>
        <w:rPr>
          <w:rFonts w:ascii="仿宋" w:hAnsi="仿宋" w:eastAsia="仿宋"/>
          <w:sz w:val="24"/>
        </w:rPr>
        <w:t>影响的一方在不可抗力发生后</w:t>
      </w:r>
      <w:r>
        <w:rPr>
          <w:rFonts w:hint="eastAsia" w:ascii="仿宋" w:hAnsi="仿宋" w:eastAsia="仿宋"/>
          <w:sz w:val="24"/>
        </w:rPr>
        <w:t>，</w:t>
      </w:r>
      <w:r>
        <w:rPr>
          <w:rFonts w:ascii="仿宋" w:hAnsi="仿宋" w:eastAsia="仿宋"/>
          <w:sz w:val="24"/>
        </w:rPr>
        <w:t>应在</w:t>
      </w:r>
      <w:r>
        <w:rPr>
          <w:rFonts w:ascii="仿宋" w:hAnsi="仿宋" w:eastAsia="仿宋"/>
          <w:b/>
          <w:i/>
          <w:sz w:val="24"/>
          <w:u w:val="single"/>
        </w:rPr>
        <w:t>合同专用条款</w:t>
      </w:r>
      <w:r>
        <w:rPr>
          <w:rFonts w:ascii="仿宋" w:hAnsi="仿宋" w:eastAsia="仿宋"/>
          <w:sz w:val="24"/>
        </w:rPr>
        <w:t>约定时间内以书面形式通知</w:t>
      </w:r>
      <w:r>
        <w:rPr>
          <w:rFonts w:hint="eastAsia" w:ascii="仿宋" w:hAnsi="仿宋" w:eastAsia="仿宋"/>
          <w:sz w:val="24"/>
        </w:rPr>
        <w:t>对</w:t>
      </w:r>
      <w:r>
        <w:rPr>
          <w:rFonts w:ascii="仿宋" w:hAnsi="仿宋" w:eastAsia="仿宋"/>
          <w:sz w:val="24"/>
        </w:rPr>
        <w:t>方当事人，并在</w:t>
      </w:r>
      <w:r>
        <w:rPr>
          <w:rFonts w:ascii="仿宋" w:hAnsi="仿宋" w:eastAsia="仿宋"/>
          <w:b/>
          <w:i/>
          <w:sz w:val="24"/>
          <w:u w:val="single"/>
        </w:rPr>
        <w:t>合同专用条款</w:t>
      </w:r>
      <w:r>
        <w:rPr>
          <w:rFonts w:ascii="仿宋" w:hAnsi="仿宋" w:eastAsia="仿宋"/>
          <w:sz w:val="24"/>
        </w:rPr>
        <w:t>约定时间内，将有关部门出具的证明文件送达</w:t>
      </w:r>
      <w:r>
        <w:rPr>
          <w:rFonts w:hint="eastAsia" w:ascii="仿宋" w:hAnsi="仿宋" w:eastAsia="仿宋"/>
          <w:sz w:val="24"/>
        </w:rPr>
        <w:t>对方当事人</w:t>
      </w:r>
      <w:r>
        <w:rPr>
          <w:rFonts w:ascii="仿宋" w:hAnsi="仿宋" w:eastAsia="仿宋"/>
          <w:sz w:val="24"/>
        </w:rPr>
        <w:t>。</w:t>
      </w:r>
    </w:p>
    <w:p>
      <w:pPr>
        <w:spacing w:before="156" w:beforeLines="50" w:line="320" w:lineRule="exact"/>
        <w:ind w:firstLine="482" w:firstLineChars="200"/>
        <w:rPr>
          <w:rFonts w:ascii="仿宋" w:hAnsi="仿宋" w:eastAsia="仿宋"/>
          <w:b/>
          <w:bCs/>
          <w:sz w:val="24"/>
        </w:rPr>
      </w:pPr>
      <w:bookmarkStart w:id="501" w:name="_Toc25783"/>
      <w:bookmarkStart w:id="502" w:name="_Toc14115"/>
      <w:bookmarkStart w:id="503" w:name="_Toc23854"/>
      <w:bookmarkStart w:id="504" w:name="_Toc3638"/>
      <w:bookmarkStart w:id="505" w:name="_Toc24465"/>
      <w:r>
        <w:rPr>
          <w:rFonts w:ascii="仿宋" w:hAnsi="仿宋" w:eastAsia="仿宋"/>
          <w:b/>
          <w:bCs/>
          <w:sz w:val="24"/>
        </w:rPr>
        <w:t>2.1</w:t>
      </w:r>
      <w:r>
        <w:rPr>
          <w:rFonts w:hint="eastAsia" w:ascii="仿宋" w:hAnsi="仿宋" w:eastAsia="仿宋"/>
          <w:b/>
          <w:bCs/>
          <w:sz w:val="24"/>
        </w:rPr>
        <w:t>3</w:t>
      </w:r>
      <w:r>
        <w:rPr>
          <w:rFonts w:ascii="仿宋" w:hAnsi="仿宋" w:eastAsia="仿宋"/>
          <w:b/>
          <w:bCs/>
          <w:sz w:val="24"/>
        </w:rPr>
        <w:t xml:space="preserve"> 税费</w:t>
      </w:r>
      <w:bookmarkEnd w:id="501"/>
      <w:bookmarkEnd w:id="502"/>
      <w:bookmarkEnd w:id="503"/>
      <w:bookmarkEnd w:id="504"/>
      <w:bookmarkEnd w:id="505"/>
    </w:p>
    <w:p>
      <w:pPr>
        <w:spacing w:before="156" w:beforeLines="50" w:line="320" w:lineRule="exact"/>
        <w:ind w:firstLine="480" w:firstLineChars="200"/>
        <w:rPr>
          <w:rFonts w:ascii="仿宋" w:hAnsi="仿宋" w:eastAsia="仿宋"/>
          <w:sz w:val="24"/>
        </w:rPr>
      </w:pPr>
      <w:r>
        <w:rPr>
          <w:rFonts w:ascii="仿宋" w:hAnsi="仿宋" w:eastAsia="仿宋"/>
          <w:sz w:val="24"/>
        </w:rPr>
        <w:t>与合同有关的一切税费</w:t>
      </w:r>
      <w:r>
        <w:rPr>
          <w:rFonts w:hint="eastAsia" w:ascii="仿宋" w:hAnsi="仿宋" w:eastAsia="仿宋"/>
          <w:sz w:val="24"/>
        </w:rPr>
        <w:t>，</w:t>
      </w:r>
      <w:r>
        <w:rPr>
          <w:rFonts w:ascii="仿宋" w:hAnsi="仿宋" w:eastAsia="仿宋"/>
          <w:sz w:val="24"/>
        </w:rPr>
        <w:t>均按照中华人民共和国法律的相关规定缴纳。</w:t>
      </w:r>
    </w:p>
    <w:p>
      <w:pPr>
        <w:spacing w:before="156" w:beforeLines="50" w:line="320" w:lineRule="exact"/>
        <w:ind w:firstLine="482" w:firstLineChars="200"/>
        <w:rPr>
          <w:rFonts w:ascii="仿宋" w:hAnsi="仿宋" w:eastAsia="仿宋"/>
          <w:b/>
          <w:bCs/>
          <w:sz w:val="24"/>
        </w:rPr>
      </w:pPr>
      <w:bookmarkStart w:id="506" w:name="_Toc14814"/>
      <w:bookmarkStart w:id="507" w:name="_Toc26883"/>
      <w:bookmarkStart w:id="508" w:name="_Toc30105"/>
      <w:bookmarkStart w:id="509" w:name="_Toc25525"/>
      <w:bookmarkStart w:id="510" w:name="_Toc7315"/>
      <w:r>
        <w:rPr>
          <w:rFonts w:ascii="仿宋" w:hAnsi="仿宋" w:eastAsia="仿宋"/>
          <w:b/>
          <w:bCs/>
          <w:sz w:val="24"/>
        </w:rPr>
        <w:t>2.1</w:t>
      </w:r>
      <w:r>
        <w:rPr>
          <w:rFonts w:hint="eastAsia" w:ascii="仿宋" w:hAnsi="仿宋" w:eastAsia="仿宋"/>
          <w:b/>
          <w:bCs/>
          <w:sz w:val="24"/>
        </w:rPr>
        <w:t>4</w:t>
      </w:r>
      <w:r>
        <w:rPr>
          <w:rFonts w:ascii="仿宋" w:hAnsi="仿宋" w:eastAsia="仿宋"/>
          <w:b/>
          <w:bCs/>
          <w:sz w:val="24"/>
        </w:rPr>
        <w:t xml:space="preserve"> 乙方破产</w:t>
      </w:r>
      <w:bookmarkEnd w:id="506"/>
      <w:bookmarkEnd w:id="507"/>
      <w:bookmarkEnd w:id="508"/>
      <w:bookmarkEnd w:id="509"/>
      <w:bookmarkEnd w:id="510"/>
    </w:p>
    <w:p>
      <w:pPr>
        <w:spacing w:before="156" w:beforeLines="50" w:line="320" w:lineRule="exact"/>
        <w:ind w:firstLine="480" w:firstLineChars="200"/>
        <w:rPr>
          <w:rFonts w:ascii="仿宋" w:hAnsi="仿宋" w:eastAsia="仿宋"/>
          <w:sz w:val="24"/>
        </w:rPr>
      </w:pPr>
      <w:r>
        <w:rPr>
          <w:rFonts w:ascii="仿宋" w:hAnsi="仿宋" w:eastAsia="仿宋"/>
          <w:sz w:val="24"/>
        </w:rPr>
        <w:t>如果乙方破产导致合同无法履行时，甲方可以书面形式通知乙方终止合同且不给予乙方任何补偿和赔偿</w:t>
      </w:r>
      <w:r>
        <w:rPr>
          <w:rFonts w:hint="eastAsia" w:ascii="仿宋" w:hAnsi="仿宋" w:eastAsia="仿宋"/>
          <w:sz w:val="24"/>
        </w:rPr>
        <w:t>，但合同的</w:t>
      </w:r>
      <w:r>
        <w:rPr>
          <w:rFonts w:ascii="仿宋" w:hAnsi="仿宋" w:eastAsia="仿宋"/>
          <w:sz w:val="24"/>
        </w:rPr>
        <w:t>终止不损害或不影响甲方已经采取或将要采取的任何要求乙方支付违约金</w:t>
      </w:r>
      <w:r>
        <w:rPr>
          <w:rFonts w:hint="eastAsia" w:ascii="仿宋" w:hAnsi="仿宋" w:eastAsia="仿宋"/>
          <w:sz w:val="24"/>
        </w:rPr>
        <w:t>、</w:t>
      </w:r>
      <w:r>
        <w:rPr>
          <w:rFonts w:ascii="仿宋" w:hAnsi="仿宋" w:eastAsia="仿宋"/>
          <w:sz w:val="24"/>
        </w:rPr>
        <w:t>赔偿损失等的行动或补救措施的权利</w:t>
      </w:r>
      <w:r>
        <w:rPr>
          <w:rFonts w:hint="eastAsia" w:ascii="仿宋" w:hAnsi="仿宋" w:eastAsia="仿宋"/>
          <w:sz w:val="24"/>
        </w:rPr>
        <w:t>。</w:t>
      </w:r>
    </w:p>
    <w:p>
      <w:pPr>
        <w:spacing w:before="156" w:beforeLines="50" w:line="320" w:lineRule="exact"/>
        <w:ind w:firstLine="482" w:firstLineChars="200"/>
        <w:rPr>
          <w:rFonts w:ascii="仿宋" w:hAnsi="仿宋" w:eastAsia="仿宋"/>
          <w:b/>
          <w:bCs/>
          <w:sz w:val="24"/>
        </w:rPr>
      </w:pPr>
      <w:bookmarkStart w:id="511" w:name="_Toc23323"/>
      <w:bookmarkStart w:id="512" w:name="_Toc2016"/>
      <w:bookmarkStart w:id="513" w:name="_Toc1123"/>
      <w:r>
        <w:rPr>
          <w:rFonts w:ascii="仿宋" w:hAnsi="仿宋" w:eastAsia="仿宋"/>
          <w:b/>
          <w:bCs/>
          <w:sz w:val="24"/>
        </w:rPr>
        <w:t>2.1</w:t>
      </w:r>
      <w:r>
        <w:rPr>
          <w:rFonts w:hint="eastAsia" w:ascii="仿宋" w:hAnsi="仿宋" w:eastAsia="仿宋"/>
          <w:b/>
          <w:bCs/>
          <w:sz w:val="24"/>
        </w:rPr>
        <w:t>5</w:t>
      </w:r>
      <w:r>
        <w:rPr>
          <w:rFonts w:ascii="仿宋" w:hAnsi="仿宋" w:eastAsia="仿宋"/>
          <w:b/>
          <w:bCs/>
          <w:sz w:val="24"/>
        </w:rPr>
        <w:t xml:space="preserve"> 合同中止、终止</w:t>
      </w:r>
      <w:bookmarkEnd w:id="511"/>
      <w:bookmarkEnd w:id="512"/>
      <w:bookmarkEnd w:id="513"/>
    </w:p>
    <w:p>
      <w:pPr>
        <w:spacing w:before="156" w:beforeLines="50" w:line="320" w:lineRule="exact"/>
        <w:ind w:firstLine="480" w:firstLineChars="200"/>
        <w:rPr>
          <w:rFonts w:ascii="仿宋" w:hAnsi="仿宋" w:eastAsia="仿宋"/>
          <w:sz w:val="24"/>
        </w:rPr>
      </w:pPr>
      <w:r>
        <w:rPr>
          <w:rFonts w:ascii="仿宋" w:hAnsi="仿宋" w:eastAsia="仿宋"/>
          <w:sz w:val="24"/>
        </w:rPr>
        <w:t>2.1</w:t>
      </w:r>
      <w:r>
        <w:rPr>
          <w:rFonts w:hint="eastAsia" w:ascii="仿宋" w:hAnsi="仿宋" w:eastAsia="仿宋"/>
          <w:sz w:val="24"/>
        </w:rPr>
        <w:t>5</w:t>
      </w:r>
      <w:r>
        <w:rPr>
          <w:rFonts w:ascii="仿宋" w:hAnsi="仿宋" w:eastAsia="仿宋"/>
          <w:sz w:val="24"/>
        </w:rPr>
        <w:t xml:space="preserve">.1 </w:t>
      </w:r>
      <w:r>
        <w:rPr>
          <w:rFonts w:hint="eastAsia" w:ascii="仿宋" w:hAnsi="仿宋" w:eastAsia="仿宋"/>
          <w:sz w:val="24"/>
        </w:rPr>
        <w:t>双方当事人不得擅自中止或者终止合同；</w:t>
      </w:r>
    </w:p>
    <w:p>
      <w:pPr>
        <w:spacing w:before="156" w:beforeLines="50" w:line="320" w:lineRule="exact"/>
        <w:ind w:firstLine="480" w:firstLineChars="200"/>
        <w:rPr>
          <w:rFonts w:ascii="仿宋" w:hAnsi="仿宋" w:eastAsia="仿宋"/>
          <w:sz w:val="24"/>
        </w:rPr>
      </w:pPr>
      <w:r>
        <w:rPr>
          <w:rFonts w:ascii="仿宋" w:hAnsi="仿宋" w:eastAsia="仿宋"/>
          <w:sz w:val="24"/>
        </w:rPr>
        <w:t>2.1</w:t>
      </w:r>
      <w:r>
        <w:rPr>
          <w:rFonts w:hint="eastAsia" w:ascii="仿宋" w:hAnsi="仿宋" w:eastAsia="仿宋"/>
          <w:sz w:val="24"/>
        </w:rPr>
        <w:t>5</w:t>
      </w:r>
      <w:r>
        <w:rPr>
          <w:rFonts w:ascii="仿宋" w:hAnsi="仿宋" w:eastAsia="仿宋"/>
          <w:sz w:val="24"/>
        </w:rPr>
        <w:t>.2 合同继续履行将损害国家利益和社会公共利益的，双方当事人应当中止或者终止合同。有过错的一方应当承担赔偿责任，双方当事人都有过错的，各自承担相应的责任。</w:t>
      </w:r>
    </w:p>
    <w:p>
      <w:pPr>
        <w:spacing w:before="156" w:beforeLines="50" w:line="320" w:lineRule="exact"/>
        <w:ind w:firstLine="482" w:firstLineChars="200"/>
        <w:rPr>
          <w:rFonts w:ascii="仿宋" w:hAnsi="仿宋" w:eastAsia="仿宋"/>
          <w:b/>
          <w:bCs/>
          <w:sz w:val="24"/>
        </w:rPr>
      </w:pPr>
      <w:bookmarkStart w:id="514" w:name="_Toc17363"/>
      <w:bookmarkStart w:id="515" w:name="_Toc14525"/>
      <w:bookmarkStart w:id="516" w:name="_Toc1969"/>
      <w:r>
        <w:rPr>
          <w:rFonts w:ascii="仿宋" w:hAnsi="仿宋" w:eastAsia="仿宋"/>
          <w:b/>
          <w:bCs/>
          <w:sz w:val="24"/>
        </w:rPr>
        <w:t>2.1</w:t>
      </w:r>
      <w:r>
        <w:rPr>
          <w:rFonts w:hint="eastAsia" w:ascii="仿宋" w:hAnsi="仿宋" w:eastAsia="仿宋"/>
          <w:b/>
          <w:bCs/>
          <w:sz w:val="24"/>
        </w:rPr>
        <w:t>6</w:t>
      </w:r>
      <w:r>
        <w:rPr>
          <w:rFonts w:ascii="仿宋" w:hAnsi="仿宋" w:eastAsia="仿宋"/>
          <w:b/>
          <w:bCs/>
          <w:sz w:val="24"/>
        </w:rPr>
        <w:t xml:space="preserve"> 检验和验收</w:t>
      </w:r>
      <w:bookmarkEnd w:id="514"/>
      <w:bookmarkEnd w:id="515"/>
      <w:bookmarkEnd w:id="516"/>
    </w:p>
    <w:p>
      <w:pPr>
        <w:tabs>
          <w:tab w:val="left" w:pos="360"/>
          <w:tab w:val="left" w:pos="540"/>
          <w:tab w:val="left" w:pos="1080"/>
        </w:tabs>
        <w:spacing w:before="156" w:beforeLines="50" w:line="320" w:lineRule="exact"/>
        <w:ind w:firstLine="480" w:firstLineChars="200"/>
        <w:rPr>
          <w:rFonts w:ascii="仿宋" w:hAnsi="仿宋" w:eastAsia="仿宋"/>
          <w:sz w:val="24"/>
        </w:rPr>
      </w:pPr>
      <w:r>
        <w:rPr>
          <w:rFonts w:ascii="仿宋" w:hAnsi="仿宋" w:eastAsia="仿宋"/>
          <w:sz w:val="24"/>
        </w:rPr>
        <w:t>2.1</w:t>
      </w:r>
      <w:r>
        <w:rPr>
          <w:rFonts w:hint="eastAsia" w:ascii="仿宋" w:hAnsi="仿宋" w:eastAsia="仿宋"/>
          <w:sz w:val="24"/>
        </w:rPr>
        <w:t>6</w:t>
      </w:r>
      <w:r>
        <w:rPr>
          <w:rFonts w:ascii="仿宋" w:hAnsi="仿宋" w:eastAsia="仿宋"/>
          <w:sz w:val="24"/>
        </w:rPr>
        <w:t xml:space="preserve">.1 </w:t>
      </w:r>
      <w:r>
        <w:rPr>
          <w:rFonts w:hint="eastAsia" w:ascii="仿宋" w:hAnsi="仿宋" w:eastAsia="仿宋"/>
          <w:sz w:val="24"/>
        </w:rPr>
        <w:t>货物交付前，乙方应对货物的质量、数量等方面进行详细、全面的检验；货物交付时，甲方在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before="156" w:beforeLines="50" w:line="320" w:lineRule="exact"/>
        <w:ind w:firstLine="480" w:firstLineChars="200"/>
        <w:rPr>
          <w:rFonts w:ascii="仿宋" w:hAnsi="仿宋" w:eastAsia="仿宋"/>
          <w:sz w:val="24"/>
        </w:rPr>
      </w:pPr>
      <w:r>
        <w:rPr>
          <w:rFonts w:ascii="仿宋" w:hAnsi="仿宋" w:eastAsia="仿宋"/>
          <w:sz w:val="24"/>
        </w:rPr>
        <w:t>2.1</w:t>
      </w:r>
      <w:r>
        <w:rPr>
          <w:rFonts w:hint="eastAsia" w:ascii="仿宋" w:hAnsi="仿宋" w:eastAsia="仿宋"/>
          <w:sz w:val="24"/>
        </w:rPr>
        <w:t>6</w:t>
      </w:r>
      <w:r>
        <w:rPr>
          <w:rFonts w:ascii="仿宋" w:hAnsi="仿宋" w:eastAsia="仿宋"/>
          <w:sz w:val="24"/>
        </w:rPr>
        <w:t xml:space="preserve">.2 </w:t>
      </w:r>
      <w:r>
        <w:rPr>
          <w:rFonts w:hint="eastAsia" w:ascii="仿宋" w:hAnsi="仿宋" w:eastAsia="仿宋"/>
          <w:sz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before="156" w:beforeLines="50" w:line="320" w:lineRule="exact"/>
        <w:ind w:firstLine="480" w:firstLineChars="200"/>
        <w:rPr>
          <w:rFonts w:ascii="仿宋" w:hAnsi="仿宋" w:eastAsia="仿宋"/>
          <w:sz w:val="24"/>
        </w:rPr>
      </w:pPr>
      <w:r>
        <w:rPr>
          <w:rFonts w:ascii="仿宋" w:hAnsi="仿宋" w:eastAsia="仿宋"/>
          <w:sz w:val="24"/>
        </w:rPr>
        <w:t>2.1</w:t>
      </w:r>
      <w:r>
        <w:rPr>
          <w:rFonts w:hint="eastAsia" w:ascii="仿宋" w:hAnsi="仿宋" w:eastAsia="仿宋"/>
          <w:sz w:val="24"/>
        </w:rPr>
        <w:t>6</w:t>
      </w:r>
      <w:r>
        <w:rPr>
          <w:rFonts w:ascii="仿宋" w:hAnsi="仿宋" w:eastAsia="仿宋"/>
          <w:sz w:val="24"/>
        </w:rPr>
        <w:t xml:space="preserve">.3 </w:t>
      </w:r>
      <w:r>
        <w:rPr>
          <w:rFonts w:hint="eastAsia" w:ascii="仿宋" w:hAnsi="仿宋" w:eastAsia="仿宋"/>
          <w:sz w:val="24"/>
        </w:rPr>
        <w:t>检验和验收标准、程序等具体内容以及前述验收书的效力详见</w:t>
      </w:r>
      <w:r>
        <w:rPr>
          <w:rFonts w:ascii="仿宋" w:hAnsi="仿宋" w:eastAsia="仿宋"/>
          <w:b/>
          <w:i/>
          <w:sz w:val="24"/>
          <w:u w:val="single"/>
        </w:rPr>
        <w:t>合同专用条款</w:t>
      </w:r>
      <w:r>
        <w:rPr>
          <w:rFonts w:hint="eastAsia" w:ascii="仿宋" w:hAnsi="仿宋" w:eastAsia="仿宋"/>
          <w:i/>
          <w:sz w:val="24"/>
        </w:rPr>
        <w:t>。</w:t>
      </w:r>
    </w:p>
    <w:p>
      <w:pPr>
        <w:spacing w:before="156" w:beforeLines="50" w:line="320" w:lineRule="exact"/>
        <w:ind w:firstLine="482" w:firstLineChars="200"/>
        <w:rPr>
          <w:rFonts w:ascii="仿宋" w:hAnsi="仿宋" w:eastAsia="仿宋"/>
          <w:b/>
          <w:bCs/>
          <w:sz w:val="24"/>
        </w:rPr>
      </w:pPr>
      <w:bookmarkStart w:id="517" w:name="_Toc9808"/>
      <w:bookmarkStart w:id="518" w:name="_Toc12666"/>
      <w:bookmarkStart w:id="519" w:name="_Toc2308"/>
      <w:bookmarkStart w:id="520" w:name="_Toc25198"/>
      <w:bookmarkStart w:id="521" w:name="_Toc31892"/>
      <w:r>
        <w:rPr>
          <w:rFonts w:ascii="仿宋" w:hAnsi="仿宋" w:eastAsia="仿宋"/>
          <w:b/>
          <w:bCs/>
          <w:sz w:val="24"/>
        </w:rPr>
        <w:t>2.1</w:t>
      </w:r>
      <w:r>
        <w:rPr>
          <w:rFonts w:hint="eastAsia" w:ascii="仿宋" w:hAnsi="仿宋" w:eastAsia="仿宋"/>
          <w:b/>
          <w:bCs/>
          <w:sz w:val="24"/>
        </w:rPr>
        <w:t>7</w:t>
      </w:r>
      <w:r>
        <w:rPr>
          <w:rFonts w:ascii="仿宋" w:hAnsi="仿宋" w:eastAsia="仿宋"/>
          <w:b/>
          <w:bCs/>
          <w:sz w:val="24"/>
        </w:rPr>
        <w:t xml:space="preserve"> 通知和送达</w:t>
      </w:r>
      <w:bookmarkEnd w:id="517"/>
      <w:bookmarkEnd w:id="518"/>
      <w:bookmarkEnd w:id="519"/>
      <w:bookmarkEnd w:id="520"/>
      <w:bookmarkEnd w:id="521"/>
    </w:p>
    <w:p>
      <w:pPr>
        <w:spacing w:before="156" w:beforeLines="50" w:line="320" w:lineRule="exact"/>
        <w:ind w:firstLine="480" w:firstLineChars="200"/>
        <w:rPr>
          <w:rFonts w:ascii="仿宋" w:hAnsi="仿宋" w:eastAsia="仿宋"/>
          <w:sz w:val="24"/>
        </w:rPr>
      </w:pPr>
      <w:bookmarkStart w:id="522" w:name="_Toc18401"/>
      <w:bookmarkStart w:id="523" w:name="_Toc27674"/>
      <w:r>
        <w:rPr>
          <w:rFonts w:ascii="仿宋" w:hAnsi="仿宋" w:eastAsia="仿宋"/>
          <w:sz w:val="24"/>
        </w:rPr>
        <w:t>2.1</w:t>
      </w:r>
      <w:r>
        <w:rPr>
          <w:rFonts w:hint="eastAsia" w:ascii="仿宋" w:hAnsi="仿宋" w:eastAsia="仿宋"/>
          <w:sz w:val="24"/>
        </w:rPr>
        <w:t>7</w:t>
      </w:r>
      <w:r>
        <w:rPr>
          <w:rFonts w:ascii="仿宋" w:hAnsi="仿宋" w:eastAsia="仿宋"/>
          <w:sz w:val="24"/>
        </w:rPr>
        <w:t>.1</w:t>
      </w:r>
      <w:r>
        <w:rPr>
          <w:rFonts w:hint="eastAsia" w:ascii="仿宋" w:hAnsi="仿宋" w:eastAsia="仿宋"/>
          <w:sz w:val="24"/>
        </w:rPr>
        <w:t xml:space="preserve"> 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sz w:val="24"/>
          <w:u w:val="single"/>
        </w:rPr>
        <w:t xml:space="preserve"> </w:t>
      </w:r>
      <w:r>
        <w:rPr>
          <w:rFonts w:ascii="仿宋" w:hAnsi="仿宋" w:eastAsia="仿宋"/>
          <w:sz w:val="24"/>
          <w:u w:val="single"/>
        </w:rPr>
        <w:t xml:space="preserve">3 </w:t>
      </w:r>
      <w:r>
        <w:rPr>
          <w:rFonts w:hint="eastAsia" w:ascii="仿宋" w:hAnsi="仿宋" w:eastAsia="仿宋"/>
          <w:sz w:val="24"/>
        </w:rPr>
        <w:t>个工作日内书面通知对方当事人，在对方当事人收到有关变更通知之前，变更前的约定送达方式或者地址仍视为有效。</w:t>
      </w:r>
    </w:p>
    <w:p>
      <w:pPr>
        <w:spacing w:before="156" w:beforeLines="50" w:line="320" w:lineRule="exact"/>
        <w:ind w:firstLine="480" w:firstLineChars="200"/>
        <w:rPr>
          <w:rFonts w:ascii="仿宋" w:hAnsi="仿宋" w:eastAsia="仿宋"/>
          <w:sz w:val="24"/>
        </w:rPr>
      </w:pPr>
      <w:r>
        <w:rPr>
          <w:rFonts w:ascii="仿宋" w:hAnsi="仿宋" w:eastAsia="仿宋"/>
          <w:sz w:val="24"/>
        </w:rPr>
        <w:t>2.1</w:t>
      </w:r>
      <w:r>
        <w:rPr>
          <w:rFonts w:hint="eastAsia" w:ascii="仿宋" w:hAnsi="仿宋" w:eastAsia="仿宋"/>
          <w:sz w:val="24"/>
        </w:rPr>
        <w:t>7</w:t>
      </w:r>
      <w:r>
        <w:rPr>
          <w:rFonts w:ascii="仿宋" w:hAnsi="仿宋" w:eastAsia="仿宋"/>
          <w:sz w:val="24"/>
        </w:rPr>
        <w:t>.2</w:t>
      </w:r>
      <w:r>
        <w:rPr>
          <w:rFonts w:hint="eastAsia" w:ascii="仿宋" w:hAnsi="仿宋" w:eastAsia="仿宋"/>
          <w:sz w:val="24"/>
        </w:rPr>
        <w:t xml:space="preserve"> </w:t>
      </w:r>
      <w:r>
        <w:rPr>
          <w:rFonts w:ascii="仿宋" w:hAnsi="仿宋" w:eastAsia="仿宋"/>
          <w:sz w:val="24"/>
        </w:rPr>
        <w:t>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522"/>
      <w:bookmarkEnd w:id="523"/>
    </w:p>
    <w:p>
      <w:pPr>
        <w:spacing w:before="156" w:beforeLines="50" w:line="320" w:lineRule="exact"/>
        <w:ind w:firstLine="482" w:firstLineChars="200"/>
        <w:rPr>
          <w:rFonts w:ascii="仿宋" w:hAnsi="仿宋" w:eastAsia="仿宋"/>
          <w:b/>
          <w:bCs/>
          <w:sz w:val="24"/>
        </w:rPr>
      </w:pPr>
      <w:r>
        <w:rPr>
          <w:rFonts w:hint="eastAsia" w:ascii="仿宋" w:hAnsi="仿宋" w:eastAsia="仿宋"/>
          <w:b/>
          <w:bCs/>
          <w:sz w:val="24"/>
        </w:rPr>
        <w:t>2.18 计量单位</w:t>
      </w:r>
    </w:p>
    <w:p>
      <w:pPr>
        <w:spacing w:before="156" w:beforeLines="50" w:line="320" w:lineRule="exact"/>
        <w:ind w:firstLine="480" w:firstLineChars="200"/>
        <w:rPr>
          <w:rFonts w:ascii="仿宋" w:hAnsi="仿宋" w:eastAsia="仿宋"/>
          <w:sz w:val="24"/>
        </w:rPr>
      </w:pPr>
      <w:r>
        <w:rPr>
          <w:rFonts w:hint="eastAsia" w:ascii="仿宋" w:hAnsi="仿宋" w:eastAsia="仿宋"/>
          <w:sz w:val="24"/>
        </w:rPr>
        <w:t>除技术规范中另有规定外,合同的计量单位均使用国家法定计量单位。</w:t>
      </w:r>
    </w:p>
    <w:p>
      <w:pPr>
        <w:spacing w:before="156" w:beforeLines="50" w:line="320" w:lineRule="exact"/>
        <w:ind w:firstLine="482" w:firstLineChars="200"/>
        <w:rPr>
          <w:rFonts w:ascii="仿宋" w:hAnsi="仿宋" w:eastAsia="仿宋"/>
          <w:b/>
          <w:bCs/>
          <w:sz w:val="24"/>
        </w:rPr>
      </w:pPr>
      <w:bookmarkStart w:id="524" w:name="_Toc27644"/>
      <w:bookmarkStart w:id="525" w:name="_Toc20808"/>
      <w:bookmarkStart w:id="526" w:name="_Toc28906"/>
      <w:bookmarkStart w:id="527" w:name="_Toc5063"/>
      <w:bookmarkStart w:id="528" w:name="_Toc12254"/>
      <w:r>
        <w:rPr>
          <w:rFonts w:ascii="仿宋" w:hAnsi="仿宋" w:eastAsia="仿宋"/>
          <w:b/>
          <w:bCs/>
          <w:sz w:val="24"/>
        </w:rPr>
        <w:t>2.1</w:t>
      </w:r>
      <w:r>
        <w:rPr>
          <w:rFonts w:hint="eastAsia" w:ascii="仿宋" w:hAnsi="仿宋" w:eastAsia="仿宋"/>
          <w:b/>
          <w:bCs/>
          <w:sz w:val="24"/>
        </w:rPr>
        <w:t>9</w:t>
      </w:r>
      <w:r>
        <w:rPr>
          <w:rFonts w:ascii="仿宋" w:hAnsi="仿宋" w:eastAsia="仿宋"/>
          <w:b/>
          <w:bCs/>
          <w:sz w:val="24"/>
        </w:rPr>
        <w:t xml:space="preserve"> </w:t>
      </w:r>
      <w:r>
        <w:rPr>
          <w:rFonts w:hint="eastAsia" w:ascii="仿宋" w:hAnsi="仿宋" w:eastAsia="仿宋"/>
          <w:b/>
          <w:bCs/>
          <w:sz w:val="24"/>
        </w:rPr>
        <w:t>合同使用的文字和</w:t>
      </w:r>
      <w:r>
        <w:rPr>
          <w:rFonts w:ascii="仿宋" w:hAnsi="仿宋" w:eastAsia="仿宋"/>
          <w:b/>
          <w:bCs/>
          <w:sz w:val="24"/>
        </w:rPr>
        <w:t>适用的法律</w:t>
      </w:r>
      <w:bookmarkEnd w:id="524"/>
      <w:bookmarkEnd w:id="525"/>
      <w:bookmarkEnd w:id="526"/>
      <w:bookmarkEnd w:id="527"/>
      <w:bookmarkEnd w:id="528"/>
    </w:p>
    <w:p>
      <w:pPr>
        <w:spacing w:before="156" w:beforeLines="50" w:line="320" w:lineRule="exact"/>
        <w:ind w:firstLine="480" w:firstLineChars="200"/>
        <w:rPr>
          <w:rFonts w:ascii="仿宋" w:hAnsi="仿宋" w:eastAsia="仿宋"/>
          <w:sz w:val="24"/>
        </w:rPr>
      </w:pPr>
      <w:r>
        <w:rPr>
          <w:rFonts w:ascii="仿宋" w:hAnsi="仿宋" w:eastAsia="仿宋"/>
          <w:sz w:val="24"/>
        </w:rPr>
        <w:t>2.1</w:t>
      </w:r>
      <w:r>
        <w:rPr>
          <w:rFonts w:hint="eastAsia" w:ascii="仿宋" w:hAnsi="仿宋" w:eastAsia="仿宋"/>
          <w:sz w:val="24"/>
        </w:rPr>
        <w:t>9</w:t>
      </w:r>
      <w:r>
        <w:rPr>
          <w:rFonts w:ascii="仿宋" w:hAnsi="仿宋" w:eastAsia="仿宋"/>
          <w:sz w:val="24"/>
        </w:rPr>
        <w:t>.1 合同使用汉语书就</w:t>
      </w:r>
      <w:r>
        <w:rPr>
          <w:rFonts w:hint="eastAsia" w:ascii="仿宋" w:hAnsi="仿宋" w:eastAsia="仿宋"/>
          <w:sz w:val="24"/>
        </w:rPr>
        <w:t>、</w:t>
      </w:r>
      <w:r>
        <w:rPr>
          <w:rFonts w:ascii="仿宋" w:hAnsi="仿宋" w:eastAsia="仿宋"/>
          <w:sz w:val="24"/>
        </w:rPr>
        <w:t>变更和解释</w:t>
      </w:r>
      <w:r>
        <w:rPr>
          <w:rFonts w:hint="eastAsia" w:ascii="仿宋" w:hAnsi="仿宋" w:eastAsia="仿宋"/>
          <w:sz w:val="24"/>
        </w:rPr>
        <w:t>；</w:t>
      </w:r>
    </w:p>
    <w:p>
      <w:pPr>
        <w:spacing w:before="156" w:beforeLines="50" w:line="320" w:lineRule="exact"/>
        <w:ind w:firstLine="480" w:firstLineChars="200"/>
        <w:rPr>
          <w:rFonts w:ascii="仿宋" w:hAnsi="仿宋" w:eastAsia="仿宋"/>
          <w:sz w:val="24"/>
        </w:rPr>
      </w:pPr>
      <w:r>
        <w:rPr>
          <w:rFonts w:ascii="仿宋" w:hAnsi="仿宋" w:eastAsia="仿宋"/>
          <w:sz w:val="24"/>
        </w:rPr>
        <w:t>2.1</w:t>
      </w:r>
      <w:r>
        <w:rPr>
          <w:rFonts w:hint="eastAsia" w:ascii="仿宋" w:hAnsi="仿宋" w:eastAsia="仿宋"/>
          <w:sz w:val="24"/>
        </w:rPr>
        <w:t>9</w:t>
      </w:r>
      <w:r>
        <w:rPr>
          <w:rFonts w:ascii="仿宋" w:hAnsi="仿宋" w:eastAsia="仿宋"/>
          <w:sz w:val="24"/>
        </w:rPr>
        <w:t xml:space="preserve">.2 </w:t>
      </w:r>
      <w:r>
        <w:rPr>
          <w:rFonts w:hint="eastAsia" w:ascii="仿宋" w:hAnsi="仿宋" w:eastAsia="仿宋"/>
          <w:sz w:val="24"/>
        </w:rPr>
        <w:t>合同适用</w:t>
      </w:r>
      <w:r>
        <w:rPr>
          <w:rFonts w:ascii="仿宋" w:hAnsi="仿宋" w:eastAsia="仿宋"/>
          <w:sz w:val="24"/>
        </w:rPr>
        <w:t>中华人民共和国法律。</w:t>
      </w:r>
    </w:p>
    <w:p>
      <w:pPr>
        <w:spacing w:before="156" w:beforeLines="50" w:line="320" w:lineRule="exact"/>
        <w:ind w:firstLine="482" w:firstLineChars="200"/>
        <w:rPr>
          <w:rFonts w:ascii="仿宋" w:hAnsi="仿宋" w:eastAsia="仿宋"/>
          <w:b/>
          <w:bCs/>
          <w:sz w:val="24"/>
        </w:rPr>
      </w:pPr>
      <w:r>
        <w:rPr>
          <w:rFonts w:ascii="仿宋" w:hAnsi="仿宋" w:eastAsia="仿宋"/>
          <w:b/>
          <w:bCs/>
          <w:sz w:val="24"/>
        </w:rPr>
        <w:t>2.</w:t>
      </w:r>
      <w:r>
        <w:rPr>
          <w:rFonts w:hint="eastAsia" w:ascii="仿宋" w:hAnsi="仿宋" w:eastAsia="仿宋"/>
          <w:b/>
          <w:bCs/>
          <w:sz w:val="24"/>
        </w:rPr>
        <w:t>20</w:t>
      </w:r>
      <w:r>
        <w:rPr>
          <w:rFonts w:ascii="仿宋" w:hAnsi="仿宋" w:eastAsia="仿宋"/>
          <w:b/>
          <w:bCs/>
          <w:sz w:val="24"/>
        </w:rPr>
        <w:t xml:space="preserve"> 合同份数</w:t>
      </w:r>
    </w:p>
    <w:p>
      <w:pPr>
        <w:spacing w:before="156" w:beforeLines="50" w:line="320" w:lineRule="exact"/>
        <w:ind w:firstLine="480" w:firstLineChars="200"/>
        <w:rPr>
          <w:rFonts w:ascii="仿宋" w:hAnsi="仿宋" w:eastAsia="仿宋"/>
          <w:sz w:val="24"/>
        </w:rPr>
      </w:pPr>
      <w:r>
        <w:rPr>
          <w:rFonts w:ascii="仿宋" w:hAnsi="仿宋" w:eastAsia="仿宋"/>
          <w:sz w:val="24"/>
        </w:rPr>
        <w:t>合同份数按</w:t>
      </w:r>
      <w:r>
        <w:rPr>
          <w:rFonts w:ascii="仿宋" w:hAnsi="仿宋" w:eastAsia="仿宋"/>
          <w:b/>
          <w:i/>
          <w:sz w:val="24"/>
          <w:u w:val="single"/>
        </w:rPr>
        <w:t>合同专用条款</w:t>
      </w:r>
      <w:r>
        <w:rPr>
          <w:rFonts w:ascii="仿宋" w:hAnsi="仿宋" w:eastAsia="仿宋"/>
          <w:sz w:val="24"/>
        </w:rPr>
        <w:t>规定</w:t>
      </w:r>
      <w:r>
        <w:rPr>
          <w:rFonts w:hint="eastAsia" w:ascii="仿宋" w:hAnsi="仿宋" w:eastAsia="仿宋"/>
          <w:sz w:val="24"/>
        </w:rPr>
        <w:t>，</w:t>
      </w:r>
      <w:r>
        <w:rPr>
          <w:rFonts w:ascii="仿宋" w:hAnsi="仿宋" w:eastAsia="仿宋"/>
          <w:sz w:val="24"/>
        </w:rPr>
        <w:t>每份均具有同等法律效力</w:t>
      </w:r>
      <w:r>
        <w:rPr>
          <w:rFonts w:hint="eastAsia" w:ascii="仿宋" w:hAnsi="仿宋" w:eastAsia="仿宋"/>
          <w:sz w:val="24"/>
        </w:rPr>
        <w:t>。</w:t>
      </w:r>
    </w:p>
    <w:p>
      <w:pPr>
        <w:snapToGrid w:val="0"/>
        <w:spacing w:before="156" w:beforeLines="50"/>
        <w:jc w:val="center"/>
        <w:outlineLvl w:val="1"/>
        <w:rPr>
          <w:rFonts w:ascii="仿宋" w:hAnsi="仿宋" w:eastAsia="仿宋" w:cs="宋体"/>
          <w:b/>
          <w:sz w:val="36"/>
          <w:szCs w:val="36"/>
        </w:rPr>
      </w:pPr>
      <w:r>
        <w:rPr>
          <w:rFonts w:hint="eastAsia" w:ascii="仿宋" w:hAnsi="仿宋" w:eastAsia="仿宋" w:cs="宋体"/>
          <w:kern w:val="0"/>
        </w:rPr>
        <w:br w:type="page"/>
      </w:r>
      <w:r>
        <w:rPr>
          <w:rFonts w:hint="eastAsia" w:ascii="仿宋" w:hAnsi="仿宋" w:eastAsia="仿宋" w:cs="宋体"/>
          <w:b/>
          <w:sz w:val="36"/>
          <w:szCs w:val="36"/>
        </w:rPr>
        <w:t>第三部分 合同专用条款</w:t>
      </w:r>
    </w:p>
    <w:p>
      <w:pPr>
        <w:spacing w:before="156" w:beforeLines="50" w:line="320" w:lineRule="exact"/>
        <w:ind w:left="-420" w:leftChars="-200" w:right="-420" w:rightChars="-200" w:firstLine="480" w:firstLineChars="200"/>
        <w:rPr>
          <w:rFonts w:ascii="仿宋" w:hAnsi="仿宋" w:eastAsia="仿宋" w:cs="宋体"/>
          <w:sz w:val="24"/>
        </w:rPr>
      </w:pPr>
      <w:r>
        <w:rPr>
          <w:rFonts w:hint="eastAsia" w:ascii="仿宋" w:hAnsi="仿宋" w:eastAsia="仿宋"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before="156" w:beforeLines="50" w:line="320" w:lineRule="exact"/>
        <w:ind w:left="-420" w:leftChars="-200" w:right="-420" w:rightChars="-200" w:firstLine="160" w:firstLineChars="200"/>
        <w:rPr>
          <w:rFonts w:ascii="仿宋" w:hAnsi="仿宋" w:eastAsia="仿宋" w:cs="宋体"/>
          <w:sz w:val="8"/>
          <w:szCs w:val="8"/>
        </w:rPr>
      </w:pPr>
    </w:p>
    <w:tbl>
      <w:tblPr>
        <w:tblStyle w:val="63"/>
        <w:tblW w:w="8639" w:type="dxa"/>
        <w:jc w:val="center"/>
        <w:tblLayout w:type="fixed"/>
        <w:tblCellMar>
          <w:top w:w="0" w:type="dxa"/>
          <w:left w:w="108" w:type="dxa"/>
          <w:bottom w:w="0" w:type="dxa"/>
          <w:right w:w="108" w:type="dxa"/>
        </w:tblCellMar>
      </w:tblPr>
      <w:tblGrid>
        <w:gridCol w:w="997"/>
        <w:gridCol w:w="7642"/>
      </w:tblGrid>
      <w:tr>
        <w:trPr>
          <w:trHeight w:val="270"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after="156" w:afterLines="50"/>
              <w:jc w:val="center"/>
              <w:rPr>
                <w:rFonts w:ascii="仿宋" w:hAnsi="仿宋" w:eastAsia="仿宋" w:cs="宋体"/>
                <w:b/>
                <w:sz w:val="24"/>
              </w:rPr>
            </w:pPr>
            <w:r>
              <w:rPr>
                <w:rFonts w:hint="eastAsia" w:ascii="仿宋" w:hAnsi="仿宋" w:eastAsia="仿宋" w:cs="宋体"/>
                <w:b/>
                <w:sz w:val="24"/>
              </w:rPr>
              <w:t>条款号</w:t>
            </w:r>
          </w:p>
        </w:tc>
        <w:tc>
          <w:tcPr>
            <w:tcW w:w="7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after="156" w:afterLines="50"/>
              <w:jc w:val="center"/>
              <w:rPr>
                <w:rFonts w:ascii="仿宋" w:hAnsi="仿宋" w:eastAsia="仿宋" w:cs="宋体"/>
                <w:b/>
                <w:sz w:val="24"/>
              </w:rPr>
            </w:pPr>
            <w:r>
              <w:rPr>
                <w:rFonts w:hint="eastAsia" w:ascii="仿宋" w:hAnsi="仿宋" w:eastAsia="仿宋" w:cs="宋体"/>
                <w:b/>
                <w:sz w:val="24"/>
              </w:rPr>
              <w:t>约定内容</w:t>
            </w:r>
          </w:p>
        </w:tc>
      </w:tr>
      <w:tr>
        <w:trPr>
          <w:trHeight w:val="270"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after="156" w:afterLines="50"/>
              <w:ind w:right="-420" w:rightChars="-200"/>
              <w:rPr>
                <w:rFonts w:ascii="仿宋" w:hAnsi="仿宋" w:eastAsia="仿宋" w:cs="宋体"/>
                <w:sz w:val="24"/>
              </w:rPr>
            </w:pPr>
            <w:r>
              <w:rPr>
                <w:rFonts w:hint="eastAsia" w:ascii="仿宋" w:hAnsi="仿宋" w:eastAsia="仿宋" w:cs="宋体"/>
                <w:sz w:val="24"/>
              </w:rPr>
              <w:t>1.4.2</w:t>
            </w:r>
          </w:p>
        </w:tc>
        <w:tc>
          <w:tcPr>
            <w:tcW w:w="76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4"/>
              </w:rPr>
            </w:pPr>
            <w:r>
              <w:rPr>
                <w:rFonts w:hint="eastAsia" w:ascii="仿宋" w:hAnsi="仿宋" w:eastAsia="仿宋" w:cs="宋体"/>
                <w:sz w:val="24"/>
              </w:rPr>
              <w:t>本项目不要求提交履约保证金。</w:t>
            </w:r>
          </w:p>
        </w:tc>
      </w:tr>
      <w:tr>
        <w:trPr>
          <w:trHeight w:val="270"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after="156" w:afterLines="50"/>
              <w:ind w:right="-420" w:rightChars="-200"/>
              <w:rPr>
                <w:rFonts w:ascii="仿宋" w:hAnsi="仿宋" w:eastAsia="仿宋" w:cs="宋体"/>
                <w:sz w:val="24"/>
              </w:rPr>
            </w:pPr>
            <w:r>
              <w:rPr>
                <w:rFonts w:hint="eastAsia" w:ascii="仿宋" w:hAnsi="仿宋" w:eastAsia="仿宋" w:cs="宋体"/>
                <w:sz w:val="24"/>
              </w:rPr>
              <w:t>1.5.1</w:t>
            </w:r>
          </w:p>
        </w:tc>
        <w:tc>
          <w:tcPr>
            <w:tcW w:w="76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同条款号1.6.2</w:t>
            </w:r>
          </w:p>
        </w:tc>
      </w:tr>
      <w:tr>
        <w:trPr>
          <w:trHeight w:val="270"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after="156" w:afterLines="50"/>
              <w:ind w:right="-420" w:rightChars="-200"/>
              <w:rPr>
                <w:rFonts w:ascii="仿宋" w:hAnsi="仿宋" w:eastAsia="仿宋" w:cs="宋体"/>
                <w:sz w:val="24"/>
              </w:rPr>
            </w:pPr>
            <w:r>
              <w:rPr>
                <w:rFonts w:hint="eastAsia" w:ascii="仿宋" w:hAnsi="仿宋" w:eastAsia="仿宋" w:cs="宋体"/>
                <w:sz w:val="24"/>
              </w:rPr>
              <w:t>1.5.2</w:t>
            </w:r>
          </w:p>
        </w:tc>
        <w:tc>
          <w:tcPr>
            <w:tcW w:w="76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预付款的扣回方式：无</w:t>
            </w:r>
          </w:p>
        </w:tc>
      </w:tr>
      <w:tr>
        <w:trPr>
          <w:trHeight w:val="270"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after="156" w:afterLines="50"/>
              <w:ind w:right="-420" w:rightChars="-200"/>
              <w:rPr>
                <w:rFonts w:ascii="仿宋" w:hAnsi="仿宋" w:eastAsia="仿宋" w:cs="宋体"/>
                <w:sz w:val="24"/>
              </w:rPr>
            </w:pPr>
            <w:r>
              <w:rPr>
                <w:rFonts w:hint="eastAsia" w:ascii="仿宋" w:hAnsi="仿宋" w:eastAsia="仿宋" w:cs="宋体"/>
                <w:sz w:val="24"/>
              </w:rPr>
              <w:t>1.5.3</w:t>
            </w:r>
          </w:p>
        </w:tc>
        <w:tc>
          <w:tcPr>
            <w:tcW w:w="76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预付款的担保措施：无</w:t>
            </w:r>
          </w:p>
        </w:tc>
      </w:tr>
      <w:tr>
        <w:tblPrEx>
          <w:tblCellMar>
            <w:top w:w="0" w:type="dxa"/>
            <w:left w:w="108" w:type="dxa"/>
            <w:bottom w:w="0" w:type="dxa"/>
            <w:right w:w="108" w:type="dxa"/>
          </w:tblCellMar>
        </w:tblPrEx>
        <w:trPr>
          <w:trHeight w:val="540" w:hRule="atLeast"/>
          <w:jc w:val="center"/>
        </w:trPr>
        <w:tc>
          <w:tcPr>
            <w:tcW w:w="997" w:type="dxa"/>
            <w:tcBorders>
              <w:top w:val="single" w:color="000000" w:sz="4" w:space="0"/>
              <w:left w:val="single" w:color="000000" w:sz="4" w:space="0"/>
              <w:right w:val="single" w:color="000000" w:sz="4" w:space="0"/>
            </w:tcBorders>
            <w:shd w:val="clear" w:color="auto" w:fill="auto"/>
            <w:noWrap/>
            <w:vAlign w:val="center"/>
          </w:tcPr>
          <w:p>
            <w:pPr>
              <w:spacing w:before="156" w:beforeLines="50" w:after="156" w:afterLines="50"/>
              <w:ind w:right="-420" w:rightChars="-200"/>
              <w:rPr>
                <w:rFonts w:ascii="仿宋" w:hAnsi="仿宋" w:eastAsia="仿宋" w:cs="宋体"/>
                <w:sz w:val="24"/>
              </w:rPr>
            </w:pPr>
            <w:r>
              <w:rPr>
                <w:rFonts w:hint="eastAsia" w:ascii="仿宋" w:hAnsi="仿宋" w:eastAsia="仿宋" w:cs="宋体"/>
                <w:sz w:val="24"/>
              </w:rPr>
              <w:t>1.6.2</w:t>
            </w:r>
          </w:p>
        </w:tc>
        <w:tc>
          <w:tcPr>
            <w:tcW w:w="76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b/>
                <w:bCs/>
                <w:sz w:val="24"/>
              </w:rPr>
            </w:pPr>
            <w:r>
              <w:rPr>
                <w:rFonts w:hint="eastAsia" w:ascii="仿宋" w:hAnsi="仿宋" w:eastAsia="仿宋" w:cs="宋体"/>
                <w:b/>
                <w:bCs/>
                <w:sz w:val="24"/>
              </w:rPr>
              <w:t>合同生效以及具备实施条件后7个工作日内支付50%预付款，本项目货物到货并经安装调试完成，甲方验收合格后，甲方在收到发票后5个工作日内按实结算剩余合同款项。</w:t>
            </w:r>
          </w:p>
          <w:p>
            <w:pPr>
              <w:rPr>
                <w:rFonts w:ascii="仿宋" w:hAnsi="仿宋" w:eastAsia="仿宋" w:cs="宋体"/>
                <w:sz w:val="24"/>
              </w:rPr>
            </w:pPr>
          </w:p>
          <w:p>
            <w:pPr>
              <w:rPr>
                <w:rFonts w:ascii="仿宋" w:hAnsi="仿宋" w:eastAsia="仿宋" w:cs="宋体"/>
                <w:sz w:val="24"/>
              </w:rPr>
            </w:pPr>
            <w:r>
              <w:rPr>
                <w:rFonts w:hint="eastAsia" w:ascii="仿宋" w:hAnsi="仿宋" w:eastAsia="仿宋" w:cs="宋体"/>
                <w:sz w:val="24"/>
              </w:rPr>
              <w:t>注：付款前，乙方须提供符合要求的财务发票，否则甲方有权不予支付，且不承担违约责任，但乙方仍须履行本合同。</w:t>
            </w:r>
          </w:p>
        </w:tc>
      </w:tr>
      <w:tr>
        <w:tblPrEx>
          <w:tblCellMar>
            <w:top w:w="0" w:type="dxa"/>
            <w:left w:w="108" w:type="dxa"/>
            <w:bottom w:w="0" w:type="dxa"/>
            <w:right w:w="108" w:type="dxa"/>
          </w:tblCellMar>
        </w:tblPrEx>
        <w:trPr>
          <w:trHeight w:val="540"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after="156" w:afterLines="50"/>
              <w:ind w:right="-420" w:rightChars="-200"/>
              <w:rPr>
                <w:rFonts w:ascii="仿宋" w:hAnsi="仿宋" w:eastAsia="仿宋" w:cs="宋体"/>
                <w:sz w:val="24"/>
              </w:rPr>
            </w:pPr>
            <w:r>
              <w:rPr>
                <w:rFonts w:hint="eastAsia" w:ascii="仿宋" w:hAnsi="仿宋" w:eastAsia="仿宋" w:cs="宋体"/>
                <w:sz w:val="24"/>
              </w:rPr>
              <w:t>1.7.1</w:t>
            </w:r>
          </w:p>
        </w:tc>
        <w:tc>
          <w:tcPr>
            <w:tcW w:w="76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交付期限：合同签订后</w:t>
            </w:r>
            <w:r>
              <w:rPr>
                <w:rFonts w:hint="eastAsia" w:ascii="仿宋" w:hAnsi="仿宋" w:eastAsia="仿宋" w:cs="仿宋"/>
                <w:sz w:val="24"/>
                <w:lang w:val="en-US" w:eastAsia="zh-CN"/>
              </w:rPr>
              <w:t>9</w:t>
            </w:r>
            <w:r>
              <w:rPr>
                <w:rFonts w:hint="eastAsia" w:ascii="仿宋" w:hAnsi="仿宋" w:eastAsia="仿宋" w:cs="仿宋"/>
                <w:sz w:val="24"/>
              </w:rPr>
              <w:t>0日历天内完成所有产品的设计、制作、供货至指定地点等工作，并经甲方到货清点，乙方完成安装调试后甲方进行验收，验收合格后出具验收书。</w:t>
            </w:r>
          </w:p>
        </w:tc>
      </w:tr>
      <w:tr>
        <w:tblPrEx>
          <w:tblCellMar>
            <w:top w:w="0" w:type="dxa"/>
            <w:left w:w="108" w:type="dxa"/>
            <w:bottom w:w="0" w:type="dxa"/>
            <w:right w:w="108" w:type="dxa"/>
          </w:tblCellMar>
        </w:tblPrEx>
        <w:trPr>
          <w:trHeight w:val="270"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after="156" w:afterLines="50"/>
              <w:ind w:right="-420" w:rightChars="-200"/>
              <w:rPr>
                <w:rFonts w:ascii="仿宋" w:hAnsi="仿宋" w:eastAsia="仿宋" w:cs="宋体"/>
                <w:sz w:val="24"/>
              </w:rPr>
            </w:pPr>
            <w:r>
              <w:rPr>
                <w:rFonts w:hint="eastAsia" w:ascii="仿宋" w:hAnsi="仿宋" w:eastAsia="仿宋" w:cs="宋体"/>
                <w:sz w:val="24"/>
              </w:rPr>
              <w:t>1.7.2</w:t>
            </w:r>
          </w:p>
        </w:tc>
        <w:tc>
          <w:tcPr>
            <w:tcW w:w="76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交付地点：</w:t>
            </w:r>
            <w:r>
              <w:rPr>
                <w:rFonts w:hint="eastAsia" w:ascii="仿宋" w:hAnsi="仿宋" w:eastAsia="仿宋" w:cs="宋体"/>
                <w:sz w:val="24"/>
              </w:rPr>
              <w:t>杭州市上城区甲方指定地点。</w:t>
            </w:r>
          </w:p>
        </w:tc>
      </w:tr>
      <w:tr>
        <w:tblPrEx>
          <w:tblCellMar>
            <w:top w:w="0" w:type="dxa"/>
            <w:left w:w="108" w:type="dxa"/>
            <w:bottom w:w="0" w:type="dxa"/>
            <w:right w:w="108" w:type="dxa"/>
          </w:tblCellMar>
        </w:tblPrEx>
        <w:trPr>
          <w:trHeight w:val="270"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after="156" w:afterLines="50"/>
              <w:ind w:right="-420" w:rightChars="-200"/>
              <w:rPr>
                <w:rFonts w:ascii="仿宋" w:hAnsi="仿宋" w:eastAsia="仿宋" w:cs="宋体"/>
                <w:sz w:val="24"/>
              </w:rPr>
            </w:pPr>
            <w:r>
              <w:rPr>
                <w:rFonts w:hint="eastAsia" w:ascii="仿宋" w:hAnsi="仿宋" w:eastAsia="仿宋" w:cs="宋体"/>
                <w:sz w:val="24"/>
              </w:rPr>
              <w:t>1.7.3</w:t>
            </w:r>
          </w:p>
        </w:tc>
        <w:tc>
          <w:tcPr>
            <w:tcW w:w="76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交付方式：</w:t>
            </w:r>
            <w:r>
              <w:rPr>
                <w:rFonts w:hint="eastAsia" w:ascii="仿宋" w:hAnsi="仿宋" w:eastAsia="仿宋" w:cs="宋体"/>
                <w:sz w:val="24"/>
              </w:rPr>
              <w:t>本项目为交钥匙工程。乙方应完成相关产品的设计、制造、送至甲方指定地点安装直至验收合格交付甲方使用。</w:t>
            </w:r>
          </w:p>
        </w:tc>
      </w:tr>
      <w:tr>
        <w:tblPrEx>
          <w:tblCellMar>
            <w:top w:w="0" w:type="dxa"/>
            <w:left w:w="108" w:type="dxa"/>
            <w:bottom w:w="0" w:type="dxa"/>
            <w:right w:w="108" w:type="dxa"/>
          </w:tblCellMar>
        </w:tblPrEx>
        <w:trPr>
          <w:trHeight w:val="270"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after="156" w:afterLines="50"/>
              <w:ind w:right="-420" w:rightChars="-200"/>
              <w:rPr>
                <w:rFonts w:ascii="仿宋" w:hAnsi="仿宋" w:eastAsia="仿宋" w:cs="宋体"/>
                <w:sz w:val="24"/>
              </w:rPr>
            </w:pPr>
            <w:r>
              <w:rPr>
                <w:rFonts w:hint="eastAsia" w:ascii="仿宋" w:hAnsi="仿宋" w:eastAsia="仿宋" w:cs="宋体"/>
                <w:sz w:val="24"/>
              </w:rPr>
              <w:t>1.8.6</w:t>
            </w:r>
          </w:p>
        </w:tc>
        <w:tc>
          <w:tcPr>
            <w:tcW w:w="76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1.乙方提供的设备与合同约定不符的或者非全新未使用的正品的，乙方应当无条件退换，由此导致迟延的，按照前款承担责任。</w:t>
            </w:r>
            <w:r>
              <w:rPr>
                <w:rFonts w:ascii="仿宋" w:hAnsi="仿宋" w:eastAsia="仿宋" w:cs="仿宋"/>
                <w:sz w:val="24"/>
              </w:rPr>
              <w:t>2</w:t>
            </w:r>
            <w:r>
              <w:rPr>
                <w:rFonts w:hint="eastAsia" w:ascii="仿宋" w:hAnsi="仿宋" w:eastAsia="仿宋" w:cs="仿宋"/>
                <w:sz w:val="24"/>
              </w:rPr>
              <w:t>.产品存在知识产权争议或者侵害第三方合法权益导致甲方无法正常使用的，甲方有权解除本合同，乙方应当退还甲方已付的全部款项并按照本合同总额的20%支付违约金。</w:t>
            </w:r>
          </w:p>
        </w:tc>
      </w:tr>
      <w:tr>
        <w:tblPrEx>
          <w:tblCellMar>
            <w:top w:w="0" w:type="dxa"/>
            <w:left w:w="108" w:type="dxa"/>
            <w:bottom w:w="0" w:type="dxa"/>
            <w:right w:w="108" w:type="dxa"/>
          </w:tblCellMar>
        </w:tblPrEx>
        <w:trPr>
          <w:trHeight w:val="270"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after="156" w:afterLines="50"/>
              <w:ind w:right="-420" w:rightChars="-200"/>
              <w:rPr>
                <w:rFonts w:ascii="仿宋" w:hAnsi="仿宋" w:eastAsia="仿宋" w:cs="宋体"/>
                <w:sz w:val="24"/>
              </w:rPr>
            </w:pPr>
            <w:r>
              <w:rPr>
                <w:rFonts w:hint="eastAsia" w:ascii="仿宋" w:hAnsi="仿宋" w:eastAsia="仿宋" w:cs="宋体"/>
                <w:sz w:val="24"/>
              </w:rPr>
              <w:t>1.9.1</w:t>
            </w:r>
          </w:p>
        </w:tc>
        <w:tc>
          <w:tcPr>
            <w:tcW w:w="76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将争议提交杭州仲裁委员会依申请仲裁时其现行有效的仲裁规则裁决</w:t>
            </w:r>
          </w:p>
        </w:tc>
      </w:tr>
      <w:tr>
        <w:tblPrEx>
          <w:tblCellMar>
            <w:top w:w="0" w:type="dxa"/>
            <w:left w:w="108" w:type="dxa"/>
            <w:bottom w:w="0" w:type="dxa"/>
            <w:right w:w="108" w:type="dxa"/>
          </w:tblCellMar>
        </w:tblPrEx>
        <w:trPr>
          <w:trHeight w:val="270"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after="156" w:afterLines="50"/>
              <w:ind w:right="-420" w:rightChars="-200"/>
              <w:rPr>
                <w:rFonts w:ascii="仿宋" w:hAnsi="仿宋" w:eastAsia="仿宋" w:cs="宋体"/>
                <w:sz w:val="24"/>
              </w:rPr>
            </w:pPr>
            <w:r>
              <w:rPr>
                <w:rFonts w:hint="eastAsia" w:ascii="仿宋" w:hAnsi="仿宋" w:eastAsia="仿宋" w:cs="宋体"/>
                <w:sz w:val="24"/>
              </w:rPr>
              <w:t>1.9.2</w:t>
            </w:r>
          </w:p>
        </w:tc>
        <w:tc>
          <w:tcPr>
            <w:tcW w:w="76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向杭州市上城区人民法院起诉</w:t>
            </w:r>
          </w:p>
        </w:tc>
      </w:tr>
      <w:tr>
        <w:tblPrEx>
          <w:tblCellMar>
            <w:top w:w="0" w:type="dxa"/>
            <w:left w:w="108" w:type="dxa"/>
            <w:bottom w:w="0" w:type="dxa"/>
            <w:right w:w="108" w:type="dxa"/>
          </w:tblCellMar>
        </w:tblPrEx>
        <w:trPr>
          <w:trHeight w:val="270"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after="156" w:afterLines="50"/>
              <w:ind w:right="-420" w:rightChars="-200"/>
              <w:rPr>
                <w:rFonts w:ascii="仿宋" w:hAnsi="仿宋" w:eastAsia="仿宋" w:cs="宋体"/>
                <w:sz w:val="24"/>
              </w:rPr>
            </w:pPr>
            <w:r>
              <w:rPr>
                <w:rFonts w:hint="eastAsia" w:ascii="仿宋" w:hAnsi="仿宋" w:eastAsia="仿宋" w:cs="宋体"/>
                <w:sz w:val="24"/>
              </w:rPr>
              <w:t>2.3.2</w:t>
            </w:r>
          </w:p>
        </w:tc>
        <w:tc>
          <w:tcPr>
            <w:tcW w:w="76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w:t>
            </w:r>
          </w:p>
        </w:tc>
      </w:tr>
      <w:tr>
        <w:tblPrEx>
          <w:tblCellMar>
            <w:top w:w="0" w:type="dxa"/>
            <w:left w:w="108" w:type="dxa"/>
            <w:bottom w:w="0" w:type="dxa"/>
            <w:right w:w="108" w:type="dxa"/>
          </w:tblCellMar>
        </w:tblPrEx>
        <w:trPr>
          <w:trHeight w:val="270"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after="156" w:afterLines="50"/>
              <w:ind w:right="-420" w:rightChars="-200"/>
              <w:rPr>
                <w:rFonts w:ascii="仿宋" w:hAnsi="仿宋" w:eastAsia="仿宋" w:cs="宋体"/>
                <w:sz w:val="24"/>
              </w:rPr>
            </w:pPr>
            <w:r>
              <w:rPr>
                <w:rFonts w:hint="eastAsia" w:ascii="仿宋" w:hAnsi="仿宋" w:eastAsia="仿宋" w:cs="宋体"/>
                <w:sz w:val="24"/>
              </w:rPr>
              <w:t>2.4.1</w:t>
            </w:r>
          </w:p>
        </w:tc>
        <w:tc>
          <w:tcPr>
            <w:tcW w:w="76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甲方指定要求</w:t>
            </w:r>
          </w:p>
        </w:tc>
      </w:tr>
      <w:tr>
        <w:tblPrEx>
          <w:tblCellMar>
            <w:top w:w="0" w:type="dxa"/>
            <w:left w:w="108" w:type="dxa"/>
            <w:bottom w:w="0" w:type="dxa"/>
            <w:right w:w="108" w:type="dxa"/>
          </w:tblCellMar>
        </w:tblPrEx>
        <w:trPr>
          <w:trHeight w:val="270"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after="156" w:afterLines="50"/>
              <w:ind w:right="-420" w:rightChars="-200"/>
              <w:rPr>
                <w:rFonts w:ascii="仿宋" w:hAnsi="仿宋" w:eastAsia="仿宋" w:cs="宋体"/>
                <w:sz w:val="24"/>
              </w:rPr>
            </w:pPr>
            <w:r>
              <w:rPr>
                <w:rFonts w:hint="eastAsia" w:ascii="仿宋" w:hAnsi="仿宋" w:eastAsia="仿宋" w:cs="宋体"/>
                <w:sz w:val="24"/>
              </w:rPr>
              <w:t>2.4.3</w:t>
            </w:r>
          </w:p>
        </w:tc>
        <w:tc>
          <w:tcPr>
            <w:tcW w:w="76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按甲方要求</w:t>
            </w:r>
          </w:p>
        </w:tc>
      </w:tr>
      <w:tr>
        <w:tblPrEx>
          <w:tblCellMar>
            <w:top w:w="0" w:type="dxa"/>
            <w:left w:w="108" w:type="dxa"/>
            <w:bottom w:w="0" w:type="dxa"/>
            <w:right w:w="108" w:type="dxa"/>
          </w:tblCellMar>
        </w:tblPrEx>
        <w:trPr>
          <w:trHeight w:val="270"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after="156" w:afterLines="50"/>
              <w:ind w:right="-420" w:rightChars="-200"/>
              <w:rPr>
                <w:rFonts w:ascii="仿宋" w:hAnsi="仿宋" w:eastAsia="仿宋" w:cs="宋体"/>
                <w:sz w:val="24"/>
              </w:rPr>
            </w:pPr>
            <w:r>
              <w:rPr>
                <w:rFonts w:hint="eastAsia" w:ascii="仿宋" w:hAnsi="仿宋" w:eastAsia="仿宋" w:cs="宋体"/>
                <w:sz w:val="24"/>
              </w:rPr>
              <w:t>2.8</w:t>
            </w:r>
          </w:p>
        </w:tc>
        <w:tc>
          <w:tcPr>
            <w:tcW w:w="76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货物或者在途货物或者交付给第一承运人后的货物毁损、灭失的风险由乙方承担一切责任并赔偿甲方损失。</w:t>
            </w:r>
          </w:p>
        </w:tc>
      </w:tr>
      <w:tr>
        <w:tblPrEx>
          <w:tblCellMar>
            <w:top w:w="0" w:type="dxa"/>
            <w:left w:w="108" w:type="dxa"/>
            <w:bottom w:w="0" w:type="dxa"/>
            <w:right w:w="108" w:type="dxa"/>
          </w:tblCellMar>
        </w:tblPrEx>
        <w:trPr>
          <w:trHeight w:val="270"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after="156" w:afterLines="50"/>
              <w:ind w:right="-420" w:rightChars="-200"/>
              <w:rPr>
                <w:rFonts w:ascii="仿宋" w:hAnsi="仿宋" w:eastAsia="仿宋" w:cs="宋体"/>
                <w:sz w:val="24"/>
              </w:rPr>
            </w:pPr>
            <w:r>
              <w:rPr>
                <w:rFonts w:hint="eastAsia" w:ascii="仿宋" w:hAnsi="仿宋" w:eastAsia="仿宋" w:cs="宋体"/>
                <w:sz w:val="24"/>
              </w:rPr>
              <w:t>2.12.3</w:t>
            </w:r>
          </w:p>
        </w:tc>
        <w:tc>
          <w:tcPr>
            <w:tcW w:w="76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因不可抗力致使合同有变更必要的，双方当事人应在15日内以书面形式变更合同；</w:t>
            </w:r>
          </w:p>
        </w:tc>
      </w:tr>
      <w:tr>
        <w:tblPrEx>
          <w:tblCellMar>
            <w:top w:w="0" w:type="dxa"/>
            <w:left w:w="108" w:type="dxa"/>
            <w:bottom w:w="0" w:type="dxa"/>
            <w:right w:w="108" w:type="dxa"/>
          </w:tblCellMar>
        </w:tblPrEx>
        <w:trPr>
          <w:trHeight w:val="540"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after="156" w:afterLines="50"/>
              <w:ind w:right="-420" w:rightChars="-200"/>
              <w:rPr>
                <w:rFonts w:ascii="仿宋" w:hAnsi="仿宋" w:eastAsia="仿宋" w:cs="宋体"/>
                <w:sz w:val="24"/>
              </w:rPr>
            </w:pPr>
            <w:r>
              <w:rPr>
                <w:rFonts w:hint="eastAsia" w:ascii="仿宋" w:hAnsi="仿宋" w:eastAsia="仿宋" w:cs="宋体"/>
                <w:sz w:val="24"/>
              </w:rPr>
              <w:t>2.12.4</w:t>
            </w:r>
          </w:p>
        </w:tc>
        <w:tc>
          <w:tcPr>
            <w:tcW w:w="76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受不可抗力影响的一方在不可抗力发生后，应在15日内以书面形式通知对方当事人，并在15日内，将有关部门出具的证明文件送达对方当事人。</w:t>
            </w:r>
          </w:p>
        </w:tc>
      </w:tr>
      <w:tr>
        <w:tblPrEx>
          <w:tblCellMar>
            <w:top w:w="0" w:type="dxa"/>
            <w:left w:w="108" w:type="dxa"/>
            <w:bottom w:w="0" w:type="dxa"/>
            <w:right w:w="108" w:type="dxa"/>
          </w:tblCellMar>
        </w:tblPrEx>
        <w:trPr>
          <w:trHeight w:val="540"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after="156" w:afterLines="50"/>
              <w:ind w:right="-420" w:rightChars="-200"/>
              <w:rPr>
                <w:rFonts w:ascii="仿宋" w:hAnsi="仿宋" w:eastAsia="仿宋" w:cs="宋体"/>
                <w:sz w:val="24"/>
              </w:rPr>
            </w:pPr>
            <w:r>
              <w:rPr>
                <w:rFonts w:hint="eastAsia" w:ascii="仿宋" w:hAnsi="仿宋" w:eastAsia="仿宋" w:cs="宋体"/>
                <w:sz w:val="24"/>
              </w:rPr>
              <w:t>2.16.1</w:t>
            </w:r>
          </w:p>
        </w:tc>
        <w:tc>
          <w:tcPr>
            <w:tcW w:w="76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货物交付前，乙方应对货物的质量、数量等方面进行详细、全面的检验；货物交付安装调试完成后，甲方在1个月内组织验收，并可依法邀请相关方参加，验收应出具验收书。</w:t>
            </w:r>
          </w:p>
        </w:tc>
      </w:tr>
      <w:tr>
        <w:tblPrEx>
          <w:tblCellMar>
            <w:top w:w="0" w:type="dxa"/>
            <w:left w:w="108" w:type="dxa"/>
            <w:bottom w:w="0" w:type="dxa"/>
            <w:right w:w="108" w:type="dxa"/>
          </w:tblCellMar>
        </w:tblPrEx>
        <w:trPr>
          <w:trHeight w:val="270"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after="156" w:afterLines="50"/>
              <w:ind w:right="-420" w:rightChars="-200"/>
              <w:rPr>
                <w:rFonts w:ascii="仿宋" w:hAnsi="仿宋" w:eastAsia="仿宋" w:cs="宋体"/>
                <w:sz w:val="24"/>
              </w:rPr>
            </w:pPr>
            <w:r>
              <w:rPr>
                <w:rFonts w:hint="eastAsia" w:ascii="仿宋" w:hAnsi="仿宋" w:eastAsia="仿宋" w:cs="宋体"/>
                <w:sz w:val="24"/>
              </w:rPr>
              <w:t>2.16.3</w:t>
            </w:r>
          </w:p>
        </w:tc>
        <w:tc>
          <w:tcPr>
            <w:tcW w:w="76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遵照《民法典》有关条文执行。</w:t>
            </w:r>
          </w:p>
        </w:tc>
      </w:tr>
      <w:tr>
        <w:tblPrEx>
          <w:tblCellMar>
            <w:top w:w="0" w:type="dxa"/>
            <w:left w:w="108" w:type="dxa"/>
            <w:bottom w:w="0" w:type="dxa"/>
            <w:right w:w="108" w:type="dxa"/>
          </w:tblCellMar>
        </w:tblPrEx>
        <w:trPr>
          <w:trHeight w:val="270"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after="156" w:afterLines="50"/>
              <w:ind w:right="-420" w:rightChars="-200"/>
              <w:rPr>
                <w:rFonts w:ascii="仿宋" w:hAnsi="仿宋" w:eastAsia="仿宋" w:cs="宋体"/>
                <w:sz w:val="24"/>
              </w:rPr>
            </w:pPr>
            <w:r>
              <w:rPr>
                <w:rFonts w:hint="eastAsia" w:ascii="仿宋" w:hAnsi="仿宋" w:eastAsia="仿宋" w:cs="宋体"/>
                <w:sz w:val="24"/>
              </w:rPr>
              <w:t>2.2</w:t>
            </w:r>
          </w:p>
        </w:tc>
        <w:tc>
          <w:tcPr>
            <w:tcW w:w="76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本合同一式六份，甲乙双方各执三份。</w:t>
            </w:r>
          </w:p>
        </w:tc>
      </w:tr>
    </w:tbl>
    <w:p/>
    <w:p>
      <w:pPr>
        <w:rPr>
          <w:color w:val="auto"/>
          <w:highlight w:val="none"/>
        </w:rPr>
      </w:pPr>
    </w:p>
    <w:p>
      <w:pPr>
        <w:rPr>
          <w:color w:val="auto"/>
          <w:highlight w:val="none"/>
        </w:rPr>
      </w:pPr>
    </w:p>
    <w:p>
      <w:pPr>
        <w:pStyle w:val="963"/>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pStyle w:val="2"/>
        <w:rPr>
          <w:rFonts w:ascii="宋体" w:hAnsi="宋体" w:cs="宋体"/>
          <w:b/>
          <w:color w:val="auto"/>
          <w:sz w:val="24"/>
          <w:highlight w:val="none"/>
        </w:rPr>
      </w:pPr>
    </w:p>
    <w:p>
      <w:pPr>
        <w:pStyle w:val="2"/>
        <w:rPr>
          <w:rFonts w:ascii="宋体" w:hAnsi="宋体" w:cs="宋体"/>
          <w:b/>
          <w:color w:val="auto"/>
          <w:sz w:val="24"/>
          <w:highlight w:val="none"/>
        </w:rPr>
      </w:pPr>
    </w:p>
    <w:p>
      <w:pPr>
        <w:pStyle w:val="2"/>
        <w:rPr>
          <w:rFonts w:ascii="宋体" w:hAnsi="宋体" w:cs="宋体"/>
          <w:b/>
          <w:color w:val="auto"/>
          <w:sz w:val="24"/>
          <w:highlight w:val="none"/>
        </w:rPr>
      </w:pPr>
    </w:p>
    <w:p>
      <w:pPr>
        <w:pStyle w:val="2"/>
        <w:rPr>
          <w:rFonts w:ascii="宋体" w:hAnsi="宋体" w:cs="宋体"/>
          <w:b/>
          <w:color w:val="auto"/>
          <w:sz w:val="24"/>
          <w:highlight w:val="none"/>
        </w:rPr>
      </w:pPr>
    </w:p>
    <w:p>
      <w:pPr>
        <w:pStyle w:val="2"/>
        <w:rPr>
          <w:rFonts w:ascii="宋体" w:hAnsi="宋体" w:cs="宋体"/>
          <w:b/>
          <w:color w:val="auto"/>
          <w:sz w:val="24"/>
          <w:highlight w:val="none"/>
        </w:rPr>
      </w:pPr>
    </w:p>
    <w:p>
      <w:pPr>
        <w:pStyle w:val="2"/>
        <w:rPr>
          <w:rFonts w:ascii="宋体" w:hAnsi="宋体" w:cs="宋体"/>
          <w:b/>
          <w:color w:val="auto"/>
          <w:sz w:val="24"/>
          <w:highlight w:val="none"/>
        </w:rPr>
      </w:pPr>
    </w:p>
    <w:p>
      <w:pPr>
        <w:pStyle w:val="2"/>
        <w:rPr>
          <w:rFonts w:ascii="宋体" w:hAnsi="宋体" w:cs="宋体"/>
          <w:b/>
          <w:color w:val="auto"/>
          <w:sz w:val="24"/>
          <w:highlight w:val="none"/>
        </w:rPr>
      </w:pPr>
    </w:p>
    <w:p>
      <w:pPr>
        <w:pStyle w:val="2"/>
        <w:rPr>
          <w:rFonts w:ascii="宋体" w:hAnsi="宋体" w:cs="宋体"/>
          <w:b/>
          <w:color w:val="auto"/>
          <w:sz w:val="24"/>
          <w:highlight w:val="none"/>
        </w:rPr>
      </w:pPr>
    </w:p>
    <w:p>
      <w:pPr>
        <w:pStyle w:val="2"/>
        <w:rPr>
          <w:rFonts w:ascii="宋体" w:hAnsi="宋体" w:cs="宋体"/>
          <w:b/>
          <w:color w:val="auto"/>
          <w:sz w:val="24"/>
          <w:highlight w:val="none"/>
        </w:rPr>
      </w:pPr>
    </w:p>
    <w:p>
      <w:pPr>
        <w:pStyle w:val="2"/>
        <w:rPr>
          <w:rFonts w:ascii="宋体" w:hAnsi="宋体" w:cs="宋体"/>
          <w:b/>
          <w:color w:val="auto"/>
          <w:sz w:val="24"/>
          <w:highlight w:val="none"/>
        </w:rPr>
      </w:pPr>
    </w:p>
    <w:p>
      <w:pPr>
        <w:pStyle w:val="2"/>
        <w:rPr>
          <w:rFonts w:ascii="宋体" w:hAnsi="宋体" w:cs="宋体"/>
          <w:b/>
          <w:color w:val="auto"/>
          <w:sz w:val="24"/>
          <w:highlight w:val="none"/>
        </w:rPr>
      </w:pPr>
    </w:p>
    <w:p>
      <w:pPr>
        <w:pStyle w:val="2"/>
        <w:rPr>
          <w:rFonts w:ascii="宋体" w:hAnsi="宋体" w:cs="宋体"/>
          <w:b/>
          <w:color w:val="auto"/>
          <w:sz w:val="24"/>
          <w:highlight w:val="none"/>
        </w:rPr>
      </w:pPr>
    </w:p>
    <w:p>
      <w:pPr>
        <w:pStyle w:val="2"/>
        <w:rPr>
          <w:rFonts w:ascii="宋体" w:hAnsi="宋体" w:cs="宋体"/>
          <w:b/>
          <w:color w:val="auto"/>
          <w:sz w:val="24"/>
          <w:highlight w:val="none"/>
        </w:rPr>
      </w:pPr>
    </w:p>
    <w:p>
      <w:pPr>
        <w:pStyle w:val="2"/>
        <w:rPr>
          <w:rFonts w:ascii="宋体" w:hAnsi="宋体" w:cs="宋体"/>
          <w:b/>
          <w:color w:val="auto"/>
          <w:sz w:val="24"/>
          <w:highlight w:val="none"/>
        </w:rPr>
      </w:pPr>
    </w:p>
    <w:p>
      <w:pPr>
        <w:pStyle w:val="2"/>
        <w:rPr>
          <w:rFonts w:ascii="宋体" w:hAnsi="宋体" w:cs="宋体"/>
          <w:b/>
          <w:color w:val="auto"/>
          <w:sz w:val="24"/>
          <w:highlight w:val="none"/>
        </w:rPr>
      </w:pPr>
    </w:p>
    <w:p>
      <w:pPr>
        <w:pStyle w:val="2"/>
        <w:rPr>
          <w:rFonts w:ascii="宋体" w:hAnsi="宋体" w:cs="宋体"/>
          <w:b/>
          <w:color w:val="auto"/>
          <w:sz w:val="24"/>
          <w:highlight w:val="none"/>
        </w:rPr>
      </w:pPr>
    </w:p>
    <w:p>
      <w:pPr>
        <w:pStyle w:val="2"/>
        <w:rPr>
          <w:rFonts w:ascii="宋体" w:hAnsi="宋体" w:cs="宋体"/>
          <w:b/>
          <w:color w:val="auto"/>
          <w:sz w:val="24"/>
          <w:highlight w:val="none"/>
        </w:rPr>
      </w:pPr>
    </w:p>
    <w:p>
      <w:pPr>
        <w:pStyle w:val="2"/>
        <w:rPr>
          <w:rFonts w:ascii="宋体" w:hAnsi="宋体" w:cs="宋体"/>
          <w:b/>
          <w:color w:val="auto"/>
          <w:sz w:val="24"/>
          <w:highlight w:val="none"/>
        </w:rPr>
      </w:pPr>
    </w:p>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20"/>
      <w:r>
        <w:rPr>
          <w:rFonts w:hint="eastAsia" w:ascii="宋体" w:hAnsi="宋体" w:cs="宋体"/>
          <w:b/>
          <w:sz w:val="36"/>
          <w:szCs w:val="20"/>
        </w:rPr>
        <w:t xml:space="preserve"> </w:t>
      </w:r>
      <w:bookmarkEnd w:id="421"/>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rPr>
        <w:br w:type="page"/>
      </w:r>
      <w:r>
        <w:rPr>
          <w:rFonts w:hint="eastAsia" w:ascii="宋体" w:hAnsi="宋体" w:cs="宋体"/>
          <w:b/>
          <w:kern w:val="0"/>
          <w:sz w:val="32"/>
          <w:szCs w:val="32"/>
        </w:rPr>
        <w:t xml:space="preserve">  </w:t>
      </w:r>
      <w:r>
        <w:rPr>
          <w:rFonts w:hint="eastAsia" w:ascii="宋体" w:hAnsi="宋体" w:cs="宋体"/>
          <w:b/>
          <w:kern w:val="0"/>
          <w:sz w:val="32"/>
          <w:szCs w:val="32"/>
          <w:highlight w:val="none"/>
        </w:rPr>
        <w:t>一、 符合参加政府采购活动应当具备的一般条件的承诺函</w:t>
      </w:r>
    </w:p>
    <w:p>
      <w:pPr>
        <w:snapToGrid w:val="0"/>
        <w:spacing w:line="360" w:lineRule="auto"/>
        <w:rPr>
          <w:rFonts w:ascii="宋体" w:hAnsi="宋体" w:cs="宋体"/>
          <w:sz w:val="24"/>
          <w:highlight w:val="none"/>
        </w:rPr>
      </w:pPr>
      <w:r>
        <w:rPr>
          <w:rFonts w:hint="eastAsia" w:ascii="宋体" w:hAnsi="宋体" w:cs="宋体"/>
          <w:sz w:val="24"/>
          <w:highlight w:val="none"/>
        </w:rPr>
        <w:t>杭州市上城区文化和广电旅游体育局、</w:t>
      </w:r>
      <w:r>
        <w:rPr>
          <w:rFonts w:hint="eastAsia" w:cs="仿宋_GB2312" w:asciiTheme="minorEastAsia" w:hAnsiTheme="minorEastAsia" w:eastAsiaTheme="minorEastAsia"/>
          <w:sz w:val="24"/>
          <w:highlight w:val="none"/>
        </w:rPr>
        <w:t>杭州市公共资源交易中心上城分中心</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2025年杭州市上城区文化和广电旅游体育局应急广播体系建设</w:t>
      </w:r>
      <w:r>
        <w:rPr>
          <w:rFonts w:hint="eastAsia" w:ascii="宋体" w:hAnsi="宋体" w:cs="宋体"/>
          <w:sz w:val="24"/>
          <w:highlight w:val="none"/>
        </w:rPr>
        <w:t>【招标编号：SCCG2025-GK-17】政府采购活动，郑重承诺：</w:t>
      </w:r>
    </w:p>
    <w:p>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line="360" w:lineRule="auto"/>
        <w:ind w:right="480" w:firstLine="559" w:firstLineChars="233"/>
        <w:jc w:val="left"/>
        <w:rPr>
          <w:rFonts w:hint="eastAsia" w:cs="仿宋_GB2312" w:asciiTheme="minorEastAsia" w:hAnsiTheme="minorEastAsia" w:eastAsiaTheme="minorEastAsia"/>
          <w:sz w:val="24"/>
          <w:highlight w:val="cyan"/>
        </w:rPr>
      </w:pPr>
    </w:p>
    <w:p>
      <w:pPr>
        <w:snapToGrid w:val="0"/>
        <w:spacing w:line="360" w:lineRule="auto"/>
        <w:ind w:right="480" w:firstLine="559" w:firstLineChars="233"/>
        <w:jc w:val="left"/>
        <w:rPr>
          <w:rFonts w:hint="eastAsia" w:cs="仿宋_GB2312" w:asciiTheme="minorEastAsia" w:hAnsiTheme="minorEastAsia" w:eastAsiaTheme="minorEastAsia"/>
          <w:sz w:val="24"/>
          <w:highlight w:val="cyan"/>
        </w:rPr>
      </w:pPr>
    </w:p>
    <w:p>
      <w:pPr>
        <w:widowControl/>
        <w:spacing w:line="360" w:lineRule="auto"/>
        <w:ind w:firstLine="643" w:firstLineChars="200"/>
        <w:jc w:val="center"/>
        <w:rPr>
          <w:rFonts w:ascii="宋体" w:hAnsi="宋体" w:cs="宋体"/>
          <w:b/>
          <w:kern w:val="0"/>
          <w:sz w:val="32"/>
          <w:szCs w:val="32"/>
        </w:rPr>
      </w:pPr>
    </w:p>
    <w:p>
      <w:pPr>
        <w:pStyle w:val="2"/>
        <w:rPr>
          <w:rFonts w:ascii="宋体" w:hAnsi="宋体" w:cs="宋体"/>
          <w:b/>
          <w:kern w:val="0"/>
          <w:sz w:val="32"/>
          <w:szCs w:val="32"/>
        </w:rPr>
      </w:pPr>
    </w:p>
    <w:p>
      <w:pPr>
        <w:pStyle w:val="2"/>
        <w:rPr>
          <w:rFonts w:ascii="宋体" w:hAnsi="宋体" w:cs="宋体"/>
          <w:b/>
          <w:kern w:val="0"/>
          <w:sz w:val="32"/>
          <w:szCs w:val="32"/>
        </w:rPr>
      </w:pPr>
    </w:p>
    <w:p>
      <w:pPr>
        <w:pStyle w:val="2"/>
        <w:rPr>
          <w:rFonts w:ascii="宋体" w:hAnsi="宋体" w:cs="宋体"/>
          <w:b/>
          <w:kern w:val="0"/>
          <w:sz w:val="32"/>
          <w:szCs w:val="32"/>
        </w:rPr>
      </w:pPr>
    </w:p>
    <w:p>
      <w:pPr>
        <w:pStyle w:val="2"/>
        <w:rPr>
          <w:rFonts w:ascii="宋体" w:hAnsi="宋体" w:cs="宋体"/>
          <w:b/>
          <w:kern w:val="0"/>
          <w:sz w:val="32"/>
          <w:szCs w:val="32"/>
        </w:rPr>
      </w:pPr>
    </w:p>
    <w:p>
      <w:pPr>
        <w:pStyle w:val="2"/>
        <w:rPr>
          <w:rFonts w:ascii="宋体" w:hAnsi="宋体" w:cs="宋体"/>
          <w:b/>
          <w:kern w:val="0"/>
          <w:sz w:val="32"/>
          <w:szCs w:val="32"/>
        </w:rPr>
      </w:pPr>
    </w:p>
    <w:p>
      <w:pPr>
        <w:pStyle w:val="2"/>
        <w:rPr>
          <w:rFonts w:ascii="宋体" w:hAnsi="宋体" w:cs="宋体"/>
          <w:b/>
          <w:kern w:val="0"/>
          <w:sz w:val="32"/>
          <w:szCs w:val="32"/>
        </w:rPr>
      </w:pPr>
    </w:p>
    <w:p>
      <w:pPr>
        <w:pStyle w:val="2"/>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pPr>
        <w:widowControl/>
        <w:spacing w:line="360" w:lineRule="auto"/>
        <w:ind w:left="150"/>
        <w:jc w:val="center"/>
        <w:rPr>
          <w:rFonts w:hint="eastAsia" w:ascii="宋体" w:hAnsi="宋体" w:eastAsia="宋体" w:cs="宋体"/>
          <w:b/>
          <w:kern w:val="0"/>
          <w:sz w:val="32"/>
          <w:szCs w:val="32"/>
          <w:highlight w:val="none"/>
          <w:lang w:val="en-US" w:eastAsia="zh-CN"/>
        </w:rPr>
      </w:pPr>
      <w:r>
        <w:rPr>
          <w:rFonts w:hint="eastAsia" w:ascii="宋体" w:hAnsi="宋体" w:cs="宋体"/>
          <w:b/>
          <w:kern w:val="0"/>
          <w:sz w:val="32"/>
          <w:szCs w:val="32"/>
          <w:highlight w:val="none"/>
          <w:lang w:val="en-US" w:eastAsia="zh-CN"/>
        </w:rPr>
        <w:t>无</w:t>
      </w: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4"/>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杭州市上城区文化和广电旅游体育局、</w:t>
      </w:r>
      <w:r>
        <w:rPr>
          <w:rFonts w:hint="eastAsia" w:cs="仿宋_GB2312" w:asciiTheme="minorEastAsia" w:hAnsiTheme="minorEastAsia" w:eastAsiaTheme="minorEastAsia"/>
          <w:sz w:val="24"/>
        </w:rPr>
        <w:t>杭州市公共资源交易中心上城分中心</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2025年杭州市上城区文化和广电旅游体育局应急广播体系建设</w:t>
      </w:r>
      <w:r>
        <w:rPr>
          <w:rFonts w:hint="eastAsia" w:ascii="宋体" w:hAnsi="宋体" w:cs="宋体"/>
          <w:sz w:val="24"/>
        </w:rPr>
        <w:t>【招标编号：SCCG2025-GK-17】招标的有关活动，并对此项目进行投标。为此：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pPr>
        <w:snapToGrid w:val="0"/>
        <w:spacing w:line="360" w:lineRule="auto"/>
        <w:ind w:firstLine="960" w:firstLineChars="400"/>
        <w:rPr>
          <w:rFonts w:hint="eastAsia" w:ascii="宋体" w:hAnsi="宋体" w:eastAsia="宋体" w:cs="宋体"/>
          <w:b w:val="0"/>
          <w:bCs w:val="0"/>
          <w:color w:val="auto"/>
          <w:sz w:val="24"/>
          <w:szCs w:val="24"/>
          <w:highlight w:val="none"/>
          <w:lang w:val="en-US" w:eastAsia="zh-CN"/>
        </w:rPr>
      </w:pPr>
      <w:bookmarkStart w:id="529" w:name="OLE_LINK6"/>
      <w:r>
        <w:rPr>
          <w:rFonts w:hint="eastAsia" w:ascii="宋体" w:hAnsi="宋体" w:cs="宋体"/>
          <w:color w:val="auto"/>
          <w:sz w:val="24"/>
          <w:highlight w:val="none"/>
        </w:rPr>
        <w:t>2.3.2</w:t>
      </w:r>
      <w:bookmarkEnd w:id="529"/>
      <w:r>
        <w:rPr>
          <w:rFonts w:hint="eastAsia" w:ascii="宋体" w:hAnsi="宋体" w:eastAsia="宋体" w:cs="宋体"/>
          <w:b w:val="0"/>
          <w:bCs w:val="0"/>
          <w:color w:val="auto"/>
          <w:sz w:val="24"/>
          <w:szCs w:val="24"/>
          <w:highlight w:val="none"/>
          <w:lang w:val="en-US"/>
        </w:rPr>
        <w:t>报价情况说明（</w:t>
      </w:r>
      <w:r>
        <w:rPr>
          <w:rFonts w:hint="eastAsia" w:ascii="宋体" w:hAnsi="宋体" w:cs="宋体"/>
          <w:b/>
          <w:sz w:val="24"/>
          <w:highlight w:val="none"/>
        </w:rPr>
        <w:t>▲</w:t>
      </w: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FF0000"/>
          <w:sz w:val="24"/>
          <w:highlight w:val="none"/>
          <w:lang w:eastAsia="zh-CN"/>
        </w:rPr>
        <w:t>（</w:t>
      </w:r>
      <w:r>
        <w:rPr>
          <w:rFonts w:hint="eastAsia" w:ascii="宋体" w:hAnsi="宋体" w:cs="宋体"/>
          <w:color w:val="FF0000"/>
          <w:sz w:val="24"/>
          <w:highlight w:val="none"/>
          <w:lang w:val="en-US" w:eastAsia="zh-CN"/>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r>
        <w:rPr>
          <w:rFonts w:hint="eastAsia" w:ascii="宋体" w:hAnsi="宋体" w:cs="宋体"/>
          <w:color w:val="auto"/>
          <w:sz w:val="24"/>
          <w:highlight w:val="none"/>
          <w:lang w:eastAsia="zh-CN"/>
        </w:rPr>
        <w:t>对投标文件中材料的真实性、合法性负责，积极配合采购人复核投标文件中的资料。</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pPr>
        <w:snapToGrid w:val="0"/>
        <w:spacing w:line="360" w:lineRule="auto"/>
        <w:ind w:firstLine="720" w:firstLineChars="3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pStyle w:val="2"/>
        <w:numPr>
          <w:ilvl w:val="0"/>
          <w:numId w:val="0"/>
        </w:numPr>
        <w:ind w:firstLine="720" w:firstLineChars="300"/>
        <w:rPr>
          <w:rFonts w:hint="default" w:eastAsia="华文楷体"/>
          <w:highlight w:val="none"/>
          <w:lang w:val="en-US" w:eastAsia="zh-CN"/>
        </w:rPr>
      </w:pPr>
      <w:r>
        <w:rPr>
          <w:rFonts w:hint="eastAsia" w:ascii="宋体" w:hAnsi="宋体" w:eastAsia="宋体" w:cs="宋体"/>
          <w:color w:val="auto"/>
          <w:kern w:val="2"/>
          <w:sz w:val="24"/>
          <w:szCs w:val="24"/>
          <w:highlight w:val="none"/>
          <w:lang w:val="en-US" w:eastAsia="zh-CN" w:bidi="ar-SA"/>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hint="eastAsia" w:ascii="宋体" w:hAnsi="宋体" w:cs="宋体"/>
          <w:sz w:val="24"/>
        </w:rPr>
      </w:pPr>
    </w:p>
    <w:p>
      <w:pPr>
        <w:spacing w:line="360" w:lineRule="auto"/>
        <w:ind w:firstLine="6000" w:firstLineChars="2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杭州市上城区文化和广电旅游体育局、</w:t>
      </w:r>
      <w:r>
        <w:rPr>
          <w:rFonts w:hint="eastAsia" w:cs="仿宋_GB2312" w:asciiTheme="minorEastAsia" w:hAnsiTheme="minorEastAsia" w:eastAsiaTheme="minorEastAsia"/>
          <w:sz w:val="24"/>
        </w:rPr>
        <w:t>杭州市公共资源交易中心上城分中心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），以我方名义处理2025年杭州市上城区文化和广电旅游体育局应急广播体系建设</w:t>
      </w:r>
      <w:r>
        <w:rPr>
          <w:rFonts w:hint="eastAsia" w:ascii="宋体" w:hAnsi="宋体" w:cs="宋体"/>
          <w:sz w:val="24"/>
        </w:rPr>
        <w:t>【招标编号：SCCG2025-GK-17】</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sz w:val="24"/>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pPr>
        <w:snapToGrid w:val="0"/>
        <w:spacing w:line="360" w:lineRule="auto"/>
        <w:rPr>
          <w:rFonts w:ascii="宋体" w:hAnsi="宋体" w:cs="宋体"/>
          <w:kern w:val="0"/>
          <w:sz w:val="24"/>
          <w:highlight w:val="none"/>
        </w:rPr>
      </w:pPr>
      <w:r>
        <w:rPr>
          <w:rFonts w:hint="eastAsia" w:ascii="宋体" w:hAnsi="宋体" w:cs="宋体"/>
          <w:sz w:val="24"/>
          <w:highlight w:val="none"/>
        </w:rPr>
        <w:t>杭州市上城区文化和广电旅游体育局、</w:t>
      </w:r>
      <w:r>
        <w:rPr>
          <w:rFonts w:hint="eastAsia" w:cs="仿宋_GB2312" w:asciiTheme="minorEastAsia" w:hAnsiTheme="minorEastAsia" w:eastAsiaTheme="minorEastAsia"/>
          <w:sz w:val="24"/>
          <w:highlight w:val="none"/>
        </w:rPr>
        <w:t>杭州市公共资源交易中心上城分中心</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），以我方名义处理2025年杭州市上城区文化和广电旅游体育局应急广播体系建设</w:t>
      </w:r>
      <w:r>
        <w:rPr>
          <w:rFonts w:hint="eastAsia" w:ascii="宋体" w:hAnsi="宋体" w:cs="宋体"/>
          <w:sz w:val="24"/>
          <w:highlight w:val="none"/>
        </w:rPr>
        <w:t>【招标编号：SCCG2025-GK-17】</w:t>
      </w:r>
      <w:r>
        <w:rPr>
          <w:rFonts w:hint="eastAsia" w:ascii="宋体" w:hAnsi="宋体" w:cs="宋体"/>
          <w:kern w:val="0"/>
          <w:sz w:val="24"/>
          <w:highlight w:val="none"/>
          <w:lang w:val="zh-CN"/>
        </w:rPr>
        <w:t>政府采购投标的一切事项，其法律后果由我方承担。</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pPr>
        <w:snapToGrid w:val="0"/>
        <w:spacing w:line="360" w:lineRule="auto"/>
        <w:rPr>
          <w:rFonts w:ascii="宋体" w:hAnsi="宋体" w:cs="宋体"/>
          <w:b/>
          <w:kern w:val="0"/>
          <w:sz w:val="32"/>
          <w:szCs w:val="32"/>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pPr>
        <w:jc w:val="center"/>
        <w:rPr>
          <w:rFonts w:ascii="宋体" w:hAnsi="宋体" w:cs="宋体"/>
          <w:b/>
          <w:kern w:val="0"/>
          <w:sz w:val="32"/>
          <w:szCs w:val="32"/>
          <w:highlight w:val="none"/>
        </w:rPr>
      </w:pPr>
    </w:p>
    <w:p>
      <w:pPr>
        <w:rPr>
          <w:rFonts w:ascii="宋体" w:hAnsi="宋体" w:cs="宋体"/>
          <w:highlight w:val="none"/>
        </w:rPr>
      </w:pP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napToGri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autoSpaceDE w:val="0"/>
        <w:autoSpaceDN w:val="0"/>
        <w:spacing w:line="360" w:lineRule="auto"/>
        <w:jc w:val="center"/>
        <w:rPr>
          <w:rFonts w:hint="eastAsia" w:ascii="宋体" w:hAnsi="宋体" w:cs="宋体"/>
          <w:b/>
          <w:kern w:val="0"/>
          <w:sz w:val="32"/>
          <w:szCs w:val="32"/>
          <w:highlight w:val="none"/>
          <w:lang w:val="zh-CN"/>
        </w:rPr>
      </w:pPr>
    </w:p>
    <w:p>
      <w:pPr>
        <w:autoSpaceDE w:val="0"/>
        <w:autoSpaceDN w:val="0"/>
        <w:spacing w:line="360" w:lineRule="auto"/>
        <w:jc w:val="center"/>
        <w:rPr>
          <w:rFonts w:hint="eastAsia" w:ascii="宋体" w:hAnsi="宋体" w:cs="宋体"/>
          <w:b/>
          <w:kern w:val="0"/>
          <w:sz w:val="32"/>
          <w:szCs w:val="32"/>
          <w:lang w:val="zh-CN"/>
        </w:rPr>
      </w:pPr>
    </w:p>
    <w:p>
      <w:pPr>
        <w:autoSpaceDE w:val="0"/>
        <w:autoSpaceDN w:val="0"/>
        <w:spacing w:line="360" w:lineRule="auto"/>
        <w:jc w:val="center"/>
        <w:rPr>
          <w:rFonts w:hint="eastAsia"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567"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bookmarkStart w:id="530"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30"/>
    <w:p>
      <w:pPr>
        <w:snapToGrid w:val="0"/>
        <w:spacing w:line="360" w:lineRule="auto"/>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highlight w:val="none"/>
        </w:rPr>
      </w:pPr>
    </w:p>
    <w:p>
      <w:pPr>
        <w:jc w:val="center"/>
        <w:rPr>
          <w:rFonts w:ascii="宋体" w:hAnsi="宋体" w:cs="宋体"/>
          <w:b/>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left"/>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jc w:val="left"/>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pPr>
              <w:jc w:val="left"/>
              <w:rPr>
                <w:rFonts w:ascii="宋体" w:hAnsi="宋体" w:cs="宋体"/>
                <w:color w:val="auto"/>
                <w:sz w:val="24"/>
                <w:highlight w:val="none"/>
              </w:rPr>
            </w:pPr>
          </w:p>
          <w:p>
            <w:pPr>
              <w:jc w:val="left"/>
              <w:rPr>
                <w:rFonts w:ascii="宋体" w:hAnsi="宋体" w:cs="宋体"/>
                <w:color w:val="auto"/>
                <w:sz w:val="24"/>
                <w:highlight w:val="none"/>
              </w:rPr>
            </w:pPr>
            <w:r>
              <w:rPr>
                <w:rFonts w:hint="eastAsia" w:ascii="宋体" w:hAnsi="宋体" w:cs="宋体"/>
                <w:color w:val="auto"/>
                <w:sz w:val="24"/>
                <w:highlight w:val="none"/>
              </w:rPr>
              <w:t>见投标文件</w:t>
            </w:r>
          </w:p>
          <w:p>
            <w:pPr>
              <w:jc w:val="left"/>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left"/>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jc w:val="left"/>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pPr>
              <w:jc w:val="left"/>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left"/>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center"/>
          </w:tcPr>
          <w:p>
            <w:pPr>
              <w:spacing w:line="360" w:lineRule="auto"/>
              <w:jc w:val="left"/>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其他实质性要求1（如有）：</w:t>
            </w:r>
          </w:p>
        </w:tc>
        <w:tc>
          <w:tcPr>
            <w:tcW w:w="2551" w:type="dxa"/>
            <w:vMerge w:val="restart"/>
            <w:vAlign w:val="center"/>
          </w:tcPr>
          <w:p>
            <w:pPr>
              <w:jc w:val="left"/>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center"/>
          </w:tcPr>
          <w:p>
            <w:pPr>
              <w:jc w:val="left"/>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center"/>
          </w:tcPr>
          <w:p>
            <w:pPr>
              <w:spacing w:line="360" w:lineRule="auto"/>
              <w:jc w:val="left"/>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其他实质性要求2（如有）：</w:t>
            </w:r>
          </w:p>
        </w:tc>
        <w:tc>
          <w:tcPr>
            <w:tcW w:w="2551" w:type="dxa"/>
            <w:vMerge w:val="continue"/>
            <w:vAlign w:val="center"/>
          </w:tcPr>
          <w:p>
            <w:pPr>
              <w:jc w:val="left"/>
              <w:rPr>
                <w:rFonts w:hint="eastAsia" w:ascii="宋体" w:hAnsi="宋体" w:cs="宋体"/>
                <w:b w:val="0"/>
                <w:bCs w:val="0"/>
                <w:color w:val="auto"/>
                <w:sz w:val="24"/>
                <w:highlight w:val="none"/>
                <w:lang w:val="en-US" w:eastAsia="zh-CN"/>
              </w:rPr>
            </w:pPr>
          </w:p>
        </w:tc>
        <w:tc>
          <w:tcPr>
            <w:tcW w:w="1418" w:type="dxa"/>
            <w:vAlign w:val="center"/>
          </w:tcPr>
          <w:p>
            <w:pPr>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left"/>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center"/>
          </w:tcPr>
          <w:p>
            <w:pPr>
              <w:spacing w:line="360" w:lineRule="auto"/>
              <w:jc w:val="left"/>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（如有）：</w:t>
            </w:r>
          </w:p>
        </w:tc>
        <w:tc>
          <w:tcPr>
            <w:tcW w:w="2551" w:type="dxa"/>
            <w:vMerge w:val="continue"/>
            <w:vAlign w:val="center"/>
          </w:tcPr>
          <w:p>
            <w:pPr>
              <w:jc w:val="left"/>
              <w:rPr>
                <w:rFonts w:hint="eastAsia" w:ascii="宋体" w:hAnsi="宋体" w:cs="宋体"/>
                <w:b w:val="0"/>
                <w:bCs w:val="0"/>
                <w:color w:val="auto"/>
                <w:sz w:val="24"/>
                <w:highlight w:val="none"/>
                <w:lang w:val="en-US" w:eastAsia="zh-CN"/>
              </w:rPr>
            </w:pPr>
          </w:p>
        </w:tc>
        <w:tc>
          <w:tcPr>
            <w:tcW w:w="1418" w:type="dxa"/>
            <w:vAlign w:val="center"/>
          </w:tcPr>
          <w:p>
            <w:pPr>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pPr>
        <w:jc w:val="center"/>
        <w:rPr>
          <w:rFonts w:ascii="宋体" w:hAnsi="宋体" w:cs="宋体"/>
          <w:b/>
          <w:kern w:val="0"/>
          <w:sz w:val="32"/>
          <w:szCs w:val="32"/>
          <w:highlight w:val="yellow"/>
        </w:rPr>
      </w:pPr>
    </w:p>
    <w:p>
      <w:pPr>
        <w:jc w:val="center"/>
        <w:rPr>
          <w:rFonts w:ascii="宋体" w:hAnsi="宋体" w:cs="宋体"/>
          <w:b/>
          <w:kern w:val="0"/>
          <w:sz w:val="32"/>
          <w:szCs w:val="32"/>
          <w:highlight w:val="yellow"/>
        </w:rPr>
      </w:pPr>
    </w:p>
    <w:p>
      <w:pPr>
        <w:jc w:val="center"/>
        <w:rPr>
          <w:rFonts w:ascii="宋体" w:hAnsi="宋体" w:cs="宋体"/>
          <w:b/>
          <w:kern w:val="0"/>
          <w:sz w:val="32"/>
          <w:szCs w:val="32"/>
          <w:highlight w:val="yellow"/>
        </w:rPr>
      </w:pPr>
    </w:p>
    <w:p>
      <w:pPr>
        <w:jc w:val="center"/>
        <w:rPr>
          <w:rFonts w:ascii="宋体" w:hAnsi="宋体" w:cs="宋体"/>
          <w:b/>
          <w:kern w:val="0"/>
          <w:sz w:val="32"/>
          <w:szCs w:val="32"/>
          <w:highlight w:val="yellow"/>
        </w:rPr>
      </w:pPr>
    </w:p>
    <w:p>
      <w:pPr>
        <w:widowControl/>
        <w:adjustRightInd/>
        <w:jc w:val="left"/>
        <w:rPr>
          <w:rFonts w:ascii="宋体" w:hAnsi="宋体" w:cs="宋体"/>
          <w:b/>
          <w:kern w:val="0"/>
          <w:sz w:val="32"/>
          <w:szCs w:val="32"/>
          <w:highlight w:val="yellow"/>
        </w:rPr>
      </w:pPr>
      <w:r>
        <w:rPr>
          <w:rFonts w:ascii="宋体" w:hAnsi="宋体" w:cs="宋体"/>
          <w:b/>
          <w:kern w:val="0"/>
          <w:sz w:val="32"/>
          <w:szCs w:val="32"/>
          <w:highlight w:val="yellow"/>
        </w:rPr>
        <w:br w:type="page"/>
      </w:r>
    </w:p>
    <w:p>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bookmarkStart w:id="531" w:name="OLE_LINK11" w:colFirst="0" w:colLast="2"/>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p>
        </w:tc>
        <w:tc>
          <w:tcPr>
            <w:tcW w:w="3046" w:type="dxa"/>
          </w:tcPr>
          <w:p>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bookmarkEnd w:id="531"/>
    </w:tbl>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u w:val="none"/>
              </w:rPr>
            </w:pPr>
            <w:r>
              <w:rPr>
                <w:rFonts w:hint="eastAsia" w:ascii="宋体" w:hAnsi="宋体" w:cs="宋体"/>
                <w:color w:val="auto"/>
                <w:sz w:val="24"/>
                <w:highlight w:val="none"/>
                <w:u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u w:val="none"/>
              </w:rPr>
            </w:pPr>
            <w:r>
              <w:rPr>
                <w:rFonts w:hint="eastAsia" w:ascii="宋体" w:hAnsi="宋体" w:cs="宋体"/>
                <w:color w:val="auto"/>
                <w:sz w:val="24"/>
                <w:highlight w:val="none"/>
                <w:u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hint="eastAsia" w:ascii="宋体" w:hAnsi="宋体" w:cs="宋体"/>
          <w:sz w:val="24"/>
        </w:rPr>
      </w:pPr>
      <w:r>
        <w:rPr>
          <w:rFonts w:hint="eastAsia" w:ascii="宋体" w:hAnsi="宋体" w:cs="宋体"/>
          <w:sz w:val="24"/>
        </w:rPr>
        <w:t>注：按本格式和要求提供。</w:t>
      </w: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rFonts w:ascii="宋体" w:hAnsi="宋体" w:cs="宋体"/>
          <w:b/>
          <w:kern w:val="0"/>
          <w:sz w:val="32"/>
          <w:szCs w:val="32"/>
        </w:rPr>
      </w:pPr>
    </w:p>
    <w:p>
      <w:pPr>
        <w:pStyle w:val="2"/>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pPr>
        <w:rPr>
          <w:rFonts w:ascii="宋体" w:hAnsi="宋体" w:cs="宋体"/>
          <w:b/>
          <w:bCs/>
          <w:sz w:val="32"/>
          <w:szCs w:val="32"/>
          <w:highlight w:val="none"/>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杭州市上城区文化和广电旅游体育局、</w:t>
      </w:r>
      <w:r>
        <w:rPr>
          <w:rFonts w:hint="eastAsia" w:cs="仿宋_GB2312" w:asciiTheme="minorEastAsia" w:hAnsiTheme="minorEastAsia" w:eastAsiaTheme="minorEastAsia"/>
          <w:sz w:val="24"/>
        </w:rPr>
        <w:t>杭州市公共资源交易中心上城分中心</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pPr>
        <w:snapToGrid w:val="0"/>
        <w:spacing w:line="360" w:lineRule="auto"/>
        <w:rPr>
          <w:rFonts w:ascii="宋体" w:hAnsi="宋体" w:cs="宋体"/>
          <w:sz w:val="24"/>
          <w:highlight w:val="none"/>
        </w:rPr>
      </w:pPr>
      <w:r>
        <w:rPr>
          <w:rFonts w:hint="eastAsia" w:ascii="宋体" w:hAnsi="宋体" w:cs="宋体"/>
          <w:sz w:val="24"/>
          <w:highlight w:val="none"/>
        </w:rPr>
        <w:t>（2）</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FF0000"/>
          <w:sz w:val="24"/>
          <w:highlight w:val="none"/>
        </w:rPr>
        <w:t>（如果有）</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sz w:val="24"/>
          <w:highlight w:val="none"/>
        </w:rPr>
        <w:t>中小企业声明函</w:t>
      </w:r>
      <w:bookmarkStart w:id="532" w:name="OLE_LINK7"/>
      <w:r>
        <w:rPr>
          <w:rFonts w:hint="eastAsia" w:ascii="宋体" w:hAnsi="宋体" w:cs="宋体"/>
          <w:color w:val="FF0000"/>
          <w:sz w:val="24"/>
          <w:highlight w:val="none"/>
        </w:rPr>
        <w:t>（如果有）</w:t>
      </w:r>
      <w:bookmarkEnd w:id="532"/>
      <w:r>
        <w:rPr>
          <w:rFonts w:hint="eastAsia" w:ascii="宋体" w:hAnsi="宋体" w:cs="宋体"/>
          <w:sz w:val="24"/>
          <w:highlight w:val="none"/>
        </w:rPr>
        <w:t>…………………………………………………（页码）</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rPr>
          <w:rFonts w:hint="default"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一、开标一览表（报价表）</w:t>
      </w:r>
    </w:p>
    <w:p>
      <w:pPr>
        <w:snapToGrid w:val="0"/>
        <w:spacing w:line="360" w:lineRule="auto"/>
        <w:rPr>
          <w:rFonts w:ascii="宋体" w:hAnsi="宋体" w:cs="宋体"/>
          <w:kern w:val="0"/>
          <w:sz w:val="24"/>
          <w:highlight w:val="none"/>
        </w:rPr>
      </w:pPr>
      <w:r>
        <w:rPr>
          <w:rFonts w:hint="eastAsia" w:ascii="宋体" w:hAnsi="宋体" w:cs="宋体"/>
          <w:sz w:val="24"/>
          <w:highlight w:val="none"/>
        </w:rPr>
        <w:t>杭州市上城区文化和广电旅游体育局、</w:t>
      </w:r>
      <w:r>
        <w:rPr>
          <w:rFonts w:hint="eastAsia" w:cs="仿宋_GB2312" w:asciiTheme="minorEastAsia" w:hAnsiTheme="minorEastAsia" w:eastAsiaTheme="minorEastAsia"/>
          <w:sz w:val="24"/>
          <w:highlight w:val="none"/>
        </w:rPr>
        <w:t>杭州市公共资源交易中心上城分中心</w:t>
      </w:r>
      <w:r>
        <w:rPr>
          <w:rFonts w:hint="eastAsia" w:ascii="宋体" w:hAnsi="宋体" w:cs="宋体"/>
          <w:kern w:val="0"/>
          <w:sz w:val="24"/>
          <w:highlight w:val="none"/>
          <w:lang w:val="zh-CN"/>
        </w:rPr>
        <w:t>：</w:t>
      </w:r>
    </w:p>
    <w:p>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2025年杭州市上城区文化和广电旅游体育局应急广播体系建设【招标编号：SCCG2025-GK-17</w:t>
      </w:r>
      <w:r>
        <w:rPr>
          <w:rFonts w:hint="eastAsia" w:ascii="宋体" w:hAnsi="宋体" w:cs="宋体"/>
          <w:sz w:val="24"/>
          <w:highlight w:val="none"/>
        </w:rPr>
        <w:t>】的实施</w:t>
      </w:r>
      <w:r>
        <w:rPr>
          <w:rFonts w:hint="eastAsia" w:ascii="宋体" w:hAnsi="宋体" w:cs="宋体"/>
          <w:kern w:val="0"/>
          <w:sz w:val="24"/>
          <w:highlight w:val="none"/>
          <w:lang w:val="zh-CN"/>
        </w:rPr>
        <w:t>。</w:t>
      </w:r>
    </w:p>
    <w:p>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417"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843" w:type="dxa"/>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3118"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993"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559"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单价</w:t>
            </w:r>
          </w:p>
        </w:tc>
        <w:tc>
          <w:tcPr>
            <w:tcW w:w="1984"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合计</w:t>
            </w:r>
          </w:p>
        </w:tc>
        <w:tc>
          <w:tcPr>
            <w:tcW w:w="3119" w:type="dxa"/>
            <w:vAlign w:val="center"/>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pPr>
              <w:spacing w:line="360" w:lineRule="auto"/>
              <w:jc w:val="center"/>
              <w:rPr>
                <w:rFonts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0000FF"/>
                <w:sz w:val="24"/>
                <w:highlight w:val="none"/>
              </w:rPr>
            </w:pPr>
          </w:p>
        </w:tc>
        <w:tc>
          <w:tcPr>
            <w:tcW w:w="993" w:type="dxa"/>
            <w:vAlign w:val="center"/>
          </w:tcPr>
          <w:p>
            <w:pPr>
              <w:snapToGrid w:val="0"/>
              <w:spacing w:line="360" w:lineRule="auto"/>
              <w:jc w:val="center"/>
              <w:rPr>
                <w:rFonts w:ascii="宋体" w:hAnsi="宋体" w:cs="宋体"/>
                <w:color w:val="0000FF"/>
                <w:sz w:val="24"/>
                <w:highlight w:val="none"/>
              </w:rPr>
            </w:pPr>
          </w:p>
        </w:tc>
        <w:tc>
          <w:tcPr>
            <w:tcW w:w="1559" w:type="dxa"/>
            <w:vAlign w:val="center"/>
          </w:tcPr>
          <w:p>
            <w:pPr>
              <w:spacing w:line="360" w:lineRule="auto"/>
              <w:jc w:val="center"/>
              <w:rPr>
                <w:rFonts w:ascii="宋体" w:hAnsi="宋体" w:cs="宋体"/>
                <w:color w:val="0000FF"/>
                <w:sz w:val="24"/>
                <w:highlight w:val="none"/>
              </w:rPr>
            </w:pPr>
          </w:p>
        </w:tc>
        <w:tc>
          <w:tcPr>
            <w:tcW w:w="1984" w:type="dxa"/>
            <w:vAlign w:val="center"/>
          </w:tcPr>
          <w:p>
            <w:pPr>
              <w:spacing w:line="360" w:lineRule="auto"/>
              <w:jc w:val="center"/>
              <w:rPr>
                <w:rFonts w:ascii="宋体" w:hAnsi="宋体" w:cs="宋体"/>
                <w:color w:val="0000FF"/>
                <w:sz w:val="24"/>
                <w:highlight w:val="none"/>
              </w:rPr>
            </w:pPr>
          </w:p>
        </w:tc>
        <w:tc>
          <w:tcPr>
            <w:tcW w:w="3119" w:type="dxa"/>
            <w:vAlign w:val="center"/>
          </w:tcPr>
          <w:p>
            <w:pPr>
              <w:spacing w:line="360" w:lineRule="auto"/>
              <w:jc w:val="center"/>
              <w:rPr>
                <w:rFonts w:ascii="宋体" w:hAnsi="宋体" w:cs="宋体"/>
                <w:color w:val="0000FF"/>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0000FF"/>
                <w:sz w:val="24"/>
                <w:highlight w:val="none"/>
              </w:rPr>
            </w:pPr>
          </w:p>
        </w:tc>
        <w:tc>
          <w:tcPr>
            <w:tcW w:w="993" w:type="dxa"/>
            <w:vAlign w:val="center"/>
          </w:tcPr>
          <w:p>
            <w:pPr>
              <w:snapToGrid w:val="0"/>
              <w:spacing w:line="360" w:lineRule="auto"/>
              <w:jc w:val="center"/>
              <w:rPr>
                <w:rFonts w:ascii="宋体" w:hAnsi="宋体" w:cs="宋体"/>
                <w:color w:val="0000FF"/>
                <w:sz w:val="24"/>
                <w:highlight w:val="none"/>
              </w:rPr>
            </w:pPr>
          </w:p>
        </w:tc>
        <w:tc>
          <w:tcPr>
            <w:tcW w:w="1559" w:type="dxa"/>
            <w:vAlign w:val="center"/>
          </w:tcPr>
          <w:p>
            <w:pPr>
              <w:spacing w:line="360" w:lineRule="auto"/>
              <w:jc w:val="center"/>
              <w:rPr>
                <w:rFonts w:ascii="宋体" w:hAnsi="宋体" w:cs="宋体"/>
                <w:color w:val="0000FF"/>
                <w:sz w:val="24"/>
                <w:highlight w:val="none"/>
              </w:rPr>
            </w:pPr>
          </w:p>
        </w:tc>
        <w:tc>
          <w:tcPr>
            <w:tcW w:w="1984" w:type="dxa"/>
            <w:vAlign w:val="center"/>
          </w:tcPr>
          <w:p>
            <w:pPr>
              <w:spacing w:line="360" w:lineRule="auto"/>
              <w:jc w:val="center"/>
              <w:rPr>
                <w:rFonts w:ascii="宋体" w:hAnsi="宋体" w:cs="宋体"/>
                <w:color w:val="0000FF"/>
                <w:sz w:val="24"/>
                <w:highlight w:val="none"/>
              </w:rPr>
            </w:pPr>
          </w:p>
        </w:tc>
        <w:tc>
          <w:tcPr>
            <w:tcW w:w="3119" w:type="dxa"/>
            <w:vAlign w:val="center"/>
          </w:tcPr>
          <w:p>
            <w:pPr>
              <w:spacing w:line="360" w:lineRule="auto"/>
              <w:jc w:val="center"/>
              <w:rPr>
                <w:rFonts w:ascii="宋体" w:hAnsi="宋体" w:cs="宋体"/>
                <w:color w:val="0000FF"/>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0000FF"/>
                <w:sz w:val="24"/>
                <w:highlight w:val="none"/>
              </w:rPr>
            </w:pPr>
          </w:p>
        </w:tc>
        <w:tc>
          <w:tcPr>
            <w:tcW w:w="993" w:type="dxa"/>
            <w:vAlign w:val="center"/>
          </w:tcPr>
          <w:p>
            <w:pPr>
              <w:snapToGrid w:val="0"/>
              <w:spacing w:line="360" w:lineRule="auto"/>
              <w:jc w:val="center"/>
              <w:rPr>
                <w:rFonts w:ascii="宋体" w:hAnsi="宋体" w:cs="宋体"/>
                <w:color w:val="0000FF"/>
                <w:sz w:val="24"/>
                <w:highlight w:val="none"/>
              </w:rPr>
            </w:pPr>
          </w:p>
        </w:tc>
        <w:tc>
          <w:tcPr>
            <w:tcW w:w="1559" w:type="dxa"/>
            <w:vAlign w:val="center"/>
          </w:tcPr>
          <w:p>
            <w:pPr>
              <w:spacing w:line="360" w:lineRule="auto"/>
              <w:jc w:val="center"/>
              <w:rPr>
                <w:rFonts w:ascii="宋体" w:hAnsi="宋体" w:cs="宋体"/>
                <w:color w:val="0000FF"/>
                <w:sz w:val="24"/>
                <w:highlight w:val="none"/>
              </w:rPr>
            </w:pPr>
          </w:p>
        </w:tc>
        <w:tc>
          <w:tcPr>
            <w:tcW w:w="1984" w:type="dxa"/>
            <w:vAlign w:val="center"/>
          </w:tcPr>
          <w:p>
            <w:pPr>
              <w:spacing w:line="360" w:lineRule="auto"/>
              <w:jc w:val="center"/>
              <w:rPr>
                <w:rFonts w:ascii="宋体" w:hAnsi="宋体" w:cs="宋体"/>
                <w:color w:val="0000FF"/>
                <w:sz w:val="24"/>
                <w:highlight w:val="none"/>
              </w:rPr>
            </w:pPr>
          </w:p>
        </w:tc>
        <w:tc>
          <w:tcPr>
            <w:tcW w:w="3119" w:type="dxa"/>
            <w:vAlign w:val="center"/>
          </w:tcPr>
          <w:p>
            <w:pPr>
              <w:spacing w:line="360" w:lineRule="auto"/>
              <w:jc w:val="center"/>
              <w:rPr>
                <w:rFonts w:ascii="宋体" w:hAnsi="宋体" w:cs="宋体"/>
                <w:color w:val="0000FF"/>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highlight w:val="none"/>
              </w:rPr>
            </w:pPr>
          </w:p>
        </w:tc>
        <w:tc>
          <w:tcPr>
            <w:tcW w:w="1417" w:type="dxa"/>
            <w:vAlign w:val="center"/>
          </w:tcPr>
          <w:p>
            <w:pPr>
              <w:snapToGrid w:val="0"/>
              <w:spacing w:line="360" w:lineRule="auto"/>
              <w:jc w:val="center"/>
              <w:rPr>
                <w:rFonts w:ascii="宋体" w:hAnsi="宋体" w:cs="宋体"/>
                <w:sz w:val="24"/>
                <w:highlight w:val="none"/>
              </w:rPr>
            </w:pPr>
          </w:p>
        </w:tc>
        <w:tc>
          <w:tcPr>
            <w:tcW w:w="1843" w:type="dxa"/>
            <w:vAlign w:val="center"/>
          </w:tcPr>
          <w:p>
            <w:pPr>
              <w:snapToGrid w:val="0"/>
              <w:spacing w:line="360" w:lineRule="auto"/>
              <w:jc w:val="center"/>
              <w:rPr>
                <w:rFonts w:ascii="宋体" w:hAnsi="宋体" w:cs="宋体"/>
                <w:sz w:val="24"/>
                <w:highlight w:val="none"/>
              </w:rPr>
            </w:pPr>
          </w:p>
        </w:tc>
        <w:tc>
          <w:tcPr>
            <w:tcW w:w="3118" w:type="dxa"/>
            <w:vAlign w:val="center"/>
          </w:tcPr>
          <w:p>
            <w:pPr>
              <w:snapToGrid w:val="0"/>
              <w:spacing w:line="360" w:lineRule="auto"/>
              <w:jc w:val="center"/>
              <w:rPr>
                <w:rFonts w:ascii="宋体" w:hAnsi="宋体" w:cs="宋体"/>
                <w:sz w:val="24"/>
                <w:highlight w:val="none"/>
              </w:rPr>
            </w:pPr>
          </w:p>
        </w:tc>
        <w:tc>
          <w:tcPr>
            <w:tcW w:w="993" w:type="dxa"/>
            <w:vAlign w:val="center"/>
          </w:tcPr>
          <w:p>
            <w:pPr>
              <w:snapToGrid w:val="0"/>
              <w:spacing w:line="360" w:lineRule="auto"/>
              <w:jc w:val="center"/>
              <w:rPr>
                <w:rFonts w:ascii="宋体" w:hAnsi="宋体" w:cs="宋体"/>
                <w:sz w:val="24"/>
                <w:highlight w:val="none"/>
              </w:rPr>
            </w:pPr>
          </w:p>
        </w:tc>
        <w:tc>
          <w:tcPr>
            <w:tcW w:w="1559" w:type="dxa"/>
            <w:vAlign w:val="center"/>
          </w:tcPr>
          <w:p>
            <w:pPr>
              <w:spacing w:line="360" w:lineRule="auto"/>
              <w:jc w:val="center"/>
              <w:rPr>
                <w:rFonts w:ascii="宋体" w:hAnsi="宋体" w:cs="宋体"/>
                <w:sz w:val="24"/>
                <w:highlight w:val="none"/>
              </w:rPr>
            </w:pPr>
          </w:p>
        </w:tc>
        <w:tc>
          <w:tcPr>
            <w:tcW w:w="1984" w:type="dxa"/>
            <w:vAlign w:val="center"/>
          </w:tcPr>
          <w:p>
            <w:pPr>
              <w:spacing w:line="360" w:lineRule="auto"/>
              <w:jc w:val="center"/>
              <w:rPr>
                <w:rFonts w:ascii="宋体" w:hAnsi="宋体" w:cs="宋体"/>
                <w:sz w:val="24"/>
                <w:highlight w:val="none"/>
              </w:rPr>
            </w:pPr>
          </w:p>
        </w:tc>
        <w:tc>
          <w:tcPr>
            <w:tcW w:w="3119"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3、特别提示：采购机构将对项目名称和项目编号，中标供应商名称、地址和中标金额，主要中标标的名称、品牌（如果有）、规格型号、数量、单价等予以公示。</w:t>
      </w:r>
    </w:p>
    <w:p>
      <w:pPr>
        <w:pStyle w:val="4"/>
        <w:rPr>
          <w:lang w:val="zh-CN"/>
        </w:rPr>
      </w:pPr>
    </w:p>
    <w:p>
      <w:pPr>
        <w:spacing w:line="360" w:lineRule="auto"/>
        <w:ind w:firstLine="482" w:firstLineChars="200"/>
        <w:rPr>
          <w:rFonts w:ascii="宋体" w:hAnsi="宋体" w:cs="宋体"/>
          <w:b/>
          <w:kern w:val="0"/>
          <w:sz w:val="24"/>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numPr>
          <w:ilvl w:val="0"/>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pPr>
        <w:pStyle w:val="691"/>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w:t>
      </w:r>
      <w:r>
        <w:rPr>
          <w:rFonts w:hint="eastAsia" w:ascii="宋体" w:hAnsi="宋体" w:cs="宋体"/>
          <w:b/>
          <w:sz w:val="24"/>
          <w:highlight w:val="none"/>
        </w:rPr>
        <w:t>▲</w:t>
      </w:r>
      <w:r>
        <w:rPr>
          <w:rFonts w:hint="eastAsia" w:ascii="宋体" w:hAnsi="宋体" w:eastAsia="宋体" w:cs="宋体"/>
          <w:b w:val="0"/>
          <w:bCs w:val="0"/>
          <w:color w:val="FF0000"/>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color w:val="FF0000"/>
          <w:kern w:val="2"/>
          <w:sz w:val="24"/>
          <w:szCs w:val="24"/>
          <w:highlight w:val="none"/>
        </w:rPr>
        <w:t>，否则投标无效</w:t>
      </w:r>
      <w:r>
        <w:rPr>
          <w:rFonts w:hint="eastAsia" w:ascii="宋体" w:hAnsi="宋体" w:eastAsia="宋体" w:cs="宋体"/>
          <w:b w:val="0"/>
          <w:bCs/>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pStyle w:val="691"/>
        <w:keepNext w:val="0"/>
        <w:pageBreakBefore w:val="0"/>
        <w:tabs>
          <w:tab w:val="clear" w:pos="720"/>
        </w:tabs>
        <w:snapToGrid w:val="0"/>
        <w:spacing w:before="120" w:after="120"/>
        <w:ind w:firstLine="643"/>
        <w:outlineLvl w:val="9"/>
        <w:rPr>
          <w:rFonts w:hint="eastAsia" w:ascii="宋体" w:hAnsi="宋体" w:eastAsia="宋体" w:cs="宋体"/>
          <w:color w:val="FF0000"/>
          <w:kern w:val="2"/>
          <w:sz w:val="32"/>
          <w:szCs w:val="32"/>
        </w:rPr>
      </w:pPr>
    </w:p>
    <w:p>
      <w:pPr>
        <w:spacing w:line="360" w:lineRule="auto"/>
        <w:ind w:right="420"/>
        <w:rPr>
          <w:rFonts w:ascii="宋体" w:hAnsi="宋体" w:cs="宋体"/>
          <w:b/>
          <w:kern w:val="0"/>
          <w:sz w:val="36"/>
          <w:szCs w:val="36"/>
        </w:r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FF0000"/>
          <w:kern w:val="2"/>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lang w:eastAsia="zh-CN"/>
        </w:rPr>
        <w:t>三、</w:t>
      </w:r>
      <w:r>
        <w:rPr>
          <w:rFonts w:hint="eastAsia" w:ascii="宋体" w:hAnsi="宋体" w:eastAsia="宋体" w:cs="宋体"/>
          <w:color w:val="FF0000"/>
          <w:sz w:val="32"/>
          <w:szCs w:val="32"/>
        </w:rPr>
        <w:t>中小企业声明函</w:t>
      </w:r>
      <w:bookmarkStart w:id="533" w:name="_Hlk101259491"/>
      <w:r>
        <w:rPr>
          <w:rFonts w:hint="eastAsia" w:ascii="宋体" w:hAnsi="宋体" w:eastAsia="宋体" w:cs="宋体"/>
          <w:color w:val="FF0000"/>
          <w:sz w:val="32"/>
          <w:szCs w:val="32"/>
        </w:rPr>
        <w:t>（如果有）</w:t>
      </w:r>
      <w:bookmarkEnd w:id="533"/>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1"/>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34" w:name="_Toc465665161"/>
      <w:r>
        <w:rPr>
          <w:rFonts w:hint="eastAsia" w:ascii="宋体" w:hAnsi="宋体" w:cs="宋体"/>
        </w:rPr>
        <w:t>附件</w:t>
      </w:r>
      <w:bookmarkEnd w:id="534"/>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35" w:name="OLE_LINK13"/>
      <w:bookmarkStart w:id="536" w:name="OLE_LINK14"/>
      <w:r>
        <w:rPr>
          <w:rFonts w:hint="eastAsia" w:ascii="宋体" w:hAnsi="宋体" w:cs="宋体"/>
          <w:b/>
          <w:spacing w:val="6"/>
          <w:sz w:val="32"/>
          <w:szCs w:val="32"/>
        </w:rPr>
        <w:t>残疾人福利性单位声明函</w:t>
      </w:r>
    </w:p>
    <w:bookmarkEnd w:id="535"/>
    <w:bookmarkEnd w:id="536"/>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141号）的规定，本单位为符合条件的残疾人福利性单位，且本单位参加_杭州市上城区文化和广电旅游体育局_单位的_</w:t>
      </w:r>
      <w:r>
        <w:rPr>
          <w:rFonts w:hint="eastAsia" w:ascii="宋体" w:hAnsi="宋体" w:cs="宋体"/>
          <w:sz w:val="24"/>
          <w:lang w:eastAsia="zh-CN"/>
        </w:rPr>
        <w:t>2025年杭州市上城区文化和广电旅游体育局应急广播体系建设</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left"/>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0000FF"/>
          <w:sz w:val="24"/>
          <w:u w:val="single"/>
        </w:rPr>
      </w:pPr>
    </w:p>
    <w:p>
      <w:pPr>
        <w:spacing w:line="360" w:lineRule="auto"/>
        <w:rPr>
          <w:rFonts w:ascii="宋体" w:hAnsi="宋体" w:cs="宋体"/>
          <w:sz w:val="24"/>
        </w:rPr>
      </w:pPr>
      <w:r>
        <w:rPr>
          <w:rFonts w:hint="eastAsia" w:ascii="宋体" w:hAnsi="宋体" w:cs="宋体"/>
          <w:sz w:val="24"/>
          <w:u w:val="single"/>
        </w:rPr>
        <w:t>杭州市上城区文化和广电旅游体育局、（采购代理机构）：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2025年杭州市上城区文化和广电旅游体育局应急广播体系建设</w:t>
      </w:r>
      <w:r>
        <w:rPr>
          <w:rFonts w:hint="eastAsia" w:ascii="宋体" w:hAnsi="宋体" w:cs="宋体"/>
          <w:sz w:val="24"/>
        </w:rPr>
        <w:t>【招标编号：SCCG2025-GK-17】</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2"/>
        <w:rPr>
          <w:rFonts w:ascii="宋体" w:hAnsi="宋体" w:cs="宋体"/>
          <w:b/>
          <w:spacing w:val="6"/>
          <w:sz w:val="32"/>
          <w:szCs w:val="32"/>
        </w:rPr>
      </w:pPr>
    </w:p>
    <w:p>
      <w:pPr>
        <w:pStyle w:val="2"/>
        <w:rPr>
          <w:rFonts w:ascii="宋体" w:hAnsi="宋体" w:cs="宋体"/>
          <w:b/>
          <w:spacing w:val="6"/>
          <w:sz w:val="32"/>
          <w:szCs w:val="32"/>
        </w:rPr>
      </w:pPr>
    </w:p>
    <w:p>
      <w:pPr>
        <w:pStyle w:val="2"/>
        <w:rPr>
          <w:rFonts w:ascii="宋体" w:hAnsi="宋体" w:cs="宋体"/>
          <w:b/>
          <w:spacing w:val="6"/>
          <w:sz w:val="32"/>
          <w:szCs w:val="32"/>
        </w:rPr>
      </w:pPr>
    </w:p>
    <w:p>
      <w:pPr>
        <w:pStyle w:val="2"/>
        <w:rPr>
          <w:rFonts w:ascii="宋体" w:hAnsi="宋体" w:cs="宋体"/>
          <w:b/>
          <w:spacing w:val="6"/>
          <w:sz w:val="32"/>
          <w:szCs w:val="32"/>
        </w:rPr>
      </w:pPr>
    </w:p>
    <w:p>
      <w:pPr>
        <w:pStyle w:val="2"/>
        <w:rPr>
          <w:rFonts w:ascii="宋体" w:hAnsi="宋体" w:cs="宋体"/>
          <w:b/>
          <w:spacing w:val="6"/>
          <w:sz w:val="32"/>
          <w:szCs w:val="32"/>
        </w:rPr>
      </w:pPr>
    </w:p>
    <w:p>
      <w:pPr>
        <w:pStyle w:val="2"/>
        <w:rPr>
          <w:rFonts w:ascii="宋体" w:hAnsi="宋体" w:cs="宋体"/>
          <w:b/>
          <w:spacing w:val="6"/>
          <w:sz w:val="32"/>
          <w:szCs w:val="32"/>
        </w:rPr>
      </w:pPr>
    </w:p>
    <w:p>
      <w:pPr>
        <w:snapToGrid w:val="0"/>
        <w:spacing w:line="360" w:lineRule="auto"/>
        <w:jc w:val="left"/>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kern w:val="0"/>
          <w:sz w:val="24"/>
          <w:lang w:eastAsia="zh-CN"/>
        </w:rPr>
        <w:t>2025年杭州市上城区文化和广电旅游体育局应急广播体系建设</w:t>
      </w:r>
      <w:r>
        <w:rPr>
          <w:rFonts w:hint="eastAsia" w:ascii="宋体" w:hAnsi="宋体" w:cs="宋体"/>
          <w:sz w:val="24"/>
        </w:rPr>
        <w:t>【招标编号：SCCG2025-GK-17】</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w:t>
      </w:r>
      <w:r>
        <w:rPr>
          <w:rFonts w:hint="eastAsia" w:ascii="宋体" w:hAnsi="宋体" w:cs="宋体"/>
          <w:kern w:val="0"/>
          <w:sz w:val="24"/>
          <w:highlight w:val="none"/>
          <w:lang w:val="zh-CN"/>
        </w:rPr>
        <w:t>据招标文件规定及投标内容而对采购人、</w:t>
      </w:r>
      <w:r>
        <w:rPr>
          <w:rFonts w:hint="eastAsia" w:hAnsi="宋体" w:cs="宋体"/>
          <w:color w:val="auto"/>
          <w:sz w:val="24"/>
          <w:highlight w:val="none"/>
        </w:rPr>
        <w:t>采购机构</w:t>
      </w:r>
      <w:r>
        <w:rPr>
          <w:rFonts w:hint="eastAsia" w:ascii="宋体" w:hAnsi="宋体" w:cs="宋体"/>
          <w:kern w:val="0"/>
          <w:sz w:val="24"/>
          <w:highlight w:val="none"/>
          <w:lang w:val="zh-CN"/>
        </w:rPr>
        <w:t>所作的任何合法承诺，包括书面澄清及响应等均对联合投标各方产生约束力。</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pPr>
        <w:snapToGrid w:val="0"/>
        <w:spacing w:line="360" w:lineRule="auto"/>
        <w:ind w:firstLine="576"/>
        <w:rPr>
          <w:rFonts w:ascii="宋体" w:hAnsi="宋体" w:cs="宋体"/>
          <w:kern w:val="0"/>
          <w:sz w:val="24"/>
          <w:highlight w:val="none"/>
          <w:lang w:val="zh-CN"/>
        </w:rPr>
      </w:pPr>
      <w:bookmarkStart w:id="537"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537"/>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提供的全部货物由小微企业制造，其合同份额占到合同总金额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w:t>
      </w:r>
      <w:r>
        <w:rPr>
          <w:rFonts w:hint="eastAsia" w:ascii="宋体" w:hAnsi="宋体" w:cs="宋体"/>
          <w:b/>
          <w:kern w:val="0"/>
          <w:sz w:val="24"/>
          <w:lang w:val="zh-CN"/>
        </w:rPr>
        <w:t>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w:t>
      </w:r>
      <w:r>
        <w:rPr>
          <w:rFonts w:hint="eastAsia" w:hAnsi="宋体" w:cs="宋体"/>
          <w:color w:val="auto"/>
          <w:sz w:val="24"/>
          <w:highlight w:val="none"/>
        </w:rPr>
        <w:t>采购机构</w:t>
      </w:r>
      <w:r>
        <w:rPr>
          <w:rFonts w:hint="eastAsia" w:ascii="宋体" w:hAnsi="宋体" w:cs="宋体"/>
          <w:kern w:val="0"/>
          <w:sz w:val="24"/>
          <w:lang w:val="zh-CN"/>
        </w:rPr>
        <w:t>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left"/>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若成为2025年杭州市上城区文化和广电旅游体育局应急广播体系建设</w:t>
      </w:r>
      <w:r>
        <w:rPr>
          <w:rFonts w:hint="eastAsia" w:ascii="宋体" w:hAnsi="宋体" w:cs="宋体"/>
          <w:sz w:val="24"/>
        </w:rPr>
        <w:t>【招标编号：SCCG2025-GK-17】</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38"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38"/>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2"/>
        <w:rPr>
          <w:rFonts w:ascii="宋体" w:hAnsi="宋体" w:cs="宋体"/>
          <w:b/>
          <w:spacing w:val="6"/>
          <w:sz w:val="32"/>
          <w:szCs w:val="32"/>
        </w:rPr>
      </w:pPr>
    </w:p>
    <w:p>
      <w:pPr>
        <w:pStyle w:val="2"/>
        <w:rPr>
          <w:rFonts w:ascii="宋体" w:hAnsi="宋体" w:cs="宋体"/>
          <w:b/>
          <w:spacing w:val="6"/>
          <w:sz w:val="32"/>
          <w:szCs w:val="32"/>
        </w:rPr>
      </w:pPr>
    </w:p>
    <w:p>
      <w:pPr>
        <w:pStyle w:val="2"/>
        <w:rPr>
          <w:rFonts w:ascii="宋体" w:hAnsi="宋体" w:cs="宋体"/>
          <w:b/>
          <w:spacing w:val="6"/>
          <w:sz w:val="32"/>
          <w:szCs w:val="32"/>
        </w:rPr>
      </w:pPr>
    </w:p>
    <w:p>
      <w:pPr>
        <w:pStyle w:val="2"/>
        <w:rPr>
          <w:rFonts w:ascii="宋体" w:hAnsi="宋体" w:cs="宋体"/>
          <w:b/>
          <w:spacing w:val="6"/>
          <w:sz w:val="32"/>
          <w:szCs w:val="32"/>
        </w:rPr>
      </w:pPr>
    </w:p>
    <w:p>
      <w:pPr>
        <w:pStyle w:val="2"/>
        <w:rPr>
          <w:rFonts w:ascii="宋体" w:hAnsi="宋体" w:cs="宋体"/>
          <w:b/>
          <w:spacing w:val="6"/>
          <w:sz w:val="32"/>
          <w:szCs w:val="32"/>
        </w:rPr>
      </w:pPr>
    </w:p>
    <w:p>
      <w:pPr>
        <w:pStyle w:val="2"/>
        <w:rPr>
          <w:rFonts w:ascii="宋体" w:hAnsi="宋体" w:cs="宋体"/>
          <w:b/>
          <w:spacing w:val="6"/>
          <w:sz w:val="32"/>
          <w:szCs w:val="32"/>
        </w:rPr>
      </w:pPr>
    </w:p>
    <w:p>
      <w:pPr>
        <w:pStyle w:val="2"/>
        <w:rPr>
          <w:rFonts w:ascii="宋体" w:hAnsi="宋体" w:cs="宋体"/>
          <w:b/>
          <w:spacing w:val="6"/>
          <w:sz w:val="32"/>
          <w:szCs w:val="32"/>
        </w:rPr>
      </w:pPr>
    </w:p>
    <w:p>
      <w:pPr>
        <w:pStyle w:val="2"/>
        <w:rPr>
          <w:rFonts w:ascii="宋体" w:hAnsi="宋体" w:cs="宋体"/>
          <w:b/>
          <w:spacing w:val="6"/>
          <w:sz w:val="32"/>
          <w:szCs w:val="32"/>
        </w:rPr>
      </w:pPr>
    </w:p>
    <w:p>
      <w:pPr>
        <w:pStyle w:val="2"/>
        <w:rPr>
          <w:rFonts w:ascii="宋体" w:hAnsi="宋体" w:cs="宋体"/>
          <w:b/>
          <w:spacing w:val="6"/>
          <w:sz w:val="32"/>
          <w:szCs w:val="32"/>
        </w:rPr>
      </w:pPr>
    </w:p>
    <w:p>
      <w:pPr>
        <w:pStyle w:val="2"/>
        <w:rPr>
          <w:rFonts w:ascii="宋体" w:hAnsi="宋体" w:cs="宋体"/>
          <w:b/>
          <w:spacing w:val="6"/>
          <w:sz w:val="32"/>
          <w:szCs w:val="32"/>
        </w:rPr>
      </w:pPr>
    </w:p>
    <w:p>
      <w:pPr>
        <w:pStyle w:val="2"/>
        <w:rPr>
          <w:rFonts w:ascii="宋体" w:hAnsi="宋体" w:cs="宋体"/>
          <w:b/>
          <w:spacing w:val="6"/>
          <w:sz w:val="32"/>
          <w:szCs w:val="32"/>
        </w:rPr>
      </w:pPr>
    </w:p>
    <w:p>
      <w:pPr>
        <w:pStyle w:val="2"/>
        <w:rPr>
          <w:rFonts w:ascii="宋体" w:hAnsi="宋体" w:cs="宋体"/>
          <w:b/>
          <w:spacing w:val="6"/>
          <w:sz w:val="32"/>
          <w:szCs w:val="32"/>
        </w:rPr>
      </w:pPr>
    </w:p>
    <w:p>
      <w:pPr>
        <w:pStyle w:val="2"/>
        <w:rPr>
          <w:rFonts w:ascii="宋体" w:hAnsi="宋体" w:cs="宋体"/>
          <w:b/>
          <w:spacing w:val="6"/>
          <w:sz w:val="32"/>
          <w:szCs w:val="32"/>
        </w:rPr>
      </w:pPr>
    </w:p>
    <w:p>
      <w:pPr>
        <w:pStyle w:val="2"/>
        <w:rPr>
          <w:rFonts w:ascii="宋体" w:hAnsi="宋体" w:cs="宋体"/>
          <w:b/>
          <w:spacing w:val="6"/>
          <w:sz w:val="32"/>
          <w:szCs w:val="32"/>
        </w:rPr>
      </w:pPr>
    </w:p>
    <w:p>
      <w:pPr>
        <w:pStyle w:val="2"/>
        <w:rPr>
          <w:rFonts w:ascii="宋体" w:hAnsi="宋体" w:cs="宋体"/>
          <w:b/>
          <w:spacing w:val="6"/>
          <w:sz w:val="32"/>
          <w:szCs w:val="32"/>
        </w:rPr>
      </w:pPr>
    </w:p>
    <w:p>
      <w:pPr>
        <w:pStyle w:val="2"/>
        <w:rPr>
          <w:rFonts w:ascii="宋体" w:hAnsi="宋体" w:cs="宋体"/>
          <w:b/>
          <w:spacing w:val="6"/>
          <w:sz w:val="32"/>
          <w:szCs w:val="32"/>
        </w:rPr>
      </w:pPr>
    </w:p>
    <w:p>
      <w:pPr>
        <w:pStyle w:val="2"/>
        <w:rPr>
          <w:rFonts w:ascii="宋体" w:hAnsi="宋体" w:cs="宋体"/>
          <w:b/>
          <w:spacing w:val="6"/>
          <w:sz w:val="32"/>
          <w:szCs w:val="32"/>
        </w:rPr>
      </w:pPr>
    </w:p>
    <w:p>
      <w:pPr>
        <w:pStyle w:val="2"/>
        <w:rPr>
          <w:rFonts w:ascii="宋体" w:hAnsi="宋体" w:cs="宋体"/>
          <w:b/>
          <w:spacing w:val="6"/>
          <w:sz w:val="32"/>
          <w:szCs w:val="32"/>
        </w:rPr>
      </w:pPr>
    </w:p>
    <w:p>
      <w:pPr>
        <w:pStyle w:val="2"/>
        <w:rPr>
          <w:rFonts w:ascii="宋体" w:hAnsi="宋体" w:cs="宋体"/>
          <w:b/>
          <w:spacing w:val="6"/>
          <w:sz w:val="32"/>
          <w:szCs w:val="32"/>
        </w:rPr>
      </w:pPr>
    </w:p>
    <w:p>
      <w:pPr>
        <w:pStyle w:val="2"/>
        <w:rPr>
          <w:rFonts w:ascii="宋体" w:hAnsi="宋体" w:cs="宋体"/>
          <w:b/>
          <w:spacing w:val="6"/>
          <w:sz w:val="32"/>
          <w:szCs w:val="32"/>
        </w:rPr>
      </w:pPr>
    </w:p>
    <w:p>
      <w:pPr>
        <w:pStyle w:val="2"/>
        <w:rPr>
          <w:rFonts w:ascii="宋体" w:hAnsi="宋体" w:cs="宋体"/>
          <w:b/>
          <w:spacing w:val="6"/>
          <w:sz w:val="32"/>
          <w:szCs w:val="32"/>
        </w:rPr>
      </w:pPr>
    </w:p>
    <w:p>
      <w:pPr>
        <w:pStyle w:val="2"/>
        <w:rPr>
          <w:rFonts w:ascii="宋体" w:hAnsi="宋体" w:cs="宋体"/>
          <w:b/>
          <w:spacing w:val="6"/>
          <w:sz w:val="32"/>
          <w:szCs w:val="32"/>
        </w:rPr>
      </w:pPr>
    </w:p>
    <w:p>
      <w:pPr>
        <w:pStyle w:val="2"/>
        <w:rPr>
          <w:rFonts w:ascii="宋体" w:hAnsi="宋体" w:cs="宋体"/>
          <w:b/>
          <w:spacing w:val="6"/>
          <w:sz w:val="32"/>
          <w:szCs w:val="32"/>
        </w:rPr>
      </w:pPr>
    </w:p>
    <w:p>
      <w:pPr>
        <w:pStyle w:val="2"/>
        <w:rPr>
          <w:rFonts w:ascii="宋体" w:hAnsi="宋体" w:cs="宋体"/>
          <w:b/>
          <w:spacing w:val="6"/>
          <w:sz w:val="32"/>
          <w:szCs w:val="32"/>
        </w:rPr>
      </w:pPr>
    </w:p>
    <w:p>
      <w:pPr>
        <w:pStyle w:val="2"/>
        <w:rPr>
          <w:rFonts w:ascii="宋体" w:hAnsi="宋体" w:cs="宋体"/>
          <w:b/>
          <w:spacing w:val="6"/>
          <w:sz w:val="32"/>
          <w:szCs w:val="32"/>
        </w:rPr>
      </w:pPr>
    </w:p>
    <w:p>
      <w:pPr>
        <w:pStyle w:val="2"/>
        <w:rPr>
          <w:rFonts w:ascii="宋体" w:hAnsi="宋体" w:cs="宋体"/>
          <w:b/>
          <w:spacing w:val="6"/>
          <w:sz w:val="32"/>
          <w:szCs w:val="32"/>
        </w:rPr>
      </w:pPr>
    </w:p>
    <w:p>
      <w:pPr>
        <w:pStyle w:val="2"/>
        <w:rPr>
          <w:rFonts w:ascii="宋体" w:hAnsi="宋体" w:cs="宋体"/>
          <w:b/>
          <w:spacing w:val="6"/>
          <w:sz w:val="32"/>
          <w:szCs w:val="32"/>
        </w:rPr>
      </w:pPr>
    </w:p>
    <w:p>
      <w:pPr>
        <w:pStyle w:val="2"/>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left"/>
        <w:outlineLvl w:val="0"/>
        <w:rPr>
          <w:rFonts w:hint="eastAsia" w:ascii="宋体" w:hAnsi="宋体" w:cs="宋体"/>
          <w:b/>
          <w:kern w:val="0"/>
          <w:sz w:val="32"/>
          <w:szCs w:val="32"/>
        </w:rPr>
      </w:pPr>
      <w:r>
        <w:rPr>
          <w:rFonts w:hint="eastAsia" w:ascii="宋体" w:hAnsi="宋体" w:cs="宋体"/>
          <w:b/>
          <w:kern w:val="0"/>
          <w:sz w:val="32"/>
          <w:szCs w:val="32"/>
        </w:rPr>
        <w:t>附件7：中小企业声明函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 xml:space="preserve"> 杭州市上城区文化和广电旅游体育局 </w:t>
      </w:r>
      <w:r>
        <w:rPr>
          <w:rFonts w:hint="eastAsia" w:ascii="宋体" w:hAnsi="宋体" w:cs="宋体"/>
          <w:sz w:val="24"/>
        </w:rPr>
        <w:t>的</w:t>
      </w:r>
      <w:r>
        <w:rPr>
          <w:rFonts w:hint="eastAsia" w:ascii="宋体" w:hAnsi="宋体" w:cs="宋体"/>
          <w:sz w:val="24"/>
          <w:u w:val="single"/>
        </w:rPr>
        <w:t xml:space="preserve"> 2025年杭州市上城区文化和广电旅游体育局应急广播体系建设</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ind w:right="420" w:firstLine="480" w:firstLineChars="200"/>
        <w:rPr>
          <w:rFonts w:hint="default" w:ascii="宋体" w:hAnsi="宋体" w:eastAsia="宋体" w:cs="宋体"/>
          <w:color w:val="auto"/>
          <w:sz w:val="24"/>
          <w:highlight w:val="none"/>
          <w:lang w:val="en-US"/>
        </w:rPr>
      </w:pPr>
      <w:r>
        <w:rPr>
          <w:rFonts w:hint="eastAsia" w:ascii="宋体" w:hAnsi="宋体" w:cs="宋体"/>
          <w:color w:val="auto"/>
          <w:sz w:val="24"/>
          <w:highlight w:val="none"/>
        </w:rPr>
        <w:t>注：从业人员、营业收入、资产总额填报上一年度数据，无上一年度数据的新成立企业可不填报</w:t>
      </w:r>
      <w:r>
        <w:rPr>
          <w:rFonts w:hint="eastAsia" w:ascii="宋体" w:hAnsi="宋体" w:cs="宋体"/>
          <w:color w:val="auto"/>
          <w:sz w:val="24"/>
          <w:highlight w:val="none"/>
          <w:lang w:eastAsia="zh-CN"/>
        </w:rPr>
        <w:t>。</w:t>
      </w: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both"/>
        <w:rPr>
          <w:rFonts w:ascii="宋体" w:hAnsi="宋体" w:cs="宋体"/>
          <w:b/>
          <w:sz w:val="32"/>
          <w:szCs w:val="32"/>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FBD5A61-C9A7-4FA4-8EE8-2D000125199F}"/>
  </w:font>
  <w:font w:name="Arial">
    <w:panose1 w:val="020B0604020202020204"/>
    <w:charset w:val="01"/>
    <w:family w:val="swiss"/>
    <w:pitch w:val="default"/>
    <w:sig w:usb0="E0002EFF" w:usb1="C000785B" w:usb2="00000009" w:usb3="00000000" w:csb0="400001FF" w:csb1="FFFF0000"/>
    <w:embedRegular r:id="rId2" w:fontKey="{C7C24186-8153-4334-89B1-846885595714}"/>
  </w:font>
  <w:font w:name="黑体">
    <w:panose1 w:val="02010609060101010101"/>
    <w:charset w:val="86"/>
    <w:family w:val="auto"/>
    <w:pitch w:val="default"/>
    <w:sig w:usb0="800002BF" w:usb1="38CF7CFA" w:usb2="00000016" w:usb3="00000000" w:csb0="00040001" w:csb1="00000000"/>
    <w:embedRegular r:id="rId3" w:fontKey="{537285AC-7C06-4827-AE70-CD6038346D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B2BD9A25-5B66-4DA0-A56F-05389E28C54B}"/>
  </w:font>
  <w:font w:name="仿宋">
    <w:panose1 w:val="02010609060101010101"/>
    <w:charset w:val="86"/>
    <w:family w:val="auto"/>
    <w:pitch w:val="default"/>
    <w:sig w:usb0="800002BF" w:usb1="38CF7CFA" w:usb2="00000016" w:usb3="00000000" w:csb0="00040001" w:csb1="00000000"/>
    <w:embedRegular r:id="rId5" w:fontKey="{4DF21159-A67D-4404-85F9-E4141132C7F2}"/>
  </w:font>
  <w:font w:name="华文楷体">
    <w:panose1 w:val="02010600040101010101"/>
    <w:charset w:val="86"/>
    <w:family w:val="auto"/>
    <w:pitch w:val="default"/>
    <w:sig w:usb0="00000287" w:usb1="080F0000" w:usb2="00000000" w:usb3="00000000" w:csb0="0004009F" w:csb1="DFD70000"/>
    <w:embedRegular r:id="rId6" w:fontKey="{2F10A1AF-EDD2-45FE-86ED-890A2CB910E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MS Gothic">
    <w:panose1 w:val="020B0609070205080204"/>
    <w:charset w:val="80"/>
    <w:family w:val="modern"/>
    <w:pitch w:val="default"/>
    <w:sig w:usb0="E00002FF" w:usb1="6AC7FDFB" w:usb2="08000012" w:usb3="00000000" w:csb0="4002009F" w:csb1="DFD70000"/>
    <w:embedRegular r:id="rId7" w:fontKey="{85D47A78-C488-45AC-A9D8-836C4AE55071}"/>
  </w:font>
  <w:font w:name="MS Mincho">
    <w:panose1 w:val="02020609040205080304"/>
    <w:charset w:val="80"/>
    <w:family w:val="roman"/>
    <w:pitch w:val="default"/>
    <w:sig w:usb0="E00002FF" w:usb1="6AC7FDFB" w:usb2="00000012" w:usb3="00000000" w:csb0="4002009F" w:csb1="DFD70000"/>
    <w:embedRegular r:id="rId8" w:fontKey="{CB913DC9-BCA9-40FF-AD53-BE217593E63C}"/>
  </w:font>
  <w:font w:name="Wingdings 2">
    <w:panose1 w:val="05020102010507070707"/>
    <w:charset w:val="00"/>
    <w:family w:val="auto"/>
    <w:pitch w:val="default"/>
    <w:sig w:usb0="00000000" w:usb1="00000000" w:usb2="00000000" w:usb3="00000000" w:csb0="80000000" w:csb1="00000000"/>
    <w:embedRegular r:id="rId9" w:fontKey="{060CF39D-181A-4968-9323-44B527DE21EE}"/>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Noto Serif SC">
    <w:panose1 w:val="02020200000000000000"/>
    <w:charset w:val="86"/>
    <w:family w:val="auto"/>
    <w:pitch w:val="default"/>
    <w:sig w:usb0="20000083" w:usb1="2ADF3C10" w:usb2="00000016" w:usb3="00000000" w:csb0="60060107"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39" w:name="_Toc36110187"/>
    <w:bookmarkStart w:id="540" w:name="_Toc131845147"/>
    <w:bookmarkStart w:id="541" w:name="_Toc91899912"/>
    <w:bookmarkStart w:id="542" w:name="_Toc164085800"/>
    <w:r>
      <w:rPr>
        <w:rFonts w:hint="eastAsia" w:ascii="仿宋_GB2312" w:eastAsia="仿宋_GB2312"/>
        <w:kern w:val="0"/>
        <w:szCs w:val="21"/>
      </w:rPr>
      <w:t xml:space="preserve"> 页</w:t>
    </w:r>
    <w:bookmarkEnd w:id="539"/>
    <w:bookmarkEnd w:id="540"/>
    <w:bookmarkEnd w:id="541"/>
    <w:bookmarkEnd w:id="54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val="0"/>
        <w:i/>
        <w:sz w:val="18"/>
        <w:u w:val="single"/>
        <w:lang w:val="en-US"/>
      </w:rPr>
    </w:pPr>
    <w:r>
      <w:t></w:t>
    </w:r>
    <w:r>
      <w:rPr>
        <w:rFonts w:hint="eastAsia"/>
      </w:rPr>
      <w:t xml:space="preserve">         </w:t>
    </w:r>
    <w:r>
      <w:rPr>
        <w:rFonts w:hint="eastAsia"/>
        <w:b w:val="0"/>
        <w:bCs/>
        <w:sz w:val="21"/>
        <w:szCs w:val="21"/>
      </w:rPr>
      <w:t>杭州市公共资源交易中心上城分中心</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r>
      <w:rPr>
        <w:rFonts w:hint="eastAsia"/>
        <w:sz w:val="21"/>
        <w:szCs w:val="21"/>
      </w:rPr>
      <w:t>杭州市公共资源交易中心上城分中心</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rPr>
        <w:rFonts w:hint="eastAsia"/>
        <w:b w:val="0"/>
        <w:bCs/>
        <w:sz w:val="21"/>
        <w:szCs w:val="21"/>
      </w:rPr>
      <w:t>杭州市公共资源交易中心上城分中心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lang w:val="zh-CN"/>
      </w:rPr>
      <w:t></w:t>
    </w:r>
    <w:r>
      <w:tab/>
    </w:r>
    <w:r>
      <w:rPr>
        <w:lang w:val="zh-CN"/>
      </w:rPr>
      <w:t></w:t>
    </w:r>
    <w:r>
      <w:tab/>
    </w:r>
    <w:r>
      <w:rPr>
        <w:rFonts w:hint="eastAsia"/>
        <w:b w:val="0"/>
        <w:bCs/>
        <w:sz w:val="21"/>
        <w:szCs w:val="21"/>
      </w:rPr>
      <w:t>杭州市公共资源交易中心上城分中心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b w:val="0"/>
        <w:bCs/>
        <w:sz w:val="21"/>
        <w:szCs w:val="21"/>
      </w:rPr>
      <w:t>杭州市公共资源交易中心上城分中心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sz w:val="21"/>
        <w:szCs w:val="21"/>
        <w:u w:val="single"/>
      </w:rPr>
    </w:pPr>
    <w:r>
      <w:t></w:t>
    </w:r>
    <w:r>
      <w:rPr>
        <w:rFonts w:hint="eastAsia"/>
      </w:rPr>
      <w:t xml:space="preserve">                              </w:t>
    </w:r>
    <w:r>
      <w:rPr>
        <w:rFonts w:hint="eastAsia"/>
        <w:sz w:val="21"/>
        <w:szCs w:val="21"/>
      </w:rPr>
      <w:t xml:space="preserve">  杭州市公共资源交易中心上城分中心</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rPr>
        <w:sz w:val="21"/>
        <w:szCs w:val="21"/>
      </w:rPr>
    </w:pPr>
    <w:r>
      <w:rPr>
        <w:rFonts w:hint="eastAsia"/>
      </w:rPr>
      <w:t xml:space="preserve">                                                               </w:t>
    </w:r>
    <w:r>
      <w:rPr>
        <w:rFonts w:hint="eastAsia"/>
        <w:sz w:val="21"/>
        <w:szCs w:val="21"/>
      </w:rPr>
      <w:t>杭州市公共资源交易中心上城分中心</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w:t>
    </w:r>
    <w:r>
      <w:rPr>
        <w:rFonts w:hint="eastAsia"/>
        <w:b w:val="0"/>
        <w:bCs/>
        <w:sz w:val="21"/>
        <w:szCs w:val="21"/>
      </w:rPr>
      <w:t>杭州市公共资源交易中心上城分中心</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rPr>
        <w:rFonts w:hint="eastAsia"/>
        <w:b w:val="0"/>
        <w:bCs/>
        <w:sz w:val="21"/>
        <w:szCs w:val="21"/>
      </w:rPr>
      <w:t>杭州市公共资源交易中心上城分中心</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rPr>
        <w:rFonts w:hint="eastAsia"/>
        <w:b w:val="0"/>
        <w:bCs/>
        <w:sz w:val="21"/>
        <w:szCs w:val="21"/>
      </w:rPr>
      <w:t>杭州市公共资源交易中心上城分中心</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rPr>
        <w:rFonts w:hint="eastAsia"/>
        <w:b w:val="0"/>
        <w:bCs/>
        <w:sz w:val="21"/>
        <w:szCs w:val="21"/>
      </w:rPr>
      <w:t>杭州市公共资源交易中心上城分中心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18C31B"/>
    <w:multiLevelType w:val="singleLevel"/>
    <w:tmpl w:val="9F18C31B"/>
    <w:lvl w:ilvl="0" w:tentative="0">
      <w:start w:val="1"/>
      <w:numFmt w:val="decimal"/>
      <w:lvlText w:val="%1."/>
      <w:lvlJc w:val="left"/>
      <w:pPr>
        <w:tabs>
          <w:tab w:val="left" w:pos="312"/>
        </w:tabs>
      </w:pPr>
    </w:lvl>
  </w:abstractNum>
  <w:abstractNum w:abstractNumId="1">
    <w:nsid w:val="E519A552"/>
    <w:multiLevelType w:val="singleLevel"/>
    <w:tmpl w:val="E519A552"/>
    <w:lvl w:ilvl="0" w:tentative="0">
      <w:start w:val="1"/>
      <w:numFmt w:val="decimal"/>
      <w:suff w:val="nothing"/>
      <w:lvlText w:val="（%1）"/>
      <w:lvlJc w:val="left"/>
    </w:lvl>
  </w:abstractNum>
  <w:abstractNum w:abstractNumId="2">
    <w:nsid w:val="069AE357"/>
    <w:multiLevelType w:val="singleLevel"/>
    <w:tmpl w:val="069AE357"/>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86E"/>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5F8"/>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5B6072"/>
    <w:rsid w:val="017E5D71"/>
    <w:rsid w:val="019F7441"/>
    <w:rsid w:val="01B37585"/>
    <w:rsid w:val="01D55165"/>
    <w:rsid w:val="01DF6BF8"/>
    <w:rsid w:val="01EC2C57"/>
    <w:rsid w:val="020830B5"/>
    <w:rsid w:val="025F0711"/>
    <w:rsid w:val="026B2E25"/>
    <w:rsid w:val="02824D4D"/>
    <w:rsid w:val="02C9668C"/>
    <w:rsid w:val="02DC4B10"/>
    <w:rsid w:val="02DD76CE"/>
    <w:rsid w:val="02F36323"/>
    <w:rsid w:val="02F5619C"/>
    <w:rsid w:val="0326446A"/>
    <w:rsid w:val="032D5555"/>
    <w:rsid w:val="036634D2"/>
    <w:rsid w:val="03DD35E4"/>
    <w:rsid w:val="04076900"/>
    <w:rsid w:val="040C1C98"/>
    <w:rsid w:val="041A5A3B"/>
    <w:rsid w:val="042311BA"/>
    <w:rsid w:val="042B157A"/>
    <w:rsid w:val="0453421E"/>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32745A"/>
    <w:rsid w:val="0779354C"/>
    <w:rsid w:val="07DA5BD1"/>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C66FF"/>
    <w:rsid w:val="0AA374A5"/>
    <w:rsid w:val="0AAB7649"/>
    <w:rsid w:val="0ABC5606"/>
    <w:rsid w:val="0B105E59"/>
    <w:rsid w:val="0B30404E"/>
    <w:rsid w:val="0B4C6C14"/>
    <w:rsid w:val="0B4E7563"/>
    <w:rsid w:val="0B547599"/>
    <w:rsid w:val="0B571B0F"/>
    <w:rsid w:val="0B631A88"/>
    <w:rsid w:val="0B683D45"/>
    <w:rsid w:val="0B7F3F11"/>
    <w:rsid w:val="0B884417"/>
    <w:rsid w:val="0BE04A65"/>
    <w:rsid w:val="0BF6188C"/>
    <w:rsid w:val="0BF73C91"/>
    <w:rsid w:val="0C170175"/>
    <w:rsid w:val="0C571A41"/>
    <w:rsid w:val="0C5C1171"/>
    <w:rsid w:val="0C5E1CBC"/>
    <w:rsid w:val="0C615B50"/>
    <w:rsid w:val="0C8445DA"/>
    <w:rsid w:val="0C87121B"/>
    <w:rsid w:val="0CC007F7"/>
    <w:rsid w:val="0CC617AC"/>
    <w:rsid w:val="0CE055FF"/>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E5081"/>
    <w:rsid w:val="0E5604B2"/>
    <w:rsid w:val="0E6D5D79"/>
    <w:rsid w:val="0E9D0089"/>
    <w:rsid w:val="0EB803EE"/>
    <w:rsid w:val="0EF94D4B"/>
    <w:rsid w:val="0EFA2B25"/>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006AA"/>
    <w:rsid w:val="11C6522A"/>
    <w:rsid w:val="11E104CC"/>
    <w:rsid w:val="11E20309"/>
    <w:rsid w:val="11F01FE7"/>
    <w:rsid w:val="12255233"/>
    <w:rsid w:val="12530213"/>
    <w:rsid w:val="127723A9"/>
    <w:rsid w:val="12862074"/>
    <w:rsid w:val="12883966"/>
    <w:rsid w:val="129C678C"/>
    <w:rsid w:val="129E45B4"/>
    <w:rsid w:val="12D81596"/>
    <w:rsid w:val="13072A44"/>
    <w:rsid w:val="13310C1C"/>
    <w:rsid w:val="135F4BE2"/>
    <w:rsid w:val="139B1A0A"/>
    <w:rsid w:val="139D25C7"/>
    <w:rsid w:val="13BF3CE4"/>
    <w:rsid w:val="13E05FAA"/>
    <w:rsid w:val="13E41E3B"/>
    <w:rsid w:val="13F371C9"/>
    <w:rsid w:val="140E1078"/>
    <w:rsid w:val="141008D8"/>
    <w:rsid w:val="14125FE6"/>
    <w:rsid w:val="146D271E"/>
    <w:rsid w:val="147D1B09"/>
    <w:rsid w:val="14982588"/>
    <w:rsid w:val="149A5AD9"/>
    <w:rsid w:val="14A7619D"/>
    <w:rsid w:val="14ED79A3"/>
    <w:rsid w:val="150536C3"/>
    <w:rsid w:val="1507152E"/>
    <w:rsid w:val="150C1963"/>
    <w:rsid w:val="151447A0"/>
    <w:rsid w:val="154A6454"/>
    <w:rsid w:val="15762120"/>
    <w:rsid w:val="15D677EA"/>
    <w:rsid w:val="16547D67"/>
    <w:rsid w:val="16A67892"/>
    <w:rsid w:val="16A8729C"/>
    <w:rsid w:val="16AA2C7B"/>
    <w:rsid w:val="16B33777"/>
    <w:rsid w:val="16BC70A7"/>
    <w:rsid w:val="16C6339E"/>
    <w:rsid w:val="172F2D79"/>
    <w:rsid w:val="17557BEF"/>
    <w:rsid w:val="1767556B"/>
    <w:rsid w:val="178E7FE9"/>
    <w:rsid w:val="17AA21D2"/>
    <w:rsid w:val="17D349C1"/>
    <w:rsid w:val="18244F26"/>
    <w:rsid w:val="1830729E"/>
    <w:rsid w:val="183F185D"/>
    <w:rsid w:val="185C0C86"/>
    <w:rsid w:val="1870062C"/>
    <w:rsid w:val="18817102"/>
    <w:rsid w:val="18830A15"/>
    <w:rsid w:val="18852B28"/>
    <w:rsid w:val="188B5321"/>
    <w:rsid w:val="19932372"/>
    <w:rsid w:val="19A20DD5"/>
    <w:rsid w:val="19AB1CF2"/>
    <w:rsid w:val="19AE03F1"/>
    <w:rsid w:val="1A071A03"/>
    <w:rsid w:val="1A0B601B"/>
    <w:rsid w:val="1A1F16AE"/>
    <w:rsid w:val="1A3B5C77"/>
    <w:rsid w:val="1A615EDF"/>
    <w:rsid w:val="1A813928"/>
    <w:rsid w:val="1A984BAD"/>
    <w:rsid w:val="1AB8220E"/>
    <w:rsid w:val="1AE4166C"/>
    <w:rsid w:val="1AF06CFB"/>
    <w:rsid w:val="1AF11B8D"/>
    <w:rsid w:val="1B11359C"/>
    <w:rsid w:val="1B2A271F"/>
    <w:rsid w:val="1B530544"/>
    <w:rsid w:val="1B713184"/>
    <w:rsid w:val="1B9144B9"/>
    <w:rsid w:val="1BA209CF"/>
    <w:rsid w:val="1BB4777D"/>
    <w:rsid w:val="1BB80B82"/>
    <w:rsid w:val="1BD75AB8"/>
    <w:rsid w:val="1C0459C2"/>
    <w:rsid w:val="1C145EC2"/>
    <w:rsid w:val="1C1B3B4A"/>
    <w:rsid w:val="1C5927B0"/>
    <w:rsid w:val="1C7723C1"/>
    <w:rsid w:val="1C88086E"/>
    <w:rsid w:val="1CD221A8"/>
    <w:rsid w:val="1D266CE1"/>
    <w:rsid w:val="1D3963AF"/>
    <w:rsid w:val="1D6A673C"/>
    <w:rsid w:val="1D722C36"/>
    <w:rsid w:val="1D9247AE"/>
    <w:rsid w:val="1DB567EC"/>
    <w:rsid w:val="1DF51A98"/>
    <w:rsid w:val="1E051CD9"/>
    <w:rsid w:val="1E0B09F4"/>
    <w:rsid w:val="1E166C25"/>
    <w:rsid w:val="1E19430E"/>
    <w:rsid w:val="1E3D060F"/>
    <w:rsid w:val="1E3F7D2E"/>
    <w:rsid w:val="1E4134E4"/>
    <w:rsid w:val="1E5062B3"/>
    <w:rsid w:val="1E523514"/>
    <w:rsid w:val="1E714A66"/>
    <w:rsid w:val="1E802593"/>
    <w:rsid w:val="1E8B6156"/>
    <w:rsid w:val="1E8D6D67"/>
    <w:rsid w:val="1EA703CC"/>
    <w:rsid w:val="1EB7330C"/>
    <w:rsid w:val="1F0A0FF3"/>
    <w:rsid w:val="1F424155"/>
    <w:rsid w:val="1F5771FF"/>
    <w:rsid w:val="1FD52574"/>
    <w:rsid w:val="1FE868A9"/>
    <w:rsid w:val="20034907"/>
    <w:rsid w:val="20173E4B"/>
    <w:rsid w:val="204E48BC"/>
    <w:rsid w:val="20861773"/>
    <w:rsid w:val="208921B3"/>
    <w:rsid w:val="20973DEB"/>
    <w:rsid w:val="20B26522"/>
    <w:rsid w:val="20B44310"/>
    <w:rsid w:val="211116EB"/>
    <w:rsid w:val="216133FC"/>
    <w:rsid w:val="21CF0216"/>
    <w:rsid w:val="21D56769"/>
    <w:rsid w:val="21E52EF3"/>
    <w:rsid w:val="21FB5D7B"/>
    <w:rsid w:val="22015E94"/>
    <w:rsid w:val="220B1C3D"/>
    <w:rsid w:val="221D1D20"/>
    <w:rsid w:val="22334A87"/>
    <w:rsid w:val="226F628F"/>
    <w:rsid w:val="227448C7"/>
    <w:rsid w:val="22BE6801"/>
    <w:rsid w:val="22CF134A"/>
    <w:rsid w:val="233500BF"/>
    <w:rsid w:val="23377FF7"/>
    <w:rsid w:val="236B425F"/>
    <w:rsid w:val="23836192"/>
    <w:rsid w:val="23901F29"/>
    <w:rsid w:val="239C0061"/>
    <w:rsid w:val="23B908A4"/>
    <w:rsid w:val="23E35EB1"/>
    <w:rsid w:val="23E95BEF"/>
    <w:rsid w:val="23FD0064"/>
    <w:rsid w:val="245375B0"/>
    <w:rsid w:val="24642C0A"/>
    <w:rsid w:val="24B22173"/>
    <w:rsid w:val="24B95AD9"/>
    <w:rsid w:val="24BE24DA"/>
    <w:rsid w:val="24CF5825"/>
    <w:rsid w:val="24D663E6"/>
    <w:rsid w:val="24D77F2B"/>
    <w:rsid w:val="258B00E2"/>
    <w:rsid w:val="25A917A6"/>
    <w:rsid w:val="25BE27CC"/>
    <w:rsid w:val="25ED20F1"/>
    <w:rsid w:val="25F74A5C"/>
    <w:rsid w:val="25FD32C1"/>
    <w:rsid w:val="2628662C"/>
    <w:rsid w:val="262D45DE"/>
    <w:rsid w:val="26871DC8"/>
    <w:rsid w:val="26A53EF9"/>
    <w:rsid w:val="26A94201"/>
    <w:rsid w:val="26AC274F"/>
    <w:rsid w:val="27044A29"/>
    <w:rsid w:val="271D34C8"/>
    <w:rsid w:val="274C1DDF"/>
    <w:rsid w:val="275C79AA"/>
    <w:rsid w:val="276142BF"/>
    <w:rsid w:val="27783712"/>
    <w:rsid w:val="27907362"/>
    <w:rsid w:val="27C13545"/>
    <w:rsid w:val="281B425C"/>
    <w:rsid w:val="28333E1D"/>
    <w:rsid w:val="28454BD6"/>
    <w:rsid w:val="28455253"/>
    <w:rsid w:val="28551971"/>
    <w:rsid w:val="285B1C53"/>
    <w:rsid w:val="28637EF3"/>
    <w:rsid w:val="286B3E36"/>
    <w:rsid w:val="289F7086"/>
    <w:rsid w:val="28C32028"/>
    <w:rsid w:val="28C74231"/>
    <w:rsid w:val="28CC490F"/>
    <w:rsid w:val="28DE40AA"/>
    <w:rsid w:val="290E47FF"/>
    <w:rsid w:val="291B167C"/>
    <w:rsid w:val="29345E77"/>
    <w:rsid w:val="294C65AD"/>
    <w:rsid w:val="29560BC4"/>
    <w:rsid w:val="29806583"/>
    <w:rsid w:val="298B3C4C"/>
    <w:rsid w:val="29F26D24"/>
    <w:rsid w:val="2A15033F"/>
    <w:rsid w:val="2A1662C1"/>
    <w:rsid w:val="2A1C7367"/>
    <w:rsid w:val="2A2815FA"/>
    <w:rsid w:val="2A67325A"/>
    <w:rsid w:val="2A6D6092"/>
    <w:rsid w:val="2A7D76B4"/>
    <w:rsid w:val="2B437463"/>
    <w:rsid w:val="2B7807EE"/>
    <w:rsid w:val="2BA50BF7"/>
    <w:rsid w:val="2BBF00EC"/>
    <w:rsid w:val="2BC37CFD"/>
    <w:rsid w:val="2BD5237F"/>
    <w:rsid w:val="2BDB2793"/>
    <w:rsid w:val="2BE041B6"/>
    <w:rsid w:val="2BE536CE"/>
    <w:rsid w:val="2BE758D9"/>
    <w:rsid w:val="2BF346BB"/>
    <w:rsid w:val="2C09049E"/>
    <w:rsid w:val="2C0A653C"/>
    <w:rsid w:val="2C191F85"/>
    <w:rsid w:val="2CE82D6F"/>
    <w:rsid w:val="2CE91B01"/>
    <w:rsid w:val="2D343236"/>
    <w:rsid w:val="2D575011"/>
    <w:rsid w:val="2DD15014"/>
    <w:rsid w:val="2DF72DE4"/>
    <w:rsid w:val="2E0220AF"/>
    <w:rsid w:val="2E144B62"/>
    <w:rsid w:val="2E492C9D"/>
    <w:rsid w:val="2E4B082A"/>
    <w:rsid w:val="2E5D4E86"/>
    <w:rsid w:val="2E5D790B"/>
    <w:rsid w:val="2E9A3C18"/>
    <w:rsid w:val="2EBB0FEE"/>
    <w:rsid w:val="2EC63002"/>
    <w:rsid w:val="2ECF2A5B"/>
    <w:rsid w:val="2F0A6B38"/>
    <w:rsid w:val="2F946CCB"/>
    <w:rsid w:val="2FD25781"/>
    <w:rsid w:val="2FDC745C"/>
    <w:rsid w:val="2FDE7424"/>
    <w:rsid w:val="2FFD7934"/>
    <w:rsid w:val="30372F27"/>
    <w:rsid w:val="30632AD0"/>
    <w:rsid w:val="30677454"/>
    <w:rsid w:val="30733ACD"/>
    <w:rsid w:val="308C3862"/>
    <w:rsid w:val="309379D8"/>
    <w:rsid w:val="309660CD"/>
    <w:rsid w:val="30A270F7"/>
    <w:rsid w:val="30C62619"/>
    <w:rsid w:val="30D60082"/>
    <w:rsid w:val="30DF1478"/>
    <w:rsid w:val="30EC586F"/>
    <w:rsid w:val="319C6071"/>
    <w:rsid w:val="31AC537E"/>
    <w:rsid w:val="31E3679B"/>
    <w:rsid w:val="31E732FD"/>
    <w:rsid w:val="32517576"/>
    <w:rsid w:val="32BE5C2C"/>
    <w:rsid w:val="32FB6478"/>
    <w:rsid w:val="33263B3F"/>
    <w:rsid w:val="336963EB"/>
    <w:rsid w:val="33816EEB"/>
    <w:rsid w:val="33931907"/>
    <w:rsid w:val="33EB55CD"/>
    <w:rsid w:val="33EC4C02"/>
    <w:rsid w:val="340D2360"/>
    <w:rsid w:val="3410665D"/>
    <w:rsid w:val="341D4C82"/>
    <w:rsid w:val="34211214"/>
    <w:rsid w:val="342E63AB"/>
    <w:rsid w:val="34950E68"/>
    <w:rsid w:val="34986E94"/>
    <w:rsid w:val="34AF62C9"/>
    <w:rsid w:val="34B21174"/>
    <w:rsid w:val="34CB4388"/>
    <w:rsid w:val="34FA6E12"/>
    <w:rsid w:val="354D7158"/>
    <w:rsid w:val="358D5588"/>
    <w:rsid w:val="363A3B40"/>
    <w:rsid w:val="365302AE"/>
    <w:rsid w:val="36607A0A"/>
    <w:rsid w:val="366E227C"/>
    <w:rsid w:val="366F2E0D"/>
    <w:rsid w:val="367B6A5C"/>
    <w:rsid w:val="36A74ADA"/>
    <w:rsid w:val="36AD60D5"/>
    <w:rsid w:val="36B224F9"/>
    <w:rsid w:val="36D3575F"/>
    <w:rsid w:val="36EC0CC9"/>
    <w:rsid w:val="373F410B"/>
    <w:rsid w:val="375159B7"/>
    <w:rsid w:val="37EE7094"/>
    <w:rsid w:val="38296C89"/>
    <w:rsid w:val="383002EB"/>
    <w:rsid w:val="38586797"/>
    <w:rsid w:val="385D15DF"/>
    <w:rsid w:val="38BC0149"/>
    <w:rsid w:val="38D87D1C"/>
    <w:rsid w:val="39274158"/>
    <w:rsid w:val="39636459"/>
    <w:rsid w:val="396B7F6C"/>
    <w:rsid w:val="39B417A9"/>
    <w:rsid w:val="39C46961"/>
    <w:rsid w:val="39FC5695"/>
    <w:rsid w:val="3A006D8E"/>
    <w:rsid w:val="3A3651E5"/>
    <w:rsid w:val="3A744481"/>
    <w:rsid w:val="3A8C7BEF"/>
    <w:rsid w:val="3A906246"/>
    <w:rsid w:val="3AA972B1"/>
    <w:rsid w:val="3B2349B7"/>
    <w:rsid w:val="3B616CFF"/>
    <w:rsid w:val="3B6259F6"/>
    <w:rsid w:val="3B976654"/>
    <w:rsid w:val="3BC01EFC"/>
    <w:rsid w:val="3BCA786A"/>
    <w:rsid w:val="3BD31E2F"/>
    <w:rsid w:val="3BF15831"/>
    <w:rsid w:val="3C105946"/>
    <w:rsid w:val="3C471448"/>
    <w:rsid w:val="3C4A1903"/>
    <w:rsid w:val="3C5F759A"/>
    <w:rsid w:val="3C6C525A"/>
    <w:rsid w:val="3C7E54E4"/>
    <w:rsid w:val="3C860B71"/>
    <w:rsid w:val="3CCE23CB"/>
    <w:rsid w:val="3CD17D17"/>
    <w:rsid w:val="3D323D7F"/>
    <w:rsid w:val="3D386501"/>
    <w:rsid w:val="3D3C7F39"/>
    <w:rsid w:val="3D440F09"/>
    <w:rsid w:val="3D4504A0"/>
    <w:rsid w:val="3D6168CB"/>
    <w:rsid w:val="3D710029"/>
    <w:rsid w:val="3D8734BB"/>
    <w:rsid w:val="3D9A11D4"/>
    <w:rsid w:val="3DA16D89"/>
    <w:rsid w:val="3DA31E8A"/>
    <w:rsid w:val="3DA364BE"/>
    <w:rsid w:val="3DE041CB"/>
    <w:rsid w:val="3E0D48F6"/>
    <w:rsid w:val="3E1868B4"/>
    <w:rsid w:val="3E377251"/>
    <w:rsid w:val="3E42664B"/>
    <w:rsid w:val="3E5A7334"/>
    <w:rsid w:val="3E7B5D6B"/>
    <w:rsid w:val="3E843E66"/>
    <w:rsid w:val="3E8F51FE"/>
    <w:rsid w:val="3E926F87"/>
    <w:rsid w:val="3E9A59DE"/>
    <w:rsid w:val="3EAF4836"/>
    <w:rsid w:val="3EC33DFA"/>
    <w:rsid w:val="3EC65901"/>
    <w:rsid w:val="3F060E16"/>
    <w:rsid w:val="3F074F5B"/>
    <w:rsid w:val="3F1D1096"/>
    <w:rsid w:val="3F2F0234"/>
    <w:rsid w:val="3F4E1636"/>
    <w:rsid w:val="3F6363FE"/>
    <w:rsid w:val="3F756B8F"/>
    <w:rsid w:val="3F95482B"/>
    <w:rsid w:val="3FE455D8"/>
    <w:rsid w:val="40122458"/>
    <w:rsid w:val="4019356B"/>
    <w:rsid w:val="40592157"/>
    <w:rsid w:val="406E1CAE"/>
    <w:rsid w:val="40A0133A"/>
    <w:rsid w:val="40C31A53"/>
    <w:rsid w:val="40FF545D"/>
    <w:rsid w:val="410067C8"/>
    <w:rsid w:val="418F0D2A"/>
    <w:rsid w:val="41D01505"/>
    <w:rsid w:val="41D53729"/>
    <w:rsid w:val="42474939"/>
    <w:rsid w:val="424C3C57"/>
    <w:rsid w:val="42613FF3"/>
    <w:rsid w:val="42660D96"/>
    <w:rsid w:val="428667D2"/>
    <w:rsid w:val="42C44901"/>
    <w:rsid w:val="42C80B49"/>
    <w:rsid w:val="42CD1CE0"/>
    <w:rsid w:val="42E1381E"/>
    <w:rsid w:val="42ED6459"/>
    <w:rsid w:val="42FE58DD"/>
    <w:rsid w:val="43154C01"/>
    <w:rsid w:val="43174B3D"/>
    <w:rsid w:val="434B790E"/>
    <w:rsid w:val="4360274F"/>
    <w:rsid w:val="43977AB6"/>
    <w:rsid w:val="43A3342B"/>
    <w:rsid w:val="43C77C27"/>
    <w:rsid w:val="43DE09EE"/>
    <w:rsid w:val="44002FAD"/>
    <w:rsid w:val="449101DD"/>
    <w:rsid w:val="44991D3E"/>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372A84"/>
    <w:rsid w:val="477B778F"/>
    <w:rsid w:val="478203EC"/>
    <w:rsid w:val="47B025FA"/>
    <w:rsid w:val="47B11FBE"/>
    <w:rsid w:val="47CA16E7"/>
    <w:rsid w:val="4809698F"/>
    <w:rsid w:val="4811697D"/>
    <w:rsid w:val="4863620F"/>
    <w:rsid w:val="487A3E25"/>
    <w:rsid w:val="488B5503"/>
    <w:rsid w:val="48937E21"/>
    <w:rsid w:val="489A0361"/>
    <w:rsid w:val="48B94FF3"/>
    <w:rsid w:val="48E37AAB"/>
    <w:rsid w:val="48FD4B4C"/>
    <w:rsid w:val="490A68E0"/>
    <w:rsid w:val="491055FE"/>
    <w:rsid w:val="495F5B3E"/>
    <w:rsid w:val="496F77D7"/>
    <w:rsid w:val="497654FD"/>
    <w:rsid w:val="49B64211"/>
    <w:rsid w:val="49F53957"/>
    <w:rsid w:val="49F6167F"/>
    <w:rsid w:val="4A064FA0"/>
    <w:rsid w:val="4A16615C"/>
    <w:rsid w:val="4A4424D7"/>
    <w:rsid w:val="4AB82D0F"/>
    <w:rsid w:val="4AEB7664"/>
    <w:rsid w:val="4AFD7C19"/>
    <w:rsid w:val="4B0567D1"/>
    <w:rsid w:val="4B236AAE"/>
    <w:rsid w:val="4B707271"/>
    <w:rsid w:val="4B9739F7"/>
    <w:rsid w:val="4BC76BE0"/>
    <w:rsid w:val="4BEE2503"/>
    <w:rsid w:val="4C245A30"/>
    <w:rsid w:val="4CB6685F"/>
    <w:rsid w:val="4CC367FE"/>
    <w:rsid w:val="4CCE2312"/>
    <w:rsid w:val="4CF562F1"/>
    <w:rsid w:val="4D077F3C"/>
    <w:rsid w:val="4D123355"/>
    <w:rsid w:val="4D2A3B31"/>
    <w:rsid w:val="4D312C52"/>
    <w:rsid w:val="4D556957"/>
    <w:rsid w:val="4D905305"/>
    <w:rsid w:val="4D964A72"/>
    <w:rsid w:val="4D9C1254"/>
    <w:rsid w:val="4E2D5B2F"/>
    <w:rsid w:val="4E3971AB"/>
    <w:rsid w:val="4E5E1273"/>
    <w:rsid w:val="4E644B69"/>
    <w:rsid w:val="4E793892"/>
    <w:rsid w:val="4E800872"/>
    <w:rsid w:val="4EC569ED"/>
    <w:rsid w:val="4ED50EA1"/>
    <w:rsid w:val="4EEC050C"/>
    <w:rsid w:val="4EF9313D"/>
    <w:rsid w:val="4F104EC3"/>
    <w:rsid w:val="4F47354A"/>
    <w:rsid w:val="4F911C54"/>
    <w:rsid w:val="4FE625E0"/>
    <w:rsid w:val="5021480F"/>
    <w:rsid w:val="506542B9"/>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82A16"/>
    <w:rsid w:val="51FA6B6B"/>
    <w:rsid w:val="5211323B"/>
    <w:rsid w:val="522E4CC3"/>
    <w:rsid w:val="5244713B"/>
    <w:rsid w:val="52615633"/>
    <w:rsid w:val="526F4DE4"/>
    <w:rsid w:val="52977FD4"/>
    <w:rsid w:val="52A25790"/>
    <w:rsid w:val="52A96B6F"/>
    <w:rsid w:val="52B45975"/>
    <w:rsid w:val="52D94AA4"/>
    <w:rsid w:val="52EA3A62"/>
    <w:rsid w:val="52F50BB8"/>
    <w:rsid w:val="53097272"/>
    <w:rsid w:val="531F6EE8"/>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D37AF"/>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666610"/>
    <w:rsid w:val="5B843A1C"/>
    <w:rsid w:val="5B873E3F"/>
    <w:rsid w:val="5C02690E"/>
    <w:rsid w:val="5C196DA7"/>
    <w:rsid w:val="5C2A048C"/>
    <w:rsid w:val="5C80234E"/>
    <w:rsid w:val="5C8A680C"/>
    <w:rsid w:val="5D0C4701"/>
    <w:rsid w:val="5D0F0395"/>
    <w:rsid w:val="5D221076"/>
    <w:rsid w:val="5D35718A"/>
    <w:rsid w:val="5D397964"/>
    <w:rsid w:val="5D5A391C"/>
    <w:rsid w:val="5D5F10C0"/>
    <w:rsid w:val="5D891B7B"/>
    <w:rsid w:val="5DAD38EE"/>
    <w:rsid w:val="5E006862"/>
    <w:rsid w:val="5E0207B9"/>
    <w:rsid w:val="5E1834A1"/>
    <w:rsid w:val="5E261785"/>
    <w:rsid w:val="5E4A7017"/>
    <w:rsid w:val="5E552BBA"/>
    <w:rsid w:val="5E611C10"/>
    <w:rsid w:val="5E7A0F3F"/>
    <w:rsid w:val="5E8F4EF2"/>
    <w:rsid w:val="5EB44770"/>
    <w:rsid w:val="5EFC7377"/>
    <w:rsid w:val="5F06174D"/>
    <w:rsid w:val="5F3A3602"/>
    <w:rsid w:val="5F45733B"/>
    <w:rsid w:val="5F6277C6"/>
    <w:rsid w:val="5F645ADF"/>
    <w:rsid w:val="5F6D0B1D"/>
    <w:rsid w:val="5F8D0B82"/>
    <w:rsid w:val="5F926F9A"/>
    <w:rsid w:val="5FCC5339"/>
    <w:rsid w:val="5FE34A5B"/>
    <w:rsid w:val="5FFE1E36"/>
    <w:rsid w:val="60232584"/>
    <w:rsid w:val="607330CE"/>
    <w:rsid w:val="607526CB"/>
    <w:rsid w:val="60825176"/>
    <w:rsid w:val="609F2AC4"/>
    <w:rsid w:val="60FA2EE8"/>
    <w:rsid w:val="61054A27"/>
    <w:rsid w:val="610A52BC"/>
    <w:rsid w:val="611D2366"/>
    <w:rsid w:val="61421856"/>
    <w:rsid w:val="6149735B"/>
    <w:rsid w:val="615227C4"/>
    <w:rsid w:val="61654E3F"/>
    <w:rsid w:val="6182292A"/>
    <w:rsid w:val="619F7F92"/>
    <w:rsid w:val="61F94C26"/>
    <w:rsid w:val="62000E56"/>
    <w:rsid w:val="623A7379"/>
    <w:rsid w:val="624F3E49"/>
    <w:rsid w:val="62632286"/>
    <w:rsid w:val="62885958"/>
    <w:rsid w:val="62F40B65"/>
    <w:rsid w:val="62FC2CFE"/>
    <w:rsid w:val="63024505"/>
    <w:rsid w:val="633A597E"/>
    <w:rsid w:val="635600A5"/>
    <w:rsid w:val="635B1DB5"/>
    <w:rsid w:val="63711FED"/>
    <w:rsid w:val="63880DDC"/>
    <w:rsid w:val="638D750D"/>
    <w:rsid w:val="63AC6CC0"/>
    <w:rsid w:val="64055776"/>
    <w:rsid w:val="64240056"/>
    <w:rsid w:val="643460DA"/>
    <w:rsid w:val="643E143A"/>
    <w:rsid w:val="64491666"/>
    <w:rsid w:val="648B6EEF"/>
    <w:rsid w:val="64B13DB0"/>
    <w:rsid w:val="64C158BF"/>
    <w:rsid w:val="64CE2EAA"/>
    <w:rsid w:val="653C3090"/>
    <w:rsid w:val="65452C22"/>
    <w:rsid w:val="65854376"/>
    <w:rsid w:val="658767BE"/>
    <w:rsid w:val="65892531"/>
    <w:rsid w:val="65D836E0"/>
    <w:rsid w:val="66195831"/>
    <w:rsid w:val="662E75B1"/>
    <w:rsid w:val="66342C2E"/>
    <w:rsid w:val="663E784C"/>
    <w:rsid w:val="66434B4A"/>
    <w:rsid w:val="668B6A45"/>
    <w:rsid w:val="669C24AC"/>
    <w:rsid w:val="66C91921"/>
    <w:rsid w:val="670042B4"/>
    <w:rsid w:val="672F3F24"/>
    <w:rsid w:val="673E055F"/>
    <w:rsid w:val="67551CE3"/>
    <w:rsid w:val="6765227E"/>
    <w:rsid w:val="679F73D2"/>
    <w:rsid w:val="67A22552"/>
    <w:rsid w:val="67B22DCC"/>
    <w:rsid w:val="67BE71AA"/>
    <w:rsid w:val="67D90273"/>
    <w:rsid w:val="67DE5875"/>
    <w:rsid w:val="67E55852"/>
    <w:rsid w:val="67EB1AB4"/>
    <w:rsid w:val="67FA1285"/>
    <w:rsid w:val="68033324"/>
    <w:rsid w:val="68551F4F"/>
    <w:rsid w:val="687C10C9"/>
    <w:rsid w:val="68840C16"/>
    <w:rsid w:val="68876EFB"/>
    <w:rsid w:val="68884654"/>
    <w:rsid w:val="689F444F"/>
    <w:rsid w:val="68B96DBB"/>
    <w:rsid w:val="68CA2805"/>
    <w:rsid w:val="68E937A3"/>
    <w:rsid w:val="69041ADC"/>
    <w:rsid w:val="693E15D3"/>
    <w:rsid w:val="69627681"/>
    <w:rsid w:val="6977531D"/>
    <w:rsid w:val="69920A0A"/>
    <w:rsid w:val="69CC2BFF"/>
    <w:rsid w:val="69FD55B8"/>
    <w:rsid w:val="6A0B1C62"/>
    <w:rsid w:val="6A2406C8"/>
    <w:rsid w:val="6A5956B7"/>
    <w:rsid w:val="6A5E0034"/>
    <w:rsid w:val="6ADE0BD1"/>
    <w:rsid w:val="6AE96859"/>
    <w:rsid w:val="6B0703DC"/>
    <w:rsid w:val="6B147746"/>
    <w:rsid w:val="6B24787C"/>
    <w:rsid w:val="6B573233"/>
    <w:rsid w:val="6B5B6274"/>
    <w:rsid w:val="6B68759C"/>
    <w:rsid w:val="6B7D6114"/>
    <w:rsid w:val="6B935D53"/>
    <w:rsid w:val="6C196F71"/>
    <w:rsid w:val="6C226FCB"/>
    <w:rsid w:val="6C31226F"/>
    <w:rsid w:val="6C3A6D6F"/>
    <w:rsid w:val="6C552F0B"/>
    <w:rsid w:val="6C8C67B7"/>
    <w:rsid w:val="6C9D744C"/>
    <w:rsid w:val="6CB75400"/>
    <w:rsid w:val="6CEB7CE9"/>
    <w:rsid w:val="6D167928"/>
    <w:rsid w:val="6D26299B"/>
    <w:rsid w:val="6D37171B"/>
    <w:rsid w:val="6D4772EC"/>
    <w:rsid w:val="6D9078AF"/>
    <w:rsid w:val="6DA73F4B"/>
    <w:rsid w:val="6DAA3FEF"/>
    <w:rsid w:val="6DC0172B"/>
    <w:rsid w:val="6DCB690C"/>
    <w:rsid w:val="6DD41A5B"/>
    <w:rsid w:val="6DF43C2E"/>
    <w:rsid w:val="6DF51CA3"/>
    <w:rsid w:val="6E8335BD"/>
    <w:rsid w:val="6E8E12EF"/>
    <w:rsid w:val="6E972936"/>
    <w:rsid w:val="6ED446C5"/>
    <w:rsid w:val="6F2A7D94"/>
    <w:rsid w:val="6F5A7769"/>
    <w:rsid w:val="6F8331F1"/>
    <w:rsid w:val="6FAE1A09"/>
    <w:rsid w:val="6FD75BF8"/>
    <w:rsid w:val="707723D0"/>
    <w:rsid w:val="70847B6A"/>
    <w:rsid w:val="70F5661B"/>
    <w:rsid w:val="71360107"/>
    <w:rsid w:val="713B688E"/>
    <w:rsid w:val="71D43752"/>
    <w:rsid w:val="71F1796A"/>
    <w:rsid w:val="72154626"/>
    <w:rsid w:val="72262B5D"/>
    <w:rsid w:val="72283FF7"/>
    <w:rsid w:val="722E7212"/>
    <w:rsid w:val="723A0474"/>
    <w:rsid w:val="72401AF4"/>
    <w:rsid w:val="725923E4"/>
    <w:rsid w:val="725C67D7"/>
    <w:rsid w:val="72864BF7"/>
    <w:rsid w:val="729023FC"/>
    <w:rsid w:val="72FB1B97"/>
    <w:rsid w:val="73C0646E"/>
    <w:rsid w:val="742222F5"/>
    <w:rsid w:val="74476126"/>
    <w:rsid w:val="74706664"/>
    <w:rsid w:val="747F3682"/>
    <w:rsid w:val="749C4185"/>
    <w:rsid w:val="74E27246"/>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393FF3"/>
    <w:rsid w:val="77472422"/>
    <w:rsid w:val="777F31F2"/>
    <w:rsid w:val="77D1700D"/>
    <w:rsid w:val="77EC04CC"/>
    <w:rsid w:val="781E3CB0"/>
    <w:rsid w:val="786D580F"/>
    <w:rsid w:val="78775729"/>
    <w:rsid w:val="78A42DB0"/>
    <w:rsid w:val="78A656AB"/>
    <w:rsid w:val="78B2245C"/>
    <w:rsid w:val="78E172CC"/>
    <w:rsid w:val="78EA1D1F"/>
    <w:rsid w:val="790168AF"/>
    <w:rsid w:val="7904172F"/>
    <w:rsid w:val="790F7E27"/>
    <w:rsid w:val="792A231A"/>
    <w:rsid w:val="79316829"/>
    <w:rsid w:val="797E66A9"/>
    <w:rsid w:val="798518A4"/>
    <w:rsid w:val="79995486"/>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265C57"/>
    <w:rsid w:val="7C590818"/>
    <w:rsid w:val="7C7C10F6"/>
    <w:rsid w:val="7C853BEA"/>
    <w:rsid w:val="7C881368"/>
    <w:rsid w:val="7CE27788"/>
    <w:rsid w:val="7D0C32F1"/>
    <w:rsid w:val="7D0F408D"/>
    <w:rsid w:val="7D491C6C"/>
    <w:rsid w:val="7D5429C0"/>
    <w:rsid w:val="7D6E6D43"/>
    <w:rsid w:val="7DB57A34"/>
    <w:rsid w:val="7DE60973"/>
    <w:rsid w:val="7DEF0916"/>
    <w:rsid w:val="7E1E5218"/>
    <w:rsid w:val="7E7F6B63"/>
    <w:rsid w:val="7E9A4E1F"/>
    <w:rsid w:val="7EA7723A"/>
    <w:rsid w:val="7ED123E1"/>
    <w:rsid w:val="7EF56FBB"/>
    <w:rsid w:val="7F0768EB"/>
    <w:rsid w:val="7F143BEC"/>
    <w:rsid w:val="7F715AF2"/>
    <w:rsid w:val="7F7845E8"/>
    <w:rsid w:val="7F7F3154"/>
    <w:rsid w:val="7F886E69"/>
    <w:rsid w:val="7F9144E1"/>
    <w:rsid w:val="BB7FA927"/>
    <w:rsid w:val="E738AC5E"/>
    <w:rsid w:val="EFEF42AB"/>
    <w:rsid w:val="F3772970"/>
    <w:rsid w:val="F5FFD31F"/>
    <w:rsid w:val="F7BDEFD5"/>
    <w:rsid w:val="FBA30C42"/>
    <w:rsid w:val="FFF31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4"/>
    <w:link w:val="319"/>
    <w:qFormat/>
    <w:uiPriority w:val="0"/>
    <w:pPr>
      <w:ind w:firstLine="420"/>
    </w:pPr>
    <w:rPr>
      <w:rFonts w:hAnsi="Calibri" w:cs="Times New Roman"/>
      <w:snapToGrid/>
      <w:szCs w:val="20"/>
    </w:rPr>
  </w:style>
  <w:style w:type="paragraph" w:styleId="62">
    <w:name w:val="Body Text First Indent 2"/>
    <w:basedOn w:val="25"/>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空2字"/>
    <w:basedOn w:val="96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4">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15121</Words>
  <Characters>16273</Characters>
  <Lines>279</Lines>
  <Paragraphs>78</Paragraphs>
  <TotalTime>17</TotalTime>
  <ScaleCrop>false</ScaleCrop>
  <LinksUpToDate>false</LinksUpToDate>
  <CharactersWithSpaces>16843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shani-peng</cp:lastModifiedBy>
  <cp:lastPrinted>2025-05-20T00:16:00Z</cp:lastPrinted>
  <dcterms:modified xsi:type="dcterms:W3CDTF">2025-07-02T06:30:07Z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4A1367C861F14D9294A4EB0EF66EF992_13</vt:lpwstr>
  </property>
  <property fmtid="{D5CDD505-2E9C-101B-9397-08002B2CF9AE}" pid="5" name="KSOTemplateDocerSaveRecord">
    <vt:lpwstr>eyJoZGlkIjoiMjQxOWU1Njk2MzM3NGI5YmFiNzIxZTE2NGVkN2VjZWIiLCJ1c2VySWQiOiIzMDc1NjIyNDgifQ==</vt:lpwstr>
  </property>
</Properties>
</file>