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2025-2026年度局办公大楼（广景弄）物业管理服务采购项目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SCCG2025-GK-28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杭州市上城区人力资源和社会保障局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七</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七</w:t>
      </w:r>
      <w:r>
        <w:rPr>
          <w:rFonts w:hint="eastAsia" w:ascii="宋体" w:hAnsi="宋体" w:cs="宋体"/>
          <w:bCs/>
          <w:color w:val="FF0000"/>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2025-2026年度局办公大楼（广景弄）物业管理服务采购项目</w:t>
      </w:r>
      <w:r>
        <w:rPr>
          <w:rFonts w:hint="eastAsia" w:ascii="宋体" w:hAnsi="宋体" w:cs="宋体"/>
          <w:color w:val="auto"/>
          <w:sz w:val="24"/>
        </w:rPr>
        <w:t>招标项目的潜在投标</w:t>
      </w:r>
      <w:r>
        <w:rPr>
          <w:rFonts w:hint="eastAsia" w:ascii="宋体" w:hAnsi="宋体" w:cs="宋体"/>
          <w:sz w:val="24"/>
        </w:rPr>
        <w:t>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FF0000"/>
          <w:kern w:val="2"/>
          <w:sz w:val="24"/>
          <w:szCs w:val="24"/>
        </w:rPr>
        <w:t>202</w:t>
      </w:r>
      <w:r>
        <w:rPr>
          <w:rStyle w:val="77"/>
          <w:rFonts w:hint="eastAsia" w:ascii="宋体" w:hAnsi="宋体" w:cs="宋体"/>
          <w:snapToGrid/>
          <w:color w:val="FF0000"/>
          <w:kern w:val="2"/>
          <w:sz w:val="24"/>
          <w:szCs w:val="24"/>
          <w:lang w:val="en-US" w:eastAsia="zh-CN"/>
        </w:rPr>
        <w:t>5</w:t>
      </w:r>
      <w:r>
        <w:rPr>
          <w:rStyle w:val="77"/>
          <w:rFonts w:hint="eastAsia" w:ascii="宋体" w:hAnsi="宋体" w:eastAsia="宋体" w:cs="宋体"/>
          <w:snapToGrid/>
          <w:color w:val="FF0000"/>
          <w:kern w:val="2"/>
          <w:sz w:val="24"/>
          <w:szCs w:val="24"/>
        </w:rPr>
        <w:t>年</w:t>
      </w:r>
      <w:r>
        <w:rPr>
          <w:rStyle w:val="77"/>
          <w:rFonts w:hint="eastAsia" w:ascii="宋体" w:hAnsi="宋体" w:cs="宋体"/>
          <w:snapToGrid/>
          <w:color w:val="FF0000"/>
          <w:kern w:val="2"/>
          <w:sz w:val="24"/>
          <w:szCs w:val="24"/>
          <w:lang w:val="en-US" w:eastAsia="zh-CN"/>
        </w:rPr>
        <w:t>7</w:t>
      </w:r>
      <w:r>
        <w:rPr>
          <w:rStyle w:val="77"/>
          <w:rFonts w:hint="eastAsia" w:ascii="宋体" w:hAnsi="宋体" w:eastAsia="宋体" w:cs="宋体"/>
          <w:snapToGrid/>
          <w:color w:val="FF0000"/>
          <w:kern w:val="2"/>
          <w:sz w:val="24"/>
          <w:szCs w:val="24"/>
        </w:rPr>
        <w:t>月</w:t>
      </w:r>
      <w:r>
        <w:rPr>
          <w:rStyle w:val="77"/>
          <w:rFonts w:hint="eastAsia" w:ascii="宋体" w:hAnsi="宋体" w:cs="宋体"/>
          <w:snapToGrid/>
          <w:color w:val="FF0000"/>
          <w:kern w:val="2"/>
          <w:sz w:val="24"/>
          <w:szCs w:val="24"/>
          <w:lang w:val="en-US" w:eastAsia="zh-CN"/>
        </w:rPr>
        <w:t>28</w:t>
      </w:r>
      <w:r>
        <w:rPr>
          <w:rStyle w:val="77"/>
          <w:rFonts w:hint="eastAsia" w:ascii="宋体" w:hAnsi="宋体" w:eastAsia="宋体" w:cs="宋体"/>
          <w:snapToGrid/>
          <w:color w:val="FF0000"/>
          <w:kern w:val="2"/>
          <w:sz w:val="24"/>
          <w:szCs w:val="24"/>
        </w:rPr>
        <w:t>日</w:t>
      </w:r>
      <w:r>
        <w:rPr>
          <w:rStyle w:val="77"/>
          <w:rFonts w:hint="eastAsia" w:ascii="宋体" w:hAnsi="宋体" w:cs="宋体"/>
          <w:snapToGrid/>
          <w:color w:val="FF0000"/>
          <w:kern w:val="2"/>
          <w:sz w:val="24"/>
          <w:szCs w:val="24"/>
          <w:lang w:val="en-US" w:eastAsia="zh-CN"/>
        </w:rPr>
        <w:t>10</w:t>
      </w:r>
      <w:r>
        <w:rPr>
          <w:rStyle w:val="77"/>
          <w:rFonts w:hint="eastAsia" w:ascii="宋体" w:hAnsi="宋体" w:eastAsia="宋体" w:cs="宋体"/>
          <w:snapToGrid/>
          <w:color w:val="FF0000"/>
          <w:kern w:val="2"/>
          <w:sz w:val="24"/>
          <w:szCs w:val="24"/>
        </w:rPr>
        <w:t>点</w:t>
      </w:r>
      <w:r>
        <w:rPr>
          <w:rStyle w:val="77"/>
          <w:rFonts w:hint="eastAsia" w:ascii="宋体" w:hAnsi="宋体" w:cs="宋体"/>
          <w:snapToGrid/>
          <w:color w:val="FF0000"/>
          <w:kern w:val="2"/>
          <w:sz w:val="24"/>
          <w:szCs w:val="24"/>
          <w:lang w:val="en-US" w:eastAsia="zh-CN"/>
        </w:rPr>
        <w:t>00</w:t>
      </w:r>
      <w:r>
        <w:rPr>
          <w:rStyle w:val="77"/>
          <w:rFonts w:hint="eastAsia" w:ascii="宋体" w:hAnsi="宋体" w:eastAsia="宋体" w:cs="宋体"/>
          <w:snapToGrid/>
          <w:color w:val="FF0000"/>
          <w:kern w:val="2"/>
          <w:sz w:val="24"/>
          <w:szCs w:val="24"/>
        </w:rPr>
        <w:t>分</w:t>
      </w:r>
      <w:r>
        <w:rPr>
          <w:rStyle w:val="77"/>
          <w:rFonts w:hint="eastAsia" w:ascii="宋体" w:hAnsi="宋体" w:eastAsia="宋体" w:cs="宋体"/>
          <w:bCs/>
          <w:snapToGrid/>
          <w:color w:val="FF0000"/>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SCCG2025-GK-28</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2025-2026年度局办公大楼（广景弄）物业管理服务采购项目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860000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860000</w:t>
      </w:r>
      <w:r>
        <w:rPr>
          <w:rFonts w:ascii="宋体" w:hAnsi="宋体" w:cs="宋体"/>
          <w:color w:val="auto"/>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2025-2026年度局办公大楼（广景弄）物业管理服务采购项目</w:t>
      </w:r>
      <w:r>
        <w:rPr>
          <w:rFonts w:hint="eastAsia" w:hAnsi="宋体" w:cs="宋体"/>
          <w:bCs/>
          <w:snapToGrid/>
          <w:color w:val="auto"/>
          <w:kern w:val="2"/>
          <w:sz w:val="24"/>
          <w:szCs w:val="24"/>
          <w:highlight w:val="none"/>
        </w:rPr>
        <w:t>主要内容： 上城区人力社保局办公大楼院区的安全保卫管理、秩序维护、联动辅助服务、卫生保洁、绿化养护、会务服务、工程维修（含电梯、高低压配电系统、消监控系统、空调系统和大楼区域内的零修）、垃圾清运、化粪池清掏、病虫害防治以及人社局安排的其它工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合同履约期限：自合同签订生效之日起一年（12个月）</w:t>
      </w:r>
      <w:r>
        <w:rPr>
          <w:rFonts w:ascii="宋体" w:hAnsi="宋体" w:cs="宋体"/>
        </w:rPr>
        <w:t xml:space="preserve"> </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3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33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3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bookmarkStart w:id="11" w:name="OLE_LINK8"/>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11"/>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w:t>
      </w:r>
      <w:r>
        <w:rPr>
          <w:rFonts w:hint="eastAsia" w:ascii="宋体" w:hAnsi="宋体" w:cs="宋体"/>
          <w:sz w:val="24"/>
          <w:highlight w:val="none"/>
        </w:rPr>
        <w:t>询问质疑投诉-质疑列表。质疑供应商对在线质疑答复不满意的，可在线提起投诉，路径为：</w:t>
      </w:r>
      <w:r>
        <w:rPr>
          <w:rFonts w:hint="eastAsia" w:ascii="宋体" w:hAnsi="宋体" w:cs="宋体"/>
          <w:sz w:val="24"/>
          <w:highlight w:val="none"/>
          <w:lang w:eastAsia="zh-CN"/>
        </w:rPr>
        <w:t>浙江政务服务网</w:t>
      </w:r>
      <w:r>
        <w:rPr>
          <w:rFonts w:hint="eastAsia" w:ascii="宋体" w:hAnsi="宋体" w:cs="宋体"/>
          <w:sz w:val="24"/>
        </w:rPr>
        <w:t>-政府采购投诉处理-在线办理。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bookmarkStart w:id="12" w:name="OLE_LINK26"/>
      <w:r>
        <w:rPr>
          <w:rFonts w:hint="eastAsia" w:ascii="宋体" w:hAnsi="宋体" w:cs="宋体"/>
          <w:sz w:val="24"/>
          <w:highlight w:val="none"/>
          <w:lang w:eastAsia="zh-CN"/>
        </w:rPr>
        <w:t>采购机构</w:t>
      </w:r>
      <w:bookmarkEnd w:id="12"/>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杭州市上城区人力资源和社会保障局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址：庆春东路1号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项目联系人（询问）：孙培庆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0571-89500917</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田间清</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0571-89500905</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喻工</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87926016</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宋老师</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pPr>
        <w:spacing w:line="360" w:lineRule="auto"/>
        <w:rPr>
          <w:rFonts w:hint="eastAsia" w:ascii="宋体" w:hAnsi="宋体" w:eastAsia="宋体" w:cs="宋体"/>
          <w:color w:val="auto"/>
          <w:sz w:val="24"/>
          <w:lang w:val="en-US" w:eastAsia="zh-CN"/>
        </w:rPr>
      </w:pPr>
      <w:r>
        <w:rPr>
          <w:rFonts w:hint="eastAsia" w:ascii="宋体" w:hAnsi="宋体" w:cs="宋体"/>
          <w:sz w:val="24"/>
          <w:highlight w:val="none"/>
        </w:rPr>
        <w:t xml:space="preserve">    3.</w:t>
      </w:r>
      <w:r>
        <w:rPr>
          <w:rFonts w:hint="eastAsia" w:ascii="宋体" w:hAnsi="宋体" w:eastAsia="宋体" w:cs="宋体"/>
          <w:color w:val="auto"/>
          <w:sz w:val="24"/>
          <w:lang w:val="en-US" w:eastAsia="zh-CN"/>
        </w:rPr>
        <w:t xml:space="preserve">同级政府采购监督管理部门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地    址：</w:t>
      </w:r>
      <w:r>
        <w:rPr>
          <w:rFonts w:hint="eastAsia" w:ascii="宋体" w:hAnsi="宋体" w:eastAsia="宋体" w:cs="宋体"/>
          <w:color w:val="auto"/>
          <w:sz w:val="24"/>
          <w:highlight w:val="none"/>
          <w:lang w:val="en-US" w:eastAsia="zh-CN"/>
        </w:rPr>
        <w:t>杭州市上城区清泰街549号城建综合大楼11楼（快递仅限ems或顺丰）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 ：朱女士、王女士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监督投诉电话：0571-87227671,0571-87800218</w:t>
      </w:r>
    </w:p>
    <w:p>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政策咨询电话：严女士，0571-89500858，陈女士，单女士，0571-89500861</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2025-2026年度局办公大楼（广景弄）物业管理服务采购项目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4"/>
              <w:ind w:left="0" w:leftChars="0" w:firstLine="0" w:firstLineChars="0"/>
              <w:rPr>
                <w:rFonts w:ascii="宋体" w:hAnsi="宋体" w:eastAsia="宋体" w:cs="宋体"/>
                <w:lang w:val="en-US"/>
              </w:rPr>
            </w:pPr>
            <w:r>
              <w:rPr>
                <w:rFonts w:hint="eastAsia" w:ascii="宋体" w:hAnsi="宋体" w:eastAsia="宋体" w:cs="宋体"/>
                <w:b w:val="0"/>
                <w:bCs w:val="0"/>
                <w:color w:val="auto"/>
                <w:kern w:val="2"/>
                <w:sz w:val="24"/>
                <w:szCs w:val="24"/>
                <w:lang w:val="en-US" w:eastAsia="zh-CN" w:bidi="ar-SA"/>
              </w:rPr>
              <w:t>根据《</w:t>
            </w:r>
            <w:bookmarkStart w:id="13" w:name="OLE_LINK2"/>
            <w:r>
              <w:rPr>
                <w:rFonts w:hint="eastAsia" w:ascii="宋体" w:hAnsi="宋体" w:eastAsia="宋体" w:cs="宋体"/>
                <w:b w:val="0"/>
                <w:bCs w:val="0"/>
                <w:color w:val="auto"/>
                <w:kern w:val="2"/>
                <w:sz w:val="24"/>
                <w:szCs w:val="24"/>
                <w:lang w:val="en-US" w:eastAsia="zh-CN" w:bidi="ar-SA"/>
              </w:rPr>
              <w:t>关于印发中小企业划型标准规定的通知》（工信部联企业〔2011〕300号）</w:t>
            </w:r>
            <w:bookmarkEnd w:id="13"/>
            <w:r>
              <w:rPr>
                <w:rFonts w:hint="eastAsia" w:ascii="宋体" w:hAnsi="宋体" w:eastAsia="宋体" w:cs="宋体"/>
                <w:b w:val="0"/>
                <w:bCs w:val="0"/>
                <w:color w:val="auto"/>
                <w:kern w:val="2"/>
                <w:sz w:val="24"/>
                <w:szCs w:val="24"/>
                <w:lang w:val="en-US" w:eastAsia="zh-CN" w:bidi="ar-SA"/>
              </w:rPr>
              <w:t>第四条规定：物业管理行业。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rPr>
                <w:rFonts w:ascii="宋体" w:hAnsi="宋体" w:cs="宋体"/>
                <w:kern w:val="0"/>
                <w:sz w:val="24"/>
              </w:rPr>
            </w:pPr>
            <w:sdt>
              <w:sdtPr>
                <w:rPr>
                  <w:rFonts w:hint="eastAsia" w:ascii="宋体" w:hAnsi="宋体" w:cs="宋体"/>
                  <w:kern w:val="0"/>
                  <w:sz w:val="24"/>
                </w:rPr>
                <w:id w:val="34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34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l2br w:val="nil"/>
              <w:tr2bl w:val="nil"/>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34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color w:val="0000FF"/>
                <w:sz w:val="24"/>
                <w:highlight w:val="none"/>
              </w:rPr>
              <w:t>非关键性的</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工作分包</w:t>
            </w:r>
            <w:r>
              <w:rPr>
                <w:rFonts w:hint="eastAsia" w:ascii="宋体" w:hAnsi="宋体" w:cs="宋体"/>
                <w:sz w:val="24"/>
                <w:highlight w:val="none"/>
              </w:rPr>
              <w:t>。</w:t>
            </w:r>
            <w:sdt>
              <w:sdtPr>
                <w:rPr>
                  <w:rFonts w:hint="eastAsia" w:ascii="宋体" w:hAnsi="宋体" w:cs="宋体"/>
                  <w:kern w:val="0"/>
                  <w:sz w:val="24"/>
                  <w:highlight w:val="none"/>
                </w:rPr>
                <w:id w:val="34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rPr>
                <w:highlight w:val="none"/>
              </w:rPr>
            </w:pPr>
            <w:sdt>
              <w:sdtPr>
                <w:rPr>
                  <w:rFonts w:hint="eastAsia"/>
                  <w:highlight w:val="none"/>
                </w:rPr>
                <w:id w:val="345"/>
                <w14:checkbox>
                  <w14:checked w14:val="1"/>
                  <w14:checkedState w14:val="00FE" w14:font="Wingdings"/>
                  <w14:uncheckedState w14:val="2610" w14:font="MS Gothic"/>
                </w14:checkbox>
              </w:sdtPr>
              <w:sdtEndPr>
                <w:rPr>
                  <w:rFonts w:hint="eastAsia"/>
                  <w:highlight w:val="none"/>
                </w:rPr>
              </w:sdtEndPr>
              <w:sdtContent>
                <w:r>
                  <w:rPr>
                    <w:rFonts w:hint="eastAsia" w:ascii="Wingdings" w:hAnsi="Wingdings" w:eastAsia="宋体" w:cs="Times New Roman"/>
                    <w:kern w:val="2"/>
                    <w:sz w:val="21"/>
                    <w:szCs w:val="24"/>
                    <w:highlight w:val="none"/>
                    <w:lang w:val="en-US" w:eastAsia="zh-CN" w:bidi="ar-SA"/>
                  </w:rPr>
                  <w:t>þ</w:t>
                </w:r>
              </w:sdtContent>
            </w:sdt>
            <w:r>
              <w:rPr>
                <w:rFonts w:hint="eastAsia"/>
                <w:highlight w:val="none"/>
              </w:rPr>
              <w:t>A不组织。</w:t>
            </w:r>
          </w:p>
          <w:p>
            <w:pPr>
              <w:spacing w:line="360" w:lineRule="auto"/>
              <w:rPr>
                <w:rFonts w:hint="eastAsia"/>
                <w:highlight w:val="none"/>
              </w:rPr>
            </w:pPr>
            <w:sdt>
              <w:sdtPr>
                <w:rPr>
                  <w:rFonts w:hint="eastAsia"/>
                  <w:highlight w:val="none"/>
                </w:rPr>
                <w:id w:val="346"/>
                <w14:checkbox>
                  <w14:checked w14:val="0"/>
                  <w14:checkedState w14:val="00FE" w14:font="Wingdings"/>
                  <w14:uncheckedState w14:val="2610" w14:font="MS Gothic"/>
                </w14:checkbox>
              </w:sdtPr>
              <w:sdtEndPr>
                <w:rPr>
                  <w:rFonts w:hint="eastAsia"/>
                  <w:highlight w:val="none"/>
                </w:rPr>
              </w:sdtEndPr>
              <w:sdtContent>
                <w:r>
                  <w:rPr>
                    <w:rFonts w:hint="eastAsia"/>
                    <w:highlight w:val="none"/>
                  </w:rPr>
                  <w:t>☐</w:t>
                </w:r>
              </w:sdtContent>
            </w:sdt>
            <w:r>
              <w:rPr>
                <w:rFonts w:hint="eastAsia"/>
                <w:highlight w:val="none"/>
              </w:rPr>
              <w:t>B组织，时间：</w:t>
            </w:r>
            <w:r>
              <w:rPr>
                <w:rFonts w:hint="eastAsia" w:ascii="宋体" w:hAnsi="宋体" w:cs="宋体"/>
                <w:sz w:val="24"/>
                <w:highlight w:val="none"/>
                <w:u w:val="single"/>
              </w:rPr>
              <w:t xml:space="preserve">     </w:t>
            </w:r>
            <w:r>
              <w:rPr>
                <w:rFonts w:hint="eastAsia"/>
                <w:highlight w:val="none"/>
              </w:rPr>
              <w:t xml:space="preserve"> ,地点：</w:t>
            </w:r>
            <w:r>
              <w:rPr>
                <w:rFonts w:hint="eastAsia" w:ascii="宋体" w:hAnsi="宋体" w:cs="宋体"/>
                <w:sz w:val="24"/>
                <w:highlight w:val="none"/>
                <w:u w:val="single"/>
              </w:rPr>
              <w:t xml:space="preserve">     </w:t>
            </w:r>
            <w:r>
              <w:rPr>
                <w:rFonts w:hint="eastAsia"/>
                <w:highlight w:val="none"/>
              </w:rPr>
              <w:t>，联系人：</w:t>
            </w:r>
            <w:r>
              <w:rPr>
                <w:rFonts w:hint="eastAsia" w:ascii="宋体" w:hAnsi="宋体" w:cs="宋体"/>
                <w:sz w:val="24"/>
                <w:highlight w:val="none"/>
                <w:u w:val="single"/>
              </w:rPr>
              <w:t xml:space="preserve">     </w:t>
            </w:r>
            <w:r>
              <w:rPr>
                <w:rFonts w:hint="eastAsia"/>
                <w:highlight w:val="none"/>
              </w:rPr>
              <w:t>，联系方式</w:t>
            </w:r>
            <w:r>
              <w:rPr>
                <w:rFonts w:hint="eastAsia"/>
                <w:highlight w:val="none"/>
                <w:lang w:eastAsia="zh-CN"/>
              </w:rPr>
              <w:t>：</w:t>
            </w:r>
            <w:r>
              <w:rPr>
                <w:rFonts w:hint="eastAsia" w:ascii="宋体" w:hAnsi="宋体" w:cs="宋体"/>
                <w:sz w:val="24"/>
                <w:highlight w:val="none"/>
                <w:u w:val="single"/>
              </w:rPr>
              <w:t xml:space="preserve">     </w:t>
            </w:r>
            <w:r>
              <w:rPr>
                <w:rFonts w:hint="eastAsia"/>
                <w:highlight w:val="none"/>
              </w:rPr>
              <w:t>。</w:t>
            </w:r>
          </w:p>
          <w:p>
            <w:pPr>
              <w:pStyle w:val="2"/>
              <w:ind w:firstLine="0" w:firstLineChars="0"/>
              <w:rPr>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 xml:space="preserve"> ，联系方式：</w:t>
            </w:r>
            <w:r>
              <w:rPr>
                <w:rFonts w:hint="eastAsia" w:ascii="宋体" w:hAnsi="宋体" w:cs="宋体"/>
                <w:sz w:val="24"/>
                <w:highlight w:val="none"/>
                <w:u w:val="single"/>
              </w:rPr>
              <w:t xml:space="preserve">     </w:t>
            </w:r>
            <w:r>
              <w:rPr>
                <w:rFonts w:hint="eastAsia" w:ascii="宋体" w:hAnsi="宋体" w:eastAsia="宋体" w:cs="宋体"/>
                <w:color w:val="auto"/>
                <w:kern w:val="0"/>
                <w:sz w:val="24"/>
                <w:szCs w:val="24"/>
                <w:highlight w:val="none"/>
                <w:lang w:val="en-US" w:eastAsia="zh-CN" w:bidi="ar-SA"/>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highlight w:val="none"/>
                </w:rPr>
                <w:id w:val="34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bookmarkStart w:id="14" w:name="OLE_LINK1"/>
            <w:r>
              <w:rPr>
                <w:rFonts w:hint="eastAsia" w:ascii="宋体" w:hAnsi="宋体" w:cs="宋体"/>
                <w:sz w:val="24"/>
                <w:highlight w:val="none"/>
                <w:u w:val="single"/>
              </w:rPr>
              <w:t xml:space="preserve">    </w:t>
            </w:r>
            <w:bookmarkEnd w:id="14"/>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（2）样品制作的标准和要求：</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color w:val="auto"/>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bookmarkStart w:id="15" w:name="OLE_LINK25"/>
            <w:r>
              <w:rPr>
                <w:rFonts w:hint="eastAsia" w:ascii="宋体" w:hAnsi="宋体" w:cs="宋体"/>
                <w:sz w:val="24"/>
                <w:highlight w:val="none"/>
                <w:lang w:eastAsia="zh-CN"/>
              </w:rPr>
              <w:t>采购机构</w:t>
            </w:r>
            <w:bookmarkEnd w:id="15"/>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采购机构</w:t>
            </w:r>
            <w:r>
              <w:rPr>
                <w:rFonts w:hint="eastAsia" w:ascii="宋体" w:hAnsi="宋体" w:cs="宋体"/>
                <w:sz w:val="24"/>
                <w:highlight w:val="none"/>
              </w:rPr>
              <w:t>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rPr>
                <w:rFonts w:ascii="宋体" w:hAnsi="宋体" w:cs="宋体"/>
                <w:sz w:val="24"/>
              </w:rPr>
            </w:pPr>
            <w:sdt>
              <w:sdtPr>
                <w:rPr>
                  <w:rFonts w:hint="eastAsia" w:ascii="宋体" w:hAnsi="宋体" w:cs="宋体"/>
                  <w:kern w:val="0"/>
                  <w:sz w:val="24"/>
                </w:rPr>
                <w:id w:val="35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422FFA"/>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sz w:val="24"/>
              </w:rPr>
            </w:pP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采购人拟采购的产品属于品目清单范围的，采购人及其委托的采购机构将依据国家确定的认证机构出具的、处于有效期之内的节能产品、环境标志产品认证证书，对获得证书的产品实施政府优先采购或强制采购。</w:t>
            </w:r>
          </w:p>
          <w:p>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2"/>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snapToGrid w:val="0"/>
              <w:spacing w:line="360" w:lineRule="auto"/>
              <w:jc w:val="left"/>
              <w:rPr>
                <w:rFonts w:hint="default" w:ascii="宋体" w:hAnsi="宋体" w:eastAsia="宋体" w:cs="宋体"/>
                <w:lang w:val="en-US" w:eastAsia="zh-CN"/>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585"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color w:val="auto"/>
                <w:kern w:val="28"/>
                <w:sz w:val="24"/>
                <w:szCs w:val="24"/>
                <w:highlight w:val="none"/>
              </w:rPr>
              <w:t xml:space="preserve"> 杭</w:t>
            </w:r>
            <w:r>
              <w:rPr>
                <w:rFonts w:hint="eastAsia" w:ascii="宋体" w:hAnsi="宋体" w:eastAsia="宋体" w:cs="宋体"/>
                <w:color w:val="auto"/>
                <w:sz w:val="24"/>
                <w:highlight w:val="none"/>
                <w:u w:val="single"/>
              </w:rPr>
              <w:t>州市上城区凤起东路888号畅聚新达大厦</w:t>
            </w:r>
            <w:r>
              <w:rPr>
                <w:rFonts w:hint="eastAsia" w:hAnsi="宋体" w:cs="宋体"/>
                <w:color w:val="auto"/>
                <w:sz w:val="24"/>
                <w:highlight w:val="none"/>
                <w:u w:val="single"/>
                <w:lang w:val="en-US" w:eastAsia="zh-CN"/>
              </w:rPr>
              <w:t>4</w:t>
            </w:r>
            <w:r>
              <w:rPr>
                <w:rFonts w:hint="eastAsia" w:ascii="宋体" w:hAnsi="宋体" w:eastAsia="宋体" w:cs="宋体"/>
                <w:color w:val="auto"/>
                <w:sz w:val="24"/>
                <w:highlight w:val="none"/>
                <w:u w:val="single"/>
              </w:rPr>
              <w:t>楼41</w:t>
            </w:r>
            <w:r>
              <w:rPr>
                <w:rFonts w:hint="eastAsia" w:hAnsi="宋体" w:cs="宋体"/>
                <w:color w:val="auto"/>
                <w:sz w:val="24"/>
                <w:highlight w:val="none"/>
                <w:u w:val="single"/>
                <w:lang w:val="en-US" w:eastAsia="zh-CN"/>
              </w:rPr>
              <w:t>6</w:t>
            </w:r>
            <w:r>
              <w:rPr>
                <w:rFonts w:hint="eastAsia" w:ascii="宋体" w:hAnsi="宋体" w:eastAsia="宋体" w:cs="宋体"/>
                <w:color w:val="auto"/>
                <w:sz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0571-</w:t>
            </w:r>
            <w:r>
              <w:rPr>
                <w:rFonts w:hint="eastAsia" w:ascii="宋体" w:hAnsi="宋体" w:eastAsia="宋体" w:cs="宋体"/>
                <w:color w:val="auto"/>
                <w:sz w:val="24"/>
                <w:highlight w:val="none"/>
                <w:u w:val="single"/>
                <w:lang w:val="en-US" w:eastAsia="zh-CN"/>
              </w:rPr>
              <w:t>87</w:t>
            </w:r>
            <w:r>
              <w:rPr>
                <w:rFonts w:hint="eastAsia" w:hAnsi="宋体" w:cs="宋体"/>
                <w:color w:val="auto"/>
                <w:sz w:val="24"/>
                <w:highlight w:val="none"/>
                <w:u w:val="single"/>
                <w:lang w:val="en-US" w:eastAsia="zh-CN"/>
              </w:rPr>
              <w:t>926016</w:t>
            </w:r>
            <w:r>
              <w:rPr>
                <w:rFonts w:hint="eastAsia" w:hAnsi="宋体" w:cs="宋体"/>
                <w:color w:val="auto"/>
                <w:sz w:val="24"/>
                <w:szCs w:val="24"/>
                <w:highlight w:val="none"/>
              </w:rPr>
              <w:t>。</w:t>
            </w:r>
            <w:r>
              <w:rPr>
                <w:rFonts w:hint="eastAsia" w:hAnsi="宋体" w:cs="宋体"/>
                <w:b/>
                <w:color w:val="auto"/>
                <w:sz w:val="24"/>
                <w:szCs w:val="24"/>
              </w:rPr>
              <w:t>采</w:t>
            </w:r>
            <w:r>
              <w:rPr>
                <w:rFonts w:hint="eastAsia" w:hAnsi="宋体" w:cs="宋体"/>
                <w:b/>
                <w:sz w:val="24"/>
                <w:szCs w:val="24"/>
              </w:rPr>
              <w:t>购人、</w:t>
            </w:r>
            <w:r>
              <w:rPr>
                <w:rFonts w:hint="eastAsia" w:hAnsi="宋体" w:cs="宋体"/>
                <w:b/>
                <w:sz w:val="24"/>
                <w:szCs w:val="24"/>
                <w:highlight w:val="none"/>
                <w:lang w:eastAsia="zh-CN"/>
              </w:rPr>
              <w:t>采购机构</w:t>
            </w:r>
            <w:r>
              <w:rPr>
                <w:rFonts w:hint="eastAsia" w:hAnsi="宋体" w:cs="宋体"/>
                <w:b/>
                <w:sz w:val="24"/>
                <w:szCs w:val="24"/>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sz w:val="24"/>
              </w:rPr>
            </w:pPr>
          </w:p>
        </w:tc>
        <w:tc>
          <w:tcPr>
            <w:tcW w:w="6095" w:type="dxa"/>
            <w:tcBorders>
              <w:tl2br w:val="nil"/>
              <w:tr2bl w:val="nil"/>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5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5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jc w:val="center"/>
              <w:rPr>
                <w:rFonts w:ascii="宋体" w:hAnsi="宋体" w:cs="宋体"/>
                <w:sz w:val="24"/>
                <w:highlight w:val="none"/>
              </w:rPr>
            </w:pPr>
            <w:bookmarkStart w:id="16" w:name="OLE_LINK10" w:colFirst="0" w:colLast="2"/>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l2br w:val="nil"/>
              <w:tr2bl w:val="nil"/>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bookmarkEnd w:id="16"/>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7" w:name="第三部分"/>
      <w:bookmarkStart w:id="18"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rPr>
        <w:t>2.2 “</w:t>
      </w:r>
      <w:r>
        <w:rPr>
          <w:rFonts w:hint="eastAsia" w:ascii="宋体" w:hAnsi="宋体" w:cs="宋体"/>
          <w:sz w:val="24"/>
          <w:highlight w:val="none"/>
          <w:lang w:eastAsia="zh-CN"/>
        </w:rPr>
        <w:t>采购机构</w:t>
      </w:r>
      <w:r>
        <w:rPr>
          <w:rFonts w:hint="eastAsia" w:ascii="宋体" w:hAnsi="宋体" w:cs="宋体"/>
          <w:sz w:val="24"/>
        </w:rPr>
        <w:t>”系指招标公告</w:t>
      </w:r>
      <w:r>
        <w:rPr>
          <w:rFonts w:hint="eastAsia" w:ascii="宋体" w:hAnsi="宋体" w:cs="宋体"/>
          <w:sz w:val="24"/>
          <w:highlight w:val="none"/>
        </w:rPr>
        <w:t>中载明的本项目的</w:t>
      </w:r>
      <w:r>
        <w:rPr>
          <w:rFonts w:hint="eastAsia" w:ascii="宋体" w:hAnsi="宋体" w:cs="宋体"/>
          <w:sz w:val="24"/>
          <w:highlight w:val="none"/>
          <w:lang w:eastAsia="zh-CN"/>
        </w:rPr>
        <w:t>采购机构</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highlight w:val="none"/>
        </w:rPr>
        <w:t>2.4 “负责人”系指法人企业的法</w:t>
      </w:r>
      <w:r>
        <w:rPr>
          <w:rFonts w:hint="eastAsia" w:ascii="宋体" w:hAnsi="宋体" w:cs="宋体"/>
          <w:sz w:val="24"/>
        </w:rPr>
        <w:t>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w:t>
      </w:r>
      <w:r>
        <w:rPr>
          <w:rFonts w:hint="eastAsia" w:ascii="宋体" w:hAnsi="宋体" w:cs="宋体"/>
          <w:sz w:val="24"/>
        </w:rPr>
        <w:t>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bookmarkStart w:id="19" w:name="OLE_LINK11"/>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bookmarkEnd w:id="19"/>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adjustRightInd w:val="0"/>
        <w:ind w:left="0" w:firstLine="480" w:firstLineChars="200"/>
        <w:rPr>
          <w:color w:val="auto"/>
          <w:highlight w:val="yellow"/>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ind w:firstLine="482" w:firstLineChars="200"/>
        <w:rPr>
          <w:rFonts w:ascii="宋体" w:hAnsi="宋体" w:cs="宋体"/>
          <w:b/>
          <w:sz w:val="24"/>
          <w:highlight w:val="none"/>
        </w:rPr>
      </w:pPr>
      <w:r>
        <w:rPr>
          <w:rFonts w:hint="eastAsia" w:ascii="宋体" w:hAnsi="宋体" w:cs="宋体"/>
          <w:b/>
          <w:sz w:val="24"/>
        </w:rPr>
        <w:t>4. 询问、质疑、投</w:t>
      </w:r>
      <w:r>
        <w:rPr>
          <w:rFonts w:hint="eastAsia" w:ascii="宋体" w:hAnsi="宋体" w:cs="宋体"/>
          <w:b/>
          <w:sz w:val="24"/>
          <w:highlight w:val="none"/>
        </w:rPr>
        <w:t>诉</w:t>
      </w:r>
      <w:bookmarkStart w:id="20" w:name="OLE_LINK16"/>
      <w:r>
        <w:rPr>
          <w:rFonts w:hint="eastAsia" w:ascii="宋体" w:hAnsi="宋体" w:eastAsia="宋体" w:cs="宋体"/>
          <w:b/>
          <w:color w:val="auto"/>
          <w:sz w:val="24"/>
          <w:highlight w:val="none"/>
        </w:rPr>
        <w:t>、补偿救济</w:t>
      </w:r>
      <w:bookmarkEnd w:id="20"/>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w:t>
      </w:r>
      <w:r>
        <w:rPr>
          <w:rFonts w:hint="eastAsia" w:ascii="宋体" w:hAnsi="宋体" w:cs="宋体"/>
          <w:kern w:val="0"/>
          <w:sz w:val="24"/>
          <w:lang w:val="zh-CN"/>
        </w:rPr>
        <w:t>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ascii="宋体" w:hAnsi="宋体" w:cs="宋体"/>
          <w:sz w:val="24"/>
          <w:highlight w:val="none"/>
          <w:lang w:eastAsia="zh-CN"/>
        </w:rPr>
        <w:t>采购机构</w:t>
      </w:r>
      <w:r>
        <w:rPr>
          <w:rFonts w:hint="eastAsia" w:hAnsi="宋体" w:cs="宋体"/>
          <w:sz w:val="24"/>
        </w:rPr>
        <w:t>提出质疑，否则，采购人或</w:t>
      </w:r>
      <w:r>
        <w:rPr>
          <w:rFonts w:hint="eastAsia" w:hAnsi="宋体" w:cs="宋体"/>
          <w:sz w:val="24"/>
          <w:highlight w:val="none"/>
        </w:rPr>
        <w:t>者</w:t>
      </w:r>
      <w:r>
        <w:rPr>
          <w:rFonts w:hint="eastAsia" w:ascii="宋体" w:hAnsi="宋体" w:cs="宋体"/>
          <w:sz w:val="24"/>
          <w:highlight w:val="none"/>
          <w:lang w:eastAsia="zh-CN"/>
        </w:rPr>
        <w:t>采购机构</w:t>
      </w:r>
      <w:r>
        <w:rPr>
          <w:rFonts w:hint="eastAsia" w:hAnsi="宋体" w:cs="宋体"/>
          <w:sz w:val="24"/>
          <w:highlight w:val="none"/>
        </w:rPr>
        <w:t>不</w:t>
      </w:r>
      <w:r>
        <w:rPr>
          <w:rFonts w:hint="eastAsia" w:hAnsi="宋体" w:cs="宋体"/>
          <w:sz w:val="24"/>
        </w:rPr>
        <w:t>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ascii="宋体" w:hAnsi="宋体" w:cs="宋体"/>
          <w:sz w:val="24"/>
          <w:highlight w:val="none"/>
          <w:lang w:eastAsia="zh-CN"/>
        </w:rPr>
        <w:t>采购机构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cs="宋体"/>
          <w:sz w:val="24"/>
          <w:highlight w:val="none"/>
          <w:lang w:eastAsia="zh-CN"/>
        </w:rPr>
        <w:t>采购机构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ascii="宋体" w:hAnsi="宋体" w:cs="宋体"/>
          <w:sz w:val="24"/>
          <w:highlight w:val="none"/>
          <w:lang w:eastAsia="zh-CN"/>
        </w:rPr>
        <w:t>采购机构</w:t>
      </w:r>
      <w:r>
        <w:rPr>
          <w:rFonts w:hint="eastAsia"/>
        </w:rPr>
        <w:t>的答复不满意或者采购人、</w:t>
      </w:r>
      <w:r>
        <w:rPr>
          <w:rFonts w:hint="eastAsia" w:ascii="宋体" w:hAnsi="宋体" w:cs="宋体"/>
          <w:sz w:val="24"/>
          <w:highlight w:val="none"/>
          <w:lang w:eastAsia="zh-CN"/>
        </w:rPr>
        <w:t>采购机构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r>
        <w:rPr>
          <w:rFonts w:hint="eastAsia"/>
          <w:color w:val="auto"/>
          <w:highlight w:val="none"/>
        </w:rPr>
        <w:br w:type="textWrapping"/>
      </w:r>
      <w:r>
        <w:rPr>
          <w:rFonts w:hint="eastAsia"/>
          <w:color w:val="auto"/>
          <w:highlight w:val="none"/>
          <w:lang w:val="en-US" w:eastAsia="zh-CN"/>
        </w:rPr>
        <w:t xml:space="preserve">   </w:t>
      </w:r>
      <w:r>
        <w:rPr>
          <w:rFonts w:hint="eastAsia" w:ascii="宋体" w:hAnsi="宋体" w:cs="仿宋"/>
          <w:color w:val="auto"/>
          <w:sz w:val="24"/>
          <w:highlight w:val="none"/>
        </w:rPr>
        <w:t>4.5 补偿救济</w:t>
      </w:r>
      <w:r>
        <w:rPr>
          <w:rFonts w:hint="eastAsia" w:ascii="宋体" w:hAnsi="宋体" w:cs="仿宋"/>
          <w:color w:val="auto"/>
          <w:sz w:val="24"/>
          <w:highlight w:val="none"/>
        </w:rPr>
        <w:br w:type="textWrapping"/>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sz w:val="24"/>
          <w:highlight w:val="none"/>
          <w:lang w:eastAsia="zh-CN"/>
        </w:rPr>
        <w:t>采购机构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sz w:val="24"/>
          <w:highlight w:val="none"/>
          <w:lang w:eastAsia="zh-CN"/>
        </w:rPr>
        <w:t>采购机构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bookmarkStart w:id="21" w:name="OLE_LINK4"/>
      <w:r>
        <w:rPr>
          <w:rFonts w:hint="eastAsia" w:ascii="宋体" w:hAnsi="宋体" w:cs="宋体"/>
          <w:snapToGrid w:val="0"/>
          <w:color w:val="FF0000"/>
          <w:kern w:val="28"/>
          <w:sz w:val="24"/>
          <w:szCs w:val="20"/>
        </w:rPr>
        <w:t>（如果有)</w:t>
      </w:r>
      <w:bookmarkEnd w:id="21"/>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22" w:name="OLE_LINK17"/>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如果有）</w:t>
      </w:r>
      <w:r>
        <w:rPr>
          <w:rFonts w:hint="eastAsia" w:ascii="宋体" w:hAnsi="宋体" w:cs="宋体"/>
          <w:color w:val="auto"/>
          <w:sz w:val="24"/>
          <w:highlight w:val="none"/>
        </w:rPr>
        <w:t>。</w:t>
      </w:r>
    </w:p>
    <w:bookmarkEnd w:id="22"/>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left="718" w:leftChars="342" w:firstLine="0" w:firstLineChars="0"/>
        <w:rPr>
          <w:rFonts w:hint="eastAsia" w:ascii="宋体" w:hAnsi="宋体" w:cs="宋体"/>
          <w:b/>
          <w:sz w:val="24"/>
          <w:highlight w:val="none"/>
          <w:lang w:eastAsia="zh-CN"/>
        </w:rPr>
      </w:pPr>
      <w:r>
        <w:rPr>
          <w:rFonts w:hint="eastAsia" w:ascii="宋体" w:hAnsi="宋体" w:cs="宋体"/>
          <w:b/>
          <w:sz w:val="24"/>
          <w:highlight w:val="none"/>
        </w:rPr>
        <w:t>投标人提供虚假材料投标的，投标无效</w:t>
      </w:r>
      <w:r>
        <w:rPr>
          <w:rFonts w:hint="eastAsia" w:ascii="宋体" w:hAnsi="宋体" w:cs="宋体"/>
          <w:b/>
          <w:sz w:val="24"/>
          <w:highlight w:val="none"/>
          <w:lang w:eastAsia="zh-CN"/>
        </w:rPr>
        <w:t>。</w:t>
      </w:r>
    </w:p>
    <w:p>
      <w:pPr>
        <w:spacing w:line="360" w:lineRule="auto"/>
        <w:ind w:firstLine="723" w:firstLineChars="300"/>
        <w:rPr>
          <w:rFonts w:hint="eastAsia" w:ascii="宋体" w:hAnsi="宋体" w:eastAsia="宋体" w:cs="宋体"/>
          <w:b/>
          <w:bCs/>
          <w:snapToGrid w:val="0"/>
          <w:kern w:val="2"/>
          <w:sz w:val="24"/>
          <w:szCs w:val="24"/>
          <w:highlight w:val="none"/>
          <w:lang w:val="en-US" w:eastAsia="zh-CN" w:bidi="ar-SA"/>
        </w:rPr>
      </w:pPr>
      <w:bookmarkStart w:id="23" w:name="OLE_LINK18"/>
      <w:r>
        <w:rPr>
          <w:rFonts w:hint="eastAsia" w:ascii="宋体" w:hAnsi="宋体" w:eastAsia="宋体" w:cs="宋体"/>
          <w:b/>
          <w:bCs/>
          <w:snapToGrid w:val="0"/>
          <w:kern w:val="2"/>
          <w:sz w:val="24"/>
          <w:szCs w:val="24"/>
          <w:highlight w:val="none"/>
          <w:lang w:val="en-US" w:eastAsia="zh-CN" w:bidi="ar-SA"/>
        </w:rPr>
        <w:t>投标人应对投标文件中材料的真实性、合法性负责。投标人可事先在公开官网查询、核对相关证书和报告内容，确保投标（响应）文件资料准确无误。</w:t>
      </w:r>
      <w:bookmarkEnd w:id="23"/>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highlight w:val="none"/>
        </w:rPr>
        <w:t>14.2电子交易平台收到投标文件，将妥</w:t>
      </w:r>
      <w:r>
        <w:rPr>
          <w:rFonts w:hint="eastAsia" w:ascii="宋体" w:hAnsi="宋体" w:cs="宋体"/>
          <w:szCs w:val="24"/>
        </w:rPr>
        <w:t>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 w:val="24"/>
          <w:highlight w:val="none"/>
          <w:lang w:eastAsia="zh-CN"/>
        </w:rPr>
        <w:t>采购机构</w:t>
      </w:r>
      <w:r>
        <w:rPr>
          <w:rFonts w:hint="eastAsia" w:ascii="宋体" w:hAnsi="宋体" w:cs="宋体"/>
          <w:szCs w:val="24"/>
        </w:rPr>
        <w:t>可以视情况延长投标文件提交的截止时间。在上述情况下，</w:t>
      </w:r>
      <w:r>
        <w:rPr>
          <w:rFonts w:hint="eastAsia" w:ascii="宋体" w:hAnsi="宋体" w:cs="宋体"/>
          <w:sz w:val="24"/>
          <w:highlight w:val="none"/>
          <w:lang w:eastAsia="zh-CN"/>
        </w:rPr>
        <w:t>采购机构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ascii="宋体" w:hAnsi="宋体" w:cs="宋体"/>
          <w:b/>
          <w:bCs/>
          <w:sz w:val="24"/>
          <w:highlight w:val="none"/>
          <w:lang w:eastAsia="zh-CN"/>
        </w:rPr>
        <w:t>采购机构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ascii="宋体" w:hAnsi="宋体" w:cs="宋体"/>
          <w:sz w:val="24"/>
          <w:highlight w:val="none"/>
          <w:lang w:eastAsia="zh-CN"/>
        </w:rPr>
        <w:t>采购机构</w:t>
      </w:r>
      <w:r>
        <w:rPr>
          <w:rFonts w:hint="eastAsia" w:hAnsi="宋体" w:cs="宋体"/>
          <w:sz w:val="24"/>
          <w:szCs w:val="24"/>
        </w:rPr>
        <w:t>，</w:t>
      </w:r>
      <w:r>
        <w:rPr>
          <w:rFonts w:hint="eastAsia" w:ascii="宋体" w:hAnsi="宋体" w:cs="宋体"/>
          <w:sz w:val="24"/>
          <w:highlight w:val="none"/>
          <w:lang w:eastAsia="zh-CN"/>
        </w:rPr>
        <w:t>采购机构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ascii="宋体" w:hAnsi="宋体" w:cs="宋体"/>
          <w:sz w:val="24"/>
          <w:highlight w:val="none"/>
          <w:lang w:eastAsia="zh-CN"/>
        </w:rPr>
        <w:t>采购机构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highlight w:val="none"/>
        </w:rPr>
      </w:pPr>
      <w:bookmarkStart w:id="24" w:name="OLE_LINK19"/>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sz w:val="24"/>
          <w:highlight w:val="none"/>
          <w:lang w:eastAsia="zh-CN"/>
        </w:rPr>
        <w:t>采购机构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bookmarkEnd w:id="24"/>
    <w:p>
      <w:pPr>
        <w:pStyle w:val="129"/>
        <w:spacing w:before="0"/>
        <w:ind w:firstLine="480"/>
        <w:rPr>
          <w:rFonts w:hint="eastAsia" w:ascii="宋体" w:hAnsi="宋体" w:cs="宋体"/>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highlight w:val="none"/>
          <w:lang w:eastAsia="zh-CN"/>
        </w:rPr>
        <w:t>采购机构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highlight w:val="none"/>
          <w:lang w:eastAsia="zh-CN"/>
        </w:rPr>
        <w:t>采购机构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bCs/>
          <w:kern w:val="0"/>
          <w:szCs w:val="24"/>
          <w:highlight w:val="cyan"/>
          <w:lang w:val="en-US" w:eastAsia="zh-CN"/>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9"/>
        <w:spacing w:before="0"/>
        <w:ind w:firstLine="480"/>
        <w:rPr>
          <w:rFonts w:hint="default" w:ascii="宋体" w:hAnsi="宋体" w:eastAsia="宋体" w:cs="宋体"/>
          <w:b/>
          <w:bCs/>
          <w:kern w:val="0"/>
          <w:szCs w:val="24"/>
          <w:highlight w:val="none"/>
          <w:lang w:val="en-US" w:eastAsia="zh-CN"/>
        </w:rPr>
      </w:pPr>
      <w:bookmarkStart w:id="25" w:name="OLE_LINK20"/>
      <w:r>
        <w:rPr>
          <w:rFonts w:hint="eastAsia" w:ascii="宋体" w:hAnsi="宋体" w:cs="宋体"/>
          <w:b/>
          <w:bCs/>
          <w:kern w:val="0"/>
          <w:szCs w:val="24"/>
          <w:highlight w:val="none"/>
          <w:lang w:val="en-US" w:eastAsia="zh-CN"/>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对未通过资格审查的投标人，告知其未通过的原因。</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bookmarkEnd w:id="25"/>
    <w:p>
      <w:pPr>
        <w:pStyle w:val="129"/>
        <w:spacing w:before="0"/>
        <w:ind w:firstLine="480"/>
        <w:rPr>
          <w:rFonts w:ascii="宋体" w:hAnsi="宋体" w:cs="宋体"/>
          <w:highlight w:val="none"/>
        </w:rPr>
      </w:pP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sz w:val="24"/>
          <w:highlight w:val="none"/>
          <w:lang w:eastAsia="zh-CN"/>
        </w:rPr>
        <w:t>采购机构</w:t>
      </w:r>
      <w:r>
        <w:rPr>
          <w:rFonts w:hint="eastAsia" w:ascii="宋体" w:hAnsi="宋体" w:cs="宋体"/>
          <w:kern w:val="0"/>
          <w:szCs w:val="24"/>
          <w:highlight w:val="none"/>
        </w:rPr>
        <w:t>将在资格审查时通过“信用中国”网站(www.creditchina.gov.cn)、中国政府采购网(www.ccgp.gov.cn)渠道查询投标人的信用记录。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7"/>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宋体" w:hAnsi="宋体" w:cs="宋体"/>
          <w:szCs w:val="24"/>
          <w:highlight w:val="none"/>
        </w:rPr>
        <w:t>中标、成交通知书和中标、成交结果公告应当在规定时间内同时发出。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27" w:name="_Hlk101184471"/>
      <w:r>
        <w:rPr>
          <w:rFonts w:hint="eastAsia" w:ascii="宋体" w:hAnsi="宋体" w:cs="宋体"/>
          <w:sz w:val="24"/>
          <w:highlight w:val="none"/>
        </w:rPr>
        <w:t>资格审查情况、评审专家抽取规则、符合性审查情况、</w:t>
      </w:r>
      <w:bookmarkEnd w:id="27"/>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pPr>
        <w:pStyle w:val="129"/>
        <w:adjustRightInd w:val="0"/>
        <w:snapToGrid w:val="0"/>
        <w:spacing w:before="0"/>
        <w:ind w:firstLine="480" w:firstLineChars="200"/>
        <w:rPr>
          <w:rStyle w:val="79"/>
          <w:color w:val="auto"/>
          <w:highlight w:val="none"/>
        </w:rPr>
      </w:pPr>
      <w:bookmarkStart w:id="28" w:name="OLE_LINK21"/>
      <w:r>
        <w:rPr>
          <w:rFonts w:hint="eastAsia" w:ascii="宋体" w:hAnsi="宋体" w:cs="宋体"/>
          <w:bCs/>
          <w:color w:val="auto"/>
          <w:szCs w:val="24"/>
          <w:highlight w:val="none"/>
          <w:lang w:val="en-US" w:eastAsia="zh-CN"/>
        </w:rPr>
        <w:t xml:space="preserve">23.4 </w:t>
      </w:r>
      <w:r>
        <w:rPr>
          <w:rFonts w:hint="eastAsia" w:ascii="宋体" w:hAnsi="宋体" w:cs="宋体"/>
          <w:bCs/>
          <w:color w:val="auto"/>
          <w:szCs w:val="24"/>
          <w:highlight w:val="none"/>
        </w:rPr>
        <w:t>由</w:t>
      </w:r>
      <w:r>
        <w:rPr>
          <w:rFonts w:hint="eastAsia" w:ascii="宋体" w:hAnsi="宋体" w:cs="宋体"/>
          <w:b w:val="0"/>
          <w:bCs/>
          <w:color w:val="auto"/>
          <w:szCs w:val="24"/>
          <w:highlight w:val="none"/>
        </w:rPr>
        <w:t>于</w:t>
      </w:r>
      <w:r>
        <w:rPr>
          <w:rFonts w:hint="eastAsia" w:ascii="宋体" w:hAnsi="宋体" w:cs="宋体"/>
          <w:bCs/>
          <w:color w:val="auto"/>
          <w:szCs w:val="24"/>
          <w:highlight w:val="none"/>
        </w:rPr>
        <w:t>中标、成交供应商原因导致重新采购的，应当承担支付代理费和专家评审费等费用在内的赔偿责任。</w:t>
      </w:r>
    </w:p>
    <w:bookmarkEnd w:id="28"/>
    <w:p>
      <w:pPr>
        <w:pStyle w:val="2"/>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29" w:name="OLE_LINK5"/>
      <w:r>
        <w:rPr>
          <w:rFonts w:hint="eastAsia" w:ascii="宋体" w:hAnsi="宋体" w:eastAsia="宋体" w:cs="宋体"/>
          <w:b w:val="0"/>
          <w:bCs w:val="0"/>
          <w:snapToGrid w:val="0"/>
          <w:kern w:val="28"/>
          <w:sz w:val="24"/>
          <w:highlight w:val="none"/>
          <w:lang w:val="en-US" w:eastAsia="zh-CN"/>
        </w:rPr>
        <w:t>95763</w:t>
      </w:r>
      <w:bookmarkEnd w:id="29"/>
      <w:r>
        <w:rPr>
          <w:rFonts w:hint="eastAsia" w:ascii="宋体" w:hAnsi="宋体" w:eastAsia="宋体" w:cs="宋体"/>
          <w:b w:val="0"/>
          <w:bCs w:val="0"/>
          <w:snapToGrid w:val="0"/>
          <w:kern w:val="28"/>
          <w:sz w:val="24"/>
          <w:highlight w:val="none"/>
        </w:rPr>
        <w:t>。</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eastAsia="宋体" w:cs="宋体"/>
          <w:b w:val="0"/>
          <w:bCs w:val="0"/>
          <w:snapToGrid w:val="0"/>
          <w:kern w:val="28"/>
          <w:sz w:val="24"/>
          <w:highlight w:val="none"/>
          <w:lang w:val="en-US" w:eastAsia="zh-CN"/>
        </w:rPr>
        <w:t>95763</w:t>
      </w:r>
      <w:r>
        <w:rPr>
          <w:rFonts w:ascii="宋体" w:hAnsi="宋体"/>
          <w:sz w:val="24"/>
          <w:highlight w:val="none"/>
        </w:rPr>
        <w:t>。</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sz w:val="24"/>
          <w:highlight w:val="none"/>
          <w:lang w:eastAsia="zh-CN"/>
        </w:rPr>
        <w:t>采购机构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bookmarkStart w:id="30" w:name="OLE_LINK22"/>
      <w:r>
        <w:rPr>
          <w:rFonts w:hint="eastAsia" w:ascii="宋体" w:hAnsi="宋体" w:cs="宋体"/>
          <w:kern w:val="0"/>
          <w:sz w:val="24"/>
        </w:rPr>
        <w:t>采购人组织对供应商履约的验收。</w:t>
      </w:r>
      <w:bookmarkEnd w:id="30"/>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
      </w:pPr>
    </w:p>
    <w:bookmarkEnd w:id="26"/>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31" w:name="_Hlt74714665"/>
      <w:bookmarkEnd w:id="31"/>
      <w:bookmarkStart w:id="32" w:name="_Hlt75236011"/>
      <w:bookmarkEnd w:id="32"/>
      <w:bookmarkStart w:id="33" w:name="_Hlt74729768"/>
      <w:bookmarkEnd w:id="33"/>
      <w:bookmarkStart w:id="34" w:name="_Hlt68072998"/>
      <w:bookmarkEnd w:id="34"/>
      <w:bookmarkStart w:id="35" w:name="_Hlt68403820"/>
      <w:bookmarkEnd w:id="35"/>
      <w:bookmarkStart w:id="36" w:name="_Hlt75236101"/>
      <w:bookmarkEnd w:id="36"/>
      <w:bookmarkStart w:id="37" w:name="_Hlt74730295"/>
      <w:bookmarkEnd w:id="37"/>
      <w:bookmarkStart w:id="38" w:name="_Hlt68057669"/>
      <w:bookmarkEnd w:id="38"/>
      <w:bookmarkStart w:id="39" w:name="_Hlt68073093"/>
      <w:bookmarkEnd w:id="39"/>
      <w:bookmarkStart w:id="40" w:name="_Hlt74707468"/>
      <w:bookmarkEnd w:id="40"/>
      <w:bookmarkStart w:id="41" w:name="_Hlt68072990"/>
      <w:bookmarkEnd w:id="41"/>
      <w:bookmarkStart w:id="42" w:name="_Hlt75236290"/>
      <w:bookmarkEnd w:id="42"/>
    </w:p>
    <w:bookmarkEnd w:id="17"/>
    <w:bookmarkEnd w:id="18"/>
    <w:p>
      <w:pPr>
        <w:spacing w:line="360" w:lineRule="auto"/>
        <w:jc w:val="center"/>
        <w:outlineLvl w:val="0"/>
        <w:rPr>
          <w:rFonts w:hint="eastAsia"/>
          <w:lang w:val="en-US" w:eastAsia="zh-CN"/>
        </w:rPr>
      </w:pPr>
      <w:bookmarkStart w:id="43" w:name="第四部分"/>
      <w:r>
        <w:rPr>
          <w:rFonts w:hint="eastAsia" w:ascii="宋体" w:hAnsi="宋体" w:cs="宋体"/>
          <w:b/>
          <w:sz w:val="36"/>
          <w:szCs w:val="36"/>
        </w:rPr>
        <w:t>第三部分   采购需求</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一、物业概况</w:t>
      </w:r>
      <w:r>
        <w:rPr>
          <w:rFonts w:hint="eastAsia" w:ascii="黑体" w:hAnsi="黑体" w:eastAsia="黑体" w:cs="黑体"/>
          <w:b w:val="0"/>
          <w:bCs w:val="0"/>
          <w:color w:val="auto"/>
          <w:kern w:val="0"/>
          <w:sz w:val="32"/>
          <w:szCs w:val="32"/>
          <w:highlight w:val="none"/>
          <w:lang w:eastAsia="zh-CN"/>
        </w:rPr>
        <w:t>、年度预算及支付要求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上城</w:t>
      </w:r>
      <w:r>
        <w:rPr>
          <w:rFonts w:hint="eastAsia" w:ascii="仿宋_GB2312" w:hAnsi="仿宋_GB2312" w:eastAsia="仿宋_GB2312" w:cs="仿宋_GB2312"/>
          <w:color w:val="auto"/>
          <w:sz w:val="32"/>
          <w:szCs w:val="32"/>
          <w:highlight w:val="none"/>
        </w:rPr>
        <w:t>区人力社保局</w:t>
      </w:r>
      <w:r>
        <w:rPr>
          <w:rFonts w:hint="eastAsia" w:ascii="仿宋_GB2312" w:hAnsi="仿宋_GB2312" w:eastAsia="仿宋_GB2312" w:cs="仿宋_GB2312"/>
          <w:color w:val="auto"/>
          <w:sz w:val="32"/>
          <w:szCs w:val="32"/>
          <w:highlight w:val="none"/>
          <w:lang w:val="en-US" w:eastAsia="zh-CN"/>
        </w:rPr>
        <w:t>办公大楼</w:t>
      </w:r>
      <w:r>
        <w:rPr>
          <w:rFonts w:hint="eastAsia" w:ascii="仿宋_GB2312" w:hAnsi="仿宋_GB2312" w:eastAsia="仿宋_GB2312" w:cs="仿宋_GB2312"/>
          <w:color w:val="auto"/>
          <w:sz w:val="32"/>
          <w:szCs w:val="32"/>
          <w:highlight w:val="none"/>
        </w:rPr>
        <w:t>座落于广景弄6号。</w:t>
      </w:r>
      <w:r>
        <w:rPr>
          <w:rFonts w:hint="eastAsia" w:ascii="仿宋_GB2312" w:hAnsi="仿宋_GB2312" w:eastAsia="仿宋_GB2312" w:cs="仿宋_GB2312"/>
          <w:color w:val="auto"/>
          <w:sz w:val="32"/>
          <w:szCs w:val="32"/>
          <w:highlight w:val="none"/>
          <w:lang w:val="en-US" w:eastAsia="zh-CN"/>
        </w:rPr>
        <w:t>占地面积约2500平方米，</w:t>
      </w:r>
      <w:r>
        <w:rPr>
          <w:rFonts w:hint="eastAsia" w:ascii="仿宋_GB2312" w:hAnsi="仿宋_GB2312" w:eastAsia="仿宋_GB2312" w:cs="仿宋_GB2312"/>
          <w:color w:val="auto"/>
          <w:sz w:val="32"/>
          <w:szCs w:val="32"/>
          <w:highlight w:val="none"/>
        </w:rPr>
        <w:t>建筑面积5层近5000平方米（含外围面积），其中</w:t>
      </w:r>
      <w:r>
        <w:rPr>
          <w:rFonts w:hint="eastAsia" w:ascii="仿宋_GB2312" w:hAnsi="仿宋_GB2312" w:eastAsia="仿宋_GB2312" w:cs="仿宋_GB2312"/>
          <w:color w:val="auto"/>
          <w:sz w:val="32"/>
          <w:szCs w:val="32"/>
          <w:highlight w:val="none"/>
          <w:lang w:val="en-US" w:eastAsia="zh-CN"/>
        </w:rPr>
        <w:t>内含就业服务窗口1处</w:t>
      </w:r>
      <w:r>
        <w:rPr>
          <w:rFonts w:hint="eastAsia" w:ascii="仿宋_GB2312" w:hAnsi="仿宋_GB2312" w:eastAsia="仿宋_GB2312" w:cs="仿宋_GB2312"/>
          <w:color w:val="auto"/>
          <w:sz w:val="32"/>
          <w:szCs w:val="32"/>
          <w:highlight w:val="none"/>
        </w:rPr>
        <w:t>、办公室33间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会议室2间、仲裁庭</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个、调解室2间、档案室3间、储藏室1间、活动室1间、文印室1间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男女卫生间各5间。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该综合物业服务年度预算共计</w:t>
      </w:r>
      <w:r>
        <w:rPr>
          <w:rFonts w:hint="eastAsia" w:ascii="仿宋_GB2312" w:hAnsi="仿宋_GB2312" w:eastAsia="仿宋_GB2312" w:cs="仿宋_GB2312"/>
          <w:color w:val="auto"/>
          <w:sz w:val="32"/>
          <w:szCs w:val="32"/>
          <w:highlight w:val="none"/>
          <w:lang w:val="en-US" w:eastAsia="zh-CN"/>
        </w:rPr>
        <w:t>86万元。支付方式需按照双方协定按比例分四个阶段执行。</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二、物业管理目标和方式</w:t>
      </w:r>
    </w:p>
    <w:p>
      <w:pPr>
        <w:keepNext w:val="0"/>
        <w:keepLines w:val="0"/>
        <w:pageBreakBefore w:val="0"/>
        <w:widowControl w:val="0"/>
        <w:kinsoku/>
        <w:wordWrap/>
        <w:overflowPunct/>
        <w:topLinePunct w:val="0"/>
        <w:bidi w:val="0"/>
        <w:adjustRightInd w:val="0"/>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 xml:space="preserve">（一）管理目标 </w:t>
      </w:r>
    </w:p>
    <w:p>
      <w:pPr>
        <w:keepNext w:val="0"/>
        <w:keepLines w:val="0"/>
        <w:pageBreakBefore w:val="0"/>
        <w:widowControl w:val="0"/>
        <w:kinsoku/>
        <w:wordWrap/>
        <w:overflowPunct/>
        <w:topLinePunct w:val="0"/>
        <w:bidi w:val="0"/>
        <w:adjustRightIn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突出以人为本，营造安全文明、和谐有序、温馨规范的公共服务环境及办公、会议等良好氛围；格守规范化、制度化，创造一流服务品牌的服务宗旨；坚持服务第一，强化安全意识，为采购人做好后勤服务。</w:t>
      </w:r>
    </w:p>
    <w:p>
      <w:pPr>
        <w:keepNext w:val="0"/>
        <w:keepLines w:val="0"/>
        <w:pageBreakBefore w:val="0"/>
        <w:widowControl w:val="0"/>
        <w:kinsoku/>
        <w:wordWrap/>
        <w:overflowPunct/>
        <w:topLinePunct w:val="0"/>
        <w:bidi w:val="0"/>
        <w:adjustRightInd w:val="0"/>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（二）管理方式</w:t>
      </w:r>
    </w:p>
    <w:p>
      <w:pPr>
        <w:keepNext w:val="0"/>
        <w:keepLines w:val="0"/>
        <w:pageBreakBefore w:val="0"/>
        <w:widowControl w:val="0"/>
        <w:kinsoku/>
        <w:wordWrap/>
        <w:overflowPunct/>
        <w:topLinePunct w:val="0"/>
        <w:bidi w:val="0"/>
        <w:adjustRightIn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1、中标人所有岗位应建立明确岗位责任、运作程序规范、保障工作质量高标准。并选派优秀物业管理质监督导员，对本项目的物业管理总体工作情况进行监督，以保障本项目的服务达到应有的水平。</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2、中标人按照管理内容要求编制检查表，进行规范检查，发现问题及时整改。</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3、中标人要加强节能意识，按规定开关公共部位照明灯具</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4、采购人负责对中标人物业服务项目进行日常监督和考核，对中标人各工作岗位的服务质量随时进行抽查。发现问题，及时书面通知整改。</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5、采购人定期向各科室发放“服务意见征询书”，根据反馈意见书进行统计，进行综合评分。</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6</w:t>
      </w:r>
      <w:r>
        <w:rPr>
          <w:rFonts w:hint="eastAsia" w:ascii="仿宋_GB2312" w:hAnsi="仿宋_GB2312" w:eastAsia="仿宋_GB2312" w:cs="仿宋_GB2312"/>
          <w:bCs/>
          <w:color w:val="auto"/>
          <w:kern w:val="0"/>
          <w:sz w:val="32"/>
          <w:szCs w:val="32"/>
          <w:highlight w:val="none"/>
        </w:rPr>
        <w:t>、中标人建立各类应急预案（如消防、抗台、电梯困人、漏水、停电事件等），中标后培训相关人员达到相关要求。</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7</w:t>
      </w:r>
      <w:r>
        <w:rPr>
          <w:rFonts w:hint="eastAsia" w:ascii="仿宋_GB2312" w:hAnsi="仿宋_GB2312" w:eastAsia="仿宋_GB2312" w:cs="仿宋_GB2312"/>
          <w:bCs/>
          <w:color w:val="auto"/>
          <w:kern w:val="0"/>
          <w:sz w:val="32"/>
          <w:szCs w:val="32"/>
          <w:highlight w:val="none"/>
        </w:rPr>
        <w:t>、重大活动、会务、会议，中标人应根据采购人的工作计划、要求严格按照计划实施。</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三、物业服务主要内容和要求</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（一）服务范围：</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上城</w:t>
      </w:r>
      <w:r>
        <w:rPr>
          <w:rFonts w:hint="eastAsia" w:ascii="仿宋_GB2312" w:hAnsi="仿宋_GB2312" w:eastAsia="仿宋_GB2312" w:cs="仿宋_GB2312"/>
          <w:color w:val="auto"/>
          <w:sz w:val="32"/>
          <w:szCs w:val="32"/>
          <w:highlight w:val="none"/>
        </w:rPr>
        <w:t>区人力社保局办公大楼院区的安全保卫管理、秩序维护、</w:t>
      </w:r>
      <w:r>
        <w:rPr>
          <w:rFonts w:hint="eastAsia" w:ascii="仿宋_GB2312" w:hAnsi="仿宋_GB2312" w:eastAsia="仿宋_GB2312" w:cs="仿宋_GB2312"/>
          <w:color w:val="auto"/>
          <w:sz w:val="32"/>
          <w:szCs w:val="32"/>
          <w:highlight w:val="none"/>
          <w:lang w:val="en-US" w:eastAsia="zh-CN"/>
        </w:rPr>
        <w:t>联动辅助服务、</w:t>
      </w:r>
      <w:r>
        <w:rPr>
          <w:rFonts w:hint="eastAsia" w:ascii="仿宋_GB2312" w:hAnsi="仿宋_GB2312" w:eastAsia="仿宋_GB2312" w:cs="仿宋_GB2312"/>
          <w:color w:val="auto"/>
          <w:sz w:val="32"/>
          <w:szCs w:val="32"/>
          <w:highlight w:val="none"/>
        </w:rPr>
        <w:t>卫生保洁、绿化养护、会务服务、工程维修（含电梯、高低压配电系统、消监控系统、空调系统和大楼区域内的零修）、垃圾清运、化粪池清掏、病虫害防治以及人社局安排的其它工作。</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其中，安全保卫管理、秩序维护、</w:t>
      </w:r>
      <w:r>
        <w:rPr>
          <w:rFonts w:hint="eastAsia" w:ascii="仿宋_GB2312" w:hAnsi="仿宋_GB2312" w:eastAsia="仿宋_GB2312" w:cs="仿宋_GB2312"/>
          <w:color w:val="auto"/>
          <w:sz w:val="32"/>
          <w:szCs w:val="32"/>
          <w:highlight w:val="none"/>
          <w:lang w:val="en-US" w:eastAsia="zh-CN"/>
        </w:rPr>
        <w:t>联动辅助服务、</w:t>
      </w:r>
      <w:r>
        <w:rPr>
          <w:rFonts w:hint="eastAsia" w:ascii="仿宋_GB2312" w:hAnsi="仿宋_GB2312" w:eastAsia="仿宋_GB2312" w:cs="仿宋_GB2312"/>
          <w:color w:val="auto"/>
          <w:sz w:val="32"/>
          <w:szCs w:val="32"/>
          <w:highlight w:val="none"/>
        </w:rPr>
        <w:t>卫生保洁、室外绿化养护、会务服务、消防监控设施管理、工程维修为中标人自备人员和必备项目。室内绿化管理项目、给排水设备运行维护项目、供电设备管理维护项目、房屋家具设施日常维修项目、电梯维护管理和灭“四害”消杀服务，为有相应资质的专业单位和设施设备生产单位专项服务，相关费用由中标方负责。</w:t>
      </w:r>
    </w:p>
    <w:p>
      <w:pPr>
        <w:keepNext w:val="0"/>
        <w:keepLines w:val="0"/>
        <w:pageBreakBefore w:val="0"/>
        <w:widowControl w:val="0"/>
        <w:kinsoku/>
        <w:wordWrap/>
        <w:overflowPunct/>
        <w:topLinePunct w:val="0"/>
        <w:bidi w:val="0"/>
        <w:adjustRightInd w:val="0"/>
        <w:spacing w:line="560"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（二）人员配置要求：</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单位交办的其他临时任务。</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主管：全面负责该项目的相关服务管理工作，并承担采购单位与中标单位的业务联络。负责采购单位该项目服务人员的日常管理及班次安排；巡检、记录本部各班每日工作情况，及时向采购单位行政装备科汇报；定期对该项目服务人员工作进行考核培训。</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2．服务人员：根据服务要求以及区域工种实际需要合理安排人员，要求政治上可靠，遵纪守法，敬业爱岗，身体素质好，无不良行为记录，知晓本岗位的服务礼仪。</w:t>
      </w:r>
      <w:r>
        <w:rPr>
          <w:rFonts w:hint="eastAsia" w:ascii="宋体" w:hAnsi="宋体" w:cs="宋体"/>
          <w:sz w:val="24"/>
          <w:szCs w:val="20"/>
          <w:highlight w:val="none"/>
        </w:rPr>
        <w:t>▲</w:t>
      </w:r>
      <w:r>
        <w:rPr>
          <w:rFonts w:hint="eastAsia" w:ascii="仿宋_GB2312" w:hAnsi="仿宋_GB2312" w:eastAsia="仿宋_GB2312" w:cs="仿宋_GB2312"/>
          <w:color w:val="auto"/>
          <w:sz w:val="32"/>
          <w:szCs w:val="32"/>
          <w:highlight w:val="none"/>
          <w:lang w:val="en-US" w:eastAsia="zh-CN"/>
        </w:rPr>
        <w:t>本项目共12人，</w:t>
      </w:r>
      <w:r>
        <w:rPr>
          <w:rFonts w:hint="eastAsia" w:ascii="仿宋_GB2312" w:hAnsi="仿宋_GB2312" w:eastAsia="仿宋_GB2312" w:cs="仿宋_GB2312"/>
          <w:color w:val="auto"/>
          <w:sz w:val="32"/>
          <w:szCs w:val="32"/>
          <w:highlight w:val="none"/>
          <w:lang w:eastAsia="zh-CN"/>
        </w:rPr>
        <w:t>其中维修人员需配有</w:t>
      </w:r>
      <w:r>
        <w:rPr>
          <w:rFonts w:hint="eastAsia" w:ascii="仿宋_GB2312" w:hAnsi="仿宋_GB2312" w:eastAsia="仿宋_GB2312" w:cs="仿宋_GB2312"/>
          <w:color w:val="auto"/>
          <w:sz w:val="32"/>
          <w:szCs w:val="32"/>
          <w:highlight w:val="none"/>
          <w:lang w:val="en-US" w:eastAsia="zh-CN"/>
        </w:rPr>
        <w:t>低</w:t>
      </w:r>
      <w:r>
        <w:rPr>
          <w:rFonts w:hint="eastAsia" w:ascii="仿宋_GB2312" w:hAnsi="仿宋_GB2312" w:eastAsia="仿宋_GB2312" w:cs="仿宋_GB2312"/>
          <w:color w:val="auto"/>
          <w:sz w:val="32"/>
          <w:szCs w:val="32"/>
          <w:highlight w:val="none"/>
          <w:lang w:eastAsia="zh-CN"/>
        </w:rPr>
        <w:t>压电工证、特种设备安全管理和作业人员证，保安员具有保安证，并提供相应证书。</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人员配置情况如下：</w:t>
      </w:r>
    </w:p>
    <w:tbl>
      <w:tblPr>
        <w:tblStyle w:val="63"/>
        <w:tblW w:w="9702" w:type="dxa"/>
        <w:jc w:val="center"/>
        <w:tblLayout w:type="fixed"/>
        <w:tblCellMar>
          <w:top w:w="0" w:type="dxa"/>
          <w:left w:w="108" w:type="dxa"/>
          <w:bottom w:w="0" w:type="dxa"/>
          <w:right w:w="108" w:type="dxa"/>
        </w:tblCellMar>
      </w:tblPr>
      <w:tblGrid>
        <w:gridCol w:w="1717"/>
        <w:gridCol w:w="1609"/>
        <w:gridCol w:w="1882"/>
        <w:gridCol w:w="1472"/>
        <w:gridCol w:w="1909"/>
        <w:gridCol w:w="1113"/>
      </w:tblGrid>
      <w:tr>
        <w:tblPrEx>
          <w:tblCellMar>
            <w:top w:w="0" w:type="dxa"/>
            <w:left w:w="108" w:type="dxa"/>
            <w:bottom w:w="0" w:type="dxa"/>
            <w:right w:w="108" w:type="dxa"/>
          </w:tblCellMar>
        </w:tblPrEx>
        <w:trPr>
          <w:trHeight w:val="851"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主管</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保安</w:t>
            </w:r>
            <w:r>
              <w:rPr>
                <w:rFonts w:hint="eastAsia" w:ascii="仿宋_GB2312" w:hAnsi="仿宋_GB2312" w:eastAsia="仿宋_GB2312" w:cs="仿宋_GB2312"/>
                <w:color w:val="auto"/>
                <w:sz w:val="28"/>
                <w:szCs w:val="28"/>
                <w:highlight w:val="none"/>
              </w:rPr>
              <w:t>、消防</w:t>
            </w:r>
          </w:p>
        </w:tc>
        <w:tc>
          <w:tcPr>
            <w:tcW w:w="18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维修电工</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（兼工程维修）</w:t>
            </w:r>
          </w:p>
        </w:tc>
        <w:tc>
          <w:tcPr>
            <w:tcW w:w="14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保洁</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及绿化</w:t>
            </w:r>
          </w:p>
        </w:tc>
        <w:tc>
          <w:tcPr>
            <w:tcW w:w="1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调解联络员</w:t>
            </w:r>
          </w:p>
        </w:tc>
        <w:tc>
          <w:tcPr>
            <w:tcW w:w="11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合计</w:t>
            </w:r>
          </w:p>
        </w:tc>
      </w:tr>
      <w:tr>
        <w:tblPrEx>
          <w:tblCellMar>
            <w:top w:w="0" w:type="dxa"/>
            <w:left w:w="108" w:type="dxa"/>
            <w:bottom w:w="0" w:type="dxa"/>
            <w:right w:w="108" w:type="dxa"/>
          </w:tblCellMar>
        </w:tblPrEx>
        <w:trPr>
          <w:trHeight w:val="805" w:hRule="atLeast"/>
          <w:jc w:val="center"/>
        </w:trPr>
        <w:tc>
          <w:tcPr>
            <w:tcW w:w="17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1人</w:t>
            </w:r>
          </w:p>
        </w:tc>
        <w:tc>
          <w:tcPr>
            <w:tcW w:w="16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4人</w:t>
            </w:r>
          </w:p>
        </w:tc>
        <w:tc>
          <w:tcPr>
            <w:tcW w:w="18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1人</w:t>
            </w:r>
          </w:p>
        </w:tc>
        <w:tc>
          <w:tcPr>
            <w:tcW w:w="147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c>
          <w:tcPr>
            <w:tcW w:w="1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3人</w:t>
            </w:r>
          </w:p>
        </w:tc>
        <w:tc>
          <w:tcPr>
            <w:tcW w:w="111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12</w:t>
            </w:r>
          </w:p>
        </w:tc>
      </w:tr>
    </w:tbl>
    <w:p>
      <w:pPr>
        <w:keepNext w:val="0"/>
        <w:keepLines w:val="0"/>
        <w:pageBreakBefore w:val="0"/>
        <w:widowControl w:val="0"/>
        <w:kinsoku/>
        <w:wordWrap/>
        <w:overflowPunct/>
        <w:topLinePunct w:val="0"/>
        <w:bidi w:val="0"/>
        <w:adjustRightInd w:val="0"/>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（三）招标要求和技术规范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1、保安、消防</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熟悉周边的环境，能处理和应对公共秩序维护工作，能正确使用各类消防、物防、技防器械和设备，能够熟悉、掌握各类刑事、治安案件和各类灾害事故的应急预案；来人来访的通报、证件检验、登记、报刊信件收发等；门卫、守护和巡逻，维护公共秩序；处理治安及其他突发事件；负责大楼地面交通管理、机动车和非机动车停放管理；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按照突发火灾的应急方案，设立消防疏散示意图，照明设施及引路标志完好，紧急疏散通道畅通。对区域内的消防喷淋灭火系统、火灾报警系统等消空设备按安保条例进行监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1）门卫值班。</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岗时佩戴统一标志，按需求穿戴统一制服（精致），装备佩戴规范，仪容仪表规范整齐，当值时坐姿挺直，站岗时不倚不靠。文明执勤，训练有素，言语规范，认真负责；配备对讲装置和其他必备的安全护卫器械。大门</w:t>
      </w:r>
      <w:r>
        <w:rPr>
          <w:rFonts w:hint="eastAsia" w:ascii="仿宋_GB2312" w:hAnsi="仿宋_GB2312" w:eastAsia="仿宋_GB2312" w:cs="仿宋_GB2312"/>
          <w:color w:val="auto"/>
          <w:sz w:val="32"/>
          <w:szCs w:val="32"/>
          <w:highlight w:val="none"/>
          <w:lang w:eastAsia="zh-CN"/>
        </w:rPr>
        <w:t>设双岗，</w:t>
      </w:r>
      <w:r>
        <w:rPr>
          <w:rFonts w:hint="eastAsia" w:ascii="仿宋_GB2312" w:hAnsi="仿宋_GB2312" w:eastAsia="仿宋_GB2312" w:cs="仿宋_GB2312"/>
          <w:color w:val="auto"/>
          <w:sz w:val="32"/>
          <w:szCs w:val="32"/>
          <w:highlight w:val="none"/>
        </w:rPr>
        <w:t>安排24小时值勤，建立门岗、秩序维护、车辆及公共秩序管理等制度。用语规范，礼貌待客，文明工作。维护行政区域安全、正常的工作环境。对物品进出实施管理，实行物品进出审验制度，杜绝危险物品进入办公区域内。</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2）巡查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明确巡查工作职责，规范巡视工作流程，制定固定的巡查制度，对重要区域、部位、设备机房进行重点巡视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）停车管理。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所有车位的车辆，一律停放在固定车位内。无固定车位的大楼内用车，应停放整齐、规范。非机动车应实行定点停放。对进出大楼的各类车辆要进行严格管理，维护交通秩序，保证车辆有序通行、有序停放。</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）突发事件处理。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对设备机房、停车场、旗杆等露天设施进行检查和加固。各岗位人员必须按规定实行岗位警戒，根据不同突发事件的现场情况进行应变处理，在有关部门到达现场前，确保人身安全，减少财产损失，并全力协助处理相关事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）消防、监控设施管理。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检查，是否有压力不足或缺少等情况；定期对各楼层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消防系统维护和检测须由相关专业单位进行检测维护，维护检测、材料费用由采购方负责承担。</w:t>
      </w:r>
    </w:p>
    <w:p>
      <w:pPr>
        <w:keepNext w:val="0"/>
        <w:keepLines w:val="0"/>
        <w:pageBreakBefore w:val="0"/>
        <w:widowControl w:val="0"/>
        <w:kinsoku/>
        <w:wordWrap/>
        <w:overflowPunct/>
        <w:topLinePunct w:val="0"/>
        <w:bidi w:val="0"/>
        <w:snapToGrid/>
        <w:spacing w:line="560" w:lineRule="exact"/>
        <w:ind w:left="0" w:leftChars="0" w:firstLine="643" w:firstLineChars="200"/>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2．</w:t>
      </w:r>
      <w:r>
        <w:rPr>
          <w:rFonts w:hint="eastAsia" w:ascii="仿宋_GB2312" w:hAnsi="仿宋_GB2312" w:eastAsia="仿宋_GB2312" w:cs="仿宋_GB2312"/>
          <w:b/>
          <w:bCs/>
          <w:color w:val="auto"/>
          <w:kern w:val="0"/>
          <w:sz w:val="32"/>
          <w:szCs w:val="32"/>
          <w:highlight w:val="none"/>
        </w:rPr>
        <w:t>保洁服务（含垃圾清运及化粪池清掏工作）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大楼内的楼梯（含安全通道）、大厅、走廊、屋顶平台（各楼层平台）、电梯间、卫生间、茶水间、花盆、会议室、大楼自行车棚、办公区域、公共活动场所的台（地）面、明沟、墙面、门、窗、灯具、果壳箱等设施和器皿等所有公共部位设施，园林、停车场(库)等所有公共场地及设施和“门前三包”区域的日常保洁保养以及垃圾分类管理</w:t>
      </w:r>
      <w:r>
        <w:rPr>
          <w:rFonts w:hint="eastAsia" w:ascii="仿宋_GB2312" w:hAnsi="仿宋_GB2312" w:eastAsia="仿宋_GB2312" w:cs="仿宋_GB2312"/>
          <w:color w:val="auto"/>
          <w:sz w:val="32"/>
          <w:szCs w:val="32"/>
          <w:highlight w:val="none"/>
          <w:lang w:val="en-US" w:eastAsia="zh-CN"/>
        </w:rPr>
        <w:t>和清理</w:t>
      </w:r>
      <w:r>
        <w:rPr>
          <w:rFonts w:hint="eastAsia" w:ascii="仿宋_GB2312" w:hAnsi="仿宋_GB2312" w:eastAsia="仿宋_GB2312" w:cs="仿宋_GB2312"/>
          <w:color w:val="auto"/>
          <w:sz w:val="32"/>
          <w:szCs w:val="32"/>
          <w:highlight w:val="none"/>
        </w:rPr>
        <w:t>、废弃物清理和灭“四害”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化粪池清掏</w:t>
      </w:r>
      <w:r>
        <w:rPr>
          <w:rFonts w:hint="eastAsia" w:ascii="仿宋_GB2312" w:hAnsi="仿宋_GB2312" w:eastAsia="仿宋_GB2312" w:cs="仿宋_GB2312"/>
          <w:color w:val="auto"/>
          <w:sz w:val="32"/>
          <w:szCs w:val="32"/>
          <w:highlight w:val="none"/>
        </w:rPr>
        <w:t>等所有环境卫生保洁。具体如下：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公共场所日常服务内容：水泥地面、石材地面、扶手、门窗玻璃、门及门窗框、玻璃幕墙及有关附体，各类宣传牌、橱窗及有关附体，天花板、栏杆、消防楼梯区域等，及时清除各种垃圾等杂物，无积灰、印迹、污渍等。</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门厅、办公区域等特定区域保洁服务内容：地面、大厅石材墙面、天花板、门窗玻璃、门及门窗框、墙壁附体，灯具、垃圾桶等公用设施表面，电梯及卫生间等严格按要求做好清洁、清运及日常消杀工作，无积灰、印迹、污渍。灯具每季度进行一次清洁；白色墙面及顶面如有污渍等应及时清除。</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3）顶篷等边缘区域服务内容：屋顶屋面、沟槽、地面及边角区域，各种附体表面及时进行清洁。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4）水电和设备等设施类服务内容：一般机器表面清洁（有特殊规定的设备除外），消防设施。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5）电梯服务内容：保持电梯轿厢内外无果壳、纸屑等杂物，无污渍、无灰尘、手印、鞋印，表面光亮可映出人影。每天对轿厢内外用油布擦拭二次，每周用不锈钢油对轿厢内外进行轻抹保养一次。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6）不锈钢保洁服务内容：包括所有不锈钢制品、设施、设备，除有明确规定的保洁要求外，至少每二个月用不锈钢油保养一次。哑光不锈钢表面无污渍、无灰尘；镜面不锈钢表面光亮，三米内能清晰映出人影。</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垃圾清运服务内容：做好垃圾分类管理，垃圾箱、筒的垃圾存量不超过上缘，每日清理二次，做到日产日清，定期清洗，每周消毒一次，无明显积水，无蚊蝇飞舞。垃圾清运工具应保持清洁无破损，清运过程中不得产生二次污染。各类垃圾运到规定的垃圾房，其中公共区域、卫生间无堆积垃圾（</w:t>
      </w:r>
      <w:bookmarkStart w:id="44" w:name="OLE_LINK9"/>
      <w:r>
        <w:rPr>
          <w:rFonts w:hint="eastAsia" w:ascii="仿宋_GB2312" w:hAnsi="仿宋_GB2312" w:eastAsia="仿宋_GB2312" w:cs="仿宋_GB2312"/>
          <w:color w:val="auto"/>
          <w:sz w:val="32"/>
          <w:szCs w:val="32"/>
          <w:highlight w:val="none"/>
        </w:rPr>
        <w:t>根据实际情况增加垃圾清理次数</w:t>
      </w:r>
      <w:bookmarkEnd w:id="44"/>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化粪池清掏每年不少于1次（另需</w:t>
      </w:r>
      <w:r>
        <w:rPr>
          <w:rFonts w:hint="eastAsia" w:ascii="仿宋_GB2312" w:hAnsi="仿宋_GB2312" w:eastAsia="仿宋_GB2312" w:cs="仿宋_GB2312"/>
          <w:color w:val="auto"/>
          <w:sz w:val="32"/>
          <w:szCs w:val="32"/>
          <w:highlight w:val="none"/>
        </w:rPr>
        <w:t>根据实际情况</w:t>
      </w:r>
      <w:r>
        <w:rPr>
          <w:rFonts w:hint="eastAsia" w:ascii="仿宋_GB2312" w:hAnsi="仿宋_GB2312" w:eastAsia="仿宋_GB2312" w:cs="仿宋_GB2312"/>
          <w:color w:val="auto"/>
          <w:sz w:val="32"/>
          <w:szCs w:val="32"/>
          <w:highlight w:val="none"/>
          <w:lang w:val="en-US" w:eastAsia="zh-CN"/>
        </w:rPr>
        <w:t>及时清掏处置）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围墙内的道路、停车场和“门前三包”及所有公共区域的地面，无有形垃圾和建筑垃圾、无堆积杂物、无积水和淤泥、无阻塞等。做到每日清扫两次，巡回保洁。</w:t>
      </w:r>
    </w:p>
    <w:tbl>
      <w:tblPr>
        <w:tblStyle w:val="63"/>
        <w:tblW w:w="9717"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523"/>
        <w:gridCol w:w="2520"/>
        <w:gridCol w:w="2325"/>
        <w:gridCol w:w="251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区域</w:t>
            </w:r>
          </w:p>
        </w:tc>
        <w:tc>
          <w:tcPr>
            <w:tcW w:w="15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项  目</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工作内容</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标  准</w:t>
            </w:r>
          </w:p>
        </w:tc>
        <w:tc>
          <w:tcPr>
            <w:tcW w:w="2510"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保洁频率</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251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体</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围</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各出入口地面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清扫、收集垃圾、水力冲洗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无垃圾、烟头、杂物、明显泥沙</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明沟</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清扫、收集垃圾、刷洗、清洁堵塞物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无垃圾、杂物、无苔藓</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广场地面及周边</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清扫、收集垃圾、水力冲洗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无垃圾、积水、烟头、杂物、明显泥沙</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外露管道（2米以下）</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屋顶及周边</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清扫、收集垃圾、刷洗、清洁堵塞物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无垃圾、杂物、树叶、积水</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每日清扫，雨雪天气、台风季节重点清扫</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标志牌</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大楼名牌</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2米以下外墙</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刷洗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监控探头</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每日清抹一次，2米以上探头每季度清洁1次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120" w:firstLineChars="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厅</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楼</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层</w:t>
            </w: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大厅内玻璃</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除尘、清洗</w:t>
            </w:r>
          </w:p>
        </w:tc>
        <w:tc>
          <w:tcPr>
            <w:tcW w:w="2325" w:type="dxa"/>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bidi w:val="0"/>
              <w:snapToGrid/>
              <w:spacing w:after="0" w:line="300" w:lineRule="exact"/>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无尘，光亮</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每周全面清尘一次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石材地面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除尘、清洗、打蜡</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无灰尘、水迹及脚印，光亮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循环清洁，、每季抛光一次 </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抹灰墙面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无积灰、无蜘蛛网</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每月清洁两次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监控探头</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2米以上探头每季度清洁次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厅</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楼</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层</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墙脚线</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每日保洁，每周清除一次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大理石面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2米以下每日清抹，2米以上每月清抹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标识牌（各类）</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各类消防设施</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废物箱</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清除垃圾、外表抹净</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无垃圾满溢及拖挂</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无灰尘及手印，明亮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大玻璃窗</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无积灰及划痕，明亮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灯具</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循环保洁，2米以上灯具每季度清洁一次。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强弱电机房</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室内、机柜</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木质（除尘）铝合金（上保护剂）、镜面清洁</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无灰尘及手印，光亮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每日保洁，每周清洁、上光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门（内外）</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抹净（上保护剂）</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无灰尘及垃圾，亮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门槽</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清除垃圾、杂物</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无灰尘及垃圾，光亮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每日及时清除，每周清洁、上光</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指示牌和按钮</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无灰尘、无手印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灯片和风口</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洗</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间</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尿斗、坐厕、面盆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除污垢（用中性药剂）除锈斑、消毒</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无污垢及积垢，洁净</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畅通，无漏水、异味及污垢，垃圾袋定时更换</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隔断</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除尘、除污垢</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无灰尘、涂画及污垢</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水龙头</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无水锈、无污渍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镜面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无水迹及污渍，明亮</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清洗、消毒</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无垃圾、水迹及污渍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灯片、天花及风口</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每月清除一次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门和门框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无水迹、无污渍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循环保洁，每日清洗一次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废物箱</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清除垃圾、外表清洁</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无垃圾满溢、无污渍</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left"/>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玻璃窗</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清洗、除尘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无灰尘、无水迹</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楼</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梯</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楼级和平台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清扫垃圾、清洗</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无垃圾、死角及积灰</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墙面</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大理石（除尘、抹净）</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涂料（除尘）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扶手、栏杆</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外露管道</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他</w:t>
            </w: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各类消防设施</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无积灰</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240"/>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室外绿地</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清扫</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无垃圾、无杂物</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每天清洁二次，随时清扫</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240"/>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办公室</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除尘、抹净</w:t>
            </w:r>
          </w:p>
        </w:tc>
        <w:tc>
          <w:tcPr>
            <w:tcW w:w="2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240"/>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会议室</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除尘、抹净</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9"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240"/>
              <w:textAlignment w:val="auto"/>
              <w:rPr>
                <w:rFonts w:hint="eastAsia" w:ascii="仿宋_GB2312" w:hAnsi="仿宋_GB2312" w:eastAsia="仿宋_GB2312" w:cs="仿宋_GB2312"/>
                <w:color w:val="auto"/>
                <w:sz w:val="24"/>
                <w:szCs w:val="24"/>
                <w:highlight w:val="none"/>
              </w:rPr>
            </w:pPr>
          </w:p>
        </w:tc>
        <w:tc>
          <w:tcPr>
            <w:tcW w:w="1523"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其它公共区域物品</w:t>
            </w:r>
          </w:p>
        </w:tc>
        <w:tc>
          <w:tcPr>
            <w:tcW w:w="2520"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除尘、抹净</w:t>
            </w:r>
          </w:p>
        </w:tc>
        <w:tc>
          <w:tcPr>
            <w:tcW w:w="2325"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无灰尘</w:t>
            </w:r>
          </w:p>
        </w:tc>
        <w:tc>
          <w:tcPr>
            <w:tcW w:w="2510" w:type="dxa"/>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循环保洁，随时清抹</w:t>
            </w:r>
          </w:p>
        </w:tc>
      </w:tr>
    </w:tbl>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未列入的且为正常保洁工作以及突发性事件造成的保洁工作的项目、部位均包括在本次采购范围内，中标人不得因此拒绝提供保洁服务。保洁用品计入服务费用。</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3、会务服务</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根据采购单位需要提供重大会议、庆典、节日、培训等活动的劳动服务，包括布置会场、绿化（盆景）摆设和保养、横幅悬挂、搬运器材、桌椅、空调、水果、鲜花、会后清场等工作。会议期间全过程值班，制定完备的会务服务工作流程、细则及服务工作计划并严格执行，保证各项会议的正常进行。</w:t>
      </w:r>
      <w:r>
        <w:rPr>
          <w:rFonts w:hint="eastAsia" w:ascii="仿宋_GB2312" w:hAnsi="仿宋_GB2312" w:eastAsia="仿宋_GB2312" w:cs="仿宋_GB2312"/>
          <w:bCs/>
          <w:color w:val="auto"/>
          <w:kern w:val="0"/>
          <w:sz w:val="32"/>
          <w:szCs w:val="32"/>
          <w:highlight w:val="none"/>
        </w:rPr>
        <w:t>会议消耗品由采购方提供。</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4、给排水设备运行维护</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对办公楼及食堂室内外给排水系统的设备、设施，如水泵、水箱、气压给水装置、水处理设备、消火栓、管道、管件、阀门、水嘴、卫生洁具、排水管、透气管、水封设备、室外排水管及附属构筑物等进行日常养护维修，保持正常运行。维修人工费由中标方承担；需要更换零配件的，经采购人认可同意更换后，费用由采购人承担。</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1）定期对给排水系统进行维护、润滑。</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2）每天检查一次提升泵、排水泵、阀门等，确保排水系统通畅，各种管道阀门完好，仪表显示正常，无跑、冒、滴、漏现象。</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3）用户末端的水压及流量满足使用要求。</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4）每季对排水总管进行检查，每半年对水泵、管道进行防锈处理。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确保水质无污染并符合规定的要求，生活饮用水水质符合GB5749一2022《生活饮用水卫生标准》的要求。生活饮用水设施的日常使用管理、清洗消毒、作业人员健康检查以及水质检测参照建设部、卫生部《城市供水水质管理规定》(建设部令第67号)执行。</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6）每季度对水泵、水质处理、消毒装置、电开水炉及设备控制柜进行保养。</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5、供电设备管理维护</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对大楼及食堂的变压器、高及低压配电柜、能量管理系统、楼层配电间低压配电柜、设备机房电气控制柜、疏散指示系统、电气管线、电线电缆、电源开关、动力插座、电开水炉、水泵等低压用电设施进行日常管理和维护、维修，保持设施正常运行。维修人工费由中标方承担；需要更换零配件的，经采购人认可同意更换后，费用由采购人承担。</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1）按照规定周期对变配电设备设施进行检查、维护、清洁，并做好记录，确保高(低)压变(配)电柜操作运行正常，各计量检测表计显示正常。</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2）变(配)电柜、低压配电柜运行正常，符合工作要求，各类表计显示正常。</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3）功率因素自动补偿电容器(组)运行正常，自动切换准确可靠。</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4）变(配)电系统联络切换正常。</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5）负责各类照明灯具、泛光照明系统、供用电设备设施（包括配电箱柜、桥架、井道、分电箱、开关、插座等）的日常管理和维护修理。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6）应急供电系统运行正常。</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7）遇到节假日，双休日现场维护人员数量不能低于日常配置人员。</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8）通过有效的管理措施及技术措施，积极开展节能管理工作。</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6、房屋设施日常养护维修</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办公楼(区)及食堂房屋地面、墙、台面及吊顶、门窗、楼梯、通风道、玻璃顶等的日常巡查和养护维修。维修人工费由中标方承担；需要更换零配件的，经采购人认可同意更换后，费用由采购人承担。</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1）确保大楼(区)及食堂房屋及设施的完好和正常使用。</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2）玻璃无破裂，五金配件完好，门窗开闭灵活、密封性好、无异常声响。否则应及时修复或更换，不能立即修复的涉及安全性的应采取措施消除安全隐患。</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3）粉刷无明显剥落开裂，墙面砖、地坪、地砖、地板平整不起壳、无遗缺，否则应及时修复或更换。</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4）屋面排水沟、室内室外排水管保障畅通；雨前及时巡查，排除隐患。发现过滤网及管道破损及时修复或更换。</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5）发现屋面或其他防水层有气鼓、破裂，隔热板有断裂、缺损的，屋面、墙面有渗漏的，应在3个工作日内安排专项修理。</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6）及时完成家具、设备等各项零星维修任务，一般维修任务确保不超过24小时，确保家具、设备维修合格率达到100%。</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7、电梯维护与管理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（1）服务内容：电梯专业维保及日常管理（维保</w:t>
      </w:r>
      <w:r>
        <w:rPr>
          <w:rFonts w:hint="eastAsia" w:ascii="仿宋_GB2312" w:hAnsi="仿宋_GB2312" w:eastAsia="仿宋_GB2312" w:cs="仿宋_GB2312"/>
          <w:color w:val="auto"/>
          <w:sz w:val="32"/>
          <w:szCs w:val="32"/>
          <w:highlight w:val="none"/>
          <w:lang w:val="en-US" w:eastAsia="zh-CN"/>
        </w:rPr>
        <w:t>和年检</w:t>
      </w:r>
      <w:r>
        <w:rPr>
          <w:rFonts w:hint="eastAsia" w:ascii="仿宋_GB2312" w:hAnsi="仿宋_GB2312" w:eastAsia="仿宋_GB2312" w:cs="仿宋_GB2312"/>
          <w:color w:val="auto"/>
          <w:sz w:val="32"/>
          <w:szCs w:val="32"/>
          <w:highlight w:val="none"/>
        </w:rPr>
        <w:t>费用由</w:t>
      </w:r>
      <w:r>
        <w:rPr>
          <w:rFonts w:hint="eastAsia" w:ascii="仿宋_GB2312" w:hAnsi="仿宋_GB2312" w:eastAsia="仿宋_GB2312" w:cs="仿宋_GB2312"/>
          <w:color w:val="auto"/>
          <w:sz w:val="32"/>
          <w:szCs w:val="32"/>
          <w:highlight w:val="none"/>
          <w:lang w:val="en-US" w:eastAsia="zh-CN"/>
        </w:rPr>
        <w:t>中标</w:t>
      </w:r>
      <w:r>
        <w:rPr>
          <w:rFonts w:hint="eastAsia" w:ascii="仿宋_GB2312" w:hAnsi="仿宋_GB2312" w:eastAsia="仿宋_GB2312" w:cs="仿宋_GB2312"/>
          <w:color w:val="auto"/>
          <w:sz w:val="32"/>
          <w:szCs w:val="32"/>
          <w:highlight w:val="none"/>
        </w:rPr>
        <w:t>方承担）。</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（2）服务质量标准：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1）专业维</w:t>
      </w:r>
      <w:r>
        <w:rPr>
          <w:rFonts w:hint="eastAsia" w:ascii="仿宋_GB2312" w:hAnsi="仿宋_GB2312" w:eastAsia="仿宋_GB2312" w:cs="仿宋_GB2312"/>
          <w:color w:val="auto"/>
          <w:sz w:val="32"/>
          <w:szCs w:val="32"/>
          <w:highlight w:val="none"/>
          <w:lang w:val="en-US" w:eastAsia="zh-CN"/>
        </w:rPr>
        <w:t>保</w:t>
      </w:r>
      <w:r>
        <w:rPr>
          <w:rFonts w:hint="eastAsia" w:ascii="仿宋_GB2312" w:hAnsi="仿宋_GB2312" w:eastAsia="仿宋_GB2312" w:cs="仿宋_GB2312"/>
          <w:color w:val="auto"/>
          <w:sz w:val="32"/>
          <w:szCs w:val="32"/>
          <w:highlight w:val="none"/>
        </w:rPr>
        <w:t>公司每两周进行一次电梯保养、检查、维护、调整、加油、润滑， 使设备保持安全、正常状态，每年进行一次电梯“年度安全检查”,确保设备得到必要的检查、测试、调整和校验。</w:t>
      </w:r>
      <w:r>
        <w:rPr>
          <w:rFonts w:hint="eastAsia" w:ascii="仿宋_GB2312" w:hAnsi="仿宋_GB2312" w:eastAsia="仿宋_GB2312" w:cs="仿宋_GB2312"/>
          <w:color w:val="auto"/>
          <w:sz w:val="32"/>
          <w:szCs w:val="32"/>
          <w:highlight w:val="none"/>
          <w:lang w:eastAsia="zh-CN"/>
        </w:rPr>
        <w:t>专业维保公司24小时提供紧急故障处理和意外事件的技术性服务,接报修通知后2小时内</w:t>
      </w:r>
      <w:r>
        <w:rPr>
          <w:rFonts w:hint="eastAsia" w:ascii="仿宋_GB2312" w:hAnsi="仿宋_GB2312" w:eastAsia="仿宋_GB2312" w:cs="仿宋_GB2312"/>
          <w:color w:val="auto"/>
          <w:sz w:val="32"/>
          <w:szCs w:val="32"/>
          <w:highlight w:val="none"/>
          <w:lang w:val="en-US" w:eastAsia="zh-CN"/>
        </w:rPr>
        <w:t>中标方</w:t>
      </w:r>
      <w:r>
        <w:rPr>
          <w:rFonts w:hint="eastAsia" w:ascii="仿宋_GB2312" w:hAnsi="仿宋_GB2312" w:eastAsia="仿宋_GB2312" w:cs="仿宋_GB2312"/>
          <w:color w:val="auto"/>
          <w:sz w:val="32"/>
          <w:szCs w:val="32"/>
          <w:highlight w:val="none"/>
          <w:lang w:eastAsia="zh-CN"/>
        </w:rPr>
        <w:t>派出人员到现场进行处理和提供协助。</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2）建立运行安全管理制度，引导乘客安全用梯，确保电梯按规定时间运行；对专业人员电梯保养工作进行监督，并对电梯运行进行管理。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3）电梯发生一般故障时，应立即通知专业维保单位。发生电梯困人或其他重大事件时，应立即通知专业维保单位并在第一时间赶到现场，协助专业维保单位做好现场的应急处理工作。</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8、绿化服务</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内容：绿化带（含“门前三包”区域）的树木、花、草等的日常养护和管理。有需要时，应做好室内绿化摆放和会议摆花等工作。室内绿化管理项目和灭“四害”消杀服务，应委托有相应资质的专业单位专项服务，相关费用由中标方负责。</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服务质量标准：根据甲方的要求进行调整；建立定期除草、修剪制度，确保绿化无杂草、造型规整；及时喷洒农药、浇水施肥，确保绿化养护存活率。</w:t>
      </w:r>
      <w:r>
        <w:rPr>
          <w:rFonts w:hint="eastAsia" w:ascii="仿宋_GB2312" w:hAnsi="仿宋_GB2312" w:eastAsia="仿宋_GB2312" w:cs="仿宋_GB2312"/>
          <w:color w:val="auto"/>
          <w:kern w:val="0"/>
          <w:sz w:val="32"/>
          <w:szCs w:val="32"/>
          <w:highlight w:val="none"/>
        </w:rPr>
        <w:t>定期由专业公司对院区进行除“四害”工作，保障环境卫生达标；定期由专业公司对院区内植物进行病虫害防治工作，避免发生大面积乔木、灌木、草坪病虫害事故；</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（3）提供室内植物的日常租摆、日常养护和管理，费用由中标单位承担；</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租赁数量：大盆植物（株高150cm-170cm，榕雪树、也门铁、巴西美人、幸福树、发财树、巴西木等）：约80盆；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中盆植物（株高100cm-150cm，绿萝、富贵竹笼、君子兰、金钱树、平安树、杏叶藤等）：约80盆；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小盆植物（株高30cm-100cm，凤梨、小天使、散尾葵、绿宝石、黄金荀、红掌等）：约100盆。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每年大厅4次节假日布置。</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9、调解联络员服务</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服务内容：</w:t>
      </w:r>
      <w:r>
        <w:rPr>
          <w:rFonts w:hint="eastAsia" w:ascii="仿宋_GB2312" w:hAnsi="仿宋_GB2312" w:eastAsia="仿宋_GB2312" w:cs="仿宋_GB2312"/>
          <w:color w:val="auto"/>
          <w:sz w:val="32"/>
          <w:szCs w:val="32"/>
          <w:highlight w:val="none"/>
          <w:lang w:eastAsia="zh-CN"/>
        </w:rPr>
        <w:t>每日</w:t>
      </w:r>
      <w:r>
        <w:rPr>
          <w:rFonts w:hint="eastAsia" w:ascii="仿宋_GB2312" w:hAnsi="仿宋_GB2312" w:eastAsia="仿宋_GB2312" w:cs="仿宋_GB2312"/>
          <w:color w:val="auto"/>
          <w:sz w:val="32"/>
          <w:szCs w:val="32"/>
          <w:highlight w:val="none"/>
          <w:lang w:val="en-US" w:eastAsia="zh-CN"/>
        </w:rPr>
        <w:t>17:00-次日9:00，双休日及国定节假日24小时接听值班电话，对应急联动系统进行值班，按程序响应处理并做好警情记录。</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（2）服务质量标准：</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lang w:val="en-US" w:eastAsia="zh-CN"/>
        </w:rPr>
        <w:t>调解纠纷</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及时接听来电或对社会应急联动系统转派的信息进行跟进，按照操作流程对纠纷内容进行调查，撰写并妥善管理相关的文书档案。了解双方的诉求和意见，通过调解的方式，协助双方达成一致意见，解决纠纷。坚持回访并督促当事人执行相关的调解内容，以免纠纷再次发生。当纠纷激化时需及时向有关部门反映。重大纠纷发生时启用应急预案。</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2）维护公正</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调解员需要保持中立，不偏不倚地处理纠纷。在调解过程中，调解联络员需要公正地对待双方，不偏袒任何一方，维护公正和公平的原则。调解联络员需要根据法律和事实，客观地评估双方的诉求和证据，做出公正的调解决定。</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3）保护当事人权益</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在调解过程中，调解员需要尊重当事人的意愿和利益，保护当事人的合法权益。调解员需要在调解过程中，积极协助当事人维护自己的权益，避免因为不了解法律而受到不公正的待遇。</w:t>
      </w:r>
    </w:p>
    <w:p>
      <w:pPr>
        <w:keepNext w:val="0"/>
        <w:keepLines w:val="0"/>
        <w:pageBreakBefore w:val="0"/>
        <w:widowControl w:val="0"/>
        <w:kinsoku/>
        <w:wordWrap/>
        <w:overflowPunct/>
        <w:topLinePunct w:val="0"/>
        <w:bidi w:val="0"/>
        <w:adjustRightIn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10</w:t>
      </w:r>
      <w:r>
        <w:rPr>
          <w:rFonts w:hint="eastAsia" w:ascii="仿宋_GB2312" w:hAnsi="仿宋_GB2312" w:eastAsia="仿宋_GB2312" w:cs="仿宋_GB2312"/>
          <w:b/>
          <w:bCs/>
          <w:color w:val="auto"/>
          <w:kern w:val="0"/>
          <w:sz w:val="32"/>
          <w:szCs w:val="32"/>
          <w:highlight w:val="none"/>
        </w:rPr>
        <w:t>、其他要求</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（1）设施设备运行及维护</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大楼设施设备做到安全运行和节能操作，发现故障立即通知及时排除；水、电、卫浴设备、门锁维修不过夜；遇电路故障没电，水管爆裂、水龙头漏水、门锁开不了、门窗毁坏及墙面破损，要随叫随修；排水管、排污管要保持畅通，如有堵塞应立即疏通，厕所堵塞应当天疏通（需换厕盆的除外）。公共照明、水电设施每天检查一遍。大厅灯具每季清洗、检修更换1次。楼宇内门窗、卫浴设施、内墙面、所有照明设施的检查每季度1次。</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2）日常维修接到报修信息后，必须15分钟内赶到现场进行处理。</w:t>
      </w:r>
      <w:r>
        <w:rPr>
          <w:rFonts w:hint="eastAsia" w:ascii="仿宋_GB2312" w:hAnsi="仿宋_GB2312" w:eastAsia="仿宋_GB2312" w:cs="仿宋_GB2312"/>
          <w:color w:val="auto"/>
          <w:sz w:val="32"/>
          <w:szCs w:val="32"/>
          <w:highlight w:val="none"/>
          <w:lang w:eastAsia="zh-CN"/>
        </w:rPr>
        <w:t>如遇特殊情况、不能立即</w:t>
      </w:r>
      <w:r>
        <w:rPr>
          <w:rFonts w:hint="eastAsia" w:ascii="仿宋_GB2312" w:hAnsi="仿宋_GB2312" w:eastAsia="仿宋_GB2312" w:cs="仿宋_GB2312"/>
          <w:color w:val="auto"/>
          <w:sz w:val="32"/>
          <w:szCs w:val="32"/>
          <w:highlight w:val="none"/>
        </w:rPr>
        <w:t>修复</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立即报告相关部门的有关人员及领导。</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3）配合专业单位进行保养及维修工作。</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4）室外公共设施按实际情况修缮，包括修理、除锈、刷漆、加固、更换等。特殊情况按需处理。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（2）综合维修及巡查</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1）工程综合维修人员日常工作除特定工作外，实行定期巡查维修制；</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2）巡查内容包括配电设施、照明及供用电设施、空调设施、给排水设施、房屋及装修设施、室外构筑设施、办公与其他公用设施；</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3）每天对所有区域和房间巡查到一次，并随时记录和处理；</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4）保安每天下午18：00巡查时负责关闭各楼层电热水器并做好记录。</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（3）环境卫生</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2）内外墙无乱贴、涂、划之物。做好符合辖区要求的门前工作。</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）工作时间</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洁、工程综合维修人员每天上班时间为业主上班前一小时，下班时间为业主下班后半小时；节假日期的工作人员的配置不得少于日常配置人数的1/2，遇重大活动应增加人员，遇自然灾害、恶劣天气等特殊时期，24小时到场服务，增援力量配备充足。</w:t>
      </w:r>
    </w:p>
    <w:p>
      <w:pPr>
        <w:keepNext w:val="0"/>
        <w:keepLines w:val="0"/>
        <w:pageBreakBefore w:val="0"/>
        <w:widowControl w:val="0"/>
        <w:tabs>
          <w:tab w:val="left" w:pos="315"/>
        </w:tabs>
        <w:kinsoku/>
        <w:wordWrap/>
        <w:overflowPunct/>
        <w:topLinePunct w:val="0"/>
        <w:bidi w:val="0"/>
        <w:adjustRightInd w:val="0"/>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（四）物业管理中使用的相关设备的说明</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工作所需的各种设备设施、工具等用品由中标人提供。</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四、采购人对服务管理质量总体要求</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（1）投标人应制订具体的质量保证措施及质量保证及相关服务的承诺。如因服务质量未达到目标，供应商应因此承担责任和经济赔偿。在维保范围项目，供应商无任何理由拒绝保养维修。</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标方须在合同签订前须提供管理总负责人、综合维修人员、保安等重要岗位人员的相关有效证件和信息，如果中标方不能提供，则采购单位有权终止合同签订。其他人员聘用须将人员信息向采购单位备案。</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（3）按要求和事项发生量及时配备足够和胜任的相关管理和服务人员，并保持人员的稳定。遇调动或辞职时，管理总负责人提前一个月、</w:t>
      </w:r>
      <w:r>
        <w:rPr>
          <w:rFonts w:hint="eastAsia" w:ascii="仿宋_GB2312" w:hAnsi="仿宋_GB2312" w:eastAsia="仿宋_GB2312" w:cs="仿宋_GB2312"/>
          <w:color w:val="auto"/>
          <w:sz w:val="32"/>
          <w:szCs w:val="32"/>
          <w:highlight w:val="none"/>
          <w:lang w:eastAsia="zh-CN"/>
        </w:rPr>
        <w:t>调解联络员、</w:t>
      </w:r>
      <w:r>
        <w:rPr>
          <w:rFonts w:hint="eastAsia" w:ascii="仿宋_GB2312" w:hAnsi="仿宋_GB2312" w:eastAsia="仿宋_GB2312" w:cs="仿宋_GB2312"/>
          <w:color w:val="auto"/>
          <w:sz w:val="32"/>
          <w:szCs w:val="32"/>
          <w:highlight w:val="none"/>
        </w:rPr>
        <w:t>工程综合维修人员提前20天、保安提前10天、保洁提前7天告知业主并得到同意后才能更换，按要求及时补充相应人员，提前做好交接班。对业主认为无能力、工作失职或不合适人员，应立即更换。</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（4）按国家和当地政府有关劳动法规、条例，向管理服务人员提供相应工种的劳动工资、加班工资、劳动保护等待遇。为保证服务人员的技能素质、队伍的相对稳定，应保障关键技术岗位的工资待遇。</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（5）管理服务人员上岗时须统一着装，服装样式体现岗位特色和方便不同岗位操作，并经采购单位认可。</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（6）为提高物业管理服务水平，所有管理服务人员在服务期间按岗位要求进行定期短期培训。需要时，应接受物业管理委员会对服务人员的集中培训。</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）中标方应承诺在合同期内，为承包区域内提供物业安保、保洁、会议服务、水电与设备维护及其他相关服务，并承担由此带来的一切风险。</w:t>
      </w:r>
    </w:p>
    <w:p>
      <w:pPr>
        <w:keepNext w:val="0"/>
        <w:keepLines w:val="0"/>
        <w:pageBreakBefore w:val="0"/>
        <w:widowControl w:val="0"/>
        <w:tabs>
          <w:tab w:val="left" w:pos="360"/>
          <w:tab w:val="left" w:pos="1440"/>
        </w:tabs>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投标人应制订具体的质量保证措施及质量保证和相关服务承诺。中标方所有的工作除应按中标方的内部流程实施外还应接受采购单位或第三方的检查。中标方达不到采购单位要求及各项服务承诺，采购单位有权要求其整改，直至扣款或终止合同。</w:t>
      </w:r>
    </w:p>
    <w:p>
      <w:pPr>
        <w:keepNext w:val="0"/>
        <w:keepLines w:val="0"/>
        <w:pageBreakBefore w:val="0"/>
        <w:widowControl w:val="0"/>
        <w:tabs>
          <w:tab w:val="left" w:pos="360"/>
          <w:tab w:val="left" w:pos="1440"/>
        </w:tabs>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）采购单位工作人员及其他物业使用人对中标单位的满意率达到95％，采购单位可随时要求中标方在采购单位的监督下进行满意率调查。</w:t>
      </w:r>
    </w:p>
    <w:p>
      <w:pPr>
        <w:keepNext w:val="0"/>
        <w:keepLines w:val="0"/>
        <w:pageBreakBefore w:val="0"/>
        <w:widowControl w:val="0"/>
        <w:tabs>
          <w:tab w:val="left" w:pos="360"/>
          <w:tab w:val="left" w:pos="1440"/>
        </w:tabs>
        <w:kinsoku/>
        <w:wordWrap/>
        <w:overflowPunct/>
        <w:topLinePunct w:val="0"/>
        <w:bidi w:val="0"/>
        <w:spacing w:line="560" w:lineRule="exact"/>
        <w:ind w:left="0" w:leftChars="0" w:firstLine="640" w:firstLineChars="200"/>
        <w:jc w:val="both"/>
        <w:textAlignment w:val="auto"/>
        <w:rPr>
          <w:rFonts w:hint="eastAsia"/>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）如今后物业服务范围增加，采购单位将</w:t>
      </w:r>
      <w:r>
        <w:rPr>
          <w:rFonts w:hint="eastAsia" w:ascii="仿宋_GB2312" w:hAnsi="仿宋_GB2312" w:eastAsia="仿宋_GB2312" w:cs="仿宋_GB2312"/>
          <w:color w:val="000000"/>
          <w:sz w:val="32"/>
          <w:szCs w:val="32"/>
          <w:highlight w:val="none"/>
          <w:lang w:eastAsia="zh-CN"/>
        </w:rPr>
        <w:t>按照政府采购</w:t>
      </w:r>
      <w:r>
        <w:rPr>
          <w:rFonts w:hint="eastAsia" w:ascii="仿宋_GB2312" w:hAnsi="仿宋_GB2312" w:eastAsia="仿宋_GB2312" w:cs="仿宋_GB2312"/>
          <w:color w:val="000000"/>
          <w:sz w:val="32"/>
          <w:szCs w:val="32"/>
          <w:highlight w:val="none"/>
        </w:rPr>
        <w:t>有关规定另行签订补充协议。</w:t>
      </w:r>
    </w:p>
    <w:p>
      <w:pPr>
        <w:pStyle w:val="256"/>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auto"/>
          <w:sz w:val="32"/>
          <w:szCs w:val="32"/>
          <w:highlight w:val="none"/>
        </w:rPr>
        <w:t>中标方须按</w:t>
      </w:r>
      <w:bookmarkStart w:id="45" w:name="OLE_LINK3"/>
      <w:r>
        <w:rPr>
          <w:rFonts w:hint="eastAsia" w:ascii="仿宋_GB2312" w:hAnsi="仿宋_GB2312" w:eastAsia="仿宋_GB2312" w:cs="仿宋_GB2312"/>
          <w:color w:val="auto"/>
          <w:sz w:val="32"/>
          <w:szCs w:val="32"/>
          <w:highlight w:val="none"/>
        </w:rPr>
        <w:t>《杭州市物业管理条例》</w:t>
      </w:r>
      <w:bookmarkEnd w:id="45"/>
      <w:r>
        <w:rPr>
          <w:rFonts w:hint="eastAsia" w:ascii="仿宋_GB2312" w:hAnsi="仿宋_GB2312" w:eastAsia="仿宋_GB2312" w:cs="仿宋_GB2312"/>
          <w:color w:val="auto"/>
          <w:sz w:val="32"/>
          <w:szCs w:val="32"/>
          <w:highlight w:val="none"/>
        </w:rPr>
        <w:t>及其他国家有关标准和规范完成采购文件要求的物业管理工作。</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五、管理服务应达到的各项指标</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1、杜绝火灾责任事故和刑事案件；</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2、环境卫生、清洁率达99%；</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3、维修、报修及时率100%，返修率小于1%；</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4、服务有效投诉少于1%，处理率100%；</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5、满意率95%以上。</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六、管理服务费用及财务管理要求</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1、物业管理服务费用及结算方式以签订的合同为准，其中，分项目费用包括环境卫生管理；门卫、保安、秩序管理</w:t>
      </w:r>
      <w:r>
        <w:rPr>
          <w:rFonts w:hint="eastAsia" w:ascii="仿宋_GB2312" w:hAnsi="仿宋_GB2312" w:eastAsia="仿宋_GB2312" w:cs="仿宋_GB2312"/>
          <w:color w:val="auto"/>
          <w:sz w:val="32"/>
          <w:szCs w:val="32"/>
          <w:highlight w:val="none"/>
          <w:lang w:val="en-US" w:eastAsia="zh-CN"/>
        </w:rPr>
        <w:t>,联动辅助服务</w:t>
      </w:r>
      <w:r>
        <w:rPr>
          <w:rFonts w:hint="eastAsia" w:ascii="仿宋_GB2312" w:hAnsi="仿宋_GB2312" w:eastAsia="仿宋_GB2312" w:cs="仿宋_GB2312"/>
          <w:color w:val="auto"/>
          <w:sz w:val="32"/>
          <w:szCs w:val="32"/>
          <w:highlight w:val="none"/>
        </w:rPr>
        <w:t>；绿化管理；供电设备管理维护；给排水设备运行维护；房屋家具设施日常养护维修；电梯管理维护；工程综合维修等分别预算支出，使用时在总合同价内统筹安排。</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2、中标方需承担相关所需物业保洁和维护设备、工具及所有保洁消耗品。</w:t>
      </w:r>
    </w:p>
    <w:p>
      <w:pPr>
        <w:keepNext w:val="0"/>
        <w:keepLines w:val="0"/>
        <w:pageBreakBefore w:val="0"/>
        <w:widowControl w:val="0"/>
        <w:tabs>
          <w:tab w:val="left" w:pos="840"/>
        </w:tabs>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3、物业管理服务人员缺岗的，按其岗位平均每月人员开支的标准扣除服务费。扣除的费用业主可用于其他顶岗人员的加班或奖励费用。</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七、服务期限：</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highlight w:val="magenta"/>
        </w:rPr>
      </w:pPr>
      <w:r>
        <w:rPr>
          <w:rFonts w:hint="eastAsia" w:ascii="仿宋_GB2312" w:hAnsi="仿宋_GB2312" w:eastAsia="仿宋_GB2312" w:cs="仿宋_GB2312"/>
          <w:color w:val="auto"/>
          <w:sz w:val="32"/>
          <w:szCs w:val="32"/>
          <w:highlight w:val="none"/>
        </w:rPr>
        <w:t>自合同签订生效之日起一年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12个月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八、相关场地提供</w:t>
      </w:r>
    </w:p>
    <w:p>
      <w:pPr>
        <w:keepNext w:val="0"/>
        <w:keepLines w:val="0"/>
        <w:pageBreakBefore w:val="0"/>
        <w:widowControl w:val="0"/>
        <w:kinsoku/>
        <w:wordWrap/>
        <w:overflowPunct/>
        <w:topLinePunct w:val="0"/>
        <w:bidi w:val="0"/>
        <w:adjustRightIn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采购单位免费提供物业管理的办公场地，但办公用品（指办公桌、电脑、打印机、对讲机、文件柜等自身使用的等办公用品）由中标方自行解决。物业管理部门发生的电话费用自理。</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九、检查与考核</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标方应制订具体的质量保证措施及质量保证和相关服务承诺。中标方所有的工作除应按中标方的内部流程实施外，还应接受采购单位或第三方的随时检查。如因质量未达到目标，采购单位有权要求其整改，同时中标方应承担责任和经济赔偿（扣款或终止合同）。</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outlineLvl w:val="0"/>
        <w:rPr>
          <w:rFonts w:hint="eastAsia" w:ascii="仿宋_GB2312" w:hAnsi="仿宋_GB2312" w:eastAsia="仿宋_GB2312" w:cs="仿宋_GB2312"/>
          <w:b/>
          <w:bCs/>
          <w:snapToGrid w:val="0"/>
          <w:color w:val="auto"/>
          <w:kern w:val="0"/>
          <w:sz w:val="32"/>
          <w:szCs w:val="32"/>
          <w:highlight w:val="none"/>
        </w:rPr>
      </w:pPr>
      <w:r>
        <w:rPr>
          <w:rFonts w:hint="eastAsia" w:ascii="仿宋_GB2312" w:hAnsi="仿宋_GB2312" w:eastAsia="仿宋_GB2312" w:cs="仿宋_GB2312"/>
          <w:color w:val="auto"/>
          <w:sz w:val="32"/>
          <w:szCs w:val="32"/>
          <w:highlight w:val="none"/>
        </w:rPr>
        <w:t>2、采购单位定期和不定期地对供应商管理服务进行检查和抽查，检查记录和整改时限反馈中标方。</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（十）其他说明</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1、遇突发事件或安全检查时，中标方必须配合有关部门执行任务，并指定专职人员协助工作，直至完成。</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2、中标方不以任何形式转租、转让、抵押承包区域，在承包区域只从事采购单位认可的服务工作。</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3、本项目招标范围内如有工作人员减少，采购方有权要求按中标单价核减相应费用。</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4、中标方达不到采购方要求及中标方各项服务承诺，如：发生财产盗窃及火灾等事件，采购方有权要求其整改，按考核办法进行扣款，或情节严重进行经济赔偿直至终止合同。</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、中标方的员工在为采购方提供服务的过程中发生的一切风险，由中标方承担。</w:t>
      </w: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6" w:name="_Toc184310338"/>
      <w:bookmarkEnd w:id="46"/>
      <w:bookmarkStart w:id="47" w:name="_Toc184312131"/>
      <w:bookmarkEnd w:id="47"/>
      <w:bookmarkStart w:id="48" w:name="_Toc184308105"/>
      <w:bookmarkEnd w:id="48"/>
      <w:bookmarkStart w:id="49" w:name="_Toc184308102"/>
      <w:bookmarkEnd w:id="49"/>
      <w:bookmarkStart w:id="50" w:name="_Toc184310315"/>
      <w:bookmarkEnd w:id="50"/>
      <w:bookmarkStart w:id="51" w:name="_Toc184312068"/>
      <w:bookmarkEnd w:id="51"/>
      <w:bookmarkStart w:id="52" w:name="_Toc184314478"/>
      <w:bookmarkEnd w:id="52"/>
      <w:bookmarkStart w:id="53" w:name="_Toc184310272"/>
      <w:bookmarkEnd w:id="53"/>
      <w:bookmarkStart w:id="54" w:name="_Toc184313252"/>
      <w:bookmarkEnd w:id="54"/>
      <w:bookmarkStart w:id="55" w:name="_Toc184313275"/>
      <w:bookmarkEnd w:id="55"/>
      <w:bookmarkStart w:id="56" w:name="_Toc184312119"/>
      <w:bookmarkEnd w:id="56"/>
      <w:bookmarkStart w:id="57" w:name="_Toc184312110"/>
      <w:bookmarkEnd w:id="57"/>
      <w:bookmarkStart w:id="58" w:name="_Toc184310287"/>
      <w:bookmarkEnd w:id="58"/>
      <w:bookmarkStart w:id="59" w:name="_Toc184310286"/>
      <w:bookmarkEnd w:id="59"/>
      <w:bookmarkStart w:id="60" w:name="_Toc184313294"/>
      <w:bookmarkEnd w:id="60"/>
      <w:bookmarkStart w:id="61" w:name="_Toc184308096"/>
      <w:bookmarkEnd w:id="61"/>
      <w:bookmarkStart w:id="62" w:name="_Toc184308038"/>
      <w:bookmarkEnd w:id="62"/>
      <w:bookmarkStart w:id="63" w:name="_Toc184313280"/>
      <w:bookmarkEnd w:id="63"/>
      <w:bookmarkStart w:id="64" w:name="_Toc184313301"/>
      <w:bookmarkEnd w:id="64"/>
      <w:bookmarkStart w:id="65" w:name="_Toc184308104"/>
      <w:bookmarkEnd w:id="65"/>
      <w:bookmarkStart w:id="66" w:name="_Toc184313297"/>
      <w:bookmarkEnd w:id="66"/>
      <w:bookmarkStart w:id="67" w:name="_Toc184313295"/>
      <w:bookmarkEnd w:id="67"/>
      <w:bookmarkStart w:id="68" w:name="_Toc184313247"/>
      <w:bookmarkEnd w:id="68"/>
      <w:bookmarkStart w:id="69" w:name="_Toc184308093"/>
      <w:bookmarkEnd w:id="69"/>
      <w:bookmarkStart w:id="70" w:name="_Toc184308053"/>
      <w:bookmarkEnd w:id="70"/>
      <w:bookmarkStart w:id="71" w:name="_Toc184314479"/>
      <w:bookmarkEnd w:id="71"/>
      <w:bookmarkStart w:id="72" w:name="_Toc184312105"/>
      <w:bookmarkEnd w:id="72"/>
      <w:bookmarkStart w:id="73" w:name="_Toc184312138"/>
      <w:bookmarkEnd w:id="73"/>
      <w:bookmarkStart w:id="74" w:name="_Toc184313310"/>
      <w:bookmarkEnd w:id="74"/>
      <w:bookmarkStart w:id="75" w:name="_Toc184312133"/>
      <w:bookmarkEnd w:id="75"/>
      <w:bookmarkStart w:id="76" w:name="_Toc184313288"/>
      <w:bookmarkEnd w:id="76"/>
      <w:bookmarkStart w:id="77" w:name="_Toc184310290"/>
      <w:bookmarkEnd w:id="77"/>
      <w:bookmarkStart w:id="78" w:name="_Toc184312114"/>
      <w:bookmarkEnd w:id="78"/>
      <w:bookmarkStart w:id="79" w:name="_Toc184308092"/>
      <w:bookmarkEnd w:id="79"/>
      <w:bookmarkStart w:id="80" w:name="_Toc184308068"/>
      <w:bookmarkEnd w:id="80"/>
      <w:bookmarkStart w:id="81" w:name="_Toc184308103"/>
      <w:bookmarkEnd w:id="81"/>
      <w:bookmarkStart w:id="82" w:name="_Toc184310284"/>
      <w:bookmarkEnd w:id="82"/>
      <w:bookmarkStart w:id="83" w:name="_Toc184313246"/>
      <w:bookmarkEnd w:id="83"/>
      <w:bookmarkStart w:id="84" w:name="_Toc184308050"/>
      <w:bookmarkEnd w:id="84"/>
      <w:bookmarkStart w:id="85" w:name="_Toc184313271"/>
      <w:bookmarkEnd w:id="85"/>
      <w:bookmarkStart w:id="86" w:name="_Toc184310327"/>
      <w:bookmarkEnd w:id="86"/>
      <w:bookmarkStart w:id="87" w:name="_Toc184312089"/>
      <w:bookmarkEnd w:id="87"/>
      <w:bookmarkStart w:id="88" w:name="_Toc184310275"/>
      <w:bookmarkEnd w:id="88"/>
      <w:bookmarkStart w:id="89" w:name="_Toc184310295"/>
      <w:bookmarkEnd w:id="89"/>
      <w:bookmarkStart w:id="90" w:name="_Toc184308094"/>
      <w:bookmarkEnd w:id="90"/>
      <w:bookmarkStart w:id="91" w:name="_Toc184310334"/>
      <w:bookmarkEnd w:id="91"/>
      <w:bookmarkStart w:id="92" w:name="_Toc184308062"/>
      <w:bookmarkEnd w:id="92"/>
      <w:bookmarkStart w:id="93" w:name="_Toc184310276"/>
      <w:bookmarkEnd w:id="93"/>
      <w:bookmarkStart w:id="94" w:name="_Toc184313292"/>
      <w:bookmarkEnd w:id="94"/>
      <w:bookmarkStart w:id="95" w:name="_Toc184310303"/>
      <w:bookmarkEnd w:id="95"/>
      <w:bookmarkStart w:id="96" w:name="_Toc184314454"/>
      <w:bookmarkEnd w:id="96"/>
      <w:bookmarkStart w:id="97" w:name="_Toc184308085"/>
      <w:bookmarkEnd w:id="97"/>
      <w:bookmarkStart w:id="98" w:name="_Toc184312125"/>
      <w:bookmarkEnd w:id="98"/>
      <w:bookmarkStart w:id="99" w:name="_Toc184310307"/>
      <w:bookmarkEnd w:id="99"/>
      <w:bookmarkStart w:id="100" w:name="_Toc184314459"/>
      <w:bookmarkEnd w:id="100"/>
      <w:bookmarkStart w:id="101" w:name="_Toc184312115"/>
      <w:bookmarkEnd w:id="101"/>
      <w:bookmarkStart w:id="102" w:name="_Toc184308069"/>
      <w:bookmarkEnd w:id="102"/>
      <w:bookmarkStart w:id="103" w:name="_Toc184308089"/>
      <w:bookmarkEnd w:id="103"/>
      <w:bookmarkStart w:id="104" w:name="_Toc184308042"/>
      <w:bookmarkEnd w:id="104"/>
      <w:bookmarkStart w:id="105" w:name="_Toc184310297"/>
      <w:bookmarkEnd w:id="105"/>
      <w:bookmarkStart w:id="106" w:name="_Toc184313255"/>
      <w:bookmarkEnd w:id="106"/>
      <w:bookmarkStart w:id="107" w:name="_Toc184314422"/>
      <w:bookmarkEnd w:id="107"/>
      <w:bookmarkStart w:id="108" w:name="_Toc184314452"/>
      <w:bookmarkEnd w:id="108"/>
      <w:bookmarkStart w:id="109" w:name="_Toc184312136"/>
      <w:bookmarkEnd w:id="109"/>
      <w:bookmarkStart w:id="110" w:name="_Toc184314427"/>
      <w:bookmarkEnd w:id="110"/>
      <w:bookmarkStart w:id="111" w:name="_Toc184308076"/>
      <w:bookmarkEnd w:id="111"/>
      <w:bookmarkStart w:id="112" w:name="_Toc184313269"/>
      <w:bookmarkEnd w:id="112"/>
      <w:bookmarkStart w:id="113" w:name="_Toc184314440"/>
      <w:bookmarkEnd w:id="113"/>
      <w:bookmarkStart w:id="114" w:name="_Toc184310282"/>
      <w:bookmarkEnd w:id="114"/>
      <w:bookmarkStart w:id="115" w:name="_Toc184310305"/>
      <w:bookmarkEnd w:id="115"/>
      <w:bookmarkStart w:id="116" w:name="_Toc184314416"/>
      <w:bookmarkEnd w:id="116"/>
      <w:bookmarkStart w:id="117" w:name="_Toc184313306"/>
      <w:bookmarkEnd w:id="117"/>
      <w:bookmarkStart w:id="118" w:name="_Toc184308047"/>
      <w:bookmarkEnd w:id="118"/>
      <w:bookmarkStart w:id="119" w:name="_Toc184312100"/>
      <w:bookmarkEnd w:id="119"/>
      <w:bookmarkStart w:id="120" w:name="_Toc184313251"/>
      <w:bookmarkEnd w:id="120"/>
      <w:bookmarkStart w:id="121" w:name="_Toc184310279"/>
      <w:bookmarkEnd w:id="121"/>
      <w:bookmarkStart w:id="122" w:name="_Toc184313264"/>
      <w:bookmarkEnd w:id="122"/>
      <w:bookmarkStart w:id="123" w:name="_Toc184313239"/>
      <w:bookmarkEnd w:id="123"/>
      <w:bookmarkStart w:id="124" w:name="_Toc184310317"/>
      <w:bookmarkEnd w:id="124"/>
      <w:bookmarkStart w:id="125" w:name="_Toc184314415"/>
      <w:bookmarkEnd w:id="125"/>
      <w:bookmarkStart w:id="126" w:name="_Toc184312086"/>
      <w:bookmarkEnd w:id="126"/>
      <w:bookmarkStart w:id="127" w:name="_Toc184308067"/>
      <w:bookmarkEnd w:id="127"/>
      <w:bookmarkStart w:id="128" w:name="_Toc184314468"/>
      <w:bookmarkEnd w:id="128"/>
      <w:bookmarkStart w:id="129" w:name="_Toc184314447"/>
      <w:bookmarkEnd w:id="129"/>
      <w:bookmarkStart w:id="130" w:name="_Toc184314433"/>
      <w:bookmarkEnd w:id="130"/>
      <w:bookmarkStart w:id="131" w:name="_Toc184314453"/>
      <w:bookmarkEnd w:id="131"/>
      <w:bookmarkStart w:id="132" w:name="_Toc184314439"/>
      <w:bookmarkEnd w:id="132"/>
      <w:bookmarkStart w:id="133" w:name="_Toc184313302"/>
      <w:bookmarkEnd w:id="133"/>
      <w:bookmarkStart w:id="134" w:name="_Toc184314448"/>
      <w:bookmarkEnd w:id="134"/>
      <w:bookmarkStart w:id="135" w:name="_Toc184314426"/>
      <w:bookmarkEnd w:id="135"/>
      <w:bookmarkStart w:id="136" w:name="_Toc184310302"/>
      <w:bookmarkEnd w:id="136"/>
      <w:bookmarkStart w:id="137" w:name="_Toc184312081"/>
      <w:bookmarkEnd w:id="137"/>
      <w:bookmarkStart w:id="138" w:name="_Toc184312104"/>
      <w:bookmarkEnd w:id="138"/>
      <w:bookmarkStart w:id="139" w:name="_Toc184314428"/>
      <w:bookmarkEnd w:id="139"/>
      <w:bookmarkStart w:id="140" w:name="_Toc184313245"/>
      <w:bookmarkEnd w:id="140"/>
      <w:bookmarkStart w:id="141" w:name="_Toc184314443"/>
      <w:bookmarkEnd w:id="141"/>
      <w:bookmarkStart w:id="142" w:name="_Toc184310332"/>
      <w:bookmarkEnd w:id="142"/>
      <w:bookmarkStart w:id="143" w:name="_Toc184308044"/>
      <w:bookmarkEnd w:id="143"/>
      <w:bookmarkStart w:id="144" w:name="_Toc184313243"/>
      <w:bookmarkEnd w:id="144"/>
      <w:bookmarkStart w:id="145" w:name="_Toc184310342"/>
      <w:bookmarkEnd w:id="145"/>
      <w:bookmarkStart w:id="146" w:name="_Toc184308090"/>
      <w:bookmarkEnd w:id="146"/>
      <w:bookmarkStart w:id="147" w:name="_Toc184308043"/>
      <w:bookmarkEnd w:id="147"/>
      <w:bookmarkStart w:id="148" w:name="_Toc184313274"/>
      <w:bookmarkEnd w:id="148"/>
      <w:bookmarkStart w:id="149" w:name="_Toc184310294"/>
      <w:bookmarkEnd w:id="149"/>
      <w:bookmarkStart w:id="150" w:name="_Toc184308079"/>
      <w:bookmarkEnd w:id="150"/>
      <w:bookmarkStart w:id="151" w:name="_Toc184312130"/>
      <w:bookmarkEnd w:id="151"/>
      <w:bookmarkStart w:id="152" w:name="_Toc184308065"/>
      <w:bookmarkEnd w:id="152"/>
      <w:bookmarkStart w:id="153" w:name="_Toc184310277"/>
      <w:bookmarkEnd w:id="153"/>
      <w:bookmarkStart w:id="154" w:name="_Toc184310292"/>
      <w:bookmarkEnd w:id="154"/>
      <w:bookmarkStart w:id="155" w:name="_Toc184314434"/>
      <w:bookmarkEnd w:id="155"/>
      <w:bookmarkStart w:id="156" w:name="_Toc184314412"/>
      <w:bookmarkEnd w:id="156"/>
      <w:bookmarkStart w:id="157" w:name="_Toc184310331"/>
      <w:bookmarkEnd w:id="157"/>
      <w:bookmarkStart w:id="158" w:name="_Toc184312134"/>
      <w:bookmarkEnd w:id="158"/>
      <w:bookmarkStart w:id="159" w:name="_Toc184313296"/>
      <w:bookmarkEnd w:id="159"/>
      <w:bookmarkStart w:id="160" w:name="_Toc184313282"/>
      <w:bookmarkEnd w:id="160"/>
      <w:bookmarkStart w:id="161" w:name="_Toc184310329"/>
      <w:bookmarkEnd w:id="161"/>
      <w:bookmarkStart w:id="162" w:name="_Toc184314476"/>
      <w:bookmarkEnd w:id="162"/>
      <w:bookmarkStart w:id="163" w:name="_Toc184308091"/>
      <w:bookmarkEnd w:id="163"/>
      <w:bookmarkStart w:id="164" w:name="_Toc184314423"/>
      <w:bookmarkEnd w:id="164"/>
      <w:bookmarkStart w:id="165" w:name="_Toc184310324"/>
      <w:bookmarkEnd w:id="165"/>
      <w:bookmarkStart w:id="166" w:name="_Toc184310335"/>
      <w:bookmarkEnd w:id="166"/>
      <w:bookmarkStart w:id="167" w:name="_Toc184310285"/>
      <w:bookmarkEnd w:id="167"/>
      <w:bookmarkStart w:id="168" w:name="_Toc184314467"/>
      <w:bookmarkEnd w:id="168"/>
      <w:bookmarkStart w:id="169" w:name="_Toc184310283"/>
      <w:bookmarkEnd w:id="169"/>
      <w:bookmarkStart w:id="170" w:name="_Toc184310336"/>
      <w:bookmarkEnd w:id="170"/>
      <w:bookmarkStart w:id="171" w:name="_Toc184313238"/>
      <w:bookmarkEnd w:id="171"/>
      <w:bookmarkStart w:id="172" w:name="_Toc184313253"/>
      <w:bookmarkEnd w:id="172"/>
      <w:bookmarkStart w:id="173" w:name="_Toc184310299"/>
      <w:bookmarkEnd w:id="173"/>
      <w:bookmarkStart w:id="174" w:name="_Toc184314432"/>
      <w:bookmarkEnd w:id="174"/>
      <w:bookmarkStart w:id="175" w:name="_Toc184310313"/>
      <w:bookmarkEnd w:id="175"/>
      <w:bookmarkStart w:id="176" w:name="_Toc184312118"/>
      <w:bookmarkEnd w:id="176"/>
      <w:bookmarkStart w:id="177" w:name="_Toc184310323"/>
      <w:bookmarkEnd w:id="177"/>
      <w:bookmarkStart w:id="178" w:name="_Toc184313286"/>
      <w:bookmarkEnd w:id="178"/>
      <w:bookmarkStart w:id="179" w:name="_Toc184308040"/>
      <w:bookmarkEnd w:id="179"/>
      <w:bookmarkStart w:id="180" w:name="_Toc184312080"/>
      <w:bookmarkEnd w:id="180"/>
      <w:bookmarkStart w:id="181" w:name="_Toc184314466"/>
      <w:bookmarkEnd w:id="181"/>
      <w:bookmarkStart w:id="182" w:name="_Toc184312121"/>
      <w:bookmarkEnd w:id="182"/>
      <w:bookmarkStart w:id="183" w:name="_Toc184313273"/>
      <w:bookmarkEnd w:id="183"/>
      <w:bookmarkStart w:id="184" w:name="_Toc184313250"/>
      <w:bookmarkEnd w:id="184"/>
      <w:bookmarkStart w:id="185" w:name="_Toc184308057"/>
      <w:bookmarkEnd w:id="185"/>
      <w:bookmarkStart w:id="186" w:name="_Toc184313293"/>
      <w:bookmarkEnd w:id="186"/>
      <w:bookmarkStart w:id="187" w:name="_Toc184314473"/>
      <w:bookmarkEnd w:id="187"/>
      <w:bookmarkStart w:id="188" w:name="_Toc184313265"/>
      <w:bookmarkEnd w:id="188"/>
      <w:bookmarkStart w:id="189" w:name="_Toc184312094"/>
      <w:bookmarkEnd w:id="189"/>
      <w:bookmarkStart w:id="190" w:name="_Toc184308100"/>
      <w:bookmarkEnd w:id="190"/>
      <w:bookmarkStart w:id="191" w:name="_Toc184308064"/>
      <w:bookmarkEnd w:id="191"/>
      <w:bookmarkStart w:id="192" w:name="_Toc184313299"/>
      <w:bookmarkEnd w:id="192"/>
      <w:bookmarkStart w:id="193" w:name="_Toc184308039"/>
      <w:bookmarkEnd w:id="193"/>
      <w:bookmarkStart w:id="194" w:name="_Toc184312095"/>
      <w:bookmarkEnd w:id="194"/>
      <w:bookmarkStart w:id="195" w:name="_Toc184308107"/>
      <w:bookmarkEnd w:id="195"/>
      <w:bookmarkStart w:id="196" w:name="_Toc184312103"/>
      <w:bookmarkEnd w:id="196"/>
      <w:bookmarkStart w:id="197" w:name="_Toc184313256"/>
      <w:bookmarkEnd w:id="197"/>
      <w:bookmarkStart w:id="198" w:name="_Toc184310321"/>
      <w:bookmarkEnd w:id="198"/>
      <w:bookmarkStart w:id="199" w:name="_Toc184312122"/>
      <w:bookmarkEnd w:id="199"/>
      <w:bookmarkStart w:id="200" w:name="_Toc184313261"/>
      <w:bookmarkEnd w:id="200"/>
      <w:bookmarkStart w:id="201" w:name="_Toc184310343"/>
      <w:bookmarkEnd w:id="201"/>
      <w:bookmarkStart w:id="202" w:name="_Toc184314429"/>
      <w:bookmarkEnd w:id="202"/>
      <w:bookmarkStart w:id="203" w:name="_Toc184312078"/>
      <w:bookmarkEnd w:id="203"/>
      <w:bookmarkStart w:id="204" w:name="_Toc184310281"/>
      <w:bookmarkEnd w:id="204"/>
      <w:bookmarkStart w:id="205" w:name="_Toc184312073"/>
      <w:bookmarkEnd w:id="205"/>
      <w:bookmarkStart w:id="206" w:name="_Toc184314469"/>
      <w:bookmarkEnd w:id="206"/>
      <w:bookmarkStart w:id="207" w:name="_Toc184310298"/>
      <w:bookmarkEnd w:id="207"/>
      <w:bookmarkStart w:id="208" w:name="_Toc184308054"/>
      <w:bookmarkEnd w:id="208"/>
      <w:bookmarkStart w:id="209" w:name="_Toc184312076"/>
      <w:bookmarkEnd w:id="209"/>
      <w:bookmarkStart w:id="210" w:name="_Toc184314465"/>
      <w:bookmarkEnd w:id="210"/>
      <w:bookmarkStart w:id="211" w:name="_Toc184310333"/>
      <w:bookmarkEnd w:id="211"/>
      <w:bookmarkStart w:id="212" w:name="_Toc184314425"/>
      <w:bookmarkEnd w:id="212"/>
      <w:bookmarkStart w:id="213" w:name="_Toc184314420"/>
      <w:bookmarkEnd w:id="213"/>
      <w:bookmarkStart w:id="214" w:name="_Toc184312093"/>
      <w:bookmarkEnd w:id="214"/>
      <w:bookmarkStart w:id="215" w:name="_Toc184314464"/>
      <w:bookmarkEnd w:id="215"/>
      <w:bookmarkStart w:id="216" w:name="_Toc184312116"/>
      <w:bookmarkEnd w:id="216"/>
      <w:bookmarkStart w:id="217" w:name="_Toc184314445"/>
      <w:bookmarkEnd w:id="217"/>
      <w:bookmarkStart w:id="218" w:name="_Toc184310330"/>
      <w:bookmarkEnd w:id="218"/>
      <w:bookmarkStart w:id="219" w:name="_Toc184314421"/>
      <w:bookmarkEnd w:id="219"/>
      <w:bookmarkStart w:id="220" w:name="_Toc184308070"/>
      <w:bookmarkEnd w:id="220"/>
      <w:bookmarkStart w:id="221" w:name="_Toc184310301"/>
      <w:bookmarkEnd w:id="221"/>
      <w:bookmarkStart w:id="222" w:name="_Toc184313305"/>
      <w:bookmarkEnd w:id="222"/>
      <w:bookmarkStart w:id="223" w:name="_Toc184313241"/>
      <w:bookmarkEnd w:id="223"/>
      <w:bookmarkStart w:id="224" w:name="_Toc184314424"/>
      <w:bookmarkEnd w:id="224"/>
      <w:bookmarkStart w:id="225" w:name="_Toc184312108"/>
      <w:bookmarkEnd w:id="225"/>
      <w:bookmarkStart w:id="226" w:name="_Toc184313263"/>
      <w:bookmarkEnd w:id="226"/>
      <w:bookmarkStart w:id="227" w:name="_Toc184310319"/>
      <w:bookmarkEnd w:id="227"/>
      <w:bookmarkStart w:id="228" w:name="_Toc184313257"/>
      <w:bookmarkEnd w:id="228"/>
      <w:bookmarkStart w:id="229" w:name="_Toc184308108"/>
      <w:bookmarkEnd w:id="229"/>
      <w:bookmarkStart w:id="230" w:name="_Toc184313290"/>
      <w:bookmarkEnd w:id="230"/>
      <w:bookmarkStart w:id="231" w:name="_Toc184313284"/>
      <w:bookmarkEnd w:id="231"/>
      <w:bookmarkStart w:id="232" w:name="_Toc184314435"/>
      <w:bookmarkEnd w:id="232"/>
      <w:bookmarkStart w:id="233" w:name="_Toc184308086"/>
      <w:bookmarkEnd w:id="233"/>
      <w:bookmarkStart w:id="234" w:name="_Toc184312083"/>
      <w:bookmarkEnd w:id="234"/>
      <w:bookmarkStart w:id="235" w:name="_Toc184308055"/>
      <w:bookmarkEnd w:id="235"/>
      <w:bookmarkStart w:id="236" w:name="_Toc184308106"/>
      <w:bookmarkEnd w:id="236"/>
      <w:bookmarkStart w:id="237" w:name="_Toc184308095"/>
      <w:bookmarkEnd w:id="237"/>
      <w:bookmarkStart w:id="238" w:name="_Toc184314417"/>
      <w:bookmarkEnd w:id="238"/>
      <w:bookmarkStart w:id="239" w:name="_Toc184313308"/>
      <w:bookmarkEnd w:id="239"/>
      <w:bookmarkStart w:id="240" w:name="_Toc184312085"/>
      <w:bookmarkEnd w:id="240"/>
      <w:bookmarkStart w:id="241" w:name="_Toc184308098"/>
      <w:bookmarkEnd w:id="241"/>
      <w:bookmarkStart w:id="242" w:name="_Toc184312098"/>
      <w:bookmarkEnd w:id="242"/>
      <w:bookmarkStart w:id="243" w:name="_Toc184312075"/>
      <w:bookmarkEnd w:id="243"/>
      <w:bookmarkStart w:id="244" w:name="_Toc184308048"/>
      <w:bookmarkEnd w:id="244"/>
      <w:bookmarkStart w:id="245" w:name="_Toc184312139"/>
      <w:bookmarkEnd w:id="245"/>
      <w:bookmarkStart w:id="246" w:name="_Toc184314455"/>
      <w:bookmarkEnd w:id="246"/>
      <w:bookmarkStart w:id="247" w:name="_Toc184308097"/>
      <w:bookmarkEnd w:id="247"/>
      <w:bookmarkStart w:id="248" w:name="_Toc184312077"/>
      <w:bookmarkEnd w:id="248"/>
      <w:bookmarkStart w:id="249" w:name="_Toc184308087"/>
      <w:bookmarkEnd w:id="249"/>
      <w:bookmarkStart w:id="250" w:name="_Toc184314436"/>
      <w:bookmarkEnd w:id="250"/>
      <w:bookmarkStart w:id="251" w:name="_Toc184308046"/>
      <w:bookmarkEnd w:id="251"/>
      <w:bookmarkStart w:id="252" w:name="_Toc184312067"/>
      <w:bookmarkEnd w:id="252"/>
      <w:bookmarkStart w:id="253" w:name="_Toc184310274"/>
      <w:bookmarkEnd w:id="253"/>
      <w:bookmarkStart w:id="254" w:name="_Toc184313291"/>
      <w:bookmarkEnd w:id="254"/>
      <w:bookmarkStart w:id="255" w:name="_Toc184310326"/>
      <w:bookmarkEnd w:id="255"/>
      <w:bookmarkStart w:id="256" w:name="_Toc184314462"/>
      <w:bookmarkEnd w:id="256"/>
      <w:bookmarkStart w:id="257" w:name="_Toc184313287"/>
      <w:bookmarkEnd w:id="257"/>
      <w:bookmarkStart w:id="258" w:name="_Toc184312072"/>
      <w:bookmarkEnd w:id="258"/>
      <w:bookmarkStart w:id="259" w:name="_Toc184310318"/>
      <w:bookmarkEnd w:id="259"/>
      <w:bookmarkStart w:id="260" w:name="_Toc184313270"/>
      <w:bookmarkEnd w:id="260"/>
      <w:bookmarkStart w:id="261" w:name="_Toc184312074"/>
      <w:bookmarkEnd w:id="261"/>
      <w:bookmarkStart w:id="262" w:name="_Toc184313300"/>
      <w:bookmarkEnd w:id="262"/>
      <w:bookmarkStart w:id="263" w:name="_Toc184313254"/>
      <w:bookmarkEnd w:id="263"/>
      <w:bookmarkStart w:id="264" w:name="_Toc184314481"/>
      <w:bookmarkEnd w:id="264"/>
      <w:bookmarkStart w:id="265" w:name="_Toc184310291"/>
      <w:bookmarkEnd w:id="265"/>
      <w:bookmarkStart w:id="266" w:name="_Toc184313240"/>
      <w:bookmarkEnd w:id="266"/>
      <w:bookmarkStart w:id="267" w:name="_Toc184308041"/>
      <w:bookmarkEnd w:id="267"/>
      <w:bookmarkStart w:id="268" w:name="_Toc184314461"/>
      <w:bookmarkEnd w:id="268"/>
      <w:bookmarkStart w:id="269" w:name="_Toc184314474"/>
      <w:bookmarkEnd w:id="269"/>
      <w:bookmarkStart w:id="270" w:name="_Toc184308073"/>
      <w:bookmarkEnd w:id="270"/>
      <w:bookmarkStart w:id="271" w:name="_Toc184313259"/>
      <w:bookmarkEnd w:id="271"/>
      <w:bookmarkStart w:id="272" w:name="_Toc184313276"/>
      <w:bookmarkEnd w:id="272"/>
      <w:bookmarkStart w:id="273" w:name="_Toc184310300"/>
      <w:bookmarkEnd w:id="273"/>
      <w:bookmarkStart w:id="274" w:name="_Toc184314419"/>
      <w:bookmarkEnd w:id="274"/>
      <w:bookmarkStart w:id="275" w:name="_Toc184314444"/>
      <w:bookmarkEnd w:id="275"/>
      <w:bookmarkStart w:id="276" w:name="_Toc184310278"/>
      <w:bookmarkEnd w:id="276"/>
      <w:bookmarkStart w:id="277" w:name="_Toc184310325"/>
      <w:bookmarkEnd w:id="277"/>
      <w:bookmarkStart w:id="278" w:name="_Toc184310314"/>
      <w:bookmarkEnd w:id="278"/>
      <w:bookmarkStart w:id="279" w:name="_Toc184310341"/>
      <w:bookmarkEnd w:id="279"/>
      <w:bookmarkStart w:id="280" w:name="_Toc184313242"/>
      <w:bookmarkEnd w:id="280"/>
      <w:bookmarkStart w:id="281" w:name="_Toc184312123"/>
      <w:bookmarkEnd w:id="281"/>
      <w:bookmarkStart w:id="282" w:name="_Toc184313279"/>
      <w:bookmarkEnd w:id="282"/>
      <w:bookmarkStart w:id="283" w:name="_Toc184308056"/>
      <w:bookmarkEnd w:id="283"/>
      <w:bookmarkStart w:id="284" w:name="_Toc184312102"/>
      <w:bookmarkEnd w:id="284"/>
      <w:bookmarkStart w:id="285" w:name="_Toc184308037"/>
      <w:bookmarkEnd w:id="285"/>
      <w:bookmarkStart w:id="286" w:name="_Toc184308083"/>
      <w:bookmarkEnd w:id="286"/>
      <w:bookmarkStart w:id="287" w:name="_Toc184308081"/>
      <w:bookmarkEnd w:id="287"/>
      <w:bookmarkStart w:id="288" w:name="_Toc184313298"/>
      <w:bookmarkEnd w:id="288"/>
      <w:bookmarkStart w:id="289" w:name="_Toc184308072"/>
      <w:bookmarkEnd w:id="289"/>
      <w:bookmarkStart w:id="290" w:name="_Toc184310308"/>
      <w:bookmarkEnd w:id="290"/>
      <w:bookmarkStart w:id="291" w:name="_Toc184312112"/>
      <w:bookmarkEnd w:id="291"/>
      <w:bookmarkStart w:id="292" w:name="_Toc184308063"/>
      <w:bookmarkEnd w:id="292"/>
      <w:bookmarkStart w:id="293" w:name="_Toc184314414"/>
      <w:bookmarkEnd w:id="293"/>
      <w:bookmarkStart w:id="294" w:name="_Toc184313281"/>
      <w:bookmarkEnd w:id="294"/>
      <w:bookmarkStart w:id="295" w:name="_Toc184310288"/>
      <w:bookmarkEnd w:id="295"/>
      <w:bookmarkStart w:id="296" w:name="_Toc184313278"/>
      <w:bookmarkEnd w:id="296"/>
      <w:bookmarkStart w:id="297" w:name="_Toc184308061"/>
      <w:bookmarkEnd w:id="297"/>
      <w:bookmarkStart w:id="298" w:name="_Toc184310340"/>
      <w:bookmarkEnd w:id="298"/>
      <w:bookmarkStart w:id="299" w:name="_Toc184310316"/>
      <w:bookmarkEnd w:id="299"/>
      <w:bookmarkStart w:id="300" w:name="_Toc184308084"/>
      <w:bookmarkEnd w:id="300"/>
      <w:bookmarkStart w:id="301" w:name="_Toc184312120"/>
      <w:bookmarkEnd w:id="301"/>
      <w:bookmarkStart w:id="302" w:name="_Toc184312132"/>
      <w:bookmarkEnd w:id="302"/>
      <w:bookmarkStart w:id="303" w:name="_Toc184314413"/>
      <w:bookmarkEnd w:id="303"/>
      <w:bookmarkStart w:id="304" w:name="_Toc184312126"/>
      <w:bookmarkEnd w:id="304"/>
      <w:bookmarkStart w:id="305" w:name="_Toc184314470"/>
      <w:bookmarkEnd w:id="305"/>
      <w:bookmarkStart w:id="306" w:name="_Toc184312111"/>
      <w:bookmarkEnd w:id="306"/>
      <w:bookmarkStart w:id="307" w:name="_Toc184313289"/>
      <w:bookmarkEnd w:id="307"/>
      <w:bookmarkStart w:id="308" w:name="_Toc184312101"/>
      <w:bookmarkEnd w:id="308"/>
      <w:bookmarkStart w:id="309" w:name="_Toc184312090"/>
      <w:bookmarkEnd w:id="309"/>
      <w:bookmarkStart w:id="310" w:name="_Toc184313260"/>
      <w:bookmarkEnd w:id="310"/>
      <w:bookmarkStart w:id="311" w:name="_Toc184314475"/>
      <w:bookmarkEnd w:id="311"/>
      <w:bookmarkStart w:id="312" w:name="_Toc184312091"/>
      <w:bookmarkEnd w:id="312"/>
      <w:bookmarkStart w:id="313" w:name="_Toc184308059"/>
      <w:bookmarkEnd w:id="313"/>
      <w:bookmarkStart w:id="314" w:name="_Toc184314418"/>
      <w:bookmarkEnd w:id="314"/>
      <w:bookmarkStart w:id="315" w:name="_Toc184308036"/>
      <w:bookmarkEnd w:id="315"/>
      <w:bookmarkStart w:id="316" w:name="_Toc184308080"/>
      <w:bookmarkEnd w:id="316"/>
      <w:bookmarkStart w:id="317" w:name="_Toc184312087"/>
      <w:bookmarkEnd w:id="317"/>
      <w:bookmarkStart w:id="318" w:name="_Toc184310293"/>
      <w:bookmarkEnd w:id="318"/>
      <w:bookmarkStart w:id="319" w:name="_Toc184310328"/>
      <w:bookmarkEnd w:id="319"/>
      <w:bookmarkStart w:id="320" w:name="_Toc184313285"/>
      <w:bookmarkEnd w:id="320"/>
      <w:bookmarkStart w:id="321" w:name="_Toc184314458"/>
      <w:bookmarkEnd w:id="321"/>
      <w:bookmarkStart w:id="322" w:name="_Toc184314438"/>
      <w:bookmarkEnd w:id="322"/>
      <w:bookmarkStart w:id="323" w:name="_Toc184310322"/>
      <w:bookmarkEnd w:id="323"/>
      <w:bookmarkStart w:id="324" w:name="_Toc184312129"/>
      <w:bookmarkEnd w:id="324"/>
      <w:bookmarkStart w:id="325" w:name="_Toc184308051"/>
      <w:bookmarkEnd w:id="325"/>
      <w:bookmarkStart w:id="326" w:name="_Toc184313249"/>
      <w:bookmarkEnd w:id="326"/>
      <w:bookmarkStart w:id="327" w:name="_Toc184314449"/>
      <w:bookmarkEnd w:id="327"/>
      <w:bookmarkStart w:id="328" w:name="_Toc184310311"/>
      <w:bookmarkEnd w:id="328"/>
      <w:bookmarkStart w:id="329" w:name="_Toc184313309"/>
      <w:bookmarkEnd w:id="329"/>
      <w:bookmarkStart w:id="330" w:name="_Toc184313304"/>
      <w:bookmarkEnd w:id="330"/>
      <w:bookmarkStart w:id="331" w:name="_Toc184313266"/>
      <w:bookmarkEnd w:id="331"/>
      <w:bookmarkStart w:id="332" w:name="_Toc184314482"/>
      <w:bookmarkEnd w:id="332"/>
      <w:bookmarkStart w:id="333" w:name="_Toc184308058"/>
      <w:bookmarkEnd w:id="333"/>
      <w:bookmarkStart w:id="334" w:name="_Toc184312079"/>
      <w:bookmarkEnd w:id="334"/>
      <w:bookmarkStart w:id="335" w:name="_Toc184314446"/>
      <w:bookmarkEnd w:id="335"/>
      <w:bookmarkStart w:id="336" w:name="_Toc184313307"/>
      <w:bookmarkEnd w:id="336"/>
      <w:bookmarkStart w:id="337" w:name="_Toc184308082"/>
      <w:bookmarkEnd w:id="337"/>
      <w:bookmarkStart w:id="338" w:name="_Toc184313272"/>
      <w:bookmarkEnd w:id="338"/>
      <w:bookmarkStart w:id="339" w:name="_Toc184314472"/>
      <w:bookmarkEnd w:id="339"/>
      <w:bookmarkStart w:id="340" w:name="_Toc184308077"/>
      <w:bookmarkEnd w:id="340"/>
      <w:bookmarkStart w:id="341" w:name="_Toc184314471"/>
      <w:bookmarkEnd w:id="341"/>
      <w:bookmarkStart w:id="342" w:name="_Toc184312127"/>
      <w:bookmarkEnd w:id="342"/>
      <w:bookmarkStart w:id="343" w:name="_Toc184312084"/>
      <w:bookmarkEnd w:id="343"/>
      <w:bookmarkStart w:id="344" w:name="_Toc184313268"/>
      <w:bookmarkEnd w:id="344"/>
      <w:bookmarkStart w:id="345" w:name="_Toc184313283"/>
      <w:bookmarkEnd w:id="345"/>
      <w:bookmarkStart w:id="346" w:name="_Toc184310309"/>
      <w:bookmarkEnd w:id="346"/>
      <w:bookmarkStart w:id="347" w:name="_Toc184313244"/>
      <w:bookmarkEnd w:id="347"/>
      <w:bookmarkStart w:id="348" w:name="_Toc184308071"/>
      <w:bookmarkEnd w:id="348"/>
      <w:bookmarkStart w:id="349" w:name="_Toc184312107"/>
      <w:bookmarkEnd w:id="349"/>
      <w:bookmarkStart w:id="350" w:name="_Toc184308052"/>
      <w:bookmarkEnd w:id="350"/>
      <w:bookmarkStart w:id="351" w:name="_Toc184312088"/>
      <w:bookmarkEnd w:id="351"/>
      <w:bookmarkStart w:id="352" w:name="_Toc184314411"/>
      <w:bookmarkEnd w:id="352"/>
      <w:bookmarkStart w:id="353" w:name="_Toc184308099"/>
      <w:bookmarkEnd w:id="353"/>
      <w:bookmarkStart w:id="354" w:name="_Toc184310344"/>
      <w:bookmarkEnd w:id="354"/>
      <w:bookmarkStart w:id="355" w:name="_Toc184310296"/>
      <w:bookmarkEnd w:id="355"/>
      <w:bookmarkStart w:id="356" w:name="_Toc184308088"/>
      <w:bookmarkEnd w:id="356"/>
      <w:bookmarkStart w:id="357" w:name="_Toc184314460"/>
      <w:bookmarkEnd w:id="357"/>
      <w:bookmarkStart w:id="358" w:name="_Toc184310310"/>
      <w:bookmarkEnd w:id="358"/>
      <w:bookmarkStart w:id="359" w:name="_Toc184312113"/>
      <w:bookmarkEnd w:id="359"/>
      <w:bookmarkStart w:id="360" w:name="_Toc184310280"/>
      <w:bookmarkEnd w:id="360"/>
      <w:bookmarkStart w:id="361" w:name="_Toc184312128"/>
      <w:bookmarkEnd w:id="361"/>
      <w:bookmarkStart w:id="362" w:name="_Toc184312096"/>
      <w:bookmarkEnd w:id="362"/>
      <w:bookmarkStart w:id="363" w:name="_Toc184310304"/>
      <w:bookmarkEnd w:id="363"/>
      <w:bookmarkStart w:id="364" w:name="_Toc184314480"/>
      <w:bookmarkEnd w:id="364"/>
      <w:bookmarkStart w:id="365" w:name="_Toc184314451"/>
      <w:bookmarkEnd w:id="365"/>
      <w:bookmarkStart w:id="366" w:name="_Toc184313262"/>
      <w:bookmarkEnd w:id="366"/>
      <w:bookmarkStart w:id="367" w:name="_Toc184308049"/>
      <w:bookmarkEnd w:id="367"/>
      <w:bookmarkStart w:id="368" w:name="_Toc184313267"/>
      <w:bookmarkEnd w:id="368"/>
      <w:bookmarkStart w:id="369" w:name="_Toc184312069"/>
      <w:bookmarkEnd w:id="369"/>
      <w:bookmarkStart w:id="370" w:name="_Toc184314463"/>
      <w:bookmarkEnd w:id="370"/>
      <w:bookmarkStart w:id="371" w:name="_Toc184308074"/>
      <w:bookmarkEnd w:id="371"/>
      <w:bookmarkStart w:id="372" w:name="_Toc184314410"/>
      <w:bookmarkEnd w:id="372"/>
      <w:bookmarkStart w:id="373" w:name="_Toc184312137"/>
      <w:bookmarkEnd w:id="373"/>
      <w:bookmarkStart w:id="374" w:name="_Toc184314441"/>
      <w:bookmarkEnd w:id="374"/>
      <w:bookmarkStart w:id="375" w:name="_Toc184314437"/>
      <w:bookmarkEnd w:id="375"/>
      <w:bookmarkStart w:id="376" w:name="_Toc184312106"/>
      <w:bookmarkEnd w:id="376"/>
      <w:bookmarkStart w:id="377" w:name="_Toc184314431"/>
      <w:bookmarkEnd w:id="377"/>
      <w:bookmarkStart w:id="378" w:name="_Toc184314457"/>
      <w:bookmarkEnd w:id="378"/>
      <w:bookmarkStart w:id="379" w:name="_Toc184310289"/>
      <w:bookmarkEnd w:id="379"/>
      <w:bookmarkStart w:id="380" w:name="_Toc184314442"/>
      <w:bookmarkEnd w:id="380"/>
      <w:bookmarkStart w:id="381" w:name="_Toc184314477"/>
      <w:bookmarkEnd w:id="381"/>
      <w:bookmarkStart w:id="382" w:name="_Toc184310337"/>
      <w:bookmarkEnd w:id="382"/>
      <w:bookmarkStart w:id="383" w:name="_Toc184312109"/>
      <w:bookmarkEnd w:id="383"/>
      <w:bookmarkStart w:id="384" w:name="_Toc184313303"/>
      <w:bookmarkEnd w:id="384"/>
      <w:bookmarkStart w:id="385" w:name="_Toc184314450"/>
      <w:bookmarkEnd w:id="385"/>
      <w:bookmarkStart w:id="386" w:name="_Toc184312124"/>
      <w:bookmarkEnd w:id="386"/>
      <w:bookmarkStart w:id="387" w:name="_Toc184312099"/>
      <w:bookmarkEnd w:id="387"/>
      <w:bookmarkStart w:id="388" w:name="_Toc184310312"/>
      <w:bookmarkEnd w:id="388"/>
      <w:bookmarkStart w:id="389" w:name="_Toc184310339"/>
      <w:bookmarkEnd w:id="389"/>
      <w:bookmarkStart w:id="390" w:name="_Toc184313248"/>
      <w:bookmarkEnd w:id="390"/>
      <w:bookmarkStart w:id="391" w:name="_Toc184308078"/>
      <w:bookmarkEnd w:id="391"/>
      <w:bookmarkStart w:id="392" w:name="_Toc184312135"/>
      <w:bookmarkEnd w:id="392"/>
      <w:bookmarkStart w:id="393" w:name="_Toc184310306"/>
      <w:bookmarkEnd w:id="393"/>
      <w:bookmarkStart w:id="394" w:name="_Toc184308060"/>
      <w:bookmarkEnd w:id="394"/>
      <w:bookmarkStart w:id="395" w:name="_Toc184314430"/>
      <w:bookmarkEnd w:id="395"/>
      <w:bookmarkStart w:id="396" w:name="_Toc184314456"/>
      <w:bookmarkEnd w:id="396"/>
      <w:bookmarkStart w:id="397" w:name="_Toc184313277"/>
      <w:bookmarkEnd w:id="397"/>
      <w:bookmarkStart w:id="398" w:name="_Toc184308066"/>
      <w:bookmarkEnd w:id="398"/>
      <w:bookmarkStart w:id="399" w:name="_Toc184308045"/>
      <w:bookmarkEnd w:id="399"/>
      <w:bookmarkStart w:id="400" w:name="_Toc184312092"/>
      <w:bookmarkEnd w:id="400"/>
      <w:bookmarkStart w:id="401" w:name="_Toc184312117"/>
      <w:bookmarkEnd w:id="401"/>
      <w:bookmarkStart w:id="402" w:name="_Toc184312082"/>
      <w:bookmarkEnd w:id="402"/>
      <w:bookmarkStart w:id="403" w:name="_Toc184312071"/>
      <w:bookmarkEnd w:id="403"/>
      <w:bookmarkStart w:id="404" w:name="_Toc184310320"/>
      <w:bookmarkEnd w:id="404"/>
      <w:bookmarkStart w:id="405" w:name="_Toc184312097"/>
      <w:bookmarkEnd w:id="405"/>
      <w:bookmarkStart w:id="406" w:name="_Toc184313258"/>
      <w:bookmarkEnd w:id="406"/>
      <w:bookmarkStart w:id="407" w:name="_Toc184312070"/>
      <w:bookmarkEnd w:id="407"/>
      <w:bookmarkStart w:id="408" w:name="_Toc184308075"/>
      <w:bookmarkEnd w:id="408"/>
      <w:bookmarkStart w:id="409" w:name="_Toc184308101"/>
      <w:bookmarkEnd w:id="409"/>
      <w:bookmarkStart w:id="410" w:name="_Toc184310273"/>
      <w:bookmarkEnd w:id="410"/>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367"/>
        <w:gridCol w:w="885"/>
        <w:gridCol w:w="102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18"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367"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8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20"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705" w:type="dxa"/>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人具有有效期内的质量管理体系认证、环境管理体系认证、职业健康安全管理体系认证、能源管理体系认证、信息安全管理体系认证证书。每提供1项得1分，共5分。（提供证书原件复印件，全国认证认可信息公共服务平台http://cx.cnca.cn/CertECloud/result/skipResultList可查。）此项最高5分。</w:t>
            </w:r>
          </w:p>
        </w:tc>
        <w:tc>
          <w:tcPr>
            <w:tcW w:w="885"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0-5</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8"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投标人类似项目的</w:t>
            </w:r>
            <w:r>
              <w:rPr>
                <w:rFonts w:hint="eastAsia" w:ascii="宋体" w:hAnsi="宋体" w:eastAsia="宋体" w:cs="宋体"/>
                <w:bCs/>
                <w:color w:val="auto"/>
                <w:sz w:val="24"/>
                <w:szCs w:val="24"/>
                <w:highlight w:val="none"/>
              </w:rPr>
              <w:t>业绩：</w:t>
            </w:r>
            <w:r>
              <w:rPr>
                <w:rFonts w:hint="eastAsia" w:ascii="宋体" w:hAnsi="宋体" w:cs="宋体"/>
                <w:bCs/>
                <w:color w:val="auto"/>
                <w:sz w:val="24"/>
                <w:szCs w:val="24"/>
                <w:highlight w:val="none"/>
                <w:lang w:eastAsia="zh-CN"/>
              </w:rPr>
              <w:t>近三年以来</w:t>
            </w:r>
            <w:r>
              <w:rPr>
                <w:rFonts w:hint="eastAsia" w:ascii="宋体" w:hAnsi="宋体" w:eastAsia="宋体" w:cs="宋体"/>
                <w:bCs/>
                <w:color w:val="auto"/>
                <w:sz w:val="24"/>
                <w:szCs w:val="24"/>
                <w:highlight w:val="none"/>
              </w:rPr>
              <w:t>（提供合同</w:t>
            </w:r>
            <w:r>
              <w:rPr>
                <w:rFonts w:hint="eastAsia" w:ascii="宋体" w:hAnsi="宋体" w:eastAsia="宋体" w:cs="宋体"/>
                <w:bCs/>
                <w:color w:val="auto"/>
                <w:sz w:val="24"/>
                <w:szCs w:val="24"/>
              </w:rPr>
              <w:t>为准）</w:t>
            </w:r>
            <w:r>
              <w:rPr>
                <w:rFonts w:hint="eastAsia" w:ascii="宋体" w:hAnsi="宋体" w:eastAsia="宋体" w:cs="宋体"/>
                <w:color w:val="auto"/>
                <w:sz w:val="24"/>
                <w:szCs w:val="24"/>
              </w:rPr>
              <w:t>成功承担过政府公建物业服务项目情况，且获得采购方满意的业绩；每一项业绩得0.5分，最高得1分；未按要求提供服务合同及采购方满意证明材料的，不得分；一个项目分年度多次签订的，计入1项业绩；同一个项目，分两期或以上完成的，计入1项业绩。</w:t>
            </w:r>
          </w:p>
        </w:tc>
        <w:tc>
          <w:tcPr>
            <w:tcW w:w="885" w:type="dxa"/>
            <w:vAlign w:val="center"/>
          </w:tcPr>
          <w:p>
            <w:pPr>
              <w:pStyle w:val="7"/>
              <w:keepNext w:val="0"/>
              <w:keepLines w:val="0"/>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0-1</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1705" w:type="dxa"/>
            <w:vAlign w:val="top"/>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400" w:lineRule="exact"/>
              <w:ind w:firstLine="480" w:firstLineChars="200"/>
              <w:jc w:val="both"/>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根据本项目特点，提倡党建引领红色物业，投标人设有党组织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符合得2分，不符合不得分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需提供上级党组织批复文件</w:t>
            </w:r>
            <w:r>
              <w:rPr>
                <w:rFonts w:hint="eastAsia" w:ascii="宋体" w:hAnsi="宋体" w:cs="宋体"/>
                <w:color w:val="auto"/>
                <w:sz w:val="24"/>
                <w:szCs w:val="24"/>
                <w:highlight w:val="none"/>
                <w:lang w:eastAsia="zh-CN"/>
              </w:rPr>
              <w:t>）</w:t>
            </w:r>
          </w:p>
        </w:tc>
        <w:tc>
          <w:tcPr>
            <w:tcW w:w="885" w:type="dxa"/>
            <w:vAlign w:val="center"/>
          </w:tcPr>
          <w:p>
            <w:pPr>
              <w:pStyle w:val="7"/>
              <w:keepNext w:val="0"/>
              <w:keepLines w:val="0"/>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0-2</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705" w:type="dxa"/>
            <w:vAlign w:val="top"/>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红色物业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367" w:type="dxa"/>
            <w:vAlign w:val="center"/>
          </w:tcPr>
          <w:p>
            <w:pPr>
              <w:pStyle w:val="6"/>
              <w:keepNext w:val="0"/>
              <w:keepLines w:val="0"/>
              <w:pageBreakBefore w:val="0"/>
              <w:kinsoku/>
              <w:wordWrap/>
              <w:overflowPunct/>
              <w:topLinePunct w:val="0"/>
              <w:autoSpaceDE/>
              <w:autoSpaceDN/>
              <w:bidi w:val="0"/>
              <w:snapToGrid/>
              <w:spacing w:line="400" w:lineRule="exact"/>
              <w:ind w:firstLine="0" w:firstLineChars="0"/>
              <w:textAlignment w:val="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color w:val="auto"/>
                <w:kern w:val="2"/>
                <w:sz w:val="24"/>
                <w:szCs w:val="24"/>
              </w:rPr>
              <w:t>投标人能根据本项目物业管理服务特点提出</w:t>
            </w:r>
            <w:r>
              <w:rPr>
                <w:rFonts w:hint="eastAsia" w:ascii="宋体" w:hAnsi="宋体" w:eastAsia="宋体" w:cs="宋体"/>
                <w:snapToGrid/>
                <w:color w:val="auto"/>
                <w:kern w:val="2"/>
                <w:sz w:val="24"/>
                <w:szCs w:val="24"/>
              </w:rPr>
              <w:fldChar w:fldCharType="begin"/>
            </w:r>
            <w:r>
              <w:rPr>
                <w:rFonts w:hint="eastAsia" w:ascii="宋体" w:hAnsi="宋体" w:eastAsia="宋体" w:cs="宋体"/>
                <w:snapToGrid/>
                <w:color w:val="auto"/>
                <w:kern w:val="2"/>
                <w:sz w:val="24"/>
                <w:szCs w:val="24"/>
              </w:rPr>
              <w:instrText xml:space="preserve"> = 1 \* GB3 \* MERGEFORMAT </w:instrText>
            </w:r>
            <w:r>
              <w:rPr>
                <w:rFonts w:hint="eastAsia" w:ascii="宋体" w:hAnsi="宋体" w:eastAsia="宋体" w:cs="宋体"/>
                <w:snapToGrid/>
                <w:color w:val="auto"/>
                <w:kern w:val="2"/>
                <w:sz w:val="24"/>
                <w:szCs w:val="24"/>
              </w:rPr>
              <w:fldChar w:fldCharType="separate"/>
            </w:r>
            <w:r>
              <w:rPr>
                <w:rFonts w:hint="eastAsia" w:ascii="宋体" w:hAnsi="宋体" w:eastAsia="宋体" w:cs="宋体"/>
                <w:snapToGrid/>
                <w:color w:val="auto"/>
                <w:kern w:val="2"/>
                <w:sz w:val="24"/>
                <w:szCs w:val="24"/>
              </w:rPr>
              <w:t>①</w:t>
            </w:r>
            <w:r>
              <w:rPr>
                <w:rFonts w:hint="eastAsia" w:ascii="宋体" w:hAnsi="宋体" w:eastAsia="宋体" w:cs="宋体"/>
                <w:snapToGrid/>
                <w:color w:val="auto"/>
                <w:kern w:val="2"/>
                <w:sz w:val="24"/>
                <w:szCs w:val="24"/>
              </w:rPr>
              <w:fldChar w:fldCharType="end"/>
            </w:r>
            <w:r>
              <w:rPr>
                <w:rFonts w:hint="eastAsia" w:ascii="宋体" w:hAnsi="宋体" w:eastAsia="宋体" w:cs="宋体"/>
                <w:snapToGrid/>
                <w:color w:val="auto"/>
                <w:kern w:val="2"/>
                <w:sz w:val="24"/>
                <w:szCs w:val="24"/>
              </w:rPr>
              <w:t>合理的物业服务理念、服务定位、服务目标；</w:t>
            </w:r>
            <w:r>
              <w:rPr>
                <w:rFonts w:hint="eastAsia" w:ascii="宋体" w:hAnsi="宋体" w:eastAsia="宋体" w:cs="宋体"/>
                <w:snapToGrid/>
                <w:color w:val="auto"/>
                <w:kern w:val="2"/>
                <w:sz w:val="24"/>
                <w:szCs w:val="24"/>
              </w:rPr>
              <w:fldChar w:fldCharType="begin"/>
            </w:r>
            <w:r>
              <w:rPr>
                <w:rFonts w:hint="eastAsia" w:ascii="宋体" w:hAnsi="宋体" w:eastAsia="宋体" w:cs="宋体"/>
                <w:snapToGrid/>
                <w:color w:val="auto"/>
                <w:kern w:val="2"/>
                <w:sz w:val="24"/>
                <w:szCs w:val="24"/>
              </w:rPr>
              <w:instrText xml:space="preserve"> = 2 \* GB3 \* MERGEFORMAT </w:instrText>
            </w:r>
            <w:r>
              <w:rPr>
                <w:rFonts w:hint="eastAsia" w:ascii="宋体" w:hAnsi="宋体" w:eastAsia="宋体" w:cs="宋体"/>
                <w:snapToGrid/>
                <w:color w:val="auto"/>
                <w:kern w:val="2"/>
                <w:sz w:val="24"/>
                <w:szCs w:val="24"/>
              </w:rPr>
              <w:fldChar w:fldCharType="separate"/>
            </w:r>
            <w:r>
              <w:rPr>
                <w:rFonts w:hint="eastAsia" w:ascii="宋体" w:hAnsi="宋体" w:eastAsia="宋体" w:cs="宋体"/>
                <w:snapToGrid/>
                <w:color w:val="auto"/>
                <w:kern w:val="2"/>
                <w:sz w:val="24"/>
                <w:szCs w:val="24"/>
              </w:rPr>
              <w:t>②</w:t>
            </w:r>
            <w:r>
              <w:rPr>
                <w:rFonts w:hint="eastAsia" w:ascii="宋体" w:hAnsi="宋体" w:eastAsia="宋体" w:cs="宋体"/>
                <w:snapToGrid/>
                <w:color w:val="auto"/>
                <w:kern w:val="2"/>
                <w:sz w:val="24"/>
                <w:szCs w:val="24"/>
              </w:rPr>
              <w:fldChar w:fldCharType="end"/>
            </w:r>
            <w:r>
              <w:rPr>
                <w:rFonts w:hint="eastAsia" w:ascii="宋体" w:hAnsi="宋体" w:eastAsia="宋体" w:cs="宋体"/>
                <w:snapToGrid/>
                <w:color w:val="auto"/>
                <w:kern w:val="2"/>
                <w:sz w:val="24"/>
                <w:szCs w:val="24"/>
              </w:rPr>
              <w:t>针对项目有明确的管理重点与难点；③有针对性、保密性、安全性、切实可行的服务质量承诺</w:t>
            </w:r>
            <w:r>
              <w:rPr>
                <w:rFonts w:hint="eastAsia" w:hAnsi="宋体" w:cs="宋体"/>
                <w:snapToGrid/>
                <w:color w:val="auto"/>
                <w:kern w:val="2"/>
                <w:sz w:val="24"/>
                <w:szCs w:val="24"/>
                <w:lang w:eastAsia="zh-CN"/>
              </w:rPr>
              <w:t>。</w:t>
            </w:r>
            <w:r>
              <w:rPr>
                <w:rFonts w:hint="eastAsia" w:ascii="宋体" w:hAnsi="宋体" w:eastAsia="宋体" w:cs="宋体"/>
                <w:snapToGrid/>
                <w:color w:val="auto"/>
                <w:kern w:val="2"/>
                <w:sz w:val="24"/>
                <w:szCs w:val="24"/>
              </w:rPr>
              <w:t>符合1项得1分，不符合不得分，本项最高为3分。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0-3</w:t>
            </w:r>
          </w:p>
        </w:tc>
        <w:tc>
          <w:tcPr>
            <w:tcW w:w="102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针对本项目有完善的组织架构得2分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能清晰简练地列出主要管理流程，包括①运作流程图、②激励机制、③监督机制、④自我约束机制、⑤信息反馈及处理机制</w:t>
            </w:r>
            <w:r>
              <w:rPr>
                <w:rFonts w:hint="eastAsia" w:ascii="宋体" w:hAnsi="宋体" w:cs="宋体"/>
                <w:color w:val="auto"/>
                <w:sz w:val="24"/>
                <w:szCs w:val="24"/>
                <w:highlight w:val="none"/>
                <w:lang w:eastAsia="zh-CN"/>
              </w:rPr>
              <w:t>，每</w:t>
            </w:r>
            <w:r>
              <w:rPr>
                <w:rFonts w:hint="eastAsia" w:ascii="宋体" w:hAnsi="宋体" w:eastAsia="宋体" w:cs="宋体"/>
                <w:color w:val="auto"/>
                <w:sz w:val="24"/>
                <w:szCs w:val="24"/>
                <w:highlight w:val="none"/>
              </w:rPr>
              <w:t>符合1项得1分，不符合不得分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此项最高</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0-7</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针对本项目提出的</w:t>
            </w:r>
            <w:r>
              <w:rPr>
                <w:rFonts w:hint="eastAsia" w:ascii="宋体" w:hAnsi="宋体" w:cs="宋体"/>
                <w:color w:val="auto"/>
                <w:sz w:val="24"/>
                <w:szCs w:val="24"/>
                <w:highlight w:val="none"/>
                <w:lang w:eastAsia="zh-CN"/>
              </w:rPr>
              <w:t>有针对性且切实可行的</w:t>
            </w:r>
            <w:r>
              <w:rPr>
                <w:rFonts w:hint="eastAsia" w:ascii="宋体" w:hAnsi="宋体" w:eastAsia="宋体" w:cs="宋体"/>
                <w:color w:val="auto"/>
                <w:sz w:val="24"/>
                <w:szCs w:val="24"/>
                <w:highlight w:val="none"/>
              </w:rPr>
              <w:t>保洁方案：</w:t>
            </w:r>
            <w:r>
              <w:rPr>
                <w:rFonts w:hint="eastAsia" w:ascii="宋体" w:hAnsi="宋体" w:eastAsia="宋体" w:cs="宋体"/>
                <w:color w:val="auto"/>
                <w:kern w:val="0"/>
                <w:sz w:val="24"/>
                <w:szCs w:val="24"/>
                <w:highlight w:val="none"/>
              </w:rPr>
              <w:t>包括</w:t>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内外道路保洁、公共场所和设施保洁；</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垃圾分类及清运；</w:t>
            </w:r>
            <w:r>
              <w:rPr>
                <w:rFonts w:hint="eastAsia" w:ascii="宋体" w:hAnsi="宋体" w:eastAsia="宋体" w:cs="宋体"/>
                <w:color w:val="auto"/>
                <w:sz w:val="24"/>
                <w:szCs w:val="24"/>
                <w:highlight w:val="none"/>
              </w:rPr>
              <w:t>③废弃物的处理；④</w:t>
            </w:r>
            <w:r>
              <w:rPr>
                <w:rFonts w:hint="eastAsia" w:ascii="宋体" w:hAnsi="宋体" w:eastAsia="宋体" w:cs="宋体"/>
                <w:color w:val="auto"/>
                <w:kern w:val="0"/>
                <w:sz w:val="24"/>
                <w:szCs w:val="24"/>
                <w:highlight w:val="none"/>
              </w:rPr>
              <w:t>灭“四害”</w:t>
            </w: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eastAsia="zh-CN"/>
              </w:rPr>
              <w:t>⑤化粪池清掏等。</w:t>
            </w:r>
            <w:r>
              <w:rPr>
                <w:rFonts w:hint="eastAsia" w:ascii="宋体" w:hAnsi="宋体" w:eastAsia="宋体" w:cs="宋体"/>
                <w:color w:val="auto"/>
                <w:sz w:val="24"/>
                <w:szCs w:val="24"/>
                <w:highlight w:val="none"/>
              </w:rPr>
              <w:t>符合1项得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不符合不得分。</w:t>
            </w:r>
            <w:r>
              <w:rPr>
                <w:rFonts w:hint="eastAsia" w:ascii="宋体" w:hAnsi="宋体" w:eastAsia="宋体" w:cs="宋体"/>
                <w:color w:val="auto"/>
                <w:sz w:val="24"/>
                <w:szCs w:val="24"/>
                <w:highlight w:val="none"/>
              </w:rPr>
              <w:t>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保安秩序管理服务方案：</w:t>
            </w:r>
            <w:r>
              <w:rPr>
                <w:rFonts w:hint="eastAsia" w:ascii="宋体" w:hAnsi="宋体" w:eastAsia="宋体" w:cs="宋体"/>
                <w:color w:val="auto"/>
                <w:kern w:val="0"/>
                <w:sz w:val="24"/>
                <w:szCs w:val="24"/>
              </w:rPr>
              <w:t>包括</w:t>
            </w:r>
            <w:r>
              <w:rPr>
                <w:rFonts w:hint="eastAsia" w:ascii="宋体" w:hAnsi="宋体" w:eastAsia="宋体" w:cs="宋体"/>
                <w:color w:val="auto"/>
                <w:sz w:val="24"/>
                <w:szCs w:val="24"/>
              </w:rPr>
              <w:t>①</w:t>
            </w:r>
            <w:r>
              <w:rPr>
                <w:rFonts w:hint="eastAsia" w:ascii="宋体" w:hAnsi="宋体" w:eastAsia="宋体" w:cs="宋体"/>
                <w:color w:val="auto"/>
                <w:kern w:val="0"/>
                <w:sz w:val="24"/>
                <w:szCs w:val="24"/>
              </w:rPr>
              <w:t>处理和应对公共秩序维护工作，对来人来访的通报、证件检验、登记，收发快件、报刊、信件、书、杂志等；</w:t>
            </w:r>
            <w:r>
              <w:rPr>
                <w:rFonts w:hint="eastAsia" w:ascii="宋体" w:hAnsi="宋体" w:eastAsia="宋体" w:cs="宋体"/>
                <w:color w:val="auto"/>
                <w:sz w:val="24"/>
                <w:szCs w:val="24"/>
              </w:rPr>
              <w:t>②</w:t>
            </w:r>
            <w:r>
              <w:rPr>
                <w:rFonts w:hint="eastAsia" w:ascii="宋体" w:hAnsi="宋体" w:eastAsia="宋体" w:cs="宋体"/>
                <w:color w:val="auto"/>
                <w:kern w:val="0"/>
                <w:sz w:val="24"/>
                <w:szCs w:val="24"/>
              </w:rPr>
              <w:t>门卫、巡逻管理，维护公共秩序；</w:t>
            </w:r>
            <w:r>
              <w:rPr>
                <w:rFonts w:hint="eastAsia" w:ascii="宋体" w:hAnsi="宋体" w:eastAsia="宋体" w:cs="宋体"/>
                <w:color w:val="auto"/>
                <w:sz w:val="24"/>
                <w:szCs w:val="24"/>
              </w:rPr>
              <w:t>③</w:t>
            </w:r>
            <w:r>
              <w:rPr>
                <w:rFonts w:hint="eastAsia" w:ascii="宋体" w:hAnsi="宋体" w:eastAsia="宋体" w:cs="宋体"/>
                <w:color w:val="auto"/>
                <w:kern w:val="0"/>
                <w:sz w:val="24"/>
                <w:szCs w:val="24"/>
              </w:rPr>
              <w:t>处理治安及其他突发事件；</w:t>
            </w:r>
            <w:r>
              <w:rPr>
                <w:rFonts w:hint="eastAsia" w:ascii="宋体" w:hAnsi="宋体" w:eastAsia="宋体" w:cs="宋体"/>
                <w:color w:val="auto"/>
                <w:sz w:val="24"/>
                <w:szCs w:val="24"/>
              </w:rPr>
              <w:t>④</w:t>
            </w:r>
            <w:r>
              <w:rPr>
                <w:rFonts w:hint="eastAsia" w:ascii="宋体" w:hAnsi="宋体" w:eastAsia="宋体" w:cs="宋体"/>
                <w:color w:val="auto"/>
                <w:kern w:val="0"/>
                <w:sz w:val="24"/>
                <w:szCs w:val="24"/>
              </w:rPr>
              <w:t>负责道路交通管理、机动车和非机动车停放管理等；</w:t>
            </w:r>
            <w:r>
              <w:rPr>
                <w:rFonts w:hint="eastAsia" w:ascii="宋体" w:hAnsi="宋体" w:eastAsia="宋体" w:cs="宋体"/>
                <w:color w:val="auto"/>
                <w:sz w:val="24"/>
                <w:szCs w:val="24"/>
              </w:rPr>
              <w:t>⑤</w:t>
            </w:r>
            <w:r>
              <w:rPr>
                <w:rFonts w:hint="eastAsia" w:ascii="宋体" w:hAnsi="宋体" w:eastAsia="宋体" w:cs="宋体"/>
                <w:color w:val="auto"/>
                <w:kern w:val="0"/>
                <w:sz w:val="24"/>
                <w:szCs w:val="24"/>
              </w:rPr>
              <w:t>建立完善的消防制度和消防工作计划等。</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方案科学合理，符合本项目特征，每符合1项得1分，不符合不得分；此项最高5分</w:t>
            </w:r>
            <w:r>
              <w:rPr>
                <w:rFonts w:hint="eastAsia" w:ascii="宋体" w:hAnsi="宋体" w:cs="宋体"/>
                <w:color w:val="auto"/>
                <w:sz w:val="24"/>
                <w:szCs w:val="24"/>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0-5</w:t>
            </w:r>
          </w:p>
        </w:tc>
        <w:tc>
          <w:tcPr>
            <w:tcW w:w="102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保安秩序管理服务方案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综合维修管理服务方案：</w:t>
            </w:r>
            <w:r>
              <w:rPr>
                <w:rFonts w:hint="eastAsia" w:ascii="宋体" w:hAnsi="宋体" w:eastAsia="宋体" w:cs="宋体"/>
                <w:color w:val="auto"/>
                <w:kern w:val="0"/>
                <w:sz w:val="24"/>
                <w:szCs w:val="24"/>
                <w:highlight w:val="none"/>
              </w:rPr>
              <w:t>包括</w:t>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建筑物</w:t>
            </w:r>
            <w:r>
              <w:rPr>
                <w:rFonts w:hint="eastAsia" w:ascii="宋体" w:hAnsi="宋体" w:eastAsia="宋体" w:cs="宋体"/>
                <w:color w:val="auto"/>
                <w:sz w:val="24"/>
                <w:szCs w:val="24"/>
                <w:highlight w:val="none"/>
              </w:rPr>
              <w:t>公用部分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给排水系统、</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供电系统、</w:t>
            </w:r>
            <w:r>
              <w:rPr>
                <w:rFonts w:hint="eastAsia" w:ascii="宋体" w:hAnsi="宋体" w:eastAsia="宋体" w:cs="宋体"/>
                <w:color w:val="auto"/>
                <w:sz w:val="24"/>
                <w:szCs w:val="24"/>
                <w:highlight w:val="none"/>
              </w:rPr>
              <w:t>④</w:t>
            </w:r>
            <w:r>
              <w:rPr>
                <w:rFonts w:hint="eastAsia" w:ascii="宋体" w:hAnsi="宋体" w:eastAsia="宋体" w:cs="宋体"/>
                <w:color w:val="auto"/>
                <w:kern w:val="0"/>
                <w:sz w:val="24"/>
                <w:szCs w:val="24"/>
                <w:highlight w:val="none"/>
              </w:rPr>
              <w:t>空调系统、</w:t>
            </w:r>
            <w:r>
              <w:rPr>
                <w:rFonts w:hint="eastAsia" w:ascii="宋体" w:hAnsi="宋体" w:eastAsia="宋体" w:cs="宋体"/>
                <w:color w:val="auto"/>
                <w:sz w:val="24"/>
                <w:szCs w:val="24"/>
                <w:highlight w:val="none"/>
              </w:rPr>
              <w:t>⑤</w:t>
            </w:r>
            <w:r>
              <w:rPr>
                <w:rFonts w:hint="eastAsia" w:ascii="宋体" w:hAnsi="宋体" w:eastAsia="宋体" w:cs="宋体"/>
                <w:color w:val="auto"/>
                <w:kern w:val="0"/>
                <w:sz w:val="24"/>
                <w:szCs w:val="24"/>
                <w:highlight w:val="none"/>
              </w:rPr>
              <w:t>弱电系统、⑥电梯设备⑦办公家具等维修、维护和管理</w:t>
            </w:r>
            <w:r>
              <w:rPr>
                <w:rFonts w:hint="eastAsia" w:ascii="宋体" w:hAnsi="宋体" w:eastAsia="宋体" w:cs="宋体"/>
                <w:color w:val="auto"/>
                <w:sz w:val="24"/>
                <w:szCs w:val="24"/>
                <w:highlight w:val="none"/>
              </w:rPr>
              <w:t>方案科学合理，符合本项目特征，每符合1项得1分，不符合不得分；此项最高</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885" w:type="dxa"/>
            <w:vAlign w:val="center"/>
          </w:tcPr>
          <w:p>
            <w:pPr>
              <w:pStyle w:val="7"/>
              <w:keepNext w:val="0"/>
              <w:keepLines w:val="0"/>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7</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综合维修管理服务方案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投标人能根据本项目特点制定①绿化养护计划②不同季节有详细工作安排③</w:t>
            </w:r>
            <w:r>
              <w:rPr>
                <w:rFonts w:hint="eastAsia" w:ascii="宋体" w:hAnsi="宋体" w:cs="宋体"/>
                <w:color w:val="auto"/>
                <w:sz w:val="24"/>
                <w:szCs w:val="24"/>
                <w:highlight w:val="none"/>
                <w:lang w:eastAsia="zh-CN"/>
              </w:rPr>
              <w:t>室内外</w:t>
            </w:r>
            <w:r>
              <w:rPr>
                <w:rFonts w:hint="eastAsia" w:ascii="宋体" w:hAnsi="宋体" w:eastAsia="宋体" w:cs="宋体"/>
                <w:color w:val="auto"/>
                <w:sz w:val="24"/>
                <w:szCs w:val="24"/>
                <w:highlight w:val="none"/>
              </w:rPr>
              <w:t>有明确的绿化养护标准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方案科学合理，符合本项目特征，每符合1项得1分，不符合不得分；此项最高3分</w:t>
            </w:r>
            <w:r>
              <w:rPr>
                <w:rFonts w:hint="eastAsia" w:ascii="宋体" w:hAnsi="宋体" w:cs="宋体"/>
                <w:color w:val="auto"/>
                <w:sz w:val="24"/>
                <w:szCs w:val="24"/>
                <w:highlight w:val="none"/>
                <w:lang w:eastAsia="zh-CN"/>
              </w:rPr>
              <w:t>。</w:t>
            </w:r>
          </w:p>
        </w:tc>
        <w:tc>
          <w:tcPr>
            <w:tcW w:w="885" w:type="dxa"/>
            <w:vAlign w:val="center"/>
          </w:tcPr>
          <w:p>
            <w:pPr>
              <w:pStyle w:val="7"/>
              <w:keepNext w:val="0"/>
              <w:keepLines w:val="0"/>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0-3</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绿化服务方案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投标人能根据本项目社会应急联动系统特点制定调解联络员辅助服务方案，包括①工作职责②处理流程③档案管理</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方案科学合理，符合本项目特征，每符合1项得1分，不符合不得分；此项最高3分</w:t>
            </w:r>
            <w:r>
              <w:rPr>
                <w:rFonts w:hint="eastAsia" w:ascii="宋体" w:hAnsi="宋体" w:cs="宋体"/>
                <w:color w:val="auto"/>
                <w:sz w:val="24"/>
                <w:szCs w:val="24"/>
                <w:highlight w:val="none"/>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0-3</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调解联络员辅助服务方案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物业服务区域内各级各类应急预案，符合采购需求，包括①突发事件的处理的组织架构、原则与基本流程②包含但不限于停电、漏水、电梯困人、极端天气、突发疫情、火灾等突发事件处理的具体措施③应急物资储备清单及管理制度。</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方案科学合理，符合本项目特征，①、③每符合1项得1分，不符合不得分；第②项每满足1点得0.5分，缺少不得分，最高得3分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本项最高5分。</w:t>
            </w:r>
          </w:p>
        </w:tc>
        <w:tc>
          <w:tcPr>
            <w:tcW w:w="885" w:type="dxa"/>
            <w:vAlign w:val="center"/>
          </w:tcPr>
          <w:p>
            <w:pPr>
              <w:pStyle w:val="7"/>
              <w:keepNext w:val="0"/>
              <w:keepLines w:val="0"/>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5</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lang w:val="en-US" w:eastAsia="zh-CN"/>
              </w:rPr>
              <w:t>男</w:t>
            </w:r>
            <w:r>
              <w:rPr>
                <w:rFonts w:hint="eastAsia" w:ascii="宋体" w:hAnsi="宋体" w:eastAsia="宋体" w:cs="宋体"/>
                <w:color w:val="auto"/>
                <w:sz w:val="24"/>
                <w:szCs w:val="24"/>
                <w:highlight w:val="none"/>
              </w:rPr>
              <w:t>45周岁（含）以下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符合得1分，不符合不得分；</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具有5年及以上物业服务管理经验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需提供</w:t>
            </w:r>
            <w:r>
              <w:rPr>
                <w:rFonts w:hint="eastAsia" w:ascii="宋体" w:hAnsi="宋体" w:cs="宋体"/>
                <w:color w:val="auto"/>
                <w:kern w:val="0"/>
                <w:sz w:val="24"/>
                <w:szCs w:val="24"/>
                <w:highlight w:val="none"/>
                <w:lang w:eastAsia="zh-CN" w:bidi="ar"/>
              </w:rPr>
              <w:t>服务单位</w:t>
            </w:r>
            <w:r>
              <w:rPr>
                <w:rFonts w:hint="eastAsia" w:ascii="宋体" w:hAnsi="宋体" w:eastAsia="宋体" w:cs="宋体"/>
                <w:color w:val="auto"/>
                <w:kern w:val="0"/>
                <w:sz w:val="24"/>
                <w:szCs w:val="24"/>
                <w:highlight w:val="none"/>
                <w:lang w:bidi="ar"/>
              </w:rPr>
              <w:t>单位证明，</w:t>
            </w:r>
            <w:r>
              <w:rPr>
                <w:rFonts w:hint="eastAsia" w:ascii="宋体" w:hAnsi="宋体" w:eastAsia="宋体" w:cs="宋体"/>
                <w:color w:val="auto"/>
                <w:sz w:val="24"/>
                <w:szCs w:val="24"/>
                <w:highlight w:val="none"/>
              </w:rPr>
              <w:t>符合得2分，不符合不得分</w:t>
            </w:r>
            <w:r>
              <w:rPr>
                <w:rFonts w:hint="eastAsia" w:ascii="宋体" w:hAnsi="宋体" w:eastAsia="宋体" w:cs="宋体"/>
                <w:color w:val="auto"/>
                <w:kern w:val="0"/>
                <w:sz w:val="24"/>
                <w:szCs w:val="24"/>
                <w:highlight w:val="none"/>
                <w:lang w:bidi="ar"/>
              </w:rPr>
              <w:t>；</w:t>
            </w:r>
          </w:p>
          <w:p>
            <w:pPr>
              <w:keepNext w:val="0"/>
              <w:keepLines w:val="0"/>
              <w:pageBreakBefore w:val="0"/>
              <w:kinsoku/>
              <w:wordWrap/>
              <w:overflowPunct/>
              <w:topLinePunct w:val="0"/>
              <w:autoSpaceDE/>
              <w:autoSpaceDN/>
              <w:bidi w:val="0"/>
              <w:snapToGrid/>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提供身份证</w:t>
            </w:r>
            <w:r>
              <w:rPr>
                <w:rFonts w:hint="eastAsia" w:ascii="宋体" w:hAnsi="宋体" w:cs="宋体"/>
                <w:color w:val="auto"/>
                <w:kern w:val="0"/>
                <w:sz w:val="24"/>
                <w:szCs w:val="24"/>
                <w:highlight w:val="none"/>
                <w:lang w:eastAsia="zh-CN" w:bidi="ar"/>
              </w:rPr>
              <w:t>复印件</w:t>
            </w:r>
            <w:r>
              <w:rPr>
                <w:rFonts w:hint="eastAsia" w:ascii="宋体" w:hAnsi="宋体" w:eastAsia="宋体" w:cs="宋体"/>
                <w:color w:val="auto"/>
                <w:kern w:val="0"/>
                <w:sz w:val="24"/>
                <w:szCs w:val="24"/>
                <w:highlight w:val="none"/>
                <w:lang w:bidi="ar"/>
              </w:rPr>
              <w:t>、证书材料、</w:t>
            </w:r>
            <w:r>
              <w:rPr>
                <w:rFonts w:hint="eastAsia" w:ascii="宋体" w:hAnsi="宋体" w:cs="宋体"/>
                <w:color w:val="auto"/>
                <w:kern w:val="0"/>
                <w:sz w:val="24"/>
                <w:szCs w:val="24"/>
                <w:highlight w:val="none"/>
                <w:lang w:val="en-US" w:eastAsia="zh-CN" w:bidi="ar"/>
              </w:rPr>
              <w:t>近3个月任意一个月在本单位缴纳的社保证明</w:t>
            </w:r>
            <w:r>
              <w:rPr>
                <w:rFonts w:hint="eastAsia" w:ascii="宋体" w:hAnsi="宋体" w:eastAsia="宋体" w:cs="宋体"/>
                <w:color w:val="auto"/>
                <w:kern w:val="0"/>
                <w:sz w:val="24"/>
                <w:szCs w:val="24"/>
                <w:highlight w:val="none"/>
              </w:rPr>
              <w:t>、拟派人员与投标人共同出具的保证能在本项目服务期间专职为本项目服务的承诺函</w:t>
            </w:r>
            <w:r>
              <w:rPr>
                <w:rFonts w:hint="eastAsia" w:ascii="宋体" w:hAnsi="宋体" w:eastAsia="宋体" w:cs="宋体"/>
                <w:color w:val="auto"/>
                <w:kern w:val="0"/>
                <w:sz w:val="24"/>
                <w:szCs w:val="24"/>
                <w:highlight w:val="none"/>
                <w:lang w:bidi="ar"/>
              </w:rPr>
              <w:t>，否则该项不得分。</w:t>
            </w:r>
            <w:r>
              <w:rPr>
                <w:rFonts w:hint="eastAsia" w:ascii="宋体" w:hAnsi="宋体" w:cs="宋体"/>
                <w:color w:val="auto"/>
                <w:kern w:val="0"/>
                <w:sz w:val="24"/>
                <w:szCs w:val="24"/>
                <w:highlight w:val="none"/>
                <w:lang w:eastAsia="zh-CN" w:bidi="ar"/>
              </w:rPr>
              <w:t>本项最高得</w:t>
            </w:r>
            <w:r>
              <w:rPr>
                <w:rFonts w:hint="eastAsia" w:ascii="宋体" w:hAnsi="宋体" w:cs="宋体"/>
                <w:color w:val="auto"/>
                <w:kern w:val="0"/>
                <w:sz w:val="24"/>
                <w:szCs w:val="24"/>
                <w:highlight w:val="none"/>
                <w:lang w:val="en-US" w:eastAsia="zh-CN" w:bidi="ar"/>
              </w:rPr>
              <w:t>3分。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0-3</w:t>
            </w:r>
          </w:p>
        </w:tc>
        <w:tc>
          <w:tcPr>
            <w:tcW w:w="1020" w:type="dxa"/>
            <w:vAlign w:val="center"/>
          </w:tcPr>
          <w:p>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705" w:type="dxa"/>
            <w:vMerge w:val="restar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367" w:type="dxa"/>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维修人员情况：</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eastAsia="zh-CN"/>
              </w:rPr>
              <w:t>①</w:t>
            </w:r>
            <w:r>
              <w:rPr>
                <w:rFonts w:hint="eastAsia" w:ascii="宋体" w:hAnsi="宋体" w:eastAsia="宋体" w:cs="宋体"/>
                <w:color w:val="auto"/>
                <w:sz w:val="24"/>
                <w:szCs w:val="24"/>
                <w:highlight w:val="none"/>
                <w:shd w:val="clear" w:color="auto" w:fill="FFFFFF"/>
              </w:rPr>
              <w:t>年龄</w:t>
            </w:r>
            <w:r>
              <w:rPr>
                <w:rFonts w:hint="eastAsia" w:ascii="宋体" w:hAnsi="宋体" w:cs="宋体"/>
                <w:color w:val="auto"/>
                <w:sz w:val="24"/>
                <w:szCs w:val="24"/>
                <w:highlight w:val="none"/>
                <w:shd w:val="clear" w:color="auto" w:fill="FFFFFF"/>
                <w:lang w:val="en-US" w:eastAsia="zh-CN"/>
              </w:rPr>
              <w:t>男</w:t>
            </w:r>
            <w:r>
              <w:rPr>
                <w:rFonts w:hint="eastAsia" w:ascii="宋体" w:hAnsi="宋体" w:eastAsia="宋体" w:cs="宋体"/>
                <w:color w:val="auto"/>
                <w:sz w:val="24"/>
                <w:szCs w:val="24"/>
                <w:highlight w:val="none"/>
                <w:shd w:val="clear" w:color="auto" w:fill="FFFFFF"/>
              </w:rPr>
              <w:t>50</w:t>
            </w:r>
            <w:r>
              <w:rPr>
                <w:rFonts w:hint="eastAsia" w:ascii="宋体" w:hAnsi="宋体" w:eastAsia="宋体" w:cs="宋体"/>
                <w:color w:val="auto"/>
                <w:sz w:val="24"/>
                <w:szCs w:val="24"/>
                <w:highlight w:val="none"/>
              </w:rPr>
              <w:t>周岁（含）以下</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符合得1分，不符合不得分</w:t>
            </w:r>
            <w:r>
              <w:rPr>
                <w:rFonts w:hint="eastAsia" w:ascii="宋体" w:hAnsi="宋体" w:cs="宋体"/>
                <w:color w:val="auto"/>
                <w:sz w:val="24"/>
                <w:szCs w:val="24"/>
                <w:highlight w:val="none"/>
                <w:lang w:eastAsia="zh-CN"/>
              </w:rPr>
              <w:t>，最高得</w:t>
            </w:r>
            <w:r>
              <w:rPr>
                <w:rFonts w:hint="eastAsia" w:ascii="宋体" w:hAnsi="宋体" w:cs="宋体"/>
                <w:color w:val="auto"/>
                <w:sz w:val="24"/>
                <w:szCs w:val="24"/>
                <w:highlight w:val="none"/>
                <w:lang w:val="en-US" w:eastAsia="zh-CN"/>
              </w:rPr>
              <w:t>1分</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②在满足需求的基础上，维修人员具有大专及以上学历</w:t>
            </w:r>
            <w:r>
              <w:rPr>
                <w:rFonts w:hint="eastAsia" w:ascii="宋体" w:hAnsi="宋体" w:cs="宋体"/>
                <w:color w:val="auto"/>
                <w:sz w:val="24"/>
                <w:szCs w:val="24"/>
                <w:highlight w:val="none"/>
                <w:shd w:val="clear" w:color="auto" w:fill="FFFFFF"/>
                <w:lang w:val="en-US" w:eastAsia="zh-CN"/>
              </w:rPr>
              <w:t>的</w:t>
            </w:r>
            <w:r>
              <w:rPr>
                <w:rFonts w:hint="eastAsia" w:ascii="宋体" w:hAnsi="宋体" w:cs="宋体"/>
                <w:color w:val="auto"/>
                <w:sz w:val="24"/>
                <w:szCs w:val="24"/>
                <w:highlight w:val="none"/>
                <w:shd w:val="clear" w:color="auto" w:fill="FFFFFF"/>
                <w:lang w:eastAsia="zh-CN"/>
              </w:rPr>
              <w:t>，符合</w:t>
            </w:r>
            <w:r>
              <w:rPr>
                <w:rFonts w:hint="eastAsia" w:ascii="宋体" w:hAnsi="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eastAsia="zh-CN"/>
              </w:rPr>
              <w:t>人得1分，不符合不得分，最高得</w:t>
            </w:r>
            <w:r>
              <w:rPr>
                <w:rFonts w:hint="eastAsia" w:ascii="宋体" w:hAnsi="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eastAsia="zh-CN"/>
              </w:rPr>
              <w:t>分；</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具有5年及以上物业维修服务管理经验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需提供</w:t>
            </w:r>
            <w:r>
              <w:rPr>
                <w:rFonts w:hint="eastAsia" w:ascii="宋体" w:hAnsi="宋体" w:cs="宋体"/>
                <w:color w:val="auto"/>
                <w:kern w:val="0"/>
                <w:sz w:val="24"/>
                <w:szCs w:val="24"/>
                <w:highlight w:val="none"/>
                <w:lang w:eastAsia="zh-CN" w:bidi="ar"/>
              </w:rPr>
              <w:t>业主</w:t>
            </w:r>
            <w:r>
              <w:rPr>
                <w:rFonts w:hint="eastAsia" w:ascii="宋体" w:hAnsi="宋体" w:eastAsia="宋体" w:cs="宋体"/>
                <w:color w:val="auto"/>
                <w:kern w:val="0"/>
                <w:sz w:val="24"/>
                <w:szCs w:val="24"/>
                <w:highlight w:val="none"/>
                <w:lang w:bidi="ar"/>
              </w:rPr>
              <w:t>单位证明，</w:t>
            </w:r>
            <w:r>
              <w:rPr>
                <w:rFonts w:hint="eastAsia" w:ascii="宋体" w:hAnsi="宋体" w:eastAsia="宋体" w:cs="宋体"/>
                <w:color w:val="auto"/>
                <w:sz w:val="24"/>
                <w:szCs w:val="24"/>
                <w:highlight w:val="none"/>
              </w:rPr>
              <w:t>符合得1分，不符合不得分</w:t>
            </w:r>
            <w:r>
              <w:rPr>
                <w:rFonts w:hint="eastAsia" w:ascii="宋体" w:hAnsi="宋体" w:eastAsia="宋体" w:cs="宋体"/>
                <w:color w:val="auto"/>
                <w:kern w:val="0"/>
                <w:sz w:val="24"/>
                <w:szCs w:val="24"/>
                <w:highlight w:val="none"/>
                <w:lang w:bidi="ar"/>
              </w:rPr>
              <w:t>；</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提供身份证</w:t>
            </w:r>
            <w:r>
              <w:rPr>
                <w:rFonts w:hint="eastAsia" w:ascii="宋体" w:hAnsi="宋体" w:cs="宋体"/>
                <w:color w:val="auto"/>
                <w:kern w:val="0"/>
                <w:sz w:val="24"/>
                <w:szCs w:val="24"/>
                <w:highlight w:val="none"/>
                <w:lang w:val="en-US" w:eastAsia="zh-CN" w:bidi="ar"/>
              </w:rPr>
              <w:t>复印件</w:t>
            </w:r>
            <w:r>
              <w:rPr>
                <w:rFonts w:hint="eastAsia" w:ascii="宋体" w:hAnsi="宋体" w:eastAsia="宋体" w:cs="宋体"/>
                <w:color w:val="auto"/>
                <w:kern w:val="0"/>
                <w:sz w:val="24"/>
                <w:szCs w:val="24"/>
                <w:highlight w:val="none"/>
                <w:lang w:bidi="ar"/>
              </w:rPr>
              <w:t>、证书材料、</w:t>
            </w:r>
            <w:r>
              <w:rPr>
                <w:rFonts w:hint="eastAsia" w:ascii="宋体" w:hAnsi="宋体" w:cs="宋体"/>
                <w:color w:val="auto"/>
                <w:kern w:val="0"/>
                <w:sz w:val="24"/>
                <w:szCs w:val="24"/>
                <w:highlight w:val="none"/>
                <w:lang w:val="en-US" w:eastAsia="zh-CN" w:bidi="ar"/>
              </w:rPr>
              <w:t>近3个月任意一个月在本单位缴纳的社保证明</w:t>
            </w:r>
            <w:r>
              <w:rPr>
                <w:rFonts w:hint="eastAsia" w:ascii="宋体" w:hAnsi="宋体" w:eastAsia="宋体" w:cs="宋体"/>
                <w:color w:val="auto"/>
                <w:kern w:val="0"/>
                <w:sz w:val="24"/>
                <w:szCs w:val="24"/>
                <w:highlight w:val="none"/>
              </w:rPr>
              <w:t>、拟派人员与投标人共同出具的保证能在本项目服务期间专职为本项目服务的承诺函</w:t>
            </w:r>
            <w:r>
              <w:rPr>
                <w:rFonts w:hint="eastAsia" w:ascii="宋体" w:hAnsi="宋体" w:eastAsia="宋体" w:cs="宋体"/>
                <w:color w:val="auto"/>
                <w:kern w:val="0"/>
                <w:sz w:val="24"/>
                <w:szCs w:val="24"/>
                <w:highlight w:val="none"/>
                <w:lang w:bidi="ar"/>
              </w:rPr>
              <w:t>，否则该项不得分。本项最高得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705"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调解联络员情况：</w:t>
            </w:r>
          </w:p>
          <w:p>
            <w:pPr>
              <w:keepNext w:val="0"/>
              <w:keepLines w:val="0"/>
              <w:pageBreakBefore w:val="0"/>
              <w:kinsoku/>
              <w:wordWrap/>
              <w:overflowPunct/>
              <w:topLinePunct w:val="0"/>
              <w:autoSpaceDE/>
              <w:autoSpaceDN/>
              <w:bidi w:val="0"/>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lang w:val="en-US" w:eastAsia="zh-CN"/>
              </w:rPr>
              <w:t>男60</w:t>
            </w:r>
            <w:r>
              <w:rPr>
                <w:rFonts w:hint="eastAsia" w:ascii="宋体" w:hAnsi="宋体" w:eastAsia="宋体" w:cs="宋体"/>
                <w:color w:val="auto"/>
                <w:sz w:val="24"/>
                <w:szCs w:val="24"/>
                <w:highlight w:val="none"/>
              </w:rPr>
              <w:t>周岁（含）以下，每符合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人得1分，不符合不得分</w:t>
            </w:r>
            <w:r>
              <w:rPr>
                <w:rFonts w:hint="eastAsia" w:ascii="宋体" w:hAnsi="宋体" w:cs="宋体"/>
                <w:color w:val="auto"/>
                <w:sz w:val="24"/>
                <w:szCs w:val="24"/>
                <w:highlight w:val="none"/>
                <w:lang w:eastAsia="zh-CN"/>
              </w:rPr>
              <w:t>。最高得</w:t>
            </w:r>
            <w:r>
              <w:rPr>
                <w:rFonts w:hint="eastAsia" w:ascii="宋体" w:hAnsi="宋体" w:cs="宋体"/>
                <w:color w:val="auto"/>
                <w:sz w:val="24"/>
                <w:szCs w:val="24"/>
                <w:highlight w:val="none"/>
                <w:lang w:val="en-US" w:eastAsia="zh-CN"/>
              </w:rPr>
              <w:t>3分。</w:t>
            </w:r>
          </w:p>
          <w:p>
            <w:pPr>
              <w:pStyle w:val="256"/>
              <w:keepNext w:val="0"/>
              <w:keepLines w:val="0"/>
              <w:pageBreakBefore w:val="0"/>
              <w:numPr>
                <w:ilvl w:val="0"/>
                <w:numId w:val="0"/>
              </w:numPr>
              <w:kinsoku/>
              <w:wordWrap/>
              <w:overflowPunct/>
              <w:topLinePunct w:val="0"/>
              <w:autoSpaceDE/>
              <w:autoSpaceDN/>
              <w:bidi w:val="0"/>
              <w:snapToGrid/>
              <w:spacing w:line="400" w:lineRule="exact"/>
              <w:ind w:leftChars="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②具有3年及以上相关客服服务经验（能处理应急突发情况，善沟通协调，服务态度良好）。需提供证明材料，每符合1人得1分，不符合不得分，最高得3分；</w:t>
            </w:r>
          </w:p>
          <w:p>
            <w:pPr>
              <w:pStyle w:val="256"/>
              <w:keepNext w:val="0"/>
              <w:keepLines w:val="0"/>
              <w:pageBreakBefore w:val="0"/>
              <w:numPr>
                <w:ilvl w:val="0"/>
                <w:numId w:val="0"/>
              </w:numPr>
              <w:kinsoku/>
              <w:wordWrap/>
              <w:overflowPunct/>
              <w:topLinePunct w:val="0"/>
              <w:autoSpaceDE/>
              <w:autoSpaceDN/>
              <w:bidi w:val="0"/>
              <w:snapToGrid/>
              <w:spacing w:line="400" w:lineRule="exact"/>
              <w:ind w:leftChars="0"/>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③会基本计算机和相关软件操作。需提供证明材料，每符合1人得1分，不符合不得分，最高得3分。</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提供身份证</w:t>
            </w:r>
            <w:r>
              <w:rPr>
                <w:rFonts w:hint="eastAsia" w:ascii="宋体" w:hAnsi="宋体" w:cs="宋体"/>
                <w:color w:val="auto"/>
                <w:kern w:val="0"/>
                <w:sz w:val="24"/>
                <w:szCs w:val="24"/>
                <w:highlight w:val="none"/>
                <w:lang w:eastAsia="zh-CN" w:bidi="ar"/>
              </w:rPr>
              <w:t>复印件</w:t>
            </w:r>
            <w:r>
              <w:rPr>
                <w:rFonts w:hint="eastAsia" w:ascii="宋体" w:hAnsi="宋体" w:eastAsia="宋体" w:cs="宋体"/>
                <w:color w:val="auto"/>
                <w:kern w:val="0"/>
                <w:sz w:val="24"/>
                <w:szCs w:val="24"/>
                <w:highlight w:val="none"/>
                <w:lang w:bidi="ar"/>
              </w:rPr>
              <w:t>、证明材料、</w:t>
            </w:r>
            <w:r>
              <w:rPr>
                <w:rFonts w:hint="eastAsia" w:ascii="宋体" w:hAnsi="宋体" w:cs="宋体"/>
                <w:color w:val="auto"/>
                <w:kern w:val="0"/>
                <w:sz w:val="24"/>
                <w:szCs w:val="24"/>
                <w:highlight w:val="none"/>
                <w:lang w:val="en-US" w:eastAsia="zh-CN" w:bidi="ar"/>
              </w:rPr>
              <w:t>近3个月任意一个月在本单位缴纳的社保证明</w:t>
            </w:r>
            <w:r>
              <w:rPr>
                <w:rFonts w:hint="eastAsia" w:ascii="宋体" w:hAnsi="宋体" w:eastAsia="宋体" w:cs="宋体"/>
                <w:color w:val="auto"/>
                <w:kern w:val="0"/>
                <w:sz w:val="24"/>
                <w:szCs w:val="24"/>
                <w:highlight w:val="none"/>
              </w:rPr>
              <w:t>、拟派人员与投标人共同出具的保证能在本项目服务期间专职为本项目服务的承诺函</w:t>
            </w:r>
            <w:r>
              <w:rPr>
                <w:rFonts w:hint="eastAsia" w:ascii="宋体" w:hAnsi="宋体" w:eastAsia="宋体" w:cs="宋体"/>
                <w:color w:val="auto"/>
                <w:kern w:val="0"/>
                <w:sz w:val="24"/>
                <w:szCs w:val="24"/>
                <w:highlight w:val="none"/>
                <w:lang w:bidi="ar"/>
              </w:rPr>
              <w:t>，否则该项不得分。本项最高</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0-9</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705"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4367" w:type="dxa"/>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保安人员情况：</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lang w:val="en-US" w:eastAsia="zh-CN"/>
              </w:rPr>
              <w:t>男6</w:t>
            </w:r>
            <w:r>
              <w:rPr>
                <w:rFonts w:hint="eastAsia" w:ascii="宋体" w:hAnsi="宋体" w:eastAsia="宋体" w:cs="宋体"/>
                <w:color w:val="auto"/>
                <w:sz w:val="24"/>
                <w:szCs w:val="24"/>
                <w:highlight w:val="none"/>
              </w:rPr>
              <w:t>0周岁（含）以下，</w:t>
            </w:r>
            <w:r>
              <w:rPr>
                <w:rFonts w:hint="eastAsia" w:ascii="宋体" w:hAnsi="宋体" w:cs="宋体"/>
                <w:color w:val="auto"/>
                <w:sz w:val="24"/>
                <w:szCs w:val="24"/>
                <w:highlight w:val="none"/>
                <w:shd w:val="clear" w:color="auto" w:fill="FFFFFF"/>
                <w:lang w:eastAsia="zh-CN"/>
              </w:rPr>
              <w:t>具有高中以上学历的，</w:t>
            </w:r>
            <w:r>
              <w:rPr>
                <w:rFonts w:hint="eastAsia" w:ascii="宋体" w:hAnsi="宋体" w:eastAsia="宋体" w:cs="宋体"/>
                <w:color w:val="auto"/>
                <w:sz w:val="24"/>
                <w:szCs w:val="24"/>
                <w:highlight w:val="none"/>
              </w:rPr>
              <w:t>每符合1人得0.5分，不符合不得分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最高得2分。</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具有3年及以上保安服务经验，</w:t>
            </w:r>
            <w:r>
              <w:rPr>
                <w:rFonts w:hint="eastAsia" w:ascii="宋体" w:hAnsi="宋体" w:eastAsia="宋体" w:cs="宋体"/>
                <w:color w:val="auto"/>
                <w:kern w:val="0"/>
                <w:sz w:val="24"/>
                <w:szCs w:val="24"/>
                <w:highlight w:val="none"/>
                <w:lang w:bidi="ar"/>
              </w:rPr>
              <w:t>需提供</w:t>
            </w:r>
            <w:r>
              <w:rPr>
                <w:rFonts w:hint="eastAsia" w:ascii="宋体" w:hAnsi="宋体" w:cs="宋体"/>
                <w:color w:val="auto"/>
                <w:kern w:val="0"/>
                <w:sz w:val="24"/>
                <w:szCs w:val="24"/>
                <w:highlight w:val="none"/>
                <w:lang w:eastAsia="zh-CN" w:bidi="ar"/>
              </w:rPr>
              <w:t>业主</w:t>
            </w:r>
            <w:r>
              <w:rPr>
                <w:rFonts w:hint="eastAsia" w:ascii="宋体" w:hAnsi="宋体" w:eastAsia="宋体" w:cs="宋体"/>
                <w:color w:val="auto"/>
                <w:kern w:val="0"/>
                <w:sz w:val="24"/>
                <w:szCs w:val="24"/>
                <w:highlight w:val="none"/>
                <w:lang w:bidi="ar"/>
              </w:rPr>
              <w:t>单位证明</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sz w:val="24"/>
                <w:szCs w:val="24"/>
                <w:highlight w:val="none"/>
              </w:rPr>
              <w:t>每符合1人得1分，不符合不得分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最高4分。</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提供身份证</w:t>
            </w:r>
            <w:r>
              <w:rPr>
                <w:rFonts w:hint="eastAsia" w:ascii="宋体" w:hAnsi="宋体" w:cs="宋体"/>
                <w:color w:val="auto"/>
                <w:kern w:val="0"/>
                <w:sz w:val="24"/>
                <w:szCs w:val="24"/>
                <w:highlight w:val="none"/>
                <w:lang w:val="en-US" w:eastAsia="zh-CN" w:bidi="ar"/>
              </w:rPr>
              <w:t>复印件</w:t>
            </w:r>
            <w:r>
              <w:rPr>
                <w:rFonts w:hint="eastAsia" w:ascii="宋体" w:hAnsi="宋体" w:eastAsia="宋体" w:cs="宋体"/>
                <w:color w:val="auto"/>
                <w:kern w:val="0"/>
                <w:sz w:val="24"/>
                <w:szCs w:val="24"/>
                <w:highlight w:val="none"/>
                <w:lang w:bidi="ar"/>
              </w:rPr>
              <w:t>、证书材料、</w:t>
            </w:r>
            <w:r>
              <w:rPr>
                <w:rFonts w:hint="eastAsia" w:ascii="宋体" w:hAnsi="宋体" w:cs="宋体"/>
                <w:color w:val="auto"/>
                <w:kern w:val="0"/>
                <w:sz w:val="24"/>
                <w:szCs w:val="24"/>
                <w:highlight w:val="none"/>
                <w:lang w:val="en-US" w:eastAsia="zh-CN" w:bidi="ar"/>
              </w:rPr>
              <w:t>近3个月任意一个月在本单位缴纳的社保证明</w:t>
            </w:r>
            <w:r>
              <w:rPr>
                <w:rFonts w:hint="eastAsia" w:ascii="宋体" w:hAnsi="宋体" w:eastAsia="宋体" w:cs="宋体"/>
                <w:color w:val="auto"/>
                <w:kern w:val="0"/>
                <w:sz w:val="24"/>
                <w:szCs w:val="24"/>
                <w:highlight w:val="none"/>
              </w:rPr>
              <w:t>、拟派人员与投标人共同出具的保证能在本项目服务期间专职为本项目服务的承诺函</w:t>
            </w:r>
            <w:r>
              <w:rPr>
                <w:rFonts w:hint="eastAsia" w:ascii="宋体" w:hAnsi="宋体" w:eastAsia="宋体" w:cs="宋体"/>
                <w:color w:val="auto"/>
                <w:kern w:val="0"/>
                <w:sz w:val="24"/>
                <w:szCs w:val="24"/>
                <w:highlight w:val="none"/>
                <w:lang w:bidi="ar"/>
              </w:rPr>
              <w:t>，否则该项不得分。本项最高得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0-6</w:t>
            </w:r>
          </w:p>
        </w:tc>
        <w:tc>
          <w:tcPr>
            <w:tcW w:w="10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705" w:type="dxa"/>
            <w:vMerge w:val="continue"/>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4367" w:type="dxa"/>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保洁人员情况：</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highlight w:val="none"/>
              </w:rPr>
              <w:t>年龄男</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周岁（含）以下，女55周岁</w:t>
            </w:r>
            <w:bookmarkStart w:id="411" w:name="OLE_LINK27"/>
            <w:r>
              <w:rPr>
                <w:rFonts w:hint="eastAsia" w:ascii="宋体" w:hAnsi="宋体" w:eastAsia="宋体" w:cs="宋体"/>
                <w:color w:val="auto"/>
                <w:sz w:val="24"/>
                <w:szCs w:val="24"/>
                <w:highlight w:val="none"/>
              </w:rPr>
              <w:t>（含）</w:t>
            </w:r>
            <w:bookmarkEnd w:id="411"/>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每符合一人得0.5分，不符合不得分）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最高得1.5分</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具有初中及以上学历。每符合一人得0.5分，不符合不得分）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最</w:t>
            </w:r>
            <w:r>
              <w:rPr>
                <w:rFonts w:hint="eastAsia" w:ascii="宋体" w:hAnsi="宋体" w:eastAsia="宋体" w:cs="宋体"/>
                <w:color w:val="auto"/>
                <w:sz w:val="24"/>
                <w:szCs w:val="24"/>
                <w:lang w:eastAsia="zh-CN"/>
              </w:rPr>
              <w:t>高得1.5分</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eastAsia="zh-CN"/>
              </w:rPr>
              <w:t>③</w:t>
            </w:r>
            <w:r>
              <w:rPr>
                <w:rFonts w:hint="eastAsia" w:ascii="宋体" w:hAnsi="宋体" w:eastAsia="宋体" w:cs="宋体"/>
                <w:color w:val="auto"/>
                <w:sz w:val="24"/>
                <w:szCs w:val="24"/>
              </w:rPr>
              <w:t>具有3年及以上保洁服务经验</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lang w:bidi="ar"/>
              </w:rPr>
              <w:t>需提供业主单位证明</w:t>
            </w:r>
            <w:r>
              <w:rPr>
                <w:rFonts w:hint="eastAsia" w:ascii="宋体" w:hAnsi="宋体" w:cs="宋体"/>
                <w:color w:val="auto"/>
                <w:kern w:val="0"/>
                <w:sz w:val="24"/>
                <w:szCs w:val="24"/>
                <w:lang w:eastAsia="zh-CN" w:bidi="ar"/>
              </w:rPr>
              <w:t>。</w:t>
            </w:r>
            <w:r>
              <w:rPr>
                <w:rFonts w:hint="eastAsia" w:ascii="宋体" w:hAnsi="宋体" w:eastAsia="宋体" w:cs="宋体"/>
                <w:color w:val="auto"/>
                <w:sz w:val="24"/>
                <w:szCs w:val="24"/>
              </w:rPr>
              <w:t>每符合一人得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分，不符合不得分</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lang w:bidi="ar"/>
              </w:rPr>
              <w:t>最高得3分；</w:t>
            </w:r>
          </w:p>
          <w:p>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提供</w:t>
            </w:r>
            <w:r>
              <w:rPr>
                <w:rFonts w:hint="eastAsia" w:ascii="宋体" w:hAnsi="宋体" w:eastAsia="宋体" w:cs="宋体"/>
                <w:color w:val="auto"/>
                <w:kern w:val="0"/>
                <w:sz w:val="24"/>
                <w:szCs w:val="24"/>
                <w:highlight w:val="none"/>
                <w:lang w:bidi="ar"/>
              </w:rPr>
              <w:t>身份证</w:t>
            </w:r>
            <w:r>
              <w:rPr>
                <w:rFonts w:hint="eastAsia" w:ascii="宋体" w:hAnsi="宋体" w:cs="宋体"/>
                <w:color w:val="auto"/>
                <w:kern w:val="0"/>
                <w:sz w:val="24"/>
                <w:szCs w:val="24"/>
                <w:highlight w:val="none"/>
                <w:lang w:eastAsia="zh-CN" w:bidi="ar"/>
              </w:rPr>
              <w:t>复印件</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rPr>
              <w:t>拟派人员与投标人共同出具的保证能在本项目服务期间专职为本项目服务的承诺函</w:t>
            </w:r>
            <w:r>
              <w:rPr>
                <w:rFonts w:hint="eastAsia" w:ascii="宋体" w:hAnsi="宋体" w:eastAsia="宋体" w:cs="宋体"/>
                <w:color w:val="auto"/>
                <w:kern w:val="0"/>
                <w:sz w:val="24"/>
                <w:szCs w:val="24"/>
                <w:lang w:bidi="ar"/>
              </w:rPr>
              <w:t>，否则该项不得分。</w:t>
            </w:r>
            <w:r>
              <w:rPr>
                <w:rFonts w:hint="eastAsia" w:ascii="宋体" w:hAnsi="宋体" w:eastAsia="宋体" w:cs="宋体"/>
                <w:color w:val="auto"/>
                <w:kern w:val="0"/>
                <w:sz w:val="24"/>
                <w:szCs w:val="24"/>
                <w:highlight w:val="none"/>
                <w:lang w:bidi="ar"/>
              </w:rPr>
              <w:t>本项最高得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0-6</w:t>
            </w:r>
          </w:p>
        </w:tc>
        <w:tc>
          <w:tcPr>
            <w:tcW w:w="102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客观分</w:t>
            </w:r>
          </w:p>
        </w:tc>
        <w:tc>
          <w:tcPr>
            <w:tcW w:w="1705" w:type="dxa"/>
            <w:vMerge w:val="continue"/>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4367" w:type="dxa"/>
            <w:vAlign w:val="top"/>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采购人要求的人员配置数量为基本要求，投标人在投标时提供①详细的岗位人员配备方案，包括物业服务人员的配备数量、工作岗位、排班时间，②针对本项目特点接受采购人相关需求的人员培训，制订切实可行的员工素质能力提升培训计划。方案具有合理性、可操作性</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每符合</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项得2分，</w:t>
            </w:r>
            <w:r>
              <w:rPr>
                <w:rFonts w:hint="eastAsia" w:ascii="宋体" w:hAnsi="宋体" w:cs="宋体"/>
                <w:color w:val="auto"/>
                <w:sz w:val="24"/>
                <w:szCs w:val="24"/>
                <w:highlight w:val="none"/>
                <w:lang w:val="en-US" w:eastAsia="zh-CN"/>
              </w:rPr>
              <w:t>部分符合得1分，</w:t>
            </w:r>
            <w:r>
              <w:rPr>
                <w:rFonts w:hint="eastAsia" w:ascii="宋体" w:hAnsi="宋体" w:eastAsia="宋体" w:cs="宋体"/>
                <w:color w:val="auto"/>
                <w:sz w:val="24"/>
                <w:szCs w:val="24"/>
                <w:highlight w:val="none"/>
              </w:rPr>
              <w:t>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本项最高得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0-4</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培训计划、考核方案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4367" w:type="dxa"/>
            <w:vAlign w:val="center"/>
          </w:tcPr>
          <w:p>
            <w:pPr>
              <w:keepNext w:val="0"/>
              <w:keepLines w:val="0"/>
              <w:pageBreakBefore w:val="0"/>
              <w:kinsoku/>
              <w:wordWrap/>
              <w:overflowPunct/>
              <w:topLinePunct w:val="0"/>
              <w:autoSpaceDE/>
              <w:autoSpaceDN/>
              <w:bidi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针对性解决方案及更优化的建议：对列入本次采购的物业管理项目中的服务重点、难点问题的理解和阐述合理，能否提出针对性解决方案及更优化的建议，内容阐述全面</w:t>
            </w:r>
            <w:r>
              <w:rPr>
                <w:rFonts w:hint="eastAsia" w:ascii="宋体" w:hAnsi="宋体" w:cs="宋体"/>
                <w:color w:val="auto"/>
                <w:sz w:val="24"/>
                <w:szCs w:val="24"/>
                <w:highlight w:val="none"/>
                <w:lang w:eastAsia="zh-CN"/>
              </w:rPr>
              <w:t>，方案合理、有针对性，</w:t>
            </w:r>
            <w:r>
              <w:rPr>
                <w:rFonts w:hint="eastAsia" w:ascii="宋体" w:hAnsi="宋体" w:eastAsia="宋体" w:cs="宋体"/>
                <w:color w:val="auto"/>
                <w:sz w:val="24"/>
                <w:szCs w:val="24"/>
                <w:highlight w:val="none"/>
              </w:rPr>
              <w:t>符合得5分，部分符合得2分，不符合不得分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此项最高5分</w:t>
            </w:r>
            <w:r>
              <w:rPr>
                <w:rFonts w:hint="eastAsia" w:ascii="宋体" w:hAnsi="宋体" w:cs="宋体"/>
                <w:color w:val="auto"/>
                <w:sz w:val="24"/>
                <w:szCs w:val="24"/>
                <w:highlight w:val="none"/>
                <w:shd w:val="clear" w:color="auto" w:fill="FFFFFF"/>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0-5</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针对性解决方案及更优化的建议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4367" w:type="dxa"/>
            <w:vAlign w:val="top"/>
          </w:tcPr>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拟投入设备设施：提供相关设备、工具、材料的品牌、型号、产地、数量等清单，品种、数量配置是否合理。满足需求得5分，部分满足需求得2分，不符合不得分。</w:t>
            </w:r>
            <w:r>
              <w:rPr>
                <w:rFonts w:hint="eastAsia" w:ascii="宋体" w:hAnsi="宋体" w:eastAsia="宋体" w:cs="宋体"/>
                <w:color w:val="auto"/>
                <w:sz w:val="24"/>
                <w:szCs w:val="24"/>
                <w:highlight w:val="none"/>
                <w:shd w:val="clear" w:color="auto" w:fill="FFFFFF"/>
              </w:rPr>
              <w:t>此项最高5分</w:t>
            </w:r>
            <w:r>
              <w:rPr>
                <w:rFonts w:hint="eastAsia" w:ascii="宋体" w:hAnsi="宋体" w:cs="宋体"/>
                <w:color w:val="auto"/>
                <w:sz w:val="24"/>
                <w:szCs w:val="24"/>
                <w:highlight w:val="none"/>
                <w:shd w:val="clear" w:color="auto" w:fill="FFFFFF"/>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0-5</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投入的设备设施情况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4367" w:type="dxa"/>
            <w:vAlign w:val="center"/>
          </w:tcPr>
          <w:p>
            <w:pPr>
              <w:keepNext w:val="0"/>
              <w:keepLines w:val="0"/>
              <w:pageBreakBefore w:val="0"/>
              <w:kinsoku/>
              <w:wordWrap/>
              <w:overflowPunct/>
              <w:topLinePunct w:val="0"/>
              <w:autoSpaceDE/>
              <w:autoSpaceDN/>
              <w:bidi w:val="0"/>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eastAsia="zh-CN"/>
              </w:rPr>
              <w:t>针对本项目的</w:t>
            </w:r>
            <w:r>
              <w:rPr>
                <w:rFonts w:hint="eastAsia" w:ascii="宋体" w:hAnsi="宋体" w:eastAsia="宋体" w:cs="宋体"/>
                <w:color w:val="auto"/>
                <w:sz w:val="24"/>
                <w:szCs w:val="24"/>
                <w:highlight w:val="none"/>
              </w:rPr>
              <w:t>质量考核办法及奖惩制度的全面性、针对性及可行性进行综合评分。方案内容</w:t>
            </w:r>
            <w:r>
              <w:rPr>
                <w:rFonts w:hint="eastAsia" w:ascii="宋体" w:hAnsi="宋体" w:cs="宋体"/>
                <w:color w:val="auto"/>
                <w:sz w:val="24"/>
                <w:szCs w:val="24"/>
                <w:highlight w:val="none"/>
                <w:lang w:eastAsia="zh-CN"/>
              </w:rPr>
              <w:t>需</w:t>
            </w:r>
            <w:r>
              <w:rPr>
                <w:rFonts w:hint="eastAsia" w:ascii="宋体" w:hAnsi="宋体" w:eastAsia="宋体" w:cs="宋体"/>
                <w:color w:val="auto"/>
                <w:sz w:val="24"/>
                <w:szCs w:val="24"/>
                <w:highlight w:val="none"/>
              </w:rPr>
              <w:t>全面合理有针对性</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得3分，基本符合得2分，不合理或不提供的不得分。</w:t>
            </w:r>
            <w:r>
              <w:rPr>
                <w:rFonts w:hint="eastAsia" w:ascii="宋体" w:hAnsi="宋体" w:eastAsia="宋体" w:cs="宋体"/>
                <w:color w:val="auto"/>
                <w:sz w:val="24"/>
                <w:szCs w:val="24"/>
                <w:highlight w:val="none"/>
                <w:shd w:val="clear" w:color="auto" w:fill="FFFFFF"/>
              </w:rPr>
              <w:t>此项最高</w:t>
            </w: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w:t>
            </w:r>
            <w:r>
              <w:rPr>
                <w:rFonts w:hint="eastAsia" w:ascii="宋体" w:hAnsi="宋体" w:cs="宋体"/>
                <w:color w:val="auto"/>
                <w:sz w:val="24"/>
                <w:szCs w:val="24"/>
                <w:highlight w:val="none"/>
                <w:shd w:val="clear" w:color="auto" w:fill="FFFFFF"/>
                <w:lang w:eastAsia="zh-CN"/>
              </w:rPr>
              <w:t>。</w:t>
            </w:r>
          </w:p>
        </w:tc>
        <w:tc>
          <w:tcPr>
            <w:tcW w:w="885"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0-3</w:t>
            </w:r>
          </w:p>
        </w:tc>
        <w:tc>
          <w:tcPr>
            <w:tcW w:w="10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705"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21</w:t>
            </w:r>
          </w:p>
        </w:tc>
        <w:tc>
          <w:tcPr>
            <w:tcW w:w="4367" w:type="dxa"/>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10</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p>
        </w:tc>
        <w:tc>
          <w:tcPr>
            <w:tcW w:w="885"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0-10</w:t>
            </w:r>
          </w:p>
        </w:tc>
        <w:tc>
          <w:tcPr>
            <w:tcW w:w="1020" w:type="dxa"/>
            <w:vAlign w:val="center"/>
          </w:tcPr>
          <w:p>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客观分</w:t>
            </w:r>
          </w:p>
        </w:tc>
        <w:tc>
          <w:tcPr>
            <w:tcW w:w="1705"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rPr>
        <w:t xml:space="preserve"> </w:t>
      </w: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bookmarkStart w:id="412" w:name="OLE_LINK12"/>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bookmarkStart w:id="413" w:name="OLE_LINK15"/>
      <w:r>
        <w:rPr>
          <w:rFonts w:hint="eastAsia" w:ascii="宋体" w:hAnsi="宋体" w:cs="宋体"/>
          <w:color w:val="auto"/>
          <w:kern w:val="0"/>
          <w:sz w:val="24"/>
          <w:highlight w:val="none"/>
        </w:rPr>
        <w:t>投标人对根据修正原则修正后的报价不确认的；</w:t>
      </w:r>
      <w:bookmarkEnd w:id="413"/>
    </w:p>
    <w:bookmarkEnd w:id="412"/>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7"/>
        <w:snapToGrid w:val="0"/>
        <w:spacing w:line="360" w:lineRule="auto"/>
        <w:rPr>
          <w:rFonts w:cs="宋体"/>
        </w:rPr>
      </w:pPr>
      <w:r>
        <w:rPr>
          <w:rFonts w:hint="eastAsia" w:cs="宋体"/>
        </w:rPr>
        <w:t>5.1符合专业条件的供应商或者对招标文件作实质响应的供应商不足3家的；</w:t>
      </w:r>
    </w:p>
    <w:p>
      <w:pPr>
        <w:pStyle w:val="7"/>
        <w:snapToGrid w:val="0"/>
        <w:spacing w:line="360" w:lineRule="auto"/>
        <w:rPr>
          <w:rFonts w:cs="宋体"/>
        </w:rPr>
      </w:pPr>
      <w:r>
        <w:rPr>
          <w:rFonts w:hint="eastAsia" w:cs="宋体"/>
        </w:rPr>
        <w:t>5.2出现影响采购公正的违法、违规行为的；</w:t>
      </w:r>
    </w:p>
    <w:p>
      <w:pPr>
        <w:pStyle w:val="7"/>
        <w:snapToGrid w:val="0"/>
        <w:spacing w:line="360" w:lineRule="auto"/>
        <w:rPr>
          <w:rFonts w:cs="宋体"/>
        </w:rPr>
      </w:pPr>
      <w:r>
        <w:rPr>
          <w:rFonts w:hint="eastAsia" w:cs="宋体"/>
        </w:rPr>
        <w:t>5.3投标人的报价均超过了采购预算，采购人不能支付的；</w:t>
      </w:r>
    </w:p>
    <w:p>
      <w:pPr>
        <w:pStyle w:val="7"/>
        <w:snapToGrid w:val="0"/>
        <w:spacing w:line="360" w:lineRule="auto"/>
        <w:rPr>
          <w:rFonts w:cs="宋体"/>
        </w:rPr>
      </w:pPr>
      <w:r>
        <w:rPr>
          <w:rFonts w:hint="eastAsia" w:cs="宋体"/>
        </w:rPr>
        <w:t>5.4因重大变故，采购任务取消的。</w:t>
      </w:r>
    </w:p>
    <w:p>
      <w:pPr>
        <w:pStyle w:val="7"/>
        <w:snapToGrid w:val="0"/>
        <w:spacing w:line="360" w:lineRule="auto"/>
        <w:rPr>
          <w:rFonts w:cs="宋体"/>
        </w:rPr>
      </w:pPr>
      <w:r>
        <w:rPr>
          <w:rFonts w:hint="eastAsia" w:cs="宋体"/>
        </w:rPr>
        <w:t>废标后，</w:t>
      </w:r>
      <w:r>
        <w:rPr>
          <w:rFonts w:hint="eastAsia" w:ascii="宋体" w:hAnsi="宋体" w:cs="宋体"/>
          <w:sz w:val="24"/>
          <w:highlight w:val="none"/>
          <w:lang w:eastAsia="zh-CN"/>
        </w:rPr>
        <w:t>采购机构</w:t>
      </w:r>
      <w:r>
        <w:rPr>
          <w:rFonts w:hint="eastAsia" w:cs="宋体"/>
        </w:rPr>
        <w:t>应当将废标理由通知所有投标人。</w:t>
      </w:r>
    </w:p>
    <w:p>
      <w:pPr>
        <w:pStyle w:val="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ascii="宋体" w:hAnsi="宋体" w:cs="宋体"/>
          <w:sz w:val="24"/>
          <w:highlight w:val="none"/>
          <w:lang w:eastAsia="zh-CN"/>
        </w:rPr>
        <w:t>采购机构</w:t>
      </w:r>
      <w:r>
        <w:rPr>
          <w:rFonts w:hint="eastAsia" w:cs="宋体"/>
        </w:rPr>
        <w:t>沟通并作书面记录。采购人、</w:t>
      </w:r>
      <w:r>
        <w:rPr>
          <w:rFonts w:hint="eastAsia" w:ascii="宋体" w:hAnsi="宋体" w:cs="宋体"/>
          <w:sz w:val="24"/>
          <w:highlight w:val="none"/>
          <w:lang w:eastAsia="zh-CN"/>
        </w:rPr>
        <w:t>采购机构</w:t>
      </w:r>
      <w:r>
        <w:rPr>
          <w:rFonts w:hint="eastAsia" w:cs="宋体"/>
        </w:rPr>
        <w:t>确认后，将修改招标文件，重新组织采购活动。</w:t>
      </w:r>
    </w:p>
    <w:p>
      <w:pPr>
        <w:pStyle w:val="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7"/>
        <w:snapToGrid w:val="0"/>
        <w:spacing w:line="360" w:lineRule="auto"/>
        <w:rPr>
          <w:rFonts w:cs="宋体"/>
        </w:rPr>
      </w:pPr>
      <w:r>
        <w:rPr>
          <w:rFonts w:hint="eastAsia" w:cs="宋体"/>
        </w:rPr>
        <w:t>7.1未确定中标供应商的，终止本次政府采购活动，重新开展政府采购活动。</w:t>
      </w:r>
    </w:p>
    <w:p>
      <w:pPr>
        <w:pStyle w:val="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cs="宋体"/>
        </w:rPr>
      </w:pPr>
      <w:r>
        <w:rPr>
          <w:rFonts w:hint="eastAsia" w:cs="宋体"/>
        </w:rPr>
        <w:t>7.4政府采购合同已经履行，给采购人、供应商造成损失的，由责任人承担赔偿责任。</w:t>
      </w:r>
    </w:p>
    <w:p>
      <w:pPr>
        <w:pStyle w:val="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7"/>
        <w:snapToGrid w:val="0"/>
        <w:spacing w:line="360" w:lineRule="auto"/>
        <w:ind w:firstLine="0" w:firstLineChars="0"/>
        <w:rPr>
          <w:rFonts w:cs="宋体"/>
        </w:rPr>
      </w:pPr>
    </w:p>
    <w:bookmarkEnd w:id="43"/>
    <w:p>
      <w:pPr>
        <w:spacing w:line="360" w:lineRule="auto"/>
        <w:ind w:left="720" w:leftChars="343" w:firstLine="1084" w:firstLineChars="300"/>
        <w:outlineLvl w:val="0"/>
        <w:rPr>
          <w:rFonts w:ascii="宋体" w:hAnsi="宋体" w:cs="宋体"/>
          <w:b/>
          <w:sz w:val="36"/>
          <w:szCs w:val="36"/>
        </w:rPr>
      </w:pPr>
      <w:bookmarkStart w:id="414" w:name="第五部分"/>
      <w:bookmarkStart w:id="415" w:name="_Toc86217003"/>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4"/>
        <w:rPr>
          <w:rFonts w:ascii="宋体" w:hAnsi="宋体" w:cs="宋体"/>
          <w:b/>
          <w:sz w:val="36"/>
          <w:szCs w:val="36"/>
        </w:rPr>
      </w:pPr>
    </w:p>
    <w:p/>
    <w:p>
      <w:pPr>
        <w:rPr>
          <w:rFonts w:ascii="宋体" w:hAnsi="宋体" w:cs="宋体"/>
          <w:b/>
          <w:sz w:val="36"/>
          <w:szCs w:val="36"/>
        </w:rPr>
      </w:pPr>
    </w:p>
    <w:p>
      <w:pPr>
        <w:pStyle w:val="4"/>
        <w:rPr>
          <w:rFonts w:ascii="宋体" w:hAnsi="宋体" w:cs="宋体"/>
          <w:b/>
          <w:sz w:val="36"/>
          <w:szCs w:val="36"/>
        </w:rPr>
      </w:pPr>
    </w:p>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700"/>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700"/>
        <w:rPr>
          <w:rFonts w:asciiTheme="minorEastAsia" w:hAnsiTheme="minorEastAsia" w:eastAsiaTheme="minorEastAsia"/>
          <w:szCs w:val="24"/>
        </w:rPr>
      </w:pPr>
    </w:p>
    <w:p>
      <w:pPr>
        <w:pStyle w:val="700"/>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杭州市</w:t>
      </w:r>
      <w:r>
        <w:rPr>
          <w:rFonts w:hint="eastAsia" w:ascii="宋体" w:hAnsi="宋体"/>
          <w:sz w:val="24"/>
          <w:u w:val="single"/>
          <w:lang w:eastAsia="zh-CN"/>
        </w:rPr>
        <w:t>上城区人力资源和社会保障局办公大楼（广景弄）物业管理服务项目</w:t>
      </w: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bookmarkStart w:id="416" w:name="_Toc28855"/>
      <w:bookmarkStart w:id="417" w:name="_Toc15367"/>
      <w:bookmarkStart w:id="418" w:name="_Toc22967"/>
      <w:bookmarkStart w:id="419" w:name="_Toc19273"/>
      <w:bookmarkStart w:id="420" w:name="_Toc20421"/>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sz w:val="24"/>
          <w:u w:val="single"/>
          <w:lang w:eastAsia="zh-CN"/>
        </w:rPr>
        <w:t>杭州市上城区人力资源和社会保障局办公大楼（广景弄）物业管理服务</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Theme="minorEastAsia" w:hAnsiTheme="minorEastAsia" w:eastAsiaTheme="minorEastAsia"/>
          <w:sz w:val="24"/>
          <w:u w:val="single"/>
          <w:lang w:val="en-US" w:eastAsia="zh-CN"/>
        </w:rPr>
        <w:t>杭州市上城区人力资源和社会保障局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bookmarkEnd w:id="416"/>
    <w:bookmarkEnd w:id="417"/>
    <w:bookmarkEnd w:id="418"/>
    <w:bookmarkEnd w:id="419"/>
    <w:bookmarkEnd w:id="420"/>
    <w:p>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21" w:name="_Toc6311"/>
      <w:bookmarkStart w:id="422" w:name="_Toc2918"/>
      <w:bookmarkStart w:id="423" w:name="_Toc6773"/>
      <w:bookmarkStart w:id="424" w:name="_Toc18585"/>
      <w:bookmarkStart w:id="425" w:name="_Toc22185"/>
      <w:r>
        <w:rPr>
          <w:rFonts w:ascii="宋体" w:hAnsi="宋体"/>
          <w:b/>
          <w:sz w:val="24"/>
        </w:rPr>
        <w:t xml:space="preserve">1.2 </w:t>
      </w:r>
      <w:r>
        <w:rPr>
          <w:rFonts w:hint="eastAsia" w:ascii="宋体" w:hAnsi="宋体"/>
          <w:b/>
          <w:sz w:val="24"/>
        </w:rPr>
        <w:t>标的</w:t>
      </w:r>
      <w:bookmarkEnd w:id="421"/>
      <w:bookmarkEnd w:id="422"/>
      <w:bookmarkEnd w:id="423"/>
      <w:bookmarkEnd w:id="424"/>
      <w:bookmarkEnd w:id="42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eastAsia="zh-CN"/>
        </w:rPr>
        <w:t>秩序维护服务、保洁服务、会务服务、</w:t>
      </w:r>
      <w:r>
        <w:rPr>
          <w:rFonts w:hint="eastAsia" w:ascii="宋体" w:hAnsi="宋体"/>
          <w:sz w:val="24"/>
          <w:u w:val="single"/>
          <w:lang w:val="en-US" w:eastAsia="zh-CN"/>
        </w:rPr>
        <w:t>联动辅助服务、</w:t>
      </w:r>
      <w:r>
        <w:rPr>
          <w:rFonts w:hint="eastAsia" w:ascii="宋体" w:hAnsi="宋体"/>
          <w:sz w:val="24"/>
          <w:u w:val="single"/>
          <w:lang w:eastAsia="zh-CN"/>
        </w:rPr>
        <w:t>给排水设备运行维护、供电设施日常养护维修、房屋设施日常养护维修、电梯维护管理、绿化养护以及其它需提供的综合服务</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highlight w:val="none"/>
          <w:u w:val="single"/>
        </w:rPr>
        <w:t>根据采购文件确定的技术指标或者服务要求标准。未进行相应约定的，应当符合国家强制性规定、政策要求、安全标准、行业或企业有关标准等 。</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426" w:name="_Toc1386"/>
      <w:bookmarkStart w:id="427" w:name="_Toc13918"/>
      <w:bookmarkStart w:id="428" w:name="_Toc21124"/>
      <w:bookmarkStart w:id="429" w:name="_Toc5635"/>
      <w:bookmarkStart w:id="430" w:name="_Toc4929"/>
      <w:r>
        <w:rPr>
          <w:rFonts w:ascii="宋体" w:hAnsi="宋体"/>
          <w:b/>
          <w:sz w:val="24"/>
        </w:rPr>
        <w:t>1.3 价款</w:t>
      </w:r>
      <w:bookmarkEnd w:id="426"/>
      <w:bookmarkEnd w:id="427"/>
      <w:bookmarkEnd w:id="428"/>
      <w:bookmarkEnd w:id="429"/>
      <w:bookmarkEnd w:id="43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31" w:name="_Toc30506"/>
      <w:bookmarkStart w:id="432" w:name="_Toc30158"/>
      <w:bookmarkStart w:id="433" w:name="_Toc3654"/>
      <w:bookmarkStart w:id="434" w:name="_Toc26916"/>
      <w:bookmarkStart w:id="43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31"/>
    <w:bookmarkEnd w:id="432"/>
    <w:bookmarkEnd w:id="433"/>
    <w:bookmarkEnd w:id="434"/>
    <w:bookmarkEnd w:id="435"/>
    <w:p>
      <w:pPr>
        <w:pStyle w:val="958"/>
        <w:spacing w:before="0" w:beforeAutospacing="0" w:after="0" w:afterAutospacing="0" w:line="360" w:lineRule="auto"/>
        <w:ind w:firstLine="480"/>
        <w:rPr>
          <w:b/>
        </w:rPr>
      </w:pPr>
      <w:bookmarkStart w:id="436" w:name="_Toc22618"/>
      <w:bookmarkStart w:id="437" w:name="_Toc10340"/>
      <w:bookmarkStart w:id="438" w:name="_Toc1814"/>
      <w:bookmarkStart w:id="439" w:name="_Toc8772"/>
      <w:bookmarkStart w:id="440" w:name="_Toc3625"/>
      <w:bookmarkStart w:id="441" w:name="_Toc4760"/>
      <w:bookmarkStart w:id="442" w:name="_Toc31421"/>
      <w:bookmarkStart w:id="443" w:name="_Toc1110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6"/>
      <w:bookmarkEnd w:id="437"/>
      <w:bookmarkEnd w:id="438"/>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9"/>
      <w:bookmarkEnd w:id="440"/>
      <w:bookmarkEnd w:id="441"/>
      <w:bookmarkEnd w:id="442"/>
      <w:bookmarkEnd w:id="44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2" w:firstLineChars="200"/>
        <w:outlineLvl w:val="0"/>
        <w:rPr>
          <w:rFonts w:ascii="宋体" w:hAnsi="宋体"/>
          <w:sz w:val="24"/>
          <w:u w:val="single"/>
        </w:rPr>
      </w:pPr>
      <w:bookmarkStart w:id="444" w:name="_Toc5698"/>
      <w:bookmarkStart w:id="445" w:name="_Toc8586"/>
      <w:bookmarkStart w:id="446" w:name="_Toc3079"/>
      <w:bookmarkStart w:id="447" w:name="_Toc2375"/>
      <w:bookmarkStart w:id="448" w:name="_Toc24662"/>
      <w:r>
        <w:rPr>
          <w:rFonts w:ascii="宋体" w:hAnsi="宋体"/>
          <w:b/>
          <w:sz w:val="24"/>
        </w:rPr>
        <w:t>1.</w:t>
      </w:r>
      <w:r>
        <w:rPr>
          <w:rFonts w:hint="eastAsia" w:ascii="宋体" w:hAnsi="宋体"/>
          <w:b/>
          <w:sz w:val="24"/>
        </w:rPr>
        <w:t>8违约责任</w:t>
      </w:r>
      <w:bookmarkEnd w:id="444"/>
      <w:bookmarkEnd w:id="445"/>
      <w:bookmarkEnd w:id="446"/>
      <w:bookmarkEnd w:id="447"/>
      <w:bookmarkEnd w:id="44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49" w:name="_Toc32454"/>
      <w:bookmarkStart w:id="450" w:name="_Toc30329"/>
      <w:bookmarkStart w:id="451" w:name="_Toc9497"/>
      <w:bookmarkStart w:id="452" w:name="_Toc26807"/>
      <w:bookmarkStart w:id="45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9"/>
    <w:bookmarkEnd w:id="450"/>
    <w:bookmarkEnd w:id="451"/>
    <w:bookmarkEnd w:id="452"/>
    <w:bookmarkEnd w:id="453"/>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54" w:name="_Toc31297"/>
      <w:bookmarkStart w:id="455" w:name="_Toc25079"/>
      <w:bookmarkStart w:id="456" w:name="_Toc5228"/>
      <w:bookmarkStart w:id="457" w:name="_Toc19680"/>
      <w:bookmarkStart w:id="458" w:name="_Toc14021"/>
      <w:r>
        <w:rPr>
          <w:rFonts w:ascii="宋体" w:hAnsi="宋体"/>
          <w:b/>
          <w:sz w:val="24"/>
        </w:rPr>
        <w:t>2.1 定义</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59" w:name="_Toc3769"/>
      <w:bookmarkStart w:id="460" w:name="_Toc23289"/>
      <w:bookmarkStart w:id="461" w:name="_Toc16752"/>
      <w:bookmarkStart w:id="462" w:name="_Toc31402"/>
      <w:bookmarkStart w:id="463" w:name="_Toc19539"/>
      <w:r>
        <w:rPr>
          <w:rFonts w:ascii="宋体" w:hAnsi="宋体"/>
          <w:b/>
          <w:sz w:val="24"/>
        </w:rPr>
        <w:t>2.2 技术规范</w:t>
      </w:r>
      <w:bookmarkEnd w:id="459"/>
      <w:bookmarkEnd w:id="460"/>
      <w:bookmarkEnd w:id="461"/>
      <w:bookmarkEnd w:id="462"/>
      <w:bookmarkEnd w:id="463"/>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64" w:name="_Toc9161"/>
      <w:bookmarkStart w:id="465" w:name="_Toc27945"/>
      <w:bookmarkStart w:id="466" w:name="_Toc13673"/>
      <w:bookmarkStart w:id="467" w:name="_Toc12412"/>
      <w:bookmarkStart w:id="468" w:name="_Toc4133"/>
      <w:r>
        <w:rPr>
          <w:rFonts w:ascii="宋体" w:hAnsi="宋体"/>
          <w:b/>
          <w:sz w:val="24"/>
        </w:rPr>
        <w:t>2.3 知识产权</w:t>
      </w:r>
      <w:bookmarkEnd w:id="464"/>
      <w:bookmarkEnd w:id="465"/>
      <w:bookmarkEnd w:id="466"/>
      <w:bookmarkEnd w:id="467"/>
      <w:bookmarkEnd w:id="468"/>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69" w:name="_Toc22011"/>
      <w:bookmarkStart w:id="470" w:name="_Toc15447"/>
      <w:bookmarkStart w:id="471" w:name="_Toc32670"/>
      <w:bookmarkStart w:id="472" w:name="_Toc31233"/>
      <w:bookmarkStart w:id="473" w:name="_Toc26555"/>
      <w:r>
        <w:rPr>
          <w:rFonts w:ascii="宋体" w:hAnsi="宋体"/>
          <w:b/>
          <w:sz w:val="24"/>
        </w:rPr>
        <w:t>2.5 结算方式和付款条件</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74" w:name="_Toc16163"/>
      <w:bookmarkStart w:id="475" w:name="_Toc18990"/>
      <w:bookmarkStart w:id="476" w:name="_Toc30507"/>
      <w:bookmarkStart w:id="477" w:name="_Toc13467"/>
      <w:bookmarkStart w:id="478" w:name="_Toc13154"/>
      <w:r>
        <w:rPr>
          <w:rFonts w:ascii="宋体" w:hAnsi="宋体"/>
          <w:b/>
          <w:sz w:val="24"/>
        </w:rPr>
        <w:t>2.6 技术资料和保密义务</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79" w:name="_Toc19069"/>
      <w:r>
        <w:rPr>
          <w:rFonts w:ascii="宋体" w:hAnsi="宋体"/>
          <w:b/>
          <w:sz w:val="24"/>
        </w:rPr>
        <w:t xml:space="preserve">2.7 </w:t>
      </w:r>
      <w:r>
        <w:rPr>
          <w:rFonts w:hint="eastAsia" w:ascii="宋体" w:hAnsi="宋体"/>
          <w:b/>
          <w:sz w:val="24"/>
        </w:rPr>
        <w:t>质量保证</w:t>
      </w:r>
      <w:bookmarkEnd w:id="479"/>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80" w:name="_Toc22267"/>
      <w:r>
        <w:rPr>
          <w:rFonts w:ascii="宋体" w:hAnsi="宋体"/>
          <w:b/>
          <w:sz w:val="24"/>
        </w:rPr>
        <w:t xml:space="preserve">2.8 </w:t>
      </w:r>
      <w:r>
        <w:rPr>
          <w:rFonts w:hint="eastAsia" w:ascii="宋体" w:hAnsi="宋体"/>
          <w:b/>
          <w:sz w:val="24"/>
        </w:rPr>
        <w:t>延迟履行</w:t>
      </w:r>
      <w:bookmarkEnd w:id="480"/>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81" w:name="_Toc10611"/>
      <w:r>
        <w:rPr>
          <w:rFonts w:ascii="宋体" w:hAnsi="宋体"/>
          <w:b/>
          <w:sz w:val="24"/>
        </w:rPr>
        <w:t xml:space="preserve">2.9 </w:t>
      </w:r>
      <w:r>
        <w:rPr>
          <w:rFonts w:hint="eastAsia" w:ascii="宋体" w:hAnsi="宋体"/>
          <w:b/>
          <w:sz w:val="24"/>
        </w:rPr>
        <w:t>合同变更</w:t>
      </w:r>
      <w:bookmarkEnd w:id="481"/>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2" w:name="_Toc26689"/>
      <w:bookmarkStart w:id="483" w:name="_Toc42"/>
      <w:bookmarkStart w:id="484" w:name="_Toc10663"/>
      <w:bookmarkStart w:id="485" w:name="_Toc23368"/>
      <w:bookmarkStart w:id="486" w:name="_Toc21830"/>
      <w:r>
        <w:rPr>
          <w:rFonts w:ascii="宋体" w:hAnsi="宋体"/>
          <w:b/>
          <w:sz w:val="24"/>
        </w:rPr>
        <w:t>2.10 合同转让和分包</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87" w:name="_Toc32494"/>
      <w:bookmarkStart w:id="488" w:name="_Toc14371"/>
      <w:bookmarkStart w:id="489" w:name="_Toc26633"/>
      <w:bookmarkStart w:id="490" w:name="_Toc4720"/>
      <w:bookmarkStart w:id="491" w:name="_Toc25571"/>
      <w:r>
        <w:rPr>
          <w:rFonts w:ascii="宋体" w:hAnsi="宋体"/>
          <w:b/>
          <w:sz w:val="24"/>
        </w:rPr>
        <w:t>2.11 不可抗力</w:t>
      </w:r>
      <w:bookmarkEnd w:id="487"/>
      <w:bookmarkEnd w:id="488"/>
      <w:bookmarkEnd w:id="489"/>
      <w:bookmarkEnd w:id="490"/>
      <w:bookmarkEnd w:id="491"/>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92" w:name="_Toc23854"/>
      <w:bookmarkStart w:id="493" w:name="_Toc25783"/>
      <w:bookmarkStart w:id="494" w:name="_Toc3638"/>
      <w:bookmarkStart w:id="495" w:name="_Toc14115"/>
      <w:bookmarkStart w:id="496" w:name="_Toc24465"/>
      <w:r>
        <w:rPr>
          <w:rFonts w:ascii="宋体" w:hAnsi="宋体"/>
          <w:b/>
          <w:sz w:val="24"/>
        </w:rPr>
        <w:t>2.12 税费</w:t>
      </w:r>
      <w:bookmarkEnd w:id="492"/>
      <w:bookmarkEnd w:id="493"/>
      <w:bookmarkEnd w:id="494"/>
      <w:bookmarkEnd w:id="495"/>
      <w:bookmarkEnd w:id="496"/>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97" w:name="_Toc25525"/>
      <w:bookmarkStart w:id="498" w:name="_Toc14814"/>
      <w:bookmarkStart w:id="499" w:name="_Toc26883"/>
      <w:bookmarkStart w:id="500" w:name="_Toc7315"/>
      <w:bookmarkStart w:id="501" w:name="_Toc30105"/>
      <w:r>
        <w:rPr>
          <w:rFonts w:ascii="宋体" w:hAnsi="宋体"/>
          <w:b/>
          <w:sz w:val="24"/>
        </w:rPr>
        <w:t>2.13 乙方破产</w:t>
      </w:r>
      <w:bookmarkEnd w:id="497"/>
      <w:bookmarkEnd w:id="498"/>
      <w:bookmarkEnd w:id="499"/>
      <w:bookmarkEnd w:id="500"/>
      <w:bookmarkEnd w:id="501"/>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502" w:name="_Toc1123"/>
      <w:bookmarkStart w:id="503" w:name="_Toc2016"/>
      <w:bookmarkStart w:id="504" w:name="_Toc23323"/>
      <w:r>
        <w:rPr>
          <w:rFonts w:ascii="宋体" w:hAnsi="宋体"/>
          <w:b/>
          <w:sz w:val="24"/>
        </w:rPr>
        <w:t>2.14 合同中止、终止</w:t>
      </w:r>
      <w:bookmarkEnd w:id="502"/>
      <w:bookmarkEnd w:id="503"/>
      <w:bookmarkEnd w:id="504"/>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505" w:name="_Toc14525"/>
      <w:bookmarkStart w:id="506" w:name="_Toc17363"/>
      <w:bookmarkStart w:id="507" w:name="_Toc1969"/>
      <w:r>
        <w:rPr>
          <w:rFonts w:ascii="宋体" w:hAnsi="宋体"/>
          <w:b/>
          <w:sz w:val="24"/>
        </w:rPr>
        <w:t>2.15 检验和验收</w:t>
      </w:r>
      <w:bookmarkEnd w:id="505"/>
      <w:bookmarkEnd w:id="506"/>
      <w:bookmarkEnd w:id="507"/>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08" w:name="_Toc9808"/>
      <w:bookmarkStart w:id="509" w:name="_Toc12666"/>
      <w:bookmarkStart w:id="510" w:name="_Toc2308"/>
      <w:bookmarkStart w:id="511" w:name="_Toc31892"/>
      <w:bookmarkStart w:id="512" w:name="_Toc25198"/>
      <w:r>
        <w:rPr>
          <w:rFonts w:ascii="宋体" w:hAnsi="宋体"/>
          <w:b/>
          <w:sz w:val="24"/>
        </w:rPr>
        <w:t>2.16 通知和送达</w:t>
      </w:r>
      <w:bookmarkEnd w:id="508"/>
      <w:bookmarkEnd w:id="509"/>
      <w:bookmarkEnd w:id="510"/>
      <w:bookmarkEnd w:id="511"/>
      <w:bookmarkEnd w:id="512"/>
    </w:p>
    <w:p>
      <w:pPr>
        <w:spacing w:line="560" w:lineRule="exact"/>
        <w:ind w:firstLine="480" w:firstLineChars="200"/>
        <w:rPr>
          <w:rFonts w:ascii="宋体" w:hAnsi="宋体"/>
          <w:sz w:val="24"/>
        </w:rPr>
      </w:pPr>
      <w:bookmarkStart w:id="513" w:name="_Toc27674"/>
      <w:bookmarkStart w:id="51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3"/>
      <w:bookmarkEnd w:id="514"/>
    </w:p>
    <w:p>
      <w:pPr>
        <w:spacing w:line="560" w:lineRule="exact"/>
        <w:ind w:firstLine="482" w:firstLineChars="200"/>
        <w:outlineLvl w:val="0"/>
        <w:rPr>
          <w:rFonts w:ascii="宋体" w:hAnsi="宋体"/>
          <w:b/>
          <w:sz w:val="24"/>
        </w:rPr>
      </w:pPr>
      <w:bookmarkStart w:id="515" w:name="_Toc28906"/>
      <w:bookmarkStart w:id="516" w:name="_Toc27644"/>
      <w:bookmarkStart w:id="517" w:name="_Toc20808"/>
      <w:bookmarkStart w:id="518" w:name="_Toc5063"/>
      <w:bookmarkStart w:id="519"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5"/>
      <w:bookmarkEnd w:id="516"/>
      <w:bookmarkEnd w:id="517"/>
      <w:bookmarkEnd w:id="518"/>
      <w:bookmarkEnd w:id="519"/>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杭州市上城区人力资源和社会保障局（广景弄6号）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按物业类项目服务要求及本项目服务需求提供服务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highlight w:val="none"/>
              </w:rPr>
              <w:t>1.8.7</w:t>
            </w:r>
          </w:p>
        </w:tc>
        <w:tc>
          <w:tcPr>
            <w:tcW w:w="8149"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.7.1投标人应完全按照采购人招标文件的要求和投标人投标文件及相关文件承诺完成本项目，因投标人自身财务、技术、人力等原因导致项目风险的，应承担全部责任。</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7.2采购人有权依据有关法律法规、政府管理的相关职能规定，对本项目进行监督和检查，有权要求投标人按照监督检查情况制定相应措施并加以整改。采购人不因行使该监督和检查权而承担任何责任，也不因此减轻或免除投标人根据合同约定或相关法律法规规定应承担的任何义务或责任。</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7.3投标人每延迟一日缴纳履约保证金，违约金则按应缴纳的履约保证金金额的0.05%计算，最高限额为本合同履约保证金的20%；投标人逾期10日，未按要求缴纳履约保证金的，采购人有权单方面解除合同，并就由此造成的一切损失均由投标人负责赔偿。服务期满，通过验收，采购人于收到投标人退还履约保证金申请之日起5个工作日内凭双方签字盖章的验收意见，退还投标人履约保证金。逾期退还的，投标人可要求采购人支付违约金，违约金按每迟延退还一日的应退还而未退还金额的0.05%计算，最高限额为本合同履约保证金的20%。</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7.4投标人擅自将本合同的全部或部分事务转由合理分包人以外的第三人承担，采购人可解除本合同，且投标人应按合同总价的30％向采购人支付违约金。如发生损失的，投标人还应赔偿采购人损失，赔偿金额不受合同总价限制。</w:t>
            </w:r>
          </w:p>
          <w:p>
            <w:pPr>
              <w:spacing w:line="360" w:lineRule="auto"/>
              <w:rPr>
                <w:rFonts w:ascii="宋体" w:hAnsi="宋体" w:cs="宋体"/>
                <w:sz w:val="24"/>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.7.5投标人所有人员的事故和因投标人工作过错造成的安全管理事故，投标人自行负全部责任及相关费用。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因不可抗力致使合同有变更必要的，双方当事人应在不可抗力事件结束后30日内以书面形式变更合同。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受不可抗力影响的一方在不可抗力发生后，应在不可抗力事件结束后15日内以书面形式通知对方当事人，并在不可抗力事件结束后15日内，将有关部门出具的证明文件送达对方当事人。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49"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14"/>
      <w:r>
        <w:rPr>
          <w:rFonts w:hint="eastAsia" w:ascii="宋体" w:hAnsi="宋体" w:cs="宋体"/>
          <w:b/>
          <w:sz w:val="36"/>
          <w:szCs w:val="20"/>
        </w:rPr>
        <w:t xml:space="preserve"> </w:t>
      </w:r>
      <w:bookmarkEnd w:id="41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杭州市上城区人力资源和社会保障局</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2025-2026年度局办公大楼（广景弄）物业管理服务采购项目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SCCG2025-GK-28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widowControl/>
        <w:adjustRightInd/>
        <w:jc w:val="left"/>
        <w:rPr>
          <w:rFonts w:ascii="宋体" w:hAnsi="宋体" w:cs="宋体"/>
          <w:b/>
          <w:kern w:val="0"/>
          <w:sz w:val="32"/>
          <w:szCs w:val="32"/>
          <w:highlight w:val="none"/>
        </w:rPr>
      </w:pPr>
    </w:p>
    <w:p>
      <w:pPr>
        <w:pStyle w:val="2"/>
        <w:rPr>
          <w:rFonts w:ascii="宋体" w:hAnsi="宋体" w:cs="宋体"/>
          <w:b/>
          <w:kern w:val="0"/>
          <w:sz w:val="32"/>
          <w:szCs w:val="32"/>
          <w:highlight w:val="none"/>
        </w:rPr>
      </w:pPr>
    </w:p>
    <w:p>
      <w:pPr>
        <w:pStyle w:val="2"/>
        <w:rPr>
          <w:rFonts w:ascii="宋体" w:hAnsi="宋体" w:cs="宋体"/>
          <w:b/>
          <w:kern w:val="0"/>
          <w:sz w:val="32"/>
          <w:szCs w:val="32"/>
          <w:highlight w:val="none"/>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pStyle w:val="2"/>
        <w:rPr>
          <w:rFonts w:ascii="宋体" w:hAnsi="宋体" w:cs="宋体"/>
          <w:b/>
          <w:kern w:val="0"/>
          <w:sz w:val="32"/>
          <w:szCs w:val="32"/>
          <w:highlight w:val="yellow"/>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highlight w:val="none"/>
        </w:rPr>
      </w:pPr>
      <w:r>
        <w:rPr>
          <w:rFonts w:hint="eastAsia" w:ascii="宋体" w:hAnsi="宋体" w:cs="宋体"/>
          <w:sz w:val="24"/>
        </w:rPr>
        <w:t>（根据招标公告落实政府采购政策需满足的资格要求选择提供相应的材料；未要求的，</w:t>
      </w:r>
      <w:r>
        <w:rPr>
          <w:rFonts w:hint="eastAsia" w:ascii="宋体" w:hAnsi="宋体" w:cs="宋体"/>
          <w:sz w:val="24"/>
          <w:highlight w:val="none"/>
        </w:rPr>
        <w:t>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left="150"/>
        <w:jc w:val="center"/>
        <w:rPr>
          <w:rFonts w:ascii="宋体" w:hAnsi="宋体" w:cs="宋体"/>
          <w:b/>
          <w:kern w:val="0"/>
          <w:sz w:val="32"/>
          <w:szCs w:val="32"/>
          <w:highlight w:val="yellow"/>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杭州市上城区人力资源和社会保障局</w:t>
      </w:r>
      <w:r>
        <w:rPr>
          <w:rFonts w:hint="eastAsia" w:ascii="宋体" w:hAnsi="宋体" w:cs="宋体"/>
          <w:color w:val="auto"/>
          <w:sz w:val="24"/>
        </w:rPr>
        <w:t>、</w:t>
      </w:r>
      <w:r>
        <w:rPr>
          <w:rFonts w:hint="eastAsia" w:cs="仿宋_GB2312" w:asciiTheme="minorEastAsia" w:hAnsiTheme="minorEastAsia" w:eastAsiaTheme="minorEastAsia"/>
          <w:color w:val="auto"/>
          <w:sz w:val="24"/>
        </w:rPr>
        <w:t>杭州市公共资源交易中心上城分中心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2025-2026年度局办公大楼（广景弄）物业管理服务采购项目</w:t>
      </w:r>
      <w:r>
        <w:rPr>
          <w:rFonts w:hint="eastAsia" w:ascii="宋体" w:hAnsi="宋体" w:cs="宋体"/>
          <w:color w:val="auto"/>
          <w:sz w:val="24"/>
        </w:rPr>
        <w:t>【招标编号：</w:t>
      </w:r>
      <w:r>
        <w:rPr>
          <w:rFonts w:hint="eastAsia" w:ascii="宋体" w:hAnsi="宋体" w:cs="宋体"/>
          <w:color w:val="auto"/>
          <w:sz w:val="24"/>
          <w:lang w:eastAsia="zh-CN"/>
        </w:rPr>
        <w:t>SCCG2025-GK-28</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20" w:name="_Hlk101257010"/>
      <w:r>
        <w:rPr>
          <w:rFonts w:hint="eastAsia" w:ascii="宋体" w:hAnsi="宋体" w:cs="宋体"/>
          <w:color w:val="auto"/>
          <w:sz w:val="24"/>
        </w:rPr>
        <w:t>（如果有)</w:t>
      </w:r>
      <w:bookmarkEnd w:id="52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521" w:name="OLE_LINK6"/>
      <w:bookmarkStart w:id="522" w:name="OLE_LINK24"/>
      <w:r>
        <w:rPr>
          <w:rFonts w:hint="eastAsia" w:ascii="宋体" w:hAnsi="宋体" w:cs="宋体"/>
          <w:color w:val="auto"/>
          <w:sz w:val="24"/>
          <w:highlight w:val="none"/>
        </w:rPr>
        <w:t>2.3.2</w:t>
      </w:r>
      <w:bookmarkEnd w:id="521"/>
      <w:r>
        <w:rPr>
          <w:rFonts w:hint="eastAsia" w:ascii="宋体" w:hAnsi="宋体" w:eastAsia="宋体" w:cs="宋体"/>
          <w:b w:val="0"/>
          <w:bCs w:val="0"/>
          <w:color w:val="auto"/>
          <w:sz w:val="24"/>
          <w:szCs w:val="24"/>
          <w:highlight w:val="none"/>
          <w:lang w:val="en-US"/>
        </w:rPr>
        <w:t>报价情况说明（</w:t>
      </w:r>
      <w:r>
        <w:rPr>
          <w:rFonts w:hint="eastAsia" w:ascii="宋体" w:hAnsi="宋体" w:cs="宋体"/>
          <w:b/>
          <w:color w:val="auto"/>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bookmarkEnd w:id="52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cs="宋体"/>
          <w:color w:val="auto"/>
          <w:sz w:val="24"/>
          <w:highlight w:val="none"/>
          <w:lang w:eastAsia="zh-CN"/>
        </w:rPr>
        <w:t>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杭州市上城区人力资源和社会保障局</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2025-2026年度局办公大楼（广景弄）物业管理服务采购项目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杭州市上城区人力资源和社会保障局</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2025-2026年度局办公大楼（广景弄）物业管理服务采购项目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SCCG2025-GK-28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both"/>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其他实质性要求1（如有）：</w:t>
            </w:r>
          </w:p>
        </w:tc>
        <w:tc>
          <w:tcPr>
            <w:tcW w:w="2551" w:type="dxa"/>
            <w:vMerge w:val="restart"/>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hint="eastAsia"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其他实质性要求2（如有）：</w:t>
            </w:r>
          </w:p>
        </w:tc>
        <w:tc>
          <w:tcPr>
            <w:tcW w:w="2551" w:type="dxa"/>
            <w:vMerge w:val="continue"/>
            <w:vAlign w:val="center"/>
          </w:tcPr>
          <w:p>
            <w:pPr>
              <w:rPr>
                <w:rFonts w:hint="eastAsia" w:ascii="宋体" w:hAnsi="宋体" w:cs="宋体"/>
                <w:kern w:val="0"/>
                <w:sz w:val="24"/>
                <w:highlight w:val="none"/>
              </w:rPr>
            </w:pPr>
          </w:p>
        </w:tc>
        <w:tc>
          <w:tcPr>
            <w:tcW w:w="1418" w:type="dxa"/>
            <w:vAlign w:val="top"/>
          </w:tcPr>
          <w:p>
            <w:pPr>
              <w:rPr>
                <w:rFonts w:hint="eastAsia" w:ascii="宋体" w:hAnsi="宋体" w:cs="宋体"/>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highlight w:val="none"/>
              </w:rPr>
            </w:pPr>
            <w:r>
              <w:rPr>
                <w:rFonts w:hint="eastAsia" w:ascii="宋体" w:hAnsi="宋体" w:cs="宋体"/>
                <w:color w:val="auto"/>
                <w:kern w:val="0"/>
                <w:sz w:val="24"/>
                <w:highlight w:val="none"/>
              </w:rPr>
              <w:t>……</w:t>
            </w:r>
          </w:p>
        </w:tc>
        <w:tc>
          <w:tcPr>
            <w:tcW w:w="4991" w:type="dxa"/>
            <w:vAlign w:val="top"/>
          </w:tcPr>
          <w:p>
            <w:pPr>
              <w:spacing w:line="360" w:lineRule="auto"/>
              <w:rPr>
                <w:rFonts w:hint="eastAsia" w:ascii="宋体" w:hAnsi="宋体" w:cs="宋体"/>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（如有）：</w:t>
            </w:r>
          </w:p>
        </w:tc>
        <w:tc>
          <w:tcPr>
            <w:tcW w:w="2551" w:type="dxa"/>
            <w:vMerge w:val="continue"/>
            <w:vAlign w:val="center"/>
          </w:tcPr>
          <w:p>
            <w:pPr>
              <w:rPr>
                <w:rFonts w:hint="eastAsia" w:ascii="宋体" w:hAnsi="宋体" w:cs="宋体"/>
                <w:kern w:val="0"/>
                <w:sz w:val="24"/>
                <w:highlight w:val="none"/>
              </w:rPr>
            </w:pPr>
          </w:p>
        </w:tc>
        <w:tc>
          <w:tcPr>
            <w:tcW w:w="1418" w:type="dxa"/>
            <w:vAlign w:val="top"/>
          </w:tcPr>
          <w:p>
            <w:pPr>
              <w:rPr>
                <w:rFonts w:hint="eastAsia" w:ascii="宋体" w:hAnsi="宋体" w:cs="宋体"/>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招标文件中实质性要求必须明确响应。</w:t>
      </w:r>
    </w:p>
    <w:p>
      <w:pPr>
        <w:pStyle w:val="2"/>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jc w:val="both"/>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35"/>
        <w:gridCol w:w="2280"/>
        <w:gridCol w:w="1560"/>
        <w:gridCol w:w="188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名称</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品牌（如果有）</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规格型号</w:t>
            </w: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数量</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color w:val="auto"/>
                <w:sz w:val="24"/>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color w:val="auto"/>
                <w:sz w:val="24"/>
                <w:highlight w:val="none"/>
                <w:lang w:val="en-US" w:eastAsia="zh-CN"/>
              </w:rPr>
              <w:t>XXX</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color w:val="auto"/>
                <w:sz w:val="24"/>
                <w:highlight w:val="none"/>
              </w:rPr>
              <w:t>2</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color w:val="auto"/>
                <w:sz w:val="24"/>
                <w:highlight w:val="none"/>
                <w:lang w:val="en-US" w:eastAsia="zh-CN"/>
              </w:rPr>
              <w:t>XXX</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color w:val="auto"/>
                <w:sz w:val="24"/>
                <w:highlight w:val="none"/>
              </w:rPr>
              <w:t>……</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pStyle w:val="2"/>
        <w:rPr>
          <w:rFonts w:ascii="宋体" w:hAnsi="宋体" w:cs="宋体"/>
          <w:b/>
          <w:kern w:val="0"/>
          <w:sz w:val="32"/>
          <w:szCs w:val="32"/>
        </w:rPr>
      </w:pPr>
    </w:p>
    <w:p>
      <w:pPr>
        <w:pStyle w:val="2"/>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杭州市上城区人力资源和社会保障局</w:t>
      </w:r>
      <w:r>
        <w:rPr>
          <w:rFonts w:hint="eastAsia" w:ascii="宋体" w:hAnsi="宋体" w:cs="宋体"/>
          <w:color w:val="auto"/>
          <w:sz w:val="24"/>
        </w:rPr>
        <w:t>、</w:t>
      </w:r>
      <w:r>
        <w:rPr>
          <w:rFonts w:hint="eastAsia" w:cs="仿宋_GB2312" w:asciiTheme="minorEastAsia" w:hAnsiTheme="minorEastAsia" w:eastAsiaTheme="minorEastAsia"/>
          <w:color w:val="auto"/>
          <w:sz w:val="24"/>
        </w:rPr>
        <w:t>杭州市公共资源交易中心上城分中心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rPr>
      </w:pPr>
      <w:bookmarkStart w:id="523" w:name="OLE_LINK23"/>
      <w:r>
        <w:rPr>
          <w:rFonts w:hint="eastAsia" w:ascii="宋体" w:hAnsi="宋体" w:cs="宋体"/>
          <w:color w:val="auto"/>
          <w:sz w:val="24"/>
          <w:highlight w:val="none"/>
        </w:rPr>
        <w:t>（2）</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bookmarkStart w:id="524" w:name="OLE_LINK7"/>
      <w:r>
        <w:rPr>
          <w:rFonts w:hint="eastAsia" w:ascii="宋体" w:hAnsi="宋体" w:cs="宋体"/>
          <w:color w:val="auto"/>
          <w:sz w:val="24"/>
          <w:highlight w:val="none"/>
        </w:rPr>
        <w:t>（如果有）</w:t>
      </w:r>
      <w:bookmarkEnd w:id="524"/>
      <w:r>
        <w:rPr>
          <w:rFonts w:hint="eastAsia" w:ascii="宋体" w:hAnsi="宋体" w:cs="宋体"/>
          <w:color w:val="auto"/>
          <w:sz w:val="24"/>
          <w:highlight w:val="none"/>
        </w:rPr>
        <w:t>…………………………………………………（页码）</w:t>
      </w:r>
    </w:p>
    <w:bookmarkEnd w:id="523"/>
    <w:p>
      <w:pPr>
        <w:snapToGrid w:val="0"/>
        <w:spacing w:line="360" w:lineRule="auto"/>
        <w:rPr>
          <w:rFonts w:hint="eastAsia" w:ascii="宋体" w:hAnsi="宋体" w:cs="宋体"/>
          <w:color w:val="auto"/>
          <w:sz w:val="24"/>
          <w:highlight w:val="yellow"/>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杭州市上城区人力资源和社会保障局</w:t>
      </w:r>
      <w:r>
        <w:rPr>
          <w:rFonts w:hint="eastAsia" w:ascii="宋体" w:hAnsi="宋体" w:cs="宋体"/>
          <w:color w:val="auto"/>
          <w:sz w:val="24"/>
          <w:highlight w:val="none"/>
        </w:rPr>
        <w:t>、</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2025-2026年度局办公大楼（广景弄）物业管理服务采购项目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SCCG2025-GK-28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86"/>
        <w:gridCol w:w="4025"/>
        <w:gridCol w:w="1650"/>
        <w:gridCol w:w="2103"/>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8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4025" w:type="dxa"/>
            <w:vAlign w:val="center"/>
          </w:tcPr>
          <w:p>
            <w:pPr>
              <w:spacing w:line="360" w:lineRule="auto"/>
              <w:ind w:firstLine="1205" w:firstLineChars="500"/>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具体服务</w:t>
            </w:r>
          </w:p>
        </w:tc>
        <w:tc>
          <w:tcPr>
            <w:tcW w:w="165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03"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325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7" w:type="dxa"/>
            <w:vAlign w:val="center"/>
          </w:tcPr>
          <w:p>
            <w:pPr>
              <w:snapToGrid w:val="0"/>
              <w:spacing w:line="360" w:lineRule="auto"/>
              <w:jc w:val="center"/>
              <w:rPr>
                <w:rFonts w:hint="default"/>
                <w:color w:val="auto"/>
                <w:highlight w:val="none"/>
                <w:lang w:val="en-US" w:eastAsia="zh-CN"/>
              </w:rPr>
            </w:pPr>
            <w:r>
              <w:rPr>
                <w:rFonts w:hint="eastAsia"/>
                <w:color w:val="auto"/>
                <w:highlight w:val="none"/>
                <w:lang w:val="en-US" w:eastAsia="zh-CN"/>
              </w:rPr>
              <w:t>1</w:t>
            </w:r>
          </w:p>
        </w:tc>
        <w:tc>
          <w:tcPr>
            <w:tcW w:w="3286" w:type="dxa"/>
            <w:vAlign w:val="center"/>
          </w:tcPr>
          <w:p>
            <w:pPr>
              <w:adjustRightInd/>
              <w:spacing w:line="360" w:lineRule="auto"/>
              <w:jc w:val="both"/>
              <w:rPr>
                <w:rFonts w:hint="default" w:ascii="宋体" w:hAnsi="宋体" w:cs="宋体"/>
                <w:color w:val="auto"/>
                <w:sz w:val="18"/>
                <w:szCs w:val="18"/>
                <w:highlight w:val="none"/>
                <w:lang w:val="en-US" w:eastAsia="zh-CN"/>
              </w:rPr>
            </w:pPr>
            <w:r>
              <w:rPr>
                <w:rFonts w:hint="eastAsia" w:ascii="宋体" w:hAnsi="宋体" w:cs="宋体"/>
                <w:color w:val="auto"/>
                <w:sz w:val="24"/>
                <w:highlight w:val="none"/>
                <w:lang w:eastAsia="zh-CN"/>
              </w:rPr>
              <w:t>2025-2026年度局办公大楼（广景弄）物业管理服务采购项目</w:t>
            </w:r>
          </w:p>
        </w:tc>
        <w:tc>
          <w:tcPr>
            <w:tcW w:w="4025" w:type="dxa"/>
            <w:vAlign w:val="center"/>
          </w:tcPr>
          <w:p>
            <w:pPr>
              <w:snapToGrid w:val="0"/>
              <w:spacing w:line="360" w:lineRule="auto"/>
              <w:jc w:val="center"/>
              <w:rPr>
                <w:color w:val="auto"/>
                <w:highlight w:val="none"/>
              </w:rPr>
            </w:pPr>
          </w:p>
          <w:p>
            <w:pPr>
              <w:pStyle w:val="6"/>
              <w:rPr>
                <w:color w:val="auto"/>
                <w:highlight w:val="none"/>
              </w:rPr>
            </w:pPr>
          </w:p>
          <w:p>
            <w:pPr>
              <w:rPr>
                <w:color w:val="auto"/>
                <w:highlight w:val="none"/>
              </w:rPr>
            </w:pPr>
          </w:p>
          <w:p>
            <w:pPr>
              <w:pStyle w:val="6"/>
              <w:ind w:left="0" w:leftChars="0" w:firstLine="0" w:firstLineChars="0"/>
              <w:rPr>
                <w:color w:val="auto"/>
                <w:highlight w:val="none"/>
              </w:rPr>
            </w:pPr>
          </w:p>
          <w:p>
            <w:pPr>
              <w:rPr>
                <w:color w:val="auto"/>
                <w:highlight w:val="none"/>
              </w:rPr>
            </w:pPr>
          </w:p>
        </w:tc>
        <w:tc>
          <w:tcPr>
            <w:tcW w:w="1650"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p>
        </w:tc>
        <w:tc>
          <w:tcPr>
            <w:tcW w:w="2103" w:type="dxa"/>
            <w:vAlign w:val="center"/>
          </w:tcPr>
          <w:p>
            <w:pPr>
              <w:spacing w:line="360" w:lineRule="auto"/>
              <w:jc w:val="center"/>
              <w:rPr>
                <w:rFonts w:ascii="宋体" w:hAnsi="宋体" w:cs="宋体"/>
                <w:color w:val="auto"/>
                <w:sz w:val="24"/>
                <w:highlight w:val="none"/>
              </w:rPr>
            </w:pPr>
          </w:p>
        </w:tc>
        <w:tc>
          <w:tcPr>
            <w:tcW w:w="3253" w:type="dxa"/>
            <w:vAlign w:val="center"/>
          </w:tcPr>
          <w:p>
            <w:pPr>
              <w:bidi w:val="0"/>
              <w:jc w:val="left"/>
              <w:rPr>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28"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006" w:type="dxa"/>
            <w:gridSpan w:val="3"/>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28"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006" w:type="dxa"/>
            <w:gridSpan w:val="3"/>
          </w:tcPr>
          <w:p>
            <w:pPr>
              <w:spacing w:line="360" w:lineRule="auto"/>
              <w:jc w:val="center"/>
              <w:rPr>
                <w:rFonts w:ascii="宋体" w:hAnsi="宋体" w:cs="宋体"/>
                <w:sz w:val="24"/>
                <w:highlight w:val="none"/>
              </w:rPr>
            </w:pPr>
          </w:p>
        </w:tc>
      </w:tr>
    </w:tbl>
    <w:p>
      <w:pPr>
        <w:pStyle w:val="62"/>
        <w:ind w:left="0" w:leftChars="0" w:firstLine="0" w:firstLineChars="0"/>
        <w:rPr>
          <w:lang w:val="zh-CN"/>
        </w:rPr>
      </w:pPr>
    </w:p>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bookmarkStart w:id="534" w:name="_GoBack"/>
      <w:bookmarkEnd w:id="534"/>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特别提示：</w:t>
      </w:r>
      <w:r>
        <w:rPr>
          <w:rFonts w:hint="eastAsia" w:ascii="宋体" w:hAnsi="宋体" w:cs="宋体"/>
          <w:color w:val="auto"/>
          <w:kern w:val="0"/>
          <w:sz w:val="24"/>
          <w:highlight w:val="none"/>
          <w:lang w:val="zh-CN" w:eastAsia="zh-CN"/>
        </w:rPr>
        <w:t>采购机构</w:t>
      </w:r>
      <w:r>
        <w:rPr>
          <w:rFonts w:hint="eastAsia" w:ascii="宋体" w:hAnsi="宋体" w:cs="宋体"/>
          <w:color w:val="auto"/>
          <w:kern w:val="0"/>
          <w:sz w:val="24"/>
          <w:highlight w:val="none"/>
          <w:lang w:val="zh-CN"/>
        </w:rPr>
        <w:t>将对项目名称和项目编号，中标供应商名称、地址和中标金额，主要中标标的名称、服务范围、服务要求、服务时间、服务标准等予以公示。</w:t>
      </w:r>
    </w:p>
    <w:p>
      <w:pPr>
        <w:pStyle w:val="6"/>
      </w:pPr>
    </w:p>
    <w:p>
      <w:pPr>
        <w:pStyle w:val="4"/>
        <w:rPr>
          <w:highlight w:val="none"/>
          <w:lang w:val="zh-CN"/>
        </w:rPr>
      </w:pP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cs="宋体"/>
          <w:b/>
          <w:color w:val="auto"/>
          <w:sz w:val="24"/>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color w:val="auto"/>
          <w:kern w:val="2"/>
          <w:sz w:val="24"/>
          <w:szCs w:val="24"/>
          <w:highlight w:val="none"/>
        </w:rPr>
        <w:t>，否则投标无效</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rPr>
          <w:rFonts w:ascii="宋体" w:hAnsi="宋体" w:cs="宋体"/>
          <w:b/>
          <w:color w:val="auto"/>
          <w:sz w:val="24"/>
          <w:highlight w:val="none"/>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25" w:name="OLE_LINK13"/>
      <w:bookmarkStart w:id="526" w:name="OLE_LINK14"/>
      <w:r>
        <w:rPr>
          <w:rFonts w:hint="eastAsia" w:ascii="宋体" w:hAnsi="宋体" w:cs="宋体"/>
          <w:b/>
          <w:spacing w:val="6"/>
          <w:sz w:val="32"/>
          <w:szCs w:val="32"/>
        </w:rPr>
        <w:t>残疾人福利性单位声明函</w:t>
      </w:r>
    </w:p>
    <w:bookmarkEnd w:id="525"/>
    <w:bookmarkEnd w:id="526"/>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2025-2026年度局办公大楼（广景弄）物业管理服务采购项目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杭州市上城区人力资源和社会保障局</w:t>
      </w:r>
      <w:r>
        <w:rPr>
          <w:rFonts w:hint="eastAsia" w:ascii="宋体" w:hAnsi="宋体" w:cs="宋体"/>
          <w:color w:val="auto"/>
          <w:sz w:val="24"/>
          <w:u w:val="single"/>
        </w:rPr>
        <w:t>、杭州市公共资源交易中心上城分中心：</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2025-2026年度局办公大楼（广景弄）物业管理服务采购项目</w:t>
      </w:r>
      <w:r>
        <w:rPr>
          <w:rFonts w:hint="eastAsia" w:ascii="宋体" w:hAnsi="宋体" w:cs="宋体"/>
          <w:color w:val="auto"/>
          <w:sz w:val="24"/>
        </w:rPr>
        <w:t>【招标编号：</w:t>
      </w:r>
      <w:r>
        <w:rPr>
          <w:rFonts w:hint="eastAsia" w:ascii="宋体" w:hAnsi="宋体" w:cs="宋体"/>
          <w:color w:val="auto"/>
          <w:sz w:val="24"/>
          <w:lang w:eastAsia="zh-CN"/>
        </w:rPr>
        <w:t>SCCG2025-GK-28</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2025-2026年度局办公大楼（广景弄）物业管理服务采购项目</w:t>
      </w:r>
      <w:r>
        <w:rPr>
          <w:rFonts w:hint="eastAsia" w:ascii="宋体" w:hAnsi="宋体" w:cs="宋体"/>
          <w:color w:val="auto"/>
          <w:sz w:val="24"/>
        </w:rPr>
        <w:t>【招标编号：</w:t>
      </w:r>
      <w:r>
        <w:rPr>
          <w:rFonts w:hint="eastAsia" w:ascii="宋体" w:hAnsi="宋体" w:cs="宋体"/>
          <w:color w:val="auto"/>
          <w:sz w:val="24"/>
          <w:lang w:eastAsia="zh-CN"/>
        </w:rPr>
        <w:t>SCCG2025-GK-28</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w:t>
      </w:r>
      <w:r>
        <w:rPr>
          <w:rFonts w:hint="eastAsia" w:ascii="宋体" w:hAnsi="宋体" w:cs="宋体"/>
          <w:kern w:val="0"/>
          <w:sz w:val="24"/>
          <w:highlight w:val="none"/>
          <w:lang w:val="zh-CN"/>
        </w:rPr>
        <w:t>招标文件规定及投标内容而对采购人、</w:t>
      </w:r>
      <w:r>
        <w:rPr>
          <w:rFonts w:hint="eastAsia" w:ascii="宋体" w:hAnsi="宋体" w:cs="宋体"/>
          <w:sz w:val="24"/>
          <w:highlight w:val="none"/>
          <w:lang w:eastAsia="zh-CN"/>
        </w:rPr>
        <w:t>采购机构</w:t>
      </w:r>
      <w:r>
        <w:rPr>
          <w:rFonts w:hint="eastAsia" w:ascii="宋体" w:hAnsi="宋体" w:cs="宋体"/>
          <w:kern w:val="0"/>
          <w:sz w:val="24"/>
          <w:highlight w:val="none"/>
          <w:lang w:val="zh-CN"/>
        </w:rPr>
        <w:t>所作的任何合法承诺，包括书面澄清及</w:t>
      </w:r>
      <w:r>
        <w:rPr>
          <w:rFonts w:hint="eastAsia" w:ascii="宋体" w:hAnsi="宋体" w:cs="宋体"/>
          <w:kern w:val="0"/>
          <w:sz w:val="24"/>
          <w:highlight w:val="none"/>
          <w:lang w:val="en-US" w:eastAsia="zh-CN"/>
        </w:rPr>
        <w:t>响应</w:t>
      </w:r>
      <w:r>
        <w:rPr>
          <w:rFonts w:hint="eastAsia" w:ascii="宋体" w:hAnsi="宋体" w:cs="宋体"/>
          <w:kern w:val="0"/>
          <w:sz w:val="24"/>
          <w:highlight w:val="none"/>
          <w:lang w:val="zh-CN"/>
        </w:rPr>
        <w:t>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27"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2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28"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28"/>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highlight w:val="none"/>
        </w:rPr>
        <w:t>2、</w:t>
      </w:r>
      <w:bookmarkStart w:id="52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w:t>
      </w:r>
      <w:r>
        <w:rPr>
          <w:rFonts w:hint="eastAsia" w:ascii="宋体" w:hAnsi="宋体" w:cs="宋体"/>
          <w:b/>
          <w:bCs/>
          <w:sz w:val="24"/>
        </w:rPr>
        <w:t>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w:t>
      </w:r>
      <w:r>
        <w:rPr>
          <w:rFonts w:hint="eastAsia" w:ascii="宋体" w:hAnsi="宋体" w:cs="宋体"/>
          <w:sz w:val="24"/>
          <w:highlight w:val="none"/>
          <w:lang w:eastAsia="zh-CN"/>
        </w:rPr>
        <w:t>采购机构</w:t>
      </w:r>
      <w:r>
        <w:rPr>
          <w:rFonts w:hint="eastAsia" w:ascii="宋体" w:hAnsi="宋体" w:cs="宋体"/>
          <w:kern w:val="0"/>
          <w:sz w:val="24"/>
          <w:lang w:val="zh-CN"/>
        </w:rPr>
        <w:t>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2025-2026年度局办公大楼（广景弄）物业管理服务采购项目</w:t>
      </w:r>
      <w:r>
        <w:rPr>
          <w:rFonts w:hint="eastAsia" w:ascii="宋体" w:hAnsi="宋体" w:cs="宋体"/>
          <w:color w:val="auto"/>
          <w:sz w:val="24"/>
        </w:rPr>
        <w:t>【招标编号：</w:t>
      </w:r>
      <w:r>
        <w:rPr>
          <w:rFonts w:hint="eastAsia" w:ascii="宋体" w:hAnsi="宋体" w:cs="宋体"/>
          <w:color w:val="auto"/>
          <w:sz w:val="24"/>
          <w:lang w:eastAsia="zh-CN"/>
        </w:rPr>
        <w:t>SCCG2025-GK-28</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w:t>
      </w:r>
      <w:r>
        <w:rPr>
          <w:rFonts w:hint="eastAsia" w:ascii="宋体" w:hAnsi="宋体" w:cs="宋体"/>
          <w:b/>
          <w:kern w:val="0"/>
          <w:sz w:val="24"/>
          <w:highlight w:val="none"/>
          <w:lang w:val="zh-CN"/>
        </w:rPr>
        <w:t>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color w:val="auto"/>
          <w:sz w:val="24"/>
          <w:highlight w:val="none"/>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w:t>
      </w:r>
      <w:r>
        <w:rPr>
          <w:rFonts w:hint="eastAsia" w:ascii="宋体" w:hAnsi="宋体" w:cs="宋体"/>
          <w:b/>
          <w:bCs/>
          <w:sz w:val="24"/>
        </w:rPr>
        <w:t>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杭州市上城区人力资源和社会保障局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2025-2026年度局办公大楼（广景弄）物业管理服务采购项目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w:t>
      </w:r>
      <w:r>
        <w:rPr>
          <w:rFonts w:hint="eastAsia" w:ascii="宋体" w:hAnsi="宋体" w:cs="宋体"/>
          <w:sz w:val="24"/>
          <w:u w:val="single"/>
        </w:rPr>
        <w:t xml:space="preserve">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pStyle w:val="4"/>
        <w:rPr>
          <w:rFonts w:ascii="宋体" w:hAnsi="宋体" w:eastAsia="宋体" w:cs="宋体"/>
          <w:highlight w:val="none"/>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0" w:name="_Toc36110187"/>
    <w:bookmarkStart w:id="531" w:name="_Toc131845147"/>
    <w:bookmarkStart w:id="532" w:name="_Toc91899912"/>
    <w:bookmarkStart w:id="533" w:name="_Toc164085800"/>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b w:val="0"/>
        <w:bCs/>
        <w:sz w:val="21"/>
        <w:szCs w:val="21"/>
      </w:rPr>
      <w:t>杭州市公共资源交易中心上城分中心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9A9"/>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7BD"/>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5"/>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D0AE6"/>
    <w:rsid w:val="019F7441"/>
    <w:rsid w:val="01B37585"/>
    <w:rsid w:val="01D55165"/>
    <w:rsid w:val="01DF6BF8"/>
    <w:rsid w:val="01EC2C57"/>
    <w:rsid w:val="023D70E5"/>
    <w:rsid w:val="025F0711"/>
    <w:rsid w:val="026B2E25"/>
    <w:rsid w:val="026D1CA4"/>
    <w:rsid w:val="02824D4D"/>
    <w:rsid w:val="02827041"/>
    <w:rsid w:val="02DC4B10"/>
    <w:rsid w:val="02DD76CE"/>
    <w:rsid w:val="02F36323"/>
    <w:rsid w:val="02F5619C"/>
    <w:rsid w:val="02FA5685"/>
    <w:rsid w:val="02FC1075"/>
    <w:rsid w:val="0326446A"/>
    <w:rsid w:val="032D5555"/>
    <w:rsid w:val="036634D2"/>
    <w:rsid w:val="03793EC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D6F30"/>
    <w:rsid w:val="06930BB8"/>
    <w:rsid w:val="06F253F2"/>
    <w:rsid w:val="07245D42"/>
    <w:rsid w:val="07264C62"/>
    <w:rsid w:val="0779354C"/>
    <w:rsid w:val="07F6721E"/>
    <w:rsid w:val="08061376"/>
    <w:rsid w:val="08452D77"/>
    <w:rsid w:val="086401F8"/>
    <w:rsid w:val="08751CAA"/>
    <w:rsid w:val="087E4C40"/>
    <w:rsid w:val="08A871D0"/>
    <w:rsid w:val="08D66AD6"/>
    <w:rsid w:val="08D87811"/>
    <w:rsid w:val="08DA33A3"/>
    <w:rsid w:val="08E80F13"/>
    <w:rsid w:val="08F95874"/>
    <w:rsid w:val="08FD037B"/>
    <w:rsid w:val="09335624"/>
    <w:rsid w:val="0944690F"/>
    <w:rsid w:val="09535675"/>
    <w:rsid w:val="095F057D"/>
    <w:rsid w:val="09642282"/>
    <w:rsid w:val="09733572"/>
    <w:rsid w:val="09772C16"/>
    <w:rsid w:val="098353B5"/>
    <w:rsid w:val="09A92330"/>
    <w:rsid w:val="09B06B87"/>
    <w:rsid w:val="09BB185F"/>
    <w:rsid w:val="09C13146"/>
    <w:rsid w:val="09E04166"/>
    <w:rsid w:val="09E766C8"/>
    <w:rsid w:val="0A1C0718"/>
    <w:rsid w:val="0A3E3710"/>
    <w:rsid w:val="0A3E7710"/>
    <w:rsid w:val="0A4C5174"/>
    <w:rsid w:val="0A5B7E63"/>
    <w:rsid w:val="0AA374A5"/>
    <w:rsid w:val="0AAB7649"/>
    <w:rsid w:val="0ABC5606"/>
    <w:rsid w:val="0B0A682C"/>
    <w:rsid w:val="0B30404E"/>
    <w:rsid w:val="0B4C6C14"/>
    <w:rsid w:val="0B547599"/>
    <w:rsid w:val="0B631A88"/>
    <w:rsid w:val="0B683D45"/>
    <w:rsid w:val="0B7F3F11"/>
    <w:rsid w:val="0B884417"/>
    <w:rsid w:val="0BD571F9"/>
    <w:rsid w:val="0BF6188C"/>
    <w:rsid w:val="0BF73C91"/>
    <w:rsid w:val="0C170175"/>
    <w:rsid w:val="0C571A41"/>
    <w:rsid w:val="0C5C1171"/>
    <w:rsid w:val="0C5E1CBC"/>
    <w:rsid w:val="0C615B50"/>
    <w:rsid w:val="0C657F32"/>
    <w:rsid w:val="0C8445DA"/>
    <w:rsid w:val="0C87121B"/>
    <w:rsid w:val="0CA37067"/>
    <w:rsid w:val="0CC007F7"/>
    <w:rsid w:val="0CC617AC"/>
    <w:rsid w:val="0CE618DF"/>
    <w:rsid w:val="0CFE707A"/>
    <w:rsid w:val="0D063BDA"/>
    <w:rsid w:val="0D08375F"/>
    <w:rsid w:val="0D184CFB"/>
    <w:rsid w:val="0D4A7419"/>
    <w:rsid w:val="0D743422"/>
    <w:rsid w:val="0D827401"/>
    <w:rsid w:val="0D84094E"/>
    <w:rsid w:val="0D8A00E9"/>
    <w:rsid w:val="0D8D589E"/>
    <w:rsid w:val="0DA01C73"/>
    <w:rsid w:val="0DD63300"/>
    <w:rsid w:val="0DDE77A2"/>
    <w:rsid w:val="0DF50604"/>
    <w:rsid w:val="0DF702FE"/>
    <w:rsid w:val="0E060E51"/>
    <w:rsid w:val="0E4E5304"/>
    <w:rsid w:val="0E5604B2"/>
    <w:rsid w:val="0E6D5D79"/>
    <w:rsid w:val="0E876762"/>
    <w:rsid w:val="0E9D0089"/>
    <w:rsid w:val="0EB803EE"/>
    <w:rsid w:val="0EF94D4B"/>
    <w:rsid w:val="0F4958DC"/>
    <w:rsid w:val="0F515DF7"/>
    <w:rsid w:val="0F596BA8"/>
    <w:rsid w:val="0F6248D2"/>
    <w:rsid w:val="0F693536"/>
    <w:rsid w:val="0F7B0511"/>
    <w:rsid w:val="0F7B76D9"/>
    <w:rsid w:val="0F816ACD"/>
    <w:rsid w:val="0F876305"/>
    <w:rsid w:val="0F9832DB"/>
    <w:rsid w:val="0FBF3FD2"/>
    <w:rsid w:val="0FBF7FF3"/>
    <w:rsid w:val="10646583"/>
    <w:rsid w:val="107D4B15"/>
    <w:rsid w:val="108A3C80"/>
    <w:rsid w:val="10BA43DB"/>
    <w:rsid w:val="10C26171"/>
    <w:rsid w:val="10F33360"/>
    <w:rsid w:val="10FC16EA"/>
    <w:rsid w:val="110F1D40"/>
    <w:rsid w:val="11266F33"/>
    <w:rsid w:val="118963A1"/>
    <w:rsid w:val="11C6522A"/>
    <w:rsid w:val="11E104CC"/>
    <w:rsid w:val="11E20309"/>
    <w:rsid w:val="121A219E"/>
    <w:rsid w:val="12255233"/>
    <w:rsid w:val="12530213"/>
    <w:rsid w:val="127723A9"/>
    <w:rsid w:val="12862074"/>
    <w:rsid w:val="12883966"/>
    <w:rsid w:val="129E45B4"/>
    <w:rsid w:val="12D81596"/>
    <w:rsid w:val="12E2138C"/>
    <w:rsid w:val="13072A44"/>
    <w:rsid w:val="135F4BE2"/>
    <w:rsid w:val="136E5AF5"/>
    <w:rsid w:val="137D5F06"/>
    <w:rsid w:val="139B1A0A"/>
    <w:rsid w:val="139D25C7"/>
    <w:rsid w:val="13BF3CE4"/>
    <w:rsid w:val="141008D8"/>
    <w:rsid w:val="14125FE6"/>
    <w:rsid w:val="14316CAE"/>
    <w:rsid w:val="14480E52"/>
    <w:rsid w:val="146D271E"/>
    <w:rsid w:val="14982588"/>
    <w:rsid w:val="149A5AD9"/>
    <w:rsid w:val="14A7619D"/>
    <w:rsid w:val="150536C3"/>
    <w:rsid w:val="150C1963"/>
    <w:rsid w:val="151447A0"/>
    <w:rsid w:val="154A6454"/>
    <w:rsid w:val="15762120"/>
    <w:rsid w:val="15F331F0"/>
    <w:rsid w:val="16980722"/>
    <w:rsid w:val="16A8729C"/>
    <w:rsid w:val="16B33777"/>
    <w:rsid w:val="16BC70A7"/>
    <w:rsid w:val="16C6339E"/>
    <w:rsid w:val="172F2D79"/>
    <w:rsid w:val="174D4765"/>
    <w:rsid w:val="17557BEF"/>
    <w:rsid w:val="17D349C1"/>
    <w:rsid w:val="1830729E"/>
    <w:rsid w:val="1870062C"/>
    <w:rsid w:val="18817102"/>
    <w:rsid w:val="18830A15"/>
    <w:rsid w:val="18852B28"/>
    <w:rsid w:val="188B5321"/>
    <w:rsid w:val="18B37D05"/>
    <w:rsid w:val="18F2531A"/>
    <w:rsid w:val="19932372"/>
    <w:rsid w:val="19A20DD5"/>
    <w:rsid w:val="19AE03F1"/>
    <w:rsid w:val="19C12E6F"/>
    <w:rsid w:val="1A0202EB"/>
    <w:rsid w:val="1A071A03"/>
    <w:rsid w:val="1A1F16AE"/>
    <w:rsid w:val="1A395395"/>
    <w:rsid w:val="1A3B5C77"/>
    <w:rsid w:val="1A40444E"/>
    <w:rsid w:val="1A7C1301"/>
    <w:rsid w:val="1A7F2A75"/>
    <w:rsid w:val="1A9731B0"/>
    <w:rsid w:val="1A984BAD"/>
    <w:rsid w:val="1AB8220E"/>
    <w:rsid w:val="1AE4166C"/>
    <w:rsid w:val="1AF06CFB"/>
    <w:rsid w:val="1AF11B8D"/>
    <w:rsid w:val="1B07197F"/>
    <w:rsid w:val="1B11359C"/>
    <w:rsid w:val="1B2A271F"/>
    <w:rsid w:val="1B530544"/>
    <w:rsid w:val="1B6437FD"/>
    <w:rsid w:val="1B713184"/>
    <w:rsid w:val="1BA209CF"/>
    <w:rsid w:val="1BB4777D"/>
    <w:rsid w:val="1BD75AB8"/>
    <w:rsid w:val="1C0459C2"/>
    <w:rsid w:val="1C1B3B4A"/>
    <w:rsid w:val="1C88086E"/>
    <w:rsid w:val="1D266CE1"/>
    <w:rsid w:val="1D3963AF"/>
    <w:rsid w:val="1D4F3D64"/>
    <w:rsid w:val="1D613643"/>
    <w:rsid w:val="1D6A673C"/>
    <w:rsid w:val="1D9247AE"/>
    <w:rsid w:val="1DB567EC"/>
    <w:rsid w:val="1DF51A98"/>
    <w:rsid w:val="1E310498"/>
    <w:rsid w:val="1E3D060F"/>
    <w:rsid w:val="1E3F7D2E"/>
    <w:rsid w:val="1E4134E4"/>
    <w:rsid w:val="1E5062B3"/>
    <w:rsid w:val="1E523514"/>
    <w:rsid w:val="1E714A66"/>
    <w:rsid w:val="1E802593"/>
    <w:rsid w:val="1E8B6156"/>
    <w:rsid w:val="1E931436"/>
    <w:rsid w:val="1EA703CC"/>
    <w:rsid w:val="1EB7330C"/>
    <w:rsid w:val="1EE01536"/>
    <w:rsid w:val="1F0A0FF3"/>
    <w:rsid w:val="1F5771FF"/>
    <w:rsid w:val="1FAF670B"/>
    <w:rsid w:val="1FD52DD5"/>
    <w:rsid w:val="1FE868A9"/>
    <w:rsid w:val="20034907"/>
    <w:rsid w:val="20173E4B"/>
    <w:rsid w:val="20485605"/>
    <w:rsid w:val="204E48BC"/>
    <w:rsid w:val="208921B3"/>
    <w:rsid w:val="20973DEB"/>
    <w:rsid w:val="20A67B9D"/>
    <w:rsid w:val="20B26522"/>
    <w:rsid w:val="20B44310"/>
    <w:rsid w:val="210F30EE"/>
    <w:rsid w:val="211116EB"/>
    <w:rsid w:val="215137E7"/>
    <w:rsid w:val="216133FC"/>
    <w:rsid w:val="21C30033"/>
    <w:rsid w:val="21D32FF7"/>
    <w:rsid w:val="21D56769"/>
    <w:rsid w:val="21E52EF3"/>
    <w:rsid w:val="21FB5D7B"/>
    <w:rsid w:val="22015E94"/>
    <w:rsid w:val="220B1C3D"/>
    <w:rsid w:val="221D1D20"/>
    <w:rsid w:val="22334A87"/>
    <w:rsid w:val="224C3750"/>
    <w:rsid w:val="22BE6801"/>
    <w:rsid w:val="233500BF"/>
    <w:rsid w:val="23377FF7"/>
    <w:rsid w:val="236B425F"/>
    <w:rsid w:val="238310FC"/>
    <w:rsid w:val="23836192"/>
    <w:rsid w:val="23901F29"/>
    <w:rsid w:val="2393535D"/>
    <w:rsid w:val="239C0061"/>
    <w:rsid w:val="23B908A4"/>
    <w:rsid w:val="23E95BEF"/>
    <w:rsid w:val="23FD0064"/>
    <w:rsid w:val="245375B0"/>
    <w:rsid w:val="245A12B2"/>
    <w:rsid w:val="24642C0A"/>
    <w:rsid w:val="24B22173"/>
    <w:rsid w:val="24B95AD9"/>
    <w:rsid w:val="24BE24DA"/>
    <w:rsid w:val="24CF5825"/>
    <w:rsid w:val="24D02F61"/>
    <w:rsid w:val="24D663E6"/>
    <w:rsid w:val="24D77F2B"/>
    <w:rsid w:val="258B00E2"/>
    <w:rsid w:val="25A917A6"/>
    <w:rsid w:val="25BE27CC"/>
    <w:rsid w:val="25F74A5C"/>
    <w:rsid w:val="2628662C"/>
    <w:rsid w:val="262D45DE"/>
    <w:rsid w:val="26871DC8"/>
    <w:rsid w:val="26A53EF9"/>
    <w:rsid w:val="26A94201"/>
    <w:rsid w:val="26AC274F"/>
    <w:rsid w:val="26D72012"/>
    <w:rsid w:val="26EA60E8"/>
    <w:rsid w:val="27044A29"/>
    <w:rsid w:val="271D34C8"/>
    <w:rsid w:val="2724717E"/>
    <w:rsid w:val="273A46E1"/>
    <w:rsid w:val="276142BF"/>
    <w:rsid w:val="27783712"/>
    <w:rsid w:val="27907362"/>
    <w:rsid w:val="28333E1D"/>
    <w:rsid w:val="28454BD6"/>
    <w:rsid w:val="28455253"/>
    <w:rsid w:val="28551971"/>
    <w:rsid w:val="285B1C53"/>
    <w:rsid w:val="289F7086"/>
    <w:rsid w:val="28BD5FE3"/>
    <w:rsid w:val="28C32028"/>
    <w:rsid w:val="28CC490F"/>
    <w:rsid w:val="28DE40AA"/>
    <w:rsid w:val="29345E77"/>
    <w:rsid w:val="294C65AD"/>
    <w:rsid w:val="2954525D"/>
    <w:rsid w:val="296C71DE"/>
    <w:rsid w:val="29806583"/>
    <w:rsid w:val="298B3C4C"/>
    <w:rsid w:val="29BB5F06"/>
    <w:rsid w:val="29F26D24"/>
    <w:rsid w:val="2A15033F"/>
    <w:rsid w:val="2A1662C1"/>
    <w:rsid w:val="2A1C7367"/>
    <w:rsid w:val="2A2815FA"/>
    <w:rsid w:val="2A6D6092"/>
    <w:rsid w:val="2A7D76B4"/>
    <w:rsid w:val="2B437463"/>
    <w:rsid w:val="2B57670F"/>
    <w:rsid w:val="2B7807EE"/>
    <w:rsid w:val="2B95320E"/>
    <w:rsid w:val="2B9F0ECD"/>
    <w:rsid w:val="2BA50BF7"/>
    <w:rsid w:val="2BBF00EC"/>
    <w:rsid w:val="2BC37CFD"/>
    <w:rsid w:val="2BD5237F"/>
    <w:rsid w:val="2BE536CE"/>
    <w:rsid w:val="2BE758D9"/>
    <w:rsid w:val="2BEC2B5B"/>
    <w:rsid w:val="2C09049E"/>
    <w:rsid w:val="2C0A653C"/>
    <w:rsid w:val="2C191F85"/>
    <w:rsid w:val="2C4F0E6D"/>
    <w:rsid w:val="2CE82D6F"/>
    <w:rsid w:val="2D343236"/>
    <w:rsid w:val="2DC77CAA"/>
    <w:rsid w:val="2DD15014"/>
    <w:rsid w:val="2DF72DE4"/>
    <w:rsid w:val="2E0220AF"/>
    <w:rsid w:val="2E4B082A"/>
    <w:rsid w:val="2E5D4E86"/>
    <w:rsid w:val="2E5D790B"/>
    <w:rsid w:val="2E9A3C18"/>
    <w:rsid w:val="2EBB0FEE"/>
    <w:rsid w:val="2EC06E4D"/>
    <w:rsid w:val="2EC63002"/>
    <w:rsid w:val="2F0A6B38"/>
    <w:rsid w:val="2F0F4AC2"/>
    <w:rsid w:val="2F8C4669"/>
    <w:rsid w:val="2F946CCB"/>
    <w:rsid w:val="2FA969A4"/>
    <w:rsid w:val="2FB618D6"/>
    <w:rsid w:val="2FC90CF2"/>
    <w:rsid w:val="2FD25781"/>
    <w:rsid w:val="2FD815C0"/>
    <w:rsid w:val="2FDC745C"/>
    <w:rsid w:val="2FFD7934"/>
    <w:rsid w:val="30405DB5"/>
    <w:rsid w:val="30733ACD"/>
    <w:rsid w:val="308C3862"/>
    <w:rsid w:val="308E5A93"/>
    <w:rsid w:val="309379D8"/>
    <w:rsid w:val="30A270F7"/>
    <w:rsid w:val="30DF1478"/>
    <w:rsid w:val="30EC3CCF"/>
    <w:rsid w:val="30EC586F"/>
    <w:rsid w:val="30EE2A56"/>
    <w:rsid w:val="314550B7"/>
    <w:rsid w:val="319C6071"/>
    <w:rsid w:val="31AC537E"/>
    <w:rsid w:val="31C37EE6"/>
    <w:rsid w:val="31E3679B"/>
    <w:rsid w:val="31E732FD"/>
    <w:rsid w:val="32517576"/>
    <w:rsid w:val="32BE5C2C"/>
    <w:rsid w:val="32D40CBF"/>
    <w:rsid w:val="32E730AC"/>
    <w:rsid w:val="32FB6478"/>
    <w:rsid w:val="33263B3F"/>
    <w:rsid w:val="336963EB"/>
    <w:rsid w:val="33816EEB"/>
    <w:rsid w:val="33B75467"/>
    <w:rsid w:val="33EB55CD"/>
    <w:rsid w:val="33EC4C02"/>
    <w:rsid w:val="340D2360"/>
    <w:rsid w:val="3410665D"/>
    <w:rsid w:val="34183E45"/>
    <w:rsid w:val="34211214"/>
    <w:rsid w:val="342E63AB"/>
    <w:rsid w:val="34314988"/>
    <w:rsid w:val="34950E68"/>
    <w:rsid w:val="34986E94"/>
    <w:rsid w:val="34AF62C9"/>
    <w:rsid w:val="34CB4388"/>
    <w:rsid w:val="34FA6E12"/>
    <w:rsid w:val="354A30A0"/>
    <w:rsid w:val="354D7158"/>
    <w:rsid w:val="358D5588"/>
    <w:rsid w:val="35DC76E6"/>
    <w:rsid w:val="361D3657"/>
    <w:rsid w:val="363A3B40"/>
    <w:rsid w:val="365302AE"/>
    <w:rsid w:val="36607A0A"/>
    <w:rsid w:val="366E227C"/>
    <w:rsid w:val="366F2E0D"/>
    <w:rsid w:val="367B6A5C"/>
    <w:rsid w:val="36882D07"/>
    <w:rsid w:val="36A114D2"/>
    <w:rsid w:val="36A74ADA"/>
    <w:rsid w:val="36AD60D5"/>
    <w:rsid w:val="36B224F9"/>
    <w:rsid w:val="36EC0CC9"/>
    <w:rsid w:val="373F410B"/>
    <w:rsid w:val="375A7A49"/>
    <w:rsid w:val="37C13D08"/>
    <w:rsid w:val="37EE7094"/>
    <w:rsid w:val="381B1E18"/>
    <w:rsid w:val="38296C89"/>
    <w:rsid w:val="383002EB"/>
    <w:rsid w:val="38586797"/>
    <w:rsid w:val="38BC0149"/>
    <w:rsid w:val="38D87D1C"/>
    <w:rsid w:val="39430981"/>
    <w:rsid w:val="39461996"/>
    <w:rsid w:val="394C1291"/>
    <w:rsid w:val="39636459"/>
    <w:rsid w:val="396B7F6C"/>
    <w:rsid w:val="39B417A9"/>
    <w:rsid w:val="39FC5695"/>
    <w:rsid w:val="3A006D8E"/>
    <w:rsid w:val="3A1A6CAE"/>
    <w:rsid w:val="3A3651E5"/>
    <w:rsid w:val="3A744481"/>
    <w:rsid w:val="3A8C7BEF"/>
    <w:rsid w:val="3A906246"/>
    <w:rsid w:val="3B2349B7"/>
    <w:rsid w:val="3B4648CF"/>
    <w:rsid w:val="3B616CFF"/>
    <w:rsid w:val="3B6259F6"/>
    <w:rsid w:val="3B946BCC"/>
    <w:rsid w:val="3B976654"/>
    <w:rsid w:val="3BC01EFC"/>
    <w:rsid w:val="3BCA786A"/>
    <w:rsid w:val="3BD31E2F"/>
    <w:rsid w:val="3BF15831"/>
    <w:rsid w:val="3C105946"/>
    <w:rsid w:val="3C471448"/>
    <w:rsid w:val="3C5F759A"/>
    <w:rsid w:val="3C6C525A"/>
    <w:rsid w:val="3CCE23CB"/>
    <w:rsid w:val="3CD17D17"/>
    <w:rsid w:val="3D2C346A"/>
    <w:rsid w:val="3D3C7F39"/>
    <w:rsid w:val="3D440F09"/>
    <w:rsid w:val="3D4504A0"/>
    <w:rsid w:val="3D7E76FB"/>
    <w:rsid w:val="3D8734BB"/>
    <w:rsid w:val="3D9A11D4"/>
    <w:rsid w:val="3DA16D89"/>
    <w:rsid w:val="3DA364BE"/>
    <w:rsid w:val="3DE041CB"/>
    <w:rsid w:val="3DFA733B"/>
    <w:rsid w:val="3E0D48F6"/>
    <w:rsid w:val="3E1868B4"/>
    <w:rsid w:val="3E377251"/>
    <w:rsid w:val="3E42664B"/>
    <w:rsid w:val="3E5A7334"/>
    <w:rsid w:val="3E7B5D6B"/>
    <w:rsid w:val="3E843E66"/>
    <w:rsid w:val="3E8E3445"/>
    <w:rsid w:val="3E8F51FE"/>
    <w:rsid w:val="3E926F87"/>
    <w:rsid w:val="3E9A59DE"/>
    <w:rsid w:val="3EAF4836"/>
    <w:rsid w:val="3EC33DFA"/>
    <w:rsid w:val="3F060E16"/>
    <w:rsid w:val="3F135889"/>
    <w:rsid w:val="3F1D1096"/>
    <w:rsid w:val="3F2F0234"/>
    <w:rsid w:val="3F6363FE"/>
    <w:rsid w:val="3F756B8F"/>
    <w:rsid w:val="3F95482B"/>
    <w:rsid w:val="40130CAF"/>
    <w:rsid w:val="4019356B"/>
    <w:rsid w:val="40296754"/>
    <w:rsid w:val="40592157"/>
    <w:rsid w:val="4063169D"/>
    <w:rsid w:val="406E1CAE"/>
    <w:rsid w:val="40A0133A"/>
    <w:rsid w:val="40C31A53"/>
    <w:rsid w:val="40C4524F"/>
    <w:rsid w:val="40FF545D"/>
    <w:rsid w:val="410067C8"/>
    <w:rsid w:val="413D5CA3"/>
    <w:rsid w:val="41666FD7"/>
    <w:rsid w:val="418F0D2A"/>
    <w:rsid w:val="41D01505"/>
    <w:rsid w:val="42474939"/>
    <w:rsid w:val="424C3C57"/>
    <w:rsid w:val="42516356"/>
    <w:rsid w:val="42613FF3"/>
    <w:rsid w:val="42660D96"/>
    <w:rsid w:val="428667D2"/>
    <w:rsid w:val="42CD1CE0"/>
    <w:rsid w:val="42E1381E"/>
    <w:rsid w:val="42ED6459"/>
    <w:rsid w:val="42FE58DD"/>
    <w:rsid w:val="43174B3D"/>
    <w:rsid w:val="4343436A"/>
    <w:rsid w:val="434B790E"/>
    <w:rsid w:val="4360274F"/>
    <w:rsid w:val="43977AB6"/>
    <w:rsid w:val="43A3342B"/>
    <w:rsid w:val="43C77C27"/>
    <w:rsid w:val="43DE09EE"/>
    <w:rsid w:val="43F300CA"/>
    <w:rsid w:val="44002FAD"/>
    <w:rsid w:val="44044C5E"/>
    <w:rsid w:val="449101DD"/>
    <w:rsid w:val="44D73DDA"/>
    <w:rsid w:val="44DE1391"/>
    <w:rsid w:val="451B225C"/>
    <w:rsid w:val="452410C9"/>
    <w:rsid w:val="45317DFB"/>
    <w:rsid w:val="454679C8"/>
    <w:rsid w:val="456D3CE4"/>
    <w:rsid w:val="4579042C"/>
    <w:rsid w:val="457F0571"/>
    <w:rsid w:val="45851176"/>
    <w:rsid w:val="45C148E0"/>
    <w:rsid w:val="45C63B94"/>
    <w:rsid w:val="460E7DA5"/>
    <w:rsid w:val="46422483"/>
    <w:rsid w:val="4659254A"/>
    <w:rsid w:val="465B0637"/>
    <w:rsid w:val="465E3F0D"/>
    <w:rsid w:val="466A16E6"/>
    <w:rsid w:val="46893F2B"/>
    <w:rsid w:val="46C4686E"/>
    <w:rsid w:val="477B778F"/>
    <w:rsid w:val="478203EC"/>
    <w:rsid w:val="479A13D4"/>
    <w:rsid w:val="47B025FA"/>
    <w:rsid w:val="4809698F"/>
    <w:rsid w:val="4811697D"/>
    <w:rsid w:val="4863244B"/>
    <w:rsid w:val="487A3E25"/>
    <w:rsid w:val="488B5503"/>
    <w:rsid w:val="48937E21"/>
    <w:rsid w:val="489869BC"/>
    <w:rsid w:val="489A0361"/>
    <w:rsid w:val="48B94FF3"/>
    <w:rsid w:val="48E37AAB"/>
    <w:rsid w:val="48EB00AD"/>
    <w:rsid w:val="48FD4B4C"/>
    <w:rsid w:val="490A68E0"/>
    <w:rsid w:val="491055FE"/>
    <w:rsid w:val="495F5B3E"/>
    <w:rsid w:val="496F77D7"/>
    <w:rsid w:val="497654FD"/>
    <w:rsid w:val="49B64211"/>
    <w:rsid w:val="49E56AF9"/>
    <w:rsid w:val="49F6167F"/>
    <w:rsid w:val="4A064FA0"/>
    <w:rsid w:val="4A16615C"/>
    <w:rsid w:val="4A4424D7"/>
    <w:rsid w:val="4A952141"/>
    <w:rsid w:val="4AB82D0F"/>
    <w:rsid w:val="4AEB7664"/>
    <w:rsid w:val="4AFD7C19"/>
    <w:rsid w:val="4B0567D1"/>
    <w:rsid w:val="4B064F25"/>
    <w:rsid w:val="4B211118"/>
    <w:rsid w:val="4B236AAE"/>
    <w:rsid w:val="4B2A403B"/>
    <w:rsid w:val="4B707271"/>
    <w:rsid w:val="4B9739F7"/>
    <w:rsid w:val="4BEE2503"/>
    <w:rsid w:val="4C245A30"/>
    <w:rsid w:val="4C537145"/>
    <w:rsid w:val="4C6D3572"/>
    <w:rsid w:val="4CB6685F"/>
    <w:rsid w:val="4CC367FE"/>
    <w:rsid w:val="4CD05815"/>
    <w:rsid w:val="4D077F3C"/>
    <w:rsid w:val="4D123355"/>
    <w:rsid w:val="4D2A3B31"/>
    <w:rsid w:val="4D312C52"/>
    <w:rsid w:val="4D624D8F"/>
    <w:rsid w:val="4D905305"/>
    <w:rsid w:val="4D964A72"/>
    <w:rsid w:val="4D9C1254"/>
    <w:rsid w:val="4DA838EE"/>
    <w:rsid w:val="4DC74AA8"/>
    <w:rsid w:val="4E632333"/>
    <w:rsid w:val="4E76532E"/>
    <w:rsid w:val="4E793892"/>
    <w:rsid w:val="4E7D0ADD"/>
    <w:rsid w:val="4E800872"/>
    <w:rsid w:val="4EC569ED"/>
    <w:rsid w:val="4ECA55D0"/>
    <w:rsid w:val="4ED50EA1"/>
    <w:rsid w:val="4EEC050C"/>
    <w:rsid w:val="4F104EC3"/>
    <w:rsid w:val="4F2F2D76"/>
    <w:rsid w:val="4F47354A"/>
    <w:rsid w:val="4F911C54"/>
    <w:rsid w:val="4FE625E0"/>
    <w:rsid w:val="4FFF0AA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F7E46"/>
    <w:rsid w:val="51FC7A11"/>
    <w:rsid w:val="522B5B4A"/>
    <w:rsid w:val="522E4CC3"/>
    <w:rsid w:val="523259F7"/>
    <w:rsid w:val="52380B45"/>
    <w:rsid w:val="5244713B"/>
    <w:rsid w:val="52615633"/>
    <w:rsid w:val="52617016"/>
    <w:rsid w:val="526F4DE4"/>
    <w:rsid w:val="52977FD4"/>
    <w:rsid w:val="52A25790"/>
    <w:rsid w:val="52A96B6F"/>
    <w:rsid w:val="52B45975"/>
    <w:rsid w:val="52D41C73"/>
    <w:rsid w:val="52D94AA4"/>
    <w:rsid w:val="52E2408C"/>
    <w:rsid w:val="52EA3A62"/>
    <w:rsid w:val="52F50BB8"/>
    <w:rsid w:val="52FE3A15"/>
    <w:rsid w:val="53097272"/>
    <w:rsid w:val="533E38A0"/>
    <w:rsid w:val="534048B0"/>
    <w:rsid w:val="53544462"/>
    <w:rsid w:val="537A3705"/>
    <w:rsid w:val="5397158E"/>
    <w:rsid w:val="53B62265"/>
    <w:rsid w:val="53CA0F06"/>
    <w:rsid w:val="54013861"/>
    <w:rsid w:val="54487265"/>
    <w:rsid w:val="544D6070"/>
    <w:rsid w:val="54605E1E"/>
    <w:rsid w:val="548B19DC"/>
    <w:rsid w:val="548D02D8"/>
    <w:rsid w:val="54B3506A"/>
    <w:rsid w:val="54CA0D16"/>
    <w:rsid w:val="54DD4057"/>
    <w:rsid w:val="54E7490F"/>
    <w:rsid w:val="550764A4"/>
    <w:rsid w:val="550B2BF6"/>
    <w:rsid w:val="55214EB5"/>
    <w:rsid w:val="55364EFD"/>
    <w:rsid w:val="553810DC"/>
    <w:rsid w:val="555D4828"/>
    <w:rsid w:val="557A4C8B"/>
    <w:rsid w:val="558931E1"/>
    <w:rsid w:val="55923347"/>
    <w:rsid w:val="55925180"/>
    <w:rsid w:val="55983B1B"/>
    <w:rsid w:val="559D6882"/>
    <w:rsid w:val="55A8376B"/>
    <w:rsid w:val="55DC29B6"/>
    <w:rsid w:val="55DD4241"/>
    <w:rsid w:val="55EC1E85"/>
    <w:rsid w:val="560378AC"/>
    <w:rsid w:val="562A45DB"/>
    <w:rsid w:val="562D26E8"/>
    <w:rsid w:val="564A221E"/>
    <w:rsid w:val="56692B0C"/>
    <w:rsid w:val="566B6D1E"/>
    <w:rsid w:val="57032A2C"/>
    <w:rsid w:val="570F5219"/>
    <w:rsid w:val="57404D35"/>
    <w:rsid w:val="574B0B5C"/>
    <w:rsid w:val="575D12B5"/>
    <w:rsid w:val="57610A87"/>
    <w:rsid w:val="577B1140"/>
    <w:rsid w:val="577B7F21"/>
    <w:rsid w:val="577F181B"/>
    <w:rsid w:val="5788170C"/>
    <w:rsid w:val="57921984"/>
    <w:rsid w:val="579737F0"/>
    <w:rsid w:val="57A44FBE"/>
    <w:rsid w:val="57AB7B30"/>
    <w:rsid w:val="57AF5251"/>
    <w:rsid w:val="57B26373"/>
    <w:rsid w:val="57B63F04"/>
    <w:rsid w:val="57CD20C2"/>
    <w:rsid w:val="57D675AB"/>
    <w:rsid w:val="57D95FDD"/>
    <w:rsid w:val="57EB09CF"/>
    <w:rsid w:val="58917D2F"/>
    <w:rsid w:val="5894085C"/>
    <w:rsid w:val="58AE4F0C"/>
    <w:rsid w:val="58B85899"/>
    <w:rsid w:val="58E363A9"/>
    <w:rsid w:val="592654CC"/>
    <w:rsid w:val="595D6D9E"/>
    <w:rsid w:val="595E1678"/>
    <w:rsid w:val="596D5BD4"/>
    <w:rsid w:val="597E3DD8"/>
    <w:rsid w:val="59AB60A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36FFD"/>
    <w:rsid w:val="5C02690E"/>
    <w:rsid w:val="5C196DA7"/>
    <w:rsid w:val="5C2A048C"/>
    <w:rsid w:val="5C620B9F"/>
    <w:rsid w:val="5C80234E"/>
    <w:rsid w:val="5C8A680C"/>
    <w:rsid w:val="5CF94596"/>
    <w:rsid w:val="5D0103E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711D6"/>
    <w:rsid w:val="5EF94D5F"/>
    <w:rsid w:val="5EFC7377"/>
    <w:rsid w:val="5F06174D"/>
    <w:rsid w:val="5F275ED7"/>
    <w:rsid w:val="5F343A3F"/>
    <w:rsid w:val="5F3A3602"/>
    <w:rsid w:val="5F432211"/>
    <w:rsid w:val="5F45733B"/>
    <w:rsid w:val="5F6277C6"/>
    <w:rsid w:val="5F6D0B1D"/>
    <w:rsid w:val="5F8D0B82"/>
    <w:rsid w:val="5FCC5339"/>
    <w:rsid w:val="5FD729BE"/>
    <w:rsid w:val="5FE34A5B"/>
    <w:rsid w:val="5FFE1E36"/>
    <w:rsid w:val="60232584"/>
    <w:rsid w:val="60607DAB"/>
    <w:rsid w:val="607330CE"/>
    <w:rsid w:val="60825176"/>
    <w:rsid w:val="609F2AC4"/>
    <w:rsid w:val="60FA2EE8"/>
    <w:rsid w:val="61054A27"/>
    <w:rsid w:val="610A52BC"/>
    <w:rsid w:val="611D2366"/>
    <w:rsid w:val="61227E69"/>
    <w:rsid w:val="61421856"/>
    <w:rsid w:val="615227C4"/>
    <w:rsid w:val="61654E3F"/>
    <w:rsid w:val="6182292A"/>
    <w:rsid w:val="619F7F92"/>
    <w:rsid w:val="61C8720B"/>
    <w:rsid w:val="61F94C26"/>
    <w:rsid w:val="62000E56"/>
    <w:rsid w:val="622A1D3A"/>
    <w:rsid w:val="624F3E49"/>
    <w:rsid w:val="62610489"/>
    <w:rsid w:val="62632286"/>
    <w:rsid w:val="62885958"/>
    <w:rsid w:val="62F40B65"/>
    <w:rsid w:val="62FC2CFE"/>
    <w:rsid w:val="63024505"/>
    <w:rsid w:val="635600A5"/>
    <w:rsid w:val="635B1DB5"/>
    <w:rsid w:val="63711FED"/>
    <w:rsid w:val="63780282"/>
    <w:rsid w:val="63880DDC"/>
    <w:rsid w:val="638D750D"/>
    <w:rsid w:val="63AC6CC0"/>
    <w:rsid w:val="64041226"/>
    <w:rsid w:val="64055776"/>
    <w:rsid w:val="64240056"/>
    <w:rsid w:val="643E143A"/>
    <w:rsid w:val="64491666"/>
    <w:rsid w:val="648B6EEF"/>
    <w:rsid w:val="64BC145A"/>
    <w:rsid w:val="64BC7416"/>
    <w:rsid w:val="64C158BF"/>
    <w:rsid w:val="64CE2EAA"/>
    <w:rsid w:val="64E00D4C"/>
    <w:rsid w:val="653C3090"/>
    <w:rsid w:val="65854376"/>
    <w:rsid w:val="658767BE"/>
    <w:rsid w:val="65892531"/>
    <w:rsid w:val="65D271B1"/>
    <w:rsid w:val="66195831"/>
    <w:rsid w:val="662E75B1"/>
    <w:rsid w:val="66342C2E"/>
    <w:rsid w:val="663E784C"/>
    <w:rsid w:val="664E2DE5"/>
    <w:rsid w:val="66501E99"/>
    <w:rsid w:val="665E5B82"/>
    <w:rsid w:val="6674647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634BD"/>
    <w:rsid w:val="68B96DBB"/>
    <w:rsid w:val="68CA2805"/>
    <w:rsid w:val="68E937A3"/>
    <w:rsid w:val="69017A3F"/>
    <w:rsid w:val="691664E5"/>
    <w:rsid w:val="693E15D3"/>
    <w:rsid w:val="69447137"/>
    <w:rsid w:val="69627681"/>
    <w:rsid w:val="6977531D"/>
    <w:rsid w:val="69CC2BFF"/>
    <w:rsid w:val="69ED7058"/>
    <w:rsid w:val="69FD55B8"/>
    <w:rsid w:val="6A0B1C62"/>
    <w:rsid w:val="6A2406C8"/>
    <w:rsid w:val="6A565402"/>
    <w:rsid w:val="6A5C61A1"/>
    <w:rsid w:val="6A8C2BF2"/>
    <w:rsid w:val="6AA624CF"/>
    <w:rsid w:val="6AC43F0F"/>
    <w:rsid w:val="6ADE0BD1"/>
    <w:rsid w:val="6AE96859"/>
    <w:rsid w:val="6B147746"/>
    <w:rsid w:val="6B24787C"/>
    <w:rsid w:val="6B2A0C5E"/>
    <w:rsid w:val="6B573233"/>
    <w:rsid w:val="6B5B6274"/>
    <w:rsid w:val="6B935D53"/>
    <w:rsid w:val="6B9C7418"/>
    <w:rsid w:val="6BD80203"/>
    <w:rsid w:val="6BE22ABB"/>
    <w:rsid w:val="6BF87B65"/>
    <w:rsid w:val="6C196F71"/>
    <w:rsid w:val="6C226FCB"/>
    <w:rsid w:val="6C31226F"/>
    <w:rsid w:val="6C552F0B"/>
    <w:rsid w:val="6C8C67B7"/>
    <w:rsid w:val="6C9D744C"/>
    <w:rsid w:val="6D167928"/>
    <w:rsid w:val="6D26299B"/>
    <w:rsid w:val="6D4772EC"/>
    <w:rsid w:val="6D874340"/>
    <w:rsid w:val="6D9078AF"/>
    <w:rsid w:val="6DAA3FEF"/>
    <w:rsid w:val="6DC0172B"/>
    <w:rsid w:val="6DCB690C"/>
    <w:rsid w:val="6DD41A5B"/>
    <w:rsid w:val="6DDD1368"/>
    <w:rsid w:val="6DF43C2E"/>
    <w:rsid w:val="6DF51CA3"/>
    <w:rsid w:val="6E1C08B1"/>
    <w:rsid w:val="6E8335BD"/>
    <w:rsid w:val="6E8E12EF"/>
    <w:rsid w:val="6E972936"/>
    <w:rsid w:val="6ED446C5"/>
    <w:rsid w:val="6EDD3857"/>
    <w:rsid w:val="6F282DD0"/>
    <w:rsid w:val="6F2A7D94"/>
    <w:rsid w:val="6F8331F1"/>
    <w:rsid w:val="6FAE1A09"/>
    <w:rsid w:val="6FD75BF8"/>
    <w:rsid w:val="707723D0"/>
    <w:rsid w:val="70F5661B"/>
    <w:rsid w:val="71360107"/>
    <w:rsid w:val="713B688E"/>
    <w:rsid w:val="7169749E"/>
    <w:rsid w:val="71937335"/>
    <w:rsid w:val="71D43752"/>
    <w:rsid w:val="71F1796A"/>
    <w:rsid w:val="72123B94"/>
    <w:rsid w:val="72154626"/>
    <w:rsid w:val="72262B5D"/>
    <w:rsid w:val="72283FF7"/>
    <w:rsid w:val="722E7212"/>
    <w:rsid w:val="723A0474"/>
    <w:rsid w:val="72476E8D"/>
    <w:rsid w:val="725923E4"/>
    <w:rsid w:val="72864BF7"/>
    <w:rsid w:val="729023FC"/>
    <w:rsid w:val="729D6597"/>
    <w:rsid w:val="73C0646E"/>
    <w:rsid w:val="742222F5"/>
    <w:rsid w:val="74476126"/>
    <w:rsid w:val="74706664"/>
    <w:rsid w:val="747F3682"/>
    <w:rsid w:val="749C4185"/>
    <w:rsid w:val="75067759"/>
    <w:rsid w:val="750C2956"/>
    <w:rsid w:val="752E6DCD"/>
    <w:rsid w:val="754F05E4"/>
    <w:rsid w:val="7551380D"/>
    <w:rsid w:val="75600BE5"/>
    <w:rsid w:val="7564475C"/>
    <w:rsid w:val="757F7954"/>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5678A"/>
    <w:rsid w:val="777F31F2"/>
    <w:rsid w:val="77912837"/>
    <w:rsid w:val="77D1700D"/>
    <w:rsid w:val="77EC04CC"/>
    <w:rsid w:val="78775729"/>
    <w:rsid w:val="78A42DB0"/>
    <w:rsid w:val="78A656AB"/>
    <w:rsid w:val="78B2245C"/>
    <w:rsid w:val="78E172CC"/>
    <w:rsid w:val="78EA1D1F"/>
    <w:rsid w:val="7904172F"/>
    <w:rsid w:val="790F7E27"/>
    <w:rsid w:val="792A231A"/>
    <w:rsid w:val="79316829"/>
    <w:rsid w:val="796746DD"/>
    <w:rsid w:val="797E66A9"/>
    <w:rsid w:val="798518A4"/>
    <w:rsid w:val="7987355A"/>
    <w:rsid w:val="79A97383"/>
    <w:rsid w:val="79E27E8B"/>
    <w:rsid w:val="79F850CE"/>
    <w:rsid w:val="79FD443C"/>
    <w:rsid w:val="7A1D1975"/>
    <w:rsid w:val="7A3E5150"/>
    <w:rsid w:val="7A4670D6"/>
    <w:rsid w:val="7A534B63"/>
    <w:rsid w:val="7A615382"/>
    <w:rsid w:val="7A67303B"/>
    <w:rsid w:val="7A873E24"/>
    <w:rsid w:val="7AAB1D04"/>
    <w:rsid w:val="7ABA4368"/>
    <w:rsid w:val="7AC44686"/>
    <w:rsid w:val="7AD05746"/>
    <w:rsid w:val="7B257FFD"/>
    <w:rsid w:val="7B273D20"/>
    <w:rsid w:val="7B343476"/>
    <w:rsid w:val="7B5A2978"/>
    <w:rsid w:val="7B5A7E4C"/>
    <w:rsid w:val="7B667AF9"/>
    <w:rsid w:val="7B7468F8"/>
    <w:rsid w:val="7B964140"/>
    <w:rsid w:val="7BEE0103"/>
    <w:rsid w:val="7C0A0FE4"/>
    <w:rsid w:val="7C254906"/>
    <w:rsid w:val="7C38005C"/>
    <w:rsid w:val="7C3826AE"/>
    <w:rsid w:val="7C4F7C82"/>
    <w:rsid w:val="7C590818"/>
    <w:rsid w:val="7C7C10F6"/>
    <w:rsid w:val="7C853BEA"/>
    <w:rsid w:val="7C881368"/>
    <w:rsid w:val="7CE27788"/>
    <w:rsid w:val="7D0C32F1"/>
    <w:rsid w:val="7D0F408D"/>
    <w:rsid w:val="7D491C6C"/>
    <w:rsid w:val="7D5429C0"/>
    <w:rsid w:val="7D6E6D43"/>
    <w:rsid w:val="7D7D4E70"/>
    <w:rsid w:val="7DB57A34"/>
    <w:rsid w:val="7DC71ACD"/>
    <w:rsid w:val="7DE41F4B"/>
    <w:rsid w:val="7DE60973"/>
    <w:rsid w:val="7DEF0916"/>
    <w:rsid w:val="7DEF2DD8"/>
    <w:rsid w:val="7E1E5218"/>
    <w:rsid w:val="7E3F367D"/>
    <w:rsid w:val="7E640B33"/>
    <w:rsid w:val="7E9A4E1F"/>
    <w:rsid w:val="7EA7723A"/>
    <w:rsid w:val="7EE8A146"/>
    <w:rsid w:val="7EF56FBB"/>
    <w:rsid w:val="7F0768EB"/>
    <w:rsid w:val="7F143BEC"/>
    <w:rsid w:val="7F193DE6"/>
    <w:rsid w:val="7F230A24"/>
    <w:rsid w:val="7F67172D"/>
    <w:rsid w:val="7F715AF2"/>
    <w:rsid w:val="7F886E69"/>
    <w:rsid w:val="7FB937C7"/>
    <w:rsid w:val="BB7FA927"/>
    <w:rsid w:val="DEB70EED"/>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263"/>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7"/>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5244</Words>
  <Characters>5619</Characters>
  <Lines>281</Lines>
  <Paragraphs>79</Paragraphs>
  <TotalTime>0</TotalTime>
  <ScaleCrop>false</ScaleCrop>
  <LinksUpToDate>false</LinksUpToDate>
  <CharactersWithSpaces>6066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2025-07-07T05:57:13Z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78AAD0D694D14ECD9FB2052583A059FA</vt:lpwstr>
  </property>
  <property fmtid="{D5CDD505-2E9C-101B-9397-08002B2CF9AE}" pid="5" name="KSOTemplateDocerSaveRecord">
    <vt:lpwstr>eyJoZGlkIjoiNmM1OGE4MGU1N2ZlYWFjY2Q5NzgyNGE4NTJmMzM2YjQiLCJ1c2VySWQiOiIzNjY4Mzk0MzQifQ==</vt:lpwstr>
  </property>
</Properties>
</file>